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B01BE" w14:textId="77777777" w:rsidR="00E63E48" w:rsidRPr="00AB2DA1" w:rsidRDefault="00E63E48" w:rsidP="0024031E">
      <w:pPr>
        <w:pStyle w:val="Caption"/>
      </w:pPr>
    </w:p>
    <w:p w14:paraId="6ADEEF7C" w14:textId="0AA83F56" w:rsidR="006552E6" w:rsidRPr="00AB2DA1" w:rsidRDefault="00B3005C" w:rsidP="005733D8">
      <w:pPr>
        <w:pStyle w:val="1MainTitle"/>
        <w:jc w:val="both"/>
        <w:rPr>
          <w:rFonts w:eastAsia="Calibri"/>
          <w:lang w:eastAsia="en-US"/>
        </w:rPr>
      </w:pPr>
      <w:r w:rsidRPr="00AB2DA1">
        <w:rPr>
          <w:rFonts w:eastAsia="Calibri"/>
          <w:lang w:eastAsia="en-US"/>
        </w:rPr>
        <w:t>6.14</w:t>
      </w:r>
      <w:r w:rsidR="00BF27A0" w:rsidRPr="00AB2DA1">
        <w:rPr>
          <w:rFonts w:eastAsia="Calibri"/>
          <w:lang w:eastAsia="en-US"/>
        </w:rPr>
        <w:tab/>
      </w:r>
      <w:r w:rsidR="00816A01" w:rsidRPr="00AB2DA1">
        <w:rPr>
          <w:rFonts w:eastAsia="Calibri"/>
          <w:lang w:eastAsia="en-US"/>
        </w:rPr>
        <w:t>PREDNISOLONE </w:t>
      </w:r>
      <w:r w:rsidR="004C06FA" w:rsidRPr="00AB2DA1">
        <w:rPr>
          <w:rFonts w:eastAsia="Calibri"/>
          <w:lang w:eastAsia="en-US"/>
        </w:rPr>
        <w:t>WITH</w:t>
      </w:r>
      <w:r w:rsidR="00816A01" w:rsidRPr="00AB2DA1">
        <w:rPr>
          <w:rFonts w:eastAsia="Calibri"/>
          <w:lang w:eastAsia="en-US"/>
        </w:rPr>
        <w:t> </w:t>
      </w:r>
      <w:r w:rsidR="004C06FA" w:rsidRPr="00AB2DA1">
        <w:rPr>
          <w:rFonts w:eastAsia="Calibri"/>
          <w:lang w:eastAsia="en-US"/>
        </w:rPr>
        <w:t>PHENYLEPHRINE</w:t>
      </w:r>
      <w:r w:rsidR="00E63E48" w:rsidRPr="00AB2DA1">
        <w:rPr>
          <w:rFonts w:eastAsia="Calibri"/>
          <w:lang w:eastAsia="en-US"/>
        </w:rPr>
        <w:br/>
      </w:r>
      <w:r w:rsidR="004C06FA" w:rsidRPr="00AB2DA1">
        <w:rPr>
          <w:rFonts w:eastAsia="Calibri"/>
          <w:lang w:eastAsia="en-US"/>
        </w:rPr>
        <w:t>Eye drops containing prednisolone acetate 10 mg with phenylephrine hydrochloride 1.2 mg per mL, 10 mL</w:t>
      </w:r>
      <w:r w:rsidR="00E63E48" w:rsidRPr="00AB2DA1">
        <w:rPr>
          <w:rFonts w:eastAsia="Calibri"/>
          <w:lang w:eastAsia="en-US"/>
        </w:rPr>
        <w:br/>
      </w:r>
      <w:r w:rsidR="004C06FA" w:rsidRPr="00AB2DA1">
        <w:rPr>
          <w:rFonts w:eastAsia="Calibri"/>
          <w:lang w:eastAsia="en-US"/>
        </w:rPr>
        <w:t>Prednefrin®</w:t>
      </w:r>
      <w:r w:rsidR="00816A01" w:rsidRPr="00AB2DA1">
        <w:rPr>
          <w:rFonts w:eastAsia="Calibri"/>
          <w:lang w:eastAsia="en-US"/>
        </w:rPr>
        <w:t> </w:t>
      </w:r>
      <w:r w:rsidR="004C06FA" w:rsidRPr="00AB2DA1">
        <w:rPr>
          <w:rFonts w:eastAsia="Calibri"/>
          <w:lang w:eastAsia="en-US"/>
        </w:rPr>
        <w:t>Forte</w:t>
      </w:r>
      <w:r w:rsidR="00BF27A0" w:rsidRPr="00AB2DA1">
        <w:rPr>
          <w:rFonts w:eastAsia="Calibri"/>
          <w:lang w:eastAsia="en-US"/>
        </w:rPr>
        <w:t>,</w:t>
      </w:r>
      <w:r w:rsidR="00E63E48" w:rsidRPr="00AB2DA1">
        <w:rPr>
          <w:rFonts w:eastAsia="Calibri"/>
          <w:lang w:eastAsia="en-US"/>
        </w:rPr>
        <w:br/>
      </w:r>
      <w:r w:rsidR="004C06FA" w:rsidRPr="00AB2DA1">
        <w:rPr>
          <w:rFonts w:eastAsia="Calibri"/>
          <w:lang w:eastAsia="en-US"/>
        </w:rPr>
        <w:t>National Aboriginal Community</w:t>
      </w:r>
      <w:r w:rsidR="00BF27A0" w:rsidRPr="00AB2DA1">
        <w:rPr>
          <w:rFonts w:eastAsia="Calibri"/>
          <w:lang w:eastAsia="en-US"/>
        </w:rPr>
        <w:t xml:space="preserve"> </w:t>
      </w:r>
      <w:r w:rsidR="00B61B66" w:rsidRPr="00AB2DA1">
        <w:rPr>
          <w:rFonts w:eastAsia="Calibri"/>
          <w:lang w:eastAsia="en-US"/>
        </w:rPr>
        <w:t>Controlled Health Organisation</w:t>
      </w:r>
    </w:p>
    <w:p w14:paraId="0596616F" w14:textId="77777777" w:rsidR="008A50F1" w:rsidRPr="00AB2DA1" w:rsidRDefault="00CE10C4" w:rsidP="005733D8">
      <w:pPr>
        <w:pStyle w:val="2Sections"/>
        <w:numPr>
          <w:ilvl w:val="0"/>
          <w:numId w:val="44"/>
        </w:numPr>
      </w:pPr>
      <w:r w:rsidRPr="00AB2DA1">
        <w:t xml:space="preserve">Purpose of </w:t>
      </w:r>
      <w:r w:rsidR="0004240E" w:rsidRPr="00AB2DA1">
        <w:t>Application</w:t>
      </w:r>
      <w:r w:rsidR="00034905" w:rsidRPr="00AB2DA1">
        <w:t xml:space="preserve"> </w:t>
      </w:r>
    </w:p>
    <w:p w14:paraId="00EA5C1D" w14:textId="457112DB" w:rsidR="006A12A5" w:rsidRPr="00AB2DA1" w:rsidRDefault="00EF44A0" w:rsidP="005733D8">
      <w:pPr>
        <w:pStyle w:val="3Bodytext"/>
      </w:pPr>
      <w:r w:rsidRPr="00AB2DA1">
        <w:t>The mi</w:t>
      </w:r>
      <w:r w:rsidR="00FF2801" w:rsidRPr="00AB2DA1">
        <w:t>nor submission requested</w:t>
      </w:r>
      <w:r w:rsidR="004C06FA" w:rsidRPr="00AB2DA1">
        <w:t xml:space="preserve"> a Restricted Benefit listing for the treatment </w:t>
      </w:r>
      <w:r w:rsidR="00B3005C" w:rsidRPr="00AB2DA1">
        <w:t xml:space="preserve">of </w:t>
      </w:r>
      <w:r w:rsidR="004C06FA" w:rsidRPr="00AB2DA1">
        <w:t>severe eye inflammation following cataract surgery for patients who identify as Aboriginal and Torres Strait Islander</w:t>
      </w:r>
      <w:r w:rsidR="00B3005C" w:rsidRPr="00AB2DA1">
        <w:t>.</w:t>
      </w:r>
    </w:p>
    <w:p w14:paraId="40525652" w14:textId="77777777" w:rsidR="006A12A5" w:rsidRPr="00AB2DA1" w:rsidRDefault="006A12A5" w:rsidP="005733D8">
      <w:pPr>
        <w:pStyle w:val="2Sections"/>
      </w:pPr>
      <w:r w:rsidRPr="00AB2DA1">
        <w:t>Requested listing</w:t>
      </w:r>
    </w:p>
    <w:p w14:paraId="7BCB6087" w14:textId="3902B1E6" w:rsidR="007D2C7C" w:rsidRPr="00C174C7" w:rsidRDefault="00EF44A0" w:rsidP="005733D8">
      <w:pPr>
        <w:pStyle w:val="3Bodytext"/>
      </w:pPr>
      <w:r w:rsidRPr="00C174C7">
        <w:t xml:space="preserve">The submission </w:t>
      </w:r>
      <w:r w:rsidR="00FF2801" w:rsidRPr="00C174C7">
        <w:t>requested</w:t>
      </w:r>
      <w:r w:rsidR="00F46C9B" w:rsidRPr="00C174C7">
        <w:t xml:space="preserve"> the following extension to the current</w:t>
      </w:r>
      <w:r w:rsidRPr="00C174C7">
        <w:t xml:space="preserve"> </w:t>
      </w:r>
      <w:r w:rsidR="00F46C9B" w:rsidRPr="00C174C7">
        <w:t xml:space="preserve">PBS </w:t>
      </w:r>
      <w:r w:rsidRPr="00C174C7">
        <w:t>listing</w:t>
      </w:r>
      <w:r w:rsidR="00F46C9B" w:rsidRPr="00C174C7">
        <w:t xml:space="preserve"> for prednisolone with phenylephrine</w:t>
      </w:r>
      <w:r w:rsidR="00B17B0A" w:rsidRPr="00C174C7">
        <w:t>, with the same DPMQ as the current PBS listings</w:t>
      </w:r>
      <w:r w:rsidR="00D31F58" w:rsidRPr="00C174C7">
        <w:t>.</w:t>
      </w:r>
      <w:r w:rsidRPr="00C174C7">
        <w:t xml:space="preserve"> </w:t>
      </w:r>
      <w:r w:rsidR="0067747D" w:rsidRPr="00C174C7">
        <w:t>Suggestions and additions proposed by the Secretariat to the requested listing</w:t>
      </w:r>
      <w:r w:rsidR="00D07A8A" w:rsidRPr="00C174C7">
        <w:t xml:space="preserve"> are in italics and deletions are in strikethrough</w:t>
      </w:r>
      <w:r w:rsidR="0067747D" w:rsidRPr="00C174C7">
        <w:t>.</w:t>
      </w:r>
    </w:p>
    <w:tbl>
      <w:tblPr>
        <w:tblW w:w="5000" w:type="pct"/>
        <w:tblLook w:val="0000" w:firstRow="0" w:lastRow="0" w:firstColumn="0" w:lastColumn="0" w:noHBand="0" w:noVBand="0"/>
      </w:tblPr>
      <w:tblGrid>
        <w:gridCol w:w="2777"/>
        <w:gridCol w:w="419"/>
        <w:gridCol w:w="556"/>
        <w:gridCol w:w="832"/>
        <w:gridCol w:w="1666"/>
        <w:gridCol w:w="1527"/>
        <w:gridCol w:w="1249"/>
      </w:tblGrid>
      <w:tr w:rsidR="009324A6" w:rsidRPr="00C174C7" w14:paraId="63B823A4" w14:textId="77777777" w:rsidTr="00745458">
        <w:trPr>
          <w:cantSplit/>
          <w:trHeight w:val="471"/>
        </w:trPr>
        <w:tc>
          <w:tcPr>
            <w:tcW w:w="1770" w:type="pct"/>
            <w:gridSpan w:val="2"/>
            <w:tcBorders>
              <w:bottom w:val="single" w:sz="4" w:space="0" w:color="auto"/>
            </w:tcBorders>
          </w:tcPr>
          <w:p w14:paraId="1FDEBE5A" w14:textId="77777777" w:rsidR="009324A6" w:rsidRPr="00C174C7" w:rsidRDefault="009324A6" w:rsidP="005733D8">
            <w:pPr>
              <w:keepNext/>
              <w:ind w:left="-108"/>
              <w:jc w:val="both"/>
              <w:rPr>
                <w:rFonts w:ascii="Arial Narrow" w:hAnsi="Arial Narrow" w:cs="Arial"/>
                <w:sz w:val="20"/>
                <w:szCs w:val="20"/>
              </w:rPr>
            </w:pPr>
            <w:r w:rsidRPr="00C174C7">
              <w:rPr>
                <w:rFonts w:ascii="Arial Narrow" w:hAnsi="Arial Narrow" w:cs="Arial"/>
                <w:sz w:val="20"/>
                <w:szCs w:val="20"/>
              </w:rPr>
              <w:t>Name, Restriction,</w:t>
            </w:r>
          </w:p>
          <w:p w14:paraId="3F3957AA" w14:textId="77777777" w:rsidR="009324A6" w:rsidRPr="00C174C7" w:rsidRDefault="009324A6" w:rsidP="005733D8">
            <w:pPr>
              <w:keepNext/>
              <w:ind w:left="-108"/>
              <w:jc w:val="both"/>
              <w:rPr>
                <w:rFonts w:ascii="Arial Narrow" w:hAnsi="Arial Narrow" w:cs="Arial"/>
                <w:sz w:val="20"/>
                <w:szCs w:val="20"/>
              </w:rPr>
            </w:pPr>
            <w:r w:rsidRPr="00C174C7">
              <w:rPr>
                <w:rFonts w:ascii="Arial Narrow" w:hAnsi="Arial Narrow" w:cs="Arial"/>
                <w:sz w:val="20"/>
                <w:szCs w:val="20"/>
              </w:rPr>
              <w:t>Manner of administration and form</w:t>
            </w:r>
          </w:p>
        </w:tc>
        <w:tc>
          <w:tcPr>
            <w:tcW w:w="308" w:type="pct"/>
            <w:tcBorders>
              <w:bottom w:val="single" w:sz="4" w:space="0" w:color="auto"/>
            </w:tcBorders>
          </w:tcPr>
          <w:p w14:paraId="15E4EDDA" w14:textId="77777777" w:rsidR="009324A6" w:rsidRPr="00C174C7" w:rsidRDefault="009324A6" w:rsidP="005733D8">
            <w:pPr>
              <w:keepNext/>
              <w:ind w:left="-108"/>
              <w:jc w:val="both"/>
              <w:rPr>
                <w:rFonts w:ascii="Arial Narrow" w:hAnsi="Arial Narrow" w:cs="Arial"/>
                <w:sz w:val="20"/>
                <w:szCs w:val="20"/>
              </w:rPr>
            </w:pPr>
            <w:r w:rsidRPr="00C174C7">
              <w:rPr>
                <w:rFonts w:ascii="Arial Narrow" w:hAnsi="Arial Narrow" w:cs="Arial"/>
                <w:sz w:val="20"/>
                <w:szCs w:val="20"/>
              </w:rPr>
              <w:t>Max.</w:t>
            </w:r>
          </w:p>
          <w:p w14:paraId="0A85768D" w14:textId="77777777" w:rsidR="009324A6" w:rsidRPr="00C174C7" w:rsidRDefault="009324A6" w:rsidP="005733D8">
            <w:pPr>
              <w:keepNext/>
              <w:ind w:left="-108"/>
              <w:jc w:val="both"/>
              <w:rPr>
                <w:rFonts w:ascii="Arial Narrow" w:hAnsi="Arial Narrow" w:cs="Arial"/>
                <w:sz w:val="20"/>
                <w:szCs w:val="20"/>
              </w:rPr>
            </w:pPr>
            <w:r w:rsidRPr="00C174C7">
              <w:rPr>
                <w:rFonts w:ascii="Arial Narrow" w:hAnsi="Arial Narrow" w:cs="Arial"/>
                <w:sz w:val="20"/>
                <w:szCs w:val="20"/>
              </w:rPr>
              <w:t>Qty</w:t>
            </w:r>
          </w:p>
        </w:tc>
        <w:tc>
          <w:tcPr>
            <w:tcW w:w="461" w:type="pct"/>
            <w:tcBorders>
              <w:bottom w:val="single" w:sz="4" w:space="0" w:color="auto"/>
            </w:tcBorders>
          </w:tcPr>
          <w:p w14:paraId="3D21B519" w14:textId="77777777" w:rsidR="009324A6" w:rsidRPr="00C174C7" w:rsidRDefault="009324A6" w:rsidP="005733D8">
            <w:pPr>
              <w:keepNext/>
              <w:ind w:left="-108"/>
              <w:jc w:val="both"/>
              <w:rPr>
                <w:rFonts w:ascii="Arial Narrow" w:hAnsi="Arial Narrow" w:cs="Arial"/>
                <w:sz w:val="20"/>
                <w:szCs w:val="20"/>
              </w:rPr>
            </w:pPr>
            <w:r w:rsidRPr="00C174C7">
              <w:rPr>
                <w:rFonts w:ascii="Arial Narrow" w:hAnsi="Arial Narrow" w:cs="Arial"/>
                <w:sz w:val="20"/>
                <w:szCs w:val="20"/>
              </w:rPr>
              <w:t>№.of</w:t>
            </w:r>
          </w:p>
          <w:p w14:paraId="512D4A8F" w14:textId="77777777" w:rsidR="009324A6" w:rsidRPr="00C174C7" w:rsidRDefault="009324A6" w:rsidP="005733D8">
            <w:pPr>
              <w:keepNext/>
              <w:ind w:left="-108"/>
              <w:jc w:val="both"/>
              <w:rPr>
                <w:rFonts w:ascii="Arial Narrow" w:hAnsi="Arial Narrow" w:cs="Arial"/>
                <w:sz w:val="20"/>
                <w:szCs w:val="20"/>
              </w:rPr>
            </w:pPr>
            <w:r w:rsidRPr="00C174C7">
              <w:rPr>
                <w:rFonts w:ascii="Arial Narrow" w:hAnsi="Arial Narrow" w:cs="Arial"/>
                <w:sz w:val="20"/>
                <w:szCs w:val="20"/>
              </w:rPr>
              <w:t>Rpts</w:t>
            </w:r>
          </w:p>
        </w:tc>
        <w:tc>
          <w:tcPr>
            <w:tcW w:w="923" w:type="pct"/>
            <w:tcBorders>
              <w:bottom w:val="single" w:sz="4" w:space="0" w:color="auto"/>
            </w:tcBorders>
          </w:tcPr>
          <w:p w14:paraId="51923EEB" w14:textId="77777777" w:rsidR="009324A6" w:rsidRPr="00C174C7" w:rsidRDefault="009324A6" w:rsidP="005733D8">
            <w:pPr>
              <w:keepNext/>
              <w:ind w:left="-108"/>
              <w:jc w:val="both"/>
              <w:rPr>
                <w:rFonts w:ascii="Arial Narrow" w:hAnsi="Arial Narrow" w:cs="Arial"/>
                <w:sz w:val="20"/>
                <w:szCs w:val="20"/>
              </w:rPr>
            </w:pPr>
            <w:r w:rsidRPr="00C174C7">
              <w:rPr>
                <w:rFonts w:ascii="Arial Narrow" w:hAnsi="Arial Narrow" w:cs="Arial"/>
                <w:sz w:val="20"/>
                <w:szCs w:val="20"/>
              </w:rPr>
              <w:t>Dispensed Price for Max. Qty</w:t>
            </w:r>
          </w:p>
        </w:tc>
        <w:tc>
          <w:tcPr>
            <w:tcW w:w="1538" w:type="pct"/>
            <w:gridSpan w:val="2"/>
            <w:tcBorders>
              <w:bottom w:val="single" w:sz="4" w:space="0" w:color="auto"/>
            </w:tcBorders>
          </w:tcPr>
          <w:p w14:paraId="72849795" w14:textId="77777777" w:rsidR="009324A6" w:rsidRPr="00C174C7" w:rsidRDefault="009324A6" w:rsidP="005733D8">
            <w:pPr>
              <w:keepNext/>
              <w:rPr>
                <w:rFonts w:ascii="Arial Narrow" w:hAnsi="Arial Narrow" w:cs="Arial"/>
                <w:sz w:val="20"/>
                <w:szCs w:val="20"/>
              </w:rPr>
            </w:pPr>
            <w:r w:rsidRPr="00C174C7">
              <w:rPr>
                <w:rFonts w:ascii="Arial Narrow" w:hAnsi="Arial Narrow" w:cs="Arial"/>
                <w:sz w:val="20"/>
                <w:szCs w:val="20"/>
              </w:rPr>
              <w:t>Proprietary Name and Manufacturer</w:t>
            </w:r>
          </w:p>
        </w:tc>
      </w:tr>
      <w:tr w:rsidR="009324A6" w:rsidRPr="00C174C7" w14:paraId="68F0754C" w14:textId="77777777" w:rsidTr="00745458">
        <w:trPr>
          <w:cantSplit/>
          <w:trHeight w:val="577"/>
        </w:trPr>
        <w:tc>
          <w:tcPr>
            <w:tcW w:w="1770" w:type="pct"/>
            <w:gridSpan w:val="2"/>
          </w:tcPr>
          <w:p w14:paraId="2A3C35CD" w14:textId="53278810" w:rsidR="009324A6" w:rsidRPr="00C174C7" w:rsidRDefault="004C06FA" w:rsidP="005733D8">
            <w:pPr>
              <w:keepNext/>
              <w:ind w:left="-108"/>
              <w:jc w:val="both"/>
              <w:rPr>
                <w:rFonts w:ascii="Arial Narrow" w:hAnsi="Arial Narrow" w:cs="Arial"/>
                <w:smallCaps/>
                <w:sz w:val="20"/>
                <w:szCs w:val="20"/>
              </w:rPr>
            </w:pPr>
            <w:r w:rsidRPr="00C174C7">
              <w:rPr>
                <w:rFonts w:ascii="Arial Narrow" w:hAnsi="Arial Narrow" w:cs="Arial"/>
                <w:smallCaps/>
                <w:sz w:val="20"/>
                <w:szCs w:val="20"/>
              </w:rPr>
              <w:t xml:space="preserve">prednisolone </w:t>
            </w:r>
            <w:r w:rsidR="00A642A3" w:rsidRPr="00C174C7">
              <w:rPr>
                <w:rFonts w:ascii="Arial Narrow" w:hAnsi="Arial Narrow" w:cs="Arial"/>
                <w:smallCaps/>
                <w:sz w:val="20"/>
                <w:szCs w:val="20"/>
              </w:rPr>
              <w:t>with</w:t>
            </w:r>
            <w:r w:rsidRPr="00C174C7">
              <w:rPr>
                <w:rFonts w:ascii="Arial Narrow" w:hAnsi="Arial Narrow" w:cs="Arial"/>
                <w:smallCaps/>
                <w:sz w:val="20"/>
                <w:szCs w:val="20"/>
              </w:rPr>
              <w:t xml:space="preserve"> phenylephrine</w:t>
            </w:r>
          </w:p>
          <w:p w14:paraId="62E8D08A" w14:textId="4C199F62" w:rsidR="009324A6" w:rsidRPr="00C174C7" w:rsidRDefault="004C06FA" w:rsidP="005733D8">
            <w:pPr>
              <w:keepNext/>
              <w:ind w:left="-108"/>
              <w:jc w:val="both"/>
              <w:rPr>
                <w:rFonts w:ascii="Arial Narrow" w:hAnsi="Arial Narrow" w:cs="Arial"/>
                <w:color w:val="FF0000"/>
                <w:sz w:val="20"/>
                <w:szCs w:val="20"/>
              </w:rPr>
            </w:pPr>
            <w:r w:rsidRPr="00C174C7">
              <w:rPr>
                <w:rFonts w:ascii="Arial Narrow" w:hAnsi="Arial Narrow" w:cs="Arial"/>
                <w:sz w:val="20"/>
                <w:szCs w:val="20"/>
              </w:rPr>
              <w:t>prednisolone acetate 1% + phenylephrine hydrochloride 0.12% eye drops, 10 mL</w:t>
            </w:r>
          </w:p>
        </w:tc>
        <w:tc>
          <w:tcPr>
            <w:tcW w:w="308" w:type="pct"/>
          </w:tcPr>
          <w:p w14:paraId="18951A86" w14:textId="77777777" w:rsidR="009324A6" w:rsidRPr="00C174C7" w:rsidRDefault="009324A6" w:rsidP="005733D8">
            <w:pPr>
              <w:keepNext/>
              <w:ind w:left="-108"/>
              <w:jc w:val="both"/>
              <w:rPr>
                <w:rFonts w:ascii="Arial Narrow" w:hAnsi="Arial Narrow" w:cs="Arial"/>
                <w:sz w:val="20"/>
                <w:szCs w:val="20"/>
              </w:rPr>
            </w:pPr>
          </w:p>
          <w:p w14:paraId="2B2738BC" w14:textId="4F637D6E" w:rsidR="009324A6" w:rsidRPr="00C174C7" w:rsidRDefault="00083B60" w:rsidP="005733D8">
            <w:pPr>
              <w:keepNext/>
              <w:ind w:left="-108"/>
              <w:jc w:val="center"/>
              <w:rPr>
                <w:rFonts w:ascii="Arial Narrow" w:hAnsi="Arial Narrow" w:cs="Arial"/>
                <w:sz w:val="20"/>
                <w:szCs w:val="20"/>
              </w:rPr>
            </w:pPr>
            <w:r w:rsidRPr="00C174C7">
              <w:rPr>
                <w:rFonts w:ascii="Arial Narrow" w:hAnsi="Arial Narrow" w:cs="Arial"/>
                <w:sz w:val="20"/>
                <w:szCs w:val="20"/>
              </w:rPr>
              <w:t>1</w:t>
            </w:r>
          </w:p>
        </w:tc>
        <w:tc>
          <w:tcPr>
            <w:tcW w:w="461" w:type="pct"/>
          </w:tcPr>
          <w:p w14:paraId="1317FFB6" w14:textId="77777777" w:rsidR="00A642A3" w:rsidRPr="00C174C7" w:rsidRDefault="00A642A3" w:rsidP="005733D8">
            <w:pPr>
              <w:keepNext/>
              <w:ind w:left="-108"/>
              <w:jc w:val="both"/>
              <w:rPr>
                <w:rFonts w:ascii="Arial Narrow" w:hAnsi="Arial Narrow" w:cs="Arial"/>
                <w:sz w:val="20"/>
                <w:szCs w:val="20"/>
              </w:rPr>
            </w:pPr>
          </w:p>
          <w:p w14:paraId="2A2EE25C" w14:textId="7B12962C" w:rsidR="009324A6" w:rsidRPr="00C174C7" w:rsidRDefault="00083B60" w:rsidP="005733D8">
            <w:pPr>
              <w:keepNext/>
              <w:ind w:left="-108"/>
              <w:jc w:val="center"/>
              <w:rPr>
                <w:rFonts w:ascii="Arial Narrow" w:hAnsi="Arial Narrow" w:cs="Arial"/>
                <w:sz w:val="20"/>
                <w:szCs w:val="20"/>
              </w:rPr>
            </w:pPr>
            <w:r w:rsidRPr="00C174C7">
              <w:rPr>
                <w:rFonts w:ascii="Arial Narrow" w:hAnsi="Arial Narrow" w:cs="Arial"/>
                <w:sz w:val="20"/>
                <w:szCs w:val="20"/>
              </w:rPr>
              <w:t>0</w:t>
            </w:r>
          </w:p>
        </w:tc>
        <w:tc>
          <w:tcPr>
            <w:tcW w:w="923" w:type="pct"/>
          </w:tcPr>
          <w:p w14:paraId="63AEAA87" w14:textId="77777777" w:rsidR="009324A6" w:rsidRPr="00C174C7" w:rsidRDefault="009324A6" w:rsidP="005733D8">
            <w:pPr>
              <w:keepNext/>
              <w:ind w:left="-108"/>
              <w:jc w:val="both"/>
              <w:rPr>
                <w:rFonts w:ascii="Arial Narrow" w:hAnsi="Arial Narrow" w:cs="Arial"/>
                <w:sz w:val="20"/>
                <w:szCs w:val="20"/>
              </w:rPr>
            </w:pPr>
          </w:p>
          <w:p w14:paraId="3ED0E558" w14:textId="258AFF4A" w:rsidR="009324A6" w:rsidRPr="00C174C7" w:rsidRDefault="009324A6" w:rsidP="005733D8">
            <w:pPr>
              <w:keepNext/>
              <w:ind w:left="-108"/>
              <w:jc w:val="both"/>
              <w:rPr>
                <w:rFonts w:ascii="Arial Narrow" w:hAnsi="Arial Narrow" w:cs="Arial"/>
                <w:sz w:val="20"/>
                <w:szCs w:val="20"/>
              </w:rPr>
            </w:pPr>
            <w:r w:rsidRPr="00C174C7">
              <w:rPr>
                <w:rFonts w:ascii="Arial Narrow" w:hAnsi="Arial Narrow" w:cs="Arial"/>
                <w:sz w:val="20"/>
                <w:szCs w:val="20"/>
              </w:rPr>
              <w:t>$</w:t>
            </w:r>
            <w:r w:rsidR="00083B60" w:rsidRPr="00C174C7">
              <w:rPr>
                <w:rFonts w:ascii="Arial Narrow" w:hAnsi="Arial Narrow" w:cs="Arial"/>
                <w:sz w:val="20"/>
                <w:szCs w:val="20"/>
              </w:rPr>
              <w:t>28.35</w:t>
            </w:r>
          </w:p>
        </w:tc>
        <w:tc>
          <w:tcPr>
            <w:tcW w:w="846" w:type="pct"/>
          </w:tcPr>
          <w:p w14:paraId="6EFB34D0" w14:textId="48DA32E5" w:rsidR="009324A6" w:rsidRPr="00C174C7" w:rsidRDefault="00083B60" w:rsidP="005733D8">
            <w:pPr>
              <w:keepNext/>
              <w:jc w:val="both"/>
              <w:rPr>
                <w:rFonts w:ascii="Arial Narrow" w:hAnsi="Arial Narrow" w:cs="Arial"/>
                <w:sz w:val="20"/>
                <w:szCs w:val="20"/>
              </w:rPr>
            </w:pPr>
            <w:r w:rsidRPr="00C174C7">
              <w:rPr>
                <w:rFonts w:ascii="Arial Narrow" w:hAnsi="Arial Narrow" w:cs="Arial"/>
                <w:sz w:val="20"/>
                <w:szCs w:val="20"/>
              </w:rPr>
              <w:t>Prednefrin® Forte</w:t>
            </w:r>
          </w:p>
        </w:tc>
        <w:tc>
          <w:tcPr>
            <w:tcW w:w="692" w:type="pct"/>
          </w:tcPr>
          <w:p w14:paraId="3625F338" w14:textId="731C986F" w:rsidR="009324A6" w:rsidRPr="00C174C7" w:rsidRDefault="00083B60" w:rsidP="005733D8">
            <w:pPr>
              <w:keepNext/>
              <w:jc w:val="both"/>
              <w:rPr>
                <w:rFonts w:ascii="Arial Narrow" w:hAnsi="Arial Narrow" w:cs="Arial"/>
                <w:sz w:val="20"/>
                <w:szCs w:val="20"/>
              </w:rPr>
            </w:pPr>
            <w:r w:rsidRPr="00C174C7">
              <w:rPr>
                <w:rFonts w:ascii="Arial Narrow" w:hAnsi="Arial Narrow" w:cs="Arial"/>
                <w:sz w:val="20"/>
                <w:szCs w:val="20"/>
              </w:rPr>
              <w:t>Allergan Australia Pty Ltd</w:t>
            </w:r>
          </w:p>
        </w:tc>
      </w:tr>
      <w:tr w:rsidR="009324A6" w:rsidRPr="00C174C7" w14:paraId="37277FD0"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0977229C" w14:textId="77777777" w:rsidR="009324A6" w:rsidRPr="00C174C7" w:rsidRDefault="009324A6" w:rsidP="005733D8">
            <w:pPr>
              <w:jc w:val="both"/>
              <w:rPr>
                <w:rFonts w:ascii="Arial Narrow" w:hAnsi="Arial Narrow" w:cs="Arial"/>
                <w:b/>
                <w:sz w:val="20"/>
                <w:szCs w:val="20"/>
              </w:rPr>
            </w:pPr>
            <w:r w:rsidRPr="00C174C7">
              <w:rPr>
                <w:rFonts w:ascii="Arial Narrow" w:hAnsi="Arial Narrow" w:cs="Arial"/>
                <w:b/>
                <w:sz w:val="20"/>
                <w:szCs w:val="20"/>
              </w:rPr>
              <w:t>Category / Program:</w:t>
            </w:r>
          </w:p>
        </w:tc>
        <w:tc>
          <w:tcPr>
            <w:tcW w:w="3462" w:type="pct"/>
            <w:gridSpan w:val="6"/>
            <w:tcBorders>
              <w:top w:val="single" w:sz="4" w:space="0" w:color="auto"/>
              <w:left w:val="single" w:sz="4" w:space="0" w:color="auto"/>
              <w:bottom w:val="single" w:sz="4" w:space="0" w:color="auto"/>
              <w:right w:val="single" w:sz="4" w:space="0" w:color="auto"/>
            </w:tcBorders>
          </w:tcPr>
          <w:p w14:paraId="3A7778B7" w14:textId="77777777" w:rsidR="009324A6" w:rsidRPr="00C174C7" w:rsidRDefault="009324A6" w:rsidP="005733D8">
            <w:pPr>
              <w:jc w:val="both"/>
              <w:rPr>
                <w:rFonts w:ascii="Arial Narrow" w:hAnsi="Arial Narrow" w:cs="Arial"/>
                <w:sz w:val="20"/>
                <w:szCs w:val="20"/>
              </w:rPr>
            </w:pPr>
            <w:r w:rsidRPr="00C174C7">
              <w:rPr>
                <w:rFonts w:ascii="Arial Narrow" w:hAnsi="Arial Narrow" w:cs="Arial"/>
                <w:sz w:val="20"/>
                <w:szCs w:val="20"/>
              </w:rPr>
              <w:t>GENERAL – General Schedule (Code GE)</w:t>
            </w:r>
          </w:p>
          <w:p w14:paraId="16F7AFFF" w14:textId="25D9238A" w:rsidR="009324A6" w:rsidRPr="00C174C7" w:rsidRDefault="009324A6" w:rsidP="005733D8">
            <w:pPr>
              <w:jc w:val="both"/>
              <w:rPr>
                <w:rFonts w:ascii="Arial Narrow" w:hAnsi="Arial Narrow" w:cs="Arial"/>
                <w:sz w:val="20"/>
                <w:szCs w:val="20"/>
              </w:rPr>
            </w:pPr>
          </w:p>
        </w:tc>
      </w:tr>
      <w:tr w:rsidR="009324A6" w:rsidRPr="00C174C7" w14:paraId="039B49B4"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015F0E8E" w14:textId="77777777" w:rsidR="009324A6" w:rsidRPr="00C174C7" w:rsidRDefault="009324A6" w:rsidP="005733D8">
            <w:pPr>
              <w:jc w:val="both"/>
              <w:rPr>
                <w:rFonts w:ascii="Arial Narrow" w:hAnsi="Arial Narrow" w:cs="Arial"/>
                <w:b/>
                <w:sz w:val="20"/>
                <w:szCs w:val="20"/>
              </w:rPr>
            </w:pPr>
            <w:r w:rsidRPr="00C174C7">
              <w:rPr>
                <w:rFonts w:ascii="Arial Narrow" w:hAnsi="Arial Narrow" w:cs="Arial"/>
                <w:b/>
                <w:sz w:val="20"/>
                <w:szCs w:val="20"/>
              </w:rPr>
              <w:t>Prescriber type:</w:t>
            </w:r>
          </w:p>
          <w:p w14:paraId="36BE15B5" w14:textId="77777777" w:rsidR="009324A6" w:rsidRPr="00C174C7" w:rsidRDefault="009324A6" w:rsidP="005733D8">
            <w:pPr>
              <w:jc w:val="both"/>
              <w:rPr>
                <w:rFonts w:ascii="Arial Narrow" w:hAnsi="Arial Narrow" w:cs="Arial"/>
                <w:b/>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14:paraId="35539C78" w14:textId="2FB544AC" w:rsidR="009324A6" w:rsidRPr="00C174C7" w:rsidRDefault="009324A6" w:rsidP="005733D8">
            <w:pPr>
              <w:jc w:val="both"/>
              <w:rPr>
                <w:rFonts w:ascii="Arial Narrow" w:hAnsi="Arial Narrow" w:cs="Arial"/>
                <w:sz w:val="20"/>
                <w:szCs w:val="20"/>
              </w:rPr>
            </w:pPr>
            <w:r w:rsidRPr="00C174C7">
              <w:rPr>
                <w:rFonts w:ascii="Arial Narrow" w:hAnsi="Arial Narrow" w:cs="Arial"/>
                <w:sz w:val="20"/>
                <w:szCs w:val="20"/>
              </w:rPr>
              <w:fldChar w:fldCharType="begin">
                <w:ffData>
                  <w:name w:val="Check1"/>
                  <w:enabled/>
                  <w:calcOnExit w:val="0"/>
                  <w:checkBox>
                    <w:sizeAuto/>
                    <w:default w:val="0"/>
                  </w:checkBox>
                </w:ffData>
              </w:fldChar>
            </w:r>
            <w:r w:rsidRPr="00C174C7">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C174C7">
              <w:rPr>
                <w:rFonts w:ascii="Arial Narrow" w:hAnsi="Arial Narrow" w:cs="Arial"/>
                <w:sz w:val="20"/>
                <w:szCs w:val="20"/>
              </w:rPr>
              <w:fldChar w:fldCharType="end"/>
            </w:r>
            <w:r w:rsidRPr="00C174C7">
              <w:rPr>
                <w:rFonts w:ascii="Arial Narrow" w:hAnsi="Arial Narrow" w:cs="Arial"/>
                <w:sz w:val="20"/>
                <w:szCs w:val="20"/>
              </w:rPr>
              <w:t xml:space="preserve">Dental  </w:t>
            </w:r>
            <w:r w:rsidR="00D3518A" w:rsidRPr="00C174C7">
              <w:rPr>
                <w:rFonts w:ascii="Arial Narrow" w:hAnsi="Arial Narrow" w:cs="Arial"/>
                <w:sz w:val="20"/>
                <w:szCs w:val="20"/>
              </w:rPr>
              <w:fldChar w:fldCharType="begin">
                <w:ffData>
                  <w:name w:val=""/>
                  <w:enabled/>
                  <w:calcOnExit w:val="0"/>
                  <w:checkBox>
                    <w:sizeAuto/>
                    <w:default w:val="1"/>
                  </w:checkBox>
                </w:ffData>
              </w:fldChar>
            </w:r>
            <w:r w:rsidR="00D3518A" w:rsidRPr="00C174C7">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00D3518A" w:rsidRPr="00C174C7">
              <w:rPr>
                <w:rFonts w:ascii="Arial Narrow" w:hAnsi="Arial Narrow" w:cs="Arial"/>
                <w:sz w:val="20"/>
                <w:szCs w:val="20"/>
              </w:rPr>
              <w:fldChar w:fldCharType="end"/>
            </w:r>
            <w:r w:rsidRPr="00C174C7">
              <w:rPr>
                <w:rFonts w:ascii="Arial Narrow" w:hAnsi="Arial Narrow" w:cs="Arial"/>
                <w:sz w:val="20"/>
                <w:szCs w:val="20"/>
              </w:rPr>
              <w:t xml:space="preserve">Medical Practitioners  </w:t>
            </w:r>
            <w:r w:rsidR="00EC7681" w:rsidRPr="00C174C7">
              <w:rPr>
                <w:rFonts w:ascii="Arial Narrow" w:hAnsi="Arial Narrow" w:cs="Arial"/>
                <w:sz w:val="20"/>
                <w:szCs w:val="20"/>
              </w:rPr>
              <w:fldChar w:fldCharType="begin">
                <w:ffData>
                  <w:name w:val="Check3"/>
                  <w:enabled/>
                  <w:calcOnExit w:val="0"/>
                  <w:checkBox>
                    <w:sizeAuto/>
                    <w:default w:val="0"/>
                  </w:checkBox>
                </w:ffData>
              </w:fldChar>
            </w:r>
            <w:r w:rsidR="00EC7681" w:rsidRPr="00C174C7">
              <w:rPr>
                <w:rFonts w:ascii="Arial Narrow" w:hAnsi="Arial Narrow" w:cs="Arial"/>
                <w:sz w:val="20"/>
                <w:szCs w:val="20"/>
              </w:rPr>
              <w:instrText xml:space="preserve"> </w:instrText>
            </w:r>
            <w:bookmarkStart w:id="0" w:name="Check3"/>
            <w:r w:rsidR="00EC7681" w:rsidRPr="00C174C7">
              <w:rPr>
                <w:rFonts w:ascii="Arial Narrow" w:hAnsi="Arial Narrow" w:cs="Arial"/>
                <w:sz w:val="20"/>
                <w:szCs w:val="20"/>
              </w:rPr>
              <w:instrText xml:space="preserve">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00EC7681" w:rsidRPr="00C174C7">
              <w:rPr>
                <w:rFonts w:ascii="Arial Narrow" w:hAnsi="Arial Narrow" w:cs="Arial"/>
                <w:sz w:val="20"/>
                <w:szCs w:val="20"/>
              </w:rPr>
              <w:fldChar w:fldCharType="end"/>
            </w:r>
            <w:bookmarkEnd w:id="0"/>
            <w:r w:rsidRPr="00C174C7">
              <w:rPr>
                <w:rFonts w:ascii="Arial Narrow" w:hAnsi="Arial Narrow" w:cs="Arial"/>
                <w:sz w:val="20"/>
                <w:szCs w:val="20"/>
              </w:rPr>
              <w:t xml:space="preserve">Nurse practitioners  </w:t>
            </w:r>
            <w:r w:rsidR="00C64A1E" w:rsidRPr="00C174C7">
              <w:rPr>
                <w:rFonts w:ascii="Arial Narrow" w:hAnsi="Arial Narrow" w:cs="Arial"/>
                <w:sz w:val="20"/>
                <w:szCs w:val="20"/>
              </w:rPr>
              <w:fldChar w:fldCharType="begin">
                <w:ffData>
                  <w:name w:val=""/>
                  <w:enabled/>
                  <w:calcOnExit w:val="0"/>
                  <w:checkBox>
                    <w:sizeAuto/>
                    <w:default w:val="0"/>
                  </w:checkBox>
                </w:ffData>
              </w:fldChar>
            </w:r>
            <w:r w:rsidR="00C64A1E" w:rsidRPr="00C174C7">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00C64A1E" w:rsidRPr="00C174C7">
              <w:rPr>
                <w:rFonts w:ascii="Arial Narrow" w:hAnsi="Arial Narrow" w:cs="Arial"/>
                <w:sz w:val="20"/>
                <w:szCs w:val="20"/>
              </w:rPr>
              <w:fldChar w:fldCharType="end"/>
            </w:r>
            <w:r w:rsidRPr="00C174C7">
              <w:rPr>
                <w:rFonts w:ascii="Arial Narrow" w:hAnsi="Arial Narrow" w:cs="Arial"/>
                <w:sz w:val="20"/>
                <w:szCs w:val="20"/>
              </w:rPr>
              <w:t>Optometrists</w:t>
            </w:r>
          </w:p>
          <w:p w14:paraId="63A6731F" w14:textId="77777777" w:rsidR="009324A6" w:rsidRPr="00C174C7" w:rsidRDefault="009324A6" w:rsidP="005733D8">
            <w:pPr>
              <w:jc w:val="both"/>
              <w:rPr>
                <w:rFonts w:ascii="Arial Narrow" w:hAnsi="Arial Narrow" w:cs="Arial"/>
                <w:sz w:val="20"/>
                <w:szCs w:val="20"/>
              </w:rPr>
            </w:pPr>
            <w:r w:rsidRPr="00C174C7">
              <w:rPr>
                <w:rFonts w:ascii="Arial Narrow" w:hAnsi="Arial Narrow" w:cs="Arial"/>
                <w:sz w:val="20"/>
                <w:szCs w:val="20"/>
              </w:rPr>
              <w:fldChar w:fldCharType="begin">
                <w:ffData>
                  <w:name w:val="Check5"/>
                  <w:enabled/>
                  <w:calcOnExit w:val="0"/>
                  <w:checkBox>
                    <w:sizeAuto/>
                    <w:default w:val="0"/>
                  </w:checkBox>
                </w:ffData>
              </w:fldChar>
            </w:r>
            <w:r w:rsidRPr="00C174C7">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C174C7">
              <w:rPr>
                <w:rFonts w:ascii="Arial Narrow" w:hAnsi="Arial Narrow" w:cs="Arial"/>
                <w:sz w:val="20"/>
                <w:szCs w:val="20"/>
              </w:rPr>
              <w:fldChar w:fldCharType="end"/>
            </w:r>
            <w:r w:rsidRPr="00C174C7">
              <w:rPr>
                <w:rFonts w:ascii="Arial Narrow" w:hAnsi="Arial Narrow" w:cs="Arial"/>
                <w:sz w:val="20"/>
                <w:szCs w:val="20"/>
              </w:rPr>
              <w:t>Midwives</w:t>
            </w:r>
          </w:p>
        </w:tc>
      </w:tr>
      <w:tr w:rsidR="00AC2B88" w:rsidRPr="00C174C7" w14:paraId="78645665"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1EBCF5FE" w14:textId="47E442FD" w:rsidR="00AC2B88" w:rsidRPr="00C174C7" w:rsidRDefault="00AC2B88" w:rsidP="005733D8">
            <w:pPr>
              <w:jc w:val="both"/>
              <w:rPr>
                <w:rFonts w:ascii="Arial Narrow" w:hAnsi="Arial Narrow" w:cs="Arial"/>
                <w:b/>
                <w:sz w:val="20"/>
                <w:szCs w:val="20"/>
              </w:rPr>
            </w:pPr>
            <w:r w:rsidRPr="00C174C7">
              <w:rPr>
                <w:rFonts w:ascii="Arial Narrow" w:hAnsi="Arial Narrow" w:cs="Arial"/>
                <w:b/>
                <w:sz w:val="20"/>
                <w:szCs w:val="20"/>
              </w:rPr>
              <w:t>Episodicity:</w:t>
            </w:r>
          </w:p>
        </w:tc>
        <w:tc>
          <w:tcPr>
            <w:tcW w:w="3462" w:type="pct"/>
            <w:gridSpan w:val="6"/>
            <w:tcBorders>
              <w:top w:val="single" w:sz="4" w:space="0" w:color="auto"/>
              <w:left w:val="single" w:sz="4" w:space="0" w:color="auto"/>
              <w:bottom w:val="single" w:sz="4" w:space="0" w:color="auto"/>
              <w:right w:val="single" w:sz="4" w:space="0" w:color="auto"/>
            </w:tcBorders>
          </w:tcPr>
          <w:p w14:paraId="5235E378" w14:textId="76F169FA" w:rsidR="00AC2B88" w:rsidRPr="00C174C7" w:rsidRDefault="004731D4" w:rsidP="005733D8">
            <w:pPr>
              <w:jc w:val="both"/>
              <w:rPr>
                <w:rFonts w:ascii="Arial Narrow" w:hAnsi="Arial Narrow" w:cs="Arial"/>
                <w:i/>
                <w:sz w:val="20"/>
                <w:szCs w:val="20"/>
              </w:rPr>
            </w:pPr>
            <w:r w:rsidRPr="00C174C7">
              <w:rPr>
                <w:rFonts w:ascii="Arial Narrow" w:hAnsi="Arial Narrow" w:cs="Arial"/>
                <w:i/>
                <w:sz w:val="20"/>
                <w:szCs w:val="20"/>
              </w:rPr>
              <w:t>Post-operative</w:t>
            </w:r>
          </w:p>
        </w:tc>
      </w:tr>
      <w:tr w:rsidR="00AC2B88" w:rsidRPr="00C174C7" w14:paraId="12382C80"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0FB74532" w14:textId="528B22C5" w:rsidR="00AC2B88" w:rsidRPr="00C174C7" w:rsidRDefault="00AC2B88" w:rsidP="005733D8">
            <w:pPr>
              <w:jc w:val="both"/>
              <w:rPr>
                <w:rFonts w:ascii="Arial Narrow" w:hAnsi="Arial Narrow" w:cs="Arial"/>
                <w:b/>
                <w:sz w:val="20"/>
                <w:szCs w:val="20"/>
              </w:rPr>
            </w:pPr>
            <w:r w:rsidRPr="00C174C7">
              <w:rPr>
                <w:rFonts w:ascii="Arial Narrow" w:hAnsi="Arial Narrow" w:cs="Arial"/>
                <w:b/>
                <w:sz w:val="20"/>
                <w:szCs w:val="20"/>
              </w:rPr>
              <w:t>Severity:</w:t>
            </w:r>
          </w:p>
        </w:tc>
        <w:tc>
          <w:tcPr>
            <w:tcW w:w="3462" w:type="pct"/>
            <w:gridSpan w:val="6"/>
            <w:tcBorders>
              <w:top w:val="single" w:sz="4" w:space="0" w:color="auto"/>
              <w:left w:val="single" w:sz="4" w:space="0" w:color="auto"/>
              <w:bottom w:val="single" w:sz="4" w:space="0" w:color="auto"/>
              <w:right w:val="single" w:sz="4" w:space="0" w:color="auto"/>
            </w:tcBorders>
          </w:tcPr>
          <w:p w14:paraId="04E64D82" w14:textId="3C229328" w:rsidR="00AC2B88" w:rsidRPr="00C174C7" w:rsidRDefault="00AC2B88" w:rsidP="005733D8">
            <w:pPr>
              <w:jc w:val="both"/>
              <w:rPr>
                <w:rFonts w:ascii="Arial Narrow" w:hAnsi="Arial Narrow" w:cs="Arial"/>
                <w:i/>
                <w:sz w:val="20"/>
                <w:szCs w:val="20"/>
              </w:rPr>
            </w:pPr>
          </w:p>
        </w:tc>
      </w:tr>
      <w:tr w:rsidR="009324A6" w:rsidRPr="00C174C7" w14:paraId="1404EA21"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60E0375D" w14:textId="77777777" w:rsidR="009324A6" w:rsidRPr="00C174C7" w:rsidRDefault="009324A6" w:rsidP="005733D8">
            <w:pPr>
              <w:jc w:val="both"/>
              <w:rPr>
                <w:rFonts w:ascii="Arial Narrow" w:hAnsi="Arial Narrow" w:cs="Arial"/>
                <w:b/>
                <w:sz w:val="20"/>
                <w:szCs w:val="20"/>
              </w:rPr>
            </w:pPr>
            <w:r w:rsidRPr="00C174C7">
              <w:rPr>
                <w:rFonts w:ascii="Arial Narrow" w:hAnsi="Arial Narrow" w:cs="Arial"/>
                <w:b/>
                <w:sz w:val="20"/>
                <w:szCs w:val="20"/>
              </w:rPr>
              <w:t>Condition:</w:t>
            </w:r>
          </w:p>
        </w:tc>
        <w:tc>
          <w:tcPr>
            <w:tcW w:w="3462" w:type="pct"/>
            <w:gridSpan w:val="6"/>
            <w:tcBorders>
              <w:top w:val="single" w:sz="4" w:space="0" w:color="auto"/>
              <w:left w:val="single" w:sz="4" w:space="0" w:color="auto"/>
              <w:bottom w:val="single" w:sz="4" w:space="0" w:color="auto"/>
              <w:right w:val="single" w:sz="4" w:space="0" w:color="auto"/>
            </w:tcBorders>
          </w:tcPr>
          <w:p w14:paraId="14B8E3B9" w14:textId="4FA087A5" w:rsidR="009324A6" w:rsidRPr="00C174C7" w:rsidRDefault="004C06FA" w:rsidP="005733D8">
            <w:pPr>
              <w:jc w:val="both"/>
              <w:rPr>
                <w:rFonts w:ascii="Arial Narrow" w:hAnsi="Arial Narrow" w:cs="Arial"/>
                <w:i/>
                <w:sz w:val="20"/>
                <w:szCs w:val="20"/>
              </w:rPr>
            </w:pPr>
            <w:r w:rsidRPr="00C174C7">
              <w:rPr>
                <w:rFonts w:ascii="Arial Narrow" w:hAnsi="Arial Narrow" w:cs="Arial"/>
                <w:i/>
                <w:sz w:val="20"/>
                <w:szCs w:val="20"/>
              </w:rPr>
              <w:t>eye inflammation</w:t>
            </w:r>
          </w:p>
        </w:tc>
      </w:tr>
      <w:tr w:rsidR="009324A6" w:rsidRPr="00C174C7" w14:paraId="5F55F373" w14:textId="77777777" w:rsidTr="00745458">
        <w:trPr>
          <w:cantSplit/>
          <w:trHeight w:val="369"/>
        </w:trPr>
        <w:tc>
          <w:tcPr>
            <w:tcW w:w="1538" w:type="pct"/>
            <w:tcBorders>
              <w:top w:val="single" w:sz="4" w:space="0" w:color="auto"/>
              <w:left w:val="single" w:sz="4" w:space="0" w:color="auto"/>
              <w:bottom w:val="single" w:sz="4" w:space="0" w:color="auto"/>
              <w:right w:val="single" w:sz="4" w:space="0" w:color="auto"/>
            </w:tcBorders>
          </w:tcPr>
          <w:p w14:paraId="1B96B720" w14:textId="77777777" w:rsidR="009324A6" w:rsidRPr="00C174C7" w:rsidRDefault="009324A6" w:rsidP="005733D8">
            <w:pPr>
              <w:jc w:val="both"/>
              <w:rPr>
                <w:rFonts w:ascii="Arial Narrow" w:hAnsi="Arial Narrow" w:cs="Arial"/>
                <w:b/>
                <w:sz w:val="20"/>
                <w:szCs w:val="20"/>
              </w:rPr>
            </w:pPr>
            <w:r w:rsidRPr="00C174C7">
              <w:rPr>
                <w:rFonts w:ascii="Arial Narrow" w:hAnsi="Arial Narrow" w:cs="Arial"/>
                <w:b/>
                <w:sz w:val="20"/>
                <w:szCs w:val="20"/>
              </w:rPr>
              <w:t>PBS Indication:</w:t>
            </w:r>
          </w:p>
          <w:p w14:paraId="7FFC16DF" w14:textId="77777777" w:rsidR="009324A6" w:rsidRPr="00C174C7" w:rsidRDefault="009324A6" w:rsidP="005733D8">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14:paraId="29F7E286" w14:textId="77777777" w:rsidR="00AC2B88" w:rsidRPr="00C174C7" w:rsidRDefault="00AC2B88" w:rsidP="005733D8">
            <w:pPr>
              <w:jc w:val="both"/>
              <w:rPr>
                <w:rFonts w:ascii="Arial Narrow" w:hAnsi="Arial Narrow" w:cs="Arial"/>
                <w:sz w:val="20"/>
                <w:szCs w:val="20"/>
              </w:rPr>
            </w:pPr>
            <w:r w:rsidRPr="00C174C7">
              <w:rPr>
                <w:rFonts w:ascii="Arial Narrow" w:hAnsi="Arial Narrow" w:cs="Arial"/>
                <w:strike/>
                <w:sz w:val="20"/>
                <w:szCs w:val="20"/>
              </w:rPr>
              <w:t>For treatment of a patient identifying as Aboriginal or Torres Strait Islander post- operatively cataract surgery</w:t>
            </w:r>
            <w:r w:rsidRPr="00C174C7">
              <w:rPr>
                <w:rFonts w:ascii="Arial Narrow" w:hAnsi="Arial Narrow" w:cs="Arial"/>
                <w:sz w:val="20"/>
                <w:szCs w:val="20"/>
              </w:rPr>
              <w:t xml:space="preserve"> </w:t>
            </w:r>
          </w:p>
          <w:p w14:paraId="05065776" w14:textId="6F0507D1" w:rsidR="009324A6" w:rsidRPr="00C174C7" w:rsidRDefault="004731D4" w:rsidP="005733D8">
            <w:pPr>
              <w:jc w:val="both"/>
              <w:rPr>
                <w:rFonts w:ascii="Arial Narrow" w:hAnsi="Arial Narrow" w:cs="Arial"/>
                <w:i/>
                <w:sz w:val="20"/>
                <w:szCs w:val="20"/>
              </w:rPr>
            </w:pPr>
            <w:r w:rsidRPr="00C174C7">
              <w:rPr>
                <w:rFonts w:ascii="Arial Narrow" w:hAnsi="Arial Narrow" w:cs="Arial"/>
                <w:i/>
                <w:sz w:val="20"/>
                <w:szCs w:val="20"/>
              </w:rPr>
              <w:t>Post-operative eye-inflammation</w:t>
            </w:r>
            <w:r w:rsidR="00DD1A77" w:rsidRPr="00C174C7">
              <w:rPr>
                <w:rFonts w:ascii="Arial Narrow" w:hAnsi="Arial Narrow" w:cs="Arial"/>
                <w:i/>
                <w:sz w:val="20"/>
                <w:szCs w:val="20"/>
              </w:rPr>
              <w:t xml:space="preserve"> [new concept]</w:t>
            </w:r>
          </w:p>
        </w:tc>
      </w:tr>
      <w:tr w:rsidR="009324A6" w:rsidRPr="00C174C7" w14:paraId="2EB16F68"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A8A5EB5" w14:textId="77777777" w:rsidR="009324A6" w:rsidRPr="00C174C7" w:rsidRDefault="009324A6" w:rsidP="005733D8">
            <w:pPr>
              <w:jc w:val="both"/>
              <w:rPr>
                <w:rFonts w:ascii="Arial Narrow" w:hAnsi="Arial Narrow" w:cs="Arial"/>
                <w:b/>
                <w:sz w:val="20"/>
                <w:szCs w:val="20"/>
              </w:rPr>
            </w:pPr>
            <w:r w:rsidRPr="00C174C7">
              <w:rPr>
                <w:rFonts w:ascii="Arial Narrow" w:hAnsi="Arial Narrow" w:cs="Arial"/>
                <w:b/>
                <w:sz w:val="20"/>
                <w:szCs w:val="20"/>
              </w:rPr>
              <w:t>Restriction Level / Method:</w:t>
            </w:r>
          </w:p>
          <w:p w14:paraId="696009B6" w14:textId="77777777" w:rsidR="009324A6" w:rsidRPr="00C174C7" w:rsidRDefault="009324A6" w:rsidP="005733D8">
            <w:pPr>
              <w:jc w:val="both"/>
              <w:rPr>
                <w:rFonts w:ascii="Arial Narrow" w:hAnsi="Arial Narrow" w:cs="Arial"/>
                <w:i/>
                <w:sz w:val="20"/>
                <w:szCs w:val="20"/>
              </w:rPr>
            </w:pPr>
          </w:p>
          <w:p w14:paraId="246181A8" w14:textId="77777777" w:rsidR="009324A6" w:rsidRPr="00C174C7" w:rsidRDefault="009324A6" w:rsidP="005733D8">
            <w:pPr>
              <w:jc w:val="both"/>
              <w:rPr>
                <w:rFonts w:ascii="Arial Narrow" w:hAnsi="Arial Narrow" w:cs="Arial"/>
                <w:i/>
                <w:sz w:val="20"/>
                <w:szCs w:val="20"/>
              </w:rPr>
            </w:pPr>
          </w:p>
          <w:p w14:paraId="4BB7CB25" w14:textId="77777777" w:rsidR="009324A6" w:rsidRPr="00C174C7" w:rsidRDefault="009324A6" w:rsidP="005733D8">
            <w:pPr>
              <w:jc w:val="both"/>
              <w:rPr>
                <w:rFonts w:ascii="Arial Narrow" w:hAnsi="Arial Narrow" w:cs="Arial"/>
                <w:i/>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14:paraId="64F91E5C" w14:textId="0FFAA581" w:rsidR="009324A6" w:rsidRPr="00C174C7" w:rsidRDefault="009030EE" w:rsidP="005733D8">
            <w:pPr>
              <w:jc w:val="both"/>
              <w:rPr>
                <w:rFonts w:ascii="Arial Narrow" w:hAnsi="Arial Narrow" w:cs="Arial"/>
                <w:sz w:val="20"/>
                <w:szCs w:val="20"/>
              </w:rPr>
            </w:pPr>
            <w:r w:rsidRPr="00C174C7">
              <w:rPr>
                <w:rFonts w:ascii="Arial Narrow" w:hAnsi="Arial Narrow" w:cs="Arial"/>
                <w:sz w:val="20"/>
                <w:szCs w:val="20"/>
              </w:rPr>
              <w:fldChar w:fldCharType="begin">
                <w:ffData>
                  <w:name w:val="Check1"/>
                  <w:enabled/>
                  <w:calcOnExit w:val="0"/>
                  <w:checkBox>
                    <w:sizeAuto/>
                    <w:default w:val="1"/>
                  </w:checkBox>
                </w:ffData>
              </w:fldChar>
            </w:r>
            <w:r w:rsidRPr="00C174C7">
              <w:rPr>
                <w:rFonts w:ascii="Arial Narrow" w:hAnsi="Arial Narrow" w:cs="Arial"/>
                <w:sz w:val="20"/>
                <w:szCs w:val="20"/>
              </w:rPr>
              <w:instrText xml:space="preserve"> </w:instrText>
            </w:r>
            <w:bookmarkStart w:id="1" w:name="Check1"/>
            <w:r w:rsidRPr="00C174C7">
              <w:rPr>
                <w:rFonts w:ascii="Arial Narrow" w:hAnsi="Arial Narrow" w:cs="Arial"/>
                <w:sz w:val="20"/>
                <w:szCs w:val="20"/>
              </w:rPr>
              <w:instrText xml:space="preserve">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C174C7">
              <w:rPr>
                <w:rFonts w:ascii="Arial Narrow" w:hAnsi="Arial Narrow" w:cs="Arial"/>
                <w:sz w:val="20"/>
                <w:szCs w:val="20"/>
              </w:rPr>
              <w:fldChar w:fldCharType="end"/>
            </w:r>
            <w:bookmarkEnd w:id="1"/>
            <w:r w:rsidR="009324A6" w:rsidRPr="00C174C7">
              <w:rPr>
                <w:rFonts w:ascii="Arial Narrow" w:hAnsi="Arial Narrow" w:cs="Arial"/>
                <w:sz w:val="20"/>
                <w:szCs w:val="20"/>
              </w:rPr>
              <w:t>Restricted benefit</w:t>
            </w:r>
          </w:p>
          <w:p w14:paraId="440E9A0B" w14:textId="77777777" w:rsidR="009324A6" w:rsidRPr="00C174C7" w:rsidRDefault="009324A6" w:rsidP="005733D8">
            <w:pPr>
              <w:jc w:val="both"/>
              <w:rPr>
                <w:rFonts w:ascii="Arial Narrow" w:hAnsi="Arial Narrow" w:cs="Arial"/>
                <w:sz w:val="20"/>
                <w:szCs w:val="20"/>
              </w:rPr>
            </w:pPr>
            <w:r w:rsidRPr="00C174C7">
              <w:rPr>
                <w:rFonts w:ascii="Arial Narrow" w:hAnsi="Arial Narrow" w:cs="Arial"/>
                <w:sz w:val="20"/>
                <w:szCs w:val="20"/>
              </w:rPr>
              <w:fldChar w:fldCharType="begin">
                <w:ffData>
                  <w:name w:val=""/>
                  <w:enabled/>
                  <w:calcOnExit w:val="0"/>
                  <w:checkBox>
                    <w:sizeAuto/>
                    <w:default w:val="0"/>
                  </w:checkBox>
                </w:ffData>
              </w:fldChar>
            </w:r>
            <w:r w:rsidRPr="00C174C7">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C174C7">
              <w:rPr>
                <w:rFonts w:ascii="Arial Narrow" w:hAnsi="Arial Narrow" w:cs="Arial"/>
                <w:sz w:val="20"/>
                <w:szCs w:val="20"/>
              </w:rPr>
              <w:fldChar w:fldCharType="end"/>
            </w:r>
            <w:r w:rsidRPr="00C174C7">
              <w:rPr>
                <w:rFonts w:ascii="Arial Narrow" w:hAnsi="Arial Narrow" w:cs="Arial"/>
                <w:sz w:val="20"/>
                <w:szCs w:val="20"/>
              </w:rPr>
              <w:t>Authority Required – In Writing</w:t>
            </w:r>
          </w:p>
          <w:p w14:paraId="7F38840A" w14:textId="77777777" w:rsidR="009324A6" w:rsidRPr="00C174C7" w:rsidRDefault="009324A6" w:rsidP="005733D8">
            <w:pPr>
              <w:jc w:val="both"/>
              <w:rPr>
                <w:rFonts w:ascii="Arial Narrow" w:hAnsi="Arial Narrow" w:cs="Arial"/>
                <w:sz w:val="20"/>
                <w:szCs w:val="20"/>
              </w:rPr>
            </w:pPr>
            <w:r w:rsidRPr="00C174C7">
              <w:rPr>
                <w:rFonts w:ascii="Arial Narrow" w:hAnsi="Arial Narrow" w:cs="Arial"/>
                <w:sz w:val="20"/>
                <w:szCs w:val="20"/>
              </w:rPr>
              <w:fldChar w:fldCharType="begin">
                <w:ffData>
                  <w:name w:val="Check3"/>
                  <w:enabled/>
                  <w:calcOnExit w:val="0"/>
                  <w:checkBox>
                    <w:sizeAuto/>
                    <w:default w:val="0"/>
                  </w:checkBox>
                </w:ffData>
              </w:fldChar>
            </w:r>
            <w:r w:rsidRPr="00C174C7">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C174C7">
              <w:rPr>
                <w:rFonts w:ascii="Arial Narrow" w:hAnsi="Arial Narrow" w:cs="Arial"/>
                <w:sz w:val="20"/>
                <w:szCs w:val="20"/>
              </w:rPr>
              <w:fldChar w:fldCharType="end"/>
            </w:r>
            <w:r w:rsidRPr="00C174C7">
              <w:rPr>
                <w:rFonts w:ascii="Arial Narrow" w:hAnsi="Arial Narrow" w:cs="Arial"/>
                <w:sz w:val="20"/>
                <w:szCs w:val="20"/>
              </w:rPr>
              <w:t>Authority Required – Telephone/Electronic/Emergency</w:t>
            </w:r>
          </w:p>
          <w:p w14:paraId="362E70FD" w14:textId="77777777" w:rsidR="009324A6" w:rsidRPr="00C174C7" w:rsidRDefault="009324A6" w:rsidP="005733D8">
            <w:pPr>
              <w:jc w:val="both"/>
              <w:rPr>
                <w:rFonts w:ascii="Arial Narrow" w:hAnsi="Arial Narrow" w:cs="Arial"/>
                <w:sz w:val="20"/>
                <w:szCs w:val="20"/>
              </w:rPr>
            </w:pPr>
            <w:r w:rsidRPr="00C174C7">
              <w:rPr>
                <w:rFonts w:ascii="Arial Narrow" w:hAnsi="Arial Narrow" w:cs="Arial"/>
                <w:sz w:val="20"/>
                <w:szCs w:val="20"/>
              </w:rPr>
              <w:fldChar w:fldCharType="begin">
                <w:ffData>
                  <w:name w:val="Check5"/>
                  <w:enabled/>
                  <w:calcOnExit w:val="0"/>
                  <w:checkBox>
                    <w:sizeAuto/>
                    <w:default w:val="0"/>
                  </w:checkBox>
                </w:ffData>
              </w:fldChar>
            </w:r>
            <w:r w:rsidRPr="00C174C7">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C174C7">
              <w:rPr>
                <w:rFonts w:ascii="Arial Narrow" w:hAnsi="Arial Narrow" w:cs="Arial"/>
                <w:sz w:val="20"/>
                <w:szCs w:val="20"/>
              </w:rPr>
              <w:fldChar w:fldCharType="end"/>
            </w:r>
            <w:r w:rsidRPr="00C174C7">
              <w:rPr>
                <w:rFonts w:ascii="Arial Narrow" w:hAnsi="Arial Narrow" w:cs="Arial"/>
                <w:sz w:val="20"/>
                <w:szCs w:val="20"/>
              </w:rPr>
              <w:t>Streamlined</w:t>
            </w:r>
          </w:p>
        </w:tc>
      </w:tr>
      <w:tr w:rsidR="009324A6" w:rsidRPr="00C174C7" w14:paraId="7012D01B" w14:textId="77777777" w:rsidTr="00745458">
        <w:trPr>
          <w:cantSplit/>
          <w:trHeight w:val="1040"/>
        </w:trPr>
        <w:tc>
          <w:tcPr>
            <w:tcW w:w="1538" w:type="pct"/>
            <w:tcBorders>
              <w:top w:val="single" w:sz="4" w:space="0" w:color="auto"/>
              <w:left w:val="single" w:sz="4" w:space="0" w:color="auto"/>
              <w:bottom w:val="single" w:sz="4" w:space="0" w:color="auto"/>
              <w:right w:val="single" w:sz="4" w:space="0" w:color="auto"/>
            </w:tcBorders>
          </w:tcPr>
          <w:p w14:paraId="227EB3E2" w14:textId="77777777" w:rsidR="009324A6" w:rsidRPr="00C174C7" w:rsidRDefault="009324A6" w:rsidP="005733D8">
            <w:pPr>
              <w:jc w:val="both"/>
              <w:rPr>
                <w:rFonts w:ascii="Arial Narrow" w:hAnsi="Arial Narrow" w:cs="Arial"/>
                <w:b/>
                <w:sz w:val="20"/>
                <w:szCs w:val="20"/>
              </w:rPr>
            </w:pPr>
            <w:r w:rsidRPr="00C174C7">
              <w:rPr>
                <w:rFonts w:ascii="Arial Narrow" w:hAnsi="Arial Narrow" w:cs="Arial"/>
                <w:b/>
                <w:sz w:val="20"/>
                <w:szCs w:val="20"/>
              </w:rPr>
              <w:t>Population criteria:</w:t>
            </w:r>
          </w:p>
          <w:p w14:paraId="417D800C" w14:textId="063A8BE9" w:rsidR="009324A6" w:rsidRPr="00C174C7" w:rsidRDefault="009324A6" w:rsidP="005733D8">
            <w:pPr>
              <w:rPr>
                <w:rFonts w:ascii="Arial Narrow" w:hAnsi="Arial Narrow" w:cs="Arial"/>
                <w:sz w:val="20"/>
                <w:szCs w:val="20"/>
              </w:rPr>
            </w:pPr>
          </w:p>
        </w:tc>
        <w:tc>
          <w:tcPr>
            <w:tcW w:w="3462" w:type="pct"/>
            <w:gridSpan w:val="6"/>
            <w:tcBorders>
              <w:top w:val="single" w:sz="4" w:space="0" w:color="auto"/>
              <w:left w:val="single" w:sz="4" w:space="0" w:color="auto"/>
              <w:bottom w:val="single" w:sz="4" w:space="0" w:color="auto"/>
              <w:right w:val="single" w:sz="4" w:space="0" w:color="auto"/>
            </w:tcBorders>
          </w:tcPr>
          <w:p w14:paraId="750C3324" w14:textId="6319FEC8" w:rsidR="009324A6" w:rsidRPr="00C174C7" w:rsidRDefault="008B15B3" w:rsidP="005733D8">
            <w:pPr>
              <w:jc w:val="both"/>
              <w:rPr>
                <w:rFonts w:ascii="Arial Narrow" w:hAnsi="Arial Narrow" w:cs="Arial"/>
                <w:sz w:val="20"/>
                <w:szCs w:val="20"/>
              </w:rPr>
            </w:pPr>
            <w:r w:rsidRPr="00C174C7">
              <w:rPr>
                <w:rFonts w:ascii="Arial Narrow" w:hAnsi="Arial Narrow" w:cs="Arial"/>
                <w:i/>
                <w:sz w:val="20"/>
                <w:szCs w:val="20"/>
              </w:rPr>
              <w:t xml:space="preserve">Patient must </w:t>
            </w:r>
            <w:r w:rsidR="00CA2EB1" w:rsidRPr="00C174C7">
              <w:rPr>
                <w:rFonts w:ascii="Arial Narrow" w:hAnsi="Arial Narrow" w:cs="Arial"/>
                <w:i/>
                <w:sz w:val="20"/>
                <w:szCs w:val="20"/>
              </w:rPr>
              <w:t xml:space="preserve">identify as </w:t>
            </w:r>
            <w:r w:rsidRPr="00C174C7">
              <w:rPr>
                <w:rFonts w:ascii="Arial Narrow" w:hAnsi="Arial Narrow" w:cs="Arial"/>
                <w:i/>
                <w:sz w:val="20"/>
                <w:szCs w:val="20"/>
              </w:rPr>
              <w:t>Aboriginal or a Torres Strait Islander</w:t>
            </w:r>
            <w:r w:rsidR="00DD1A77" w:rsidRPr="00C174C7">
              <w:rPr>
                <w:rFonts w:ascii="Arial Narrow" w:hAnsi="Arial Narrow" w:cs="Arial"/>
                <w:i/>
                <w:sz w:val="20"/>
                <w:szCs w:val="20"/>
              </w:rPr>
              <w:t xml:space="preserve"> [18066]</w:t>
            </w:r>
          </w:p>
        </w:tc>
      </w:tr>
      <w:tr w:rsidR="004731D4" w:rsidRPr="00C174C7" w14:paraId="654B91D3" w14:textId="77777777" w:rsidTr="00745458">
        <w:trPr>
          <w:cantSplit/>
          <w:trHeight w:val="1040"/>
        </w:trPr>
        <w:tc>
          <w:tcPr>
            <w:tcW w:w="1538" w:type="pct"/>
            <w:tcBorders>
              <w:top w:val="single" w:sz="4" w:space="0" w:color="auto"/>
              <w:left w:val="single" w:sz="4" w:space="0" w:color="auto"/>
              <w:bottom w:val="single" w:sz="4" w:space="0" w:color="auto"/>
              <w:right w:val="single" w:sz="4" w:space="0" w:color="auto"/>
            </w:tcBorders>
          </w:tcPr>
          <w:p w14:paraId="6B70DF42" w14:textId="39AD4E2B" w:rsidR="004731D4" w:rsidRPr="00C174C7" w:rsidRDefault="004731D4" w:rsidP="005733D8">
            <w:pPr>
              <w:jc w:val="both"/>
              <w:rPr>
                <w:rFonts w:ascii="Arial Narrow" w:hAnsi="Arial Narrow" w:cs="Arial"/>
                <w:b/>
                <w:sz w:val="20"/>
                <w:szCs w:val="20"/>
              </w:rPr>
            </w:pPr>
            <w:r w:rsidRPr="00C174C7">
              <w:rPr>
                <w:rFonts w:ascii="Arial Narrow" w:hAnsi="Arial Narrow" w:cs="Arial"/>
                <w:b/>
                <w:sz w:val="20"/>
                <w:szCs w:val="20"/>
              </w:rPr>
              <w:lastRenderedPageBreak/>
              <w:t>Clinical criteria</w:t>
            </w:r>
          </w:p>
        </w:tc>
        <w:tc>
          <w:tcPr>
            <w:tcW w:w="3462" w:type="pct"/>
            <w:gridSpan w:val="6"/>
            <w:tcBorders>
              <w:top w:val="single" w:sz="4" w:space="0" w:color="auto"/>
              <w:left w:val="single" w:sz="4" w:space="0" w:color="auto"/>
              <w:bottom w:val="single" w:sz="4" w:space="0" w:color="auto"/>
              <w:right w:val="single" w:sz="4" w:space="0" w:color="auto"/>
            </w:tcBorders>
          </w:tcPr>
          <w:p w14:paraId="05A44452" w14:textId="77777777" w:rsidR="004731D4" w:rsidRPr="00C174C7" w:rsidRDefault="004731D4" w:rsidP="005733D8">
            <w:pPr>
              <w:jc w:val="both"/>
              <w:rPr>
                <w:rFonts w:ascii="Arial Narrow" w:hAnsi="Arial Narrow" w:cs="Arial"/>
                <w:i/>
                <w:sz w:val="20"/>
                <w:szCs w:val="20"/>
              </w:rPr>
            </w:pPr>
            <w:r w:rsidRPr="00C174C7">
              <w:rPr>
                <w:rFonts w:ascii="Arial Narrow" w:hAnsi="Arial Narrow" w:cs="Arial"/>
                <w:i/>
                <w:sz w:val="20"/>
                <w:szCs w:val="20"/>
              </w:rPr>
              <w:t xml:space="preserve">Patient must have had a cataract removed in the treated eye, or </w:t>
            </w:r>
          </w:p>
          <w:p w14:paraId="09DDC13A" w14:textId="77777777" w:rsidR="004731D4" w:rsidRPr="00C174C7" w:rsidRDefault="004731D4" w:rsidP="005733D8">
            <w:pPr>
              <w:jc w:val="both"/>
              <w:rPr>
                <w:rFonts w:ascii="Arial Narrow" w:hAnsi="Arial Narrow" w:cs="Arial"/>
                <w:i/>
                <w:sz w:val="20"/>
                <w:szCs w:val="20"/>
              </w:rPr>
            </w:pPr>
            <w:r w:rsidRPr="00C174C7">
              <w:rPr>
                <w:rFonts w:ascii="Arial Narrow" w:hAnsi="Arial Narrow" w:cs="Arial"/>
                <w:i/>
                <w:sz w:val="20"/>
                <w:szCs w:val="20"/>
              </w:rPr>
              <w:t>Patient must be scheduled for cataract surgery in the treated eye; [19254]</w:t>
            </w:r>
          </w:p>
          <w:p w14:paraId="6431CB27" w14:textId="77777777" w:rsidR="004731D4" w:rsidRPr="00C174C7" w:rsidRDefault="004731D4" w:rsidP="005733D8">
            <w:pPr>
              <w:jc w:val="both"/>
              <w:rPr>
                <w:rFonts w:ascii="Arial Narrow" w:hAnsi="Arial Narrow" w:cs="Arial"/>
                <w:i/>
                <w:sz w:val="20"/>
                <w:szCs w:val="20"/>
              </w:rPr>
            </w:pPr>
          </w:p>
        </w:tc>
      </w:tr>
    </w:tbl>
    <w:p w14:paraId="7CE31F72" w14:textId="56C91125" w:rsidR="00EC2720" w:rsidRPr="00AB2DA1" w:rsidRDefault="00EC2720" w:rsidP="005733D8">
      <w:pPr>
        <w:spacing w:before="120"/>
        <w:ind w:left="709"/>
        <w:rPr>
          <w:rFonts w:asciiTheme="minorHAnsi" w:hAnsiTheme="minorHAnsi"/>
          <w:i/>
        </w:rPr>
      </w:pPr>
      <w:r w:rsidRPr="00AB2DA1">
        <w:rPr>
          <w:rFonts w:asciiTheme="minorHAnsi" w:hAnsiTheme="minorHAnsi"/>
          <w:i/>
        </w:rPr>
        <w:t xml:space="preserve">For more detail on PBAC’s view, see section </w:t>
      </w:r>
      <w:r w:rsidR="000310BE" w:rsidRPr="00AB2DA1">
        <w:rPr>
          <w:rFonts w:asciiTheme="minorHAnsi" w:hAnsiTheme="minorHAnsi"/>
          <w:i/>
        </w:rPr>
        <w:t>6</w:t>
      </w:r>
      <w:r w:rsidRPr="00AB2DA1">
        <w:rPr>
          <w:rFonts w:asciiTheme="minorHAnsi" w:hAnsiTheme="minorHAnsi"/>
          <w:i/>
        </w:rPr>
        <w:t xml:space="preserve"> PBAC outcome.</w:t>
      </w:r>
    </w:p>
    <w:p w14:paraId="42B6F60C" w14:textId="0A1D3CDC" w:rsidR="00C603D4" w:rsidRPr="00AB2DA1" w:rsidRDefault="00CE10C4" w:rsidP="005733D8">
      <w:pPr>
        <w:pStyle w:val="2Sections"/>
      </w:pPr>
      <w:r w:rsidRPr="00AB2DA1">
        <w:t>Background</w:t>
      </w:r>
      <w:r w:rsidR="00771D07" w:rsidRPr="00AB2DA1">
        <w:t xml:space="preserve"> </w:t>
      </w:r>
    </w:p>
    <w:p w14:paraId="54F85AF3" w14:textId="448A3B6B" w:rsidR="009855A8" w:rsidRPr="00AB2DA1" w:rsidRDefault="000C0D2B" w:rsidP="005733D8">
      <w:pPr>
        <w:pStyle w:val="3Bodytext"/>
        <w:rPr>
          <w:i/>
        </w:rPr>
      </w:pPr>
      <w:r w:rsidRPr="00AB2DA1">
        <w:t>Prednisolone with phenylephrine</w:t>
      </w:r>
      <w:r w:rsidR="009855A8" w:rsidRPr="00AB2DA1">
        <w:t xml:space="preserve"> was TGA registered on </w:t>
      </w:r>
      <w:r w:rsidR="00352C3B" w:rsidRPr="00AB2DA1">
        <w:t>14 October 1991</w:t>
      </w:r>
      <w:r w:rsidR="009855A8" w:rsidRPr="00AB2DA1">
        <w:t xml:space="preserve"> for</w:t>
      </w:r>
      <w:r w:rsidRPr="00AB2DA1">
        <w:t xml:space="preserve"> severe inflammation (non-infectious) of the eye, such as acute iritis, iridocyclitis, scleritis, episcleritis, uveitis, resistant ocular allergy and inflammation following surgery (where no infectious aetiology is suspected), particularly where unusually rapid control of the inflammation is desired. </w:t>
      </w:r>
    </w:p>
    <w:p w14:paraId="11C60FE2" w14:textId="672A0189" w:rsidR="004C16E1" w:rsidRPr="00AB2DA1" w:rsidRDefault="004C16E1" w:rsidP="005733D8">
      <w:pPr>
        <w:pStyle w:val="3Bodytext"/>
        <w:rPr>
          <w:i/>
          <w:color w:val="FF0000"/>
        </w:rPr>
      </w:pPr>
      <w:r w:rsidRPr="00AB2DA1">
        <w:t xml:space="preserve">Prednisolone with phenylephrine </w:t>
      </w:r>
      <w:r w:rsidRPr="00AB2DA1">
        <w:rPr>
          <w:color w:val="000000" w:themeColor="text1"/>
        </w:rPr>
        <w:t xml:space="preserve">is currently listed on the PBS as a Restricted Benefit for the treatment of corneal grafts or uveitis. </w:t>
      </w:r>
    </w:p>
    <w:p w14:paraId="5189C7C0" w14:textId="347E5D98" w:rsidR="005C2644" w:rsidRPr="00AB2DA1" w:rsidRDefault="005C2644" w:rsidP="005733D8">
      <w:pPr>
        <w:pStyle w:val="3Bodytext"/>
        <w:rPr>
          <w:i/>
        </w:rPr>
      </w:pPr>
      <w:r w:rsidRPr="00AB2DA1">
        <w:t>On 1 July 2010, the Closing the Gap PBS Co-payment Measure</w:t>
      </w:r>
      <w:r w:rsidR="0021314E" w:rsidRPr="00AB2DA1">
        <w:rPr>
          <w:rStyle w:val="FootnoteReference"/>
        </w:rPr>
        <w:footnoteReference w:id="1"/>
      </w:r>
      <w:r w:rsidRPr="00AB2DA1">
        <w:t xml:space="preserve"> was implemented to reduce the cost of PBS medicines for eligible Aboriginal and Torres Strait Islander people living with, or at risk of, chronic disease. When obtaining PBS medicines at their </w:t>
      </w:r>
      <w:r w:rsidRPr="00C174C7">
        <w:t>local pharmacy, eligible general patients who would normally pay the full PBS co-payment (as at 1 January 2019, $40.30 per item) pay the concessional rate (as at 1</w:t>
      </w:r>
      <w:r w:rsidR="00C0565E" w:rsidRPr="00C174C7">
        <w:t> </w:t>
      </w:r>
      <w:r w:rsidRPr="00C174C7">
        <w:t>January 2019, $6.50 per item). Those who would normally pay the concessional price receive their PBS medicines without being required to pay a PBS co</w:t>
      </w:r>
      <w:r w:rsidRPr="00C174C7">
        <w:rPr>
          <w:rFonts w:ascii="Cambria Math" w:hAnsi="Cambria Math" w:cs="Cambria Math"/>
        </w:rPr>
        <w:t>‑</w:t>
      </w:r>
      <w:r w:rsidRPr="00C174C7">
        <w:t>payment.</w:t>
      </w:r>
      <w:r w:rsidRPr="00AB2DA1">
        <w:t xml:space="preserve"> </w:t>
      </w:r>
    </w:p>
    <w:p w14:paraId="5EA5AFD1" w14:textId="6ED96A81" w:rsidR="00EC2720" w:rsidRPr="00AB2DA1" w:rsidRDefault="00EC2720" w:rsidP="005733D8">
      <w:pPr>
        <w:pStyle w:val="Bodytextitalics"/>
        <w:numPr>
          <w:ilvl w:val="0"/>
          <w:numId w:val="0"/>
        </w:numPr>
        <w:ind w:left="720"/>
      </w:pPr>
      <w:r w:rsidRPr="00AB2DA1">
        <w:t xml:space="preserve">For more detail on PBAC’s view, see section </w:t>
      </w:r>
      <w:r w:rsidR="000310BE" w:rsidRPr="00AB2DA1">
        <w:t>6</w:t>
      </w:r>
      <w:r w:rsidRPr="00AB2DA1">
        <w:t xml:space="preserve"> PBAC outcome.</w:t>
      </w:r>
    </w:p>
    <w:p w14:paraId="58EFB38F" w14:textId="5D2D9DF8" w:rsidR="005A3173" w:rsidRPr="00AB2DA1" w:rsidRDefault="005A3173" w:rsidP="005733D8">
      <w:pPr>
        <w:pStyle w:val="2Sections"/>
        <w:keepNext/>
        <w:rPr>
          <w:color w:val="FF0000"/>
        </w:rPr>
      </w:pPr>
      <w:r w:rsidRPr="00AB2DA1">
        <w:t>Comparator</w:t>
      </w:r>
      <w:r w:rsidR="0099465B" w:rsidRPr="00AB2DA1">
        <w:t xml:space="preserve"> </w:t>
      </w:r>
    </w:p>
    <w:p w14:paraId="58EC6A3F" w14:textId="022E24D7" w:rsidR="009F5FA6" w:rsidRPr="00AB2DA1" w:rsidRDefault="00FF2801" w:rsidP="005733D8">
      <w:pPr>
        <w:pStyle w:val="3Bodytext"/>
        <w:rPr>
          <w:i/>
        </w:rPr>
      </w:pPr>
      <w:r w:rsidRPr="00AB2DA1">
        <w:t>The minor submission nominated</w:t>
      </w:r>
      <w:r w:rsidR="00CB1193" w:rsidRPr="00AB2DA1">
        <w:t xml:space="preserve"> </w:t>
      </w:r>
      <w:r w:rsidR="00106B7B" w:rsidRPr="00AB2DA1">
        <w:t>dexamethasone</w:t>
      </w:r>
      <w:r w:rsidR="008E08D4" w:rsidRPr="00AB2DA1">
        <w:t xml:space="preserve"> and</w:t>
      </w:r>
      <w:r w:rsidR="00106B7B" w:rsidRPr="00AB2DA1">
        <w:t xml:space="preserve"> </w:t>
      </w:r>
      <w:r w:rsidR="00B65A90" w:rsidRPr="00AB2DA1">
        <w:t xml:space="preserve">fluorometholone </w:t>
      </w:r>
      <w:r w:rsidR="00CB1193" w:rsidRPr="00AB2DA1">
        <w:t>as the main comparator</w:t>
      </w:r>
      <w:r w:rsidR="00106B7B" w:rsidRPr="00AB2DA1">
        <w:t>s</w:t>
      </w:r>
      <w:r w:rsidR="00476245" w:rsidRPr="00AB2DA1">
        <w:t>.</w:t>
      </w:r>
      <w:r w:rsidR="005C2644" w:rsidRPr="00AB2DA1">
        <w:t xml:space="preserve"> The current PBS listings for prednisolone with phenylephrine compared with the nominated comparators is presented in Table 1</w:t>
      </w:r>
      <w:r w:rsidR="006F6AB0" w:rsidRPr="00AB2DA1">
        <w:t>.</w:t>
      </w:r>
    </w:p>
    <w:p w14:paraId="5B0F0ACD" w14:textId="730E883B" w:rsidR="004F1D73" w:rsidRPr="00AB2DA1" w:rsidRDefault="004F1D73" w:rsidP="005733D8">
      <w:pPr>
        <w:pStyle w:val="Tabletitles"/>
      </w:pPr>
      <w:r w:rsidRPr="00AB2DA1">
        <w:t xml:space="preserve">Table 1: </w:t>
      </w:r>
      <w:r w:rsidR="00C64A1E" w:rsidRPr="00AB2DA1">
        <w:t>Current PBS listings of prednisolone with phenylephrine and the submission</w:t>
      </w:r>
      <w:r w:rsidR="008E08D4" w:rsidRPr="00AB2DA1">
        <w:t>s’</w:t>
      </w:r>
      <w:r w:rsidR="00C64A1E" w:rsidRPr="00AB2DA1">
        <w:t xml:space="preserve"> nominated comparators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721"/>
        <w:gridCol w:w="981"/>
        <w:gridCol w:w="1471"/>
        <w:gridCol w:w="1102"/>
        <w:gridCol w:w="1028"/>
        <w:gridCol w:w="694"/>
        <w:gridCol w:w="581"/>
        <w:gridCol w:w="768"/>
      </w:tblGrid>
      <w:tr w:rsidR="00F32FCD" w:rsidRPr="00C174C7" w14:paraId="1289D8F7" w14:textId="77777777" w:rsidTr="005733D8">
        <w:trPr>
          <w:trHeight w:val="300"/>
        </w:trPr>
        <w:tc>
          <w:tcPr>
            <w:tcW w:w="926" w:type="pct"/>
            <w:vAlign w:val="center"/>
          </w:tcPr>
          <w:p w14:paraId="6B1E4279" w14:textId="763FD614" w:rsidR="00F32FCD" w:rsidRPr="00C174C7" w:rsidRDefault="00F32FCD" w:rsidP="005733D8">
            <w:pPr>
              <w:pStyle w:val="TableText0"/>
              <w:rPr>
                <w:b/>
              </w:rPr>
            </w:pPr>
            <w:r w:rsidRPr="00C174C7">
              <w:rPr>
                <w:b/>
              </w:rPr>
              <w:t xml:space="preserve">Drug and form </w:t>
            </w:r>
          </w:p>
        </w:tc>
        <w:tc>
          <w:tcPr>
            <w:tcW w:w="400" w:type="pct"/>
            <w:vAlign w:val="center"/>
          </w:tcPr>
          <w:p w14:paraId="02E8FA4C" w14:textId="77777777" w:rsidR="00F32FCD" w:rsidRPr="00C174C7" w:rsidRDefault="00F32FCD" w:rsidP="005733D8">
            <w:pPr>
              <w:pStyle w:val="TableText0"/>
              <w:rPr>
                <w:b/>
              </w:rPr>
            </w:pPr>
            <w:r w:rsidRPr="00C174C7">
              <w:rPr>
                <w:b/>
              </w:rPr>
              <w:t>PBS item code</w:t>
            </w:r>
          </w:p>
        </w:tc>
        <w:tc>
          <w:tcPr>
            <w:tcW w:w="544" w:type="pct"/>
            <w:vAlign w:val="center"/>
          </w:tcPr>
          <w:p w14:paraId="7586A71C" w14:textId="29BD1DC6" w:rsidR="00F32FCD" w:rsidRPr="00C174C7" w:rsidRDefault="00F32FCD" w:rsidP="005733D8">
            <w:pPr>
              <w:pStyle w:val="TableText0"/>
              <w:rPr>
                <w:b/>
              </w:rPr>
            </w:pPr>
            <w:r w:rsidRPr="00C174C7">
              <w:rPr>
                <w:b/>
              </w:rPr>
              <w:t>Brand name</w:t>
            </w:r>
          </w:p>
        </w:tc>
        <w:tc>
          <w:tcPr>
            <w:tcW w:w="816" w:type="pct"/>
            <w:vAlign w:val="center"/>
          </w:tcPr>
          <w:p w14:paraId="0BCEF4AE" w14:textId="30537D4D" w:rsidR="00F32FCD" w:rsidRPr="00C174C7" w:rsidRDefault="00F32FCD" w:rsidP="005733D8">
            <w:pPr>
              <w:pStyle w:val="TableText0"/>
              <w:rPr>
                <w:b/>
              </w:rPr>
            </w:pPr>
            <w:r w:rsidRPr="00C174C7">
              <w:rPr>
                <w:b/>
              </w:rPr>
              <w:t>Sponsor</w:t>
            </w:r>
          </w:p>
        </w:tc>
        <w:tc>
          <w:tcPr>
            <w:tcW w:w="611" w:type="pct"/>
            <w:vAlign w:val="center"/>
          </w:tcPr>
          <w:p w14:paraId="349BDEDC" w14:textId="628B98D6" w:rsidR="00F32FCD" w:rsidRPr="00C174C7" w:rsidRDefault="00F32FCD" w:rsidP="005733D8">
            <w:pPr>
              <w:pStyle w:val="TableText0"/>
              <w:rPr>
                <w:b/>
              </w:rPr>
            </w:pPr>
            <w:r w:rsidRPr="00C174C7">
              <w:rPr>
                <w:b/>
              </w:rPr>
              <w:t>Restriction</w:t>
            </w:r>
          </w:p>
        </w:tc>
        <w:tc>
          <w:tcPr>
            <w:tcW w:w="570" w:type="pct"/>
            <w:vAlign w:val="center"/>
          </w:tcPr>
          <w:p w14:paraId="0B5E1502" w14:textId="52702DDA" w:rsidR="00F32FCD" w:rsidRPr="00C174C7" w:rsidRDefault="00F32FCD" w:rsidP="005733D8">
            <w:pPr>
              <w:pStyle w:val="TableText0"/>
              <w:rPr>
                <w:b/>
              </w:rPr>
            </w:pPr>
            <w:r w:rsidRPr="00C174C7">
              <w:rPr>
                <w:b/>
              </w:rPr>
              <w:t>Prescriber</w:t>
            </w:r>
          </w:p>
        </w:tc>
        <w:tc>
          <w:tcPr>
            <w:tcW w:w="385" w:type="pct"/>
            <w:vAlign w:val="center"/>
          </w:tcPr>
          <w:p w14:paraId="53ECD75C" w14:textId="725393E8" w:rsidR="00F32FCD" w:rsidRPr="00C174C7" w:rsidRDefault="00F32FCD" w:rsidP="005733D8">
            <w:pPr>
              <w:pStyle w:val="TableText0"/>
              <w:rPr>
                <w:b/>
              </w:rPr>
            </w:pPr>
            <w:r w:rsidRPr="00C174C7">
              <w:rPr>
                <w:b/>
              </w:rPr>
              <w:t>Max qty packs</w:t>
            </w:r>
          </w:p>
        </w:tc>
        <w:tc>
          <w:tcPr>
            <w:tcW w:w="322" w:type="pct"/>
            <w:vAlign w:val="center"/>
          </w:tcPr>
          <w:p w14:paraId="27BFDC71" w14:textId="7C38EEEB" w:rsidR="00F32FCD" w:rsidRPr="00C174C7" w:rsidRDefault="00F32FCD" w:rsidP="005733D8">
            <w:pPr>
              <w:pStyle w:val="TableText0"/>
              <w:rPr>
                <w:b/>
              </w:rPr>
            </w:pPr>
            <w:r w:rsidRPr="00C174C7">
              <w:rPr>
                <w:b/>
              </w:rPr>
              <w:t>Rpts</w:t>
            </w:r>
          </w:p>
        </w:tc>
        <w:tc>
          <w:tcPr>
            <w:tcW w:w="426" w:type="pct"/>
            <w:vAlign w:val="center"/>
          </w:tcPr>
          <w:p w14:paraId="400EB5A5" w14:textId="4D202D1B" w:rsidR="00F32FCD" w:rsidRPr="00C174C7" w:rsidRDefault="00F32FCD" w:rsidP="005733D8">
            <w:pPr>
              <w:pStyle w:val="TableText0"/>
              <w:rPr>
                <w:b/>
              </w:rPr>
            </w:pPr>
            <w:r w:rsidRPr="00C174C7">
              <w:rPr>
                <w:b/>
              </w:rPr>
              <w:t>DPMQ</w:t>
            </w:r>
            <w:r w:rsidR="00F30AF6" w:rsidRPr="00C174C7">
              <w:rPr>
                <w:b/>
                <w:vertAlign w:val="superscript"/>
              </w:rPr>
              <w:t>a</w:t>
            </w:r>
          </w:p>
        </w:tc>
      </w:tr>
      <w:tr w:rsidR="00F32FCD" w:rsidRPr="00C174C7" w14:paraId="13A632E9" w14:textId="77777777" w:rsidTr="005733D8">
        <w:trPr>
          <w:trHeight w:val="744"/>
        </w:trPr>
        <w:tc>
          <w:tcPr>
            <w:tcW w:w="926" w:type="pct"/>
            <w:vAlign w:val="center"/>
          </w:tcPr>
          <w:p w14:paraId="4D553ECA" w14:textId="7D16C0FE" w:rsidR="00F32FCD" w:rsidRPr="00C174C7" w:rsidRDefault="00F32FCD" w:rsidP="005733D8">
            <w:pPr>
              <w:pStyle w:val="TableText0"/>
            </w:pPr>
            <w:r w:rsidRPr="00C174C7">
              <w:t>Dexamethasone, eye drops 1 mg per mL, 5mL</w:t>
            </w:r>
          </w:p>
        </w:tc>
        <w:tc>
          <w:tcPr>
            <w:tcW w:w="400" w:type="pct"/>
            <w:vAlign w:val="center"/>
          </w:tcPr>
          <w:p w14:paraId="5A56BB06" w14:textId="13F3F6E1" w:rsidR="00F32FCD" w:rsidRPr="00C174C7" w:rsidRDefault="00F32FCD" w:rsidP="005733D8">
            <w:pPr>
              <w:pStyle w:val="TableText0"/>
            </w:pPr>
            <w:r w:rsidRPr="00C174C7">
              <w:t>1288T</w:t>
            </w:r>
          </w:p>
        </w:tc>
        <w:tc>
          <w:tcPr>
            <w:tcW w:w="544" w:type="pct"/>
            <w:vAlign w:val="center"/>
          </w:tcPr>
          <w:p w14:paraId="42DC6AE3" w14:textId="05587DE4" w:rsidR="00F32FCD" w:rsidRPr="00C174C7" w:rsidRDefault="00F32FCD" w:rsidP="005733D8">
            <w:pPr>
              <w:pStyle w:val="TableText0"/>
            </w:pPr>
            <w:r w:rsidRPr="00C174C7">
              <w:t>Maxidex</w:t>
            </w:r>
          </w:p>
        </w:tc>
        <w:tc>
          <w:tcPr>
            <w:tcW w:w="816" w:type="pct"/>
            <w:vAlign w:val="center"/>
          </w:tcPr>
          <w:p w14:paraId="557F10E4" w14:textId="22C00F0A" w:rsidR="00F32FCD" w:rsidRPr="00C174C7" w:rsidRDefault="00F32FCD" w:rsidP="005733D8">
            <w:pPr>
              <w:pStyle w:val="TableText0"/>
            </w:pPr>
            <w:r w:rsidRPr="00C174C7">
              <w:t>Novartis Pharmaceuticals Australia Pty Limited</w:t>
            </w:r>
          </w:p>
        </w:tc>
        <w:tc>
          <w:tcPr>
            <w:tcW w:w="611" w:type="pct"/>
            <w:vAlign w:val="center"/>
          </w:tcPr>
          <w:p w14:paraId="49E013BD" w14:textId="3EB99ED6" w:rsidR="00F32FCD" w:rsidRPr="00C174C7" w:rsidRDefault="00F32FCD" w:rsidP="005733D8">
            <w:pPr>
              <w:pStyle w:val="TableText0"/>
            </w:pPr>
            <w:r w:rsidRPr="00C174C7">
              <w:t>Unrestricted benefit</w:t>
            </w:r>
          </w:p>
        </w:tc>
        <w:tc>
          <w:tcPr>
            <w:tcW w:w="570" w:type="pct"/>
            <w:vAlign w:val="center"/>
          </w:tcPr>
          <w:p w14:paraId="6BE205E7" w14:textId="5AC16F84" w:rsidR="00F32FCD" w:rsidRPr="00C174C7" w:rsidRDefault="00F32FCD" w:rsidP="005733D8">
            <w:pPr>
              <w:pStyle w:val="TableText0"/>
            </w:pPr>
            <w:r w:rsidRPr="00C174C7">
              <w:t>MP, NP</w:t>
            </w:r>
          </w:p>
        </w:tc>
        <w:tc>
          <w:tcPr>
            <w:tcW w:w="385" w:type="pct"/>
            <w:vAlign w:val="center"/>
          </w:tcPr>
          <w:p w14:paraId="7868B9CF" w14:textId="3358AC98" w:rsidR="00F32FCD" w:rsidRPr="00C174C7" w:rsidRDefault="00F32FCD" w:rsidP="005733D8">
            <w:pPr>
              <w:pStyle w:val="TableText0"/>
            </w:pPr>
            <w:r w:rsidRPr="00C174C7">
              <w:t>1</w:t>
            </w:r>
          </w:p>
        </w:tc>
        <w:tc>
          <w:tcPr>
            <w:tcW w:w="322" w:type="pct"/>
            <w:vAlign w:val="center"/>
          </w:tcPr>
          <w:p w14:paraId="5D873A1B" w14:textId="184978EB" w:rsidR="00F32FCD" w:rsidRPr="00C174C7" w:rsidRDefault="00F32FCD" w:rsidP="005733D8">
            <w:pPr>
              <w:pStyle w:val="TableText0"/>
            </w:pPr>
            <w:r w:rsidRPr="00C174C7">
              <w:t>2</w:t>
            </w:r>
          </w:p>
        </w:tc>
        <w:tc>
          <w:tcPr>
            <w:tcW w:w="426" w:type="pct"/>
            <w:vAlign w:val="center"/>
          </w:tcPr>
          <w:p w14:paraId="64AD28B7" w14:textId="0678A60F" w:rsidR="00F32FCD" w:rsidRPr="00C174C7" w:rsidRDefault="00F32FCD" w:rsidP="005733D8">
            <w:pPr>
              <w:pStyle w:val="TableText0"/>
            </w:pPr>
            <w:r w:rsidRPr="00C174C7">
              <w:t>$15.12</w:t>
            </w:r>
          </w:p>
        </w:tc>
      </w:tr>
      <w:tr w:rsidR="00F32FCD" w:rsidRPr="00C174C7" w14:paraId="694D7D2D" w14:textId="77777777" w:rsidTr="005733D8">
        <w:trPr>
          <w:trHeight w:val="300"/>
        </w:trPr>
        <w:tc>
          <w:tcPr>
            <w:tcW w:w="926" w:type="pct"/>
            <w:vAlign w:val="center"/>
          </w:tcPr>
          <w:p w14:paraId="69FBD3CF" w14:textId="6F0EEDB5" w:rsidR="00F32FCD" w:rsidRPr="00C174C7" w:rsidRDefault="00F32FCD" w:rsidP="005733D8">
            <w:pPr>
              <w:pStyle w:val="TableText0"/>
            </w:pPr>
            <w:r w:rsidRPr="00C174C7">
              <w:t>Fluorometholone, eye drops 1 mg per mL, 5mL</w:t>
            </w:r>
          </w:p>
        </w:tc>
        <w:tc>
          <w:tcPr>
            <w:tcW w:w="400" w:type="pct"/>
            <w:vAlign w:val="center"/>
          </w:tcPr>
          <w:p w14:paraId="7CF98AC1" w14:textId="435339AC" w:rsidR="00F32FCD" w:rsidRPr="00C174C7" w:rsidRDefault="00F32FCD" w:rsidP="005733D8">
            <w:pPr>
              <w:pStyle w:val="TableText0"/>
            </w:pPr>
            <w:r w:rsidRPr="00C174C7">
              <w:t>1204J</w:t>
            </w:r>
          </w:p>
        </w:tc>
        <w:tc>
          <w:tcPr>
            <w:tcW w:w="544" w:type="pct"/>
            <w:vAlign w:val="center"/>
          </w:tcPr>
          <w:p w14:paraId="3E0E5166" w14:textId="082B39A0" w:rsidR="00F32FCD" w:rsidRPr="00C174C7" w:rsidRDefault="00F32FCD" w:rsidP="005733D8">
            <w:pPr>
              <w:pStyle w:val="TableText0"/>
            </w:pPr>
            <w:r w:rsidRPr="00C174C7">
              <w:t>FML Liquifilm</w:t>
            </w:r>
          </w:p>
        </w:tc>
        <w:tc>
          <w:tcPr>
            <w:tcW w:w="816" w:type="pct"/>
            <w:vAlign w:val="center"/>
          </w:tcPr>
          <w:p w14:paraId="599C654B" w14:textId="4CA4F3D3" w:rsidR="00F32FCD" w:rsidRPr="00C174C7" w:rsidRDefault="00F32FCD" w:rsidP="005733D8">
            <w:pPr>
              <w:pStyle w:val="TableText0"/>
            </w:pPr>
            <w:r w:rsidRPr="00C174C7">
              <w:t>Allergan Australia Pty Limited</w:t>
            </w:r>
          </w:p>
        </w:tc>
        <w:tc>
          <w:tcPr>
            <w:tcW w:w="611" w:type="pct"/>
            <w:vAlign w:val="center"/>
          </w:tcPr>
          <w:p w14:paraId="3073741B" w14:textId="76DF5B13" w:rsidR="00F32FCD" w:rsidRPr="00C174C7" w:rsidRDefault="00F32FCD" w:rsidP="005733D8">
            <w:pPr>
              <w:pStyle w:val="TableText0"/>
            </w:pPr>
            <w:r w:rsidRPr="00C174C7">
              <w:t>Unrestricted benefit</w:t>
            </w:r>
          </w:p>
        </w:tc>
        <w:tc>
          <w:tcPr>
            <w:tcW w:w="570" w:type="pct"/>
            <w:vAlign w:val="center"/>
          </w:tcPr>
          <w:p w14:paraId="2D2185D1" w14:textId="34620C02" w:rsidR="00F32FCD" w:rsidRPr="00C174C7" w:rsidRDefault="00F32FCD" w:rsidP="005733D8">
            <w:pPr>
              <w:pStyle w:val="TableText0"/>
            </w:pPr>
            <w:r w:rsidRPr="00C174C7">
              <w:t>MP, NP</w:t>
            </w:r>
          </w:p>
        </w:tc>
        <w:tc>
          <w:tcPr>
            <w:tcW w:w="385" w:type="pct"/>
            <w:vAlign w:val="center"/>
          </w:tcPr>
          <w:p w14:paraId="047E3BEB" w14:textId="448E961C" w:rsidR="00F32FCD" w:rsidRPr="00C174C7" w:rsidRDefault="00F32FCD" w:rsidP="005733D8">
            <w:pPr>
              <w:pStyle w:val="TableText0"/>
            </w:pPr>
            <w:r w:rsidRPr="00C174C7">
              <w:t>1</w:t>
            </w:r>
          </w:p>
        </w:tc>
        <w:tc>
          <w:tcPr>
            <w:tcW w:w="322" w:type="pct"/>
            <w:vAlign w:val="center"/>
          </w:tcPr>
          <w:p w14:paraId="7EC0DBE7" w14:textId="51D0B364" w:rsidR="00F32FCD" w:rsidRPr="00C174C7" w:rsidRDefault="00F32FCD" w:rsidP="005733D8">
            <w:pPr>
              <w:pStyle w:val="TableText0"/>
            </w:pPr>
            <w:r w:rsidRPr="00C174C7">
              <w:t>5</w:t>
            </w:r>
          </w:p>
        </w:tc>
        <w:tc>
          <w:tcPr>
            <w:tcW w:w="426" w:type="pct"/>
            <w:vAlign w:val="center"/>
          </w:tcPr>
          <w:p w14:paraId="79CD4670" w14:textId="27CD018A" w:rsidR="00F32FCD" w:rsidRPr="00C174C7" w:rsidRDefault="00F32FCD" w:rsidP="005733D8">
            <w:pPr>
              <w:pStyle w:val="TableText0"/>
            </w:pPr>
            <w:r w:rsidRPr="00C174C7">
              <w:t>$14.44</w:t>
            </w:r>
          </w:p>
        </w:tc>
      </w:tr>
      <w:tr w:rsidR="00F32FCD" w:rsidRPr="00C174C7" w14:paraId="47AD32F8" w14:textId="77777777" w:rsidTr="005733D8">
        <w:trPr>
          <w:trHeight w:val="300"/>
        </w:trPr>
        <w:tc>
          <w:tcPr>
            <w:tcW w:w="926" w:type="pct"/>
            <w:vAlign w:val="center"/>
          </w:tcPr>
          <w:p w14:paraId="5CC81E55" w14:textId="7351B70D" w:rsidR="00F32FCD" w:rsidRPr="00C174C7" w:rsidRDefault="00F32FCD" w:rsidP="005733D8">
            <w:pPr>
              <w:pStyle w:val="TableText0"/>
            </w:pPr>
            <w:r w:rsidRPr="00C174C7">
              <w:t xml:space="preserve">Fluorometholone,  eye drops </w:t>
            </w:r>
            <w:r w:rsidRPr="00C174C7">
              <w:lastRenderedPageBreak/>
              <w:t>containing fluorometholone acetate 1 mg per mL, 5mL</w:t>
            </w:r>
          </w:p>
        </w:tc>
        <w:tc>
          <w:tcPr>
            <w:tcW w:w="400" w:type="pct"/>
            <w:vAlign w:val="center"/>
          </w:tcPr>
          <w:p w14:paraId="04408DCE" w14:textId="361D7C69" w:rsidR="00F32FCD" w:rsidRPr="00C174C7" w:rsidRDefault="00F32FCD" w:rsidP="005733D8">
            <w:pPr>
              <w:pStyle w:val="TableText0"/>
            </w:pPr>
            <w:r w:rsidRPr="00C174C7">
              <w:lastRenderedPageBreak/>
              <w:t>1438Q</w:t>
            </w:r>
          </w:p>
        </w:tc>
        <w:tc>
          <w:tcPr>
            <w:tcW w:w="544" w:type="pct"/>
            <w:vAlign w:val="center"/>
          </w:tcPr>
          <w:p w14:paraId="5A2DC4FE" w14:textId="13EF71E8" w:rsidR="00F32FCD" w:rsidRPr="00C174C7" w:rsidRDefault="00F32FCD" w:rsidP="005733D8">
            <w:pPr>
              <w:pStyle w:val="TableText0"/>
            </w:pPr>
            <w:r w:rsidRPr="00C174C7">
              <w:t>Flarex</w:t>
            </w:r>
          </w:p>
        </w:tc>
        <w:tc>
          <w:tcPr>
            <w:tcW w:w="816" w:type="pct"/>
            <w:vAlign w:val="center"/>
          </w:tcPr>
          <w:p w14:paraId="37A476FA" w14:textId="4129291A" w:rsidR="00F32FCD" w:rsidRPr="00C174C7" w:rsidRDefault="00F32FCD" w:rsidP="005733D8">
            <w:pPr>
              <w:pStyle w:val="TableText0"/>
            </w:pPr>
            <w:r w:rsidRPr="00C174C7">
              <w:t xml:space="preserve">Novartis Pharmaceuticals </w:t>
            </w:r>
            <w:r w:rsidRPr="00C174C7">
              <w:lastRenderedPageBreak/>
              <w:t>Australia Pty Limited</w:t>
            </w:r>
          </w:p>
        </w:tc>
        <w:tc>
          <w:tcPr>
            <w:tcW w:w="611" w:type="pct"/>
            <w:vAlign w:val="center"/>
          </w:tcPr>
          <w:p w14:paraId="440448D3" w14:textId="498C3FE9" w:rsidR="00F32FCD" w:rsidRPr="00C174C7" w:rsidRDefault="00F32FCD" w:rsidP="005733D8">
            <w:pPr>
              <w:pStyle w:val="TableText0"/>
            </w:pPr>
            <w:r w:rsidRPr="00C174C7">
              <w:lastRenderedPageBreak/>
              <w:t>Unrestricted benefit</w:t>
            </w:r>
          </w:p>
        </w:tc>
        <w:tc>
          <w:tcPr>
            <w:tcW w:w="570" w:type="pct"/>
            <w:vAlign w:val="center"/>
          </w:tcPr>
          <w:p w14:paraId="6FE3F659" w14:textId="5839FF4E" w:rsidR="00F32FCD" w:rsidRPr="00C174C7" w:rsidRDefault="00F32FCD" w:rsidP="005733D8">
            <w:pPr>
              <w:pStyle w:val="TableText0"/>
            </w:pPr>
            <w:r w:rsidRPr="00C174C7">
              <w:t>MP, NP</w:t>
            </w:r>
          </w:p>
        </w:tc>
        <w:tc>
          <w:tcPr>
            <w:tcW w:w="385" w:type="pct"/>
            <w:vAlign w:val="center"/>
          </w:tcPr>
          <w:p w14:paraId="2488A06A" w14:textId="7A176E00" w:rsidR="00F32FCD" w:rsidRPr="00C174C7" w:rsidRDefault="00F32FCD" w:rsidP="005733D8">
            <w:pPr>
              <w:pStyle w:val="TableText0"/>
            </w:pPr>
            <w:r w:rsidRPr="00C174C7">
              <w:t>1</w:t>
            </w:r>
          </w:p>
        </w:tc>
        <w:tc>
          <w:tcPr>
            <w:tcW w:w="322" w:type="pct"/>
            <w:vAlign w:val="center"/>
          </w:tcPr>
          <w:p w14:paraId="57D31CAE" w14:textId="723EB772" w:rsidR="00F32FCD" w:rsidRPr="00C174C7" w:rsidRDefault="00F32FCD" w:rsidP="005733D8">
            <w:pPr>
              <w:pStyle w:val="TableText0"/>
            </w:pPr>
            <w:r w:rsidRPr="00C174C7">
              <w:t>2</w:t>
            </w:r>
          </w:p>
        </w:tc>
        <w:tc>
          <w:tcPr>
            <w:tcW w:w="426" w:type="pct"/>
            <w:vAlign w:val="center"/>
          </w:tcPr>
          <w:p w14:paraId="287ED96D" w14:textId="47C125C7" w:rsidR="00F32FCD" w:rsidRPr="00C174C7" w:rsidRDefault="00F32FCD" w:rsidP="005733D8">
            <w:pPr>
              <w:pStyle w:val="TableText0"/>
            </w:pPr>
            <w:r w:rsidRPr="00C174C7">
              <w:t>$14.44</w:t>
            </w:r>
          </w:p>
        </w:tc>
      </w:tr>
      <w:tr w:rsidR="00F32FCD" w:rsidRPr="00C174C7" w14:paraId="593B0298" w14:textId="77777777" w:rsidTr="005733D8">
        <w:trPr>
          <w:trHeight w:val="300"/>
        </w:trPr>
        <w:tc>
          <w:tcPr>
            <w:tcW w:w="926" w:type="pct"/>
            <w:vAlign w:val="center"/>
          </w:tcPr>
          <w:p w14:paraId="5A891E0C" w14:textId="63816F5C" w:rsidR="00F32FCD" w:rsidRPr="00C174C7" w:rsidRDefault="00F32FCD" w:rsidP="005733D8">
            <w:pPr>
              <w:pStyle w:val="TableText0"/>
            </w:pPr>
            <w:r w:rsidRPr="00C174C7">
              <w:t>Prednisolone with phenylephrine, eye drops containing prednisolone acetate 10 mg with phenylephrine hydrochloride 1.2 mg per mL, 10 mL</w:t>
            </w:r>
          </w:p>
        </w:tc>
        <w:tc>
          <w:tcPr>
            <w:tcW w:w="400" w:type="pct"/>
            <w:vAlign w:val="center"/>
          </w:tcPr>
          <w:p w14:paraId="595296E9" w14:textId="3449339E" w:rsidR="00F32FCD" w:rsidRPr="00C174C7" w:rsidRDefault="00F32FCD" w:rsidP="005733D8">
            <w:pPr>
              <w:pStyle w:val="TableText0"/>
            </w:pPr>
            <w:r w:rsidRPr="00C174C7">
              <w:t>3112T</w:t>
            </w:r>
          </w:p>
        </w:tc>
        <w:tc>
          <w:tcPr>
            <w:tcW w:w="544" w:type="pct"/>
            <w:vAlign w:val="center"/>
          </w:tcPr>
          <w:p w14:paraId="62224B59" w14:textId="339FADE2" w:rsidR="00F32FCD" w:rsidRPr="00C174C7" w:rsidRDefault="00F32FCD" w:rsidP="005733D8">
            <w:pPr>
              <w:pStyle w:val="TableText0"/>
            </w:pPr>
            <w:r w:rsidRPr="00C174C7">
              <w:t>Prednefrin Forte</w:t>
            </w:r>
          </w:p>
        </w:tc>
        <w:tc>
          <w:tcPr>
            <w:tcW w:w="816" w:type="pct"/>
            <w:vAlign w:val="center"/>
          </w:tcPr>
          <w:p w14:paraId="1ABF6D3B" w14:textId="20894203" w:rsidR="00F32FCD" w:rsidRPr="00C174C7" w:rsidRDefault="00F32FCD" w:rsidP="005733D8">
            <w:pPr>
              <w:pStyle w:val="TableText0"/>
            </w:pPr>
            <w:r w:rsidRPr="00C174C7">
              <w:t>Allergan Australia Pty Limited</w:t>
            </w:r>
          </w:p>
        </w:tc>
        <w:tc>
          <w:tcPr>
            <w:tcW w:w="611" w:type="pct"/>
            <w:vAlign w:val="center"/>
          </w:tcPr>
          <w:p w14:paraId="5B87DFDC" w14:textId="337AC79C" w:rsidR="00F32FCD" w:rsidRPr="00C174C7" w:rsidRDefault="00F32FCD" w:rsidP="005733D8">
            <w:pPr>
              <w:pStyle w:val="TableText0"/>
            </w:pPr>
            <w:r w:rsidRPr="00C174C7">
              <w:t>Restricted benefit: Corneal grafts; uveitis.</w:t>
            </w:r>
          </w:p>
        </w:tc>
        <w:tc>
          <w:tcPr>
            <w:tcW w:w="570" w:type="pct"/>
            <w:vAlign w:val="center"/>
          </w:tcPr>
          <w:p w14:paraId="0DF0F36F" w14:textId="736A994C" w:rsidR="00F32FCD" w:rsidRPr="00C174C7" w:rsidRDefault="00F32FCD" w:rsidP="005733D8">
            <w:pPr>
              <w:pStyle w:val="TableText0"/>
            </w:pPr>
            <w:r w:rsidRPr="00C174C7">
              <w:t>MP, NP</w:t>
            </w:r>
          </w:p>
        </w:tc>
        <w:tc>
          <w:tcPr>
            <w:tcW w:w="385" w:type="pct"/>
            <w:vAlign w:val="center"/>
          </w:tcPr>
          <w:p w14:paraId="1B886E49" w14:textId="176EBA62" w:rsidR="00F32FCD" w:rsidRPr="00C174C7" w:rsidRDefault="00F32FCD" w:rsidP="005733D8">
            <w:pPr>
              <w:pStyle w:val="TableText0"/>
            </w:pPr>
            <w:r w:rsidRPr="00C174C7">
              <w:t>1</w:t>
            </w:r>
          </w:p>
        </w:tc>
        <w:tc>
          <w:tcPr>
            <w:tcW w:w="322" w:type="pct"/>
            <w:vAlign w:val="center"/>
          </w:tcPr>
          <w:p w14:paraId="77D00B39" w14:textId="2575FA14" w:rsidR="00F32FCD" w:rsidRPr="00C174C7" w:rsidRDefault="00F32FCD" w:rsidP="005733D8">
            <w:pPr>
              <w:pStyle w:val="TableText0"/>
            </w:pPr>
            <w:r w:rsidRPr="00C174C7">
              <w:t>2</w:t>
            </w:r>
          </w:p>
        </w:tc>
        <w:tc>
          <w:tcPr>
            <w:tcW w:w="426" w:type="pct"/>
            <w:vAlign w:val="center"/>
          </w:tcPr>
          <w:p w14:paraId="5BFB9D97" w14:textId="590033CC" w:rsidR="00F32FCD" w:rsidRPr="00C174C7" w:rsidRDefault="00F32FCD" w:rsidP="005733D8">
            <w:pPr>
              <w:pStyle w:val="TableText0"/>
            </w:pPr>
            <w:r w:rsidRPr="00C174C7">
              <w:t>$28.35</w:t>
            </w:r>
          </w:p>
        </w:tc>
      </w:tr>
    </w:tbl>
    <w:p w14:paraId="08A3EE64" w14:textId="372516B9" w:rsidR="00EC672D" w:rsidRPr="00AB2DA1" w:rsidRDefault="00EC672D" w:rsidP="005733D8">
      <w:pPr>
        <w:pStyle w:val="TableFooter"/>
        <w:widowControl/>
        <w:rPr>
          <w:b/>
        </w:rPr>
      </w:pPr>
      <w:r w:rsidRPr="00AB2DA1">
        <w:t xml:space="preserve">Source: </w:t>
      </w:r>
      <w:r w:rsidR="00F30AF6" w:rsidRPr="00AB2DA1">
        <w:t>Schedule</w:t>
      </w:r>
      <w:r w:rsidRPr="00AB2DA1">
        <w:t xml:space="preserve"> of Pharmaceutical Benefits, 1 October 2019. </w:t>
      </w:r>
    </w:p>
    <w:p w14:paraId="53C9BD15" w14:textId="4998DEB0" w:rsidR="00C64A1E" w:rsidRPr="00AB2DA1" w:rsidRDefault="00C64A1E" w:rsidP="005733D8">
      <w:pPr>
        <w:pStyle w:val="TableFooter"/>
        <w:widowControl/>
        <w:rPr>
          <w:b/>
        </w:rPr>
      </w:pPr>
      <w:r w:rsidRPr="00AB2DA1">
        <w:t>DPMQ=dispensed price for maximum quantity; MP=medical practitioner, NP=nurse practitioner.</w:t>
      </w:r>
    </w:p>
    <w:p w14:paraId="1F78BB0B" w14:textId="6583DAFC" w:rsidR="006F6AB0" w:rsidRPr="00200D6B" w:rsidRDefault="004F1D73" w:rsidP="005733D8">
      <w:pPr>
        <w:pStyle w:val="TableFooter"/>
        <w:widowControl/>
      </w:pPr>
      <w:r w:rsidRPr="00AB2DA1">
        <w:rPr>
          <w:vertAlign w:val="superscript"/>
        </w:rPr>
        <w:t>a</w:t>
      </w:r>
      <w:r w:rsidRPr="00AB2DA1">
        <w:t xml:space="preserve"> </w:t>
      </w:r>
      <w:r w:rsidR="005C2644" w:rsidRPr="00AB2DA1">
        <w:t>Patients eligible for the Closing the Gap PBS Co-payment Measure would pay at most $6.50 per script (see paragraph 3.3).</w:t>
      </w:r>
    </w:p>
    <w:p w14:paraId="3760683B" w14:textId="25D7D259" w:rsidR="00EC2720" w:rsidRPr="00AB2DA1" w:rsidRDefault="00EC2720" w:rsidP="005733D8">
      <w:pPr>
        <w:spacing w:before="120"/>
        <w:ind w:left="709"/>
        <w:rPr>
          <w:rFonts w:asciiTheme="minorHAnsi" w:hAnsiTheme="minorHAnsi"/>
          <w:i/>
        </w:rPr>
      </w:pPr>
      <w:r w:rsidRPr="00AB2DA1">
        <w:rPr>
          <w:rFonts w:asciiTheme="minorHAnsi" w:hAnsiTheme="minorHAnsi"/>
          <w:i/>
        </w:rPr>
        <w:t xml:space="preserve">For more detail on PBAC’s view, see section </w:t>
      </w:r>
      <w:r w:rsidR="008A438A" w:rsidRPr="00AB2DA1">
        <w:rPr>
          <w:rFonts w:asciiTheme="minorHAnsi" w:hAnsiTheme="minorHAnsi"/>
          <w:i/>
        </w:rPr>
        <w:t>6</w:t>
      </w:r>
      <w:r w:rsidRPr="00AB2DA1">
        <w:rPr>
          <w:rFonts w:asciiTheme="minorHAnsi" w:hAnsiTheme="minorHAnsi"/>
          <w:i/>
        </w:rPr>
        <w:t xml:space="preserve"> PBAC outcome.</w:t>
      </w:r>
    </w:p>
    <w:p w14:paraId="186D2001" w14:textId="715EC8F9" w:rsidR="000B558D" w:rsidRPr="00AB2DA1" w:rsidRDefault="00271EDC" w:rsidP="005733D8">
      <w:pPr>
        <w:pStyle w:val="2Sections"/>
      </w:pPr>
      <w:r w:rsidRPr="00AB2DA1">
        <w:t>C</w:t>
      </w:r>
      <w:r w:rsidR="00502D81" w:rsidRPr="00AB2DA1">
        <w:t xml:space="preserve">onsideration of the evidence </w:t>
      </w:r>
    </w:p>
    <w:p w14:paraId="042B7BC7" w14:textId="77777777" w:rsidR="00502D81" w:rsidRPr="00AB2DA1" w:rsidRDefault="00502D81" w:rsidP="005733D8">
      <w:pPr>
        <w:pStyle w:val="Heading2"/>
        <w:spacing w:after="120"/>
        <w:rPr>
          <w:rFonts w:asciiTheme="minorHAnsi" w:hAnsiTheme="minorHAnsi" w:cstheme="minorHAnsi"/>
          <w:sz w:val="28"/>
          <w:lang w:eastAsia="en-US"/>
        </w:rPr>
      </w:pPr>
      <w:r w:rsidRPr="00AB2DA1">
        <w:rPr>
          <w:rFonts w:asciiTheme="minorHAnsi" w:hAnsiTheme="minorHAnsi" w:cstheme="minorHAnsi"/>
          <w:sz w:val="28"/>
          <w:lang w:eastAsia="en-US"/>
        </w:rPr>
        <w:t xml:space="preserve">Sponsor hearing </w:t>
      </w:r>
    </w:p>
    <w:p w14:paraId="13383DFD" w14:textId="77777777" w:rsidR="00502D81" w:rsidRPr="00AB2DA1" w:rsidRDefault="00502D81" w:rsidP="005733D8">
      <w:pPr>
        <w:pStyle w:val="3Bodytext"/>
        <w:rPr>
          <w:lang w:eastAsia="en-US"/>
        </w:rPr>
      </w:pPr>
      <w:r w:rsidRPr="00AB2DA1">
        <w:rPr>
          <w:lang w:eastAsia="en-US"/>
        </w:rPr>
        <w:t>There was no hearing for this item as it was a minor submission.</w:t>
      </w:r>
    </w:p>
    <w:p w14:paraId="6FAECB54" w14:textId="77777777" w:rsidR="00502D81" w:rsidRPr="00AB2DA1" w:rsidRDefault="00502D81" w:rsidP="005733D8">
      <w:pPr>
        <w:pStyle w:val="Heading2"/>
        <w:spacing w:after="120"/>
        <w:rPr>
          <w:rFonts w:asciiTheme="minorHAnsi" w:hAnsiTheme="minorHAnsi" w:cstheme="minorHAnsi"/>
          <w:sz w:val="28"/>
          <w:lang w:eastAsia="en-US"/>
        </w:rPr>
      </w:pPr>
      <w:r w:rsidRPr="00AB2DA1">
        <w:rPr>
          <w:rFonts w:asciiTheme="minorHAnsi" w:hAnsiTheme="minorHAnsi" w:cstheme="minorHAnsi"/>
          <w:sz w:val="28"/>
          <w:lang w:eastAsia="en-US"/>
        </w:rPr>
        <w:t>Consumer comments</w:t>
      </w:r>
    </w:p>
    <w:p w14:paraId="5C50E33A" w14:textId="66E6E34C" w:rsidR="00502D81" w:rsidRPr="00AB2DA1" w:rsidRDefault="00502D81" w:rsidP="005733D8">
      <w:pPr>
        <w:pStyle w:val="3Bodytext"/>
        <w:rPr>
          <w:lang w:eastAsia="en-US"/>
        </w:rPr>
      </w:pPr>
      <w:r w:rsidRPr="00AB2DA1">
        <w:rPr>
          <w:lang w:eastAsia="en-US"/>
        </w:rPr>
        <w:t>The PBAC noted that no consumer comments were received for this item.</w:t>
      </w:r>
    </w:p>
    <w:p w14:paraId="02945D75" w14:textId="4BD23CF4" w:rsidR="00502D81" w:rsidRPr="00AB2DA1" w:rsidRDefault="00502D81" w:rsidP="005733D8">
      <w:pPr>
        <w:pStyle w:val="Heading2"/>
        <w:spacing w:after="120"/>
        <w:rPr>
          <w:i w:val="0"/>
          <w:lang w:eastAsia="en-US"/>
        </w:rPr>
      </w:pPr>
      <w:r w:rsidRPr="00AB2DA1">
        <w:rPr>
          <w:rFonts w:asciiTheme="minorHAnsi" w:hAnsiTheme="minorHAnsi" w:cstheme="minorHAnsi"/>
          <w:sz w:val="28"/>
          <w:lang w:eastAsia="en-US"/>
        </w:rPr>
        <w:t>Evidence provided in the submission</w:t>
      </w:r>
    </w:p>
    <w:p w14:paraId="7B2EF665" w14:textId="77777777" w:rsidR="003B6DF7" w:rsidRPr="00AB2DA1" w:rsidRDefault="003B6DF7" w:rsidP="005733D8">
      <w:pPr>
        <w:pStyle w:val="3Bodytext"/>
        <w:rPr>
          <w:i/>
          <w:color w:val="FF0000"/>
        </w:rPr>
      </w:pPr>
      <w:r w:rsidRPr="00AB2DA1">
        <w:t>The PBAC noted that the minor submission was put forward by the National Aboriginal Community Controlled Health Organisation (NACCHO), with letters of support from representatives of the following organisations:</w:t>
      </w:r>
    </w:p>
    <w:p w14:paraId="53AF8158" w14:textId="77777777" w:rsidR="003B6DF7" w:rsidRPr="00AB2DA1" w:rsidRDefault="003B6DF7" w:rsidP="005733D8">
      <w:pPr>
        <w:pStyle w:val="Bulletpoints"/>
        <w:widowControl/>
        <w:rPr>
          <w:i/>
        </w:rPr>
      </w:pPr>
      <w:r w:rsidRPr="00AB2DA1">
        <w:t>Allergan (the manufacturer of Prednefrin Forte)</w:t>
      </w:r>
    </w:p>
    <w:p w14:paraId="0F01E22A" w14:textId="77777777" w:rsidR="003B6DF7" w:rsidRPr="00AB2DA1" w:rsidRDefault="003B6DF7" w:rsidP="005733D8">
      <w:pPr>
        <w:pStyle w:val="Bulletpoints"/>
        <w:widowControl/>
        <w:rPr>
          <w:i/>
        </w:rPr>
      </w:pPr>
      <w:r w:rsidRPr="00AB2DA1">
        <w:t>Inala Indigenous Health Service</w:t>
      </w:r>
    </w:p>
    <w:p w14:paraId="564E2CE3" w14:textId="77777777" w:rsidR="003B6DF7" w:rsidRPr="00AB2DA1" w:rsidRDefault="003B6DF7" w:rsidP="005733D8">
      <w:pPr>
        <w:pStyle w:val="Bulletpoints"/>
        <w:widowControl/>
        <w:rPr>
          <w:i/>
        </w:rPr>
      </w:pPr>
      <w:r w:rsidRPr="00AB2DA1">
        <w:t>Lions Outback Vision</w:t>
      </w:r>
    </w:p>
    <w:p w14:paraId="101CF32F" w14:textId="77777777" w:rsidR="003B6DF7" w:rsidRPr="00AB2DA1" w:rsidRDefault="003B6DF7" w:rsidP="005733D8">
      <w:pPr>
        <w:pStyle w:val="Bulletpoints"/>
        <w:widowControl/>
        <w:rPr>
          <w:i/>
        </w:rPr>
      </w:pPr>
      <w:r w:rsidRPr="00AB2DA1">
        <w:t>Outback Eye Service</w:t>
      </w:r>
    </w:p>
    <w:p w14:paraId="41AA0912" w14:textId="77777777" w:rsidR="003B6DF7" w:rsidRPr="00AB2DA1" w:rsidRDefault="003B6DF7" w:rsidP="005733D8">
      <w:pPr>
        <w:pStyle w:val="Bulletpoints"/>
        <w:widowControl/>
        <w:rPr>
          <w:i/>
        </w:rPr>
      </w:pPr>
      <w:r w:rsidRPr="00AB2DA1">
        <w:t>The Royal Australian and New Zealand College of Ophthalmologists</w:t>
      </w:r>
    </w:p>
    <w:p w14:paraId="332ADDD1" w14:textId="77777777" w:rsidR="003B6DF7" w:rsidRPr="00AB2DA1" w:rsidRDefault="003B6DF7" w:rsidP="005733D8">
      <w:pPr>
        <w:pStyle w:val="Bulletpoints"/>
        <w:widowControl/>
        <w:rPr>
          <w:i/>
        </w:rPr>
      </w:pPr>
      <w:r w:rsidRPr="00AB2DA1">
        <w:t>Vision 2020</w:t>
      </w:r>
    </w:p>
    <w:p w14:paraId="0E8C7272" w14:textId="77777777" w:rsidR="003B6DF7" w:rsidRPr="00AB2DA1" w:rsidRDefault="003B6DF7" w:rsidP="005733D8">
      <w:pPr>
        <w:pStyle w:val="Bulletpoints"/>
        <w:widowControl/>
        <w:rPr>
          <w:i/>
        </w:rPr>
      </w:pPr>
      <w:r w:rsidRPr="00AB2DA1">
        <w:t>IDEAS Van Partnerships Ltd</w:t>
      </w:r>
    </w:p>
    <w:p w14:paraId="591FB48D" w14:textId="2FAB299D" w:rsidR="004C16E1" w:rsidRPr="00AB2DA1" w:rsidRDefault="009F5FA6" w:rsidP="005733D8">
      <w:pPr>
        <w:pStyle w:val="3Bodytext"/>
        <w:rPr>
          <w:i/>
          <w:color w:val="FF0000"/>
        </w:rPr>
      </w:pPr>
      <w:r w:rsidRPr="00AB2DA1">
        <w:t>The submission claimed that anti-inflammatory ophthalmologic treatment is routinely indicated for post cataract surgery</w:t>
      </w:r>
      <w:r w:rsidR="00316B40" w:rsidRPr="00AB2DA1">
        <w:t xml:space="preserve"> and that t</w:t>
      </w:r>
      <w:r w:rsidRPr="00AB2DA1">
        <w:t xml:space="preserve">his is particularly important for </w:t>
      </w:r>
      <w:r w:rsidR="00D70B3F" w:rsidRPr="00AB2DA1">
        <w:t>Aboriginal and Torres Strait Islander</w:t>
      </w:r>
      <w:r w:rsidRPr="00AB2DA1">
        <w:t xml:space="preserve"> patients, who have a higher incidence of diabetic macula oedema when inflammation is not controlled. These complications lead to a reduction in consumer and community engagement with cataract surgery and therefore poorer health outcomes. </w:t>
      </w:r>
    </w:p>
    <w:p w14:paraId="676BDD8E" w14:textId="393B10EF" w:rsidR="004C16E1" w:rsidRPr="00AB2DA1" w:rsidRDefault="004C16E1" w:rsidP="005733D8">
      <w:pPr>
        <w:pStyle w:val="3Bodytext"/>
        <w:rPr>
          <w:i/>
        </w:rPr>
      </w:pPr>
      <w:r w:rsidRPr="00AB2DA1">
        <w:t xml:space="preserve">The minor submission stated that eye diseases and vision problems are the most common long-term health conditions reported by Aboriginal and Torres Strait Islander </w:t>
      </w:r>
      <w:r w:rsidRPr="00AB2DA1">
        <w:lastRenderedPageBreak/>
        <w:t xml:space="preserve">people. Australian Institute of Health and Welfare (AIHW) data from 2016 showed that cataracts </w:t>
      </w:r>
      <w:r w:rsidR="00B349BC" w:rsidRPr="00AB2DA1">
        <w:t xml:space="preserve">was one of the main causes of vision loss </w:t>
      </w:r>
      <w:r w:rsidRPr="00AB2DA1">
        <w:t>for Aboriginal and Torres Strait Islander people aged 40 and over</w:t>
      </w:r>
      <w:r w:rsidR="00B349BC" w:rsidRPr="00AB2DA1">
        <w:t>, accounting for 20% of cases of vision loss</w:t>
      </w:r>
      <w:r w:rsidRPr="00AB2DA1">
        <w:t xml:space="preserve">. The minor submission also stated that one third of Aboriginal and Torres Strait Islander </w:t>
      </w:r>
      <w:r w:rsidR="00B349BC" w:rsidRPr="00AB2DA1">
        <w:t xml:space="preserve">people have </w:t>
      </w:r>
      <w:r w:rsidRPr="00AB2DA1">
        <w:t>diabetes</w:t>
      </w:r>
      <w:r w:rsidR="00EF09CE" w:rsidRPr="00AB2DA1">
        <w:t>,</w:t>
      </w:r>
      <w:r w:rsidRPr="00AB2DA1">
        <w:t xml:space="preserve"> which is associated with a higher risk of eye conditions such as cataracts. </w:t>
      </w:r>
    </w:p>
    <w:p w14:paraId="5A7DC79A" w14:textId="08C47AEA" w:rsidR="00B17B0A" w:rsidRPr="00AB2DA1" w:rsidRDefault="004C16E1" w:rsidP="005733D8">
      <w:pPr>
        <w:pStyle w:val="3Bodytext"/>
        <w:rPr>
          <w:i/>
        </w:rPr>
      </w:pPr>
      <w:r w:rsidRPr="00AB2DA1">
        <w:t xml:space="preserve">The minor submission </w:t>
      </w:r>
      <w:r w:rsidR="00B17B0A" w:rsidRPr="00AB2DA1">
        <w:t xml:space="preserve">claimed that prednisolone with phenylephrine </w:t>
      </w:r>
      <w:r w:rsidR="006D6D25" w:rsidRPr="00AB2DA1">
        <w:t>has several advantages over the PBS-listed alternatives</w:t>
      </w:r>
      <w:r w:rsidR="00EF09CE" w:rsidRPr="00AB2DA1">
        <w:t xml:space="preserve"> (see Table 1)</w:t>
      </w:r>
      <w:r w:rsidR="006D6D25" w:rsidRPr="00AB2DA1">
        <w:t>, including</w:t>
      </w:r>
      <w:r w:rsidR="00B17B0A" w:rsidRPr="00AB2DA1">
        <w:t>:</w:t>
      </w:r>
    </w:p>
    <w:p w14:paraId="0D95D5B3" w14:textId="1DBE9BD0" w:rsidR="00B17B0A" w:rsidRPr="00AE2944" w:rsidRDefault="006D6D25" w:rsidP="005733D8">
      <w:pPr>
        <w:pStyle w:val="Bulletpoints"/>
        <w:widowControl/>
      </w:pPr>
      <w:r w:rsidRPr="00AE2944">
        <w:t>high in vitro relative potency, ensuring rapid control of post-operative inflammation and preventing side-effects</w:t>
      </w:r>
      <w:r w:rsidR="00B17B0A" w:rsidRPr="00AE2944">
        <w:t>;</w:t>
      </w:r>
    </w:p>
    <w:p w14:paraId="34C7DDDC" w14:textId="587A0380" w:rsidR="006D6D25" w:rsidRPr="00AE2944" w:rsidRDefault="006D6D25" w:rsidP="005733D8">
      <w:pPr>
        <w:pStyle w:val="Bulletpoints"/>
        <w:widowControl/>
      </w:pPr>
      <w:r w:rsidRPr="00AE2944">
        <w:t>good ocular penetration;</w:t>
      </w:r>
      <w:r w:rsidR="0007315C" w:rsidRPr="00AE2944">
        <w:t xml:space="preserve"> and</w:t>
      </w:r>
    </w:p>
    <w:p w14:paraId="301F91C3" w14:textId="6C1A35A4" w:rsidR="004C16E1" w:rsidRPr="00AE2944" w:rsidRDefault="006D6D25" w:rsidP="005733D8">
      <w:pPr>
        <w:pStyle w:val="Bulletpoints"/>
        <w:widowControl/>
      </w:pPr>
      <w:r w:rsidRPr="00AE2944">
        <w:t>a</w:t>
      </w:r>
      <w:r w:rsidR="004C16E1" w:rsidRPr="00AE2944">
        <w:t xml:space="preserve"> larger pack size</w:t>
      </w:r>
      <w:r w:rsidRPr="00AE2944">
        <w:t xml:space="preserve">, which </w:t>
      </w:r>
      <w:r w:rsidR="00B17B0A" w:rsidRPr="00AE2944">
        <w:t>means that patients are less likely to run out of product</w:t>
      </w:r>
      <w:r w:rsidR="005353E3" w:rsidRPr="00AE2944">
        <w:t>, with no repeat required,</w:t>
      </w:r>
      <w:r w:rsidR="00B17B0A" w:rsidRPr="00AE2944">
        <w:t xml:space="preserve"> before the treatment is complete</w:t>
      </w:r>
      <w:r w:rsidR="004C16E1" w:rsidRPr="00AE2944">
        <w:t>.</w:t>
      </w:r>
      <w:r w:rsidRPr="00AE2944">
        <w:t xml:space="preserve"> This is particularly important for patients who may be travelling home to regional or remote areas after the procedure</w:t>
      </w:r>
      <w:r w:rsidR="00900002" w:rsidRPr="00AE2944">
        <w:t xml:space="preserve">. </w:t>
      </w:r>
    </w:p>
    <w:p w14:paraId="46E6E72F" w14:textId="0D6EE71D" w:rsidR="0007315C" w:rsidRPr="00AB2DA1" w:rsidRDefault="0007315C" w:rsidP="005733D8">
      <w:pPr>
        <w:pStyle w:val="3Bodytext"/>
        <w:rPr>
          <w:i/>
        </w:rPr>
      </w:pPr>
      <w:r w:rsidRPr="00AB2DA1">
        <w:t xml:space="preserve">The minor submission stated that tolerability does not vary significantly between </w:t>
      </w:r>
      <w:r w:rsidR="000F09CD" w:rsidRPr="00AB2DA1">
        <w:t xml:space="preserve">prednisolone with phenylephrine </w:t>
      </w:r>
      <w:r w:rsidRPr="00AB2DA1">
        <w:t>and the nominated comparators.</w:t>
      </w:r>
    </w:p>
    <w:p w14:paraId="1BF9B456" w14:textId="72A4FA28" w:rsidR="00D31F58" w:rsidRPr="00AB2DA1" w:rsidRDefault="00912358" w:rsidP="005733D8">
      <w:pPr>
        <w:pStyle w:val="3Bodytext"/>
        <w:rPr>
          <w:i/>
        </w:rPr>
      </w:pPr>
      <w:r w:rsidRPr="00AB2DA1">
        <w:t>The</w:t>
      </w:r>
      <w:r w:rsidR="004C16E1" w:rsidRPr="00AB2DA1">
        <w:t xml:space="preserve"> letter of support</w:t>
      </w:r>
      <w:r w:rsidRPr="00AB2DA1">
        <w:t xml:space="preserve"> from </w:t>
      </w:r>
      <w:r w:rsidR="004C16E1" w:rsidRPr="00AB2DA1">
        <w:t xml:space="preserve">the Outback Eye Service also stated that the phenylephrine component of </w:t>
      </w:r>
      <w:r w:rsidR="000F09CD" w:rsidRPr="00AB2DA1">
        <w:t xml:space="preserve">prednisolone with phenylephrine </w:t>
      </w:r>
      <w:r w:rsidR="004C16E1" w:rsidRPr="00AB2DA1">
        <w:t xml:space="preserve">helps to reduce eye redness post-operatively, which </w:t>
      </w:r>
      <w:r w:rsidR="00B17B0A" w:rsidRPr="00AB2DA1">
        <w:t xml:space="preserve">can </w:t>
      </w:r>
      <w:r w:rsidR="004C16E1" w:rsidRPr="00AB2DA1">
        <w:t>increase</w:t>
      </w:r>
      <w:r w:rsidR="00C5778F" w:rsidRPr="00AB2DA1">
        <w:t xml:space="preserve"> </w:t>
      </w:r>
      <w:r w:rsidR="00B17B0A" w:rsidRPr="00AB2DA1">
        <w:t>the</w:t>
      </w:r>
      <w:r w:rsidR="004C16E1" w:rsidRPr="00AB2DA1">
        <w:t xml:space="preserve"> </w:t>
      </w:r>
      <w:r w:rsidR="00780913" w:rsidRPr="00AB2DA1">
        <w:t xml:space="preserve">patient’s </w:t>
      </w:r>
      <w:r w:rsidR="004C16E1" w:rsidRPr="00AB2DA1">
        <w:t xml:space="preserve">perception of the </w:t>
      </w:r>
      <w:r w:rsidR="00B17B0A" w:rsidRPr="00AB2DA1">
        <w:t xml:space="preserve">success of the </w:t>
      </w:r>
      <w:r w:rsidR="004C16E1" w:rsidRPr="00AB2DA1">
        <w:t>surgery</w:t>
      </w:r>
      <w:r w:rsidR="00B17B0A" w:rsidRPr="00AB2DA1">
        <w:t xml:space="preserve"> and subsequent recovery</w:t>
      </w:r>
      <w:r w:rsidR="004C16E1" w:rsidRPr="00AB2DA1">
        <w:t xml:space="preserve"> </w:t>
      </w:r>
      <w:r w:rsidR="00780913" w:rsidRPr="00AB2DA1">
        <w:t xml:space="preserve">and </w:t>
      </w:r>
      <w:r w:rsidR="00EF09CE" w:rsidRPr="00AB2DA1">
        <w:t xml:space="preserve">may </w:t>
      </w:r>
      <w:r w:rsidR="00780913" w:rsidRPr="00AB2DA1">
        <w:t xml:space="preserve">also reduce concerns about the procedure in the wider community. </w:t>
      </w:r>
    </w:p>
    <w:p w14:paraId="212D0392" w14:textId="2B124DBF" w:rsidR="009F5FA6" w:rsidRPr="00AB2DA1" w:rsidRDefault="004C16E1" w:rsidP="005733D8">
      <w:pPr>
        <w:pStyle w:val="3Bodytext"/>
        <w:rPr>
          <w:i/>
        </w:rPr>
      </w:pPr>
      <w:r w:rsidRPr="00AB2DA1">
        <w:t>Many Aboriginal and Torres Strait Islander people access PBS medicines through the Closing the Gap Co</w:t>
      </w:r>
      <w:r w:rsidR="00AB2DA1">
        <w:rPr>
          <w:i/>
        </w:rPr>
        <w:t>-</w:t>
      </w:r>
      <w:r w:rsidRPr="00AB2DA1">
        <w:t>payment Scheme</w:t>
      </w:r>
      <w:r w:rsidR="0021314E" w:rsidRPr="00AB2DA1">
        <w:t xml:space="preserve"> (see paragraph 3.3)</w:t>
      </w:r>
      <w:r w:rsidRPr="00AB2DA1">
        <w:t xml:space="preserve">. Given that the private cost of </w:t>
      </w:r>
      <w:r w:rsidR="000F09CD" w:rsidRPr="00AB2DA1">
        <w:t xml:space="preserve">prednisolone with phenylephrine </w:t>
      </w:r>
      <w:r w:rsidRPr="00AB2DA1">
        <w:t xml:space="preserve">is higher than the Closing the Gap </w:t>
      </w:r>
      <w:r w:rsidR="00AB2DA1" w:rsidRPr="00AB2DA1">
        <w:rPr>
          <w:i/>
        </w:rPr>
        <w:t>co-payment</w:t>
      </w:r>
      <w:r w:rsidRPr="00AB2DA1">
        <w:t xml:space="preserve"> amounts, </w:t>
      </w:r>
      <w:r w:rsidR="00C83664" w:rsidRPr="00AB2DA1">
        <w:t>the PBAC noted</w:t>
      </w:r>
      <w:r w:rsidRPr="00AB2DA1">
        <w:t xml:space="preserve"> that listing it on the PBS for Aboriginal and Torres Strait Islander patients after cataract surgery would address the cost barrier and </w:t>
      </w:r>
      <w:r w:rsidR="00EF09CE" w:rsidRPr="00AB2DA1">
        <w:t xml:space="preserve">may </w:t>
      </w:r>
      <w:r w:rsidRPr="00AB2DA1">
        <w:t>result in improved health outcomes for this population.</w:t>
      </w:r>
    </w:p>
    <w:p w14:paraId="0924C39F" w14:textId="0B06FD14" w:rsidR="00012E23" w:rsidRPr="00AB2DA1" w:rsidRDefault="00012E23" w:rsidP="005733D8">
      <w:pPr>
        <w:pStyle w:val="Heading2"/>
        <w:keepLines/>
        <w:spacing w:before="240" w:after="120"/>
        <w:rPr>
          <w:rFonts w:asciiTheme="minorHAnsi" w:eastAsiaTheme="majorEastAsia" w:hAnsiTheme="minorHAnsi" w:cstheme="majorBidi"/>
          <w:sz w:val="28"/>
          <w:szCs w:val="28"/>
          <w:lang w:eastAsia="en-US"/>
        </w:rPr>
      </w:pPr>
      <w:r w:rsidRPr="00AB2DA1">
        <w:rPr>
          <w:rFonts w:asciiTheme="minorHAnsi" w:eastAsiaTheme="majorEastAsia" w:hAnsiTheme="minorHAnsi" w:cstheme="majorBidi"/>
          <w:sz w:val="28"/>
          <w:szCs w:val="28"/>
          <w:lang w:eastAsia="en-US"/>
        </w:rPr>
        <w:t>Pricing considerations</w:t>
      </w:r>
    </w:p>
    <w:p w14:paraId="3BEE24CA" w14:textId="188605F3" w:rsidR="0039465D" w:rsidRPr="00C174C7" w:rsidRDefault="00232965" w:rsidP="005733D8">
      <w:pPr>
        <w:pStyle w:val="3Bodytext"/>
      </w:pPr>
      <w:r w:rsidRPr="00C174C7">
        <w:t>The minor submission requested the same DPMQ</w:t>
      </w:r>
      <w:r w:rsidR="008C71DA" w:rsidRPr="00C174C7">
        <w:t xml:space="preserve"> as the current PBS listings for prednisolone with phenylephrine</w:t>
      </w:r>
      <w:r w:rsidR="0039647B" w:rsidRPr="00C174C7">
        <w:t xml:space="preserve">. </w:t>
      </w:r>
      <w:r w:rsidR="00EB77D0" w:rsidRPr="00C174C7">
        <w:t xml:space="preserve">Table 2 </w:t>
      </w:r>
      <w:r w:rsidR="0039647B" w:rsidRPr="00C174C7">
        <w:t xml:space="preserve">below </w:t>
      </w:r>
      <w:r w:rsidR="00EC62F0" w:rsidRPr="00C174C7">
        <w:t>show</w:t>
      </w:r>
      <w:r w:rsidR="008C71DA" w:rsidRPr="00C174C7">
        <w:t>s</w:t>
      </w:r>
      <w:r w:rsidR="00EC62F0" w:rsidRPr="00C174C7">
        <w:t xml:space="preserve"> the AEMP per </w:t>
      </w:r>
      <w:r w:rsidR="00E87BE6" w:rsidRPr="00C174C7">
        <w:t>course of treatment</w:t>
      </w:r>
      <w:r w:rsidR="00EC62F0" w:rsidRPr="00C174C7">
        <w:t xml:space="preserve"> for prednisolone </w:t>
      </w:r>
      <w:r w:rsidR="001A4D63" w:rsidRPr="00C174C7">
        <w:t xml:space="preserve">with phenylephrine </w:t>
      </w:r>
      <w:r w:rsidR="00EC62F0" w:rsidRPr="00C174C7">
        <w:t>and the nominated comparators.</w:t>
      </w:r>
    </w:p>
    <w:p w14:paraId="418E0234" w14:textId="18AFA3E6" w:rsidR="0039465D" w:rsidRPr="00AB2DA1" w:rsidRDefault="00EC62F0" w:rsidP="005733D8">
      <w:pPr>
        <w:pStyle w:val="Tabletitles"/>
      </w:pPr>
      <w:r w:rsidRPr="00AB2DA1">
        <w:t xml:space="preserve">Table </w:t>
      </w:r>
      <w:r w:rsidR="00EB77D0" w:rsidRPr="00AB2DA1">
        <w:t>2</w:t>
      </w:r>
      <w:r w:rsidR="0039465D" w:rsidRPr="00AB2DA1">
        <w:t>:</w:t>
      </w:r>
      <w:r w:rsidR="008C5A3A" w:rsidRPr="00AB2DA1">
        <w:t xml:space="preserve"> </w:t>
      </w:r>
      <w:r w:rsidR="008C71DA" w:rsidRPr="00AB2DA1">
        <w:t>P</w:t>
      </w:r>
      <w:r w:rsidR="0039465D" w:rsidRPr="00AB2DA1">
        <w:t>rice comparison</w:t>
      </w:r>
      <w:r w:rsidR="008C71DA" w:rsidRPr="00AB2DA1">
        <w:t xml:space="preserve"> between prednisolone with phenylephrine and PBS-listed alternatives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792"/>
        <w:gridCol w:w="765"/>
        <w:gridCol w:w="581"/>
        <w:gridCol w:w="718"/>
        <w:gridCol w:w="718"/>
        <w:gridCol w:w="1407"/>
        <w:gridCol w:w="1425"/>
      </w:tblGrid>
      <w:tr w:rsidR="008E6B71" w:rsidRPr="00AB2DA1" w14:paraId="3149AFE1" w14:textId="1623032B" w:rsidTr="00882F28">
        <w:trPr>
          <w:trHeight w:val="300"/>
        </w:trPr>
        <w:tc>
          <w:tcPr>
            <w:tcW w:w="0" w:type="auto"/>
            <w:vAlign w:val="center"/>
          </w:tcPr>
          <w:p w14:paraId="7A6A12E0" w14:textId="77777777" w:rsidR="00882F28" w:rsidRPr="00C174C7" w:rsidRDefault="00882F28" w:rsidP="005733D8">
            <w:pPr>
              <w:pStyle w:val="TableText0"/>
              <w:rPr>
                <w:b/>
              </w:rPr>
            </w:pPr>
            <w:r w:rsidRPr="00C174C7">
              <w:rPr>
                <w:b/>
              </w:rPr>
              <w:t xml:space="preserve">Drug and form </w:t>
            </w:r>
          </w:p>
        </w:tc>
        <w:tc>
          <w:tcPr>
            <w:tcW w:w="0" w:type="auto"/>
            <w:vAlign w:val="center"/>
          </w:tcPr>
          <w:p w14:paraId="5263138F" w14:textId="77777777" w:rsidR="00882F28" w:rsidRPr="00C174C7" w:rsidRDefault="00882F28" w:rsidP="005733D8">
            <w:pPr>
              <w:pStyle w:val="TableText0"/>
              <w:rPr>
                <w:b/>
              </w:rPr>
            </w:pPr>
            <w:r w:rsidRPr="00C174C7">
              <w:rPr>
                <w:b/>
              </w:rPr>
              <w:t>PBS item code</w:t>
            </w:r>
          </w:p>
        </w:tc>
        <w:tc>
          <w:tcPr>
            <w:tcW w:w="0" w:type="auto"/>
            <w:vAlign w:val="center"/>
          </w:tcPr>
          <w:p w14:paraId="7B373607" w14:textId="77777777" w:rsidR="00882F28" w:rsidRPr="00C174C7" w:rsidRDefault="00882F28" w:rsidP="005733D8">
            <w:pPr>
              <w:pStyle w:val="TableText0"/>
              <w:rPr>
                <w:b/>
              </w:rPr>
            </w:pPr>
            <w:r w:rsidRPr="00C174C7">
              <w:rPr>
                <w:b/>
              </w:rPr>
              <w:t>Max qty packs</w:t>
            </w:r>
          </w:p>
        </w:tc>
        <w:tc>
          <w:tcPr>
            <w:tcW w:w="0" w:type="auto"/>
            <w:vAlign w:val="center"/>
          </w:tcPr>
          <w:p w14:paraId="1020A92D" w14:textId="77777777" w:rsidR="00882F28" w:rsidRPr="00C174C7" w:rsidRDefault="00882F28" w:rsidP="005733D8">
            <w:pPr>
              <w:pStyle w:val="TableText0"/>
              <w:rPr>
                <w:b/>
              </w:rPr>
            </w:pPr>
            <w:r w:rsidRPr="00C174C7">
              <w:rPr>
                <w:b/>
              </w:rPr>
              <w:t>Rpts</w:t>
            </w:r>
          </w:p>
        </w:tc>
        <w:tc>
          <w:tcPr>
            <w:tcW w:w="0" w:type="auto"/>
            <w:vAlign w:val="center"/>
          </w:tcPr>
          <w:p w14:paraId="5006D5EC" w14:textId="4C2368B0" w:rsidR="00882F28" w:rsidRPr="00C174C7" w:rsidRDefault="00882F28" w:rsidP="005733D8">
            <w:pPr>
              <w:pStyle w:val="TableText0"/>
              <w:rPr>
                <w:b/>
              </w:rPr>
            </w:pPr>
            <w:r w:rsidRPr="00C174C7">
              <w:rPr>
                <w:b/>
              </w:rPr>
              <w:t>DPMQ</w:t>
            </w:r>
          </w:p>
        </w:tc>
        <w:tc>
          <w:tcPr>
            <w:tcW w:w="0" w:type="auto"/>
            <w:vAlign w:val="center"/>
          </w:tcPr>
          <w:p w14:paraId="787AD0F3" w14:textId="0CBDAEA4" w:rsidR="00882F28" w:rsidRPr="00C174C7" w:rsidRDefault="00882F28" w:rsidP="005733D8">
            <w:pPr>
              <w:pStyle w:val="TableText0"/>
              <w:rPr>
                <w:b/>
              </w:rPr>
            </w:pPr>
            <w:r w:rsidRPr="00C174C7">
              <w:rPr>
                <w:b/>
              </w:rPr>
              <w:t>AEMP</w:t>
            </w:r>
          </w:p>
        </w:tc>
        <w:tc>
          <w:tcPr>
            <w:tcW w:w="0" w:type="auto"/>
            <w:vAlign w:val="center"/>
          </w:tcPr>
          <w:p w14:paraId="04E33E71" w14:textId="37684A7A" w:rsidR="00882F28" w:rsidRPr="00C174C7" w:rsidRDefault="00882F28" w:rsidP="005733D8">
            <w:pPr>
              <w:pStyle w:val="TableText0"/>
              <w:rPr>
                <w:b/>
                <w:bCs/>
                <w:color w:val="000000"/>
              </w:rPr>
            </w:pPr>
            <w:r w:rsidRPr="00C174C7">
              <w:rPr>
                <w:b/>
                <w:bCs/>
                <w:color w:val="000000"/>
              </w:rPr>
              <w:t>AEMP/course of treatment</w:t>
            </w:r>
            <w:r w:rsidR="008E6B71" w:rsidRPr="00C174C7">
              <w:rPr>
                <w:b/>
                <w:bCs/>
                <w:color w:val="000000"/>
                <w:vertAlign w:val="superscript"/>
              </w:rPr>
              <w:t>a</w:t>
            </w:r>
          </w:p>
        </w:tc>
        <w:tc>
          <w:tcPr>
            <w:tcW w:w="0" w:type="auto"/>
            <w:vAlign w:val="center"/>
          </w:tcPr>
          <w:p w14:paraId="583D471C" w14:textId="286C0011" w:rsidR="00882F28" w:rsidRPr="00C174C7" w:rsidRDefault="008E6B71" w:rsidP="005733D8">
            <w:pPr>
              <w:pStyle w:val="TableText0"/>
              <w:rPr>
                <w:b/>
              </w:rPr>
            </w:pPr>
            <w:r w:rsidRPr="00C174C7">
              <w:rPr>
                <w:b/>
                <w:bCs/>
                <w:color w:val="000000"/>
              </w:rPr>
              <w:t>DPMQ</w:t>
            </w:r>
            <w:r w:rsidR="00882F28" w:rsidRPr="00C174C7">
              <w:rPr>
                <w:b/>
                <w:bCs/>
                <w:color w:val="000000"/>
              </w:rPr>
              <w:t>/course of treatment</w:t>
            </w:r>
            <w:r w:rsidRPr="00C174C7">
              <w:rPr>
                <w:b/>
                <w:bCs/>
                <w:color w:val="000000"/>
                <w:vertAlign w:val="superscript"/>
              </w:rPr>
              <w:t>a</w:t>
            </w:r>
            <w:r w:rsidR="00882F28" w:rsidRPr="00C174C7">
              <w:rPr>
                <w:b/>
                <w:bCs/>
                <w:color w:val="000000"/>
                <w:vertAlign w:val="superscript"/>
              </w:rPr>
              <w:t xml:space="preserve"> </w:t>
            </w:r>
          </w:p>
        </w:tc>
      </w:tr>
      <w:tr w:rsidR="008E6B71" w:rsidRPr="00AB2DA1" w14:paraId="4C1C0EED" w14:textId="41DDE9BE" w:rsidTr="00C174C7">
        <w:trPr>
          <w:trHeight w:val="315"/>
        </w:trPr>
        <w:tc>
          <w:tcPr>
            <w:tcW w:w="0" w:type="auto"/>
            <w:vAlign w:val="center"/>
          </w:tcPr>
          <w:p w14:paraId="72ED08DA" w14:textId="77777777" w:rsidR="00882F28" w:rsidRPr="00AB2DA1" w:rsidRDefault="00882F28" w:rsidP="005733D8">
            <w:pPr>
              <w:pStyle w:val="TableText0"/>
            </w:pPr>
            <w:r w:rsidRPr="00AB2DA1">
              <w:t>Dexamethasone, eye drops 1 mg per mL, 5mL</w:t>
            </w:r>
          </w:p>
        </w:tc>
        <w:tc>
          <w:tcPr>
            <w:tcW w:w="0" w:type="auto"/>
            <w:vAlign w:val="center"/>
          </w:tcPr>
          <w:p w14:paraId="0A79834B" w14:textId="77777777" w:rsidR="00882F28" w:rsidRPr="00AB2DA1" w:rsidRDefault="00882F28" w:rsidP="005733D8">
            <w:pPr>
              <w:pStyle w:val="TableText0"/>
            </w:pPr>
            <w:r w:rsidRPr="00AB2DA1">
              <w:t>1288T</w:t>
            </w:r>
          </w:p>
        </w:tc>
        <w:tc>
          <w:tcPr>
            <w:tcW w:w="0" w:type="auto"/>
            <w:vAlign w:val="center"/>
          </w:tcPr>
          <w:p w14:paraId="7C26F554" w14:textId="77777777" w:rsidR="00882F28" w:rsidRPr="00AB2DA1" w:rsidRDefault="00882F28" w:rsidP="005733D8">
            <w:pPr>
              <w:pStyle w:val="TableText0"/>
            </w:pPr>
            <w:r w:rsidRPr="00AB2DA1">
              <w:t>1</w:t>
            </w:r>
          </w:p>
        </w:tc>
        <w:tc>
          <w:tcPr>
            <w:tcW w:w="0" w:type="auto"/>
            <w:vAlign w:val="center"/>
          </w:tcPr>
          <w:p w14:paraId="7D9E8C66" w14:textId="77777777" w:rsidR="00882F28" w:rsidRPr="00AB2DA1" w:rsidRDefault="00882F28" w:rsidP="005733D8">
            <w:pPr>
              <w:pStyle w:val="TableText0"/>
            </w:pPr>
            <w:r w:rsidRPr="00AB2DA1">
              <w:t>2</w:t>
            </w:r>
          </w:p>
        </w:tc>
        <w:tc>
          <w:tcPr>
            <w:tcW w:w="0" w:type="auto"/>
            <w:vAlign w:val="center"/>
          </w:tcPr>
          <w:p w14:paraId="467D330B" w14:textId="77777777" w:rsidR="00882F28" w:rsidRPr="00AB2DA1" w:rsidRDefault="00882F28" w:rsidP="005733D8">
            <w:pPr>
              <w:pStyle w:val="TableText0"/>
            </w:pPr>
            <w:r w:rsidRPr="00AB2DA1">
              <w:t>$15.12</w:t>
            </w:r>
          </w:p>
        </w:tc>
        <w:tc>
          <w:tcPr>
            <w:tcW w:w="0" w:type="auto"/>
            <w:vAlign w:val="center"/>
          </w:tcPr>
          <w:p w14:paraId="428D57E1" w14:textId="1132A3FB" w:rsidR="00882F28" w:rsidRPr="00AB2DA1" w:rsidRDefault="00882F28" w:rsidP="005733D8">
            <w:pPr>
              <w:pStyle w:val="TableText0"/>
            </w:pPr>
            <w:r w:rsidRPr="00AB2DA1">
              <w:t>$3.39</w:t>
            </w:r>
          </w:p>
        </w:tc>
        <w:tc>
          <w:tcPr>
            <w:tcW w:w="0" w:type="auto"/>
            <w:vAlign w:val="center"/>
          </w:tcPr>
          <w:p w14:paraId="39B5029C" w14:textId="1D255E82" w:rsidR="00882F28" w:rsidRPr="00AB2DA1" w:rsidRDefault="00882F28" w:rsidP="005733D8">
            <w:pPr>
              <w:pStyle w:val="TableText0"/>
              <w:rPr>
                <w:bCs/>
                <w:color w:val="000000"/>
              </w:rPr>
            </w:pPr>
            <w:r w:rsidRPr="00AB2DA1">
              <w:rPr>
                <w:rFonts w:cs="Calibri"/>
                <w:color w:val="000000"/>
              </w:rPr>
              <w:t>$6.78</w:t>
            </w:r>
          </w:p>
        </w:tc>
        <w:tc>
          <w:tcPr>
            <w:tcW w:w="0" w:type="auto"/>
            <w:vAlign w:val="center"/>
          </w:tcPr>
          <w:p w14:paraId="795CFF6D" w14:textId="1CDF3305" w:rsidR="00882F28" w:rsidRPr="00AB2DA1" w:rsidRDefault="00882F28" w:rsidP="005733D8">
            <w:pPr>
              <w:pStyle w:val="TableText0"/>
            </w:pPr>
            <w:r w:rsidRPr="00AB2DA1">
              <w:rPr>
                <w:bCs/>
                <w:color w:val="000000"/>
              </w:rPr>
              <w:t>$30.24</w:t>
            </w:r>
          </w:p>
        </w:tc>
      </w:tr>
      <w:tr w:rsidR="008E6B71" w:rsidRPr="00AB2DA1" w14:paraId="0C687433" w14:textId="7FBFFDE4" w:rsidTr="00882F28">
        <w:trPr>
          <w:trHeight w:val="300"/>
        </w:trPr>
        <w:tc>
          <w:tcPr>
            <w:tcW w:w="0" w:type="auto"/>
            <w:vAlign w:val="center"/>
          </w:tcPr>
          <w:p w14:paraId="6B758372" w14:textId="77777777" w:rsidR="00882F28" w:rsidRPr="00AB2DA1" w:rsidRDefault="00882F28" w:rsidP="005733D8">
            <w:pPr>
              <w:pStyle w:val="TableText0"/>
            </w:pPr>
            <w:r w:rsidRPr="00AB2DA1">
              <w:t>Fluorometholone, eye drops 1 mg per mL, 5mL</w:t>
            </w:r>
          </w:p>
        </w:tc>
        <w:tc>
          <w:tcPr>
            <w:tcW w:w="0" w:type="auto"/>
            <w:vAlign w:val="center"/>
          </w:tcPr>
          <w:p w14:paraId="16409517" w14:textId="77777777" w:rsidR="00882F28" w:rsidRPr="00AB2DA1" w:rsidRDefault="00882F28" w:rsidP="005733D8">
            <w:pPr>
              <w:pStyle w:val="TableText0"/>
            </w:pPr>
            <w:r w:rsidRPr="00AB2DA1">
              <w:t>1204J</w:t>
            </w:r>
          </w:p>
        </w:tc>
        <w:tc>
          <w:tcPr>
            <w:tcW w:w="0" w:type="auto"/>
            <w:vAlign w:val="center"/>
          </w:tcPr>
          <w:p w14:paraId="20969207" w14:textId="77777777" w:rsidR="00882F28" w:rsidRPr="00AB2DA1" w:rsidRDefault="00882F28" w:rsidP="005733D8">
            <w:pPr>
              <w:pStyle w:val="TableText0"/>
            </w:pPr>
            <w:r w:rsidRPr="00AB2DA1">
              <w:t>1</w:t>
            </w:r>
          </w:p>
        </w:tc>
        <w:tc>
          <w:tcPr>
            <w:tcW w:w="0" w:type="auto"/>
            <w:vAlign w:val="center"/>
          </w:tcPr>
          <w:p w14:paraId="4B6CD615" w14:textId="77777777" w:rsidR="00882F28" w:rsidRPr="00AB2DA1" w:rsidRDefault="00882F28" w:rsidP="005733D8">
            <w:pPr>
              <w:pStyle w:val="TableText0"/>
            </w:pPr>
            <w:r w:rsidRPr="00AB2DA1">
              <w:t>5</w:t>
            </w:r>
          </w:p>
        </w:tc>
        <w:tc>
          <w:tcPr>
            <w:tcW w:w="0" w:type="auto"/>
            <w:vAlign w:val="center"/>
          </w:tcPr>
          <w:p w14:paraId="295DBEAB" w14:textId="77777777" w:rsidR="00882F28" w:rsidRPr="00AB2DA1" w:rsidRDefault="00882F28" w:rsidP="005733D8">
            <w:pPr>
              <w:pStyle w:val="TableText0"/>
            </w:pPr>
            <w:r w:rsidRPr="00AB2DA1">
              <w:t>$14.44</w:t>
            </w:r>
          </w:p>
        </w:tc>
        <w:tc>
          <w:tcPr>
            <w:tcW w:w="0" w:type="auto"/>
            <w:vAlign w:val="center"/>
          </w:tcPr>
          <w:p w14:paraId="6A0F812F" w14:textId="2EB5FF72" w:rsidR="00882F28" w:rsidRPr="00AB2DA1" w:rsidRDefault="00882F28" w:rsidP="005733D8">
            <w:pPr>
              <w:pStyle w:val="TableText0"/>
            </w:pPr>
            <w:r w:rsidRPr="00AB2DA1">
              <w:t>$2.75</w:t>
            </w:r>
          </w:p>
        </w:tc>
        <w:tc>
          <w:tcPr>
            <w:tcW w:w="0" w:type="auto"/>
            <w:vAlign w:val="center"/>
          </w:tcPr>
          <w:p w14:paraId="47335AA0" w14:textId="3DA764BD" w:rsidR="00882F28" w:rsidRPr="00AB2DA1" w:rsidRDefault="00882F28" w:rsidP="005733D8">
            <w:pPr>
              <w:pStyle w:val="TableText0"/>
              <w:rPr>
                <w:bCs/>
                <w:color w:val="000000"/>
              </w:rPr>
            </w:pPr>
            <w:r w:rsidRPr="00AB2DA1">
              <w:rPr>
                <w:rFonts w:cs="Calibri"/>
                <w:color w:val="000000"/>
              </w:rPr>
              <w:t>$5.50</w:t>
            </w:r>
          </w:p>
        </w:tc>
        <w:tc>
          <w:tcPr>
            <w:tcW w:w="0" w:type="auto"/>
            <w:vAlign w:val="center"/>
          </w:tcPr>
          <w:p w14:paraId="037C196E" w14:textId="7031F28F" w:rsidR="00882F28" w:rsidRPr="00AB2DA1" w:rsidRDefault="00882F28" w:rsidP="005733D8">
            <w:pPr>
              <w:pStyle w:val="TableText0"/>
            </w:pPr>
            <w:r w:rsidRPr="00AB2DA1">
              <w:rPr>
                <w:bCs/>
                <w:color w:val="000000"/>
              </w:rPr>
              <w:t>$28.88</w:t>
            </w:r>
          </w:p>
        </w:tc>
      </w:tr>
      <w:tr w:rsidR="008E6B71" w:rsidRPr="00AB2DA1" w14:paraId="6E8E7282" w14:textId="4AE83F57" w:rsidTr="00882F28">
        <w:trPr>
          <w:trHeight w:val="300"/>
        </w:trPr>
        <w:tc>
          <w:tcPr>
            <w:tcW w:w="0" w:type="auto"/>
            <w:vAlign w:val="center"/>
          </w:tcPr>
          <w:p w14:paraId="1E3E8658" w14:textId="77E65F1C" w:rsidR="00882F28" w:rsidRPr="00AB2DA1" w:rsidRDefault="00882F28" w:rsidP="005733D8">
            <w:pPr>
              <w:pStyle w:val="TableText0"/>
            </w:pPr>
            <w:r w:rsidRPr="00AB2DA1">
              <w:lastRenderedPageBreak/>
              <w:t>Fluorometholone,  eye drops containing fluorometholone acetate 1 mg per mL, 5mL</w:t>
            </w:r>
          </w:p>
        </w:tc>
        <w:tc>
          <w:tcPr>
            <w:tcW w:w="0" w:type="auto"/>
            <w:vAlign w:val="center"/>
          </w:tcPr>
          <w:p w14:paraId="5FB4B230" w14:textId="77777777" w:rsidR="00882F28" w:rsidRPr="00AB2DA1" w:rsidRDefault="00882F28" w:rsidP="005733D8">
            <w:pPr>
              <w:pStyle w:val="TableText0"/>
            </w:pPr>
            <w:r w:rsidRPr="00AB2DA1">
              <w:t>1438Q</w:t>
            </w:r>
          </w:p>
        </w:tc>
        <w:tc>
          <w:tcPr>
            <w:tcW w:w="0" w:type="auto"/>
            <w:vAlign w:val="center"/>
          </w:tcPr>
          <w:p w14:paraId="766289A8" w14:textId="77777777" w:rsidR="00882F28" w:rsidRPr="00AB2DA1" w:rsidRDefault="00882F28" w:rsidP="005733D8">
            <w:pPr>
              <w:pStyle w:val="TableText0"/>
            </w:pPr>
            <w:r w:rsidRPr="00AB2DA1">
              <w:t>1</w:t>
            </w:r>
          </w:p>
        </w:tc>
        <w:tc>
          <w:tcPr>
            <w:tcW w:w="0" w:type="auto"/>
            <w:vAlign w:val="center"/>
          </w:tcPr>
          <w:p w14:paraId="3D47DFE0" w14:textId="77777777" w:rsidR="00882F28" w:rsidRPr="00AB2DA1" w:rsidRDefault="00882F28" w:rsidP="005733D8">
            <w:pPr>
              <w:pStyle w:val="TableText0"/>
            </w:pPr>
            <w:r w:rsidRPr="00AB2DA1">
              <w:t>2</w:t>
            </w:r>
          </w:p>
        </w:tc>
        <w:tc>
          <w:tcPr>
            <w:tcW w:w="0" w:type="auto"/>
            <w:vAlign w:val="center"/>
          </w:tcPr>
          <w:p w14:paraId="0964794F" w14:textId="77777777" w:rsidR="00882F28" w:rsidRPr="00AB2DA1" w:rsidRDefault="00882F28" w:rsidP="005733D8">
            <w:pPr>
              <w:pStyle w:val="TableText0"/>
            </w:pPr>
            <w:r w:rsidRPr="00AB2DA1">
              <w:t>$14.44</w:t>
            </w:r>
          </w:p>
        </w:tc>
        <w:tc>
          <w:tcPr>
            <w:tcW w:w="0" w:type="auto"/>
            <w:vAlign w:val="center"/>
          </w:tcPr>
          <w:p w14:paraId="5DB653A7" w14:textId="0011B51E" w:rsidR="00882F28" w:rsidRPr="00AB2DA1" w:rsidRDefault="00882F28" w:rsidP="005733D8">
            <w:pPr>
              <w:pStyle w:val="TableText0"/>
            </w:pPr>
            <w:r w:rsidRPr="00AB2DA1">
              <w:t>$2.75</w:t>
            </w:r>
          </w:p>
        </w:tc>
        <w:tc>
          <w:tcPr>
            <w:tcW w:w="0" w:type="auto"/>
            <w:vAlign w:val="center"/>
          </w:tcPr>
          <w:p w14:paraId="646634E3" w14:textId="59D07363" w:rsidR="00882F28" w:rsidRPr="00AB2DA1" w:rsidRDefault="00882F28" w:rsidP="005733D8">
            <w:pPr>
              <w:pStyle w:val="TableText0"/>
              <w:rPr>
                <w:bCs/>
                <w:color w:val="000000"/>
              </w:rPr>
            </w:pPr>
            <w:r w:rsidRPr="00AB2DA1">
              <w:rPr>
                <w:rFonts w:cs="Calibri"/>
                <w:color w:val="000000"/>
              </w:rPr>
              <w:t>$5.50</w:t>
            </w:r>
          </w:p>
        </w:tc>
        <w:tc>
          <w:tcPr>
            <w:tcW w:w="0" w:type="auto"/>
            <w:vAlign w:val="center"/>
          </w:tcPr>
          <w:p w14:paraId="4AD2D727" w14:textId="18287D93" w:rsidR="00882F28" w:rsidRPr="00AB2DA1" w:rsidRDefault="00882F28" w:rsidP="005733D8">
            <w:pPr>
              <w:pStyle w:val="TableText0"/>
            </w:pPr>
            <w:r w:rsidRPr="00AB2DA1">
              <w:rPr>
                <w:bCs/>
                <w:color w:val="000000"/>
              </w:rPr>
              <w:t>$28.88</w:t>
            </w:r>
          </w:p>
        </w:tc>
      </w:tr>
      <w:tr w:rsidR="008E6B71" w:rsidRPr="00AB2DA1" w14:paraId="5BD397C1" w14:textId="1594D840" w:rsidTr="00882F28">
        <w:trPr>
          <w:trHeight w:val="300"/>
        </w:trPr>
        <w:tc>
          <w:tcPr>
            <w:tcW w:w="0" w:type="auto"/>
            <w:vAlign w:val="center"/>
          </w:tcPr>
          <w:p w14:paraId="69CBE8E0" w14:textId="77777777" w:rsidR="00882F28" w:rsidRPr="00AB2DA1" w:rsidRDefault="00882F28" w:rsidP="005733D8">
            <w:pPr>
              <w:pStyle w:val="TableText0"/>
            </w:pPr>
            <w:r w:rsidRPr="00AB2DA1">
              <w:t>Prednisolone with phenylephrine, eye drops containing prednisolone acetate 10 mg with phenylephrine hydrochloride 1.2 mg per mL, 10 mL</w:t>
            </w:r>
          </w:p>
        </w:tc>
        <w:tc>
          <w:tcPr>
            <w:tcW w:w="0" w:type="auto"/>
            <w:vAlign w:val="center"/>
          </w:tcPr>
          <w:p w14:paraId="4EB1B8C2" w14:textId="77777777" w:rsidR="00882F28" w:rsidRPr="00AB2DA1" w:rsidRDefault="00882F28" w:rsidP="005733D8">
            <w:pPr>
              <w:pStyle w:val="TableText0"/>
            </w:pPr>
            <w:r w:rsidRPr="00AB2DA1">
              <w:t>3112T</w:t>
            </w:r>
          </w:p>
        </w:tc>
        <w:tc>
          <w:tcPr>
            <w:tcW w:w="0" w:type="auto"/>
            <w:vAlign w:val="center"/>
          </w:tcPr>
          <w:p w14:paraId="6B7259D0" w14:textId="77777777" w:rsidR="00882F28" w:rsidRPr="00AB2DA1" w:rsidRDefault="00882F28" w:rsidP="005733D8">
            <w:pPr>
              <w:pStyle w:val="TableText0"/>
            </w:pPr>
            <w:r w:rsidRPr="00AB2DA1">
              <w:t>1</w:t>
            </w:r>
          </w:p>
        </w:tc>
        <w:tc>
          <w:tcPr>
            <w:tcW w:w="0" w:type="auto"/>
            <w:vAlign w:val="center"/>
          </w:tcPr>
          <w:p w14:paraId="1CEC77C7" w14:textId="77777777" w:rsidR="00882F28" w:rsidRPr="00AB2DA1" w:rsidRDefault="00882F28" w:rsidP="005733D8">
            <w:pPr>
              <w:pStyle w:val="TableText0"/>
            </w:pPr>
            <w:r w:rsidRPr="00AB2DA1">
              <w:t>2</w:t>
            </w:r>
          </w:p>
        </w:tc>
        <w:tc>
          <w:tcPr>
            <w:tcW w:w="0" w:type="auto"/>
            <w:vAlign w:val="center"/>
          </w:tcPr>
          <w:p w14:paraId="36BBC078" w14:textId="77777777" w:rsidR="00882F28" w:rsidRPr="00AB2DA1" w:rsidRDefault="00882F28" w:rsidP="005733D8">
            <w:pPr>
              <w:pStyle w:val="TableText0"/>
            </w:pPr>
            <w:r w:rsidRPr="00AB2DA1">
              <w:t>$28.35</w:t>
            </w:r>
          </w:p>
        </w:tc>
        <w:tc>
          <w:tcPr>
            <w:tcW w:w="0" w:type="auto"/>
            <w:vAlign w:val="center"/>
          </w:tcPr>
          <w:p w14:paraId="3390D7E6" w14:textId="52B942EE" w:rsidR="00882F28" w:rsidRPr="00AB2DA1" w:rsidRDefault="00882F28" w:rsidP="005733D8">
            <w:pPr>
              <w:pStyle w:val="TableText0"/>
            </w:pPr>
            <w:r w:rsidRPr="00AB2DA1">
              <w:t>$15.69</w:t>
            </w:r>
          </w:p>
        </w:tc>
        <w:tc>
          <w:tcPr>
            <w:tcW w:w="0" w:type="auto"/>
            <w:vAlign w:val="center"/>
          </w:tcPr>
          <w:p w14:paraId="04D2BAB8" w14:textId="2CE776CE" w:rsidR="00882F28" w:rsidRPr="00AB2DA1" w:rsidRDefault="00882F28" w:rsidP="005733D8">
            <w:pPr>
              <w:pStyle w:val="TableText0"/>
              <w:rPr>
                <w:bCs/>
                <w:color w:val="000000"/>
              </w:rPr>
            </w:pPr>
            <w:r w:rsidRPr="00AB2DA1">
              <w:rPr>
                <w:rFonts w:cs="Calibri"/>
                <w:color w:val="000000"/>
              </w:rPr>
              <w:t>$15.69</w:t>
            </w:r>
          </w:p>
        </w:tc>
        <w:tc>
          <w:tcPr>
            <w:tcW w:w="0" w:type="auto"/>
            <w:vAlign w:val="center"/>
          </w:tcPr>
          <w:p w14:paraId="0A38C401" w14:textId="4007C30E" w:rsidR="00882F28" w:rsidRPr="00AB2DA1" w:rsidRDefault="00882F28" w:rsidP="005733D8">
            <w:pPr>
              <w:pStyle w:val="TableText0"/>
            </w:pPr>
            <w:r w:rsidRPr="00AB2DA1">
              <w:rPr>
                <w:bCs/>
                <w:color w:val="000000"/>
              </w:rPr>
              <w:t>$28.35</w:t>
            </w:r>
          </w:p>
        </w:tc>
      </w:tr>
    </w:tbl>
    <w:p w14:paraId="63735BDE" w14:textId="252F712B" w:rsidR="007C1FFB" w:rsidRPr="00C174C7" w:rsidRDefault="007C1FFB" w:rsidP="005733D8">
      <w:pPr>
        <w:pStyle w:val="TableFooter"/>
        <w:widowControl/>
      </w:pPr>
      <w:r w:rsidRPr="00C174C7">
        <w:t>Source:</w:t>
      </w:r>
      <w:r w:rsidR="00017A09" w:rsidRPr="00C174C7">
        <w:t xml:space="preserve"> </w:t>
      </w:r>
      <w:r w:rsidRPr="00C174C7">
        <w:t>Schedule of Pharmaceutical Benefits, 1 October 2019 and PBS Ex-manufacturer prices 1 October 2019.</w:t>
      </w:r>
    </w:p>
    <w:p w14:paraId="4F4BB6F6" w14:textId="5B7FAEB7" w:rsidR="00BE7C4C" w:rsidRPr="00C174C7" w:rsidRDefault="00734EB7" w:rsidP="005733D8">
      <w:pPr>
        <w:pStyle w:val="TableFooter"/>
        <w:widowControl/>
      </w:pPr>
      <w:r w:rsidRPr="00C174C7">
        <w:rPr>
          <w:vertAlign w:val="superscript"/>
        </w:rPr>
        <w:t>a</w:t>
      </w:r>
      <w:r w:rsidR="00017A09" w:rsidRPr="00C174C7">
        <w:t xml:space="preserve"> </w:t>
      </w:r>
      <w:r w:rsidR="008E6B71" w:rsidRPr="00C174C7">
        <w:t xml:space="preserve">Based on </w:t>
      </w:r>
      <w:r w:rsidR="000D2EAC" w:rsidRPr="00C174C7">
        <w:t>a max</w:t>
      </w:r>
      <w:r w:rsidRPr="00C174C7">
        <w:t>imum</w:t>
      </w:r>
      <w:r w:rsidR="000D2EAC" w:rsidRPr="00C174C7">
        <w:t xml:space="preserve"> </w:t>
      </w:r>
      <w:r w:rsidRPr="00C174C7">
        <w:t xml:space="preserve">quantity </w:t>
      </w:r>
      <w:r w:rsidR="000D2EAC" w:rsidRPr="00C174C7">
        <w:t xml:space="preserve">of 1 </w:t>
      </w:r>
      <w:r w:rsidR="00220669" w:rsidRPr="00C174C7">
        <w:t>and a</w:t>
      </w:r>
      <w:r w:rsidR="00017A09" w:rsidRPr="00C174C7">
        <w:t>ssuming 10 mL</w:t>
      </w:r>
      <w:r w:rsidR="008E6B71" w:rsidRPr="00C174C7">
        <w:t xml:space="preserve"> (or </w:t>
      </w:r>
      <w:r w:rsidR="00EB77D0" w:rsidRPr="00C174C7">
        <w:t>2 x 5 mL)</w:t>
      </w:r>
      <w:r w:rsidR="00017A09" w:rsidRPr="00C174C7">
        <w:t xml:space="preserve"> of eye drop</w:t>
      </w:r>
      <w:r w:rsidR="008C5A3A" w:rsidRPr="00C174C7">
        <w:t>s</w:t>
      </w:r>
      <w:r w:rsidR="00017A09" w:rsidRPr="00C174C7">
        <w:t xml:space="preserve"> was routinely required per patient per</w:t>
      </w:r>
      <w:r w:rsidR="00EB77D0" w:rsidRPr="00C174C7">
        <w:t xml:space="preserve"> course of </w:t>
      </w:r>
      <w:r w:rsidR="00017A09" w:rsidRPr="00C174C7">
        <w:t>treatment</w:t>
      </w:r>
      <w:r w:rsidR="00EB77D0" w:rsidRPr="00C174C7">
        <w:t>, as claimed by the minor submission</w:t>
      </w:r>
      <w:r w:rsidR="00220669" w:rsidRPr="00C174C7">
        <w:t>.</w:t>
      </w:r>
    </w:p>
    <w:p w14:paraId="5064842A" w14:textId="231F76FE" w:rsidR="005A3173" w:rsidRPr="00AB2DA1" w:rsidRDefault="005A3173" w:rsidP="005733D8">
      <w:pPr>
        <w:pStyle w:val="Heading2"/>
        <w:keepLines/>
        <w:spacing w:before="240" w:after="120"/>
        <w:rPr>
          <w:rFonts w:asciiTheme="minorHAnsi" w:eastAsiaTheme="majorEastAsia" w:hAnsiTheme="minorHAnsi" w:cstheme="majorBidi"/>
          <w:sz w:val="28"/>
          <w:szCs w:val="28"/>
          <w:lang w:eastAsia="en-US"/>
        </w:rPr>
      </w:pPr>
      <w:r w:rsidRPr="00AB2DA1">
        <w:rPr>
          <w:rFonts w:asciiTheme="minorHAnsi" w:eastAsiaTheme="majorEastAsia" w:hAnsiTheme="minorHAnsi" w:cstheme="majorBidi"/>
          <w:sz w:val="28"/>
          <w:szCs w:val="28"/>
          <w:lang w:eastAsia="en-US"/>
        </w:rPr>
        <w:t>Estimated PBS usage &amp; financial implications</w:t>
      </w:r>
    </w:p>
    <w:p w14:paraId="2E9A729C" w14:textId="232557CA" w:rsidR="00B84473" w:rsidRPr="00AB2DA1" w:rsidRDefault="00C5778F" w:rsidP="005733D8">
      <w:pPr>
        <w:pStyle w:val="3Bodytext"/>
        <w:rPr>
          <w:rFonts w:ascii="Arial Narrow" w:hAnsi="Arial Narrow"/>
          <w:b/>
          <w:sz w:val="20"/>
        </w:rPr>
      </w:pPr>
      <w:r w:rsidRPr="00AB2DA1">
        <w:t xml:space="preserve">The minor submission estimated that the </w:t>
      </w:r>
      <w:r w:rsidR="00F54FFC" w:rsidRPr="00AB2DA1">
        <w:t xml:space="preserve">proposed listing would </w:t>
      </w:r>
      <w:r w:rsidR="00EA7CD7" w:rsidRPr="00AB2DA1">
        <w:t>cost the Government $48,507</w:t>
      </w:r>
      <w:r w:rsidR="00BF0DAA" w:rsidRPr="00AB2DA1">
        <w:t xml:space="preserve"> per year</w:t>
      </w:r>
      <w:r w:rsidR="00EA7CD7" w:rsidRPr="00AB2DA1">
        <w:t xml:space="preserve">, </w:t>
      </w:r>
      <w:r w:rsidR="00190997" w:rsidRPr="00AB2DA1">
        <w:t xml:space="preserve">which would be offset by reduced </w:t>
      </w:r>
      <w:r w:rsidR="00EA7CD7" w:rsidRPr="00AB2DA1">
        <w:t xml:space="preserve">prescribing of the PBS-listed alternatives. The net financial impact </w:t>
      </w:r>
      <w:r w:rsidR="003624FB" w:rsidRPr="00AB2DA1">
        <w:t xml:space="preserve">was calculated </w:t>
      </w:r>
      <w:r w:rsidR="00D35A90" w:rsidRPr="00AB2DA1">
        <w:t>to</w:t>
      </w:r>
      <w:r w:rsidR="00EA7CD7" w:rsidRPr="00AB2DA1">
        <w:t xml:space="preserve"> be a small saving of </w:t>
      </w:r>
      <w:r w:rsidR="00ED5469" w:rsidRPr="00AB2DA1">
        <w:t xml:space="preserve">between </w:t>
      </w:r>
      <w:r w:rsidR="00EA7CD7" w:rsidRPr="00AB2DA1">
        <w:t xml:space="preserve">$907 </w:t>
      </w:r>
      <w:r w:rsidR="00900002" w:rsidRPr="00AB2DA1">
        <w:t xml:space="preserve">and </w:t>
      </w:r>
      <w:r w:rsidR="00EA7CD7" w:rsidRPr="00AB2DA1">
        <w:t>$3,234</w:t>
      </w:r>
      <w:r w:rsidR="00BF0DAA" w:rsidRPr="00AB2DA1">
        <w:t xml:space="preserve"> per year</w:t>
      </w:r>
      <w:r w:rsidR="00ED5469" w:rsidRPr="00AB2DA1">
        <w:t>, depending on the relative assumed use of the currently listed alternative therapies</w:t>
      </w:r>
      <w:r w:rsidR="00190997" w:rsidRPr="00AB2DA1">
        <w:t xml:space="preserve"> (see Table </w:t>
      </w:r>
      <w:r w:rsidR="00B93E3A" w:rsidRPr="00AB2DA1">
        <w:t>3</w:t>
      </w:r>
      <w:r w:rsidR="00190997" w:rsidRPr="00AB2DA1">
        <w:t>)</w:t>
      </w:r>
      <w:r w:rsidR="00EA7CD7" w:rsidRPr="00AB2DA1">
        <w:t>.</w:t>
      </w:r>
      <w:r w:rsidR="001B5D19" w:rsidRPr="00AB2DA1">
        <w:t xml:space="preserve"> The minor submission did not </w:t>
      </w:r>
      <w:r w:rsidR="00D35A90" w:rsidRPr="00AB2DA1">
        <w:t>account for PBS</w:t>
      </w:r>
      <w:r w:rsidR="003624FB" w:rsidRPr="00AB2DA1">
        <w:t xml:space="preserve"> </w:t>
      </w:r>
      <w:r w:rsidR="00AB2DA1" w:rsidRPr="00C174C7">
        <w:t>co-payments</w:t>
      </w:r>
      <w:r w:rsidR="003624FB" w:rsidRPr="00AB2DA1">
        <w:t xml:space="preserve"> in the </w:t>
      </w:r>
      <w:r w:rsidR="005D52E9" w:rsidRPr="00AB2DA1">
        <w:t>financial implications</w:t>
      </w:r>
      <w:r w:rsidR="0049695A" w:rsidRPr="00AB2DA1">
        <w:t>. T</w:t>
      </w:r>
      <w:r w:rsidR="00057B5F" w:rsidRPr="00AB2DA1">
        <w:t xml:space="preserve">he Pre-PBAC Response stated that the population of interest is largely elderly patients who would be eligible for concession cards, and therefore would not be required to </w:t>
      </w:r>
      <w:r w:rsidR="00057B5F" w:rsidRPr="00AE2944">
        <w:t xml:space="preserve">pay a </w:t>
      </w:r>
      <w:r w:rsidR="00AB2DA1" w:rsidRPr="00AE2944">
        <w:t>co-payment</w:t>
      </w:r>
      <w:r w:rsidR="00057B5F" w:rsidRPr="00AB2DA1">
        <w:t>.</w:t>
      </w:r>
    </w:p>
    <w:p w14:paraId="1B51B3FA" w14:textId="7192FA55" w:rsidR="00654461" w:rsidRPr="00AB2DA1" w:rsidRDefault="00654461" w:rsidP="005733D8">
      <w:pPr>
        <w:pStyle w:val="Tabletitles"/>
      </w:pPr>
      <w:r w:rsidRPr="00AB2DA1">
        <w:t xml:space="preserve">Table </w:t>
      </w:r>
      <w:r w:rsidR="00B93E3A" w:rsidRPr="00AB2DA1">
        <w:t>3</w:t>
      </w:r>
      <w:r w:rsidRPr="00AB2DA1">
        <w:t>: Estimated use and financial implications</w:t>
      </w:r>
      <w:r w:rsidR="00912178" w:rsidRPr="00AB2DA1">
        <w:t xml:space="preserve">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6394"/>
        <w:gridCol w:w="2180"/>
      </w:tblGrid>
      <w:tr w:rsidR="00912178" w:rsidRPr="00AB2DA1" w14:paraId="3102FD5C" w14:textId="181639DB" w:rsidTr="00C174C7">
        <w:trPr>
          <w:trHeight w:val="315"/>
        </w:trPr>
        <w:tc>
          <w:tcPr>
            <w:tcW w:w="245" w:type="pct"/>
          </w:tcPr>
          <w:p w14:paraId="733C03E0" w14:textId="2C6C9541" w:rsidR="00912178" w:rsidRPr="00C174C7" w:rsidRDefault="00912178" w:rsidP="005733D8">
            <w:pPr>
              <w:pStyle w:val="TableText0"/>
              <w:rPr>
                <w:b/>
              </w:rPr>
            </w:pPr>
            <w:r w:rsidRPr="00C174C7">
              <w:rPr>
                <w:b/>
              </w:rPr>
              <w:t>A</w:t>
            </w:r>
          </w:p>
        </w:tc>
        <w:tc>
          <w:tcPr>
            <w:tcW w:w="3546" w:type="pct"/>
            <w:shd w:val="clear" w:color="auto" w:fill="auto"/>
            <w:vAlign w:val="center"/>
            <w:hideMark/>
          </w:tcPr>
          <w:p w14:paraId="5FFCAE3B" w14:textId="421A26C2" w:rsidR="00912178" w:rsidRPr="00AB2DA1" w:rsidRDefault="00912178" w:rsidP="005733D8">
            <w:pPr>
              <w:pStyle w:val="TableText0"/>
            </w:pPr>
            <w:r w:rsidRPr="00AB2DA1">
              <w:t>Number of cataract su</w:t>
            </w:r>
            <w:r w:rsidR="00EA7CD7" w:rsidRPr="00AB2DA1">
              <w:t>r</w:t>
            </w:r>
            <w:r w:rsidRPr="00AB2DA1">
              <w:t>ger</w:t>
            </w:r>
            <w:r w:rsidR="00F54FFC" w:rsidRPr="00AB2DA1">
              <w:t>y procedures</w:t>
            </w:r>
            <w:r w:rsidRPr="00AB2DA1">
              <w:t xml:space="preserve"> performed on A</w:t>
            </w:r>
            <w:r w:rsidR="00B41B06" w:rsidRPr="00AB2DA1">
              <w:t xml:space="preserve">boriginal and </w:t>
            </w:r>
            <w:r w:rsidRPr="00AB2DA1">
              <w:t>T</w:t>
            </w:r>
            <w:r w:rsidR="00B41B06" w:rsidRPr="00AB2DA1">
              <w:t xml:space="preserve">orres </w:t>
            </w:r>
            <w:r w:rsidRPr="00AB2DA1">
              <w:t>S</w:t>
            </w:r>
            <w:r w:rsidR="00B41B06" w:rsidRPr="00AB2DA1">
              <w:t xml:space="preserve">trait </w:t>
            </w:r>
            <w:r w:rsidRPr="00AB2DA1">
              <w:t>I</w:t>
            </w:r>
            <w:r w:rsidR="00B41B06" w:rsidRPr="00AB2DA1">
              <w:t>slander people</w:t>
            </w:r>
            <w:r w:rsidRPr="00AB2DA1">
              <w:t xml:space="preserve"> between 2015-2017 (based on AIHW data)</w:t>
            </w:r>
          </w:p>
        </w:tc>
        <w:tc>
          <w:tcPr>
            <w:tcW w:w="1209" w:type="pct"/>
            <w:shd w:val="clear" w:color="auto" w:fill="auto"/>
            <w:vAlign w:val="center"/>
            <w:hideMark/>
          </w:tcPr>
          <w:p w14:paraId="7BB4E95E" w14:textId="41424D12" w:rsidR="00912178" w:rsidRPr="00AB2DA1" w:rsidRDefault="00912178" w:rsidP="005733D8">
            <w:pPr>
              <w:pStyle w:val="TableText0"/>
              <w:rPr>
                <w:bCs/>
                <w:color w:val="000000"/>
              </w:rPr>
            </w:pPr>
            <w:r w:rsidRPr="00AB2DA1">
              <w:rPr>
                <w:bCs/>
                <w:color w:val="000000"/>
              </w:rPr>
              <w:t>5,131</w:t>
            </w:r>
          </w:p>
        </w:tc>
      </w:tr>
      <w:tr w:rsidR="00912178" w:rsidRPr="00AB2DA1" w14:paraId="53F3D97A" w14:textId="1613AEFA" w:rsidTr="00C174C7">
        <w:trPr>
          <w:trHeight w:val="315"/>
        </w:trPr>
        <w:tc>
          <w:tcPr>
            <w:tcW w:w="245" w:type="pct"/>
          </w:tcPr>
          <w:p w14:paraId="68B2957A" w14:textId="19D5DC8F" w:rsidR="00912178" w:rsidRPr="00C174C7" w:rsidRDefault="00912178" w:rsidP="005733D8">
            <w:pPr>
              <w:pStyle w:val="TableText0"/>
              <w:rPr>
                <w:b/>
              </w:rPr>
            </w:pPr>
            <w:r w:rsidRPr="00C174C7">
              <w:rPr>
                <w:b/>
              </w:rPr>
              <w:t>B</w:t>
            </w:r>
          </w:p>
        </w:tc>
        <w:tc>
          <w:tcPr>
            <w:tcW w:w="3546" w:type="pct"/>
            <w:shd w:val="clear" w:color="auto" w:fill="auto"/>
            <w:vAlign w:val="center"/>
            <w:hideMark/>
          </w:tcPr>
          <w:p w14:paraId="5ABE7914" w14:textId="49559C13" w:rsidR="00912178" w:rsidRPr="00AB2DA1" w:rsidRDefault="00912178" w:rsidP="005733D8">
            <w:pPr>
              <w:pStyle w:val="TableText0"/>
            </w:pPr>
            <w:r w:rsidRPr="00AB2DA1">
              <w:t>Estimated number of cataract surger</w:t>
            </w:r>
            <w:r w:rsidR="005A46B8" w:rsidRPr="00AB2DA1">
              <w:t>ies</w:t>
            </w:r>
            <w:r w:rsidRPr="00AB2DA1">
              <w:t xml:space="preserve"> each year (A / 2)</w:t>
            </w:r>
          </w:p>
        </w:tc>
        <w:tc>
          <w:tcPr>
            <w:tcW w:w="1209" w:type="pct"/>
            <w:shd w:val="clear" w:color="auto" w:fill="auto"/>
            <w:vAlign w:val="center"/>
            <w:hideMark/>
          </w:tcPr>
          <w:p w14:paraId="5837D91E" w14:textId="6BDE2334" w:rsidR="00912178" w:rsidRPr="00AB2DA1" w:rsidRDefault="00912178" w:rsidP="005733D8">
            <w:pPr>
              <w:pStyle w:val="TableText0"/>
              <w:rPr>
                <w:bCs/>
                <w:color w:val="000000"/>
              </w:rPr>
            </w:pPr>
            <w:r w:rsidRPr="00AB2DA1">
              <w:rPr>
                <w:bCs/>
                <w:color w:val="000000"/>
              </w:rPr>
              <w:t>2,566</w:t>
            </w:r>
          </w:p>
        </w:tc>
      </w:tr>
      <w:tr w:rsidR="00912178" w:rsidRPr="00AB2DA1" w14:paraId="43C7EAA7" w14:textId="77777777" w:rsidTr="00C174C7">
        <w:trPr>
          <w:trHeight w:val="315"/>
        </w:trPr>
        <w:tc>
          <w:tcPr>
            <w:tcW w:w="245" w:type="pct"/>
          </w:tcPr>
          <w:p w14:paraId="5015BA7B" w14:textId="08BDC8C1" w:rsidR="00912178" w:rsidRPr="00C174C7" w:rsidRDefault="00912178" w:rsidP="005733D8">
            <w:pPr>
              <w:pStyle w:val="TableText0"/>
              <w:rPr>
                <w:b/>
              </w:rPr>
            </w:pPr>
            <w:r w:rsidRPr="00C174C7">
              <w:rPr>
                <w:b/>
              </w:rPr>
              <w:t>C</w:t>
            </w:r>
          </w:p>
        </w:tc>
        <w:tc>
          <w:tcPr>
            <w:tcW w:w="3546" w:type="pct"/>
            <w:shd w:val="clear" w:color="auto" w:fill="auto"/>
            <w:vAlign w:val="center"/>
          </w:tcPr>
          <w:p w14:paraId="34F8A83C" w14:textId="08DCDE35" w:rsidR="00912178" w:rsidRPr="00AB2DA1" w:rsidRDefault="00912178" w:rsidP="005733D8">
            <w:pPr>
              <w:pStyle w:val="TableText0"/>
            </w:pPr>
            <w:r w:rsidRPr="00AB2DA1">
              <w:t>Estimated</w:t>
            </w:r>
            <w:r w:rsidR="00F54FFC" w:rsidRPr="00AB2DA1">
              <w:t xml:space="preserve"> proportion of</w:t>
            </w:r>
            <w:r w:rsidRPr="00AB2DA1">
              <w:t xml:space="preserve"> patient</w:t>
            </w:r>
            <w:r w:rsidR="00F54FFC" w:rsidRPr="00AB2DA1">
              <w:t>s</w:t>
            </w:r>
            <w:r w:rsidRPr="00AB2DA1">
              <w:t xml:space="preserve"> </w:t>
            </w:r>
            <w:r w:rsidR="00F54FFC" w:rsidRPr="00AB2DA1">
              <w:t xml:space="preserve"> who would use </w:t>
            </w:r>
            <w:r w:rsidRPr="00AB2DA1">
              <w:t>prednisolone with phenylephrine</w:t>
            </w:r>
            <w:r w:rsidR="00F54FFC" w:rsidRPr="00AB2DA1">
              <w:t xml:space="preserve"> over PBS-listed alternatives</w:t>
            </w:r>
          </w:p>
        </w:tc>
        <w:tc>
          <w:tcPr>
            <w:tcW w:w="1209" w:type="pct"/>
            <w:shd w:val="clear" w:color="auto" w:fill="auto"/>
            <w:vAlign w:val="center"/>
          </w:tcPr>
          <w:p w14:paraId="425AC45D" w14:textId="33D170E9" w:rsidR="00912178" w:rsidRPr="00AB2DA1" w:rsidRDefault="00912178" w:rsidP="005733D8">
            <w:pPr>
              <w:pStyle w:val="TableText0"/>
              <w:rPr>
                <w:bCs/>
                <w:color w:val="000000"/>
              </w:rPr>
            </w:pPr>
            <w:r w:rsidRPr="00AB2DA1">
              <w:rPr>
                <w:bCs/>
                <w:color w:val="000000"/>
              </w:rPr>
              <w:t>2/3</w:t>
            </w:r>
          </w:p>
        </w:tc>
      </w:tr>
      <w:tr w:rsidR="00912178" w:rsidRPr="00AB2DA1" w14:paraId="1539C8B9" w14:textId="77777777" w:rsidTr="00C174C7">
        <w:trPr>
          <w:trHeight w:val="315"/>
        </w:trPr>
        <w:tc>
          <w:tcPr>
            <w:tcW w:w="245" w:type="pct"/>
          </w:tcPr>
          <w:p w14:paraId="4EC2537E" w14:textId="6A60EFA2" w:rsidR="00912178" w:rsidRPr="00C174C7" w:rsidRDefault="00912178" w:rsidP="005733D8">
            <w:pPr>
              <w:pStyle w:val="TableText0"/>
              <w:rPr>
                <w:b/>
              </w:rPr>
            </w:pPr>
            <w:r w:rsidRPr="00C174C7">
              <w:rPr>
                <w:b/>
              </w:rPr>
              <w:t>D</w:t>
            </w:r>
          </w:p>
        </w:tc>
        <w:tc>
          <w:tcPr>
            <w:tcW w:w="3546" w:type="pct"/>
            <w:shd w:val="clear" w:color="auto" w:fill="auto"/>
            <w:vAlign w:val="center"/>
          </w:tcPr>
          <w:p w14:paraId="77558A72" w14:textId="0DE5E5EC" w:rsidR="00912178" w:rsidRPr="00AB2DA1" w:rsidRDefault="00912178" w:rsidP="005733D8">
            <w:pPr>
              <w:pStyle w:val="TableText0"/>
            </w:pPr>
            <w:r w:rsidRPr="00AB2DA1">
              <w:t xml:space="preserve">Estimated </w:t>
            </w:r>
            <w:r w:rsidR="00F54FFC" w:rsidRPr="00AB2DA1">
              <w:t xml:space="preserve">annual </w:t>
            </w:r>
            <w:r w:rsidRPr="00AB2DA1">
              <w:t>number of patients (B × C)</w:t>
            </w:r>
          </w:p>
        </w:tc>
        <w:tc>
          <w:tcPr>
            <w:tcW w:w="1209" w:type="pct"/>
            <w:shd w:val="clear" w:color="auto" w:fill="auto"/>
            <w:vAlign w:val="center"/>
          </w:tcPr>
          <w:p w14:paraId="27AD39A4" w14:textId="60B94BFD" w:rsidR="00912178" w:rsidRPr="00AB2DA1" w:rsidRDefault="00912178" w:rsidP="005733D8">
            <w:pPr>
              <w:pStyle w:val="TableText0"/>
              <w:rPr>
                <w:bCs/>
                <w:color w:val="000000"/>
              </w:rPr>
            </w:pPr>
            <w:r w:rsidRPr="00AB2DA1">
              <w:rPr>
                <w:bCs/>
                <w:color w:val="000000"/>
              </w:rPr>
              <w:t>1,711</w:t>
            </w:r>
          </w:p>
        </w:tc>
      </w:tr>
      <w:tr w:rsidR="00912178" w:rsidRPr="00AB2DA1" w14:paraId="60FE7C0C" w14:textId="77777777" w:rsidTr="00C174C7">
        <w:trPr>
          <w:trHeight w:val="315"/>
        </w:trPr>
        <w:tc>
          <w:tcPr>
            <w:tcW w:w="245" w:type="pct"/>
          </w:tcPr>
          <w:p w14:paraId="6BE479A2" w14:textId="1B832CD2" w:rsidR="00912178" w:rsidRPr="00C174C7" w:rsidRDefault="00912178" w:rsidP="005733D8">
            <w:pPr>
              <w:pStyle w:val="TableText0"/>
              <w:rPr>
                <w:b/>
              </w:rPr>
            </w:pPr>
            <w:r w:rsidRPr="00C174C7">
              <w:rPr>
                <w:b/>
              </w:rPr>
              <w:t>E</w:t>
            </w:r>
          </w:p>
        </w:tc>
        <w:tc>
          <w:tcPr>
            <w:tcW w:w="3546" w:type="pct"/>
            <w:shd w:val="clear" w:color="auto" w:fill="auto"/>
            <w:vAlign w:val="center"/>
          </w:tcPr>
          <w:p w14:paraId="371B2E1E" w14:textId="3C375483" w:rsidR="00912178" w:rsidRPr="00AB2DA1" w:rsidRDefault="00912178" w:rsidP="005733D8">
            <w:pPr>
              <w:pStyle w:val="TableText0"/>
            </w:pPr>
            <w:r w:rsidRPr="00AB2DA1">
              <w:t xml:space="preserve">Estimated annual cost to the Government </w:t>
            </w:r>
            <w:r w:rsidR="00F54FFC" w:rsidRPr="00AB2DA1">
              <w:t>[</w:t>
            </w:r>
            <w:r w:rsidRPr="00AB2DA1">
              <w:t>$28.35 (DPMQ) × D</w:t>
            </w:r>
            <w:r w:rsidR="00F54FFC" w:rsidRPr="00AB2DA1">
              <w:t>]</w:t>
            </w:r>
          </w:p>
        </w:tc>
        <w:tc>
          <w:tcPr>
            <w:tcW w:w="1209" w:type="pct"/>
            <w:shd w:val="clear" w:color="auto" w:fill="auto"/>
            <w:vAlign w:val="center"/>
          </w:tcPr>
          <w:p w14:paraId="28C50EE4" w14:textId="12AE6ED1" w:rsidR="00912178" w:rsidRPr="00AB2DA1" w:rsidRDefault="00912178" w:rsidP="005733D8">
            <w:pPr>
              <w:pStyle w:val="TableText0"/>
              <w:rPr>
                <w:bCs/>
                <w:color w:val="000000"/>
              </w:rPr>
            </w:pPr>
            <w:r w:rsidRPr="00AB2DA1">
              <w:rPr>
                <w:bCs/>
                <w:color w:val="000000"/>
              </w:rPr>
              <w:t>$48,507</w:t>
            </w:r>
          </w:p>
        </w:tc>
      </w:tr>
      <w:tr w:rsidR="00912178" w:rsidRPr="00AB2DA1" w14:paraId="36492F1A" w14:textId="77777777" w:rsidTr="00C174C7">
        <w:trPr>
          <w:trHeight w:val="315"/>
        </w:trPr>
        <w:tc>
          <w:tcPr>
            <w:tcW w:w="245" w:type="pct"/>
          </w:tcPr>
          <w:p w14:paraId="6CEB9D18" w14:textId="521AB996" w:rsidR="00912178" w:rsidRPr="00C174C7" w:rsidRDefault="00912178" w:rsidP="005733D8">
            <w:pPr>
              <w:pStyle w:val="TableText0"/>
              <w:rPr>
                <w:b/>
              </w:rPr>
            </w:pPr>
            <w:r w:rsidRPr="00C174C7">
              <w:rPr>
                <w:b/>
              </w:rPr>
              <w:t>F</w:t>
            </w:r>
          </w:p>
        </w:tc>
        <w:tc>
          <w:tcPr>
            <w:tcW w:w="3546" w:type="pct"/>
            <w:shd w:val="clear" w:color="auto" w:fill="auto"/>
            <w:vAlign w:val="center"/>
          </w:tcPr>
          <w:p w14:paraId="25F6A1EC" w14:textId="7FC50C49" w:rsidR="00912178" w:rsidRPr="00AB2DA1" w:rsidRDefault="00912178" w:rsidP="005733D8">
            <w:pPr>
              <w:pStyle w:val="TableText0"/>
            </w:pPr>
            <w:r w:rsidRPr="00AB2DA1">
              <w:t xml:space="preserve">Estimated </w:t>
            </w:r>
            <w:r w:rsidR="00EA7CD7" w:rsidRPr="00AB2DA1">
              <w:t>saving</w:t>
            </w:r>
            <w:r w:rsidRPr="00AB2DA1">
              <w:t xml:space="preserve"> to the Government </w:t>
            </w:r>
            <w:r w:rsidR="00EA7CD7" w:rsidRPr="00AB2DA1">
              <w:t>due to decreased prescribing of comparators (</w:t>
            </w:r>
            <w:r w:rsidRPr="00AB2DA1">
              <w:t>assum</w:t>
            </w:r>
            <w:r w:rsidR="00EA7CD7" w:rsidRPr="00AB2DA1">
              <w:t>ing</w:t>
            </w:r>
            <w:r w:rsidRPr="00AB2DA1">
              <w:t xml:space="preserve"> that </w:t>
            </w:r>
            <w:r w:rsidR="00EA7CD7" w:rsidRPr="00AB2DA1">
              <w:t>2 x</w:t>
            </w:r>
            <w:r w:rsidRPr="00AB2DA1">
              <w:t xml:space="preserve"> 5 mL bottles of comparators are routinely required per patient</w:t>
            </w:r>
            <w:r w:rsidR="00EA7CD7" w:rsidRPr="00AB2DA1">
              <w:t>)</w:t>
            </w:r>
            <w:r w:rsidRPr="00AB2DA1">
              <w:t xml:space="preserve">  (DPMQ of comparator × 2 × D)</w:t>
            </w:r>
          </w:p>
        </w:tc>
        <w:tc>
          <w:tcPr>
            <w:tcW w:w="1209" w:type="pct"/>
            <w:shd w:val="clear" w:color="auto" w:fill="auto"/>
            <w:vAlign w:val="center"/>
          </w:tcPr>
          <w:p w14:paraId="01AEAC7C" w14:textId="1678DCCF" w:rsidR="00912178" w:rsidRPr="00AB2DA1" w:rsidRDefault="00912178" w:rsidP="005733D8">
            <w:pPr>
              <w:pStyle w:val="TableText0"/>
              <w:rPr>
                <w:bCs/>
                <w:color w:val="000000"/>
              </w:rPr>
            </w:pPr>
            <w:r w:rsidRPr="00AB2DA1">
              <w:rPr>
                <w:bCs/>
                <w:color w:val="000000"/>
              </w:rPr>
              <w:t xml:space="preserve">$49,414 </w:t>
            </w:r>
            <w:r w:rsidR="00F54FFC" w:rsidRPr="00AB2DA1">
              <w:rPr>
                <w:bCs/>
                <w:color w:val="000000"/>
              </w:rPr>
              <w:t>-</w:t>
            </w:r>
            <w:r w:rsidRPr="00AB2DA1">
              <w:rPr>
                <w:bCs/>
                <w:color w:val="000000"/>
              </w:rPr>
              <w:t xml:space="preserve"> $51,741</w:t>
            </w:r>
            <w:r w:rsidR="001A4D63" w:rsidRPr="00AB2DA1">
              <w:rPr>
                <w:bCs/>
                <w:color w:val="000000"/>
                <w:vertAlign w:val="superscript"/>
              </w:rPr>
              <w:t>a</w:t>
            </w:r>
          </w:p>
        </w:tc>
      </w:tr>
      <w:tr w:rsidR="00912178" w:rsidRPr="00AB2DA1" w14:paraId="1474AE00" w14:textId="77777777" w:rsidTr="00C174C7">
        <w:trPr>
          <w:trHeight w:val="315"/>
        </w:trPr>
        <w:tc>
          <w:tcPr>
            <w:tcW w:w="245" w:type="pct"/>
          </w:tcPr>
          <w:p w14:paraId="76A432F6" w14:textId="682986CE" w:rsidR="00912178" w:rsidRPr="00C174C7" w:rsidRDefault="00912178" w:rsidP="005733D8">
            <w:pPr>
              <w:pStyle w:val="TableText0"/>
              <w:rPr>
                <w:b/>
              </w:rPr>
            </w:pPr>
            <w:r w:rsidRPr="00C174C7">
              <w:rPr>
                <w:b/>
              </w:rPr>
              <w:t>G</w:t>
            </w:r>
          </w:p>
        </w:tc>
        <w:tc>
          <w:tcPr>
            <w:tcW w:w="3546" w:type="pct"/>
            <w:shd w:val="clear" w:color="auto" w:fill="auto"/>
          </w:tcPr>
          <w:p w14:paraId="14440E77" w14:textId="3A67677A" w:rsidR="00912178" w:rsidRPr="00AB2DA1" w:rsidRDefault="00912178" w:rsidP="005733D8">
            <w:pPr>
              <w:pStyle w:val="TableText0"/>
            </w:pPr>
            <w:r w:rsidRPr="00AB2DA1">
              <w:t xml:space="preserve">Estimated net </w:t>
            </w:r>
            <w:r w:rsidR="00EA7CD7" w:rsidRPr="00AB2DA1">
              <w:t xml:space="preserve">financial impact </w:t>
            </w:r>
            <w:r w:rsidRPr="00AB2DA1">
              <w:t>to the Government (F – E)</w:t>
            </w:r>
          </w:p>
        </w:tc>
        <w:tc>
          <w:tcPr>
            <w:tcW w:w="1209" w:type="pct"/>
            <w:shd w:val="clear" w:color="auto" w:fill="auto"/>
            <w:vAlign w:val="center"/>
          </w:tcPr>
          <w:p w14:paraId="11EBB1E4" w14:textId="028BEC3C" w:rsidR="00912178" w:rsidRPr="00AB2DA1" w:rsidRDefault="00EA7CD7" w:rsidP="005733D8">
            <w:pPr>
              <w:pStyle w:val="TableText0"/>
              <w:rPr>
                <w:bCs/>
                <w:color w:val="000000"/>
                <w:vertAlign w:val="superscript"/>
              </w:rPr>
            </w:pPr>
            <w:r w:rsidRPr="00AB2DA1">
              <w:rPr>
                <w:bCs/>
                <w:color w:val="000000"/>
              </w:rPr>
              <w:t xml:space="preserve"> Saving of </w:t>
            </w:r>
            <w:r w:rsidR="00912178" w:rsidRPr="00AB2DA1">
              <w:rPr>
                <w:bCs/>
                <w:color w:val="000000"/>
              </w:rPr>
              <w:t xml:space="preserve">$907 </w:t>
            </w:r>
            <w:r w:rsidR="00F54FFC" w:rsidRPr="00AB2DA1">
              <w:rPr>
                <w:bCs/>
                <w:color w:val="000000"/>
              </w:rPr>
              <w:t>-</w:t>
            </w:r>
            <w:r w:rsidR="00912178" w:rsidRPr="00AB2DA1">
              <w:rPr>
                <w:bCs/>
                <w:color w:val="000000"/>
              </w:rPr>
              <w:t xml:space="preserve"> $3,234</w:t>
            </w:r>
            <w:r w:rsidR="00D35A90" w:rsidRPr="00AB2DA1">
              <w:rPr>
                <w:bCs/>
                <w:color w:val="000000"/>
                <w:vertAlign w:val="superscript"/>
              </w:rPr>
              <w:t>a</w:t>
            </w:r>
          </w:p>
        </w:tc>
      </w:tr>
    </w:tbl>
    <w:p w14:paraId="3089C81B" w14:textId="3CC99307" w:rsidR="00654461" w:rsidRPr="00AB2DA1" w:rsidRDefault="005D52E9" w:rsidP="005733D8">
      <w:pPr>
        <w:pStyle w:val="TableFooter"/>
        <w:widowControl/>
        <w:rPr>
          <w:i/>
        </w:rPr>
      </w:pPr>
      <w:r w:rsidRPr="00C174C7">
        <w:rPr>
          <w:vertAlign w:val="superscript"/>
        </w:rPr>
        <w:t xml:space="preserve">a </w:t>
      </w:r>
      <w:r w:rsidRPr="00AB2DA1">
        <w:t>T</w:t>
      </w:r>
      <w:r w:rsidR="001A4D63" w:rsidRPr="00AB2DA1">
        <w:t>he lower figure assumes that prednisolone with phenylephrine would substitute for the lower cost comparator only (fluorometholone and fluorometholone acetate); the upper figure assumes substitution for the more costly comparator only (dexamethasone). The true figure would likely be somewhere within this range.</w:t>
      </w:r>
    </w:p>
    <w:p w14:paraId="1328726C" w14:textId="38115F45" w:rsidR="00BE26EF" w:rsidRPr="00AB2DA1" w:rsidRDefault="00F33F82" w:rsidP="005733D8">
      <w:pPr>
        <w:pStyle w:val="3Bodytext"/>
        <w:spacing w:before="120"/>
        <w:rPr>
          <w:i/>
        </w:rPr>
      </w:pPr>
      <w:r w:rsidRPr="00AB2DA1">
        <w:t>The</w:t>
      </w:r>
      <w:r w:rsidR="00A03D58" w:rsidRPr="00AB2DA1">
        <w:t xml:space="preserve"> Secretariat estimated utilisation </w:t>
      </w:r>
      <w:r w:rsidRPr="00AB2DA1">
        <w:t>using the same</w:t>
      </w:r>
      <w:r w:rsidR="00BE26EF" w:rsidRPr="00AB2DA1">
        <w:t xml:space="preserve"> AIHW </w:t>
      </w:r>
      <w:r w:rsidRPr="00AB2DA1">
        <w:t>data referred to the minor submission</w:t>
      </w:r>
      <w:r w:rsidR="00016D5C" w:rsidRPr="00AB2DA1">
        <w:rPr>
          <w:rStyle w:val="FootnoteReference"/>
        </w:rPr>
        <w:footnoteReference w:id="2"/>
      </w:r>
      <w:r w:rsidR="00A03D58" w:rsidRPr="00AB2DA1">
        <w:t xml:space="preserve"> and </w:t>
      </w:r>
      <w:r w:rsidRPr="00AB2DA1">
        <w:t>population projections from the</w:t>
      </w:r>
      <w:r w:rsidR="00A03D58" w:rsidRPr="00AB2DA1">
        <w:t xml:space="preserve"> </w:t>
      </w:r>
      <w:r w:rsidR="00230900" w:rsidRPr="00AB2DA1">
        <w:t>Australian Bureau of Statistics (</w:t>
      </w:r>
      <w:r w:rsidR="00331887" w:rsidRPr="00AB2DA1">
        <w:t>ABS</w:t>
      </w:r>
      <w:r w:rsidR="00230900" w:rsidRPr="00AB2DA1">
        <w:t>)</w:t>
      </w:r>
      <w:r w:rsidR="00EF57B8" w:rsidRPr="00AB2DA1">
        <w:rPr>
          <w:rStyle w:val="FootnoteReference"/>
        </w:rPr>
        <w:footnoteReference w:id="3"/>
      </w:r>
      <w:r w:rsidR="00A03D58" w:rsidRPr="00AB2DA1">
        <w:t>.</w:t>
      </w:r>
    </w:p>
    <w:p w14:paraId="77526036" w14:textId="7C027A32" w:rsidR="004E7C40" w:rsidRPr="00AB2DA1" w:rsidRDefault="004E7C40" w:rsidP="005733D8">
      <w:pPr>
        <w:pStyle w:val="3Bodytext"/>
        <w:rPr>
          <w:i/>
        </w:rPr>
      </w:pPr>
      <w:r w:rsidRPr="00AB2DA1">
        <w:t xml:space="preserve">Given that the comparators have Unrestricted </w:t>
      </w:r>
      <w:r w:rsidR="00676971" w:rsidRPr="00AB2DA1">
        <w:t xml:space="preserve">PBS </w:t>
      </w:r>
      <w:r w:rsidRPr="00AB2DA1">
        <w:t xml:space="preserve">listings, </w:t>
      </w:r>
      <w:r w:rsidR="00645E80" w:rsidRPr="00AB2DA1">
        <w:t xml:space="preserve">it was not possible to determine what proportion of the </w:t>
      </w:r>
      <w:r w:rsidR="00325922" w:rsidRPr="00AB2DA1">
        <w:t xml:space="preserve">current </w:t>
      </w:r>
      <w:r w:rsidR="00645E80" w:rsidRPr="00AB2DA1">
        <w:t xml:space="preserve">prescriptions of those drugs were for </w:t>
      </w:r>
      <w:r w:rsidR="00645E80" w:rsidRPr="00AB2DA1">
        <w:lastRenderedPageBreak/>
        <w:t xml:space="preserve">patients post cataract surgery, or what quantities of those drugs </w:t>
      </w:r>
      <w:r w:rsidR="00EA7CD7" w:rsidRPr="00AB2DA1">
        <w:t>patient</w:t>
      </w:r>
      <w:r w:rsidR="00D35A90" w:rsidRPr="00AB2DA1">
        <w:t>s</w:t>
      </w:r>
      <w:r w:rsidR="00EA7CD7" w:rsidRPr="00AB2DA1">
        <w:t xml:space="preserve"> typically use after cataract surgery</w:t>
      </w:r>
      <w:r w:rsidR="00645E80" w:rsidRPr="00AB2DA1">
        <w:t>.</w:t>
      </w:r>
    </w:p>
    <w:p w14:paraId="433B141B" w14:textId="0616DC82" w:rsidR="00331887" w:rsidRPr="00AB2DA1" w:rsidRDefault="00F33F82" w:rsidP="005733D8">
      <w:pPr>
        <w:pStyle w:val="3Bodytext"/>
        <w:rPr>
          <w:i/>
        </w:rPr>
      </w:pPr>
      <w:r w:rsidRPr="00AB2DA1">
        <w:t>The</w:t>
      </w:r>
      <w:r w:rsidR="00D83DA1" w:rsidRPr="00AB2DA1">
        <w:t xml:space="preserve"> Secretariat </w:t>
      </w:r>
      <w:r w:rsidR="003563C6" w:rsidRPr="00AB2DA1">
        <w:t xml:space="preserve">made </w:t>
      </w:r>
      <w:r w:rsidR="00331887" w:rsidRPr="00AB2DA1">
        <w:t>the following assumptions</w:t>
      </w:r>
      <w:r w:rsidR="00D83DA1" w:rsidRPr="00AB2DA1">
        <w:t xml:space="preserve"> </w:t>
      </w:r>
      <w:r w:rsidR="00F06DBB" w:rsidRPr="00AB2DA1">
        <w:t>when estimating</w:t>
      </w:r>
      <w:r w:rsidR="00D83DA1" w:rsidRPr="00AB2DA1">
        <w:t xml:space="preserve"> the financial </w:t>
      </w:r>
      <w:r w:rsidRPr="00AB2DA1">
        <w:t>implications of the requested listing</w:t>
      </w:r>
      <w:r w:rsidR="00331887" w:rsidRPr="00AB2DA1">
        <w:t>:</w:t>
      </w:r>
    </w:p>
    <w:p w14:paraId="346B94BF" w14:textId="361622F2" w:rsidR="00EA7CD7" w:rsidRPr="00AB2DA1" w:rsidRDefault="00EA7CD7" w:rsidP="005733D8">
      <w:pPr>
        <w:pStyle w:val="Bulletpoints"/>
        <w:widowControl/>
        <w:rPr>
          <w:i/>
        </w:rPr>
      </w:pPr>
      <w:r w:rsidRPr="00AB2DA1">
        <w:t>Hospitalisation rates for cataract surgery remain the same as rates presented in AIHW National Hospital Morbidity Database, 2015-2017</w:t>
      </w:r>
      <w:r w:rsidR="007B613D" w:rsidRPr="00AB2DA1">
        <w:t>.</w:t>
      </w:r>
      <w:r w:rsidRPr="00AB2DA1">
        <w:t xml:space="preserve"> </w:t>
      </w:r>
    </w:p>
    <w:p w14:paraId="2EE4710C" w14:textId="253D352A" w:rsidR="00A05A0C" w:rsidRPr="00AB2DA1" w:rsidRDefault="00F06DBB" w:rsidP="005733D8">
      <w:pPr>
        <w:pStyle w:val="Bulletpoints"/>
        <w:widowControl/>
        <w:rPr>
          <w:i/>
        </w:rPr>
      </w:pPr>
      <w:r w:rsidRPr="00AB2DA1">
        <w:t xml:space="preserve">Every person who has cataract surgery currently </w:t>
      </w:r>
      <w:r w:rsidR="00281BFE" w:rsidRPr="00AB2DA1">
        <w:t xml:space="preserve">uses </w:t>
      </w:r>
      <w:r w:rsidRPr="00AB2DA1">
        <w:t>two bottles (2 x 5 mL) of one of the PBS-listed comparators</w:t>
      </w:r>
      <w:r w:rsidR="00281BFE" w:rsidRPr="00AB2DA1">
        <w:t>, and therefore</w:t>
      </w:r>
      <w:r w:rsidR="007B613D" w:rsidRPr="00AB2DA1">
        <w:t xml:space="preserve"> currently</w:t>
      </w:r>
      <w:r w:rsidR="00281BFE" w:rsidRPr="00AB2DA1">
        <w:t xml:space="preserve"> pays two </w:t>
      </w:r>
      <w:r w:rsidR="00AB2DA1" w:rsidRPr="00AB2DA1">
        <w:rPr>
          <w:i/>
        </w:rPr>
        <w:t>co-payments</w:t>
      </w:r>
      <w:r w:rsidR="007B613D" w:rsidRPr="00AB2DA1">
        <w:t>.</w:t>
      </w:r>
    </w:p>
    <w:p w14:paraId="44B8A1E8" w14:textId="6C10F82B" w:rsidR="00331887" w:rsidRPr="00AB2DA1" w:rsidRDefault="00F06DBB" w:rsidP="005733D8">
      <w:pPr>
        <w:pStyle w:val="Bulletpoints"/>
        <w:widowControl/>
        <w:rPr>
          <w:i/>
        </w:rPr>
      </w:pPr>
      <w:r w:rsidRPr="00AB2DA1">
        <w:t xml:space="preserve">If prednisolone with phenylephrine were PBS-listed for </w:t>
      </w:r>
      <w:r w:rsidR="003F3D56" w:rsidRPr="00AB2DA1">
        <w:t>use post cataract surgery</w:t>
      </w:r>
      <w:r w:rsidRPr="00AB2DA1">
        <w:t xml:space="preserve">, each patient would receive </w:t>
      </w:r>
      <w:r w:rsidR="009B7684" w:rsidRPr="00AB2DA1">
        <w:t>one script with a maximum quantity of one</w:t>
      </w:r>
      <w:r w:rsidR="00EA7CD7" w:rsidRPr="00AB2DA1">
        <w:t xml:space="preserve"> </w:t>
      </w:r>
      <w:r w:rsidR="00230900" w:rsidRPr="00AB2DA1">
        <w:t>10</w:t>
      </w:r>
      <w:r w:rsidR="003563C6" w:rsidRPr="00AB2DA1">
        <w:t xml:space="preserve"> </w:t>
      </w:r>
      <w:r w:rsidR="00230900" w:rsidRPr="00AB2DA1">
        <w:t xml:space="preserve">mL </w:t>
      </w:r>
      <w:r w:rsidR="00EA7CD7" w:rsidRPr="00AB2DA1">
        <w:t xml:space="preserve">bottle </w:t>
      </w:r>
      <w:r w:rsidR="009B7684" w:rsidRPr="00AB2DA1">
        <w:t>with no repeats</w:t>
      </w:r>
      <w:r w:rsidR="007B613D" w:rsidRPr="00AB2DA1">
        <w:t>.</w:t>
      </w:r>
    </w:p>
    <w:p w14:paraId="28552776" w14:textId="3DDD4B0B" w:rsidR="00C72A3D" w:rsidRPr="00AB2DA1" w:rsidRDefault="00C72A3D" w:rsidP="005733D8">
      <w:pPr>
        <w:pStyle w:val="Bulletpoints"/>
        <w:widowControl/>
        <w:rPr>
          <w:i/>
        </w:rPr>
      </w:pPr>
      <w:r w:rsidRPr="00AB2DA1">
        <w:t>Two-thirds of patients would be prescribed prednisolone with phenylephrine, rather than one of the comparators, if it were PBS-listed for this purpose</w:t>
      </w:r>
      <w:r w:rsidR="007B613D" w:rsidRPr="00AB2DA1">
        <w:t>.</w:t>
      </w:r>
    </w:p>
    <w:p w14:paraId="57732295" w14:textId="667C92BD" w:rsidR="00E63CAD" w:rsidRPr="00AB2DA1" w:rsidRDefault="00C94471" w:rsidP="005733D8">
      <w:pPr>
        <w:pStyle w:val="Bulletpoints"/>
        <w:widowControl/>
        <w:rPr>
          <w:i/>
        </w:rPr>
      </w:pPr>
      <w:r w:rsidRPr="00AB2DA1">
        <w:t xml:space="preserve">For the </w:t>
      </w:r>
      <w:r w:rsidR="00AB2DA1" w:rsidRPr="00AB2DA1">
        <w:rPr>
          <w:i/>
        </w:rPr>
        <w:t>co-payment</w:t>
      </w:r>
      <w:r w:rsidRPr="00AB2DA1">
        <w:t xml:space="preserve"> estimates, it was assumed that all patients will utilise the </w:t>
      </w:r>
      <w:r w:rsidR="0017530E" w:rsidRPr="00AB2DA1">
        <w:t xml:space="preserve">Closing </w:t>
      </w:r>
      <w:r w:rsidRPr="00AB2DA1">
        <w:t>the Gap</w:t>
      </w:r>
      <w:r w:rsidR="005653D4" w:rsidRPr="00AB2DA1">
        <w:t xml:space="preserve"> (CTG)</w:t>
      </w:r>
      <w:r w:rsidRPr="00AB2DA1">
        <w:t xml:space="preserve"> </w:t>
      </w:r>
      <w:r w:rsidR="00AB2DA1" w:rsidRPr="00AB2DA1">
        <w:rPr>
          <w:i/>
        </w:rPr>
        <w:t>Co-payment</w:t>
      </w:r>
      <w:r w:rsidRPr="00AB2DA1">
        <w:t xml:space="preserve"> Measure, with </w:t>
      </w:r>
      <w:r w:rsidR="00E63CAD" w:rsidRPr="00AB2DA1">
        <w:t xml:space="preserve">80% </w:t>
      </w:r>
      <w:r w:rsidRPr="00AB2DA1">
        <w:t xml:space="preserve">eligible </w:t>
      </w:r>
      <w:r w:rsidR="00BA0E24" w:rsidRPr="00AB2DA1">
        <w:t xml:space="preserve">to receive the medicine without paying a PBS </w:t>
      </w:r>
      <w:r w:rsidR="00AB2DA1" w:rsidRPr="00AB2DA1">
        <w:rPr>
          <w:i/>
        </w:rPr>
        <w:t>co-payment</w:t>
      </w:r>
      <w:r w:rsidRPr="00AB2DA1">
        <w:t xml:space="preserve"> and 20</w:t>
      </w:r>
      <w:r w:rsidR="00E63CAD" w:rsidRPr="00AB2DA1">
        <w:t xml:space="preserve">% </w:t>
      </w:r>
      <w:r w:rsidRPr="00AB2DA1">
        <w:t xml:space="preserve">eligible </w:t>
      </w:r>
      <w:r w:rsidR="00BA0E24" w:rsidRPr="00AB2DA1">
        <w:t xml:space="preserve">to pay </w:t>
      </w:r>
      <w:r w:rsidRPr="00AB2DA1">
        <w:t xml:space="preserve">the general </w:t>
      </w:r>
      <w:r w:rsidR="00BA0E24" w:rsidRPr="00AB2DA1">
        <w:t xml:space="preserve">CTG </w:t>
      </w:r>
      <w:r w:rsidR="00AB2DA1" w:rsidRPr="00200D6B">
        <w:t>co-payment</w:t>
      </w:r>
      <w:r w:rsidR="00900002" w:rsidRPr="00AB2DA1">
        <w:t xml:space="preserve"> of</w:t>
      </w:r>
      <w:r w:rsidR="00BA0E24" w:rsidRPr="00AB2DA1">
        <w:t xml:space="preserve"> $6.50 (equivalent to the concessional PBS </w:t>
      </w:r>
      <w:r w:rsidR="00AB2DA1" w:rsidRPr="00200D6B">
        <w:t>co-payment</w:t>
      </w:r>
      <w:r w:rsidR="00BA0E24" w:rsidRPr="00AB2DA1">
        <w:t>)</w:t>
      </w:r>
      <w:r w:rsidR="00027134" w:rsidRPr="00AB2DA1">
        <w:rPr>
          <w:rStyle w:val="FootnoteReference"/>
        </w:rPr>
        <w:footnoteReference w:id="4"/>
      </w:r>
      <w:r w:rsidR="00027134" w:rsidRPr="00AB2DA1">
        <w:t xml:space="preserve">. </w:t>
      </w:r>
    </w:p>
    <w:p w14:paraId="05E7935C" w14:textId="131AAAE4" w:rsidR="00C174C7" w:rsidRPr="00C174C7" w:rsidRDefault="00BE26EF" w:rsidP="005733D8">
      <w:pPr>
        <w:pStyle w:val="3Bodytext"/>
      </w:pPr>
      <w:r w:rsidRPr="00AB2DA1">
        <w:t xml:space="preserve">Based on these </w:t>
      </w:r>
      <w:r w:rsidR="00C72A3D" w:rsidRPr="00AB2DA1">
        <w:t>assumptions</w:t>
      </w:r>
      <w:r w:rsidRPr="00AB2DA1">
        <w:t xml:space="preserve">, the </w:t>
      </w:r>
      <w:r w:rsidR="00B65990" w:rsidRPr="00AB2DA1">
        <w:t>Secretariat</w:t>
      </w:r>
      <w:r w:rsidR="00FF2801" w:rsidRPr="00AB2DA1">
        <w:t xml:space="preserve"> estimated</w:t>
      </w:r>
      <w:r w:rsidR="00C00DA7" w:rsidRPr="00AB2DA1">
        <w:t xml:space="preserve"> a net </w:t>
      </w:r>
      <w:r w:rsidR="00281BFE" w:rsidRPr="00AB2DA1">
        <w:t xml:space="preserve">cost </w:t>
      </w:r>
      <w:r w:rsidR="00B65990" w:rsidRPr="00AB2DA1">
        <w:t xml:space="preserve">to the PBS </w:t>
      </w:r>
      <w:r w:rsidR="00D83DA1" w:rsidRPr="00AB2DA1">
        <w:t>between</w:t>
      </w:r>
      <w:r w:rsidR="00B65990" w:rsidRPr="00AB2DA1">
        <w:t xml:space="preserve"> $1</w:t>
      </w:r>
      <w:r w:rsidR="00281BFE" w:rsidRPr="00AB2DA1">
        <w:t>31</w:t>
      </w:r>
      <w:r w:rsidR="006C547C" w:rsidRPr="00AB2DA1">
        <w:t xml:space="preserve"> </w:t>
      </w:r>
      <w:r w:rsidR="00B65990" w:rsidRPr="00AB2DA1">
        <w:t>to $</w:t>
      </w:r>
      <w:r w:rsidR="00281BFE" w:rsidRPr="00AB2DA1">
        <w:t>3</w:t>
      </w:r>
      <w:r w:rsidR="007B613D" w:rsidRPr="00AB2DA1">
        <w:t>,</w:t>
      </w:r>
      <w:r w:rsidR="00281BFE" w:rsidRPr="00AB2DA1">
        <w:t>104</w:t>
      </w:r>
      <w:r w:rsidR="00C00DA7" w:rsidRPr="00AB2DA1">
        <w:t xml:space="preserve"> in Year </w:t>
      </w:r>
      <w:r w:rsidR="00977BF3" w:rsidRPr="00AB2DA1">
        <w:t>6</w:t>
      </w:r>
      <w:r w:rsidR="00C00DA7" w:rsidRPr="00AB2DA1">
        <w:t xml:space="preserve"> of listing, </w:t>
      </w:r>
      <w:r w:rsidR="00D83DA1" w:rsidRPr="00AB2DA1">
        <w:t xml:space="preserve">and </w:t>
      </w:r>
      <w:r w:rsidR="00C00DA7" w:rsidRPr="00AB2DA1">
        <w:t xml:space="preserve">a total net </w:t>
      </w:r>
      <w:r w:rsidR="00281BFE" w:rsidRPr="00AB2DA1">
        <w:t xml:space="preserve">cost </w:t>
      </w:r>
      <w:r w:rsidR="00C00DA7" w:rsidRPr="00AB2DA1">
        <w:t xml:space="preserve">to the PBS </w:t>
      </w:r>
      <w:r w:rsidR="00B65990" w:rsidRPr="00AB2DA1">
        <w:t>between $</w:t>
      </w:r>
      <w:r w:rsidR="00B660DF" w:rsidRPr="00AB2DA1">
        <w:t>749</w:t>
      </w:r>
      <w:r w:rsidR="00B65990" w:rsidRPr="00AB2DA1">
        <w:t xml:space="preserve"> </w:t>
      </w:r>
      <w:r w:rsidR="004F6BC3" w:rsidRPr="00AB2DA1">
        <w:t>and</w:t>
      </w:r>
      <w:r w:rsidR="00B65990" w:rsidRPr="00AB2DA1">
        <w:t xml:space="preserve"> $</w:t>
      </w:r>
      <w:r w:rsidR="00B660DF" w:rsidRPr="00AB2DA1">
        <w:t>17,736</w:t>
      </w:r>
      <w:r w:rsidR="00C7409E" w:rsidRPr="00AB2DA1">
        <w:t xml:space="preserve"> </w:t>
      </w:r>
      <w:r w:rsidR="00C00DA7" w:rsidRPr="00AB2DA1">
        <w:t>ove</w:t>
      </w:r>
      <w:r w:rsidR="00C7409E" w:rsidRPr="00AB2DA1">
        <w:t xml:space="preserve">r the first </w:t>
      </w:r>
      <w:r w:rsidR="00977BF3" w:rsidRPr="00AB2DA1">
        <w:t>6</w:t>
      </w:r>
      <w:r w:rsidR="00C7409E" w:rsidRPr="00AB2DA1">
        <w:t xml:space="preserve"> years of listing. </w:t>
      </w:r>
      <w:r w:rsidR="00C00DA7" w:rsidRPr="00AB2DA1">
        <w:t xml:space="preserve">This is summarised in </w:t>
      </w:r>
      <w:r w:rsidR="004E6EEA" w:rsidRPr="00AB2DA1">
        <w:t xml:space="preserve">Table </w:t>
      </w:r>
      <w:r w:rsidR="00D93FEE" w:rsidRPr="00AB2DA1">
        <w:t>4</w:t>
      </w:r>
      <w:r w:rsidR="004E6EEA" w:rsidRPr="00AB2DA1">
        <w:t xml:space="preserve"> with </w:t>
      </w:r>
      <w:r w:rsidR="00977BF3" w:rsidRPr="00AB2DA1">
        <w:t xml:space="preserve">the expected patient and </w:t>
      </w:r>
      <w:r w:rsidR="00C00DA7" w:rsidRPr="00AB2DA1">
        <w:t xml:space="preserve">prescription numbers. </w:t>
      </w:r>
    </w:p>
    <w:p w14:paraId="0050FB51" w14:textId="77777777" w:rsidR="003B6BB2" w:rsidRDefault="003B6BB2">
      <w:pPr>
        <w:rPr>
          <w:rStyle w:val="CommentReference"/>
          <w:rFonts w:ascii="Arial Narrow" w:hAnsi="Arial Narrow"/>
          <w:b/>
          <w:sz w:val="20"/>
          <w:szCs w:val="20"/>
        </w:rPr>
      </w:pPr>
      <w:r>
        <w:rPr>
          <w:rStyle w:val="CommentReference"/>
          <w:sz w:val="20"/>
          <w:szCs w:val="20"/>
        </w:rPr>
        <w:br w:type="page"/>
      </w:r>
    </w:p>
    <w:p w14:paraId="5C2947A3" w14:textId="7C1D04E0" w:rsidR="00A03D58" w:rsidRPr="00AB2DA1" w:rsidRDefault="00A03D58" w:rsidP="005733D8">
      <w:pPr>
        <w:pStyle w:val="Tabletitles"/>
      </w:pPr>
      <w:r w:rsidRPr="00AB2DA1">
        <w:rPr>
          <w:rStyle w:val="CommentReference"/>
          <w:sz w:val="20"/>
          <w:szCs w:val="20"/>
        </w:rPr>
        <w:lastRenderedPageBreak/>
        <w:t xml:space="preserve">Table </w:t>
      </w:r>
      <w:r w:rsidR="00D93FEE" w:rsidRPr="00AB2DA1">
        <w:rPr>
          <w:rStyle w:val="CommentReference"/>
          <w:sz w:val="20"/>
          <w:szCs w:val="20"/>
        </w:rPr>
        <w:t>4</w:t>
      </w:r>
      <w:r w:rsidRPr="00AB2DA1">
        <w:rPr>
          <w:rStyle w:val="CommentReference"/>
          <w:sz w:val="20"/>
          <w:szCs w:val="20"/>
        </w:rPr>
        <w:t xml:space="preserve">: </w:t>
      </w:r>
      <w:r w:rsidR="005653D4" w:rsidRPr="00AB2DA1">
        <w:rPr>
          <w:rStyle w:val="CommentReference"/>
          <w:sz w:val="20"/>
          <w:szCs w:val="20"/>
        </w:rPr>
        <w:t>Secretariat e</w:t>
      </w:r>
      <w:r w:rsidRPr="00AB2DA1">
        <w:rPr>
          <w:rStyle w:val="CommentReference"/>
          <w:sz w:val="20"/>
          <w:szCs w:val="20"/>
        </w:rPr>
        <w:t xml:space="preserve">stimated use and financial </w:t>
      </w:r>
      <w:r w:rsidRPr="005733D8">
        <w:rPr>
          <w:rStyle w:val="CommentReference"/>
          <w:sz w:val="20"/>
          <w:szCs w:val="22"/>
        </w:rPr>
        <w:t>implications</w:t>
      </w:r>
    </w:p>
    <w:tbl>
      <w:tblPr>
        <w:tblW w:w="9247"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4"/>
        <w:gridCol w:w="1425"/>
        <w:gridCol w:w="1219"/>
        <w:gridCol w:w="1219"/>
        <w:gridCol w:w="1219"/>
        <w:gridCol w:w="1219"/>
        <w:gridCol w:w="1252"/>
      </w:tblGrid>
      <w:tr w:rsidR="00BD790F" w:rsidRPr="00AE2944" w14:paraId="6CD9BA06" w14:textId="77777777" w:rsidTr="00F40F49">
        <w:trPr>
          <w:trHeight w:val="315"/>
        </w:trPr>
        <w:tc>
          <w:tcPr>
            <w:tcW w:w="1694" w:type="dxa"/>
            <w:shd w:val="clear" w:color="auto" w:fill="auto"/>
            <w:vAlign w:val="center"/>
            <w:hideMark/>
          </w:tcPr>
          <w:p w14:paraId="3033516E" w14:textId="77777777" w:rsidR="00BD790F" w:rsidRPr="00AE2944" w:rsidRDefault="00BD790F" w:rsidP="005733D8">
            <w:pPr>
              <w:pStyle w:val="TableText0"/>
            </w:pPr>
            <w:r w:rsidRPr="00AE2944">
              <w:t> </w:t>
            </w:r>
          </w:p>
        </w:tc>
        <w:tc>
          <w:tcPr>
            <w:tcW w:w="1425" w:type="dxa"/>
            <w:shd w:val="clear" w:color="auto" w:fill="auto"/>
            <w:vAlign w:val="center"/>
            <w:hideMark/>
          </w:tcPr>
          <w:p w14:paraId="3BC7A953" w14:textId="77777777" w:rsidR="00BD790F" w:rsidRPr="00AE2944" w:rsidRDefault="00BD790F" w:rsidP="005733D8">
            <w:pPr>
              <w:pStyle w:val="TableText0"/>
              <w:rPr>
                <w:b/>
                <w:bCs/>
              </w:rPr>
            </w:pPr>
            <w:r w:rsidRPr="00AE2944">
              <w:rPr>
                <w:b/>
                <w:bCs/>
              </w:rPr>
              <w:t>Year 1</w:t>
            </w:r>
          </w:p>
        </w:tc>
        <w:tc>
          <w:tcPr>
            <w:tcW w:w="1219" w:type="dxa"/>
            <w:shd w:val="clear" w:color="auto" w:fill="auto"/>
            <w:vAlign w:val="center"/>
            <w:hideMark/>
          </w:tcPr>
          <w:p w14:paraId="75B7B01D" w14:textId="77777777" w:rsidR="00BD790F" w:rsidRPr="00AE2944" w:rsidRDefault="00BD790F" w:rsidP="005733D8">
            <w:pPr>
              <w:pStyle w:val="TableText0"/>
              <w:rPr>
                <w:b/>
                <w:bCs/>
              </w:rPr>
            </w:pPr>
            <w:r w:rsidRPr="00AE2944">
              <w:rPr>
                <w:b/>
                <w:bCs/>
              </w:rPr>
              <w:t>Year 2</w:t>
            </w:r>
          </w:p>
        </w:tc>
        <w:tc>
          <w:tcPr>
            <w:tcW w:w="1219" w:type="dxa"/>
            <w:shd w:val="clear" w:color="auto" w:fill="auto"/>
            <w:vAlign w:val="center"/>
            <w:hideMark/>
          </w:tcPr>
          <w:p w14:paraId="22EC3602" w14:textId="77777777" w:rsidR="00BD790F" w:rsidRPr="00AE2944" w:rsidRDefault="00BD790F" w:rsidP="005733D8">
            <w:pPr>
              <w:pStyle w:val="TableText0"/>
              <w:rPr>
                <w:b/>
                <w:bCs/>
              </w:rPr>
            </w:pPr>
            <w:r w:rsidRPr="00AE2944">
              <w:rPr>
                <w:b/>
                <w:bCs/>
              </w:rPr>
              <w:t>Year 3</w:t>
            </w:r>
          </w:p>
        </w:tc>
        <w:tc>
          <w:tcPr>
            <w:tcW w:w="1219" w:type="dxa"/>
            <w:shd w:val="clear" w:color="auto" w:fill="auto"/>
            <w:vAlign w:val="center"/>
            <w:hideMark/>
          </w:tcPr>
          <w:p w14:paraId="5AE0ACBD" w14:textId="77777777" w:rsidR="00BD790F" w:rsidRPr="00AE2944" w:rsidRDefault="00BD790F" w:rsidP="005733D8">
            <w:pPr>
              <w:pStyle w:val="TableText0"/>
              <w:rPr>
                <w:b/>
                <w:bCs/>
              </w:rPr>
            </w:pPr>
            <w:r w:rsidRPr="00AE2944">
              <w:rPr>
                <w:b/>
                <w:bCs/>
              </w:rPr>
              <w:t>Year 4</w:t>
            </w:r>
          </w:p>
        </w:tc>
        <w:tc>
          <w:tcPr>
            <w:tcW w:w="1219" w:type="dxa"/>
            <w:shd w:val="clear" w:color="auto" w:fill="auto"/>
            <w:vAlign w:val="center"/>
            <w:hideMark/>
          </w:tcPr>
          <w:p w14:paraId="784FA978" w14:textId="77777777" w:rsidR="00BD790F" w:rsidRPr="00AE2944" w:rsidRDefault="00BD790F" w:rsidP="005733D8">
            <w:pPr>
              <w:pStyle w:val="TableText0"/>
              <w:rPr>
                <w:b/>
                <w:bCs/>
              </w:rPr>
            </w:pPr>
            <w:r w:rsidRPr="00AE2944">
              <w:rPr>
                <w:b/>
                <w:bCs/>
              </w:rPr>
              <w:t>Year 5</w:t>
            </w:r>
          </w:p>
        </w:tc>
        <w:tc>
          <w:tcPr>
            <w:tcW w:w="1252" w:type="dxa"/>
            <w:shd w:val="clear" w:color="auto" w:fill="auto"/>
            <w:vAlign w:val="center"/>
            <w:hideMark/>
          </w:tcPr>
          <w:p w14:paraId="2325667E" w14:textId="77777777" w:rsidR="00BD790F" w:rsidRPr="00AE2944" w:rsidRDefault="00BD790F" w:rsidP="005733D8">
            <w:pPr>
              <w:pStyle w:val="TableText0"/>
              <w:rPr>
                <w:b/>
                <w:bCs/>
              </w:rPr>
            </w:pPr>
            <w:r w:rsidRPr="00AE2944">
              <w:rPr>
                <w:b/>
                <w:bCs/>
              </w:rPr>
              <w:t>Year 6</w:t>
            </w:r>
          </w:p>
        </w:tc>
      </w:tr>
      <w:tr w:rsidR="00BD790F" w:rsidRPr="00AE2944" w14:paraId="7A99B908" w14:textId="77777777" w:rsidTr="00F40F49">
        <w:trPr>
          <w:trHeight w:val="315"/>
        </w:trPr>
        <w:tc>
          <w:tcPr>
            <w:tcW w:w="9247" w:type="dxa"/>
            <w:gridSpan w:val="7"/>
            <w:shd w:val="clear" w:color="auto" w:fill="auto"/>
            <w:vAlign w:val="center"/>
            <w:hideMark/>
          </w:tcPr>
          <w:p w14:paraId="77C2789B" w14:textId="77777777" w:rsidR="00BD790F" w:rsidRPr="00AE2944" w:rsidRDefault="00BD790F" w:rsidP="005733D8">
            <w:pPr>
              <w:pStyle w:val="TableText0"/>
              <w:rPr>
                <w:b/>
                <w:bCs/>
              </w:rPr>
            </w:pPr>
            <w:r w:rsidRPr="00AE2944">
              <w:rPr>
                <w:b/>
                <w:bCs/>
              </w:rPr>
              <w:t>Estimated extent of use</w:t>
            </w:r>
          </w:p>
        </w:tc>
      </w:tr>
      <w:tr w:rsidR="00BD790F" w:rsidRPr="00AE2944" w14:paraId="121B2D89" w14:textId="77777777" w:rsidTr="00F40F49">
        <w:trPr>
          <w:trHeight w:val="315"/>
        </w:trPr>
        <w:tc>
          <w:tcPr>
            <w:tcW w:w="1694" w:type="dxa"/>
            <w:shd w:val="clear" w:color="auto" w:fill="auto"/>
            <w:vAlign w:val="center"/>
            <w:hideMark/>
          </w:tcPr>
          <w:p w14:paraId="765C694E" w14:textId="3015FB80" w:rsidR="00BD790F" w:rsidRPr="00AE2944" w:rsidRDefault="00BD790F" w:rsidP="005733D8">
            <w:pPr>
              <w:pStyle w:val="TableText0"/>
            </w:pPr>
            <w:r w:rsidRPr="00AE2944">
              <w:t>Number of patients treated</w:t>
            </w:r>
            <w:r w:rsidR="00E34965" w:rsidRPr="00AE2944">
              <w:rPr>
                <w:vertAlign w:val="superscript"/>
              </w:rPr>
              <w:t>a</w:t>
            </w:r>
          </w:p>
        </w:tc>
        <w:tc>
          <w:tcPr>
            <w:tcW w:w="1425" w:type="dxa"/>
            <w:shd w:val="clear" w:color="auto" w:fill="auto"/>
            <w:vAlign w:val="center"/>
            <w:hideMark/>
          </w:tcPr>
          <w:p w14:paraId="5240C9D9" w14:textId="01EF2F2E" w:rsidR="00BD790F" w:rsidRPr="00AE2944" w:rsidRDefault="00BD790F" w:rsidP="005733D8">
            <w:pPr>
              <w:pStyle w:val="TableText0"/>
              <w:rPr>
                <w:bCs/>
              </w:rPr>
            </w:pPr>
            <w:r w:rsidRPr="00AE2944">
              <w:rPr>
                <w:bCs/>
              </w:rPr>
              <w:t>1</w:t>
            </w:r>
            <w:r w:rsidR="00012E23" w:rsidRPr="00AE2944">
              <w:rPr>
                <w:bCs/>
              </w:rPr>
              <w:t>,</w:t>
            </w:r>
            <w:r w:rsidRPr="00AE2944">
              <w:rPr>
                <w:bCs/>
              </w:rPr>
              <w:t>980</w:t>
            </w:r>
          </w:p>
        </w:tc>
        <w:tc>
          <w:tcPr>
            <w:tcW w:w="1219" w:type="dxa"/>
            <w:shd w:val="clear" w:color="auto" w:fill="auto"/>
            <w:vAlign w:val="center"/>
            <w:hideMark/>
          </w:tcPr>
          <w:p w14:paraId="1A8C750F" w14:textId="1F1D7F0C" w:rsidR="00BD790F" w:rsidRPr="00AE2944" w:rsidRDefault="00BD790F" w:rsidP="005733D8">
            <w:pPr>
              <w:pStyle w:val="TableText0"/>
              <w:rPr>
                <w:bCs/>
              </w:rPr>
            </w:pPr>
            <w:r w:rsidRPr="00AE2944">
              <w:rPr>
                <w:bCs/>
              </w:rPr>
              <w:t>2</w:t>
            </w:r>
            <w:r w:rsidR="00012E23" w:rsidRPr="00AE2944">
              <w:rPr>
                <w:bCs/>
              </w:rPr>
              <w:t>,</w:t>
            </w:r>
            <w:r w:rsidRPr="00AE2944">
              <w:rPr>
                <w:bCs/>
              </w:rPr>
              <w:t>019</w:t>
            </w:r>
          </w:p>
        </w:tc>
        <w:tc>
          <w:tcPr>
            <w:tcW w:w="1219" w:type="dxa"/>
            <w:shd w:val="clear" w:color="auto" w:fill="auto"/>
            <w:vAlign w:val="center"/>
            <w:hideMark/>
          </w:tcPr>
          <w:p w14:paraId="19737128" w14:textId="1F05976A" w:rsidR="00BD790F" w:rsidRPr="00AE2944" w:rsidRDefault="00BD790F" w:rsidP="005733D8">
            <w:pPr>
              <w:pStyle w:val="TableText0"/>
              <w:rPr>
                <w:bCs/>
              </w:rPr>
            </w:pPr>
            <w:r w:rsidRPr="00AE2944">
              <w:rPr>
                <w:bCs/>
              </w:rPr>
              <w:t>2</w:t>
            </w:r>
            <w:r w:rsidR="00012E23" w:rsidRPr="00AE2944">
              <w:rPr>
                <w:bCs/>
              </w:rPr>
              <w:t>,</w:t>
            </w:r>
            <w:r w:rsidRPr="00AE2944">
              <w:rPr>
                <w:bCs/>
              </w:rPr>
              <w:t>060</w:t>
            </w:r>
          </w:p>
        </w:tc>
        <w:tc>
          <w:tcPr>
            <w:tcW w:w="1219" w:type="dxa"/>
            <w:shd w:val="clear" w:color="auto" w:fill="auto"/>
            <w:vAlign w:val="center"/>
            <w:hideMark/>
          </w:tcPr>
          <w:p w14:paraId="7CC8C18D" w14:textId="635CBC77" w:rsidR="00BD790F" w:rsidRPr="00AE2944" w:rsidRDefault="00BD790F" w:rsidP="005733D8">
            <w:pPr>
              <w:pStyle w:val="TableText0"/>
              <w:rPr>
                <w:bCs/>
              </w:rPr>
            </w:pPr>
            <w:r w:rsidRPr="00AE2944">
              <w:rPr>
                <w:bCs/>
              </w:rPr>
              <w:t>2</w:t>
            </w:r>
            <w:r w:rsidR="00012E23" w:rsidRPr="00AE2944">
              <w:rPr>
                <w:bCs/>
              </w:rPr>
              <w:t>,</w:t>
            </w:r>
            <w:r w:rsidRPr="00AE2944">
              <w:rPr>
                <w:bCs/>
              </w:rPr>
              <w:t>101</w:t>
            </w:r>
          </w:p>
        </w:tc>
        <w:tc>
          <w:tcPr>
            <w:tcW w:w="1219" w:type="dxa"/>
            <w:shd w:val="clear" w:color="auto" w:fill="auto"/>
            <w:vAlign w:val="center"/>
            <w:hideMark/>
          </w:tcPr>
          <w:p w14:paraId="3CB63D00" w14:textId="35CDB185" w:rsidR="00BD790F" w:rsidRPr="00AE2944" w:rsidRDefault="00BD790F" w:rsidP="005733D8">
            <w:pPr>
              <w:pStyle w:val="TableText0"/>
              <w:rPr>
                <w:bCs/>
              </w:rPr>
            </w:pPr>
            <w:r w:rsidRPr="00AE2944">
              <w:rPr>
                <w:bCs/>
              </w:rPr>
              <w:t>2</w:t>
            </w:r>
            <w:r w:rsidR="00012E23" w:rsidRPr="00AE2944">
              <w:rPr>
                <w:bCs/>
              </w:rPr>
              <w:t>,</w:t>
            </w:r>
            <w:r w:rsidRPr="00AE2944">
              <w:rPr>
                <w:bCs/>
              </w:rPr>
              <w:t>143</w:t>
            </w:r>
          </w:p>
        </w:tc>
        <w:tc>
          <w:tcPr>
            <w:tcW w:w="1252" w:type="dxa"/>
            <w:shd w:val="clear" w:color="auto" w:fill="auto"/>
            <w:vAlign w:val="center"/>
            <w:hideMark/>
          </w:tcPr>
          <w:p w14:paraId="364F0FBA" w14:textId="07D710EB" w:rsidR="00BD790F" w:rsidRPr="00AE2944" w:rsidRDefault="00BD790F" w:rsidP="005733D8">
            <w:pPr>
              <w:pStyle w:val="TableText0"/>
              <w:rPr>
                <w:bCs/>
              </w:rPr>
            </w:pPr>
            <w:r w:rsidRPr="00AE2944">
              <w:rPr>
                <w:bCs/>
              </w:rPr>
              <w:t>2</w:t>
            </w:r>
            <w:r w:rsidR="00012E23" w:rsidRPr="00AE2944">
              <w:rPr>
                <w:bCs/>
              </w:rPr>
              <w:t>,</w:t>
            </w:r>
            <w:r w:rsidRPr="00AE2944">
              <w:rPr>
                <w:bCs/>
              </w:rPr>
              <w:t>186</w:t>
            </w:r>
          </w:p>
        </w:tc>
      </w:tr>
      <w:tr w:rsidR="00BD790F" w:rsidRPr="00AE2944" w14:paraId="538CC180" w14:textId="77777777" w:rsidTr="00F40F49">
        <w:trPr>
          <w:trHeight w:val="315"/>
        </w:trPr>
        <w:tc>
          <w:tcPr>
            <w:tcW w:w="1694" w:type="dxa"/>
            <w:shd w:val="clear" w:color="auto" w:fill="auto"/>
            <w:vAlign w:val="center"/>
            <w:hideMark/>
          </w:tcPr>
          <w:p w14:paraId="37AEA7E1" w14:textId="5BC4BC18" w:rsidR="00BD790F" w:rsidRPr="00AE2944" w:rsidRDefault="00BD790F" w:rsidP="005733D8">
            <w:pPr>
              <w:pStyle w:val="TableText0"/>
            </w:pPr>
            <w:r w:rsidRPr="00AE2944">
              <w:t>Number of scripts dispensed</w:t>
            </w:r>
            <w:r w:rsidR="00E34965" w:rsidRPr="00AE2944">
              <w:rPr>
                <w:vertAlign w:val="superscript"/>
              </w:rPr>
              <w:t>b</w:t>
            </w:r>
          </w:p>
        </w:tc>
        <w:tc>
          <w:tcPr>
            <w:tcW w:w="1425" w:type="dxa"/>
            <w:shd w:val="clear" w:color="auto" w:fill="auto"/>
            <w:vAlign w:val="center"/>
            <w:hideMark/>
          </w:tcPr>
          <w:p w14:paraId="426B24AD" w14:textId="2B3C837D" w:rsidR="00BD790F" w:rsidRPr="00AE2944" w:rsidRDefault="00BD790F" w:rsidP="005733D8">
            <w:pPr>
              <w:pStyle w:val="TableText0"/>
              <w:rPr>
                <w:bCs/>
              </w:rPr>
            </w:pPr>
            <w:r w:rsidRPr="00AE2944">
              <w:rPr>
                <w:bCs/>
              </w:rPr>
              <w:t>1</w:t>
            </w:r>
            <w:r w:rsidR="00012E23" w:rsidRPr="00AE2944">
              <w:rPr>
                <w:bCs/>
              </w:rPr>
              <w:t>,</w:t>
            </w:r>
            <w:r w:rsidRPr="00AE2944">
              <w:rPr>
                <w:bCs/>
              </w:rPr>
              <w:t>980</w:t>
            </w:r>
          </w:p>
        </w:tc>
        <w:tc>
          <w:tcPr>
            <w:tcW w:w="1219" w:type="dxa"/>
            <w:shd w:val="clear" w:color="auto" w:fill="auto"/>
            <w:vAlign w:val="center"/>
            <w:hideMark/>
          </w:tcPr>
          <w:p w14:paraId="236AD4B2" w14:textId="434C7772" w:rsidR="00BD790F" w:rsidRPr="00AE2944" w:rsidRDefault="00BD790F" w:rsidP="005733D8">
            <w:pPr>
              <w:pStyle w:val="TableText0"/>
              <w:rPr>
                <w:bCs/>
              </w:rPr>
            </w:pPr>
            <w:r w:rsidRPr="00AE2944">
              <w:rPr>
                <w:bCs/>
              </w:rPr>
              <w:t>2</w:t>
            </w:r>
            <w:r w:rsidR="00012E23" w:rsidRPr="00AE2944">
              <w:rPr>
                <w:bCs/>
              </w:rPr>
              <w:t>,</w:t>
            </w:r>
            <w:r w:rsidRPr="00AE2944">
              <w:rPr>
                <w:bCs/>
              </w:rPr>
              <w:t>019</w:t>
            </w:r>
          </w:p>
        </w:tc>
        <w:tc>
          <w:tcPr>
            <w:tcW w:w="1219" w:type="dxa"/>
            <w:shd w:val="clear" w:color="auto" w:fill="auto"/>
            <w:vAlign w:val="center"/>
            <w:hideMark/>
          </w:tcPr>
          <w:p w14:paraId="546E6DF4" w14:textId="173F9DD9" w:rsidR="00BD790F" w:rsidRPr="00AE2944" w:rsidRDefault="00BD790F" w:rsidP="005733D8">
            <w:pPr>
              <w:pStyle w:val="TableText0"/>
              <w:rPr>
                <w:bCs/>
              </w:rPr>
            </w:pPr>
            <w:r w:rsidRPr="00AE2944">
              <w:rPr>
                <w:bCs/>
              </w:rPr>
              <w:t>2</w:t>
            </w:r>
            <w:r w:rsidR="00012E23" w:rsidRPr="00AE2944">
              <w:rPr>
                <w:bCs/>
              </w:rPr>
              <w:t>,</w:t>
            </w:r>
            <w:r w:rsidRPr="00AE2944">
              <w:rPr>
                <w:bCs/>
              </w:rPr>
              <w:t>060</w:t>
            </w:r>
          </w:p>
        </w:tc>
        <w:tc>
          <w:tcPr>
            <w:tcW w:w="1219" w:type="dxa"/>
            <w:shd w:val="clear" w:color="auto" w:fill="auto"/>
            <w:vAlign w:val="center"/>
            <w:hideMark/>
          </w:tcPr>
          <w:p w14:paraId="2B7D19CF" w14:textId="4ACDFE0C" w:rsidR="00BD790F" w:rsidRPr="00AE2944" w:rsidRDefault="00BD790F" w:rsidP="005733D8">
            <w:pPr>
              <w:pStyle w:val="TableText0"/>
              <w:rPr>
                <w:bCs/>
              </w:rPr>
            </w:pPr>
            <w:r w:rsidRPr="00AE2944">
              <w:rPr>
                <w:bCs/>
              </w:rPr>
              <w:t>2</w:t>
            </w:r>
            <w:r w:rsidR="00012E23" w:rsidRPr="00AE2944">
              <w:rPr>
                <w:bCs/>
              </w:rPr>
              <w:t>,</w:t>
            </w:r>
            <w:r w:rsidRPr="00AE2944">
              <w:rPr>
                <w:bCs/>
              </w:rPr>
              <w:t>101</w:t>
            </w:r>
          </w:p>
        </w:tc>
        <w:tc>
          <w:tcPr>
            <w:tcW w:w="1219" w:type="dxa"/>
            <w:shd w:val="clear" w:color="auto" w:fill="auto"/>
            <w:vAlign w:val="center"/>
            <w:hideMark/>
          </w:tcPr>
          <w:p w14:paraId="7953F0D0" w14:textId="220CB790" w:rsidR="00BD790F" w:rsidRPr="00AE2944" w:rsidRDefault="00BD790F" w:rsidP="005733D8">
            <w:pPr>
              <w:pStyle w:val="TableText0"/>
              <w:rPr>
                <w:bCs/>
              </w:rPr>
            </w:pPr>
            <w:r w:rsidRPr="00AE2944">
              <w:rPr>
                <w:bCs/>
              </w:rPr>
              <w:t>2</w:t>
            </w:r>
            <w:r w:rsidR="00012E23" w:rsidRPr="00AE2944">
              <w:rPr>
                <w:bCs/>
              </w:rPr>
              <w:t>,</w:t>
            </w:r>
            <w:r w:rsidRPr="00AE2944">
              <w:rPr>
                <w:bCs/>
              </w:rPr>
              <w:t>143</w:t>
            </w:r>
          </w:p>
        </w:tc>
        <w:tc>
          <w:tcPr>
            <w:tcW w:w="1252" w:type="dxa"/>
            <w:shd w:val="clear" w:color="auto" w:fill="auto"/>
            <w:vAlign w:val="center"/>
            <w:hideMark/>
          </w:tcPr>
          <w:p w14:paraId="244A5ADE" w14:textId="5C272A96" w:rsidR="00BD790F" w:rsidRPr="00AE2944" w:rsidRDefault="00BD790F" w:rsidP="005733D8">
            <w:pPr>
              <w:pStyle w:val="TableText0"/>
              <w:rPr>
                <w:bCs/>
              </w:rPr>
            </w:pPr>
            <w:r w:rsidRPr="00AE2944">
              <w:rPr>
                <w:bCs/>
              </w:rPr>
              <w:t>2</w:t>
            </w:r>
            <w:r w:rsidR="00012E23" w:rsidRPr="00AE2944">
              <w:rPr>
                <w:bCs/>
              </w:rPr>
              <w:t>,</w:t>
            </w:r>
            <w:r w:rsidRPr="00AE2944">
              <w:rPr>
                <w:bCs/>
              </w:rPr>
              <w:t>186</w:t>
            </w:r>
          </w:p>
        </w:tc>
      </w:tr>
      <w:tr w:rsidR="00BD790F" w:rsidRPr="00AE2944" w14:paraId="3C90CDE3" w14:textId="77777777" w:rsidTr="00F40F49">
        <w:trPr>
          <w:trHeight w:val="315"/>
        </w:trPr>
        <w:tc>
          <w:tcPr>
            <w:tcW w:w="9247" w:type="dxa"/>
            <w:gridSpan w:val="7"/>
            <w:shd w:val="clear" w:color="auto" w:fill="auto"/>
            <w:vAlign w:val="center"/>
            <w:hideMark/>
          </w:tcPr>
          <w:p w14:paraId="59E836F2" w14:textId="591203DE" w:rsidR="00BD790F" w:rsidRPr="00AE2944" w:rsidRDefault="00BD790F" w:rsidP="005733D8">
            <w:pPr>
              <w:pStyle w:val="TableText0"/>
              <w:rPr>
                <w:b/>
                <w:bCs/>
              </w:rPr>
            </w:pPr>
            <w:r w:rsidRPr="00AE2944">
              <w:rPr>
                <w:b/>
                <w:bCs/>
              </w:rPr>
              <w:t>Estimated financial implications of</w:t>
            </w:r>
            <w:r w:rsidR="00C72A3D" w:rsidRPr="00AE2944">
              <w:rPr>
                <w:b/>
                <w:bCs/>
              </w:rPr>
              <w:t xml:space="preserve"> the listing of </w:t>
            </w:r>
            <w:r w:rsidR="00A03D58" w:rsidRPr="00AE2944">
              <w:rPr>
                <w:b/>
                <w:bCs/>
              </w:rPr>
              <w:t>prednisolone</w:t>
            </w:r>
            <w:r w:rsidR="0000116A" w:rsidRPr="00AE2944">
              <w:rPr>
                <w:b/>
                <w:bCs/>
              </w:rPr>
              <w:t xml:space="preserve"> </w:t>
            </w:r>
            <w:r w:rsidR="00A03D58" w:rsidRPr="00AE2944">
              <w:rPr>
                <w:b/>
                <w:bCs/>
              </w:rPr>
              <w:t>with phenylephrine</w:t>
            </w:r>
          </w:p>
        </w:tc>
      </w:tr>
      <w:tr w:rsidR="00BD790F" w:rsidRPr="00AE2944" w14:paraId="07F1F7B9" w14:textId="77777777" w:rsidTr="00F40F49">
        <w:trPr>
          <w:trHeight w:val="315"/>
        </w:trPr>
        <w:tc>
          <w:tcPr>
            <w:tcW w:w="1694" w:type="dxa"/>
            <w:shd w:val="clear" w:color="auto" w:fill="auto"/>
            <w:vAlign w:val="center"/>
            <w:hideMark/>
          </w:tcPr>
          <w:p w14:paraId="1A374D7E" w14:textId="77777777" w:rsidR="00BD790F" w:rsidRPr="00AE2944" w:rsidRDefault="00BD790F" w:rsidP="005733D8">
            <w:pPr>
              <w:pStyle w:val="TableText0"/>
            </w:pPr>
            <w:r w:rsidRPr="00AE2944">
              <w:t>Cost to PBS/RPBS</w:t>
            </w:r>
          </w:p>
        </w:tc>
        <w:tc>
          <w:tcPr>
            <w:tcW w:w="1425" w:type="dxa"/>
            <w:shd w:val="clear" w:color="auto" w:fill="auto"/>
            <w:noWrap/>
            <w:vAlign w:val="bottom"/>
            <w:hideMark/>
          </w:tcPr>
          <w:p w14:paraId="56A48DF3" w14:textId="09150EE0" w:rsidR="00BD790F" w:rsidRPr="00AE2944" w:rsidRDefault="00567ED2" w:rsidP="005733D8">
            <w:pPr>
              <w:pStyle w:val="TableText0"/>
              <w:rPr>
                <w:bCs/>
              </w:rPr>
            </w:pPr>
            <w:r w:rsidRPr="00AE2944">
              <w:rPr>
                <w:bCs/>
              </w:rPr>
              <w:t>$56,124</w:t>
            </w:r>
          </w:p>
        </w:tc>
        <w:tc>
          <w:tcPr>
            <w:tcW w:w="1219" w:type="dxa"/>
            <w:shd w:val="clear" w:color="auto" w:fill="auto"/>
            <w:noWrap/>
            <w:vAlign w:val="bottom"/>
            <w:hideMark/>
          </w:tcPr>
          <w:p w14:paraId="01E67F71" w14:textId="68D8AF56" w:rsidR="00BD790F" w:rsidRPr="00AE2944" w:rsidRDefault="00567ED2" w:rsidP="005733D8">
            <w:pPr>
              <w:pStyle w:val="TableText0"/>
              <w:rPr>
                <w:bCs/>
              </w:rPr>
            </w:pPr>
            <w:r w:rsidRPr="00AE2944">
              <w:rPr>
                <w:bCs/>
              </w:rPr>
              <w:t>$57,251</w:t>
            </w:r>
          </w:p>
        </w:tc>
        <w:tc>
          <w:tcPr>
            <w:tcW w:w="1219" w:type="dxa"/>
            <w:shd w:val="clear" w:color="auto" w:fill="auto"/>
            <w:noWrap/>
            <w:vAlign w:val="bottom"/>
            <w:hideMark/>
          </w:tcPr>
          <w:p w14:paraId="02B3D591" w14:textId="3E6B6178" w:rsidR="00BD790F" w:rsidRPr="00AE2944" w:rsidRDefault="00567ED2" w:rsidP="005733D8">
            <w:pPr>
              <w:pStyle w:val="TableText0"/>
              <w:rPr>
                <w:bCs/>
              </w:rPr>
            </w:pPr>
            <w:r w:rsidRPr="00AE2944">
              <w:rPr>
                <w:bCs/>
              </w:rPr>
              <w:t>$58,402</w:t>
            </w:r>
          </w:p>
        </w:tc>
        <w:tc>
          <w:tcPr>
            <w:tcW w:w="1219" w:type="dxa"/>
            <w:shd w:val="clear" w:color="auto" w:fill="auto"/>
            <w:noWrap/>
            <w:vAlign w:val="bottom"/>
            <w:hideMark/>
          </w:tcPr>
          <w:p w14:paraId="4814C20B" w14:textId="4EE96E5A" w:rsidR="00BD790F" w:rsidRPr="00AE2944" w:rsidRDefault="00567ED2" w:rsidP="005733D8">
            <w:pPr>
              <w:pStyle w:val="TableText0"/>
              <w:rPr>
                <w:bCs/>
              </w:rPr>
            </w:pPr>
            <w:r w:rsidRPr="00AE2944">
              <w:rPr>
                <w:bCs/>
              </w:rPr>
              <w:t>$59,574</w:t>
            </w:r>
          </w:p>
        </w:tc>
        <w:tc>
          <w:tcPr>
            <w:tcW w:w="1219" w:type="dxa"/>
            <w:shd w:val="clear" w:color="auto" w:fill="auto"/>
            <w:noWrap/>
            <w:vAlign w:val="bottom"/>
            <w:hideMark/>
          </w:tcPr>
          <w:p w14:paraId="5F64EA78" w14:textId="7423F402" w:rsidR="00BD790F" w:rsidRPr="00AE2944" w:rsidRDefault="00567ED2" w:rsidP="005733D8">
            <w:pPr>
              <w:pStyle w:val="TableText0"/>
              <w:rPr>
                <w:bCs/>
              </w:rPr>
            </w:pPr>
            <w:r w:rsidRPr="00AE2944">
              <w:rPr>
                <w:bCs/>
              </w:rPr>
              <w:t>$60,766</w:t>
            </w:r>
          </w:p>
        </w:tc>
        <w:tc>
          <w:tcPr>
            <w:tcW w:w="1252" w:type="dxa"/>
            <w:shd w:val="clear" w:color="auto" w:fill="auto"/>
            <w:noWrap/>
            <w:vAlign w:val="bottom"/>
            <w:hideMark/>
          </w:tcPr>
          <w:p w14:paraId="3D83E4EC" w14:textId="36817C20" w:rsidR="00BD790F" w:rsidRPr="00AE2944" w:rsidRDefault="00567ED2" w:rsidP="005733D8">
            <w:pPr>
              <w:pStyle w:val="TableText0"/>
              <w:rPr>
                <w:bCs/>
              </w:rPr>
            </w:pPr>
            <w:r w:rsidRPr="00AE2944">
              <w:rPr>
                <w:bCs/>
              </w:rPr>
              <w:t>$61,976</w:t>
            </w:r>
          </w:p>
        </w:tc>
      </w:tr>
      <w:tr w:rsidR="00BD790F" w:rsidRPr="00AE2944" w14:paraId="41F93373" w14:textId="77777777" w:rsidTr="00F40F49">
        <w:trPr>
          <w:trHeight w:val="315"/>
        </w:trPr>
        <w:tc>
          <w:tcPr>
            <w:tcW w:w="1694" w:type="dxa"/>
            <w:shd w:val="clear" w:color="auto" w:fill="auto"/>
            <w:vAlign w:val="center"/>
            <w:hideMark/>
          </w:tcPr>
          <w:p w14:paraId="68B91A58" w14:textId="5824CB8B" w:rsidR="00BD790F" w:rsidRPr="00AE2944" w:rsidRDefault="00AB2DA1" w:rsidP="005733D8">
            <w:pPr>
              <w:pStyle w:val="TableText0"/>
            </w:pPr>
            <w:r w:rsidRPr="00AE2944">
              <w:t>Co-payments</w:t>
            </w:r>
          </w:p>
        </w:tc>
        <w:tc>
          <w:tcPr>
            <w:tcW w:w="1425" w:type="dxa"/>
            <w:shd w:val="clear" w:color="auto" w:fill="auto"/>
            <w:noWrap/>
            <w:vAlign w:val="bottom"/>
            <w:hideMark/>
          </w:tcPr>
          <w:p w14:paraId="20348D45" w14:textId="78454ECC" w:rsidR="00BD790F" w:rsidRPr="00AE2944" w:rsidRDefault="00567ED2" w:rsidP="005733D8">
            <w:pPr>
              <w:pStyle w:val="TableText0"/>
              <w:rPr>
                <w:bCs/>
              </w:rPr>
            </w:pPr>
            <w:r w:rsidRPr="00AE2944">
              <w:rPr>
                <w:bCs/>
              </w:rPr>
              <w:t>$3,860</w:t>
            </w:r>
          </w:p>
        </w:tc>
        <w:tc>
          <w:tcPr>
            <w:tcW w:w="1219" w:type="dxa"/>
            <w:shd w:val="clear" w:color="auto" w:fill="auto"/>
            <w:noWrap/>
            <w:vAlign w:val="bottom"/>
            <w:hideMark/>
          </w:tcPr>
          <w:p w14:paraId="1B1C47BE" w14:textId="2D49618B" w:rsidR="00BD790F" w:rsidRPr="00AE2944" w:rsidRDefault="00567ED2" w:rsidP="005733D8">
            <w:pPr>
              <w:pStyle w:val="TableText0"/>
              <w:rPr>
                <w:bCs/>
              </w:rPr>
            </w:pPr>
            <w:r w:rsidRPr="00AE2944">
              <w:rPr>
                <w:bCs/>
              </w:rPr>
              <w:t>$3,938</w:t>
            </w:r>
          </w:p>
        </w:tc>
        <w:tc>
          <w:tcPr>
            <w:tcW w:w="1219" w:type="dxa"/>
            <w:shd w:val="clear" w:color="auto" w:fill="auto"/>
            <w:noWrap/>
            <w:vAlign w:val="bottom"/>
            <w:hideMark/>
          </w:tcPr>
          <w:p w14:paraId="26F8F5ED" w14:textId="2F2289C7" w:rsidR="00BD790F" w:rsidRPr="00AE2944" w:rsidRDefault="00567ED2" w:rsidP="005733D8">
            <w:pPr>
              <w:pStyle w:val="TableText0"/>
              <w:rPr>
                <w:bCs/>
              </w:rPr>
            </w:pPr>
            <w:r w:rsidRPr="00AE2944">
              <w:rPr>
                <w:bCs/>
              </w:rPr>
              <w:t>$4,017</w:t>
            </w:r>
          </w:p>
        </w:tc>
        <w:tc>
          <w:tcPr>
            <w:tcW w:w="1219" w:type="dxa"/>
            <w:shd w:val="clear" w:color="auto" w:fill="auto"/>
            <w:noWrap/>
            <w:vAlign w:val="bottom"/>
            <w:hideMark/>
          </w:tcPr>
          <w:p w14:paraId="37FF5DE3" w14:textId="12F69770" w:rsidR="00BD790F" w:rsidRPr="00AE2944" w:rsidRDefault="00567ED2" w:rsidP="005733D8">
            <w:pPr>
              <w:pStyle w:val="TableText0"/>
              <w:rPr>
                <w:bCs/>
              </w:rPr>
            </w:pPr>
            <w:r w:rsidRPr="00AE2944">
              <w:rPr>
                <w:bCs/>
              </w:rPr>
              <w:t>$4,098</w:t>
            </w:r>
          </w:p>
        </w:tc>
        <w:tc>
          <w:tcPr>
            <w:tcW w:w="1219" w:type="dxa"/>
            <w:shd w:val="clear" w:color="auto" w:fill="auto"/>
            <w:noWrap/>
            <w:vAlign w:val="bottom"/>
            <w:hideMark/>
          </w:tcPr>
          <w:p w14:paraId="5AC1B0AB" w14:textId="347FE11C" w:rsidR="00BD790F" w:rsidRPr="00AE2944" w:rsidRDefault="00567ED2" w:rsidP="005733D8">
            <w:pPr>
              <w:pStyle w:val="TableText0"/>
              <w:rPr>
                <w:bCs/>
              </w:rPr>
            </w:pPr>
            <w:r w:rsidRPr="00AE2944">
              <w:rPr>
                <w:bCs/>
              </w:rPr>
              <w:t>$4,180</w:t>
            </w:r>
          </w:p>
        </w:tc>
        <w:tc>
          <w:tcPr>
            <w:tcW w:w="1252" w:type="dxa"/>
            <w:shd w:val="clear" w:color="auto" w:fill="auto"/>
            <w:noWrap/>
            <w:vAlign w:val="bottom"/>
            <w:hideMark/>
          </w:tcPr>
          <w:p w14:paraId="53A37CD7" w14:textId="18A9E81C" w:rsidR="00BD790F" w:rsidRPr="00AE2944" w:rsidRDefault="00567ED2" w:rsidP="005733D8">
            <w:pPr>
              <w:pStyle w:val="TableText0"/>
              <w:rPr>
                <w:bCs/>
              </w:rPr>
            </w:pPr>
            <w:r w:rsidRPr="00AE2944">
              <w:rPr>
                <w:bCs/>
              </w:rPr>
              <w:t>$4,263</w:t>
            </w:r>
          </w:p>
        </w:tc>
      </w:tr>
      <w:tr w:rsidR="00BD790F" w:rsidRPr="00AE2944" w14:paraId="2ADB0A01" w14:textId="77777777" w:rsidTr="00F40F49">
        <w:trPr>
          <w:trHeight w:val="315"/>
        </w:trPr>
        <w:tc>
          <w:tcPr>
            <w:tcW w:w="1694" w:type="dxa"/>
            <w:shd w:val="clear" w:color="auto" w:fill="auto"/>
            <w:vAlign w:val="center"/>
            <w:hideMark/>
          </w:tcPr>
          <w:p w14:paraId="10379979" w14:textId="75641217" w:rsidR="00BD790F" w:rsidRPr="00AE2944" w:rsidRDefault="00BD790F" w:rsidP="005733D8">
            <w:pPr>
              <w:pStyle w:val="TableText0"/>
            </w:pPr>
            <w:r w:rsidRPr="00AE2944">
              <w:t xml:space="preserve">Cost to PBS/RPBS less </w:t>
            </w:r>
            <w:r w:rsidR="00AB2DA1" w:rsidRPr="00AE2944">
              <w:t>co-payments</w:t>
            </w:r>
          </w:p>
        </w:tc>
        <w:tc>
          <w:tcPr>
            <w:tcW w:w="1425" w:type="dxa"/>
            <w:shd w:val="clear" w:color="auto" w:fill="auto"/>
            <w:noWrap/>
            <w:vAlign w:val="bottom"/>
            <w:hideMark/>
          </w:tcPr>
          <w:p w14:paraId="40077081" w14:textId="5B6D1C58" w:rsidR="00BD790F" w:rsidRPr="00AE2944" w:rsidRDefault="00567ED2" w:rsidP="005733D8">
            <w:pPr>
              <w:pStyle w:val="TableText0"/>
              <w:rPr>
                <w:bCs/>
              </w:rPr>
            </w:pPr>
            <w:r w:rsidRPr="00AE2944">
              <w:rPr>
                <w:bCs/>
              </w:rPr>
              <w:t>$52,264</w:t>
            </w:r>
          </w:p>
        </w:tc>
        <w:tc>
          <w:tcPr>
            <w:tcW w:w="1219" w:type="dxa"/>
            <w:shd w:val="clear" w:color="auto" w:fill="auto"/>
            <w:noWrap/>
            <w:vAlign w:val="bottom"/>
            <w:hideMark/>
          </w:tcPr>
          <w:p w14:paraId="7873CB84" w14:textId="7B5511C5" w:rsidR="00BD790F" w:rsidRPr="00AE2944" w:rsidRDefault="00567ED2" w:rsidP="005733D8">
            <w:pPr>
              <w:pStyle w:val="TableText0"/>
              <w:rPr>
                <w:bCs/>
              </w:rPr>
            </w:pPr>
            <w:r w:rsidRPr="00AE2944">
              <w:rPr>
                <w:bCs/>
              </w:rPr>
              <w:t>$53,313</w:t>
            </w:r>
          </w:p>
        </w:tc>
        <w:tc>
          <w:tcPr>
            <w:tcW w:w="1219" w:type="dxa"/>
            <w:shd w:val="clear" w:color="auto" w:fill="auto"/>
            <w:noWrap/>
            <w:vAlign w:val="bottom"/>
            <w:hideMark/>
          </w:tcPr>
          <w:p w14:paraId="0D53922C" w14:textId="4E7F7995" w:rsidR="00BD790F" w:rsidRPr="00AE2944" w:rsidRDefault="00567ED2" w:rsidP="005733D8">
            <w:pPr>
              <w:pStyle w:val="TableText0"/>
              <w:rPr>
                <w:bCs/>
              </w:rPr>
            </w:pPr>
            <w:r w:rsidRPr="00AE2944">
              <w:rPr>
                <w:bCs/>
              </w:rPr>
              <w:t>$54,384</w:t>
            </w:r>
          </w:p>
        </w:tc>
        <w:tc>
          <w:tcPr>
            <w:tcW w:w="1219" w:type="dxa"/>
            <w:shd w:val="clear" w:color="auto" w:fill="auto"/>
            <w:noWrap/>
            <w:vAlign w:val="bottom"/>
            <w:hideMark/>
          </w:tcPr>
          <w:p w14:paraId="5A1B6857" w14:textId="7CDCFE33" w:rsidR="00BD790F" w:rsidRPr="00AE2944" w:rsidRDefault="00567ED2" w:rsidP="005733D8">
            <w:pPr>
              <w:pStyle w:val="TableText0"/>
              <w:rPr>
                <w:bCs/>
              </w:rPr>
            </w:pPr>
            <w:r w:rsidRPr="00AE2944">
              <w:rPr>
                <w:bCs/>
              </w:rPr>
              <w:t>$55,476</w:t>
            </w:r>
          </w:p>
        </w:tc>
        <w:tc>
          <w:tcPr>
            <w:tcW w:w="1219" w:type="dxa"/>
            <w:shd w:val="clear" w:color="auto" w:fill="auto"/>
            <w:noWrap/>
            <w:vAlign w:val="bottom"/>
            <w:hideMark/>
          </w:tcPr>
          <w:p w14:paraId="687EC0F2" w14:textId="134745A4" w:rsidR="00BD790F" w:rsidRPr="00AE2944" w:rsidRDefault="00567ED2" w:rsidP="005733D8">
            <w:pPr>
              <w:pStyle w:val="TableText0"/>
              <w:rPr>
                <w:bCs/>
              </w:rPr>
            </w:pPr>
            <w:r w:rsidRPr="00AE2944">
              <w:rPr>
                <w:bCs/>
              </w:rPr>
              <w:t>$56,587</w:t>
            </w:r>
          </w:p>
        </w:tc>
        <w:tc>
          <w:tcPr>
            <w:tcW w:w="1252" w:type="dxa"/>
            <w:shd w:val="clear" w:color="auto" w:fill="auto"/>
            <w:noWrap/>
            <w:vAlign w:val="bottom"/>
            <w:hideMark/>
          </w:tcPr>
          <w:p w14:paraId="61BD00F8" w14:textId="1123B277" w:rsidR="00BD790F" w:rsidRPr="00AE2944" w:rsidRDefault="00567ED2" w:rsidP="005733D8">
            <w:pPr>
              <w:pStyle w:val="TableText0"/>
              <w:rPr>
                <w:bCs/>
              </w:rPr>
            </w:pPr>
            <w:r w:rsidRPr="00AE2944">
              <w:rPr>
                <w:bCs/>
              </w:rPr>
              <w:t>$57,713</w:t>
            </w:r>
          </w:p>
        </w:tc>
      </w:tr>
      <w:tr w:rsidR="00BD790F" w:rsidRPr="00AE2944" w14:paraId="2C4A97AC" w14:textId="77777777" w:rsidTr="00F40F49">
        <w:trPr>
          <w:trHeight w:val="315"/>
        </w:trPr>
        <w:tc>
          <w:tcPr>
            <w:tcW w:w="9247" w:type="dxa"/>
            <w:gridSpan w:val="7"/>
            <w:shd w:val="clear" w:color="auto" w:fill="auto"/>
            <w:vAlign w:val="center"/>
            <w:hideMark/>
          </w:tcPr>
          <w:p w14:paraId="301B8F06" w14:textId="74B6CDFA" w:rsidR="00BD790F" w:rsidRPr="00AE2944" w:rsidRDefault="00BD790F" w:rsidP="005733D8">
            <w:pPr>
              <w:pStyle w:val="TableText0"/>
            </w:pPr>
            <w:r w:rsidRPr="00AE2944">
              <w:rPr>
                <w:b/>
                <w:bCs/>
              </w:rPr>
              <w:t xml:space="preserve">Estimated financial implications </w:t>
            </w:r>
            <w:r w:rsidR="00BE1DCB" w:rsidRPr="00AE2944">
              <w:rPr>
                <w:b/>
                <w:bCs/>
              </w:rPr>
              <w:t xml:space="preserve">of reduced prescribing </w:t>
            </w:r>
            <w:r w:rsidRPr="00AE2944">
              <w:rPr>
                <w:b/>
                <w:bCs/>
              </w:rPr>
              <w:t>fluorometholone</w:t>
            </w:r>
            <w:r w:rsidR="00BD7EF7" w:rsidRPr="00AE2944">
              <w:rPr>
                <w:b/>
                <w:bCs/>
              </w:rPr>
              <w:t xml:space="preserve"> or fluorometholone acetate</w:t>
            </w:r>
            <w:r w:rsidR="00BE1DCB" w:rsidRPr="00AE2944">
              <w:rPr>
                <w:b/>
                <w:bCs/>
              </w:rPr>
              <w:t xml:space="preserve"> (assuming all patients use 2 x 5 mL bottles)</w:t>
            </w:r>
          </w:p>
        </w:tc>
      </w:tr>
      <w:tr w:rsidR="00BD790F" w:rsidRPr="00AE2944" w14:paraId="6B5AEE5C" w14:textId="77777777" w:rsidTr="00F40F49">
        <w:trPr>
          <w:trHeight w:val="315"/>
        </w:trPr>
        <w:tc>
          <w:tcPr>
            <w:tcW w:w="1694" w:type="dxa"/>
            <w:shd w:val="clear" w:color="auto" w:fill="auto"/>
            <w:vAlign w:val="center"/>
            <w:hideMark/>
          </w:tcPr>
          <w:p w14:paraId="44A967B1" w14:textId="394105A4" w:rsidR="00BD790F" w:rsidRPr="00AE2944" w:rsidRDefault="00BD790F" w:rsidP="005733D8">
            <w:pPr>
              <w:pStyle w:val="TableText0"/>
            </w:pPr>
            <w:r w:rsidRPr="00AE2944">
              <w:t>Cost to PBS/RPBS</w:t>
            </w:r>
            <w:r w:rsidR="00E34965" w:rsidRPr="00AE2944">
              <w:rPr>
                <w:vertAlign w:val="superscript"/>
              </w:rPr>
              <w:t>c</w:t>
            </w:r>
          </w:p>
        </w:tc>
        <w:tc>
          <w:tcPr>
            <w:tcW w:w="1425" w:type="dxa"/>
            <w:shd w:val="clear" w:color="auto" w:fill="auto"/>
            <w:noWrap/>
            <w:vAlign w:val="bottom"/>
            <w:hideMark/>
          </w:tcPr>
          <w:p w14:paraId="31FBD2B5" w14:textId="500F3FB2" w:rsidR="00BD790F" w:rsidRPr="00AE2944" w:rsidRDefault="00567ED2" w:rsidP="005733D8">
            <w:pPr>
              <w:pStyle w:val="TableText0"/>
            </w:pPr>
            <w:r w:rsidRPr="00AE2944">
              <w:rPr>
                <w:bCs/>
              </w:rPr>
              <w:t>$57,173</w:t>
            </w:r>
          </w:p>
        </w:tc>
        <w:tc>
          <w:tcPr>
            <w:tcW w:w="1219" w:type="dxa"/>
            <w:shd w:val="clear" w:color="auto" w:fill="auto"/>
            <w:noWrap/>
            <w:vAlign w:val="bottom"/>
            <w:hideMark/>
          </w:tcPr>
          <w:p w14:paraId="24CF48B1" w14:textId="3FA18A5E" w:rsidR="00BD790F" w:rsidRPr="00AE2944" w:rsidRDefault="00567ED2" w:rsidP="005733D8">
            <w:pPr>
              <w:pStyle w:val="TableText0"/>
            </w:pPr>
            <w:r w:rsidRPr="00AE2944">
              <w:rPr>
                <w:bCs/>
              </w:rPr>
              <w:t>$58,321</w:t>
            </w:r>
          </w:p>
        </w:tc>
        <w:tc>
          <w:tcPr>
            <w:tcW w:w="1219" w:type="dxa"/>
            <w:shd w:val="clear" w:color="auto" w:fill="auto"/>
            <w:noWrap/>
            <w:vAlign w:val="bottom"/>
            <w:hideMark/>
          </w:tcPr>
          <w:p w14:paraId="3F246719" w14:textId="4EF16918" w:rsidR="00BD790F" w:rsidRPr="00AE2944" w:rsidRDefault="00567ED2" w:rsidP="005733D8">
            <w:pPr>
              <w:pStyle w:val="TableText0"/>
            </w:pPr>
            <w:r w:rsidRPr="00AE2944">
              <w:rPr>
                <w:bCs/>
              </w:rPr>
              <w:t>$59,493</w:t>
            </w:r>
          </w:p>
        </w:tc>
        <w:tc>
          <w:tcPr>
            <w:tcW w:w="1219" w:type="dxa"/>
            <w:shd w:val="clear" w:color="auto" w:fill="auto"/>
            <w:noWrap/>
            <w:vAlign w:val="bottom"/>
            <w:hideMark/>
          </w:tcPr>
          <w:p w14:paraId="7293F7C8" w14:textId="6C80B89A" w:rsidR="00BD790F" w:rsidRPr="00AE2944" w:rsidRDefault="00567ED2" w:rsidP="005733D8">
            <w:pPr>
              <w:pStyle w:val="TableText0"/>
            </w:pPr>
            <w:r w:rsidRPr="00AE2944">
              <w:rPr>
                <w:bCs/>
              </w:rPr>
              <w:t>$60,688</w:t>
            </w:r>
          </w:p>
        </w:tc>
        <w:tc>
          <w:tcPr>
            <w:tcW w:w="1219" w:type="dxa"/>
            <w:shd w:val="clear" w:color="auto" w:fill="auto"/>
            <w:noWrap/>
            <w:vAlign w:val="bottom"/>
            <w:hideMark/>
          </w:tcPr>
          <w:p w14:paraId="31959B5C" w14:textId="2F4D01A8" w:rsidR="00BD790F" w:rsidRPr="00AE2944" w:rsidRDefault="00567ED2" w:rsidP="005733D8">
            <w:pPr>
              <w:pStyle w:val="TableText0"/>
            </w:pPr>
            <w:r w:rsidRPr="00AE2944">
              <w:rPr>
                <w:bCs/>
              </w:rPr>
              <w:t>$61,902</w:t>
            </w:r>
          </w:p>
        </w:tc>
        <w:tc>
          <w:tcPr>
            <w:tcW w:w="1252" w:type="dxa"/>
            <w:shd w:val="clear" w:color="auto" w:fill="auto"/>
            <w:noWrap/>
            <w:vAlign w:val="bottom"/>
            <w:hideMark/>
          </w:tcPr>
          <w:p w14:paraId="5375DAE2" w14:textId="7453514A" w:rsidR="00BD790F" w:rsidRPr="00AE2944" w:rsidRDefault="00567ED2" w:rsidP="005733D8">
            <w:pPr>
              <w:pStyle w:val="TableText0"/>
            </w:pPr>
            <w:r w:rsidRPr="00AE2944">
              <w:rPr>
                <w:bCs/>
              </w:rPr>
              <w:t>$63,135</w:t>
            </w:r>
          </w:p>
        </w:tc>
      </w:tr>
      <w:tr w:rsidR="005E6C52" w:rsidRPr="00AE2944" w14:paraId="43E1F338" w14:textId="77777777" w:rsidTr="00F40F49">
        <w:trPr>
          <w:trHeight w:val="315"/>
        </w:trPr>
        <w:tc>
          <w:tcPr>
            <w:tcW w:w="1694" w:type="dxa"/>
            <w:shd w:val="clear" w:color="auto" w:fill="auto"/>
            <w:vAlign w:val="center"/>
            <w:hideMark/>
          </w:tcPr>
          <w:p w14:paraId="1A772C98" w14:textId="23C7732D" w:rsidR="005E6C52" w:rsidRPr="00AE2944" w:rsidRDefault="00AB2DA1" w:rsidP="005733D8">
            <w:pPr>
              <w:pStyle w:val="TableText0"/>
            </w:pPr>
            <w:r w:rsidRPr="00AE2944">
              <w:t>Co-payment</w:t>
            </w:r>
            <w:r w:rsidRPr="00AE2944">
              <w:rPr>
                <w:vertAlign w:val="superscript"/>
              </w:rPr>
              <w:t>s</w:t>
            </w:r>
          </w:p>
        </w:tc>
        <w:tc>
          <w:tcPr>
            <w:tcW w:w="1425" w:type="dxa"/>
            <w:shd w:val="clear" w:color="auto" w:fill="auto"/>
            <w:vAlign w:val="center"/>
            <w:hideMark/>
          </w:tcPr>
          <w:p w14:paraId="68F68FB8" w14:textId="172DBC9C" w:rsidR="005E6C52" w:rsidRPr="00AE2944" w:rsidRDefault="00567ED2" w:rsidP="005733D8">
            <w:pPr>
              <w:pStyle w:val="TableText0"/>
            </w:pPr>
            <w:r w:rsidRPr="00AE2944">
              <w:rPr>
                <w:rFonts w:cs="Calibri"/>
              </w:rPr>
              <w:t>$7,721</w:t>
            </w:r>
          </w:p>
        </w:tc>
        <w:tc>
          <w:tcPr>
            <w:tcW w:w="1219" w:type="dxa"/>
            <w:shd w:val="clear" w:color="auto" w:fill="auto"/>
            <w:vAlign w:val="center"/>
            <w:hideMark/>
          </w:tcPr>
          <w:p w14:paraId="55F47124" w14:textId="3AE60BE7" w:rsidR="005E6C52" w:rsidRPr="00AE2944" w:rsidRDefault="00567ED2" w:rsidP="005733D8">
            <w:pPr>
              <w:pStyle w:val="TableText0"/>
            </w:pPr>
            <w:r w:rsidRPr="00AE2944">
              <w:rPr>
                <w:rFonts w:cs="Calibri"/>
              </w:rPr>
              <w:t>$7,876</w:t>
            </w:r>
          </w:p>
        </w:tc>
        <w:tc>
          <w:tcPr>
            <w:tcW w:w="1219" w:type="dxa"/>
            <w:shd w:val="clear" w:color="auto" w:fill="auto"/>
            <w:vAlign w:val="center"/>
            <w:hideMark/>
          </w:tcPr>
          <w:p w14:paraId="1DA5501E" w14:textId="2ADA0204" w:rsidR="005E6C52" w:rsidRPr="00AE2944" w:rsidRDefault="00567ED2" w:rsidP="005733D8">
            <w:pPr>
              <w:pStyle w:val="TableText0"/>
            </w:pPr>
            <w:r w:rsidRPr="00AE2944">
              <w:rPr>
                <w:rFonts w:cs="Calibri"/>
              </w:rPr>
              <w:t>$8,034</w:t>
            </w:r>
          </w:p>
        </w:tc>
        <w:tc>
          <w:tcPr>
            <w:tcW w:w="1219" w:type="dxa"/>
            <w:shd w:val="clear" w:color="auto" w:fill="auto"/>
            <w:vAlign w:val="center"/>
            <w:hideMark/>
          </w:tcPr>
          <w:p w14:paraId="69FF40CC" w14:textId="2E840146" w:rsidR="005E6C52" w:rsidRPr="00AE2944" w:rsidRDefault="00567ED2" w:rsidP="005733D8">
            <w:pPr>
              <w:pStyle w:val="TableText0"/>
            </w:pPr>
            <w:r w:rsidRPr="00AE2944">
              <w:rPr>
                <w:rFonts w:cs="Calibri"/>
              </w:rPr>
              <w:t>$8,195</w:t>
            </w:r>
          </w:p>
        </w:tc>
        <w:tc>
          <w:tcPr>
            <w:tcW w:w="1219" w:type="dxa"/>
            <w:shd w:val="clear" w:color="auto" w:fill="auto"/>
            <w:vAlign w:val="center"/>
            <w:hideMark/>
          </w:tcPr>
          <w:p w14:paraId="0065D144" w14:textId="2A45A573" w:rsidR="005E6C52" w:rsidRPr="00AE2944" w:rsidRDefault="00567ED2" w:rsidP="005733D8">
            <w:pPr>
              <w:pStyle w:val="TableText0"/>
            </w:pPr>
            <w:r w:rsidRPr="00AE2944">
              <w:rPr>
                <w:rFonts w:cs="Calibri"/>
              </w:rPr>
              <w:t>$8,359</w:t>
            </w:r>
          </w:p>
        </w:tc>
        <w:tc>
          <w:tcPr>
            <w:tcW w:w="1252" w:type="dxa"/>
            <w:shd w:val="clear" w:color="auto" w:fill="auto"/>
            <w:vAlign w:val="center"/>
            <w:hideMark/>
          </w:tcPr>
          <w:p w14:paraId="5D19DA8B" w14:textId="5F8E3404" w:rsidR="005E6C52" w:rsidRPr="00AE2944" w:rsidRDefault="00567ED2" w:rsidP="005733D8">
            <w:pPr>
              <w:pStyle w:val="TableText0"/>
            </w:pPr>
            <w:r w:rsidRPr="00AE2944">
              <w:rPr>
                <w:rFonts w:cs="Calibri"/>
              </w:rPr>
              <w:t>$8,526</w:t>
            </w:r>
          </w:p>
        </w:tc>
      </w:tr>
      <w:tr w:rsidR="005E6C52" w:rsidRPr="00AE2944" w14:paraId="155EC23A" w14:textId="77777777" w:rsidTr="00F40F49">
        <w:trPr>
          <w:trHeight w:val="315"/>
        </w:trPr>
        <w:tc>
          <w:tcPr>
            <w:tcW w:w="1694" w:type="dxa"/>
            <w:shd w:val="clear" w:color="auto" w:fill="auto"/>
            <w:vAlign w:val="center"/>
            <w:hideMark/>
          </w:tcPr>
          <w:p w14:paraId="4E3C82B6" w14:textId="2078419E" w:rsidR="005E6C52" w:rsidRPr="00AE2944" w:rsidRDefault="005E6C52" w:rsidP="005733D8">
            <w:pPr>
              <w:pStyle w:val="TableText0"/>
            </w:pPr>
            <w:r w:rsidRPr="00AE2944">
              <w:t xml:space="preserve">Cost to PBS/RPBS less </w:t>
            </w:r>
            <w:r w:rsidR="00AB2DA1" w:rsidRPr="00AE2944">
              <w:t>co-payments</w:t>
            </w:r>
          </w:p>
        </w:tc>
        <w:tc>
          <w:tcPr>
            <w:tcW w:w="1425" w:type="dxa"/>
            <w:shd w:val="clear" w:color="auto" w:fill="auto"/>
            <w:vAlign w:val="center"/>
            <w:hideMark/>
          </w:tcPr>
          <w:p w14:paraId="026F5205" w14:textId="6A164487" w:rsidR="005E6C52" w:rsidRPr="00AE2944" w:rsidRDefault="00567ED2" w:rsidP="005733D8">
            <w:pPr>
              <w:pStyle w:val="TableText0"/>
            </w:pPr>
            <w:r w:rsidRPr="00AE2944">
              <w:rPr>
                <w:rFonts w:cs="Calibri"/>
              </w:rPr>
              <w:t>$49,453</w:t>
            </w:r>
          </w:p>
        </w:tc>
        <w:tc>
          <w:tcPr>
            <w:tcW w:w="1219" w:type="dxa"/>
            <w:shd w:val="clear" w:color="auto" w:fill="auto"/>
            <w:vAlign w:val="center"/>
            <w:hideMark/>
          </w:tcPr>
          <w:p w14:paraId="03AA2B63" w14:textId="6C0FD4EC" w:rsidR="005E6C52" w:rsidRPr="00AE2944" w:rsidRDefault="00567ED2" w:rsidP="005733D8">
            <w:pPr>
              <w:pStyle w:val="TableText0"/>
            </w:pPr>
            <w:r w:rsidRPr="00AE2944">
              <w:rPr>
                <w:rFonts w:cs="Calibri"/>
              </w:rPr>
              <w:t>$50,446</w:t>
            </w:r>
          </w:p>
        </w:tc>
        <w:tc>
          <w:tcPr>
            <w:tcW w:w="1219" w:type="dxa"/>
            <w:shd w:val="clear" w:color="auto" w:fill="auto"/>
            <w:vAlign w:val="center"/>
            <w:hideMark/>
          </w:tcPr>
          <w:p w14:paraId="324F36D5" w14:textId="58B9EEBD" w:rsidR="005E6C52" w:rsidRPr="00AE2944" w:rsidRDefault="00567ED2" w:rsidP="005733D8">
            <w:pPr>
              <w:pStyle w:val="TableText0"/>
            </w:pPr>
            <w:r w:rsidRPr="00AE2944">
              <w:rPr>
                <w:rFonts w:cs="Calibri"/>
              </w:rPr>
              <w:t>$51,459</w:t>
            </w:r>
          </w:p>
        </w:tc>
        <w:tc>
          <w:tcPr>
            <w:tcW w:w="1219" w:type="dxa"/>
            <w:shd w:val="clear" w:color="auto" w:fill="auto"/>
            <w:vAlign w:val="center"/>
            <w:hideMark/>
          </w:tcPr>
          <w:p w14:paraId="23F746E3" w14:textId="4BC83FE9" w:rsidR="005E6C52" w:rsidRPr="00AE2944" w:rsidRDefault="00567ED2" w:rsidP="005733D8">
            <w:pPr>
              <w:pStyle w:val="TableText0"/>
            </w:pPr>
            <w:r w:rsidRPr="00AE2944">
              <w:rPr>
                <w:rFonts w:cs="Calibri"/>
              </w:rPr>
              <w:t>$52,492</w:t>
            </w:r>
          </w:p>
        </w:tc>
        <w:tc>
          <w:tcPr>
            <w:tcW w:w="1219" w:type="dxa"/>
            <w:shd w:val="clear" w:color="auto" w:fill="auto"/>
            <w:vAlign w:val="center"/>
            <w:hideMark/>
          </w:tcPr>
          <w:p w14:paraId="606741ED" w14:textId="62D7B34C" w:rsidR="005E6C52" w:rsidRPr="00AE2944" w:rsidRDefault="00567ED2" w:rsidP="005733D8">
            <w:pPr>
              <w:pStyle w:val="TableText0"/>
            </w:pPr>
            <w:r w:rsidRPr="00AE2944">
              <w:rPr>
                <w:rFonts w:cs="Calibri"/>
              </w:rPr>
              <w:t>$53,543</w:t>
            </w:r>
          </w:p>
        </w:tc>
        <w:tc>
          <w:tcPr>
            <w:tcW w:w="1252" w:type="dxa"/>
            <w:shd w:val="clear" w:color="auto" w:fill="auto"/>
            <w:vAlign w:val="center"/>
            <w:hideMark/>
          </w:tcPr>
          <w:p w14:paraId="7458FFEB" w14:textId="0658628B" w:rsidR="005E6C52" w:rsidRPr="00AE2944" w:rsidRDefault="00567ED2" w:rsidP="005733D8">
            <w:pPr>
              <w:pStyle w:val="TableText0"/>
            </w:pPr>
            <w:r w:rsidRPr="00AE2944">
              <w:rPr>
                <w:rFonts w:cs="Calibri"/>
              </w:rPr>
              <w:t>$54,609</w:t>
            </w:r>
          </w:p>
        </w:tc>
      </w:tr>
      <w:tr w:rsidR="00BD790F" w:rsidRPr="00AE2944" w14:paraId="17FB0292" w14:textId="77777777" w:rsidTr="00F40F49">
        <w:trPr>
          <w:trHeight w:val="315"/>
        </w:trPr>
        <w:tc>
          <w:tcPr>
            <w:tcW w:w="9247" w:type="dxa"/>
            <w:gridSpan w:val="7"/>
            <w:shd w:val="clear" w:color="auto" w:fill="auto"/>
            <w:vAlign w:val="center"/>
            <w:hideMark/>
          </w:tcPr>
          <w:p w14:paraId="6F4DD541" w14:textId="78F588BF" w:rsidR="00BD790F" w:rsidRPr="00AE2944" w:rsidRDefault="00BD790F" w:rsidP="005733D8">
            <w:pPr>
              <w:pStyle w:val="TableText0"/>
            </w:pPr>
            <w:r w:rsidRPr="00AE2944">
              <w:rPr>
                <w:b/>
                <w:bCs/>
              </w:rPr>
              <w:t xml:space="preserve">Estimated financial implications </w:t>
            </w:r>
            <w:r w:rsidR="00BE1DCB" w:rsidRPr="00AE2944">
              <w:rPr>
                <w:b/>
                <w:bCs/>
              </w:rPr>
              <w:t>of reduced prescribing of dexamethasone</w:t>
            </w:r>
            <w:r w:rsidRPr="00AE2944">
              <w:rPr>
                <w:b/>
                <w:bCs/>
              </w:rPr>
              <w:t xml:space="preserve"> </w:t>
            </w:r>
            <w:r w:rsidR="00BE1DCB" w:rsidRPr="00AE2944">
              <w:rPr>
                <w:b/>
                <w:bCs/>
              </w:rPr>
              <w:t>(</w:t>
            </w:r>
            <w:r w:rsidRPr="00AE2944">
              <w:rPr>
                <w:b/>
                <w:bCs/>
              </w:rPr>
              <w:t xml:space="preserve">assume </w:t>
            </w:r>
            <w:r w:rsidR="00A05A0C" w:rsidRPr="00AE2944">
              <w:rPr>
                <w:b/>
                <w:bCs/>
              </w:rPr>
              <w:t>all</w:t>
            </w:r>
            <w:r w:rsidRPr="00AE2944">
              <w:rPr>
                <w:b/>
                <w:bCs/>
              </w:rPr>
              <w:t xml:space="preserve"> patients use </w:t>
            </w:r>
            <w:r w:rsidR="004E6EEA" w:rsidRPr="00AE2944">
              <w:rPr>
                <w:b/>
                <w:bCs/>
              </w:rPr>
              <w:t xml:space="preserve">2 </w:t>
            </w:r>
            <w:r w:rsidR="00BE1DCB" w:rsidRPr="00AE2944">
              <w:rPr>
                <w:b/>
                <w:bCs/>
              </w:rPr>
              <w:t xml:space="preserve">x 5 mL </w:t>
            </w:r>
            <w:r w:rsidR="004E6EEA" w:rsidRPr="00AE2944">
              <w:rPr>
                <w:b/>
                <w:bCs/>
              </w:rPr>
              <w:t>bottles</w:t>
            </w:r>
            <w:r w:rsidR="00BE1DCB" w:rsidRPr="00AE2944">
              <w:rPr>
                <w:b/>
                <w:bCs/>
              </w:rPr>
              <w:t>)</w:t>
            </w:r>
          </w:p>
        </w:tc>
      </w:tr>
      <w:tr w:rsidR="00B01816" w:rsidRPr="00AE2944" w14:paraId="1FF92DAD" w14:textId="77777777" w:rsidTr="00F40F49">
        <w:trPr>
          <w:trHeight w:val="315"/>
        </w:trPr>
        <w:tc>
          <w:tcPr>
            <w:tcW w:w="1694" w:type="dxa"/>
            <w:shd w:val="clear" w:color="auto" w:fill="auto"/>
            <w:vAlign w:val="center"/>
            <w:hideMark/>
          </w:tcPr>
          <w:p w14:paraId="139E5A82" w14:textId="2D156EF6" w:rsidR="00B01816" w:rsidRPr="00AE2944" w:rsidRDefault="00B01816" w:rsidP="005733D8">
            <w:pPr>
              <w:pStyle w:val="TableText0"/>
            </w:pPr>
            <w:r w:rsidRPr="00AE2944">
              <w:t>Cost to PBS/RPBS</w:t>
            </w:r>
            <w:r w:rsidRPr="00AE2944">
              <w:rPr>
                <w:vertAlign w:val="superscript"/>
              </w:rPr>
              <w:t>c</w:t>
            </w:r>
          </w:p>
        </w:tc>
        <w:tc>
          <w:tcPr>
            <w:tcW w:w="1425" w:type="dxa"/>
            <w:shd w:val="clear" w:color="auto" w:fill="auto"/>
            <w:noWrap/>
            <w:vAlign w:val="bottom"/>
            <w:hideMark/>
          </w:tcPr>
          <w:p w14:paraId="3D02DAEF" w14:textId="1DE22AD3" w:rsidR="00B01816" w:rsidRPr="00AE2944" w:rsidRDefault="00567ED2" w:rsidP="005733D8">
            <w:pPr>
              <w:pStyle w:val="TableText0"/>
              <w:rPr>
                <w:bCs/>
              </w:rPr>
            </w:pPr>
            <w:r w:rsidRPr="00AE2944">
              <w:rPr>
                <w:rFonts w:cs="Calibri"/>
              </w:rPr>
              <w:t>$59,866</w:t>
            </w:r>
          </w:p>
        </w:tc>
        <w:tc>
          <w:tcPr>
            <w:tcW w:w="1219" w:type="dxa"/>
            <w:shd w:val="clear" w:color="auto" w:fill="auto"/>
            <w:noWrap/>
            <w:vAlign w:val="bottom"/>
            <w:hideMark/>
          </w:tcPr>
          <w:p w14:paraId="3195D506" w14:textId="06A86F72" w:rsidR="00B01816" w:rsidRPr="00AE2944" w:rsidRDefault="00567ED2" w:rsidP="005733D8">
            <w:pPr>
              <w:pStyle w:val="TableText0"/>
              <w:rPr>
                <w:bCs/>
              </w:rPr>
            </w:pPr>
            <w:r w:rsidRPr="00AE2944">
              <w:rPr>
                <w:rFonts w:cs="Calibri"/>
              </w:rPr>
              <w:t>$61,068</w:t>
            </w:r>
          </w:p>
        </w:tc>
        <w:tc>
          <w:tcPr>
            <w:tcW w:w="1219" w:type="dxa"/>
            <w:shd w:val="clear" w:color="auto" w:fill="auto"/>
            <w:noWrap/>
            <w:vAlign w:val="bottom"/>
            <w:hideMark/>
          </w:tcPr>
          <w:p w14:paraId="5C1A049F" w14:textId="30F8A7DC" w:rsidR="00B01816" w:rsidRPr="00AE2944" w:rsidRDefault="00567ED2" w:rsidP="005733D8">
            <w:pPr>
              <w:pStyle w:val="TableText0"/>
              <w:rPr>
                <w:bCs/>
              </w:rPr>
            </w:pPr>
            <w:r w:rsidRPr="00AE2944">
              <w:rPr>
                <w:rFonts w:cs="Calibri"/>
              </w:rPr>
              <w:t>$62,295</w:t>
            </w:r>
          </w:p>
        </w:tc>
        <w:tc>
          <w:tcPr>
            <w:tcW w:w="1219" w:type="dxa"/>
            <w:shd w:val="clear" w:color="auto" w:fill="auto"/>
            <w:noWrap/>
            <w:vAlign w:val="bottom"/>
            <w:hideMark/>
          </w:tcPr>
          <w:p w14:paraId="6D301F80" w14:textId="3C8DF526" w:rsidR="00B01816" w:rsidRPr="00AE2944" w:rsidRDefault="00567ED2" w:rsidP="005733D8">
            <w:pPr>
              <w:pStyle w:val="TableText0"/>
              <w:rPr>
                <w:bCs/>
              </w:rPr>
            </w:pPr>
            <w:r w:rsidRPr="00AE2944">
              <w:rPr>
                <w:rFonts w:cs="Calibri"/>
              </w:rPr>
              <w:t>$63,545</w:t>
            </w:r>
          </w:p>
        </w:tc>
        <w:tc>
          <w:tcPr>
            <w:tcW w:w="1219" w:type="dxa"/>
            <w:shd w:val="clear" w:color="auto" w:fill="auto"/>
            <w:noWrap/>
            <w:vAlign w:val="bottom"/>
            <w:hideMark/>
          </w:tcPr>
          <w:p w14:paraId="6A35663C" w14:textId="20EEABC5" w:rsidR="00B01816" w:rsidRPr="00AE2944" w:rsidRDefault="00567ED2" w:rsidP="005733D8">
            <w:pPr>
              <w:pStyle w:val="TableText0"/>
              <w:rPr>
                <w:bCs/>
              </w:rPr>
            </w:pPr>
            <w:r w:rsidRPr="00AE2944">
              <w:rPr>
                <w:rFonts w:cs="Calibri"/>
              </w:rPr>
              <w:t>$64,817</w:t>
            </w:r>
          </w:p>
        </w:tc>
        <w:tc>
          <w:tcPr>
            <w:tcW w:w="1252" w:type="dxa"/>
            <w:shd w:val="clear" w:color="auto" w:fill="auto"/>
            <w:noWrap/>
            <w:vAlign w:val="bottom"/>
            <w:hideMark/>
          </w:tcPr>
          <w:p w14:paraId="1DA00C00" w14:textId="5192AA7A" w:rsidR="00B01816" w:rsidRPr="00AE2944" w:rsidRDefault="00567ED2" w:rsidP="005733D8">
            <w:pPr>
              <w:pStyle w:val="TableText0"/>
              <w:rPr>
                <w:bCs/>
              </w:rPr>
            </w:pPr>
            <w:r w:rsidRPr="00AE2944">
              <w:rPr>
                <w:rFonts w:cs="Calibri"/>
              </w:rPr>
              <w:t>$66,108</w:t>
            </w:r>
          </w:p>
        </w:tc>
      </w:tr>
      <w:tr w:rsidR="00B01816" w:rsidRPr="00AE2944" w14:paraId="1EAA9A92" w14:textId="77777777" w:rsidTr="00F40F49">
        <w:trPr>
          <w:trHeight w:val="315"/>
        </w:trPr>
        <w:tc>
          <w:tcPr>
            <w:tcW w:w="1694" w:type="dxa"/>
            <w:shd w:val="clear" w:color="auto" w:fill="auto"/>
            <w:vAlign w:val="center"/>
            <w:hideMark/>
          </w:tcPr>
          <w:p w14:paraId="3559F8E0" w14:textId="13927498" w:rsidR="00B01816" w:rsidRPr="00AE2944" w:rsidRDefault="00AB2DA1" w:rsidP="005733D8">
            <w:pPr>
              <w:pStyle w:val="TableText0"/>
            </w:pPr>
            <w:r w:rsidRPr="00AE2944">
              <w:t>Co-payment</w:t>
            </w:r>
            <w:r w:rsidRPr="00AE2944">
              <w:rPr>
                <w:vertAlign w:val="superscript"/>
              </w:rPr>
              <w:t>s</w:t>
            </w:r>
          </w:p>
        </w:tc>
        <w:tc>
          <w:tcPr>
            <w:tcW w:w="1425" w:type="dxa"/>
            <w:shd w:val="clear" w:color="auto" w:fill="auto"/>
            <w:vAlign w:val="center"/>
            <w:hideMark/>
          </w:tcPr>
          <w:p w14:paraId="57AD7799" w14:textId="4ECE686F" w:rsidR="00B01816" w:rsidRPr="00AE2944" w:rsidRDefault="00567ED2" w:rsidP="005733D8">
            <w:pPr>
              <w:pStyle w:val="TableText0"/>
              <w:rPr>
                <w:bCs/>
              </w:rPr>
            </w:pPr>
            <w:r w:rsidRPr="00AE2944">
              <w:rPr>
                <w:rFonts w:cs="Calibri"/>
              </w:rPr>
              <w:t>$7,721</w:t>
            </w:r>
          </w:p>
        </w:tc>
        <w:tc>
          <w:tcPr>
            <w:tcW w:w="1219" w:type="dxa"/>
            <w:shd w:val="clear" w:color="auto" w:fill="auto"/>
            <w:vAlign w:val="center"/>
            <w:hideMark/>
          </w:tcPr>
          <w:p w14:paraId="34D21AB3" w14:textId="1FFDE63D" w:rsidR="00B01816" w:rsidRPr="00AE2944" w:rsidRDefault="00567ED2" w:rsidP="005733D8">
            <w:pPr>
              <w:pStyle w:val="TableText0"/>
              <w:rPr>
                <w:bCs/>
              </w:rPr>
            </w:pPr>
            <w:r w:rsidRPr="00AE2944">
              <w:rPr>
                <w:rFonts w:cs="Calibri"/>
              </w:rPr>
              <w:t>$7,876</w:t>
            </w:r>
          </w:p>
        </w:tc>
        <w:tc>
          <w:tcPr>
            <w:tcW w:w="1219" w:type="dxa"/>
            <w:shd w:val="clear" w:color="auto" w:fill="auto"/>
            <w:vAlign w:val="center"/>
            <w:hideMark/>
          </w:tcPr>
          <w:p w14:paraId="7B571100" w14:textId="467347DA" w:rsidR="00B01816" w:rsidRPr="00AE2944" w:rsidRDefault="00567ED2" w:rsidP="005733D8">
            <w:pPr>
              <w:pStyle w:val="TableText0"/>
              <w:rPr>
                <w:bCs/>
              </w:rPr>
            </w:pPr>
            <w:r w:rsidRPr="00AE2944">
              <w:rPr>
                <w:rFonts w:cs="Calibri"/>
              </w:rPr>
              <w:t>$8,034</w:t>
            </w:r>
          </w:p>
        </w:tc>
        <w:tc>
          <w:tcPr>
            <w:tcW w:w="1219" w:type="dxa"/>
            <w:shd w:val="clear" w:color="auto" w:fill="auto"/>
            <w:vAlign w:val="center"/>
            <w:hideMark/>
          </w:tcPr>
          <w:p w14:paraId="5634343F" w14:textId="58C6F8FD" w:rsidR="00B01816" w:rsidRPr="00AE2944" w:rsidRDefault="00567ED2" w:rsidP="005733D8">
            <w:pPr>
              <w:pStyle w:val="TableText0"/>
              <w:rPr>
                <w:bCs/>
              </w:rPr>
            </w:pPr>
            <w:r w:rsidRPr="00AE2944">
              <w:rPr>
                <w:rFonts w:cs="Calibri"/>
              </w:rPr>
              <w:t>$8,195</w:t>
            </w:r>
          </w:p>
        </w:tc>
        <w:tc>
          <w:tcPr>
            <w:tcW w:w="1219" w:type="dxa"/>
            <w:shd w:val="clear" w:color="auto" w:fill="auto"/>
            <w:vAlign w:val="center"/>
            <w:hideMark/>
          </w:tcPr>
          <w:p w14:paraId="2BC5297B" w14:textId="7B0545FB" w:rsidR="00B01816" w:rsidRPr="00AE2944" w:rsidRDefault="00567ED2" w:rsidP="005733D8">
            <w:pPr>
              <w:pStyle w:val="TableText0"/>
              <w:rPr>
                <w:bCs/>
              </w:rPr>
            </w:pPr>
            <w:r w:rsidRPr="00AE2944">
              <w:rPr>
                <w:rFonts w:cs="Calibri"/>
              </w:rPr>
              <w:t>$8,359</w:t>
            </w:r>
          </w:p>
        </w:tc>
        <w:tc>
          <w:tcPr>
            <w:tcW w:w="1252" w:type="dxa"/>
            <w:shd w:val="clear" w:color="auto" w:fill="auto"/>
            <w:vAlign w:val="center"/>
            <w:hideMark/>
          </w:tcPr>
          <w:p w14:paraId="45D5304C" w14:textId="3A00033C" w:rsidR="00B01816" w:rsidRPr="00AE2944" w:rsidRDefault="00567ED2" w:rsidP="005733D8">
            <w:pPr>
              <w:pStyle w:val="TableText0"/>
              <w:rPr>
                <w:bCs/>
              </w:rPr>
            </w:pPr>
            <w:r w:rsidRPr="00AE2944">
              <w:rPr>
                <w:rFonts w:cs="Calibri"/>
              </w:rPr>
              <w:t>$8,526</w:t>
            </w:r>
          </w:p>
        </w:tc>
      </w:tr>
      <w:tr w:rsidR="00B01816" w:rsidRPr="00AE2944" w14:paraId="54D3606C" w14:textId="77777777" w:rsidTr="00F40F49">
        <w:trPr>
          <w:trHeight w:val="315"/>
        </w:trPr>
        <w:tc>
          <w:tcPr>
            <w:tcW w:w="1694" w:type="dxa"/>
            <w:shd w:val="clear" w:color="auto" w:fill="auto"/>
            <w:vAlign w:val="center"/>
            <w:hideMark/>
          </w:tcPr>
          <w:p w14:paraId="11F8870B" w14:textId="52C5ECB9" w:rsidR="00B01816" w:rsidRPr="00AE2944" w:rsidRDefault="00B01816" w:rsidP="005733D8">
            <w:pPr>
              <w:pStyle w:val="TableText0"/>
            </w:pPr>
            <w:r w:rsidRPr="00AE2944">
              <w:t xml:space="preserve">Cost to PBS/RPBS less </w:t>
            </w:r>
            <w:r w:rsidR="00AB2DA1" w:rsidRPr="00AE2944">
              <w:t>co-payments</w:t>
            </w:r>
          </w:p>
        </w:tc>
        <w:tc>
          <w:tcPr>
            <w:tcW w:w="1425" w:type="dxa"/>
            <w:shd w:val="clear" w:color="auto" w:fill="auto"/>
            <w:vAlign w:val="center"/>
            <w:hideMark/>
          </w:tcPr>
          <w:p w14:paraId="066166B9" w14:textId="46C393E4" w:rsidR="00B01816" w:rsidRPr="00AE2944" w:rsidRDefault="00567ED2" w:rsidP="005733D8">
            <w:pPr>
              <w:pStyle w:val="TableText0"/>
              <w:rPr>
                <w:bCs/>
              </w:rPr>
            </w:pPr>
            <w:r w:rsidRPr="00AE2944">
              <w:rPr>
                <w:rFonts w:cs="Calibri"/>
              </w:rPr>
              <w:t>$52,145</w:t>
            </w:r>
          </w:p>
        </w:tc>
        <w:tc>
          <w:tcPr>
            <w:tcW w:w="1219" w:type="dxa"/>
            <w:shd w:val="clear" w:color="auto" w:fill="auto"/>
            <w:vAlign w:val="center"/>
            <w:hideMark/>
          </w:tcPr>
          <w:p w14:paraId="61AE83BF" w14:textId="775FDA30" w:rsidR="00B01816" w:rsidRPr="00AE2944" w:rsidRDefault="00567ED2" w:rsidP="005733D8">
            <w:pPr>
              <w:pStyle w:val="TableText0"/>
              <w:rPr>
                <w:bCs/>
              </w:rPr>
            </w:pPr>
            <w:r w:rsidRPr="00AE2944">
              <w:rPr>
                <w:rFonts w:cs="Calibri"/>
              </w:rPr>
              <w:t>$53,192</w:t>
            </w:r>
          </w:p>
        </w:tc>
        <w:tc>
          <w:tcPr>
            <w:tcW w:w="1219" w:type="dxa"/>
            <w:shd w:val="clear" w:color="auto" w:fill="auto"/>
            <w:vAlign w:val="center"/>
            <w:hideMark/>
          </w:tcPr>
          <w:p w14:paraId="7F012D98" w14:textId="71754A7A" w:rsidR="00B01816" w:rsidRPr="00AE2944" w:rsidRDefault="00567ED2" w:rsidP="005733D8">
            <w:pPr>
              <w:pStyle w:val="TableText0"/>
              <w:rPr>
                <w:bCs/>
              </w:rPr>
            </w:pPr>
            <w:r w:rsidRPr="00AE2944">
              <w:rPr>
                <w:rFonts w:cs="Calibri"/>
              </w:rPr>
              <w:t>$54,261</w:t>
            </w:r>
          </w:p>
        </w:tc>
        <w:tc>
          <w:tcPr>
            <w:tcW w:w="1219" w:type="dxa"/>
            <w:shd w:val="clear" w:color="auto" w:fill="auto"/>
            <w:vAlign w:val="center"/>
            <w:hideMark/>
          </w:tcPr>
          <w:p w14:paraId="6B3F200B" w14:textId="32B53FF3" w:rsidR="00B01816" w:rsidRPr="00AE2944" w:rsidRDefault="00567ED2" w:rsidP="005733D8">
            <w:pPr>
              <w:pStyle w:val="TableText0"/>
              <w:rPr>
                <w:bCs/>
              </w:rPr>
            </w:pPr>
            <w:r w:rsidRPr="00AE2944">
              <w:rPr>
                <w:rFonts w:cs="Calibri"/>
              </w:rPr>
              <w:t>$55,350</w:t>
            </w:r>
          </w:p>
        </w:tc>
        <w:tc>
          <w:tcPr>
            <w:tcW w:w="1219" w:type="dxa"/>
            <w:shd w:val="clear" w:color="auto" w:fill="auto"/>
            <w:vAlign w:val="center"/>
            <w:hideMark/>
          </w:tcPr>
          <w:p w14:paraId="6FBD41B3" w14:textId="52C5D380" w:rsidR="00B01816" w:rsidRPr="00AE2944" w:rsidRDefault="00567ED2" w:rsidP="005733D8">
            <w:pPr>
              <w:pStyle w:val="TableText0"/>
              <w:rPr>
                <w:bCs/>
              </w:rPr>
            </w:pPr>
            <w:r w:rsidRPr="00AE2944">
              <w:rPr>
                <w:rFonts w:cs="Calibri"/>
              </w:rPr>
              <w:t>$56,458</w:t>
            </w:r>
          </w:p>
        </w:tc>
        <w:tc>
          <w:tcPr>
            <w:tcW w:w="1252" w:type="dxa"/>
            <w:shd w:val="clear" w:color="auto" w:fill="auto"/>
            <w:vAlign w:val="center"/>
            <w:hideMark/>
          </w:tcPr>
          <w:p w14:paraId="4A8E6C09" w14:textId="3A4B8E08" w:rsidR="00B01816" w:rsidRPr="00AE2944" w:rsidRDefault="00567ED2" w:rsidP="005733D8">
            <w:pPr>
              <w:pStyle w:val="TableText0"/>
              <w:rPr>
                <w:bCs/>
              </w:rPr>
            </w:pPr>
            <w:r w:rsidRPr="00AE2944">
              <w:rPr>
                <w:rFonts w:cs="Calibri"/>
              </w:rPr>
              <w:t>$57,582</w:t>
            </w:r>
          </w:p>
        </w:tc>
      </w:tr>
      <w:tr w:rsidR="00BD790F" w:rsidRPr="00AE2944" w14:paraId="6064FADA" w14:textId="77777777" w:rsidTr="00F40F49">
        <w:trPr>
          <w:trHeight w:val="315"/>
        </w:trPr>
        <w:tc>
          <w:tcPr>
            <w:tcW w:w="9247" w:type="dxa"/>
            <w:gridSpan w:val="7"/>
            <w:shd w:val="clear" w:color="auto" w:fill="auto"/>
            <w:vAlign w:val="center"/>
            <w:hideMark/>
          </w:tcPr>
          <w:p w14:paraId="0CD84894" w14:textId="77777777" w:rsidR="00BD790F" w:rsidRPr="00AE2944" w:rsidRDefault="00BD790F" w:rsidP="005733D8">
            <w:pPr>
              <w:pStyle w:val="TableText0"/>
            </w:pPr>
            <w:r w:rsidRPr="00AE2944">
              <w:rPr>
                <w:b/>
                <w:bCs/>
              </w:rPr>
              <w:t>Net financial implications</w:t>
            </w:r>
            <w:r w:rsidRPr="00AE2944">
              <w:t xml:space="preserve"> </w:t>
            </w:r>
          </w:p>
        </w:tc>
      </w:tr>
      <w:tr w:rsidR="00B01816" w:rsidRPr="00AE2944" w14:paraId="40438B3C" w14:textId="77777777" w:rsidTr="00F40F49">
        <w:trPr>
          <w:trHeight w:val="315"/>
        </w:trPr>
        <w:tc>
          <w:tcPr>
            <w:tcW w:w="1694" w:type="dxa"/>
            <w:shd w:val="clear" w:color="auto" w:fill="auto"/>
            <w:vAlign w:val="center"/>
            <w:hideMark/>
          </w:tcPr>
          <w:p w14:paraId="1CF87A07" w14:textId="24E499E9" w:rsidR="00B01816" w:rsidRPr="00AE2944" w:rsidRDefault="00B01816" w:rsidP="005733D8">
            <w:pPr>
              <w:pStyle w:val="TableText0"/>
            </w:pPr>
            <w:r w:rsidRPr="00AE2944">
              <w:t xml:space="preserve">Net </w:t>
            </w:r>
            <w:r w:rsidR="00281BFE" w:rsidRPr="00AE2944">
              <w:t xml:space="preserve">cost </w:t>
            </w:r>
            <w:r w:rsidRPr="00AE2944">
              <w:t>to PBS/RPBS (</w:t>
            </w:r>
            <w:r w:rsidR="00281BFE" w:rsidRPr="00AE2944">
              <w:t>upper</w:t>
            </w:r>
            <w:r w:rsidRPr="00AE2944">
              <w:t xml:space="preserve"> range</w:t>
            </w:r>
            <w:r w:rsidR="00BF0DAA" w:rsidRPr="00AE2944">
              <w:rPr>
                <w:vertAlign w:val="superscript"/>
              </w:rPr>
              <w:t>d</w:t>
            </w:r>
            <w:r w:rsidRPr="00AE2944">
              <w:t>)</w:t>
            </w:r>
          </w:p>
        </w:tc>
        <w:tc>
          <w:tcPr>
            <w:tcW w:w="1425" w:type="dxa"/>
            <w:shd w:val="clear" w:color="auto" w:fill="auto"/>
            <w:vAlign w:val="center"/>
            <w:hideMark/>
          </w:tcPr>
          <w:p w14:paraId="036E298D" w14:textId="271D9B9F" w:rsidR="00B01816" w:rsidRPr="00AE2944" w:rsidRDefault="00567ED2" w:rsidP="005733D8">
            <w:pPr>
              <w:pStyle w:val="TableText0"/>
              <w:rPr>
                <w:bCs/>
              </w:rPr>
            </w:pPr>
            <w:r w:rsidRPr="00AE2944">
              <w:rPr>
                <w:rFonts w:cs="Calibri"/>
              </w:rPr>
              <w:t>$2,811</w:t>
            </w:r>
          </w:p>
        </w:tc>
        <w:tc>
          <w:tcPr>
            <w:tcW w:w="1219" w:type="dxa"/>
            <w:shd w:val="clear" w:color="auto" w:fill="auto"/>
            <w:vAlign w:val="center"/>
            <w:hideMark/>
          </w:tcPr>
          <w:p w14:paraId="343CB2E2" w14:textId="5294C778" w:rsidR="00B01816" w:rsidRPr="00AE2944" w:rsidRDefault="00567ED2" w:rsidP="005733D8">
            <w:pPr>
              <w:pStyle w:val="TableText0"/>
              <w:rPr>
                <w:bCs/>
              </w:rPr>
            </w:pPr>
            <w:r w:rsidRPr="00AE2944">
              <w:rPr>
                <w:rFonts w:cs="Calibri"/>
              </w:rPr>
              <w:t>$2,868</w:t>
            </w:r>
          </w:p>
        </w:tc>
        <w:tc>
          <w:tcPr>
            <w:tcW w:w="1219" w:type="dxa"/>
            <w:shd w:val="clear" w:color="auto" w:fill="auto"/>
            <w:vAlign w:val="center"/>
            <w:hideMark/>
          </w:tcPr>
          <w:p w14:paraId="17A74578" w14:textId="52CED266" w:rsidR="00B01816" w:rsidRPr="00AE2944" w:rsidRDefault="00567ED2" w:rsidP="005733D8">
            <w:pPr>
              <w:pStyle w:val="TableText0"/>
              <w:rPr>
                <w:bCs/>
              </w:rPr>
            </w:pPr>
            <w:r w:rsidRPr="00AE2944">
              <w:rPr>
                <w:rFonts w:cs="Calibri"/>
              </w:rPr>
              <w:t>$2,925</w:t>
            </w:r>
          </w:p>
        </w:tc>
        <w:tc>
          <w:tcPr>
            <w:tcW w:w="1219" w:type="dxa"/>
            <w:shd w:val="clear" w:color="auto" w:fill="auto"/>
            <w:vAlign w:val="center"/>
            <w:hideMark/>
          </w:tcPr>
          <w:p w14:paraId="0720DD5F" w14:textId="05E3DC97" w:rsidR="00B01816" w:rsidRPr="00AE2944" w:rsidRDefault="00567ED2" w:rsidP="005733D8">
            <w:pPr>
              <w:pStyle w:val="TableText0"/>
              <w:rPr>
                <w:bCs/>
              </w:rPr>
            </w:pPr>
            <w:r w:rsidRPr="00AE2944">
              <w:rPr>
                <w:rFonts w:cs="Calibri"/>
              </w:rPr>
              <w:t>$2,984</w:t>
            </w:r>
          </w:p>
        </w:tc>
        <w:tc>
          <w:tcPr>
            <w:tcW w:w="1219" w:type="dxa"/>
            <w:shd w:val="clear" w:color="auto" w:fill="auto"/>
            <w:vAlign w:val="center"/>
            <w:hideMark/>
          </w:tcPr>
          <w:p w14:paraId="12D931A6" w14:textId="1B131C13" w:rsidR="00B01816" w:rsidRPr="00AE2944" w:rsidRDefault="00567ED2" w:rsidP="005733D8">
            <w:pPr>
              <w:pStyle w:val="TableText0"/>
              <w:rPr>
                <w:bCs/>
              </w:rPr>
            </w:pPr>
            <w:r w:rsidRPr="00AE2944">
              <w:rPr>
                <w:rFonts w:cs="Calibri"/>
              </w:rPr>
              <w:t>$3,044</w:t>
            </w:r>
          </w:p>
        </w:tc>
        <w:tc>
          <w:tcPr>
            <w:tcW w:w="1252" w:type="dxa"/>
            <w:shd w:val="clear" w:color="auto" w:fill="auto"/>
            <w:vAlign w:val="center"/>
            <w:hideMark/>
          </w:tcPr>
          <w:p w14:paraId="31526042" w14:textId="5AEE00EA" w:rsidR="00B01816" w:rsidRPr="00AE2944" w:rsidRDefault="00567ED2" w:rsidP="005733D8">
            <w:pPr>
              <w:pStyle w:val="TableText0"/>
              <w:rPr>
                <w:bCs/>
              </w:rPr>
            </w:pPr>
            <w:r w:rsidRPr="00AE2944">
              <w:rPr>
                <w:rFonts w:cs="Calibri"/>
              </w:rPr>
              <w:t>$3,104</w:t>
            </w:r>
          </w:p>
        </w:tc>
      </w:tr>
      <w:tr w:rsidR="00B01816" w:rsidRPr="00AE2944" w14:paraId="40CA01E9" w14:textId="77777777" w:rsidTr="00F40F49">
        <w:trPr>
          <w:trHeight w:val="315"/>
        </w:trPr>
        <w:tc>
          <w:tcPr>
            <w:tcW w:w="1694" w:type="dxa"/>
            <w:shd w:val="clear" w:color="auto" w:fill="auto"/>
            <w:vAlign w:val="center"/>
            <w:hideMark/>
          </w:tcPr>
          <w:p w14:paraId="7A414CAB" w14:textId="481F028E" w:rsidR="00B01816" w:rsidRPr="00AE2944" w:rsidRDefault="00B01816" w:rsidP="005733D8">
            <w:pPr>
              <w:pStyle w:val="TableText0"/>
            </w:pPr>
            <w:r w:rsidRPr="00AE2944">
              <w:t xml:space="preserve">Net </w:t>
            </w:r>
            <w:r w:rsidR="00281BFE" w:rsidRPr="00AE2944">
              <w:t xml:space="preserve">cost </w:t>
            </w:r>
            <w:r w:rsidRPr="00AE2944">
              <w:t>to PBS/RPBS (</w:t>
            </w:r>
            <w:r w:rsidR="00281BFE" w:rsidRPr="00AE2944">
              <w:t xml:space="preserve">lower </w:t>
            </w:r>
            <w:r w:rsidRPr="00AE2944">
              <w:t>range</w:t>
            </w:r>
            <w:r w:rsidR="00BF0DAA" w:rsidRPr="00AE2944">
              <w:rPr>
                <w:vertAlign w:val="superscript"/>
              </w:rPr>
              <w:t>d</w:t>
            </w:r>
            <w:r w:rsidRPr="00AE2944">
              <w:t>)</w:t>
            </w:r>
          </w:p>
        </w:tc>
        <w:tc>
          <w:tcPr>
            <w:tcW w:w="1425" w:type="dxa"/>
            <w:shd w:val="clear" w:color="auto" w:fill="auto"/>
            <w:noWrap/>
            <w:vAlign w:val="center"/>
            <w:hideMark/>
          </w:tcPr>
          <w:p w14:paraId="36272E17" w14:textId="5960AF52" w:rsidR="00B01816" w:rsidRPr="00AE2944" w:rsidRDefault="004F3250" w:rsidP="005733D8">
            <w:pPr>
              <w:pStyle w:val="TableText0"/>
              <w:rPr>
                <w:rFonts w:cs="Calibri"/>
              </w:rPr>
            </w:pPr>
            <w:r w:rsidRPr="00AE2944">
              <w:rPr>
                <w:rFonts w:cs="Calibri"/>
              </w:rPr>
              <w:t>$119</w:t>
            </w:r>
          </w:p>
        </w:tc>
        <w:tc>
          <w:tcPr>
            <w:tcW w:w="1219" w:type="dxa"/>
            <w:shd w:val="clear" w:color="auto" w:fill="auto"/>
            <w:noWrap/>
            <w:vAlign w:val="center"/>
            <w:hideMark/>
          </w:tcPr>
          <w:p w14:paraId="181FE679" w14:textId="278E0E06" w:rsidR="00B01816" w:rsidRPr="00AE2944" w:rsidRDefault="00B01816" w:rsidP="005733D8">
            <w:pPr>
              <w:pStyle w:val="TableText0"/>
              <w:rPr>
                <w:rFonts w:cs="Calibri"/>
              </w:rPr>
            </w:pPr>
            <w:r w:rsidRPr="00AE2944">
              <w:rPr>
                <w:rFonts w:cs="Calibri"/>
              </w:rPr>
              <w:t>$12</w:t>
            </w:r>
            <w:r w:rsidR="004F3250" w:rsidRPr="00AE2944">
              <w:rPr>
                <w:rFonts w:cs="Calibri"/>
              </w:rPr>
              <w:t>1</w:t>
            </w:r>
          </w:p>
        </w:tc>
        <w:tc>
          <w:tcPr>
            <w:tcW w:w="1219" w:type="dxa"/>
            <w:shd w:val="clear" w:color="auto" w:fill="auto"/>
            <w:noWrap/>
            <w:vAlign w:val="center"/>
            <w:hideMark/>
          </w:tcPr>
          <w:p w14:paraId="1AD979B0" w14:textId="580F1EFD" w:rsidR="00B01816" w:rsidRPr="00AE2944" w:rsidRDefault="004F3250" w:rsidP="005733D8">
            <w:pPr>
              <w:pStyle w:val="TableText0"/>
              <w:rPr>
                <w:rFonts w:cs="Calibri"/>
              </w:rPr>
            </w:pPr>
            <w:r w:rsidRPr="00AE2944">
              <w:rPr>
                <w:rFonts w:cs="Calibri"/>
              </w:rPr>
              <w:t>$124</w:t>
            </w:r>
          </w:p>
        </w:tc>
        <w:tc>
          <w:tcPr>
            <w:tcW w:w="1219" w:type="dxa"/>
            <w:shd w:val="clear" w:color="auto" w:fill="auto"/>
            <w:noWrap/>
            <w:vAlign w:val="center"/>
            <w:hideMark/>
          </w:tcPr>
          <w:p w14:paraId="241E2497" w14:textId="2D665C6F" w:rsidR="00B01816" w:rsidRPr="00AE2944" w:rsidRDefault="004F3250" w:rsidP="005733D8">
            <w:pPr>
              <w:pStyle w:val="TableText0"/>
              <w:rPr>
                <w:rFonts w:cs="Calibri"/>
              </w:rPr>
            </w:pPr>
            <w:r w:rsidRPr="00AE2944">
              <w:rPr>
                <w:rFonts w:cs="Calibri"/>
              </w:rPr>
              <w:t>$126</w:t>
            </w:r>
          </w:p>
        </w:tc>
        <w:tc>
          <w:tcPr>
            <w:tcW w:w="1219" w:type="dxa"/>
            <w:shd w:val="clear" w:color="auto" w:fill="auto"/>
            <w:noWrap/>
            <w:vAlign w:val="center"/>
            <w:hideMark/>
          </w:tcPr>
          <w:p w14:paraId="336E6B8E" w14:textId="33D9E441" w:rsidR="00B01816" w:rsidRPr="00AE2944" w:rsidRDefault="004F3250" w:rsidP="005733D8">
            <w:pPr>
              <w:pStyle w:val="TableText0"/>
              <w:rPr>
                <w:rFonts w:cs="Calibri"/>
              </w:rPr>
            </w:pPr>
            <w:r w:rsidRPr="00AE2944">
              <w:rPr>
                <w:rFonts w:cs="Calibri"/>
              </w:rPr>
              <w:t>$129</w:t>
            </w:r>
          </w:p>
        </w:tc>
        <w:tc>
          <w:tcPr>
            <w:tcW w:w="1252" w:type="dxa"/>
            <w:shd w:val="clear" w:color="auto" w:fill="auto"/>
            <w:noWrap/>
            <w:vAlign w:val="center"/>
            <w:hideMark/>
          </w:tcPr>
          <w:p w14:paraId="2E20F0FE" w14:textId="32E41F46" w:rsidR="00B01816" w:rsidRPr="00AE2944" w:rsidRDefault="004F3250" w:rsidP="005733D8">
            <w:pPr>
              <w:pStyle w:val="TableText0"/>
              <w:rPr>
                <w:rFonts w:cs="Calibri"/>
              </w:rPr>
            </w:pPr>
            <w:r w:rsidRPr="00AE2944">
              <w:rPr>
                <w:rFonts w:cs="Calibri"/>
              </w:rPr>
              <w:t>$131</w:t>
            </w:r>
          </w:p>
        </w:tc>
      </w:tr>
    </w:tbl>
    <w:p w14:paraId="5DAA8565" w14:textId="64233592" w:rsidR="00E34965" w:rsidRPr="00AB2DA1" w:rsidRDefault="00A05A0C" w:rsidP="005733D8">
      <w:pPr>
        <w:pStyle w:val="TableFooter"/>
        <w:widowControl/>
      </w:pPr>
      <w:r w:rsidRPr="00AB2DA1">
        <w:rPr>
          <w:vertAlign w:val="superscript"/>
        </w:rPr>
        <w:t>a</w:t>
      </w:r>
      <w:r w:rsidR="005D25DA">
        <w:t xml:space="preserve"> A</w:t>
      </w:r>
      <w:r w:rsidR="000240CA" w:rsidRPr="00AB2DA1">
        <w:t>ssuming that</w:t>
      </w:r>
      <w:r w:rsidR="00E34965" w:rsidRPr="00AB2DA1">
        <w:t xml:space="preserve"> two-third</w:t>
      </w:r>
      <w:r w:rsidR="000240CA" w:rsidRPr="00AB2DA1">
        <w:t>s</w:t>
      </w:r>
      <w:r w:rsidR="00E34965" w:rsidRPr="00AB2DA1">
        <w:t xml:space="preserve"> of patients undergoing cataract surgery</w:t>
      </w:r>
      <w:r w:rsidR="000240CA" w:rsidRPr="00AB2DA1">
        <w:t xml:space="preserve"> would use</w:t>
      </w:r>
      <w:r w:rsidR="00E34965" w:rsidRPr="00AB2DA1">
        <w:t xml:space="preserve"> prednisolone with phenylephrine </w:t>
      </w:r>
      <w:r w:rsidR="000240CA" w:rsidRPr="00AB2DA1">
        <w:t>if it were listed for this indication</w:t>
      </w:r>
    </w:p>
    <w:p w14:paraId="7E83F52A" w14:textId="77A25FA2" w:rsidR="00A05A0C" w:rsidRPr="00AB2DA1" w:rsidRDefault="00E34965" w:rsidP="005733D8">
      <w:pPr>
        <w:pStyle w:val="TableFooter"/>
        <w:widowControl/>
      </w:pPr>
      <w:r w:rsidRPr="00AB2DA1">
        <w:rPr>
          <w:vertAlign w:val="superscript"/>
        </w:rPr>
        <w:t>b</w:t>
      </w:r>
      <w:r w:rsidRPr="00AB2DA1">
        <w:t xml:space="preserve"> </w:t>
      </w:r>
      <w:r w:rsidR="00A05A0C" w:rsidRPr="00AB2DA1">
        <w:t xml:space="preserve">Assuming </w:t>
      </w:r>
      <w:r w:rsidR="00016D5C" w:rsidRPr="00AB2DA1">
        <w:t>1</w:t>
      </w:r>
      <w:r w:rsidRPr="00AB2DA1">
        <w:t xml:space="preserve"> </w:t>
      </w:r>
      <w:r w:rsidR="000240CA" w:rsidRPr="00AB2DA1">
        <w:t xml:space="preserve">x </w:t>
      </w:r>
      <w:r w:rsidRPr="00AB2DA1">
        <w:t xml:space="preserve">10 mL </w:t>
      </w:r>
      <w:r w:rsidR="000240CA" w:rsidRPr="00AB2DA1">
        <w:t xml:space="preserve">bottle </w:t>
      </w:r>
      <w:r w:rsidRPr="00AB2DA1">
        <w:t xml:space="preserve">prednisolone with phenylephrine </w:t>
      </w:r>
      <w:r w:rsidR="00A05A0C" w:rsidRPr="00AB2DA1">
        <w:t xml:space="preserve">per patient per </w:t>
      </w:r>
      <w:r w:rsidR="00016D5C" w:rsidRPr="00AB2DA1">
        <w:t xml:space="preserve">treatment </w:t>
      </w:r>
    </w:p>
    <w:p w14:paraId="4F8E7D6E" w14:textId="44085124" w:rsidR="00E63CAD" w:rsidRPr="00AB2DA1" w:rsidRDefault="00E34965" w:rsidP="005733D8">
      <w:pPr>
        <w:pStyle w:val="TableFooter"/>
        <w:widowControl/>
      </w:pPr>
      <w:r w:rsidRPr="00AB2DA1">
        <w:rPr>
          <w:rFonts w:asciiTheme="minorHAnsi" w:hAnsiTheme="minorHAnsi"/>
          <w:sz w:val="22"/>
          <w:vertAlign w:val="superscript"/>
        </w:rPr>
        <w:t>c</w:t>
      </w:r>
      <w:r w:rsidRPr="00AB2DA1">
        <w:rPr>
          <w:rFonts w:asciiTheme="minorHAnsi" w:hAnsiTheme="minorHAnsi"/>
          <w:sz w:val="22"/>
        </w:rPr>
        <w:t xml:space="preserve"> </w:t>
      </w:r>
      <w:r w:rsidRPr="00AB2DA1">
        <w:t>Assuming 2</w:t>
      </w:r>
      <w:r w:rsidR="000240CA" w:rsidRPr="00AB2DA1">
        <w:t xml:space="preserve"> x</w:t>
      </w:r>
      <w:r w:rsidRPr="00AB2DA1">
        <w:t xml:space="preserve"> </w:t>
      </w:r>
      <w:r w:rsidR="000240CA" w:rsidRPr="00AB2DA1">
        <w:t xml:space="preserve">5 mL </w:t>
      </w:r>
      <w:r w:rsidRPr="00AB2DA1">
        <w:t>bottle</w:t>
      </w:r>
      <w:r w:rsidR="000240CA" w:rsidRPr="00AB2DA1">
        <w:t>s</w:t>
      </w:r>
      <w:r w:rsidRPr="00AB2DA1">
        <w:t xml:space="preserve"> of comparator</w:t>
      </w:r>
      <w:r w:rsidR="000240CA" w:rsidRPr="00AB2DA1">
        <w:t xml:space="preserve"> drug</w:t>
      </w:r>
      <w:r w:rsidRPr="00AB2DA1">
        <w:t xml:space="preserve"> per patient per treatment </w:t>
      </w:r>
    </w:p>
    <w:p w14:paraId="0E1DACD2" w14:textId="0AC748A7" w:rsidR="00BF0DAA" w:rsidRPr="00AB2DA1" w:rsidRDefault="00BF0DAA" w:rsidP="005733D8">
      <w:pPr>
        <w:pStyle w:val="TableFooter"/>
        <w:widowControl/>
      </w:pPr>
      <w:r w:rsidRPr="00AB2DA1">
        <w:rPr>
          <w:vertAlign w:val="superscript"/>
        </w:rPr>
        <w:t>d</w:t>
      </w:r>
      <w:r w:rsidRPr="00AB2DA1">
        <w:t xml:space="preserve"> The lower range assumes that prednisolone with phenylephrine would substitute for the lower cost comparator only (fluorometholone and fluorometholone acetate); the upper range assumes substitution for the more costly comparator only (dexamethasone). The true figure would likely be somewhere within this range.</w:t>
      </w:r>
    </w:p>
    <w:p w14:paraId="19F8D719" w14:textId="77777777" w:rsidR="00E34965" w:rsidRPr="00AB2DA1" w:rsidRDefault="00E34965" w:rsidP="005733D8">
      <w:pPr>
        <w:rPr>
          <w:rFonts w:asciiTheme="minorHAnsi" w:hAnsiTheme="minorHAnsi"/>
          <w:sz w:val="22"/>
          <w:szCs w:val="22"/>
        </w:rPr>
      </w:pPr>
    </w:p>
    <w:p w14:paraId="2ACCD054" w14:textId="0E82008F" w:rsidR="00D11E69" w:rsidRPr="00AB2DA1" w:rsidRDefault="00BF0DA3" w:rsidP="005733D8">
      <w:pPr>
        <w:pStyle w:val="3Bodytext"/>
      </w:pPr>
      <w:r w:rsidRPr="00AB2DA1">
        <w:t>The Secretariat made several assumptions</w:t>
      </w:r>
      <w:r w:rsidR="00E87BE6" w:rsidRPr="00AB2DA1">
        <w:t xml:space="preserve"> in its financial estimations</w:t>
      </w:r>
      <w:r w:rsidRPr="00AB2DA1">
        <w:t xml:space="preserve"> and considered the estimated net cost to the PBS/RPBS to be uncertain. </w:t>
      </w:r>
      <w:r w:rsidR="00830B78" w:rsidRPr="00AB2DA1">
        <w:t>A s</w:t>
      </w:r>
      <w:r w:rsidR="00DC354F" w:rsidRPr="00AB2DA1">
        <w:t>ensitivity analys</w:t>
      </w:r>
      <w:r w:rsidR="00830B78" w:rsidRPr="00AB2DA1">
        <w:t>i</w:t>
      </w:r>
      <w:r w:rsidR="00DC354F" w:rsidRPr="00AB2DA1">
        <w:t>s w</w:t>
      </w:r>
      <w:r w:rsidR="00830B78" w:rsidRPr="00AB2DA1">
        <w:t>as</w:t>
      </w:r>
      <w:r w:rsidR="00DC354F" w:rsidRPr="00AB2DA1">
        <w:t xml:space="preserve"> performed</w:t>
      </w:r>
      <w:r w:rsidR="006C547C" w:rsidRPr="00AB2DA1">
        <w:t xml:space="preserve"> to </w:t>
      </w:r>
      <w:r w:rsidR="00830B78" w:rsidRPr="00AB2DA1">
        <w:t>estimate</w:t>
      </w:r>
      <w:r w:rsidR="006C547C" w:rsidRPr="00AB2DA1">
        <w:t xml:space="preserve"> the potential upper limit of costs </w:t>
      </w:r>
      <w:r w:rsidR="007A5EEF" w:rsidRPr="00AB2DA1">
        <w:t xml:space="preserve">as a result of </w:t>
      </w:r>
      <w:r w:rsidR="006C547C" w:rsidRPr="00AB2DA1">
        <w:t>the</w:t>
      </w:r>
      <w:r w:rsidRPr="00AB2DA1">
        <w:t xml:space="preserve"> extension to</w:t>
      </w:r>
      <w:r w:rsidR="006C547C" w:rsidRPr="00AB2DA1">
        <w:t xml:space="preserve"> listing</w:t>
      </w:r>
      <w:r w:rsidR="00830B78" w:rsidRPr="00AB2DA1">
        <w:t>. For this</w:t>
      </w:r>
      <w:r w:rsidR="00D11E69" w:rsidRPr="00AB2DA1">
        <w:t xml:space="preserve"> </w:t>
      </w:r>
      <w:r w:rsidR="00DC354F" w:rsidRPr="00AB2DA1">
        <w:t>it was assumed that</w:t>
      </w:r>
      <w:r w:rsidR="00D11E69" w:rsidRPr="00AB2DA1">
        <w:t>:</w:t>
      </w:r>
      <w:r w:rsidR="000E01F8" w:rsidRPr="00AB2DA1">
        <w:t xml:space="preserve"> </w:t>
      </w:r>
    </w:p>
    <w:p w14:paraId="0851B4F9" w14:textId="501A2287" w:rsidR="00D11E69" w:rsidRPr="00AB2DA1" w:rsidRDefault="00D11E69" w:rsidP="005733D8">
      <w:pPr>
        <w:pStyle w:val="Bulletpoints"/>
        <w:widowControl/>
      </w:pPr>
      <w:r w:rsidRPr="00AB2DA1">
        <w:t>every person who requires cataract surgery received cataract surgery</w:t>
      </w:r>
      <w:r w:rsidR="00F40F49" w:rsidRPr="00AB2DA1">
        <w:t xml:space="preserve"> (calculated using the AIHW National Hospital Morbidity Database </w:t>
      </w:r>
      <w:r w:rsidR="00C31505" w:rsidRPr="00AB2DA1">
        <w:t xml:space="preserve">2015-2017 </w:t>
      </w:r>
      <w:r w:rsidR="00F40F49" w:rsidRPr="00AB2DA1">
        <w:t>estimation of the number of people requiring cataract surgery and ABS population projections)</w:t>
      </w:r>
      <w:r w:rsidRPr="00AB2DA1">
        <w:t>;</w:t>
      </w:r>
    </w:p>
    <w:p w14:paraId="7C0206D3" w14:textId="2C5C1F54" w:rsidR="00D11E69" w:rsidRPr="00AB2DA1" w:rsidRDefault="00DC354F" w:rsidP="005733D8">
      <w:pPr>
        <w:pStyle w:val="Bulletpoints"/>
        <w:widowControl/>
      </w:pPr>
      <w:r w:rsidRPr="00AB2DA1">
        <w:lastRenderedPageBreak/>
        <w:t xml:space="preserve">prednisolone with phenylephrine would substitute for </w:t>
      </w:r>
      <w:r w:rsidR="00871A57" w:rsidRPr="00AB2DA1">
        <w:t>10</w:t>
      </w:r>
      <w:r w:rsidRPr="00AB2DA1">
        <w:t>0% of the existing prescriptions for the comparators (rather than 2/3 of prescriptions)</w:t>
      </w:r>
      <w:r w:rsidR="00AA3598" w:rsidRPr="00AB2DA1">
        <w:t xml:space="preserve"> and would only substitute use for the more costly comparator (dexamethasone); </w:t>
      </w:r>
      <w:r w:rsidR="00D11E69" w:rsidRPr="00AB2DA1">
        <w:t>and</w:t>
      </w:r>
    </w:p>
    <w:p w14:paraId="42D64E26" w14:textId="77777777" w:rsidR="00D11E69" w:rsidRPr="00AB2DA1" w:rsidRDefault="00DC354F" w:rsidP="005733D8">
      <w:pPr>
        <w:pStyle w:val="Bulletpoints"/>
        <w:widowControl/>
      </w:pPr>
      <w:r w:rsidRPr="00AB2DA1">
        <w:t xml:space="preserve">patients currently accessing the comparators for this purpose only use one bottle (5 mL) rather than two bottles (10 mL). </w:t>
      </w:r>
    </w:p>
    <w:p w14:paraId="73F13A36" w14:textId="69EACF28" w:rsidR="00DC354F" w:rsidRPr="00AB2DA1" w:rsidRDefault="00F232E9" w:rsidP="005733D8">
      <w:pPr>
        <w:pStyle w:val="3Bodytext"/>
        <w:numPr>
          <w:ilvl w:val="0"/>
          <w:numId w:val="0"/>
        </w:numPr>
        <w:ind w:left="720"/>
        <w:rPr>
          <w:color w:val="000000" w:themeColor="text1"/>
          <w:szCs w:val="24"/>
        </w:rPr>
      </w:pPr>
      <w:r w:rsidRPr="00AB2DA1">
        <w:t xml:space="preserve">The </w:t>
      </w:r>
      <w:r w:rsidR="00DC354F" w:rsidRPr="00AB2DA1">
        <w:t xml:space="preserve">net financial impact on the </w:t>
      </w:r>
      <w:r w:rsidR="00EB10D0" w:rsidRPr="00AB2DA1">
        <w:t xml:space="preserve">PBS </w:t>
      </w:r>
      <w:r w:rsidR="007A5EEF" w:rsidRPr="00AB2DA1">
        <w:t xml:space="preserve">with </w:t>
      </w:r>
      <w:r w:rsidR="00DC354F" w:rsidRPr="00AB2DA1">
        <w:t xml:space="preserve">these </w:t>
      </w:r>
      <w:r w:rsidR="007A5EEF" w:rsidRPr="00AB2DA1">
        <w:t xml:space="preserve">assumptions </w:t>
      </w:r>
      <w:r w:rsidR="00DC354F" w:rsidRPr="00AB2DA1">
        <w:t>would be</w:t>
      </w:r>
      <w:r w:rsidR="00D13960" w:rsidRPr="00AB2DA1">
        <w:t xml:space="preserve"> </w:t>
      </w:r>
      <w:r w:rsidR="00750421" w:rsidRPr="00AB2DA1">
        <w:t xml:space="preserve">a cost of </w:t>
      </w:r>
      <w:r w:rsidR="00B660DF" w:rsidRPr="00AB2DA1">
        <w:t>$</w:t>
      </w:r>
      <w:r w:rsidR="00871A57" w:rsidRPr="00AB2DA1">
        <w:t>22,629</w:t>
      </w:r>
      <w:r w:rsidR="00B660DF" w:rsidRPr="00AB2DA1">
        <w:t xml:space="preserve"> in Year 6 of listing and a total net cost to the PBS of $</w:t>
      </w:r>
      <w:r w:rsidR="00871A57" w:rsidRPr="00AB2DA1">
        <w:t>129,364</w:t>
      </w:r>
      <w:r w:rsidR="00B660DF" w:rsidRPr="00AB2DA1">
        <w:t xml:space="preserve"> over the first 6 years of listing.</w:t>
      </w:r>
      <w:r w:rsidR="00871A57" w:rsidRPr="00AB2DA1">
        <w:t xml:space="preserve"> </w:t>
      </w:r>
    </w:p>
    <w:p w14:paraId="2A337A7F" w14:textId="701A3028" w:rsidR="00EC2720" w:rsidRPr="00AB2DA1" w:rsidRDefault="00EC2720" w:rsidP="005733D8">
      <w:pPr>
        <w:pStyle w:val="Bodytextitalics"/>
        <w:numPr>
          <w:ilvl w:val="0"/>
          <w:numId w:val="0"/>
        </w:numPr>
        <w:ind w:left="720"/>
      </w:pPr>
      <w:r w:rsidRPr="00AB2DA1">
        <w:t xml:space="preserve">For more detail on PBAC’s view, see section </w:t>
      </w:r>
      <w:r w:rsidR="000C1EE3" w:rsidRPr="00AB2DA1">
        <w:t>6</w:t>
      </w:r>
      <w:r w:rsidRPr="00AB2DA1">
        <w:t xml:space="preserve"> PBAC outcome.</w:t>
      </w:r>
    </w:p>
    <w:p w14:paraId="6AD2199B" w14:textId="77777777" w:rsidR="009D51B9" w:rsidRPr="00AB2DA1" w:rsidRDefault="009D51B9" w:rsidP="005733D8">
      <w:pPr>
        <w:pStyle w:val="2Sections"/>
      </w:pPr>
      <w:r w:rsidRPr="00AB2DA1">
        <w:t>PBAC Outcome</w:t>
      </w:r>
    </w:p>
    <w:p w14:paraId="074542D2" w14:textId="7B63B7BA" w:rsidR="00A0769E" w:rsidRPr="00AB2DA1" w:rsidRDefault="004D5475" w:rsidP="005733D8">
      <w:pPr>
        <w:pStyle w:val="3Bodytext"/>
      </w:pPr>
      <w:r w:rsidRPr="00AB2DA1">
        <w:t>The PBAC recommended listing p</w:t>
      </w:r>
      <w:r w:rsidR="00B9770F" w:rsidRPr="00AB2DA1">
        <w:t xml:space="preserve">rednisolone with phenylephrine </w:t>
      </w:r>
      <w:r w:rsidR="000C1EE3" w:rsidRPr="00AB2DA1">
        <w:t xml:space="preserve">as a Restricted Benefit </w:t>
      </w:r>
      <w:r w:rsidR="00EA7883" w:rsidRPr="00AB2DA1">
        <w:t>for</w:t>
      </w:r>
      <w:r w:rsidRPr="00AB2DA1">
        <w:t xml:space="preserve"> severe eye inflammation following cataract surgery for patients who identify as Aboriginal </w:t>
      </w:r>
      <w:r w:rsidR="004B35A4" w:rsidRPr="00AB2DA1">
        <w:t xml:space="preserve">or </w:t>
      </w:r>
      <w:r w:rsidRPr="00AB2DA1">
        <w:t>Torres Strait Islander</w:t>
      </w:r>
      <w:r w:rsidR="00A548C4" w:rsidRPr="00AB2DA1">
        <w:t>. In making its recommendation, the PBAC took into consideration, among other matters, the high clinical need of the patient population and that the listing would likely be cost neutral to Government.</w:t>
      </w:r>
      <w:r w:rsidR="0032390C" w:rsidRPr="00AB2DA1">
        <w:t xml:space="preserve"> </w:t>
      </w:r>
    </w:p>
    <w:p w14:paraId="49243B8E" w14:textId="124F7202" w:rsidR="0032390C" w:rsidRPr="00AB2DA1" w:rsidRDefault="00AE528F" w:rsidP="005733D8">
      <w:pPr>
        <w:pStyle w:val="3Bodytext"/>
      </w:pPr>
      <w:r w:rsidRPr="00AB2DA1">
        <w:t>The PBAC noted that the requested listing is consistent with the indications approved by the Therapeutic Goods Administration (TGA).</w:t>
      </w:r>
    </w:p>
    <w:p w14:paraId="01D5934C" w14:textId="41D752D2" w:rsidR="00AE528F" w:rsidRPr="00AB2DA1" w:rsidRDefault="0032390C" w:rsidP="005733D8">
      <w:pPr>
        <w:pStyle w:val="3Bodytext"/>
      </w:pPr>
      <w:r w:rsidRPr="00AB2DA1">
        <w:t>The PBAC considered the nominated comparators were appropriate.</w:t>
      </w:r>
    </w:p>
    <w:p w14:paraId="206BBED1" w14:textId="78907C69" w:rsidR="00D64C81" w:rsidRPr="00AB2DA1" w:rsidRDefault="00884E1C" w:rsidP="005733D8">
      <w:pPr>
        <w:pStyle w:val="3Bodytext"/>
      </w:pPr>
      <w:r w:rsidRPr="00AB2DA1">
        <w:t>The PBAC</w:t>
      </w:r>
      <w:r w:rsidR="00D64C81" w:rsidRPr="00AB2DA1">
        <w:t xml:space="preserve"> </w:t>
      </w:r>
      <w:r w:rsidR="006F6AB0" w:rsidRPr="00AB2DA1">
        <w:t xml:space="preserve">noted that eye disease and vision problems are </w:t>
      </w:r>
      <w:r w:rsidR="00E24DF3" w:rsidRPr="00AB2DA1">
        <w:t xml:space="preserve">the most </w:t>
      </w:r>
      <w:r w:rsidR="006F6AB0" w:rsidRPr="00AB2DA1">
        <w:t>common lon</w:t>
      </w:r>
      <w:r w:rsidR="004F01CD" w:rsidRPr="00AB2DA1">
        <w:t>g</w:t>
      </w:r>
      <w:r w:rsidR="006F6AB0" w:rsidRPr="00AB2DA1">
        <w:t>-term health conditions</w:t>
      </w:r>
      <w:r w:rsidR="00E24DF3" w:rsidRPr="00AB2DA1">
        <w:t xml:space="preserve"> reported by Aboriginal and Torres Strait Islander people</w:t>
      </w:r>
      <w:r w:rsidR="006F6AB0" w:rsidRPr="00AB2DA1">
        <w:t xml:space="preserve">, and </w:t>
      </w:r>
      <w:r w:rsidR="00D64C81" w:rsidRPr="00AB2DA1">
        <w:t>acknowledged</w:t>
      </w:r>
      <w:r w:rsidR="006F6AB0" w:rsidRPr="00AB2DA1">
        <w:t xml:space="preserve"> th</w:t>
      </w:r>
      <w:r w:rsidR="00E24DF3" w:rsidRPr="00AB2DA1">
        <w:t>e</w:t>
      </w:r>
      <w:r w:rsidR="00D64C81" w:rsidRPr="00AB2DA1">
        <w:t xml:space="preserve"> </w:t>
      </w:r>
      <w:r w:rsidR="00B63684" w:rsidRPr="00AB2DA1">
        <w:t xml:space="preserve">ongoing </w:t>
      </w:r>
      <w:r w:rsidRPr="00AB2DA1">
        <w:t>challenge</w:t>
      </w:r>
      <w:r w:rsidR="00E24DF3" w:rsidRPr="00AB2DA1">
        <w:t>s</w:t>
      </w:r>
      <w:r w:rsidRPr="00AB2DA1">
        <w:t xml:space="preserve"> </w:t>
      </w:r>
      <w:r w:rsidR="00E24DF3" w:rsidRPr="00AB2DA1">
        <w:t xml:space="preserve">regarding access to medicines </w:t>
      </w:r>
      <w:r w:rsidRPr="00AB2DA1">
        <w:t xml:space="preserve">for </w:t>
      </w:r>
      <w:r w:rsidR="00E24DF3" w:rsidRPr="00AB2DA1">
        <w:t xml:space="preserve">the </w:t>
      </w:r>
      <w:r w:rsidRPr="00AB2DA1">
        <w:t>Aboriginal and Torres Strait Islander population</w:t>
      </w:r>
      <w:r w:rsidR="00B63684" w:rsidRPr="00AB2DA1">
        <w:t xml:space="preserve">. </w:t>
      </w:r>
    </w:p>
    <w:p w14:paraId="590056FE" w14:textId="181D4574" w:rsidR="00A548C4" w:rsidRPr="00AB2DA1" w:rsidRDefault="00A0769E" w:rsidP="005733D8">
      <w:pPr>
        <w:pStyle w:val="3Bodytext"/>
      </w:pPr>
      <w:r w:rsidRPr="00AB2DA1">
        <w:t xml:space="preserve">The PBAC noted that Aboriginal and Torres Strait Islander patients have a higher incidence of diabetic macula oedema when inflammation is not controlled, which can lead to reduced consumer and community engagement with cataract surgery and therefore poorer health outcomes. The PBAC </w:t>
      </w:r>
      <w:r w:rsidR="00245D76" w:rsidRPr="00AB2DA1">
        <w:t xml:space="preserve">noted the arguments in the submission </w:t>
      </w:r>
      <w:r w:rsidR="00A548C4" w:rsidRPr="00AB2DA1">
        <w:t>and letters of support</w:t>
      </w:r>
      <w:r w:rsidRPr="00AB2DA1">
        <w:t xml:space="preserve"> </w:t>
      </w:r>
      <w:r w:rsidR="00A548C4" w:rsidRPr="00AB2DA1">
        <w:t xml:space="preserve">from the RANZCO and other organisations (see paragraph 5.1) </w:t>
      </w:r>
      <w:r w:rsidRPr="00AB2DA1">
        <w:t xml:space="preserve">that </w:t>
      </w:r>
      <w:r w:rsidR="000F09CD" w:rsidRPr="00AB2DA1">
        <w:t xml:space="preserve">prednisolone with phenylephrine </w:t>
      </w:r>
      <w:r w:rsidRPr="00AB2DA1">
        <w:t>could be particularly beneficial to this population, and that its ability to reduce eye redness could help to increase the patients’ perception of the success of the surgery and reduce concerns about the procedure in the wider community.</w:t>
      </w:r>
    </w:p>
    <w:p w14:paraId="19E4DF28" w14:textId="1C045361" w:rsidR="00D64C81" w:rsidRPr="00AB2DA1" w:rsidRDefault="006F6AB0" w:rsidP="005733D8">
      <w:pPr>
        <w:pStyle w:val="3Bodytext"/>
      </w:pPr>
      <w:r w:rsidRPr="00AB2DA1">
        <w:t>T</w:t>
      </w:r>
      <w:r w:rsidR="00D64C81" w:rsidRPr="00AB2DA1">
        <w:t xml:space="preserve">he PBAC </w:t>
      </w:r>
      <w:r w:rsidR="00BE012D" w:rsidRPr="00AB2DA1">
        <w:t xml:space="preserve">noted that </w:t>
      </w:r>
      <w:r w:rsidR="000F09CD" w:rsidRPr="00AB2DA1">
        <w:t xml:space="preserve">prednisolone with phenylephrine </w:t>
      </w:r>
      <w:r w:rsidR="00BE012D" w:rsidRPr="00AB2DA1">
        <w:t xml:space="preserve">has a 10 mL pack size compared to the 5 mL pack sizes of the PBS-listed alternatives and </w:t>
      </w:r>
      <w:r w:rsidR="00D64C81" w:rsidRPr="00AB2DA1">
        <w:t xml:space="preserve">that </w:t>
      </w:r>
      <w:r w:rsidR="00BE012D" w:rsidRPr="00AB2DA1">
        <w:t>this</w:t>
      </w:r>
      <w:r w:rsidRPr="00AB2DA1">
        <w:t xml:space="preserve"> </w:t>
      </w:r>
      <w:r w:rsidR="003379CD" w:rsidRPr="00AB2DA1">
        <w:t xml:space="preserve">may </w:t>
      </w:r>
      <w:r w:rsidR="0032390C" w:rsidRPr="00AB2DA1">
        <w:t>be particularly beneficial for</w:t>
      </w:r>
      <w:r w:rsidR="00E24DF3" w:rsidRPr="00AB2DA1">
        <w:t xml:space="preserve"> the Aboriginal and Torres Strait Islander population</w:t>
      </w:r>
      <w:r w:rsidR="00BE012D" w:rsidRPr="00AB2DA1">
        <w:t>,</w:t>
      </w:r>
      <w:r w:rsidR="00E24DF3" w:rsidRPr="00AB2DA1">
        <w:t xml:space="preserve"> </w:t>
      </w:r>
      <w:r w:rsidR="004B5E2B" w:rsidRPr="00AB2DA1">
        <w:t>especially</w:t>
      </w:r>
      <w:r w:rsidR="0035712A" w:rsidRPr="00AB2DA1">
        <w:t xml:space="preserve"> patients travelling home to regional or remote areas after the procedure</w:t>
      </w:r>
      <w:r w:rsidR="00BE012D" w:rsidRPr="00AB2DA1">
        <w:t>, as they would receive a full course of treatment with no repeats necessary.</w:t>
      </w:r>
      <w:r w:rsidR="000F09CD" w:rsidRPr="00AB2DA1">
        <w:t xml:space="preserve"> </w:t>
      </w:r>
      <w:r w:rsidR="004B35A4" w:rsidRPr="00AB2DA1">
        <w:t xml:space="preserve">The recommended listing would allow eligible Aboriginal and Torres Strait Islander people living with chronic disease, to a access prednisolone with phenylephrine through the Closing the Gap </w:t>
      </w:r>
      <w:r w:rsidR="00AB2DA1" w:rsidRPr="00AB2DA1">
        <w:t>Co-payment</w:t>
      </w:r>
      <w:r w:rsidR="004B35A4" w:rsidRPr="00AB2DA1">
        <w:t xml:space="preserve"> Scheme. The PBAC noted that while the </w:t>
      </w:r>
      <w:r w:rsidR="007603CD" w:rsidRPr="00AB2DA1">
        <w:t xml:space="preserve">private cost of </w:t>
      </w:r>
      <w:r w:rsidR="007603CD" w:rsidRPr="00AB2DA1">
        <w:lastRenderedPageBreak/>
        <w:t>prednisolone with phenylephrine</w:t>
      </w:r>
      <w:r w:rsidR="004B35A4" w:rsidRPr="00AB2DA1">
        <w:t xml:space="preserve"> is less than the general patient co-payment ($40.30 as at 1 July 2019)</w:t>
      </w:r>
      <w:r w:rsidR="007603CD" w:rsidRPr="00AB2DA1">
        <w:t>,</w:t>
      </w:r>
      <w:r w:rsidR="004B35A4" w:rsidRPr="00AB2DA1">
        <w:t xml:space="preserve"> </w:t>
      </w:r>
      <w:r w:rsidR="007603CD" w:rsidRPr="00AB2DA1">
        <w:t>it</w:t>
      </w:r>
      <w:r w:rsidR="004B35A4" w:rsidRPr="00AB2DA1">
        <w:t xml:space="preserve"> is higher than the Closing the Gap </w:t>
      </w:r>
      <w:r w:rsidR="00AB2DA1" w:rsidRPr="00AB2DA1">
        <w:t>co-payment</w:t>
      </w:r>
      <w:r w:rsidR="004B35A4" w:rsidRPr="00AB2DA1">
        <w:t xml:space="preserve"> amounts</w:t>
      </w:r>
      <w:r w:rsidR="007603CD" w:rsidRPr="00AB2DA1">
        <w:t xml:space="preserve"> (see paragraph 3.3).</w:t>
      </w:r>
    </w:p>
    <w:p w14:paraId="4329DCCC" w14:textId="227021A8" w:rsidR="0059412E" w:rsidRPr="00AB2DA1" w:rsidRDefault="0059412E" w:rsidP="005733D8">
      <w:pPr>
        <w:pStyle w:val="3Bodytext"/>
      </w:pPr>
      <w:r w:rsidRPr="00AB2DA1">
        <w:t xml:space="preserve">The PBAC noted that the submission estimated </w:t>
      </w:r>
      <w:r w:rsidR="00245D76" w:rsidRPr="00AB2DA1">
        <w:t xml:space="preserve">the listing would result in </w:t>
      </w:r>
      <w:r w:rsidRPr="00AB2DA1">
        <w:t xml:space="preserve">a </w:t>
      </w:r>
      <w:r w:rsidR="00245D76" w:rsidRPr="00AB2DA1">
        <w:t xml:space="preserve">small </w:t>
      </w:r>
      <w:r w:rsidRPr="00AB2DA1">
        <w:t>save to the PBS and the Secretariat estimated a small cost</w:t>
      </w:r>
      <w:r w:rsidR="006E510E" w:rsidRPr="00AB2DA1">
        <w:t xml:space="preserve">. The PBAC noted that the estimates were uncertain and depended </w:t>
      </w:r>
      <w:r w:rsidRPr="00AB2DA1">
        <w:t xml:space="preserve">on which </w:t>
      </w:r>
      <w:r w:rsidR="006E510E" w:rsidRPr="00AB2DA1">
        <w:t>of the PBS-listed alternatives wa</w:t>
      </w:r>
      <w:r w:rsidRPr="00AB2DA1">
        <w:t xml:space="preserve">s replaced by </w:t>
      </w:r>
      <w:r w:rsidR="000F09CD" w:rsidRPr="00AB2DA1">
        <w:t>prednisolone with phenylephrine and that the</w:t>
      </w:r>
      <w:r w:rsidR="00F84109" w:rsidRPr="00AB2DA1">
        <w:t xml:space="preserve"> sensitivity analysis</w:t>
      </w:r>
      <w:r w:rsidR="003379CD" w:rsidRPr="00AB2DA1">
        <w:t xml:space="preserve"> conducted by the Secretariat</w:t>
      </w:r>
      <w:r w:rsidR="00F84109" w:rsidRPr="00AB2DA1">
        <w:t xml:space="preserve"> </w:t>
      </w:r>
      <w:r w:rsidR="000F09CD" w:rsidRPr="00AB2DA1">
        <w:t xml:space="preserve">(see paragraph 5.14) </w:t>
      </w:r>
      <w:r w:rsidR="00F84109" w:rsidRPr="00AB2DA1">
        <w:t>represented a</w:t>
      </w:r>
      <w:r w:rsidR="00245D76" w:rsidRPr="00AB2DA1">
        <w:t>n upper-limit</w:t>
      </w:r>
      <w:r w:rsidR="00F84109" w:rsidRPr="00AB2DA1">
        <w:t xml:space="preserve"> </w:t>
      </w:r>
      <w:r w:rsidR="000F09CD" w:rsidRPr="00AB2DA1">
        <w:t>that</w:t>
      </w:r>
      <w:r w:rsidR="00F84109" w:rsidRPr="00AB2DA1">
        <w:t xml:space="preserve"> </w:t>
      </w:r>
      <w:r w:rsidR="006E510E" w:rsidRPr="00AB2DA1">
        <w:t>wa</w:t>
      </w:r>
      <w:r w:rsidR="00F84109" w:rsidRPr="00AB2DA1">
        <w:t xml:space="preserve">s unlikely to </w:t>
      </w:r>
      <w:r w:rsidR="006E510E" w:rsidRPr="00AB2DA1">
        <w:t>be realised. The PBAC considered that</w:t>
      </w:r>
      <w:r w:rsidR="00F84109" w:rsidRPr="00AB2DA1">
        <w:t xml:space="preserve">, on balance, the listing of </w:t>
      </w:r>
      <w:r w:rsidR="000F09CD" w:rsidRPr="00AB2DA1">
        <w:t>prednisolone with phenylephrine</w:t>
      </w:r>
      <w:r w:rsidR="00F84109" w:rsidRPr="00AB2DA1">
        <w:t xml:space="preserve"> for Aboriginal and Torres Strait Islander people is likely to be cost-neutral to </w:t>
      </w:r>
      <w:r w:rsidR="003379CD" w:rsidRPr="00AB2DA1">
        <w:t>Government</w:t>
      </w:r>
      <w:r w:rsidR="00F84109" w:rsidRPr="00AB2DA1">
        <w:t>.</w:t>
      </w:r>
    </w:p>
    <w:p w14:paraId="5F75DE9B" w14:textId="3D90A1E2" w:rsidR="00D64C81" w:rsidRPr="00AB2DA1" w:rsidRDefault="009B1638" w:rsidP="005733D8">
      <w:pPr>
        <w:pStyle w:val="3Bodytext"/>
      </w:pPr>
      <w:r w:rsidRPr="00AB2DA1">
        <w:t xml:space="preserve">The PBAC </w:t>
      </w:r>
      <w:r w:rsidR="003379CD" w:rsidRPr="00AB2DA1">
        <w:t xml:space="preserve">recommended the listing </w:t>
      </w:r>
      <w:r w:rsidRPr="00AB2DA1">
        <w:t xml:space="preserve">include a clinical criterion stating that the </w:t>
      </w:r>
      <w:r w:rsidR="007410CC" w:rsidRPr="00AB2DA1">
        <w:t>p</w:t>
      </w:r>
      <w:r w:rsidRPr="00AB2DA1">
        <w:t>atient must have had a cataract removed in the treated eye or be scheduled for cataract surgery in the treated eye, to enable prescribing either</w:t>
      </w:r>
      <w:r w:rsidR="003D5F7B" w:rsidRPr="00AB2DA1">
        <w:t xml:space="preserve"> </w:t>
      </w:r>
      <w:r w:rsidRPr="00AB2DA1">
        <w:t xml:space="preserve">prior to or </w:t>
      </w:r>
      <w:r w:rsidR="003D5F7B" w:rsidRPr="00AB2DA1">
        <w:t>following</w:t>
      </w:r>
      <w:r w:rsidRPr="00AB2DA1">
        <w:t xml:space="preserve"> surgery. </w:t>
      </w:r>
    </w:p>
    <w:p w14:paraId="2BFF2C5B" w14:textId="327F04C7" w:rsidR="004D5475" w:rsidRPr="00AB2DA1" w:rsidRDefault="009B1638" w:rsidP="005733D8">
      <w:pPr>
        <w:pStyle w:val="3Bodytext"/>
      </w:pPr>
      <w:r w:rsidRPr="00AB2DA1">
        <w:t xml:space="preserve">The PBAC </w:t>
      </w:r>
      <w:r w:rsidR="009E6CA3" w:rsidRPr="00AB2DA1">
        <w:t>considered that</w:t>
      </w:r>
      <w:r w:rsidRPr="00AB2DA1">
        <w:t xml:space="preserve"> </w:t>
      </w:r>
      <w:r w:rsidR="00210755" w:rsidRPr="00AB2DA1">
        <w:t>nurse practitioner</w:t>
      </w:r>
      <w:r w:rsidR="00EC7681" w:rsidRPr="00AB2DA1">
        <w:t xml:space="preserve"> and optometrist</w:t>
      </w:r>
      <w:r w:rsidRPr="00AB2DA1">
        <w:t xml:space="preserve"> prescribing of the drug for the requested indication is not </w:t>
      </w:r>
      <w:r w:rsidR="007410CC" w:rsidRPr="00AB2DA1">
        <w:t>suitable, as nurse practitioners and optometrist</w:t>
      </w:r>
      <w:r w:rsidR="007E5821" w:rsidRPr="00AB2DA1">
        <w:t>s</w:t>
      </w:r>
      <w:r w:rsidR="007410CC" w:rsidRPr="00AB2DA1">
        <w:t xml:space="preserve"> </w:t>
      </w:r>
      <w:r w:rsidRPr="00AB2DA1">
        <w:t xml:space="preserve">are not involved in cataract surgery. </w:t>
      </w:r>
    </w:p>
    <w:p w14:paraId="77555D8C" w14:textId="12D332B0" w:rsidR="004D5475" w:rsidRPr="00AB2DA1" w:rsidRDefault="00C81F6A" w:rsidP="005733D8">
      <w:pPr>
        <w:pStyle w:val="3Bodytext"/>
        <w:rPr>
          <w:rFonts w:cs="Arial"/>
          <w:snapToGrid w:val="0"/>
          <w:lang w:eastAsia="en-US"/>
        </w:rPr>
      </w:pPr>
      <w:r w:rsidRPr="00AB2DA1">
        <w:rPr>
          <w:rFonts w:cs="Arial"/>
          <w:snapToGrid w:val="0"/>
          <w:lang w:eastAsia="en-US"/>
        </w:rPr>
        <w:t xml:space="preserve">The PBAC noted that the Early Supply Rule does not currently apply to prednisolone with phenylephrine. This is consistent with the nominated comparators, fluorometholone and dexamethasone. </w:t>
      </w:r>
    </w:p>
    <w:p w14:paraId="42AA3731" w14:textId="0C9FAEDE" w:rsidR="00274933" w:rsidRPr="00AB2DA1" w:rsidRDefault="00274933" w:rsidP="005733D8">
      <w:pPr>
        <w:pStyle w:val="3Bodytext"/>
      </w:pPr>
      <w:r w:rsidRPr="00AB2DA1">
        <w:t xml:space="preserve">The PBAC advised that, because </w:t>
      </w:r>
      <w:r w:rsidR="00002356" w:rsidRPr="00AB2DA1">
        <w:t>prednisolone with phenylephrine</w:t>
      </w:r>
      <w:r w:rsidRPr="00AB2DA1">
        <w:t xml:space="preserve"> is not expected to provide a substantial and clinically relevant improvement in efficacy, or reduction of toxicity, over </w:t>
      </w:r>
      <w:r w:rsidR="004F49BD" w:rsidRPr="00AB2DA1">
        <w:t>dexamethasone</w:t>
      </w:r>
      <w:r w:rsidR="003D5F7B" w:rsidRPr="00AB2DA1">
        <w:t xml:space="preserve"> or</w:t>
      </w:r>
      <w:r w:rsidR="004F49BD" w:rsidRPr="00AB2DA1">
        <w:t xml:space="preserve"> fluorometholone</w:t>
      </w:r>
      <w:r w:rsidRPr="00AB2DA1">
        <w:t xml:space="preserve">, or not expected to address a high and urgent unmet clinical need given the presence of an alternative therapy, the criteria prescribed by the National Health (Pharmaceuticals and Vaccines – Cost Recovery) Regulation 2009 for Pricing Pathway A were not met. </w:t>
      </w:r>
    </w:p>
    <w:p w14:paraId="19674D72" w14:textId="53611027" w:rsidR="004D5475" w:rsidRPr="00AB2DA1" w:rsidRDefault="00274933" w:rsidP="005733D8">
      <w:pPr>
        <w:pStyle w:val="3Bodytext"/>
        <w:rPr>
          <w:lang w:eastAsia="en-US"/>
        </w:rPr>
      </w:pPr>
      <w:r w:rsidRPr="00AB2DA1">
        <w:t>The PBAC noted that this submission is not eligible for an Independent Review because it received a positive recommendation.</w:t>
      </w:r>
    </w:p>
    <w:p w14:paraId="44E9909F" w14:textId="77777777" w:rsidR="009D51B9" w:rsidRPr="00AB2DA1" w:rsidRDefault="009D51B9" w:rsidP="005733D8">
      <w:pPr>
        <w:spacing w:before="240"/>
        <w:jc w:val="both"/>
        <w:rPr>
          <w:rFonts w:asciiTheme="minorHAnsi" w:hAnsiTheme="minorHAnsi" w:cs="Arial"/>
          <w:b/>
          <w:bCs/>
          <w:snapToGrid w:val="0"/>
        </w:rPr>
      </w:pPr>
      <w:r w:rsidRPr="00AB2DA1">
        <w:rPr>
          <w:rFonts w:asciiTheme="minorHAnsi" w:hAnsiTheme="minorHAnsi" w:cs="Arial"/>
          <w:b/>
          <w:bCs/>
          <w:snapToGrid w:val="0"/>
        </w:rPr>
        <w:t>Outcome:</w:t>
      </w:r>
    </w:p>
    <w:p w14:paraId="4F5DED44" w14:textId="2C2CABCC" w:rsidR="009D51B9" w:rsidRPr="00AB2DA1" w:rsidRDefault="009D51B9" w:rsidP="005733D8">
      <w:pPr>
        <w:jc w:val="both"/>
        <w:rPr>
          <w:rFonts w:asciiTheme="minorHAnsi" w:hAnsiTheme="minorHAnsi" w:cs="Arial"/>
          <w:bCs/>
          <w:snapToGrid w:val="0"/>
        </w:rPr>
      </w:pPr>
      <w:r w:rsidRPr="00AB2DA1">
        <w:rPr>
          <w:rFonts w:asciiTheme="minorHAnsi" w:hAnsiTheme="minorHAnsi" w:cs="Arial"/>
          <w:bCs/>
          <w:snapToGrid w:val="0"/>
        </w:rPr>
        <w:t xml:space="preserve">Recommended </w:t>
      </w:r>
    </w:p>
    <w:p w14:paraId="76F09E38" w14:textId="77777777" w:rsidR="009D51B9" w:rsidRPr="00AB2DA1" w:rsidRDefault="009D51B9" w:rsidP="005733D8">
      <w:pPr>
        <w:pStyle w:val="2Sections"/>
      </w:pPr>
      <w:r w:rsidRPr="00AB2DA1">
        <w:t>Recommended listing</w:t>
      </w:r>
    </w:p>
    <w:p w14:paraId="0C0718E3" w14:textId="4301FC38" w:rsidR="009D51B9" w:rsidRPr="00AB2DA1" w:rsidRDefault="009D51B9" w:rsidP="005733D8">
      <w:pPr>
        <w:pStyle w:val="3Bodytext"/>
        <w:rPr>
          <w:snapToGrid w:val="0"/>
        </w:rPr>
      </w:pPr>
      <w:r w:rsidRPr="00AB2DA1">
        <w:rPr>
          <w:snapToGrid w:val="0"/>
        </w:rPr>
        <w:t>Add new item:</w:t>
      </w:r>
    </w:p>
    <w:tbl>
      <w:tblPr>
        <w:tblW w:w="5000" w:type="pct"/>
        <w:tblLook w:val="0000" w:firstRow="0" w:lastRow="0" w:firstColumn="0" w:lastColumn="0" w:noHBand="0" w:noVBand="0"/>
      </w:tblPr>
      <w:tblGrid>
        <w:gridCol w:w="2777"/>
        <w:gridCol w:w="419"/>
        <w:gridCol w:w="556"/>
        <w:gridCol w:w="693"/>
        <w:gridCol w:w="1666"/>
        <w:gridCol w:w="2915"/>
      </w:tblGrid>
      <w:tr w:rsidR="008666B5" w:rsidRPr="00745458" w14:paraId="1D962BDF" w14:textId="77777777" w:rsidTr="00745458">
        <w:trPr>
          <w:cantSplit/>
          <w:trHeight w:val="471"/>
        </w:trPr>
        <w:tc>
          <w:tcPr>
            <w:tcW w:w="1770" w:type="pct"/>
            <w:gridSpan w:val="2"/>
            <w:tcBorders>
              <w:bottom w:val="single" w:sz="4" w:space="0" w:color="auto"/>
            </w:tcBorders>
          </w:tcPr>
          <w:p w14:paraId="0AD6C7E7" w14:textId="77777777" w:rsidR="008666B5" w:rsidRPr="00745458" w:rsidRDefault="008666B5" w:rsidP="005733D8">
            <w:pPr>
              <w:keepNext/>
              <w:ind w:left="-108"/>
              <w:jc w:val="both"/>
              <w:rPr>
                <w:rFonts w:ascii="Arial Narrow" w:hAnsi="Arial Narrow" w:cs="Arial"/>
                <w:sz w:val="20"/>
                <w:szCs w:val="20"/>
              </w:rPr>
            </w:pPr>
            <w:r w:rsidRPr="00745458">
              <w:rPr>
                <w:rFonts w:ascii="Arial Narrow" w:hAnsi="Arial Narrow" w:cs="Arial"/>
                <w:sz w:val="20"/>
                <w:szCs w:val="20"/>
              </w:rPr>
              <w:t>Name, Restriction,</w:t>
            </w:r>
          </w:p>
          <w:p w14:paraId="6CBF9F8A" w14:textId="77777777" w:rsidR="008666B5" w:rsidRPr="00745458" w:rsidRDefault="008666B5" w:rsidP="005733D8">
            <w:pPr>
              <w:keepNext/>
              <w:ind w:left="-108"/>
              <w:jc w:val="both"/>
              <w:rPr>
                <w:rFonts w:ascii="Arial Narrow" w:hAnsi="Arial Narrow" w:cs="Arial"/>
                <w:sz w:val="20"/>
                <w:szCs w:val="20"/>
              </w:rPr>
            </w:pPr>
            <w:r w:rsidRPr="00745458">
              <w:rPr>
                <w:rFonts w:ascii="Arial Narrow" w:hAnsi="Arial Narrow" w:cs="Arial"/>
                <w:sz w:val="20"/>
                <w:szCs w:val="20"/>
              </w:rPr>
              <w:t>Manner of administration and form</w:t>
            </w:r>
          </w:p>
        </w:tc>
        <w:tc>
          <w:tcPr>
            <w:tcW w:w="308" w:type="pct"/>
            <w:tcBorders>
              <w:bottom w:val="single" w:sz="4" w:space="0" w:color="auto"/>
            </w:tcBorders>
          </w:tcPr>
          <w:p w14:paraId="0E585AEF" w14:textId="77777777" w:rsidR="008666B5" w:rsidRPr="00745458" w:rsidRDefault="008666B5" w:rsidP="005733D8">
            <w:pPr>
              <w:keepNext/>
              <w:ind w:left="-108"/>
              <w:jc w:val="both"/>
              <w:rPr>
                <w:rFonts w:ascii="Arial Narrow" w:hAnsi="Arial Narrow" w:cs="Arial"/>
                <w:sz w:val="20"/>
                <w:szCs w:val="20"/>
              </w:rPr>
            </w:pPr>
            <w:r w:rsidRPr="00745458">
              <w:rPr>
                <w:rFonts w:ascii="Arial Narrow" w:hAnsi="Arial Narrow" w:cs="Arial"/>
                <w:sz w:val="20"/>
                <w:szCs w:val="20"/>
              </w:rPr>
              <w:t>Max.</w:t>
            </w:r>
          </w:p>
          <w:p w14:paraId="6EA54894" w14:textId="77777777" w:rsidR="008666B5" w:rsidRPr="00745458" w:rsidRDefault="008666B5" w:rsidP="005733D8">
            <w:pPr>
              <w:keepNext/>
              <w:ind w:left="-108"/>
              <w:jc w:val="both"/>
              <w:rPr>
                <w:rFonts w:ascii="Arial Narrow" w:hAnsi="Arial Narrow" w:cs="Arial"/>
                <w:sz w:val="20"/>
                <w:szCs w:val="20"/>
              </w:rPr>
            </w:pPr>
            <w:r w:rsidRPr="00745458">
              <w:rPr>
                <w:rFonts w:ascii="Arial Narrow" w:hAnsi="Arial Narrow" w:cs="Arial"/>
                <w:sz w:val="20"/>
                <w:szCs w:val="20"/>
              </w:rPr>
              <w:t>Qty</w:t>
            </w:r>
          </w:p>
        </w:tc>
        <w:tc>
          <w:tcPr>
            <w:tcW w:w="384" w:type="pct"/>
            <w:tcBorders>
              <w:bottom w:val="single" w:sz="4" w:space="0" w:color="auto"/>
            </w:tcBorders>
          </w:tcPr>
          <w:p w14:paraId="55DE5A17" w14:textId="77777777" w:rsidR="008666B5" w:rsidRPr="00745458" w:rsidRDefault="008666B5" w:rsidP="005733D8">
            <w:pPr>
              <w:keepNext/>
              <w:ind w:left="-108"/>
              <w:jc w:val="both"/>
              <w:rPr>
                <w:rFonts w:ascii="Arial Narrow" w:hAnsi="Arial Narrow" w:cs="Arial"/>
                <w:sz w:val="20"/>
                <w:szCs w:val="20"/>
              </w:rPr>
            </w:pPr>
            <w:r w:rsidRPr="00745458">
              <w:rPr>
                <w:rFonts w:ascii="Arial Narrow" w:hAnsi="Arial Narrow" w:cs="Arial"/>
                <w:sz w:val="20"/>
                <w:szCs w:val="20"/>
              </w:rPr>
              <w:t>№.of</w:t>
            </w:r>
          </w:p>
          <w:p w14:paraId="4E32F5CD" w14:textId="77777777" w:rsidR="008666B5" w:rsidRPr="00745458" w:rsidRDefault="008666B5" w:rsidP="005733D8">
            <w:pPr>
              <w:keepNext/>
              <w:ind w:left="-108"/>
              <w:jc w:val="both"/>
              <w:rPr>
                <w:rFonts w:ascii="Arial Narrow" w:hAnsi="Arial Narrow" w:cs="Arial"/>
                <w:sz w:val="20"/>
                <w:szCs w:val="20"/>
              </w:rPr>
            </w:pPr>
            <w:r w:rsidRPr="00745458">
              <w:rPr>
                <w:rFonts w:ascii="Arial Narrow" w:hAnsi="Arial Narrow" w:cs="Arial"/>
                <w:sz w:val="20"/>
                <w:szCs w:val="20"/>
              </w:rPr>
              <w:t>Rpts</w:t>
            </w:r>
          </w:p>
        </w:tc>
        <w:tc>
          <w:tcPr>
            <w:tcW w:w="2538" w:type="pct"/>
            <w:gridSpan w:val="2"/>
            <w:tcBorders>
              <w:bottom w:val="single" w:sz="4" w:space="0" w:color="auto"/>
            </w:tcBorders>
          </w:tcPr>
          <w:p w14:paraId="4408B861" w14:textId="77777777" w:rsidR="008666B5" w:rsidRPr="00745458" w:rsidRDefault="008666B5" w:rsidP="005733D8">
            <w:pPr>
              <w:keepNext/>
              <w:jc w:val="both"/>
              <w:rPr>
                <w:rFonts w:ascii="Arial Narrow" w:hAnsi="Arial Narrow" w:cs="Arial"/>
                <w:sz w:val="20"/>
                <w:szCs w:val="20"/>
              </w:rPr>
            </w:pPr>
            <w:r w:rsidRPr="00745458">
              <w:rPr>
                <w:rFonts w:ascii="Arial Narrow" w:hAnsi="Arial Narrow" w:cs="Arial"/>
                <w:sz w:val="20"/>
                <w:szCs w:val="20"/>
              </w:rPr>
              <w:t>Proprietary Name and Manufacturer</w:t>
            </w:r>
          </w:p>
        </w:tc>
      </w:tr>
      <w:tr w:rsidR="008666B5" w:rsidRPr="00745458" w14:paraId="007F3579" w14:textId="77777777" w:rsidTr="00745458">
        <w:trPr>
          <w:cantSplit/>
          <w:trHeight w:val="577"/>
        </w:trPr>
        <w:tc>
          <w:tcPr>
            <w:tcW w:w="1770" w:type="pct"/>
            <w:gridSpan w:val="2"/>
          </w:tcPr>
          <w:p w14:paraId="251DBA31" w14:textId="77777777" w:rsidR="008666B5" w:rsidRPr="00745458" w:rsidRDefault="008666B5" w:rsidP="005733D8">
            <w:pPr>
              <w:keepNext/>
              <w:ind w:left="-108"/>
              <w:jc w:val="both"/>
              <w:rPr>
                <w:rFonts w:ascii="Arial Narrow" w:hAnsi="Arial Narrow" w:cs="Arial"/>
                <w:smallCaps/>
                <w:sz w:val="20"/>
                <w:szCs w:val="20"/>
              </w:rPr>
            </w:pPr>
            <w:r w:rsidRPr="00745458">
              <w:rPr>
                <w:rFonts w:ascii="Arial Narrow" w:hAnsi="Arial Narrow" w:cs="Arial"/>
                <w:smallCaps/>
                <w:sz w:val="20"/>
                <w:szCs w:val="20"/>
              </w:rPr>
              <w:t>prednisolone with phenylephrine</w:t>
            </w:r>
          </w:p>
          <w:p w14:paraId="007CBBC7" w14:textId="77777777" w:rsidR="008666B5" w:rsidRPr="00745458" w:rsidRDefault="008666B5" w:rsidP="005733D8">
            <w:pPr>
              <w:keepNext/>
              <w:ind w:left="-108"/>
              <w:jc w:val="both"/>
              <w:rPr>
                <w:rFonts w:ascii="Arial Narrow" w:hAnsi="Arial Narrow" w:cs="Arial"/>
                <w:color w:val="FF0000"/>
                <w:sz w:val="20"/>
                <w:szCs w:val="20"/>
              </w:rPr>
            </w:pPr>
            <w:r w:rsidRPr="00745458">
              <w:rPr>
                <w:rFonts w:ascii="Arial Narrow" w:hAnsi="Arial Narrow" w:cs="Arial"/>
                <w:sz w:val="20"/>
                <w:szCs w:val="20"/>
              </w:rPr>
              <w:t>prednisolone acetate 1% + phenylephrine hydrochloride 0.12% eye drops, 10 mL</w:t>
            </w:r>
          </w:p>
        </w:tc>
        <w:tc>
          <w:tcPr>
            <w:tcW w:w="308" w:type="pct"/>
          </w:tcPr>
          <w:p w14:paraId="4C3C69D4" w14:textId="77777777" w:rsidR="008666B5" w:rsidRPr="00745458" w:rsidRDefault="008666B5" w:rsidP="005733D8">
            <w:pPr>
              <w:keepNext/>
              <w:ind w:left="-108"/>
              <w:jc w:val="center"/>
              <w:rPr>
                <w:rFonts w:ascii="Arial Narrow" w:hAnsi="Arial Narrow" w:cs="Arial"/>
                <w:sz w:val="20"/>
                <w:szCs w:val="20"/>
              </w:rPr>
            </w:pPr>
          </w:p>
          <w:p w14:paraId="44B4CE1F" w14:textId="77777777" w:rsidR="008666B5" w:rsidRPr="00745458" w:rsidRDefault="008666B5" w:rsidP="005733D8">
            <w:pPr>
              <w:keepNext/>
              <w:ind w:left="-108"/>
              <w:jc w:val="center"/>
              <w:rPr>
                <w:rFonts w:ascii="Arial Narrow" w:hAnsi="Arial Narrow" w:cs="Arial"/>
                <w:sz w:val="20"/>
                <w:szCs w:val="20"/>
              </w:rPr>
            </w:pPr>
            <w:r w:rsidRPr="00745458">
              <w:rPr>
                <w:rFonts w:ascii="Arial Narrow" w:hAnsi="Arial Narrow" w:cs="Arial"/>
                <w:sz w:val="20"/>
                <w:szCs w:val="20"/>
              </w:rPr>
              <w:t>1</w:t>
            </w:r>
          </w:p>
        </w:tc>
        <w:tc>
          <w:tcPr>
            <w:tcW w:w="384" w:type="pct"/>
          </w:tcPr>
          <w:p w14:paraId="675453FA" w14:textId="77777777" w:rsidR="008666B5" w:rsidRPr="00745458" w:rsidRDefault="008666B5" w:rsidP="005733D8">
            <w:pPr>
              <w:keepNext/>
              <w:ind w:left="-108"/>
              <w:jc w:val="center"/>
              <w:rPr>
                <w:rFonts w:ascii="Arial Narrow" w:hAnsi="Arial Narrow" w:cs="Arial"/>
                <w:sz w:val="20"/>
                <w:szCs w:val="20"/>
              </w:rPr>
            </w:pPr>
          </w:p>
          <w:p w14:paraId="29267A0F" w14:textId="77777777" w:rsidR="008666B5" w:rsidRPr="00745458" w:rsidRDefault="008666B5" w:rsidP="005733D8">
            <w:pPr>
              <w:keepNext/>
              <w:ind w:left="-108"/>
              <w:jc w:val="center"/>
              <w:rPr>
                <w:rFonts w:ascii="Arial Narrow" w:hAnsi="Arial Narrow" w:cs="Arial"/>
                <w:sz w:val="20"/>
                <w:szCs w:val="20"/>
              </w:rPr>
            </w:pPr>
            <w:r w:rsidRPr="00745458">
              <w:rPr>
                <w:rFonts w:ascii="Arial Narrow" w:hAnsi="Arial Narrow" w:cs="Arial"/>
                <w:sz w:val="20"/>
                <w:szCs w:val="20"/>
              </w:rPr>
              <w:t>0</w:t>
            </w:r>
          </w:p>
        </w:tc>
        <w:tc>
          <w:tcPr>
            <w:tcW w:w="923" w:type="pct"/>
          </w:tcPr>
          <w:p w14:paraId="273EA064" w14:textId="77777777" w:rsidR="008666B5" w:rsidRPr="00745458" w:rsidRDefault="008666B5" w:rsidP="005733D8">
            <w:pPr>
              <w:keepNext/>
              <w:jc w:val="both"/>
              <w:rPr>
                <w:rFonts w:ascii="Arial Narrow" w:hAnsi="Arial Narrow" w:cs="Arial"/>
                <w:sz w:val="20"/>
                <w:szCs w:val="20"/>
              </w:rPr>
            </w:pPr>
            <w:r w:rsidRPr="00745458">
              <w:rPr>
                <w:rFonts w:ascii="Arial Narrow" w:hAnsi="Arial Narrow" w:cs="Arial"/>
                <w:sz w:val="20"/>
                <w:szCs w:val="20"/>
              </w:rPr>
              <w:t>Prednefrin® Forte</w:t>
            </w:r>
          </w:p>
        </w:tc>
        <w:tc>
          <w:tcPr>
            <w:tcW w:w="1615" w:type="pct"/>
          </w:tcPr>
          <w:p w14:paraId="289BEA7B" w14:textId="77777777" w:rsidR="008666B5" w:rsidRPr="00745458" w:rsidRDefault="008666B5" w:rsidP="005733D8">
            <w:pPr>
              <w:keepNext/>
              <w:jc w:val="both"/>
              <w:rPr>
                <w:rFonts w:ascii="Arial Narrow" w:hAnsi="Arial Narrow" w:cs="Arial"/>
                <w:sz w:val="20"/>
                <w:szCs w:val="20"/>
              </w:rPr>
            </w:pPr>
            <w:r w:rsidRPr="00745458">
              <w:rPr>
                <w:rFonts w:ascii="Arial Narrow" w:hAnsi="Arial Narrow" w:cs="Arial"/>
                <w:sz w:val="20"/>
                <w:szCs w:val="20"/>
              </w:rPr>
              <w:t>Allergan Australia Pty Ltd</w:t>
            </w:r>
          </w:p>
        </w:tc>
      </w:tr>
      <w:tr w:rsidR="008666B5" w:rsidRPr="00745458" w14:paraId="7C0A8FFF"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609062BD" w14:textId="77777777" w:rsidR="008666B5" w:rsidRPr="00745458" w:rsidRDefault="008666B5" w:rsidP="005733D8">
            <w:pPr>
              <w:jc w:val="both"/>
              <w:rPr>
                <w:rFonts w:ascii="Arial Narrow" w:hAnsi="Arial Narrow" w:cs="Arial"/>
                <w:b/>
                <w:sz w:val="20"/>
                <w:szCs w:val="20"/>
              </w:rPr>
            </w:pPr>
            <w:r w:rsidRPr="00745458">
              <w:rPr>
                <w:rFonts w:ascii="Arial Narrow" w:hAnsi="Arial Narrow" w:cs="Arial"/>
                <w:b/>
                <w:sz w:val="20"/>
                <w:szCs w:val="20"/>
              </w:rPr>
              <w:t>Category / Program:</w:t>
            </w:r>
          </w:p>
        </w:tc>
        <w:tc>
          <w:tcPr>
            <w:tcW w:w="3462" w:type="pct"/>
            <w:gridSpan w:val="5"/>
            <w:tcBorders>
              <w:top w:val="single" w:sz="4" w:space="0" w:color="auto"/>
              <w:left w:val="single" w:sz="4" w:space="0" w:color="auto"/>
              <w:bottom w:val="single" w:sz="4" w:space="0" w:color="auto"/>
              <w:right w:val="single" w:sz="4" w:space="0" w:color="auto"/>
            </w:tcBorders>
          </w:tcPr>
          <w:p w14:paraId="1E28E599"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GENERAL – General Schedule (Code GE)</w:t>
            </w:r>
          </w:p>
          <w:p w14:paraId="21FCD881" w14:textId="77777777" w:rsidR="008666B5" w:rsidRPr="00745458" w:rsidRDefault="008666B5" w:rsidP="005733D8">
            <w:pPr>
              <w:jc w:val="both"/>
              <w:rPr>
                <w:rFonts w:ascii="Arial Narrow" w:hAnsi="Arial Narrow" w:cs="Arial"/>
                <w:sz w:val="20"/>
                <w:szCs w:val="20"/>
              </w:rPr>
            </w:pPr>
          </w:p>
        </w:tc>
      </w:tr>
      <w:tr w:rsidR="008666B5" w:rsidRPr="00745458" w14:paraId="5A4558F0"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C432040" w14:textId="77777777" w:rsidR="008666B5" w:rsidRPr="00745458" w:rsidRDefault="008666B5" w:rsidP="005733D8">
            <w:pPr>
              <w:jc w:val="both"/>
              <w:rPr>
                <w:rFonts w:ascii="Arial Narrow" w:hAnsi="Arial Narrow" w:cs="Arial"/>
                <w:b/>
                <w:sz w:val="20"/>
                <w:szCs w:val="20"/>
              </w:rPr>
            </w:pPr>
            <w:r w:rsidRPr="00745458">
              <w:rPr>
                <w:rFonts w:ascii="Arial Narrow" w:hAnsi="Arial Narrow" w:cs="Arial"/>
                <w:b/>
                <w:sz w:val="20"/>
                <w:szCs w:val="20"/>
              </w:rPr>
              <w:lastRenderedPageBreak/>
              <w:t>Prescriber type:</w:t>
            </w:r>
          </w:p>
          <w:p w14:paraId="7638FF67" w14:textId="77777777" w:rsidR="008666B5" w:rsidRPr="00745458" w:rsidRDefault="008666B5" w:rsidP="005733D8">
            <w:pPr>
              <w:jc w:val="both"/>
              <w:rPr>
                <w:rFonts w:ascii="Arial Narrow" w:hAnsi="Arial Narrow" w:cs="Arial"/>
                <w:b/>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03AB0F8D"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fldChar w:fldCharType="begin">
                <w:ffData>
                  <w:name w:val="Check1"/>
                  <w:enabled/>
                  <w:calcOnExit w:val="0"/>
                  <w:checkBox>
                    <w:sizeAuto/>
                    <w:default w:val="0"/>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 xml:space="preserve">Dental  </w:t>
            </w:r>
            <w:r w:rsidRPr="00745458">
              <w:rPr>
                <w:rFonts w:ascii="Arial Narrow" w:hAnsi="Arial Narrow" w:cs="Arial"/>
                <w:sz w:val="20"/>
                <w:szCs w:val="20"/>
              </w:rPr>
              <w:fldChar w:fldCharType="begin">
                <w:ffData>
                  <w:name w:val=""/>
                  <w:enabled/>
                  <w:calcOnExit w:val="0"/>
                  <w:checkBox>
                    <w:sizeAuto/>
                    <w:default w:val="1"/>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 xml:space="preserve">Medical Practitioners  </w:t>
            </w:r>
            <w:r w:rsidRPr="00745458">
              <w:rPr>
                <w:rFonts w:ascii="Arial Narrow" w:hAnsi="Arial Narrow" w:cs="Arial"/>
                <w:sz w:val="20"/>
                <w:szCs w:val="20"/>
              </w:rPr>
              <w:fldChar w:fldCharType="begin">
                <w:ffData>
                  <w:name w:val="Check3"/>
                  <w:enabled/>
                  <w:calcOnExit w:val="0"/>
                  <w:checkBox>
                    <w:sizeAuto/>
                    <w:default w:val="0"/>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 xml:space="preserve">Nurse practitioners  </w:t>
            </w:r>
            <w:r w:rsidRPr="00745458">
              <w:rPr>
                <w:rFonts w:ascii="Arial Narrow" w:hAnsi="Arial Narrow" w:cs="Arial"/>
                <w:sz w:val="20"/>
                <w:szCs w:val="20"/>
              </w:rPr>
              <w:fldChar w:fldCharType="begin">
                <w:ffData>
                  <w:name w:val=""/>
                  <w:enabled/>
                  <w:calcOnExit w:val="0"/>
                  <w:checkBox>
                    <w:sizeAuto/>
                    <w:default w:val="0"/>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Optometrists</w:t>
            </w:r>
          </w:p>
          <w:p w14:paraId="548054E3"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fldChar w:fldCharType="begin">
                <w:ffData>
                  <w:name w:val="Check5"/>
                  <w:enabled/>
                  <w:calcOnExit w:val="0"/>
                  <w:checkBox>
                    <w:sizeAuto/>
                    <w:default w:val="0"/>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Midwives</w:t>
            </w:r>
          </w:p>
        </w:tc>
      </w:tr>
      <w:tr w:rsidR="008666B5" w:rsidRPr="00745458" w14:paraId="605BEDC7"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171CC2D" w14:textId="77777777" w:rsidR="008666B5" w:rsidRPr="00745458" w:rsidRDefault="008666B5" w:rsidP="005733D8">
            <w:pPr>
              <w:jc w:val="both"/>
              <w:rPr>
                <w:rFonts w:ascii="Arial Narrow" w:hAnsi="Arial Narrow" w:cs="Arial"/>
                <w:b/>
                <w:sz w:val="20"/>
                <w:szCs w:val="20"/>
              </w:rPr>
            </w:pPr>
            <w:r w:rsidRPr="00745458">
              <w:rPr>
                <w:rFonts w:ascii="Arial Narrow" w:hAnsi="Arial Narrow" w:cs="Arial"/>
                <w:b/>
                <w:sz w:val="20"/>
                <w:szCs w:val="20"/>
              </w:rPr>
              <w:t>Episodicity:</w:t>
            </w:r>
          </w:p>
        </w:tc>
        <w:tc>
          <w:tcPr>
            <w:tcW w:w="3462" w:type="pct"/>
            <w:gridSpan w:val="5"/>
            <w:tcBorders>
              <w:top w:val="single" w:sz="4" w:space="0" w:color="auto"/>
              <w:left w:val="single" w:sz="4" w:space="0" w:color="auto"/>
              <w:bottom w:val="single" w:sz="4" w:space="0" w:color="auto"/>
              <w:right w:val="single" w:sz="4" w:space="0" w:color="auto"/>
            </w:tcBorders>
          </w:tcPr>
          <w:p w14:paraId="75B29DC8"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w:t>
            </w:r>
          </w:p>
        </w:tc>
      </w:tr>
      <w:tr w:rsidR="008666B5" w:rsidRPr="00745458" w14:paraId="6C239872"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41BDC954" w14:textId="77777777" w:rsidR="008666B5" w:rsidRPr="00745458" w:rsidRDefault="008666B5" w:rsidP="005733D8">
            <w:pPr>
              <w:jc w:val="both"/>
              <w:rPr>
                <w:rFonts w:ascii="Arial Narrow" w:hAnsi="Arial Narrow" w:cs="Arial"/>
                <w:b/>
                <w:sz w:val="20"/>
                <w:szCs w:val="20"/>
              </w:rPr>
            </w:pPr>
            <w:r w:rsidRPr="00745458">
              <w:rPr>
                <w:rFonts w:ascii="Arial Narrow" w:hAnsi="Arial Narrow" w:cs="Arial"/>
                <w:b/>
                <w:sz w:val="20"/>
                <w:szCs w:val="20"/>
              </w:rPr>
              <w:t>Severity:</w:t>
            </w:r>
          </w:p>
        </w:tc>
        <w:tc>
          <w:tcPr>
            <w:tcW w:w="3462" w:type="pct"/>
            <w:gridSpan w:val="5"/>
            <w:tcBorders>
              <w:top w:val="single" w:sz="4" w:space="0" w:color="auto"/>
              <w:left w:val="single" w:sz="4" w:space="0" w:color="auto"/>
              <w:bottom w:val="single" w:sz="4" w:space="0" w:color="auto"/>
              <w:right w:val="single" w:sz="4" w:space="0" w:color="auto"/>
            </w:tcBorders>
          </w:tcPr>
          <w:p w14:paraId="28E173C8"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Severe</w:t>
            </w:r>
          </w:p>
        </w:tc>
      </w:tr>
      <w:tr w:rsidR="008666B5" w:rsidRPr="00745458" w14:paraId="0C4B103F"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2C9C309F" w14:textId="77777777" w:rsidR="008666B5" w:rsidRPr="00745458" w:rsidRDefault="008666B5" w:rsidP="005733D8">
            <w:pPr>
              <w:jc w:val="both"/>
              <w:rPr>
                <w:rFonts w:ascii="Arial Narrow" w:hAnsi="Arial Narrow" w:cs="Arial"/>
                <w:b/>
                <w:sz w:val="20"/>
                <w:szCs w:val="20"/>
              </w:rPr>
            </w:pPr>
            <w:r w:rsidRPr="00745458">
              <w:rPr>
                <w:rFonts w:ascii="Arial Narrow" w:hAnsi="Arial Narrow" w:cs="Arial"/>
                <w:b/>
                <w:sz w:val="20"/>
                <w:szCs w:val="20"/>
              </w:rPr>
              <w:t>Condition:</w:t>
            </w:r>
          </w:p>
        </w:tc>
        <w:tc>
          <w:tcPr>
            <w:tcW w:w="3462" w:type="pct"/>
            <w:gridSpan w:val="5"/>
            <w:tcBorders>
              <w:top w:val="single" w:sz="4" w:space="0" w:color="auto"/>
              <w:left w:val="single" w:sz="4" w:space="0" w:color="auto"/>
              <w:bottom w:val="single" w:sz="4" w:space="0" w:color="auto"/>
              <w:right w:val="single" w:sz="4" w:space="0" w:color="auto"/>
            </w:tcBorders>
          </w:tcPr>
          <w:p w14:paraId="7F020A1E"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eye inflammation</w:t>
            </w:r>
          </w:p>
        </w:tc>
      </w:tr>
      <w:tr w:rsidR="008666B5" w:rsidRPr="00745458" w14:paraId="704592DC" w14:textId="77777777" w:rsidTr="00745458">
        <w:trPr>
          <w:cantSplit/>
          <w:trHeight w:val="369"/>
        </w:trPr>
        <w:tc>
          <w:tcPr>
            <w:tcW w:w="1538" w:type="pct"/>
            <w:tcBorders>
              <w:top w:val="single" w:sz="4" w:space="0" w:color="auto"/>
              <w:left w:val="single" w:sz="4" w:space="0" w:color="auto"/>
              <w:bottom w:val="single" w:sz="4" w:space="0" w:color="auto"/>
              <w:right w:val="single" w:sz="4" w:space="0" w:color="auto"/>
            </w:tcBorders>
          </w:tcPr>
          <w:p w14:paraId="36BAF15E" w14:textId="77777777" w:rsidR="008666B5" w:rsidRPr="00745458" w:rsidRDefault="008666B5" w:rsidP="005733D8">
            <w:pPr>
              <w:jc w:val="both"/>
              <w:rPr>
                <w:rFonts w:ascii="Arial Narrow" w:hAnsi="Arial Narrow" w:cs="Arial"/>
                <w:b/>
                <w:sz w:val="20"/>
                <w:szCs w:val="20"/>
              </w:rPr>
            </w:pPr>
            <w:r w:rsidRPr="00745458">
              <w:rPr>
                <w:rFonts w:ascii="Arial Narrow" w:hAnsi="Arial Narrow" w:cs="Arial"/>
                <w:b/>
                <w:sz w:val="20"/>
                <w:szCs w:val="20"/>
              </w:rPr>
              <w:t>PBS Indication:</w:t>
            </w:r>
          </w:p>
          <w:p w14:paraId="3CCA6AA1" w14:textId="77777777" w:rsidR="008666B5" w:rsidRPr="00745458" w:rsidRDefault="008666B5" w:rsidP="005733D8">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3777214F"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Severe eye inflammation [new concept]</w:t>
            </w:r>
          </w:p>
        </w:tc>
      </w:tr>
      <w:tr w:rsidR="008666B5" w:rsidRPr="00745458" w14:paraId="6E1301A8" w14:textId="77777777" w:rsidTr="00745458">
        <w:trPr>
          <w:cantSplit/>
          <w:trHeight w:val="360"/>
        </w:trPr>
        <w:tc>
          <w:tcPr>
            <w:tcW w:w="1538" w:type="pct"/>
            <w:tcBorders>
              <w:top w:val="single" w:sz="4" w:space="0" w:color="auto"/>
              <w:left w:val="single" w:sz="4" w:space="0" w:color="auto"/>
              <w:bottom w:val="single" w:sz="4" w:space="0" w:color="auto"/>
              <w:right w:val="single" w:sz="4" w:space="0" w:color="auto"/>
            </w:tcBorders>
          </w:tcPr>
          <w:p w14:paraId="382006D8" w14:textId="77777777" w:rsidR="008666B5" w:rsidRPr="00745458" w:rsidRDefault="008666B5" w:rsidP="005733D8">
            <w:pPr>
              <w:jc w:val="both"/>
              <w:rPr>
                <w:rFonts w:ascii="Arial Narrow" w:hAnsi="Arial Narrow" w:cs="Arial"/>
                <w:b/>
                <w:sz w:val="20"/>
                <w:szCs w:val="20"/>
              </w:rPr>
            </w:pPr>
            <w:r w:rsidRPr="00745458">
              <w:rPr>
                <w:rFonts w:ascii="Arial Narrow" w:hAnsi="Arial Narrow" w:cs="Arial"/>
                <w:b/>
                <w:sz w:val="20"/>
                <w:szCs w:val="20"/>
              </w:rPr>
              <w:t>Restriction Level / Method:</w:t>
            </w:r>
          </w:p>
          <w:p w14:paraId="3FB36F4D" w14:textId="77777777" w:rsidR="008666B5" w:rsidRPr="00745458" w:rsidRDefault="008666B5" w:rsidP="005733D8">
            <w:pPr>
              <w:jc w:val="both"/>
              <w:rPr>
                <w:rFonts w:ascii="Arial Narrow" w:hAnsi="Arial Narrow" w:cs="Arial"/>
                <w:i/>
                <w:sz w:val="20"/>
                <w:szCs w:val="20"/>
              </w:rPr>
            </w:pPr>
          </w:p>
          <w:p w14:paraId="61C1A6DA" w14:textId="77777777" w:rsidR="008666B5" w:rsidRPr="00745458" w:rsidRDefault="008666B5" w:rsidP="005733D8">
            <w:pPr>
              <w:jc w:val="both"/>
              <w:rPr>
                <w:rFonts w:ascii="Arial Narrow" w:hAnsi="Arial Narrow" w:cs="Arial"/>
                <w:i/>
                <w:sz w:val="20"/>
                <w:szCs w:val="20"/>
              </w:rPr>
            </w:pPr>
          </w:p>
          <w:p w14:paraId="5D2AD6C7" w14:textId="77777777" w:rsidR="008666B5" w:rsidRPr="00745458" w:rsidRDefault="008666B5" w:rsidP="005733D8">
            <w:pPr>
              <w:jc w:val="both"/>
              <w:rPr>
                <w:rFonts w:ascii="Arial Narrow" w:hAnsi="Arial Narrow" w:cs="Arial"/>
                <w:i/>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4F7E8B79"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fldChar w:fldCharType="begin">
                <w:ffData>
                  <w:name w:val="Check1"/>
                  <w:enabled/>
                  <w:calcOnExit w:val="0"/>
                  <w:checkBox>
                    <w:sizeAuto/>
                    <w:default w:val="1"/>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Restricted benefit</w:t>
            </w:r>
          </w:p>
          <w:p w14:paraId="44B99279"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fldChar w:fldCharType="begin">
                <w:ffData>
                  <w:name w:val=""/>
                  <w:enabled/>
                  <w:calcOnExit w:val="0"/>
                  <w:checkBox>
                    <w:sizeAuto/>
                    <w:default w:val="0"/>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Authority Required – In Writing</w:t>
            </w:r>
          </w:p>
          <w:p w14:paraId="1E350CEB"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fldChar w:fldCharType="begin">
                <w:ffData>
                  <w:name w:val="Check3"/>
                  <w:enabled/>
                  <w:calcOnExit w:val="0"/>
                  <w:checkBox>
                    <w:sizeAuto/>
                    <w:default w:val="0"/>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Authority Required – Telephone/Electronic/Emergency</w:t>
            </w:r>
          </w:p>
          <w:p w14:paraId="743D487E"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fldChar w:fldCharType="begin">
                <w:ffData>
                  <w:name w:val="Check5"/>
                  <w:enabled/>
                  <w:calcOnExit w:val="0"/>
                  <w:checkBox>
                    <w:sizeAuto/>
                    <w:default w:val="0"/>
                  </w:checkBox>
                </w:ffData>
              </w:fldChar>
            </w:r>
            <w:r w:rsidRPr="00745458">
              <w:rPr>
                <w:rFonts w:ascii="Arial Narrow" w:hAnsi="Arial Narrow" w:cs="Arial"/>
                <w:sz w:val="20"/>
                <w:szCs w:val="20"/>
              </w:rPr>
              <w:instrText xml:space="preserve"> FORMCHECKBOX </w:instrText>
            </w:r>
            <w:r w:rsidR="0067360A">
              <w:rPr>
                <w:rFonts w:ascii="Arial Narrow" w:hAnsi="Arial Narrow" w:cs="Arial"/>
                <w:sz w:val="20"/>
                <w:szCs w:val="20"/>
              </w:rPr>
            </w:r>
            <w:r w:rsidR="0067360A">
              <w:rPr>
                <w:rFonts w:ascii="Arial Narrow" w:hAnsi="Arial Narrow" w:cs="Arial"/>
                <w:sz w:val="20"/>
                <w:szCs w:val="20"/>
              </w:rPr>
              <w:fldChar w:fldCharType="separate"/>
            </w:r>
            <w:r w:rsidRPr="00745458">
              <w:rPr>
                <w:rFonts w:ascii="Arial Narrow" w:hAnsi="Arial Narrow" w:cs="Arial"/>
                <w:sz w:val="20"/>
                <w:szCs w:val="20"/>
              </w:rPr>
              <w:fldChar w:fldCharType="end"/>
            </w:r>
            <w:r w:rsidRPr="00745458">
              <w:rPr>
                <w:rFonts w:ascii="Arial Narrow" w:hAnsi="Arial Narrow" w:cs="Arial"/>
                <w:sz w:val="20"/>
                <w:szCs w:val="20"/>
              </w:rPr>
              <w:t>Streamlined</w:t>
            </w:r>
          </w:p>
        </w:tc>
      </w:tr>
      <w:tr w:rsidR="008666B5" w:rsidRPr="00745458" w14:paraId="052E6D5C" w14:textId="77777777" w:rsidTr="00745458">
        <w:trPr>
          <w:cantSplit/>
          <w:trHeight w:val="489"/>
        </w:trPr>
        <w:tc>
          <w:tcPr>
            <w:tcW w:w="1538" w:type="pct"/>
            <w:tcBorders>
              <w:top w:val="single" w:sz="4" w:space="0" w:color="auto"/>
              <w:left w:val="single" w:sz="4" w:space="0" w:color="auto"/>
              <w:bottom w:val="single" w:sz="4" w:space="0" w:color="auto"/>
              <w:right w:val="single" w:sz="4" w:space="0" w:color="auto"/>
            </w:tcBorders>
          </w:tcPr>
          <w:p w14:paraId="6A337BD8" w14:textId="77777777" w:rsidR="008666B5" w:rsidRPr="00745458" w:rsidRDefault="008666B5" w:rsidP="005733D8">
            <w:pPr>
              <w:jc w:val="both"/>
              <w:rPr>
                <w:rFonts w:ascii="Arial Narrow" w:hAnsi="Arial Narrow" w:cs="Arial"/>
                <w:b/>
                <w:sz w:val="20"/>
                <w:szCs w:val="20"/>
              </w:rPr>
            </w:pPr>
            <w:r w:rsidRPr="00745458">
              <w:rPr>
                <w:rFonts w:ascii="Arial Narrow" w:hAnsi="Arial Narrow" w:cs="Arial"/>
                <w:b/>
                <w:sz w:val="20"/>
                <w:szCs w:val="20"/>
              </w:rPr>
              <w:t>Population criteria:</w:t>
            </w:r>
          </w:p>
          <w:p w14:paraId="54230A60" w14:textId="77777777" w:rsidR="008666B5" w:rsidRPr="00745458" w:rsidRDefault="008666B5" w:rsidP="005733D8">
            <w:pPr>
              <w:rPr>
                <w:rFonts w:ascii="Arial Narrow" w:hAnsi="Arial Narrow" w:cs="Arial"/>
                <w:sz w:val="20"/>
                <w:szCs w:val="20"/>
              </w:rPr>
            </w:pPr>
          </w:p>
        </w:tc>
        <w:tc>
          <w:tcPr>
            <w:tcW w:w="3462" w:type="pct"/>
            <w:gridSpan w:val="5"/>
            <w:tcBorders>
              <w:top w:val="single" w:sz="4" w:space="0" w:color="auto"/>
              <w:left w:val="single" w:sz="4" w:space="0" w:color="auto"/>
              <w:bottom w:val="single" w:sz="4" w:space="0" w:color="auto"/>
              <w:right w:val="single" w:sz="4" w:space="0" w:color="auto"/>
            </w:tcBorders>
          </w:tcPr>
          <w:p w14:paraId="5F51D6D8"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 xml:space="preserve">Patient must have had a cataract removed in the treated eye, or </w:t>
            </w:r>
          </w:p>
          <w:p w14:paraId="61AC11BB"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Patient must be scheduled for cataract surgery in the treated eye; [19254]</w:t>
            </w:r>
          </w:p>
          <w:p w14:paraId="2131170A"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AND</w:t>
            </w:r>
          </w:p>
          <w:p w14:paraId="734DA7E2" w14:textId="77777777" w:rsidR="008666B5" w:rsidRPr="00745458" w:rsidRDefault="008666B5" w:rsidP="005733D8">
            <w:pPr>
              <w:jc w:val="both"/>
              <w:rPr>
                <w:rFonts w:ascii="Arial Narrow" w:hAnsi="Arial Narrow" w:cs="Arial"/>
                <w:sz w:val="20"/>
                <w:szCs w:val="20"/>
              </w:rPr>
            </w:pPr>
            <w:r w:rsidRPr="00745458">
              <w:rPr>
                <w:rFonts w:ascii="Arial Narrow" w:hAnsi="Arial Narrow" w:cs="Arial"/>
                <w:sz w:val="20"/>
                <w:szCs w:val="20"/>
              </w:rPr>
              <w:t>Patient must identify as Aboriginal or a Torres Strait Islander [18066]</w:t>
            </w:r>
          </w:p>
        </w:tc>
      </w:tr>
    </w:tbl>
    <w:p w14:paraId="3FD35954" w14:textId="58FE3F8E" w:rsidR="008666B5" w:rsidRPr="00AB2DA1" w:rsidRDefault="008666B5" w:rsidP="005733D8">
      <w:pPr>
        <w:rPr>
          <w:rFonts w:asciiTheme="minorHAnsi" w:hAnsiTheme="minorHAnsi" w:cs="Arial"/>
          <w:bCs/>
          <w:snapToGrid w:val="0"/>
        </w:rPr>
      </w:pPr>
    </w:p>
    <w:p w14:paraId="2CD90015" w14:textId="569BDF08" w:rsidR="008666B5" w:rsidRDefault="006C4B6A" w:rsidP="005733D8">
      <w:pPr>
        <w:pStyle w:val="Bodytextitalics"/>
        <w:numPr>
          <w:ilvl w:val="0"/>
          <w:numId w:val="0"/>
        </w:numPr>
      </w:pPr>
      <w:r w:rsidRPr="00AB2DA1">
        <w:t>This restriction may be subject to further review. Should there be any changes made to the restriction the Sponsor will be informed.</w:t>
      </w:r>
    </w:p>
    <w:p w14:paraId="296D5CD9" w14:textId="77777777" w:rsidR="0024031E" w:rsidRDefault="0024031E" w:rsidP="0024031E">
      <w:pPr>
        <w:pStyle w:val="2Sections"/>
        <w:numPr>
          <w:ilvl w:val="0"/>
          <w:numId w:val="5"/>
        </w:numPr>
        <w:rPr>
          <w:rFonts w:cstheme="minorHAnsi"/>
        </w:rPr>
      </w:pPr>
      <w:r>
        <w:t xml:space="preserve">Context for Decision </w:t>
      </w:r>
    </w:p>
    <w:p w14:paraId="638FA847" w14:textId="6F33FA20" w:rsidR="0024031E" w:rsidRPr="008542A8" w:rsidRDefault="0067360A" w:rsidP="0024031E">
      <w:pPr>
        <w:jc w:val="both"/>
        <w:rPr>
          <w:rFonts w:asciiTheme="minorHAnsi" w:hAnsiTheme="minorHAnsi" w:cs="Arial"/>
        </w:rPr>
      </w:pPr>
      <w:r w:rsidRPr="0067360A">
        <w:rPr>
          <w:rFonts w:asciiTheme="minorHAnsi" w:hAnsiTheme="minorHAnsi" w:cs="Arial"/>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bookmarkStart w:id="2" w:name="_GoBack"/>
      <w:bookmarkEnd w:id="2"/>
    </w:p>
    <w:p w14:paraId="19379585" w14:textId="77777777" w:rsidR="0024031E" w:rsidRDefault="0024031E" w:rsidP="0024031E">
      <w:pPr>
        <w:rPr>
          <w:lang w:eastAsia="en-US"/>
        </w:rPr>
      </w:pPr>
    </w:p>
    <w:p w14:paraId="046FCE1C" w14:textId="77777777" w:rsidR="0024031E" w:rsidRPr="00D53BD3" w:rsidRDefault="0024031E" w:rsidP="0024031E">
      <w:pPr>
        <w:pStyle w:val="2Sections"/>
        <w:numPr>
          <w:ilvl w:val="0"/>
          <w:numId w:val="5"/>
        </w:numPr>
      </w:pPr>
      <w:r w:rsidRPr="00D53BD3">
        <w:t>Sponsor’s Comment</w:t>
      </w:r>
    </w:p>
    <w:p w14:paraId="2C61D2C1" w14:textId="77777777" w:rsidR="0024031E" w:rsidRPr="00D53BD3" w:rsidRDefault="0024031E" w:rsidP="0024031E">
      <w:pPr>
        <w:spacing w:after="120" w:line="276" w:lineRule="auto"/>
        <w:jc w:val="both"/>
        <w:rPr>
          <w:rFonts w:asciiTheme="minorHAnsi" w:eastAsiaTheme="minorHAnsi" w:hAnsiTheme="minorHAnsi" w:cs="Arial"/>
          <w:bCs/>
          <w:szCs w:val="22"/>
          <w:lang w:eastAsia="en-US"/>
        </w:rPr>
      </w:pPr>
      <w:r w:rsidRPr="00D53BD3">
        <w:rPr>
          <w:rFonts w:asciiTheme="minorHAnsi" w:eastAsiaTheme="minorHAnsi" w:hAnsiTheme="minorHAnsi" w:cs="Arial"/>
          <w:bCs/>
          <w:szCs w:val="22"/>
          <w:lang w:eastAsia="en-US"/>
        </w:rPr>
        <w:t>The sponsor had no comment.</w:t>
      </w:r>
    </w:p>
    <w:p w14:paraId="34C80FAC" w14:textId="77777777" w:rsidR="0024031E" w:rsidRPr="00AB2DA1" w:rsidRDefault="0024031E" w:rsidP="005733D8">
      <w:pPr>
        <w:pStyle w:val="Bodytextitalics"/>
        <w:numPr>
          <w:ilvl w:val="0"/>
          <w:numId w:val="0"/>
        </w:numPr>
        <w:rPr>
          <w:color w:val="1F497D"/>
          <w:sz w:val="22"/>
        </w:rPr>
      </w:pPr>
    </w:p>
    <w:sectPr w:rsidR="0024031E" w:rsidRPr="00AB2DA1"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2B0C92" w14:textId="77777777" w:rsidR="0024031E" w:rsidRDefault="0024031E">
      <w:r>
        <w:separator/>
      </w:r>
    </w:p>
    <w:p w14:paraId="038E238C" w14:textId="77777777" w:rsidR="0024031E" w:rsidRDefault="0024031E"/>
  </w:endnote>
  <w:endnote w:type="continuationSeparator" w:id="0">
    <w:p w14:paraId="4AA3880E" w14:textId="77777777" w:rsidR="0024031E" w:rsidRDefault="0024031E">
      <w:r>
        <w:continuationSeparator/>
      </w:r>
    </w:p>
    <w:p w14:paraId="7EA76869" w14:textId="77777777" w:rsidR="0024031E" w:rsidRDefault="00240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Arial Bold">
    <w:altName w:val="Arial"/>
    <w:panose1 w:val="020B07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4031E" w14:paraId="7AE7B59D" w14:textId="77777777" w:rsidTr="005A3173">
      <w:trPr>
        <w:trHeight w:val="151"/>
      </w:trPr>
      <w:tc>
        <w:tcPr>
          <w:tcW w:w="2250" w:type="pct"/>
          <w:tcBorders>
            <w:top w:val="nil"/>
            <w:left w:val="nil"/>
            <w:bottom w:val="single" w:sz="4" w:space="0" w:color="4F81BD"/>
            <w:right w:val="nil"/>
          </w:tcBorders>
        </w:tcPr>
        <w:p w14:paraId="67C1D142" w14:textId="77777777" w:rsidR="0024031E" w:rsidRPr="005A3173" w:rsidRDefault="0024031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185B349" w14:textId="77777777" w:rsidR="0024031E" w:rsidRPr="005A3173" w:rsidRDefault="002403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513BB6FC" w14:textId="77777777" w:rsidR="0024031E" w:rsidRPr="005A3173" w:rsidRDefault="0024031E" w:rsidP="005A3173">
          <w:pPr>
            <w:pStyle w:val="Header"/>
            <w:spacing w:line="276" w:lineRule="auto"/>
            <w:rPr>
              <w:rFonts w:ascii="Calibri" w:eastAsia="MS Gothic" w:hAnsi="Calibri"/>
              <w:b/>
              <w:bCs/>
              <w:color w:val="4F81BD"/>
            </w:rPr>
          </w:pPr>
        </w:p>
      </w:tc>
    </w:tr>
    <w:tr w:rsidR="0024031E" w14:paraId="09AEC201" w14:textId="77777777" w:rsidTr="005A3173">
      <w:trPr>
        <w:trHeight w:val="150"/>
      </w:trPr>
      <w:tc>
        <w:tcPr>
          <w:tcW w:w="2250" w:type="pct"/>
          <w:tcBorders>
            <w:top w:val="single" w:sz="4" w:space="0" w:color="4F81BD"/>
            <w:left w:val="nil"/>
            <w:bottom w:val="nil"/>
            <w:right w:val="nil"/>
          </w:tcBorders>
        </w:tcPr>
        <w:p w14:paraId="262F4099" w14:textId="77777777" w:rsidR="0024031E" w:rsidRPr="005A3173" w:rsidRDefault="0024031E" w:rsidP="005A3173">
          <w:pPr>
            <w:pStyle w:val="Header"/>
            <w:spacing w:line="276" w:lineRule="auto"/>
            <w:rPr>
              <w:rFonts w:ascii="Calibri" w:eastAsia="MS Gothic" w:hAnsi="Calibri"/>
              <w:b/>
              <w:bCs/>
              <w:color w:val="4F81BD"/>
            </w:rPr>
          </w:pPr>
        </w:p>
      </w:tc>
      <w:tc>
        <w:tcPr>
          <w:tcW w:w="0" w:type="auto"/>
          <w:vMerge/>
          <w:vAlign w:val="center"/>
          <w:hideMark/>
        </w:tcPr>
        <w:p w14:paraId="7DCDEB18" w14:textId="77777777" w:rsidR="0024031E" w:rsidRPr="005A3173" w:rsidRDefault="0024031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5FC0FCCA" w14:textId="77777777" w:rsidR="0024031E" w:rsidRPr="005A3173" w:rsidRDefault="0024031E" w:rsidP="005A3173">
          <w:pPr>
            <w:pStyle w:val="Header"/>
            <w:spacing w:line="276" w:lineRule="auto"/>
            <w:rPr>
              <w:rFonts w:ascii="Calibri" w:eastAsia="MS Gothic" w:hAnsi="Calibri"/>
              <w:b/>
              <w:bCs/>
              <w:color w:val="4F81BD"/>
            </w:rPr>
          </w:pPr>
        </w:p>
      </w:tc>
    </w:tr>
  </w:tbl>
  <w:p w14:paraId="10555411" w14:textId="77777777" w:rsidR="0024031E" w:rsidRDefault="0024031E"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86D064" w14:textId="77777777" w:rsidR="0024031E" w:rsidRDefault="0024031E">
    <w:pPr>
      <w:pStyle w:val="Footer"/>
    </w:pPr>
  </w:p>
  <w:p w14:paraId="32F5595B" w14:textId="77777777" w:rsidR="0024031E" w:rsidRDefault="0024031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C854" w14:textId="77777777" w:rsidR="0024031E" w:rsidRPr="004F59C3" w:rsidRDefault="0024031E" w:rsidP="00E27234">
    <w:pPr>
      <w:pStyle w:val="PBACFooter"/>
      <w:rPr>
        <w:rFonts w:asciiTheme="minorHAnsi" w:hAnsiTheme="minorHAnsi" w:cstheme="minorHAnsi"/>
        <w:sz w:val="24"/>
        <w:szCs w:val="24"/>
      </w:rPr>
    </w:pPr>
  </w:p>
  <w:p w14:paraId="12413FC5" w14:textId="0C2CB714" w:rsidR="0024031E" w:rsidRPr="004F59C3" w:rsidRDefault="0024031E" w:rsidP="004F59C3">
    <w:pPr>
      <w:pStyle w:val="Footer"/>
      <w:keepNext/>
      <w:ind w:left="360"/>
      <w:jc w:val="center"/>
      <w:rPr>
        <w:rFonts w:asciiTheme="minorHAnsi" w:hAnsiTheme="minorHAnsi" w:cstheme="minorHAnsi"/>
      </w:rPr>
    </w:pPr>
    <w:r w:rsidRPr="004F59C3">
      <w:rPr>
        <w:rFonts w:asciiTheme="minorHAnsi" w:hAnsiTheme="minorHAnsi" w:cstheme="minorHAnsi"/>
        <w:b/>
      </w:rPr>
      <w:fldChar w:fldCharType="begin"/>
    </w:r>
    <w:r w:rsidRPr="004F59C3">
      <w:rPr>
        <w:rFonts w:asciiTheme="minorHAnsi" w:hAnsiTheme="minorHAnsi" w:cstheme="minorHAnsi"/>
        <w:b/>
      </w:rPr>
      <w:instrText xml:space="preserve"> PAGE   \* MERGEFORMAT </w:instrText>
    </w:r>
    <w:r w:rsidRPr="004F59C3">
      <w:rPr>
        <w:rFonts w:asciiTheme="minorHAnsi" w:hAnsiTheme="minorHAnsi" w:cstheme="minorHAnsi"/>
        <w:b/>
      </w:rPr>
      <w:fldChar w:fldCharType="separate"/>
    </w:r>
    <w:r w:rsidR="0067360A">
      <w:rPr>
        <w:rFonts w:asciiTheme="minorHAnsi" w:hAnsiTheme="minorHAnsi" w:cstheme="minorHAnsi"/>
        <w:b/>
        <w:noProof/>
      </w:rPr>
      <w:t>10</w:t>
    </w:r>
    <w:r w:rsidRPr="004F59C3">
      <w:rPr>
        <w:rFonts w:asciiTheme="minorHAnsi" w:hAnsiTheme="minorHAnsi" w:cstheme="minorHAnsi"/>
        <w:b/>
        <w:noProof/>
      </w:rPr>
      <w:fldChar w:fldCharType="end"/>
    </w:r>
    <w:r w:rsidRPr="004F59C3">
      <w:rPr>
        <w:rFonts w:asciiTheme="minorHAnsi" w:hAnsiTheme="minorHAnsi" w:cstheme="minorHAnsi"/>
        <w:b/>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24031E" w14:paraId="031AA569" w14:textId="77777777" w:rsidTr="005A3173">
      <w:trPr>
        <w:trHeight w:val="151"/>
      </w:trPr>
      <w:tc>
        <w:tcPr>
          <w:tcW w:w="2250" w:type="pct"/>
          <w:tcBorders>
            <w:top w:val="nil"/>
            <w:left w:val="nil"/>
            <w:bottom w:val="single" w:sz="4" w:space="0" w:color="4F81BD"/>
            <w:right w:val="nil"/>
          </w:tcBorders>
        </w:tcPr>
        <w:p w14:paraId="41814DAF" w14:textId="77777777" w:rsidR="0024031E" w:rsidRPr="005A3173" w:rsidRDefault="0024031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188E01ED" w14:textId="77777777" w:rsidR="0024031E" w:rsidRPr="005A3173" w:rsidRDefault="002403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AECA24A" w14:textId="77777777" w:rsidR="0024031E" w:rsidRPr="005A3173" w:rsidRDefault="0024031E" w:rsidP="005A3173">
          <w:pPr>
            <w:pStyle w:val="Header"/>
            <w:spacing w:line="276" w:lineRule="auto"/>
            <w:rPr>
              <w:rFonts w:ascii="Calibri" w:eastAsia="MS Gothic" w:hAnsi="Calibri"/>
              <w:b/>
              <w:bCs/>
              <w:color w:val="4F81BD"/>
            </w:rPr>
          </w:pPr>
        </w:p>
      </w:tc>
    </w:tr>
    <w:tr w:rsidR="0024031E" w14:paraId="1AF3C146" w14:textId="77777777" w:rsidTr="005A3173">
      <w:trPr>
        <w:trHeight w:val="150"/>
      </w:trPr>
      <w:tc>
        <w:tcPr>
          <w:tcW w:w="2250" w:type="pct"/>
          <w:tcBorders>
            <w:top w:val="single" w:sz="4" w:space="0" w:color="4F81BD"/>
            <w:left w:val="nil"/>
            <w:bottom w:val="nil"/>
            <w:right w:val="nil"/>
          </w:tcBorders>
        </w:tcPr>
        <w:p w14:paraId="30486D49" w14:textId="77777777" w:rsidR="0024031E" w:rsidRPr="005A3173" w:rsidRDefault="0024031E" w:rsidP="005A3173">
          <w:pPr>
            <w:pStyle w:val="Header"/>
            <w:spacing w:line="276" w:lineRule="auto"/>
            <w:rPr>
              <w:rFonts w:ascii="Calibri" w:eastAsia="MS Gothic" w:hAnsi="Calibri"/>
              <w:b/>
              <w:bCs/>
              <w:color w:val="4F81BD"/>
            </w:rPr>
          </w:pPr>
        </w:p>
      </w:tc>
      <w:tc>
        <w:tcPr>
          <w:tcW w:w="0" w:type="auto"/>
          <w:vMerge/>
          <w:vAlign w:val="center"/>
          <w:hideMark/>
        </w:tcPr>
        <w:p w14:paraId="65954F94" w14:textId="77777777" w:rsidR="0024031E" w:rsidRPr="005A3173" w:rsidRDefault="0024031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2C1ACB3E" w14:textId="77777777" w:rsidR="0024031E" w:rsidRPr="005A3173" w:rsidRDefault="0024031E"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4031E" w14:paraId="4C2C8FBC" w14:textId="77777777" w:rsidTr="005A3173">
      <w:trPr>
        <w:trHeight w:val="151"/>
      </w:trPr>
      <w:tc>
        <w:tcPr>
          <w:tcW w:w="2250" w:type="pct"/>
          <w:tcBorders>
            <w:top w:val="nil"/>
            <w:left w:val="nil"/>
            <w:bottom w:val="single" w:sz="4" w:space="0" w:color="4F81BD"/>
            <w:right w:val="nil"/>
          </w:tcBorders>
        </w:tcPr>
        <w:p w14:paraId="144A534E" w14:textId="77777777" w:rsidR="0024031E" w:rsidRPr="005A3173" w:rsidRDefault="0024031E" w:rsidP="005A3173">
          <w:pPr>
            <w:pStyle w:val="Header"/>
            <w:spacing w:line="276" w:lineRule="auto"/>
            <w:rPr>
              <w:rFonts w:ascii="Calibri" w:eastAsia="MS Gothic" w:hAnsi="Calibri"/>
              <w:b/>
              <w:bCs/>
              <w:color w:val="4F81BD"/>
            </w:rPr>
          </w:pPr>
        </w:p>
      </w:tc>
      <w:tc>
        <w:tcPr>
          <w:tcW w:w="500" w:type="pct"/>
          <w:vMerge w:val="restart"/>
          <w:noWrap/>
          <w:vAlign w:val="center"/>
          <w:hideMark/>
        </w:tcPr>
        <w:p w14:paraId="026A85A5" w14:textId="77777777" w:rsidR="0024031E" w:rsidRPr="005A3173" w:rsidRDefault="0024031E"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4B95C828" w14:textId="77777777" w:rsidR="0024031E" w:rsidRPr="005A3173" w:rsidRDefault="0024031E" w:rsidP="005A3173">
          <w:pPr>
            <w:pStyle w:val="Header"/>
            <w:spacing w:line="276" w:lineRule="auto"/>
            <w:rPr>
              <w:rFonts w:ascii="Calibri" w:eastAsia="MS Gothic" w:hAnsi="Calibri"/>
              <w:b/>
              <w:bCs/>
              <w:color w:val="4F81BD"/>
            </w:rPr>
          </w:pPr>
        </w:p>
      </w:tc>
    </w:tr>
    <w:tr w:rsidR="0024031E" w14:paraId="1EFFFA27" w14:textId="77777777" w:rsidTr="005A3173">
      <w:trPr>
        <w:trHeight w:val="150"/>
      </w:trPr>
      <w:tc>
        <w:tcPr>
          <w:tcW w:w="2250" w:type="pct"/>
          <w:tcBorders>
            <w:top w:val="single" w:sz="4" w:space="0" w:color="4F81BD"/>
            <w:left w:val="nil"/>
            <w:bottom w:val="nil"/>
            <w:right w:val="nil"/>
          </w:tcBorders>
        </w:tcPr>
        <w:p w14:paraId="6492EAAC" w14:textId="77777777" w:rsidR="0024031E" w:rsidRPr="005A3173" w:rsidRDefault="0024031E" w:rsidP="005A3173">
          <w:pPr>
            <w:pStyle w:val="Header"/>
            <w:spacing w:line="276" w:lineRule="auto"/>
            <w:rPr>
              <w:rFonts w:ascii="Calibri" w:eastAsia="MS Gothic" w:hAnsi="Calibri"/>
              <w:b/>
              <w:bCs/>
              <w:color w:val="4F81BD"/>
            </w:rPr>
          </w:pPr>
        </w:p>
      </w:tc>
      <w:tc>
        <w:tcPr>
          <w:tcW w:w="0" w:type="auto"/>
          <w:vMerge/>
          <w:vAlign w:val="center"/>
          <w:hideMark/>
        </w:tcPr>
        <w:p w14:paraId="7341BE58" w14:textId="77777777" w:rsidR="0024031E" w:rsidRPr="005A3173" w:rsidRDefault="0024031E" w:rsidP="005A3173">
          <w:pPr>
            <w:rPr>
              <w:rFonts w:ascii="Calibri" w:hAnsi="Calibri"/>
              <w:color w:val="365F91"/>
              <w:sz w:val="22"/>
              <w:szCs w:val="22"/>
            </w:rPr>
          </w:pPr>
        </w:p>
      </w:tc>
      <w:tc>
        <w:tcPr>
          <w:tcW w:w="2250" w:type="pct"/>
          <w:tcBorders>
            <w:top w:val="single" w:sz="4" w:space="0" w:color="4F81BD"/>
            <w:left w:val="nil"/>
            <w:bottom w:val="nil"/>
            <w:right w:val="nil"/>
          </w:tcBorders>
        </w:tcPr>
        <w:p w14:paraId="3C302B75" w14:textId="77777777" w:rsidR="0024031E" w:rsidRPr="005A3173" w:rsidRDefault="0024031E" w:rsidP="005A3173">
          <w:pPr>
            <w:pStyle w:val="Header"/>
            <w:spacing w:line="276" w:lineRule="auto"/>
            <w:rPr>
              <w:rFonts w:ascii="Calibri" w:eastAsia="MS Gothic" w:hAnsi="Calibri"/>
              <w:b/>
              <w:bCs/>
              <w:color w:val="4F81BD"/>
            </w:rPr>
          </w:pPr>
        </w:p>
      </w:tc>
    </w:tr>
  </w:tbl>
  <w:p w14:paraId="5D2C6B0E" w14:textId="77777777" w:rsidR="0024031E" w:rsidRPr="007C0F57" w:rsidRDefault="0024031E"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0C13DD78" w14:textId="77777777" w:rsidR="0024031E" w:rsidRPr="007C0F57" w:rsidRDefault="0024031E" w:rsidP="007C0F57">
    <w:pPr>
      <w:pStyle w:val="Footer"/>
      <w:jc w:val="center"/>
      <w:rPr>
        <w:b/>
        <w:i/>
        <w:sz w:val="20"/>
        <w:szCs w:val="20"/>
      </w:rPr>
    </w:pPr>
    <w:r w:rsidRPr="007C0F57">
      <w:rPr>
        <w:b/>
        <w:i/>
        <w:sz w:val="20"/>
        <w:szCs w:val="20"/>
      </w:rPr>
      <w:t>Commercial-in-Confidence</w:t>
    </w:r>
  </w:p>
  <w:p w14:paraId="7123EEDA" w14:textId="77777777" w:rsidR="0024031E" w:rsidRDefault="0024031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B161B" w14:textId="77777777" w:rsidR="0024031E" w:rsidRDefault="0024031E">
      <w:r>
        <w:separator/>
      </w:r>
    </w:p>
    <w:p w14:paraId="1F7BFAE1" w14:textId="77777777" w:rsidR="0024031E" w:rsidRDefault="0024031E"/>
  </w:footnote>
  <w:footnote w:type="continuationSeparator" w:id="0">
    <w:p w14:paraId="254A1251" w14:textId="77777777" w:rsidR="0024031E" w:rsidRDefault="0024031E">
      <w:r>
        <w:continuationSeparator/>
      </w:r>
    </w:p>
    <w:p w14:paraId="25AD7CC7" w14:textId="77777777" w:rsidR="0024031E" w:rsidRDefault="0024031E"/>
  </w:footnote>
  <w:footnote w:id="1">
    <w:p w14:paraId="464C8AE9" w14:textId="77777777" w:rsidR="0024031E" w:rsidRPr="00B92EE3" w:rsidRDefault="0024031E" w:rsidP="0021314E">
      <w:pPr>
        <w:pStyle w:val="FootnoteText"/>
        <w:rPr>
          <w:rFonts w:ascii="Arial Narrow" w:hAnsi="Arial Narrow"/>
          <w:lang w:val="en-US"/>
        </w:rPr>
      </w:pPr>
      <w:r w:rsidRPr="00B92EE3">
        <w:rPr>
          <w:rStyle w:val="FootnoteReference"/>
          <w:rFonts w:ascii="Arial Narrow" w:hAnsi="Arial Narrow"/>
        </w:rPr>
        <w:footnoteRef/>
      </w:r>
      <w:r w:rsidRPr="00745458">
        <w:rPr>
          <w:rStyle w:val="TableFooterChar"/>
        </w:rPr>
        <w:t xml:space="preserve"> </w:t>
      </w:r>
      <w:hyperlink r:id="rId1" w:history="1">
        <w:r w:rsidRPr="00745458">
          <w:rPr>
            <w:rStyle w:val="TableFooterChar"/>
          </w:rPr>
          <w:t>http://www.pbs.gov.au/info/publication/factsheets/closing-the-gap-pbs-co-payment-measure</w:t>
        </w:r>
      </w:hyperlink>
    </w:p>
  </w:footnote>
  <w:footnote w:id="2">
    <w:p w14:paraId="5DDC3E54" w14:textId="77777777" w:rsidR="0024031E" w:rsidRPr="00F40F49" w:rsidRDefault="0024031E" w:rsidP="00745458">
      <w:pPr>
        <w:pStyle w:val="TableFooter"/>
      </w:pPr>
      <w:r w:rsidRPr="00F40F49">
        <w:rPr>
          <w:rStyle w:val="FootnoteReference"/>
          <w:sz w:val="20"/>
          <w:szCs w:val="20"/>
        </w:rPr>
        <w:footnoteRef/>
      </w:r>
      <w:r w:rsidRPr="00F40F49">
        <w:t xml:space="preserve"> Australian Institute of Health and Welfare. Indigenous eye health measures 2018. Canberra: AIHW;</w:t>
      </w:r>
    </w:p>
    <w:p w14:paraId="4754792B" w14:textId="6550050A" w:rsidR="0024031E" w:rsidRPr="00F40F49" w:rsidRDefault="0024031E" w:rsidP="00745458">
      <w:pPr>
        <w:pStyle w:val="TableFooter"/>
      </w:pPr>
      <w:r w:rsidRPr="00F40F49">
        <w:t>2019.</w:t>
      </w:r>
    </w:p>
  </w:footnote>
  <w:footnote w:id="3">
    <w:p w14:paraId="0D80BBC7" w14:textId="26D4EED9" w:rsidR="0024031E" w:rsidRPr="00F40F49" w:rsidRDefault="0024031E" w:rsidP="00745458">
      <w:pPr>
        <w:pStyle w:val="TableFooter"/>
      </w:pPr>
      <w:r w:rsidRPr="00F40F49">
        <w:rPr>
          <w:rStyle w:val="FootnoteReference"/>
        </w:rPr>
        <w:footnoteRef/>
      </w:r>
      <w:r w:rsidRPr="00F40F49">
        <w:t xml:space="preserve"> </w:t>
      </w:r>
      <w:hyperlink r:id="rId2" w:history="1">
        <w:r w:rsidRPr="00085C45">
          <w:rPr>
            <w:rStyle w:val="Hyperlink"/>
          </w:rPr>
          <w:t>https://www.abs.gov.au/AUSSTATS/abs@.nsf/DetailsPage/3238.02006%20to%202031?OpenDocument</w:t>
        </w:r>
      </w:hyperlink>
      <w:r>
        <w:t xml:space="preserve"> </w:t>
      </w:r>
    </w:p>
  </w:footnote>
  <w:footnote w:id="4">
    <w:p w14:paraId="27E42949" w14:textId="0A21103B" w:rsidR="0024031E" w:rsidRPr="00F40F49" w:rsidRDefault="0024031E">
      <w:pPr>
        <w:pStyle w:val="FootnoteText"/>
        <w:rPr>
          <w:rFonts w:ascii="Arial Narrow" w:hAnsi="Arial Narrow"/>
        </w:rPr>
      </w:pPr>
      <w:r w:rsidRPr="00F40F49">
        <w:rPr>
          <w:rStyle w:val="FootnoteReference"/>
          <w:rFonts w:ascii="Arial Narrow" w:hAnsi="Arial Narrow"/>
        </w:rPr>
        <w:footnoteRef/>
      </w:r>
      <w:r w:rsidRPr="00F40F49">
        <w:rPr>
          <w:rFonts w:ascii="Arial Narrow" w:hAnsi="Arial Narrow"/>
        </w:rPr>
        <w:t xml:space="preserve"> </w:t>
      </w:r>
      <w:r w:rsidRPr="00745458">
        <w:rPr>
          <w:rStyle w:val="TableFooterChar"/>
        </w:rPr>
        <w:t>Based on Expenditure and Prescriptions analysis, around 70% of PBS prescriptions was directed towards concessional cardholders. It has been assumed that the proportion of concessional patients will be higher in the requested population due to the “Closing the Gap PBS Co-payment Measure”. (Reference http://www.pbs.gov.au/info/statistics/expenditure-prescriptions/expenditure-prescriptions-twelve-months-to-30-june-2018)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4031E" w:rsidRPr="008E0D90" w14:paraId="5BED4405" w14:textId="77777777" w:rsidTr="00A06225">
      <w:trPr>
        <w:trHeight w:val="151"/>
      </w:trPr>
      <w:tc>
        <w:tcPr>
          <w:tcW w:w="2389" w:type="pct"/>
          <w:tcBorders>
            <w:top w:val="nil"/>
            <w:left w:val="nil"/>
            <w:bottom w:val="single" w:sz="4" w:space="0" w:color="4F81BD"/>
            <w:right w:val="nil"/>
          </w:tcBorders>
        </w:tcPr>
        <w:p w14:paraId="56B15E6D" w14:textId="77777777" w:rsidR="0024031E" w:rsidRPr="00A06225" w:rsidRDefault="0024031E">
          <w:pPr>
            <w:pStyle w:val="Header"/>
            <w:spacing w:line="276" w:lineRule="auto"/>
            <w:rPr>
              <w:rFonts w:ascii="Cambria" w:eastAsia="MS Gothic" w:hAnsi="Cambria"/>
              <w:b/>
              <w:bCs/>
              <w:color w:val="4F81BD"/>
            </w:rPr>
          </w:pPr>
        </w:p>
      </w:tc>
      <w:tc>
        <w:tcPr>
          <w:tcW w:w="333" w:type="pct"/>
          <w:vMerge w:val="restart"/>
          <w:noWrap/>
          <w:vAlign w:val="center"/>
          <w:hideMark/>
        </w:tcPr>
        <w:p w14:paraId="6D804E8A" w14:textId="77777777" w:rsidR="0024031E" w:rsidRPr="00A06225" w:rsidRDefault="0024031E"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6E520741" w14:textId="77777777" w:rsidR="0024031E" w:rsidRPr="00A06225" w:rsidRDefault="0024031E">
          <w:pPr>
            <w:pStyle w:val="Header"/>
            <w:spacing w:line="276" w:lineRule="auto"/>
            <w:rPr>
              <w:rFonts w:ascii="Cambria" w:eastAsia="MS Gothic" w:hAnsi="Cambria"/>
              <w:b/>
              <w:bCs/>
              <w:color w:val="4F81BD"/>
            </w:rPr>
          </w:pPr>
        </w:p>
      </w:tc>
    </w:tr>
    <w:tr w:rsidR="0024031E" w:rsidRPr="008E0D90" w14:paraId="1B0F50EB" w14:textId="77777777" w:rsidTr="00A06225">
      <w:trPr>
        <w:trHeight w:val="150"/>
      </w:trPr>
      <w:tc>
        <w:tcPr>
          <w:tcW w:w="2389" w:type="pct"/>
          <w:tcBorders>
            <w:top w:val="single" w:sz="4" w:space="0" w:color="4F81BD"/>
            <w:left w:val="nil"/>
            <w:bottom w:val="nil"/>
            <w:right w:val="nil"/>
          </w:tcBorders>
        </w:tcPr>
        <w:p w14:paraId="385753F3" w14:textId="77777777" w:rsidR="0024031E" w:rsidRPr="00A06225" w:rsidRDefault="0024031E">
          <w:pPr>
            <w:pStyle w:val="Header"/>
            <w:spacing w:line="276" w:lineRule="auto"/>
            <w:rPr>
              <w:rFonts w:ascii="Cambria" w:eastAsia="MS Gothic" w:hAnsi="Cambria"/>
              <w:b/>
              <w:bCs/>
              <w:color w:val="4F81BD"/>
            </w:rPr>
          </w:pPr>
        </w:p>
      </w:tc>
      <w:tc>
        <w:tcPr>
          <w:tcW w:w="0" w:type="auto"/>
          <w:vMerge/>
          <w:vAlign w:val="center"/>
          <w:hideMark/>
        </w:tcPr>
        <w:p w14:paraId="093C6CD8" w14:textId="77777777" w:rsidR="0024031E" w:rsidRPr="00A06225" w:rsidRDefault="0024031E">
          <w:pPr>
            <w:rPr>
              <w:rFonts w:ascii="Cambria" w:hAnsi="Cambria"/>
              <w:color w:val="4F81BD"/>
              <w:sz w:val="22"/>
              <w:szCs w:val="22"/>
            </w:rPr>
          </w:pPr>
        </w:p>
      </w:tc>
      <w:tc>
        <w:tcPr>
          <w:tcW w:w="2278" w:type="pct"/>
          <w:tcBorders>
            <w:top w:val="single" w:sz="4" w:space="0" w:color="4F81BD"/>
            <w:left w:val="nil"/>
            <w:bottom w:val="nil"/>
            <w:right w:val="nil"/>
          </w:tcBorders>
        </w:tcPr>
        <w:p w14:paraId="6E284C98" w14:textId="77777777" w:rsidR="0024031E" w:rsidRPr="00A06225" w:rsidRDefault="0024031E">
          <w:pPr>
            <w:pStyle w:val="Header"/>
            <w:spacing w:line="276" w:lineRule="auto"/>
            <w:rPr>
              <w:rFonts w:ascii="Cambria" w:eastAsia="MS Gothic" w:hAnsi="Cambria"/>
              <w:b/>
              <w:bCs/>
              <w:color w:val="4F81BD"/>
            </w:rPr>
          </w:pPr>
        </w:p>
      </w:tc>
    </w:tr>
  </w:tbl>
  <w:p w14:paraId="359FF7DA" w14:textId="77777777" w:rsidR="0024031E" w:rsidRDefault="0024031E">
    <w:pPr>
      <w:pStyle w:val="Header"/>
    </w:pPr>
  </w:p>
  <w:p w14:paraId="54F42DAD" w14:textId="77777777" w:rsidR="0024031E" w:rsidRDefault="0024031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BC219" w14:textId="4E9E1A23" w:rsidR="0024031E" w:rsidRDefault="0024031E" w:rsidP="0024031E">
    <w:pPr>
      <w:pStyle w:val="Header"/>
      <w:keepNext/>
      <w:ind w:left="360"/>
      <w:jc w:val="center"/>
      <w:rPr>
        <w:rFonts w:asciiTheme="minorHAnsi" w:hAnsiTheme="minorHAnsi" w:cstheme="minorHAnsi"/>
        <w:i/>
        <w:color w:val="808080"/>
      </w:rPr>
    </w:pPr>
    <w:r>
      <w:rPr>
        <w:rFonts w:asciiTheme="minorHAnsi" w:hAnsiTheme="minorHAnsi" w:cstheme="minorHAnsi"/>
        <w:i/>
        <w:color w:val="808080"/>
      </w:rPr>
      <w:t>Public Summary Document</w:t>
    </w:r>
    <w:r w:rsidRPr="004F59C3">
      <w:rPr>
        <w:rFonts w:asciiTheme="minorHAnsi" w:hAnsiTheme="minorHAnsi" w:cstheme="minorHAnsi"/>
        <w:i/>
        <w:color w:val="808080"/>
      </w:rPr>
      <w:t xml:space="preserve"> – November 2019 PBAC Meeting</w:t>
    </w:r>
  </w:p>
  <w:p w14:paraId="225DA1EF" w14:textId="77777777" w:rsidR="00C771A4" w:rsidRPr="0024031E" w:rsidRDefault="00C771A4" w:rsidP="0024031E">
    <w:pPr>
      <w:pStyle w:val="Header"/>
      <w:keepNext/>
      <w:ind w:left="360"/>
      <w:jc w:val="center"/>
      <w:rPr>
        <w:rFonts w:asciiTheme="minorHAnsi" w:hAnsiTheme="minorHAnsi" w:cstheme="minorHAnsi"/>
        <w:i/>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9497797"/>
    <w:multiLevelType w:val="hybridMultilevel"/>
    <w:tmpl w:val="51940C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996683"/>
    <w:multiLevelType w:val="hybridMultilevel"/>
    <w:tmpl w:val="9492516E"/>
    <w:lvl w:ilvl="0" w:tplc="7C06699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C02540"/>
    <w:multiLevelType w:val="hybridMultilevel"/>
    <w:tmpl w:val="62AE4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D0830"/>
    <w:multiLevelType w:val="hybridMultilevel"/>
    <w:tmpl w:val="9B349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015881"/>
    <w:multiLevelType w:val="hybridMultilevel"/>
    <w:tmpl w:val="10E47462"/>
    <w:lvl w:ilvl="0" w:tplc="0C090001">
      <w:start w:val="1"/>
      <w:numFmt w:val="bullet"/>
      <w:lvlText w:val=""/>
      <w:lvlJc w:val="left"/>
      <w:pPr>
        <w:ind w:left="1494" w:hanging="360"/>
      </w:pPr>
      <w:rPr>
        <w:rFonts w:ascii="Symbol" w:hAnsi="Symbol" w:hint="default"/>
        <w:sz w:val="32"/>
      </w:rPr>
    </w:lvl>
    <w:lvl w:ilvl="1" w:tplc="0C090003">
      <w:start w:val="1"/>
      <w:numFmt w:val="bullet"/>
      <w:lvlText w:val="o"/>
      <w:lvlJc w:val="left"/>
      <w:pPr>
        <w:ind w:left="2214" w:hanging="360"/>
      </w:pPr>
      <w:rPr>
        <w:rFonts w:ascii="Courier New" w:hAnsi="Courier New" w:cs="Courier New" w:hint="default"/>
      </w:rPr>
    </w:lvl>
    <w:lvl w:ilvl="2" w:tplc="0C090005">
      <w:start w:val="1"/>
      <w:numFmt w:val="bullet"/>
      <w:lvlText w:val=""/>
      <w:lvlJc w:val="left"/>
      <w:pPr>
        <w:ind w:left="2934" w:hanging="360"/>
      </w:pPr>
      <w:rPr>
        <w:rFonts w:ascii="Wingdings" w:hAnsi="Wingdings" w:hint="default"/>
      </w:rPr>
    </w:lvl>
    <w:lvl w:ilvl="3" w:tplc="0C090001">
      <w:start w:val="1"/>
      <w:numFmt w:val="bullet"/>
      <w:lvlText w:val=""/>
      <w:lvlJc w:val="left"/>
      <w:pPr>
        <w:ind w:left="3654" w:hanging="360"/>
      </w:pPr>
      <w:rPr>
        <w:rFonts w:ascii="Symbol" w:hAnsi="Symbol" w:hint="default"/>
      </w:rPr>
    </w:lvl>
    <w:lvl w:ilvl="4" w:tplc="0C090003">
      <w:start w:val="1"/>
      <w:numFmt w:val="bullet"/>
      <w:lvlText w:val="o"/>
      <w:lvlJc w:val="left"/>
      <w:pPr>
        <w:ind w:left="4374" w:hanging="360"/>
      </w:pPr>
      <w:rPr>
        <w:rFonts w:ascii="Courier New" w:hAnsi="Courier New" w:cs="Courier New" w:hint="default"/>
      </w:rPr>
    </w:lvl>
    <w:lvl w:ilvl="5" w:tplc="0C090005">
      <w:start w:val="1"/>
      <w:numFmt w:val="bullet"/>
      <w:lvlText w:val=""/>
      <w:lvlJc w:val="left"/>
      <w:pPr>
        <w:ind w:left="5094" w:hanging="360"/>
      </w:pPr>
      <w:rPr>
        <w:rFonts w:ascii="Wingdings" w:hAnsi="Wingdings" w:hint="default"/>
      </w:rPr>
    </w:lvl>
    <w:lvl w:ilvl="6" w:tplc="0C090001">
      <w:start w:val="1"/>
      <w:numFmt w:val="bullet"/>
      <w:lvlText w:val=""/>
      <w:lvlJc w:val="left"/>
      <w:pPr>
        <w:ind w:left="5814" w:hanging="360"/>
      </w:pPr>
      <w:rPr>
        <w:rFonts w:ascii="Symbol" w:hAnsi="Symbol" w:hint="default"/>
      </w:rPr>
    </w:lvl>
    <w:lvl w:ilvl="7" w:tplc="0C090003">
      <w:start w:val="1"/>
      <w:numFmt w:val="bullet"/>
      <w:lvlText w:val="o"/>
      <w:lvlJc w:val="left"/>
      <w:pPr>
        <w:ind w:left="6534" w:hanging="360"/>
      </w:pPr>
      <w:rPr>
        <w:rFonts w:ascii="Courier New" w:hAnsi="Courier New" w:cs="Courier New" w:hint="default"/>
      </w:rPr>
    </w:lvl>
    <w:lvl w:ilvl="8" w:tplc="0C090005">
      <w:start w:val="1"/>
      <w:numFmt w:val="bullet"/>
      <w:lvlText w:val=""/>
      <w:lvlJc w:val="left"/>
      <w:pPr>
        <w:ind w:left="7254" w:hanging="360"/>
      </w:pPr>
      <w:rPr>
        <w:rFonts w:ascii="Wingdings" w:hAnsi="Wingdings" w:hint="default"/>
      </w:rPr>
    </w:lvl>
  </w:abstractNum>
  <w:abstractNum w:abstractNumId="16" w15:restartNumberingAfterBreak="0">
    <w:nsid w:val="2BAE6880"/>
    <w:multiLevelType w:val="multilevel"/>
    <w:tmpl w:val="68F28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35340E4"/>
    <w:multiLevelType w:val="hybridMultilevel"/>
    <w:tmpl w:val="D8304F32"/>
    <w:lvl w:ilvl="0" w:tplc="AB160D72">
      <w:start w:val="1"/>
      <w:numFmt w:val="bullet"/>
      <w:lvlText w:val=""/>
      <w:lvlJc w:val="left"/>
      <w:pPr>
        <w:ind w:left="720" w:hanging="360"/>
      </w:pPr>
      <w:rPr>
        <w:rFonts w:ascii="Symbol" w:hAnsi="Symbol" w:hint="default"/>
        <w:color w:val="FF000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041E35"/>
    <w:multiLevelType w:val="hybridMultilevel"/>
    <w:tmpl w:val="1F881734"/>
    <w:lvl w:ilvl="0" w:tplc="AB160D72">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514810"/>
    <w:multiLevelType w:val="hybridMultilevel"/>
    <w:tmpl w:val="AFD407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DE35AA"/>
    <w:multiLevelType w:val="hybridMultilevel"/>
    <w:tmpl w:val="FE42B2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3D8725E9"/>
    <w:multiLevelType w:val="hybridMultilevel"/>
    <w:tmpl w:val="0AB297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29" w15:restartNumberingAfterBreak="0">
    <w:nsid w:val="406B007D"/>
    <w:multiLevelType w:val="hybridMultilevel"/>
    <w:tmpl w:val="C4DCB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0943AB2"/>
    <w:multiLevelType w:val="hybridMultilevel"/>
    <w:tmpl w:val="10F4D2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3F04D3"/>
    <w:multiLevelType w:val="hybridMultilevel"/>
    <w:tmpl w:val="97B0B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4442297"/>
    <w:multiLevelType w:val="hybridMultilevel"/>
    <w:tmpl w:val="FAEE3C0E"/>
    <w:lvl w:ilvl="0" w:tplc="5A04E3F8">
      <w:start w:val="1"/>
      <w:numFmt w:val="bullet"/>
      <w:pStyle w:val="Bulletpoints"/>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3" w15:restartNumberingAfterBreak="0">
    <w:nsid w:val="453E19DB"/>
    <w:multiLevelType w:val="singleLevel"/>
    <w:tmpl w:val="B67C5598"/>
    <w:lvl w:ilvl="0">
      <w:start w:val="1"/>
      <w:numFmt w:val="decimal"/>
      <w:lvlText w:val="%1)"/>
      <w:lvlJc w:val="left"/>
      <w:pPr>
        <w:tabs>
          <w:tab w:val="num" w:pos="1134"/>
        </w:tabs>
        <w:ind w:left="1134" w:hanging="567"/>
      </w:pPr>
      <w:rPr>
        <w:rFonts w:hint="default"/>
      </w:rPr>
    </w:lvl>
  </w:abstractNum>
  <w:abstractNum w:abstractNumId="34" w15:restartNumberingAfterBreak="0">
    <w:nsid w:val="4751435D"/>
    <w:multiLevelType w:val="multilevel"/>
    <w:tmpl w:val="35149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139332A"/>
    <w:multiLevelType w:val="hybridMultilevel"/>
    <w:tmpl w:val="46DA9526"/>
    <w:lvl w:ilvl="0" w:tplc="73E224A2">
      <w:start w:val="1"/>
      <w:numFmt w:val="bullet"/>
      <w:lvlText w:val=""/>
      <w:lvlJc w:val="left"/>
      <w:pPr>
        <w:ind w:left="720" w:hanging="360"/>
      </w:pPr>
      <w:rPr>
        <w:rFonts w:ascii="Symbol" w:hAnsi="Symbol"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ACD3D5D"/>
    <w:multiLevelType w:val="hybridMultilevel"/>
    <w:tmpl w:val="033A135C"/>
    <w:lvl w:ilvl="0" w:tplc="9A66B450">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1" w15:restartNumberingAfterBreak="0">
    <w:nsid w:val="617B0461"/>
    <w:multiLevelType w:val="hybridMultilevel"/>
    <w:tmpl w:val="46FA45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341492"/>
    <w:multiLevelType w:val="hybridMultilevel"/>
    <w:tmpl w:val="8DAA57C2"/>
    <w:lvl w:ilvl="0" w:tplc="2F4E25DE">
      <w:numFmt w:val="bullet"/>
      <w:lvlText w:val="-"/>
      <w:lvlJc w:val="left"/>
      <w:pPr>
        <w:ind w:left="1080" w:hanging="360"/>
      </w:pPr>
      <w:rPr>
        <w:rFonts w:ascii="Times New Roman" w:eastAsia="Times New Roman" w:hAnsi="Times New Roman" w:cs="Times New Roman"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4" w15:restartNumberingAfterBreak="0">
    <w:nsid w:val="6AF22442"/>
    <w:multiLevelType w:val="hybridMultilevel"/>
    <w:tmpl w:val="72023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6" w15:restartNumberingAfterBreak="0">
    <w:nsid w:val="6FF56772"/>
    <w:multiLevelType w:val="hybridMultilevel"/>
    <w:tmpl w:val="95509E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7" w15:restartNumberingAfterBreak="0">
    <w:nsid w:val="784D033C"/>
    <w:multiLevelType w:val="multilevel"/>
    <w:tmpl w:val="C83C5558"/>
    <w:lvl w:ilvl="0">
      <w:start w:val="1"/>
      <w:numFmt w:val="decimal"/>
      <w:pStyle w:val="2Sections"/>
      <w:lvlText w:val="%1"/>
      <w:lvlJc w:val="left"/>
      <w:pPr>
        <w:ind w:left="720" w:hanging="720"/>
      </w:pPr>
      <w:rPr>
        <w:rFonts w:hint="default"/>
        <w:b/>
        <w:color w:val="000000" w:themeColor="text1"/>
      </w:rPr>
    </w:lvl>
    <w:lvl w:ilvl="1">
      <w:start w:val="1"/>
      <w:numFmt w:val="decimal"/>
      <w:pStyle w:val="Bodytextitalics"/>
      <w:lvlText w:val="%1.%2"/>
      <w:lvlJc w:val="left"/>
      <w:pPr>
        <w:ind w:left="720" w:hanging="720"/>
      </w:pPr>
      <w:rPr>
        <w:rFonts w:asciiTheme="minorHAnsi" w:hAnsiTheme="minorHAnsi" w:cstheme="minorHAnsi" w:hint="default"/>
        <w:b w:val="0"/>
        <w:i w:val="0"/>
        <w:color w:val="000000" w:themeColor="text1"/>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B500591"/>
    <w:multiLevelType w:val="hybridMultilevel"/>
    <w:tmpl w:val="6E4485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BB7FF1"/>
    <w:multiLevelType w:val="hybridMultilevel"/>
    <w:tmpl w:val="13B4458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0" w15:restartNumberingAfterBreak="0">
    <w:nsid w:val="7FA40E18"/>
    <w:multiLevelType w:val="hybridMultilevel"/>
    <w:tmpl w:val="79BEE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7"/>
  </w:num>
  <w:num w:numId="4">
    <w:abstractNumId w:val="35"/>
  </w:num>
  <w:num w:numId="5">
    <w:abstractNumId w:val="47"/>
  </w:num>
  <w:num w:numId="6">
    <w:abstractNumId w:val="10"/>
  </w:num>
  <w:num w:numId="7">
    <w:abstractNumId w:val="24"/>
  </w:num>
  <w:num w:numId="8">
    <w:abstractNumId w:val="4"/>
  </w:num>
  <w:num w:numId="9">
    <w:abstractNumId w:val="22"/>
  </w:num>
  <w:num w:numId="10">
    <w:abstractNumId w:val="19"/>
  </w:num>
  <w:num w:numId="11">
    <w:abstractNumId w:val="17"/>
  </w:num>
  <w:num w:numId="12">
    <w:abstractNumId w:val="1"/>
  </w:num>
  <w:num w:numId="13">
    <w:abstractNumId w:val="0"/>
  </w:num>
  <w:num w:numId="14">
    <w:abstractNumId w:val="47"/>
  </w:num>
  <w:num w:numId="15">
    <w:abstractNumId w:val="47"/>
  </w:num>
  <w:num w:numId="16">
    <w:abstractNumId w:val="47"/>
  </w:num>
  <w:num w:numId="17">
    <w:abstractNumId w:val="40"/>
  </w:num>
  <w:num w:numId="18">
    <w:abstractNumId w:val="47"/>
  </w:num>
  <w:num w:numId="19">
    <w:abstractNumId w:val="32"/>
  </w:num>
  <w:num w:numId="20">
    <w:abstractNumId w:val="21"/>
  </w:num>
  <w:num w:numId="21">
    <w:abstractNumId w:val="47"/>
  </w:num>
  <w:num w:numId="22">
    <w:abstractNumId w:val="50"/>
  </w:num>
  <w:num w:numId="23">
    <w:abstractNumId w:val="48"/>
  </w:num>
  <w:num w:numId="24">
    <w:abstractNumId w:val="37"/>
  </w:num>
  <w:num w:numId="25">
    <w:abstractNumId w:val="31"/>
  </w:num>
  <w:num w:numId="26">
    <w:abstractNumId w:val="30"/>
  </w:num>
  <w:num w:numId="27">
    <w:abstractNumId w:val="49"/>
  </w:num>
  <w:num w:numId="28">
    <w:abstractNumId w:val="43"/>
  </w:num>
  <w:num w:numId="29">
    <w:abstractNumId w:val="45"/>
  </w:num>
  <w:num w:numId="30">
    <w:abstractNumId w:val="27"/>
  </w:num>
  <w:num w:numId="31">
    <w:abstractNumId w:val="36"/>
  </w:num>
  <w:num w:numId="32">
    <w:abstractNumId w:val="8"/>
  </w:num>
  <w:num w:numId="33">
    <w:abstractNumId w:val="20"/>
  </w:num>
  <w:num w:numId="34">
    <w:abstractNumId w:val="41"/>
  </w:num>
  <w:num w:numId="35">
    <w:abstractNumId w:val="44"/>
  </w:num>
  <w:num w:numId="36">
    <w:abstractNumId w:val="23"/>
  </w:num>
  <w:num w:numId="37">
    <w:abstractNumId w:val="28"/>
    <w:lvlOverride w:ilvl="0">
      <w:startOverride w:val="1"/>
    </w:lvlOverride>
  </w:num>
  <w:num w:numId="38">
    <w:abstractNumId w:val="28"/>
  </w:num>
  <w:num w:numId="39">
    <w:abstractNumId w:val="28"/>
    <w:lvlOverride w:ilvl="0">
      <w:startOverride w:val="1"/>
    </w:lvlOverride>
  </w:num>
  <w:num w:numId="40">
    <w:abstractNumId w:val="33"/>
  </w:num>
  <w:num w:numId="41">
    <w:abstractNumId w:val="28"/>
    <w:lvlOverride w:ilvl="0">
      <w:startOverride w:val="4"/>
    </w:lvlOverride>
  </w:num>
  <w:num w:numId="42">
    <w:abstractNumId w:val="15"/>
  </w:num>
  <w:num w:numId="43">
    <w:abstractNumId w:val="5"/>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num>
  <w:num w:numId="46">
    <w:abstractNumId w:val="25"/>
  </w:num>
  <w:num w:numId="47">
    <w:abstractNumId w:val="47"/>
  </w:num>
  <w:num w:numId="48">
    <w:abstractNumId w:val="42"/>
  </w:num>
  <w:num w:numId="49">
    <w:abstractNumId w:val="47"/>
  </w:num>
  <w:num w:numId="50">
    <w:abstractNumId w:val="47"/>
  </w:num>
  <w:num w:numId="51">
    <w:abstractNumId w:val="39"/>
  </w:num>
  <w:num w:numId="52">
    <w:abstractNumId w:val="26"/>
  </w:num>
  <w:num w:numId="53">
    <w:abstractNumId w:val="47"/>
  </w:num>
  <w:num w:numId="54">
    <w:abstractNumId w:val="46"/>
  </w:num>
  <w:num w:numId="55">
    <w:abstractNumId w:val="47"/>
  </w:num>
  <w:num w:numId="56">
    <w:abstractNumId w:val="29"/>
  </w:num>
  <w:num w:numId="57">
    <w:abstractNumId w:val="47"/>
    <w:lvlOverride w:ilvl="0">
      <w:startOverride w:val="5"/>
    </w:lvlOverride>
    <w:lvlOverride w:ilvl="1">
      <w:startOverride w:val="16"/>
    </w:lvlOverride>
  </w:num>
  <w:num w:numId="58">
    <w:abstractNumId w:val="47"/>
  </w:num>
  <w:num w:numId="59">
    <w:abstractNumId w:val="47"/>
  </w:num>
  <w:num w:numId="60">
    <w:abstractNumId w:val="47"/>
  </w:num>
  <w:num w:numId="61">
    <w:abstractNumId w:val="11"/>
  </w:num>
  <w:num w:numId="62">
    <w:abstractNumId w:val="47"/>
  </w:num>
  <w:num w:numId="63">
    <w:abstractNumId w:val="34"/>
  </w:num>
  <w:num w:numId="64">
    <w:abstractNumId w:val="47"/>
  </w:num>
  <w:num w:numId="65">
    <w:abstractNumId w:val="16"/>
  </w:num>
  <w:num w:numId="66">
    <w:abstractNumId w:val="38"/>
  </w:num>
  <w:num w:numId="67">
    <w:abstractNumId w:val="6"/>
  </w:num>
  <w:num w:numId="68">
    <w:abstractNumId w:val="2"/>
  </w:num>
  <w:num w:numId="69">
    <w:abstractNumId w:val="14"/>
  </w:num>
  <w:num w:numId="70">
    <w:abstractNumId w:val="18"/>
  </w:num>
  <w:num w:numId="71">
    <w:abstractNumId w:val="13"/>
  </w:num>
  <w:num w:numId="72">
    <w:abstractNumId w:val="47"/>
    <w:lvlOverride w:ilvl="0">
      <w:startOverride w:val="6"/>
    </w:lvlOverride>
    <w:lvlOverride w:ilvl="1">
      <w:startOverride w:val="2"/>
    </w:lvlOverride>
  </w:num>
  <w:num w:numId="73">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16A"/>
    <w:rsid w:val="00001663"/>
    <w:rsid w:val="00002356"/>
    <w:rsid w:val="000025AD"/>
    <w:rsid w:val="0000335D"/>
    <w:rsid w:val="00010124"/>
    <w:rsid w:val="00011A59"/>
    <w:rsid w:val="00012E23"/>
    <w:rsid w:val="00016A41"/>
    <w:rsid w:val="00016D5C"/>
    <w:rsid w:val="00017A09"/>
    <w:rsid w:val="000214D1"/>
    <w:rsid w:val="000240CA"/>
    <w:rsid w:val="0002464A"/>
    <w:rsid w:val="00027134"/>
    <w:rsid w:val="0003106B"/>
    <w:rsid w:val="000310BE"/>
    <w:rsid w:val="00034905"/>
    <w:rsid w:val="000421A1"/>
    <w:rsid w:val="0004240E"/>
    <w:rsid w:val="00045E26"/>
    <w:rsid w:val="000478E2"/>
    <w:rsid w:val="000514B5"/>
    <w:rsid w:val="00057B5F"/>
    <w:rsid w:val="00060E64"/>
    <w:rsid w:val="00066755"/>
    <w:rsid w:val="0007315C"/>
    <w:rsid w:val="00073584"/>
    <w:rsid w:val="000763D5"/>
    <w:rsid w:val="00077143"/>
    <w:rsid w:val="0008001D"/>
    <w:rsid w:val="00082169"/>
    <w:rsid w:val="00083B60"/>
    <w:rsid w:val="000918CB"/>
    <w:rsid w:val="00091B06"/>
    <w:rsid w:val="000951C4"/>
    <w:rsid w:val="00095ADA"/>
    <w:rsid w:val="000969AD"/>
    <w:rsid w:val="000A3AA2"/>
    <w:rsid w:val="000A44B2"/>
    <w:rsid w:val="000A4F07"/>
    <w:rsid w:val="000B2C29"/>
    <w:rsid w:val="000B44C3"/>
    <w:rsid w:val="000B558D"/>
    <w:rsid w:val="000C0221"/>
    <w:rsid w:val="000C0D2B"/>
    <w:rsid w:val="000C1EE3"/>
    <w:rsid w:val="000C5F95"/>
    <w:rsid w:val="000C6996"/>
    <w:rsid w:val="000D09E9"/>
    <w:rsid w:val="000D23BA"/>
    <w:rsid w:val="000D2EAC"/>
    <w:rsid w:val="000D46A0"/>
    <w:rsid w:val="000D4E11"/>
    <w:rsid w:val="000D757C"/>
    <w:rsid w:val="000E01F8"/>
    <w:rsid w:val="000E681E"/>
    <w:rsid w:val="000F0003"/>
    <w:rsid w:val="000F09CD"/>
    <w:rsid w:val="000F3384"/>
    <w:rsid w:val="000F4E6A"/>
    <w:rsid w:val="000F7354"/>
    <w:rsid w:val="00102202"/>
    <w:rsid w:val="00103D85"/>
    <w:rsid w:val="00104227"/>
    <w:rsid w:val="00106B7B"/>
    <w:rsid w:val="001107BF"/>
    <w:rsid w:val="00113649"/>
    <w:rsid w:val="001162F8"/>
    <w:rsid w:val="0012417C"/>
    <w:rsid w:val="0012749D"/>
    <w:rsid w:val="00142395"/>
    <w:rsid w:val="00142714"/>
    <w:rsid w:val="001452ED"/>
    <w:rsid w:val="00147D84"/>
    <w:rsid w:val="00147DBB"/>
    <w:rsid w:val="001506E0"/>
    <w:rsid w:val="001549C1"/>
    <w:rsid w:val="0016007C"/>
    <w:rsid w:val="00161CC9"/>
    <w:rsid w:val="00161D7C"/>
    <w:rsid w:val="00162D4E"/>
    <w:rsid w:val="00163329"/>
    <w:rsid w:val="00164623"/>
    <w:rsid w:val="001652DE"/>
    <w:rsid w:val="00165939"/>
    <w:rsid w:val="00165B64"/>
    <w:rsid w:val="0017530E"/>
    <w:rsid w:val="00180713"/>
    <w:rsid w:val="00180A65"/>
    <w:rsid w:val="001830CE"/>
    <w:rsid w:val="00184DE0"/>
    <w:rsid w:val="0018643B"/>
    <w:rsid w:val="00190997"/>
    <w:rsid w:val="00196307"/>
    <w:rsid w:val="00196391"/>
    <w:rsid w:val="001A33EA"/>
    <w:rsid w:val="001A4C4F"/>
    <w:rsid w:val="001A4D63"/>
    <w:rsid w:val="001A76FB"/>
    <w:rsid w:val="001B017F"/>
    <w:rsid w:val="001B2BBC"/>
    <w:rsid w:val="001B3FFE"/>
    <w:rsid w:val="001B5129"/>
    <w:rsid w:val="001B5D19"/>
    <w:rsid w:val="001C0B4C"/>
    <w:rsid w:val="001C1195"/>
    <w:rsid w:val="001D1F5F"/>
    <w:rsid w:val="001D7691"/>
    <w:rsid w:val="001E06D2"/>
    <w:rsid w:val="001F1850"/>
    <w:rsid w:val="001F209F"/>
    <w:rsid w:val="001F3189"/>
    <w:rsid w:val="001F7828"/>
    <w:rsid w:val="00200D6B"/>
    <w:rsid w:val="00201779"/>
    <w:rsid w:val="00203FAC"/>
    <w:rsid w:val="00210755"/>
    <w:rsid w:val="00212689"/>
    <w:rsid w:val="00212CF8"/>
    <w:rsid w:val="0021314E"/>
    <w:rsid w:val="00213CFB"/>
    <w:rsid w:val="0021553C"/>
    <w:rsid w:val="0021557B"/>
    <w:rsid w:val="002174FD"/>
    <w:rsid w:val="00217BE1"/>
    <w:rsid w:val="00220669"/>
    <w:rsid w:val="0022682B"/>
    <w:rsid w:val="00230900"/>
    <w:rsid w:val="00232965"/>
    <w:rsid w:val="00234252"/>
    <w:rsid w:val="00237AC6"/>
    <w:rsid w:val="0024031E"/>
    <w:rsid w:val="002413F7"/>
    <w:rsid w:val="00244490"/>
    <w:rsid w:val="00245D76"/>
    <w:rsid w:val="00253499"/>
    <w:rsid w:val="002551A4"/>
    <w:rsid w:val="00257664"/>
    <w:rsid w:val="00265151"/>
    <w:rsid w:val="00266509"/>
    <w:rsid w:val="00271BA1"/>
    <w:rsid w:val="00271EDC"/>
    <w:rsid w:val="00274933"/>
    <w:rsid w:val="002756CB"/>
    <w:rsid w:val="002762FA"/>
    <w:rsid w:val="00277505"/>
    <w:rsid w:val="00281BFE"/>
    <w:rsid w:val="002823B6"/>
    <w:rsid w:val="00283765"/>
    <w:rsid w:val="00294274"/>
    <w:rsid w:val="0029458F"/>
    <w:rsid w:val="002A0E04"/>
    <w:rsid w:val="002A104C"/>
    <w:rsid w:val="002A39A7"/>
    <w:rsid w:val="002A413B"/>
    <w:rsid w:val="002A4599"/>
    <w:rsid w:val="002A494D"/>
    <w:rsid w:val="002A4960"/>
    <w:rsid w:val="002B0AE0"/>
    <w:rsid w:val="002B1AE6"/>
    <w:rsid w:val="002B1D51"/>
    <w:rsid w:val="002B2DE8"/>
    <w:rsid w:val="002B30F8"/>
    <w:rsid w:val="002B388A"/>
    <w:rsid w:val="002B5596"/>
    <w:rsid w:val="002C212F"/>
    <w:rsid w:val="002C7485"/>
    <w:rsid w:val="002D283A"/>
    <w:rsid w:val="002D4543"/>
    <w:rsid w:val="002D4D33"/>
    <w:rsid w:val="002E1FE1"/>
    <w:rsid w:val="002E3153"/>
    <w:rsid w:val="002E3B11"/>
    <w:rsid w:val="002E5292"/>
    <w:rsid w:val="002E72CA"/>
    <w:rsid w:val="002E7B18"/>
    <w:rsid w:val="002F600D"/>
    <w:rsid w:val="00300AD6"/>
    <w:rsid w:val="00300B1B"/>
    <w:rsid w:val="003019D0"/>
    <w:rsid w:val="003064AF"/>
    <w:rsid w:val="00306C3B"/>
    <w:rsid w:val="00315FC9"/>
    <w:rsid w:val="00316B40"/>
    <w:rsid w:val="00317C6C"/>
    <w:rsid w:val="00320CD3"/>
    <w:rsid w:val="0032390C"/>
    <w:rsid w:val="00325922"/>
    <w:rsid w:val="00326429"/>
    <w:rsid w:val="00326E79"/>
    <w:rsid w:val="003301B1"/>
    <w:rsid w:val="00331189"/>
    <w:rsid w:val="00331887"/>
    <w:rsid w:val="00331C21"/>
    <w:rsid w:val="0033263D"/>
    <w:rsid w:val="0033518A"/>
    <w:rsid w:val="003367EF"/>
    <w:rsid w:val="003379CD"/>
    <w:rsid w:val="00341AE4"/>
    <w:rsid w:val="00346A82"/>
    <w:rsid w:val="003476EE"/>
    <w:rsid w:val="00352C3B"/>
    <w:rsid w:val="003550D7"/>
    <w:rsid w:val="003563C6"/>
    <w:rsid w:val="0035712A"/>
    <w:rsid w:val="00357304"/>
    <w:rsid w:val="003624FB"/>
    <w:rsid w:val="00362B9A"/>
    <w:rsid w:val="003736C9"/>
    <w:rsid w:val="00384988"/>
    <w:rsid w:val="003872CF"/>
    <w:rsid w:val="0039465D"/>
    <w:rsid w:val="0039647B"/>
    <w:rsid w:val="0039782C"/>
    <w:rsid w:val="003A5B4A"/>
    <w:rsid w:val="003A5BA7"/>
    <w:rsid w:val="003B23C5"/>
    <w:rsid w:val="003B2A75"/>
    <w:rsid w:val="003B6124"/>
    <w:rsid w:val="003B6BB2"/>
    <w:rsid w:val="003B6DF7"/>
    <w:rsid w:val="003C093A"/>
    <w:rsid w:val="003C1ECF"/>
    <w:rsid w:val="003C2FB5"/>
    <w:rsid w:val="003D05C0"/>
    <w:rsid w:val="003D24C5"/>
    <w:rsid w:val="003D4AC4"/>
    <w:rsid w:val="003D5F7B"/>
    <w:rsid w:val="003D63B7"/>
    <w:rsid w:val="003E3953"/>
    <w:rsid w:val="003E468B"/>
    <w:rsid w:val="003E62BD"/>
    <w:rsid w:val="003E719A"/>
    <w:rsid w:val="003F0C3A"/>
    <w:rsid w:val="003F3228"/>
    <w:rsid w:val="003F3D56"/>
    <w:rsid w:val="003F5C8C"/>
    <w:rsid w:val="003F775A"/>
    <w:rsid w:val="00400AF5"/>
    <w:rsid w:val="00400CDD"/>
    <w:rsid w:val="00400E55"/>
    <w:rsid w:val="0040128E"/>
    <w:rsid w:val="0040216B"/>
    <w:rsid w:val="00416378"/>
    <w:rsid w:val="004252EC"/>
    <w:rsid w:val="0042705F"/>
    <w:rsid w:val="00430D39"/>
    <w:rsid w:val="0043716A"/>
    <w:rsid w:val="00437FB5"/>
    <w:rsid w:val="004465BD"/>
    <w:rsid w:val="00461A44"/>
    <w:rsid w:val="00466A4E"/>
    <w:rsid w:val="00466ADA"/>
    <w:rsid w:val="004702BB"/>
    <w:rsid w:val="004731D4"/>
    <w:rsid w:val="0047494B"/>
    <w:rsid w:val="00476245"/>
    <w:rsid w:val="00477A9B"/>
    <w:rsid w:val="00483035"/>
    <w:rsid w:val="00485940"/>
    <w:rsid w:val="004904B9"/>
    <w:rsid w:val="0049695A"/>
    <w:rsid w:val="004A2484"/>
    <w:rsid w:val="004A5A85"/>
    <w:rsid w:val="004A71D1"/>
    <w:rsid w:val="004A72E7"/>
    <w:rsid w:val="004A7C5B"/>
    <w:rsid w:val="004B2E98"/>
    <w:rsid w:val="004B35A4"/>
    <w:rsid w:val="004B5640"/>
    <w:rsid w:val="004B5E2B"/>
    <w:rsid w:val="004B7420"/>
    <w:rsid w:val="004C06FA"/>
    <w:rsid w:val="004C0CEF"/>
    <w:rsid w:val="004C16E1"/>
    <w:rsid w:val="004C1BD7"/>
    <w:rsid w:val="004C31FE"/>
    <w:rsid w:val="004C524C"/>
    <w:rsid w:val="004C691D"/>
    <w:rsid w:val="004C6C07"/>
    <w:rsid w:val="004C6C9A"/>
    <w:rsid w:val="004D4FF6"/>
    <w:rsid w:val="004D5475"/>
    <w:rsid w:val="004E692D"/>
    <w:rsid w:val="004E6EEA"/>
    <w:rsid w:val="004E7C40"/>
    <w:rsid w:val="004E7D87"/>
    <w:rsid w:val="004F01CD"/>
    <w:rsid w:val="004F1D73"/>
    <w:rsid w:val="004F2553"/>
    <w:rsid w:val="004F3250"/>
    <w:rsid w:val="004F49BD"/>
    <w:rsid w:val="004F59C3"/>
    <w:rsid w:val="004F6BC3"/>
    <w:rsid w:val="00501554"/>
    <w:rsid w:val="00502AFE"/>
    <w:rsid w:val="00502D81"/>
    <w:rsid w:val="00503AD7"/>
    <w:rsid w:val="00504E0C"/>
    <w:rsid w:val="005109D4"/>
    <w:rsid w:val="005110F5"/>
    <w:rsid w:val="00511FAE"/>
    <w:rsid w:val="00514CD7"/>
    <w:rsid w:val="00520D6A"/>
    <w:rsid w:val="00522DB6"/>
    <w:rsid w:val="0052792D"/>
    <w:rsid w:val="005319B2"/>
    <w:rsid w:val="00532402"/>
    <w:rsid w:val="00532C74"/>
    <w:rsid w:val="00534E2E"/>
    <w:rsid w:val="005353E3"/>
    <w:rsid w:val="00544552"/>
    <w:rsid w:val="0055286A"/>
    <w:rsid w:val="00555745"/>
    <w:rsid w:val="00555DCD"/>
    <w:rsid w:val="00557D4F"/>
    <w:rsid w:val="005612F9"/>
    <w:rsid w:val="0056146A"/>
    <w:rsid w:val="0056484E"/>
    <w:rsid w:val="005653D4"/>
    <w:rsid w:val="00567ED2"/>
    <w:rsid w:val="00570ADB"/>
    <w:rsid w:val="005733D8"/>
    <w:rsid w:val="005764CD"/>
    <w:rsid w:val="00577C4D"/>
    <w:rsid w:val="00580532"/>
    <w:rsid w:val="00581932"/>
    <w:rsid w:val="0059412E"/>
    <w:rsid w:val="005963BB"/>
    <w:rsid w:val="005A3173"/>
    <w:rsid w:val="005A3223"/>
    <w:rsid w:val="005A3DA3"/>
    <w:rsid w:val="005A46B8"/>
    <w:rsid w:val="005A52C4"/>
    <w:rsid w:val="005C2644"/>
    <w:rsid w:val="005D03AB"/>
    <w:rsid w:val="005D25DA"/>
    <w:rsid w:val="005D5017"/>
    <w:rsid w:val="005D52E9"/>
    <w:rsid w:val="005D63FA"/>
    <w:rsid w:val="005D74CB"/>
    <w:rsid w:val="005E1333"/>
    <w:rsid w:val="005E3136"/>
    <w:rsid w:val="005E507D"/>
    <w:rsid w:val="005E6C52"/>
    <w:rsid w:val="005F46E8"/>
    <w:rsid w:val="005F5FDC"/>
    <w:rsid w:val="00601A91"/>
    <w:rsid w:val="00602BA3"/>
    <w:rsid w:val="00605B63"/>
    <w:rsid w:val="00606EED"/>
    <w:rsid w:val="0060747A"/>
    <w:rsid w:val="00611038"/>
    <w:rsid w:val="00612E34"/>
    <w:rsid w:val="00614159"/>
    <w:rsid w:val="00616C5F"/>
    <w:rsid w:val="00616DAC"/>
    <w:rsid w:val="00617C00"/>
    <w:rsid w:val="00620EAC"/>
    <w:rsid w:val="006263BF"/>
    <w:rsid w:val="0062748A"/>
    <w:rsid w:val="00627978"/>
    <w:rsid w:val="00627B0C"/>
    <w:rsid w:val="00630A2C"/>
    <w:rsid w:val="00631D65"/>
    <w:rsid w:val="0063371F"/>
    <w:rsid w:val="006344EA"/>
    <w:rsid w:val="00636758"/>
    <w:rsid w:val="0063682E"/>
    <w:rsid w:val="00642DA8"/>
    <w:rsid w:val="006436CD"/>
    <w:rsid w:val="00645E80"/>
    <w:rsid w:val="00651169"/>
    <w:rsid w:val="00653D69"/>
    <w:rsid w:val="00654461"/>
    <w:rsid w:val="006552E6"/>
    <w:rsid w:val="00657C63"/>
    <w:rsid w:val="006670BE"/>
    <w:rsid w:val="0066778D"/>
    <w:rsid w:val="00670A76"/>
    <w:rsid w:val="006711AA"/>
    <w:rsid w:val="00672B57"/>
    <w:rsid w:val="0067360A"/>
    <w:rsid w:val="00675622"/>
    <w:rsid w:val="00676971"/>
    <w:rsid w:val="0067747D"/>
    <w:rsid w:val="00681CA4"/>
    <w:rsid w:val="0068449A"/>
    <w:rsid w:val="0069039D"/>
    <w:rsid w:val="006906DB"/>
    <w:rsid w:val="00691E6C"/>
    <w:rsid w:val="00693DFB"/>
    <w:rsid w:val="0069501D"/>
    <w:rsid w:val="00696129"/>
    <w:rsid w:val="006965DF"/>
    <w:rsid w:val="00697CF2"/>
    <w:rsid w:val="006A0674"/>
    <w:rsid w:val="006A12A5"/>
    <w:rsid w:val="006A5E20"/>
    <w:rsid w:val="006B0D94"/>
    <w:rsid w:val="006B485D"/>
    <w:rsid w:val="006B71FA"/>
    <w:rsid w:val="006C334C"/>
    <w:rsid w:val="006C4B6A"/>
    <w:rsid w:val="006C547C"/>
    <w:rsid w:val="006C708E"/>
    <w:rsid w:val="006D14E7"/>
    <w:rsid w:val="006D4444"/>
    <w:rsid w:val="006D6493"/>
    <w:rsid w:val="006D6D25"/>
    <w:rsid w:val="006D6EC7"/>
    <w:rsid w:val="006E1BCD"/>
    <w:rsid w:val="006E3D9E"/>
    <w:rsid w:val="006E4E0C"/>
    <w:rsid w:val="006E510E"/>
    <w:rsid w:val="006F2674"/>
    <w:rsid w:val="006F5125"/>
    <w:rsid w:val="006F6397"/>
    <w:rsid w:val="006F6AB0"/>
    <w:rsid w:val="006F733D"/>
    <w:rsid w:val="00702B6F"/>
    <w:rsid w:val="00704945"/>
    <w:rsid w:val="00706A2F"/>
    <w:rsid w:val="0070718E"/>
    <w:rsid w:val="00707793"/>
    <w:rsid w:val="0071340B"/>
    <w:rsid w:val="007174BB"/>
    <w:rsid w:val="0072025D"/>
    <w:rsid w:val="0073137C"/>
    <w:rsid w:val="007348F5"/>
    <w:rsid w:val="00734E62"/>
    <w:rsid w:val="00734EB7"/>
    <w:rsid w:val="00735141"/>
    <w:rsid w:val="007353D3"/>
    <w:rsid w:val="007410CC"/>
    <w:rsid w:val="0074156B"/>
    <w:rsid w:val="00744C5F"/>
    <w:rsid w:val="00745458"/>
    <w:rsid w:val="00750421"/>
    <w:rsid w:val="00754482"/>
    <w:rsid w:val="0075453B"/>
    <w:rsid w:val="007555E8"/>
    <w:rsid w:val="007603CD"/>
    <w:rsid w:val="00762134"/>
    <w:rsid w:val="0076420C"/>
    <w:rsid w:val="00771D07"/>
    <w:rsid w:val="00774E2C"/>
    <w:rsid w:val="007753C2"/>
    <w:rsid w:val="00780913"/>
    <w:rsid w:val="007838B8"/>
    <w:rsid w:val="0078547F"/>
    <w:rsid w:val="007915BA"/>
    <w:rsid w:val="007A246A"/>
    <w:rsid w:val="007A4A12"/>
    <w:rsid w:val="007A5EEF"/>
    <w:rsid w:val="007B3DDC"/>
    <w:rsid w:val="007B613D"/>
    <w:rsid w:val="007B72A6"/>
    <w:rsid w:val="007C0F57"/>
    <w:rsid w:val="007C1FFB"/>
    <w:rsid w:val="007C40B6"/>
    <w:rsid w:val="007C6835"/>
    <w:rsid w:val="007C729F"/>
    <w:rsid w:val="007D2C7C"/>
    <w:rsid w:val="007E1D28"/>
    <w:rsid w:val="007E5821"/>
    <w:rsid w:val="007E7D8C"/>
    <w:rsid w:val="007F0021"/>
    <w:rsid w:val="007F0F2A"/>
    <w:rsid w:val="007F2641"/>
    <w:rsid w:val="007F5796"/>
    <w:rsid w:val="007F7C36"/>
    <w:rsid w:val="00803F86"/>
    <w:rsid w:val="00806796"/>
    <w:rsid w:val="00811CC0"/>
    <w:rsid w:val="008125B7"/>
    <w:rsid w:val="008151D6"/>
    <w:rsid w:val="00816A01"/>
    <w:rsid w:val="00821527"/>
    <w:rsid w:val="00824591"/>
    <w:rsid w:val="008268BB"/>
    <w:rsid w:val="00826F6D"/>
    <w:rsid w:val="008306F3"/>
    <w:rsid w:val="00830B78"/>
    <w:rsid w:val="00830E40"/>
    <w:rsid w:val="00831EBC"/>
    <w:rsid w:val="008425F8"/>
    <w:rsid w:val="00855FD6"/>
    <w:rsid w:val="00856DDD"/>
    <w:rsid w:val="00863A72"/>
    <w:rsid w:val="00863E68"/>
    <w:rsid w:val="008647B5"/>
    <w:rsid w:val="008666B5"/>
    <w:rsid w:val="00870694"/>
    <w:rsid w:val="00871A57"/>
    <w:rsid w:val="00875DCB"/>
    <w:rsid w:val="00880D0C"/>
    <w:rsid w:val="00882085"/>
    <w:rsid w:val="00882F28"/>
    <w:rsid w:val="00883188"/>
    <w:rsid w:val="008843DC"/>
    <w:rsid w:val="00884E1C"/>
    <w:rsid w:val="00897D58"/>
    <w:rsid w:val="00897F22"/>
    <w:rsid w:val="008A0B39"/>
    <w:rsid w:val="008A1956"/>
    <w:rsid w:val="008A438A"/>
    <w:rsid w:val="008A4937"/>
    <w:rsid w:val="008A50F1"/>
    <w:rsid w:val="008A59D9"/>
    <w:rsid w:val="008A6819"/>
    <w:rsid w:val="008B15B3"/>
    <w:rsid w:val="008B2EC0"/>
    <w:rsid w:val="008C5A3A"/>
    <w:rsid w:val="008C71DA"/>
    <w:rsid w:val="008D1B5C"/>
    <w:rsid w:val="008D3C82"/>
    <w:rsid w:val="008D447E"/>
    <w:rsid w:val="008D7A41"/>
    <w:rsid w:val="008E08D4"/>
    <w:rsid w:val="008E1CC0"/>
    <w:rsid w:val="008E2C72"/>
    <w:rsid w:val="008E3680"/>
    <w:rsid w:val="008E5870"/>
    <w:rsid w:val="008E6B71"/>
    <w:rsid w:val="008F1434"/>
    <w:rsid w:val="008F4666"/>
    <w:rsid w:val="008F54C3"/>
    <w:rsid w:val="008F587E"/>
    <w:rsid w:val="008F7355"/>
    <w:rsid w:val="00900002"/>
    <w:rsid w:val="009023DC"/>
    <w:rsid w:val="009030EE"/>
    <w:rsid w:val="009067B7"/>
    <w:rsid w:val="0091190B"/>
    <w:rsid w:val="00912178"/>
    <w:rsid w:val="00912358"/>
    <w:rsid w:val="009225BF"/>
    <w:rsid w:val="00926560"/>
    <w:rsid w:val="00926845"/>
    <w:rsid w:val="00930937"/>
    <w:rsid w:val="009324A6"/>
    <w:rsid w:val="00933E6C"/>
    <w:rsid w:val="00937958"/>
    <w:rsid w:val="00941602"/>
    <w:rsid w:val="00942160"/>
    <w:rsid w:val="009461F7"/>
    <w:rsid w:val="0095146F"/>
    <w:rsid w:val="00956E1A"/>
    <w:rsid w:val="009571A3"/>
    <w:rsid w:val="00957944"/>
    <w:rsid w:val="009602C5"/>
    <w:rsid w:val="0096104D"/>
    <w:rsid w:val="00962223"/>
    <w:rsid w:val="00966D0D"/>
    <w:rsid w:val="0096783C"/>
    <w:rsid w:val="009722B3"/>
    <w:rsid w:val="00974C21"/>
    <w:rsid w:val="009776C0"/>
    <w:rsid w:val="00977BF3"/>
    <w:rsid w:val="009803E4"/>
    <w:rsid w:val="00980B0E"/>
    <w:rsid w:val="009836A3"/>
    <w:rsid w:val="009855A8"/>
    <w:rsid w:val="009913F4"/>
    <w:rsid w:val="0099465B"/>
    <w:rsid w:val="009960C6"/>
    <w:rsid w:val="009A0CDD"/>
    <w:rsid w:val="009A3168"/>
    <w:rsid w:val="009A61CA"/>
    <w:rsid w:val="009B099C"/>
    <w:rsid w:val="009B0C64"/>
    <w:rsid w:val="009B0F67"/>
    <w:rsid w:val="009B1638"/>
    <w:rsid w:val="009B5EF6"/>
    <w:rsid w:val="009B7684"/>
    <w:rsid w:val="009B7833"/>
    <w:rsid w:val="009C703C"/>
    <w:rsid w:val="009D0C36"/>
    <w:rsid w:val="009D1EA8"/>
    <w:rsid w:val="009D206E"/>
    <w:rsid w:val="009D3CAA"/>
    <w:rsid w:val="009D51B9"/>
    <w:rsid w:val="009D6532"/>
    <w:rsid w:val="009E40E1"/>
    <w:rsid w:val="009E6CA3"/>
    <w:rsid w:val="009F0EFA"/>
    <w:rsid w:val="009F4E46"/>
    <w:rsid w:val="009F5B65"/>
    <w:rsid w:val="009F5F2E"/>
    <w:rsid w:val="009F5FA6"/>
    <w:rsid w:val="00A0198C"/>
    <w:rsid w:val="00A03D58"/>
    <w:rsid w:val="00A05A0C"/>
    <w:rsid w:val="00A06225"/>
    <w:rsid w:val="00A0769E"/>
    <w:rsid w:val="00A128E6"/>
    <w:rsid w:val="00A1379B"/>
    <w:rsid w:val="00A144D3"/>
    <w:rsid w:val="00A22AC3"/>
    <w:rsid w:val="00A2744D"/>
    <w:rsid w:val="00A34E6C"/>
    <w:rsid w:val="00A36398"/>
    <w:rsid w:val="00A37C8D"/>
    <w:rsid w:val="00A4020E"/>
    <w:rsid w:val="00A40FB5"/>
    <w:rsid w:val="00A42826"/>
    <w:rsid w:val="00A43ED1"/>
    <w:rsid w:val="00A44121"/>
    <w:rsid w:val="00A5273B"/>
    <w:rsid w:val="00A53A9D"/>
    <w:rsid w:val="00A548C4"/>
    <w:rsid w:val="00A54A31"/>
    <w:rsid w:val="00A55FEE"/>
    <w:rsid w:val="00A62C1A"/>
    <w:rsid w:val="00A6426D"/>
    <w:rsid w:val="00A642A3"/>
    <w:rsid w:val="00A665C1"/>
    <w:rsid w:val="00A70622"/>
    <w:rsid w:val="00A70977"/>
    <w:rsid w:val="00A70D58"/>
    <w:rsid w:val="00A744F9"/>
    <w:rsid w:val="00A77613"/>
    <w:rsid w:val="00A82660"/>
    <w:rsid w:val="00A8390C"/>
    <w:rsid w:val="00A9148F"/>
    <w:rsid w:val="00A928BD"/>
    <w:rsid w:val="00A95158"/>
    <w:rsid w:val="00A97DE9"/>
    <w:rsid w:val="00AA12CD"/>
    <w:rsid w:val="00AA1C20"/>
    <w:rsid w:val="00AA3598"/>
    <w:rsid w:val="00AA4D1C"/>
    <w:rsid w:val="00AB2DA1"/>
    <w:rsid w:val="00AB3BA5"/>
    <w:rsid w:val="00AB5856"/>
    <w:rsid w:val="00AC193C"/>
    <w:rsid w:val="00AC2B88"/>
    <w:rsid w:val="00AC4DE5"/>
    <w:rsid w:val="00AC5206"/>
    <w:rsid w:val="00AD4322"/>
    <w:rsid w:val="00AD6D17"/>
    <w:rsid w:val="00AE11A5"/>
    <w:rsid w:val="00AE13E2"/>
    <w:rsid w:val="00AE22D3"/>
    <w:rsid w:val="00AE2944"/>
    <w:rsid w:val="00AE528F"/>
    <w:rsid w:val="00AE5A49"/>
    <w:rsid w:val="00AE5D94"/>
    <w:rsid w:val="00AE6585"/>
    <w:rsid w:val="00AF62DF"/>
    <w:rsid w:val="00AF68CC"/>
    <w:rsid w:val="00AF70D7"/>
    <w:rsid w:val="00B01816"/>
    <w:rsid w:val="00B07CFB"/>
    <w:rsid w:val="00B1059E"/>
    <w:rsid w:val="00B170A5"/>
    <w:rsid w:val="00B176C8"/>
    <w:rsid w:val="00B17B0A"/>
    <w:rsid w:val="00B205AA"/>
    <w:rsid w:val="00B22E84"/>
    <w:rsid w:val="00B233AD"/>
    <w:rsid w:val="00B23E25"/>
    <w:rsid w:val="00B25F75"/>
    <w:rsid w:val="00B26B3F"/>
    <w:rsid w:val="00B2778F"/>
    <w:rsid w:val="00B3005C"/>
    <w:rsid w:val="00B33635"/>
    <w:rsid w:val="00B349BC"/>
    <w:rsid w:val="00B41561"/>
    <w:rsid w:val="00B41B06"/>
    <w:rsid w:val="00B43E90"/>
    <w:rsid w:val="00B467DC"/>
    <w:rsid w:val="00B55FB3"/>
    <w:rsid w:val="00B56118"/>
    <w:rsid w:val="00B56446"/>
    <w:rsid w:val="00B61B66"/>
    <w:rsid w:val="00B63684"/>
    <w:rsid w:val="00B64D17"/>
    <w:rsid w:val="00B64E0B"/>
    <w:rsid w:val="00B65990"/>
    <w:rsid w:val="00B65A90"/>
    <w:rsid w:val="00B660DF"/>
    <w:rsid w:val="00B6773F"/>
    <w:rsid w:val="00B71446"/>
    <w:rsid w:val="00B760FB"/>
    <w:rsid w:val="00B767AB"/>
    <w:rsid w:val="00B801BA"/>
    <w:rsid w:val="00B817BC"/>
    <w:rsid w:val="00B84473"/>
    <w:rsid w:val="00B84D5C"/>
    <w:rsid w:val="00B92F9B"/>
    <w:rsid w:val="00B93E3A"/>
    <w:rsid w:val="00B9770F"/>
    <w:rsid w:val="00BA0E24"/>
    <w:rsid w:val="00BA2DA8"/>
    <w:rsid w:val="00BA347C"/>
    <w:rsid w:val="00BB69F5"/>
    <w:rsid w:val="00BB7AB5"/>
    <w:rsid w:val="00BB7EC3"/>
    <w:rsid w:val="00BC1D25"/>
    <w:rsid w:val="00BC4B9A"/>
    <w:rsid w:val="00BD02C3"/>
    <w:rsid w:val="00BD5FB0"/>
    <w:rsid w:val="00BD784C"/>
    <w:rsid w:val="00BD790F"/>
    <w:rsid w:val="00BD7EF7"/>
    <w:rsid w:val="00BE012D"/>
    <w:rsid w:val="00BE020A"/>
    <w:rsid w:val="00BE1DCB"/>
    <w:rsid w:val="00BE26EF"/>
    <w:rsid w:val="00BE2DC7"/>
    <w:rsid w:val="00BE7C4C"/>
    <w:rsid w:val="00BF092C"/>
    <w:rsid w:val="00BF0DA3"/>
    <w:rsid w:val="00BF0DAA"/>
    <w:rsid w:val="00BF27A0"/>
    <w:rsid w:val="00BF36C2"/>
    <w:rsid w:val="00BF4CB6"/>
    <w:rsid w:val="00C00DA7"/>
    <w:rsid w:val="00C0565E"/>
    <w:rsid w:val="00C06692"/>
    <w:rsid w:val="00C07782"/>
    <w:rsid w:val="00C12768"/>
    <w:rsid w:val="00C12D70"/>
    <w:rsid w:val="00C174C7"/>
    <w:rsid w:val="00C21B09"/>
    <w:rsid w:val="00C2673A"/>
    <w:rsid w:val="00C27B58"/>
    <w:rsid w:val="00C31505"/>
    <w:rsid w:val="00C35996"/>
    <w:rsid w:val="00C403D9"/>
    <w:rsid w:val="00C4747E"/>
    <w:rsid w:val="00C5342C"/>
    <w:rsid w:val="00C53B2B"/>
    <w:rsid w:val="00C5778F"/>
    <w:rsid w:val="00C60272"/>
    <w:rsid w:val="00C603D4"/>
    <w:rsid w:val="00C6256A"/>
    <w:rsid w:val="00C64769"/>
    <w:rsid w:val="00C64A1E"/>
    <w:rsid w:val="00C710E2"/>
    <w:rsid w:val="00C71C3F"/>
    <w:rsid w:val="00C72A3D"/>
    <w:rsid w:val="00C7409E"/>
    <w:rsid w:val="00C76E76"/>
    <w:rsid w:val="00C771A4"/>
    <w:rsid w:val="00C77891"/>
    <w:rsid w:val="00C81F6A"/>
    <w:rsid w:val="00C83664"/>
    <w:rsid w:val="00C91449"/>
    <w:rsid w:val="00C92D10"/>
    <w:rsid w:val="00C94471"/>
    <w:rsid w:val="00CA1759"/>
    <w:rsid w:val="00CA2EB1"/>
    <w:rsid w:val="00CA48D9"/>
    <w:rsid w:val="00CA62B8"/>
    <w:rsid w:val="00CB1193"/>
    <w:rsid w:val="00CB4767"/>
    <w:rsid w:val="00CB493D"/>
    <w:rsid w:val="00CC3B97"/>
    <w:rsid w:val="00CE10C4"/>
    <w:rsid w:val="00CE1605"/>
    <w:rsid w:val="00CE27B5"/>
    <w:rsid w:val="00CE6DAF"/>
    <w:rsid w:val="00CF410A"/>
    <w:rsid w:val="00D00891"/>
    <w:rsid w:val="00D0321E"/>
    <w:rsid w:val="00D07A8A"/>
    <w:rsid w:val="00D11E69"/>
    <w:rsid w:val="00D13960"/>
    <w:rsid w:val="00D1455A"/>
    <w:rsid w:val="00D21B21"/>
    <w:rsid w:val="00D22093"/>
    <w:rsid w:val="00D31150"/>
    <w:rsid w:val="00D3138B"/>
    <w:rsid w:val="00D31F58"/>
    <w:rsid w:val="00D3280C"/>
    <w:rsid w:val="00D3406A"/>
    <w:rsid w:val="00D3518A"/>
    <w:rsid w:val="00D35A90"/>
    <w:rsid w:val="00D36679"/>
    <w:rsid w:val="00D40DDD"/>
    <w:rsid w:val="00D41092"/>
    <w:rsid w:val="00D441F1"/>
    <w:rsid w:val="00D4572C"/>
    <w:rsid w:val="00D469B2"/>
    <w:rsid w:val="00D46C2E"/>
    <w:rsid w:val="00D52842"/>
    <w:rsid w:val="00D539C0"/>
    <w:rsid w:val="00D546F7"/>
    <w:rsid w:val="00D5506C"/>
    <w:rsid w:val="00D64C81"/>
    <w:rsid w:val="00D65658"/>
    <w:rsid w:val="00D70906"/>
    <w:rsid w:val="00D70B3F"/>
    <w:rsid w:val="00D72B6F"/>
    <w:rsid w:val="00D741EB"/>
    <w:rsid w:val="00D7679C"/>
    <w:rsid w:val="00D805C2"/>
    <w:rsid w:val="00D820F3"/>
    <w:rsid w:val="00D83605"/>
    <w:rsid w:val="00D83DA1"/>
    <w:rsid w:val="00D84847"/>
    <w:rsid w:val="00D84934"/>
    <w:rsid w:val="00D858D0"/>
    <w:rsid w:val="00D91271"/>
    <w:rsid w:val="00D919F5"/>
    <w:rsid w:val="00D92E26"/>
    <w:rsid w:val="00D93FEE"/>
    <w:rsid w:val="00D94F03"/>
    <w:rsid w:val="00DA0D14"/>
    <w:rsid w:val="00DA1FC9"/>
    <w:rsid w:val="00DA2430"/>
    <w:rsid w:val="00DA2CB5"/>
    <w:rsid w:val="00DA4BAC"/>
    <w:rsid w:val="00DB0151"/>
    <w:rsid w:val="00DB1DEE"/>
    <w:rsid w:val="00DB2A93"/>
    <w:rsid w:val="00DC276C"/>
    <w:rsid w:val="00DC2C3E"/>
    <w:rsid w:val="00DC354F"/>
    <w:rsid w:val="00DC4880"/>
    <w:rsid w:val="00DD1A77"/>
    <w:rsid w:val="00DE6D27"/>
    <w:rsid w:val="00DF190F"/>
    <w:rsid w:val="00DF217D"/>
    <w:rsid w:val="00DF26A7"/>
    <w:rsid w:val="00DF3277"/>
    <w:rsid w:val="00DF6678"/>
    <w:rsid w:val="00DF7919"/>
    <w:rsid w:val="00E0207E"/>
    <w:rsid w:val="00E03912"/>
    <w:rsid w:val="00E15627"/>
    <w:rsid w:val="00E164B3"/>
    <w:rsid w:val="00E16910"/>
    <w:rsid w:val="00E20BA7"/>
    <w:rsid w:val="00E24DF3"/>
    <w:rsid w:val="00E24E09"/>
    <w:rsid w:val="00E27234"/>
    <w:rsid w:val="00E3174A"/>
    <w:rsid w:val="00E34965"/>
    <w:rsid w:val="00E42BDB"/>
    <w:rsid w:val="00E57EEB"/>
    <w:rsid w:val="00E62D94"/>
    <w:rsid w:val="00E62E61"/>
    <w:rsid w:val="00E62F94"/>
    <w:rsid w:val="00E63CAD"/>
    <w:rsid w:val="00E63E48"/>
    <w:rsid w:val="00E64F37"/>
    <w:rsid w:val="00E65E54"/>
    <w:rsid w:val="00E661C7"/>
    <w:rsid w:val="00E6695B"/>
    <w:rsid w:val="00E66FAB"/>
    <w:rsid w:val="00E7574B"/>
    <w:rsid w:val="00E80155"/>
    <w:rsid w:val="00E81E0D"/>
    <w:rsid w:val="00E81F28"/>
    <w:rsid w:val="00E848C0"/>
    <w:rsid w:val="00E87BE6"/>
    <w:rsid w:val="00E91B96"/>
    <w:rsid w:val="00E93D1E"/>
    <w:rsid w:val="00E941A1"/>
    <w:rsid w:val="00E95CE3"/>
    <w:rsid w:val="00EA252F"/>
    <w:rsid w:val="00EA2825"/>
    <w:rsid w:val="00EA66F8"/>
    <w:rsid w:val="00EA7883"/>
    <w:rsid w:val="00EA7CD7"/>
    <w:rsid w:val="00EA7EDE"/>
    <w:rsid w:val="00EB0B63"/>
    <w:rsid w:val="00EB10D0"/>
    <w:rsid w:val="00EB1936"/>
    <w:rsid w:val="00EB37BE"/>
    <w:rsid w:val="00EB5088"/>
    <w:rsid w:val="00EB77D0"/>
    <w:rsid w:val="00EC2720"/>
    <w:rsid w:val="00EC62F0"/>
    <w:rsid w:val="00EC672D"/>
    <w:rsid w:val="00EC67C6"/>
    <w:rsid w:val="00EC7681"/>
    <w:rsid w:val="00ED1644"/>
    <w:rsid w:val="00ED2593"/>
    <w:rsid w:val="00ED5469"/>
    <w:rsid w:val="00ED7D9C"/>
    <w:rsid w:val="00EE0606"/>
    <w:rsid w:val="00EE4602"/>
    <w:rsid w:val="00EF0069"/>
    <w:rsid w:val="00EF09CE"/>
    <w:rsid w:val="00EF44A0"/>
    <w:rsid w:val="00EF4FED"/>
    <w:rsid w:val="00EF57B8"/>
    <w:rsid w:val="00EF7079"/>
    <w:rsid w:val="00F007C6"/>
    <w:rsid w:val="00F0172E"/>
    <w:rsid w:val="00F050BD"/>
    <w:rsid w:val="00F05657"/>
    <w:rsid w:val="00F06B1A"/>
    <w:rsid w:val="00F06DBB"/>
    <w:rsid w:val="00F209E2"/>
    <w:rsid w:val="00F232E9"/>
    <w:rsid w:val="00F25578"/>
    <w:rsid w:val="00F258E5"/>
    <w:rsid w:val="00F25B9C"/>
    <w:rsid w:val="00F26CC6"/>
    <w:rsid w:val="00F300BC"/>
    <w:rsid w:val="00F30AF6"/>
    <w:rsid w:val="00F3263C"/>
    <w:rsid w:val="00F32FCD"/>
    <w:rsid w:val="00F3334E"/>
    <w:rsid w:val="00F33F82"/>
    <w:rsid w:val="00F36CCB"/>
    <w:rsid w:val="00F374E5"/>
    <w:rsid w:val="00F37B93"/>
    <w:rsid w:val="00F402E1"/>
    <w:rsid w:val="00F40F49"/>
    <w:rsid w:val="00F430E2"/>
    <w:rsid w:val="00F43AF2"/>
    <w:rsid w:val="00F46C9B"/>
    <w:rsid w:val="00F4750B"/>
    <w:rsid w:val="00F5007E"/>
    <w:rsid w:val="00F50EC4"/>
    <w:rsid w:val="00F521A0"/>
    <w:rsid w:val="00F52232"/>
    <w:rsid w:val="00F54FFC"/>
    <w:rsid w:val="00F550CF"/>
    <w:rsid w:val="00F57A6D"/>
    <w:rsid w:val="00F638CC"/>
    <w:rsid w:val="00F64C9E"/>
    <w:rsid w:val="00F64CC1"/>
    <w:rsid w:val="00F66B0A"/>
    <w:rsid w:val="00F72317"/>
    <w:rsid w:val="00F80475"/>
    <w:rsid w:val="00F8247A"/>
    <w:rsid w:val="00F84109"/>
    <w:rsid w:val="00F856FE"/>
    <w:rsid w:val="00F9629A"/>
    <w:rsid w:val="00F97EFC"/>
    <w:rsid w:val="00FA1BDD"/>
    <w:rsid w:val="00FA4DD5"/>
    <w:rsid w:val="00FA5883"/>
    <w:rsid w:val="00FA6055"/>
    <w:rsid w:val="00FB322F"/>
    <w:rsid w:val="00FB442F"/>
    <w:rsid w:val="00FC1929"/>
    <w:rsid w:val="00FC5B46"/>
    <w:rsid w:val="00FD4A44"/>
    <w:rsid w:val="00FD6D8E"/>
    <w:rsid w:val="00FE0E94"/>
    <w:rsid w:val="00FE3CD9"/>
    <w:rsid w:val="00FF00BD"/>
    <w:rsid w:val="00FF02EB"/>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977"/>
    <o:shapelayout v:ext="edit">
      <o:idmap v:ext="edit" data="1"/>
    </o:shapelayout>
  </w:shapeDefaults>
  <w:decimalSymbol w:val="."/>
  <w:listSeparator w:val=","/>
  <w14:docId w14:val="71C0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qFormat="1"/>
    <w:lsdException w:name="heading 4"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Footnote,Bullet point,List Paragraph1,List Paragraph11,Recommendation,ES Paragraph,PBAC ES Paragraph,PBAC normal points,Bullet List"/>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Footnote Char,Bullet point Char,List Paragraph1 Char,List Paragraph11 Char,Recommendation Char,ES Paragraph Char,PBAC ES Paragraph Char,PBAC normal points Char,Bullet List Char"/>
    <w:basedOn w:val="DefaultParagraphFont"/>
    <w:link w:val="ListParagraph"/>
    <w:uiPriority w:val="34"/>
    <w:qFormat/>
    <w:rsid w:val="00077143"/>
    <w:rPr>
      <w:rFonts w:ascii="Arial" w:hAnsi="Arial" w:cs="Arial"/>
      <w:snapToGrid w:val="0"/>
      <w:sz w:val="22"/>
      <w:lang w:eastAsia="en-US"/>
    </w:rPr>
  </w:style>
  <w:style w:type="paragraph" w:customStyle="1" w:styleId="2Sections">
    <w:name w:val="2. Sections"/>
    <w:qFormat/>
    <w:rsid w:val="0033263D"/>
    <w:pPr>
      <w:numPr>
        <w:numId w:val="14"/>
      </w:num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99"/>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Bodytextitalics"/>
    <w:link w:val="3BodytextChar"/>
    <w:qFormat/>
    <w:rsid w:val="00C174C7"/>
    <w:pPr>
      <w:jc w:val="both"/>
    </w:pPr>
    <w:rPr>
      <w:i w:val="0"/>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C174C7"/>
    <w:rPr>
      <w:rFonts w:asciiTheme="minorHAnsi" w:eastAsiaTheme="minorHAnsi" w:hAnsiTheme="minorHAnsi" w:cstheme="minorBidi"/>
      <w:snapToGrid/>
      <w:sz w:val="24"/>
      <w:szCs w:val="22"/>
      <w:lang w:eastAsia="en-US"/>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basedOn w:val="Normal"/>
    <w:link w:val="TableTextChar0"/>
    <w:qFormat/>
    <w:rsid w:val="00E03912"/>
    <w:rPr>
      <w:rFonts w:ascii="Arial Narrow" w:hAnsi="Arial Narrow" w:cs="Arial"/>
      <w:sz w:val="20"/>
      <w:szCs w:val="20"/>
    </w:rPr>
  </w:style>
  <w:style w:type="paragraph" w:customStyle="1" w:styleId="Lists">
    <w:name w:val="Lists"/>
    <w:basedOn w:val="3Bodytext"/>
    <w:link w:val="ListsChar"/>
    <w:qFormat/>
    <w:rsid w:val="000A44B2"/>
    <w:pPr>
      <w:numPr>
        <w:ilvl w:val="0"/>
        <w:numId w:val="17"/>
      </w:numPr>
    </w:pPr>
  </w:style>
  <w:style w:type="character" w:customStyle="1" w:styleId="TableTextChar0">
    <w:name w:val="Table Text Char"/>
    <w:basedOn w:val="NoSpacingChar"/>
    <w:link w:val="TableText0"/>
    <w:rsid w:val="00E03912"/>
    <w:rPr>
      <w:rFonts w:ascii="Arial Narrow" w:hAnsi="Arial Narrow" w:cs="Arial"/>
      <w:sz w:val="22"/>
      <w:szCs w:val="22"/>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lang w:eastAsia="en-US"/>
    </w:rPr>
  </w:style>
  <w:style w:type="paragraph" w:customStyle="1" w:styleId="Bulletpoints">
    <w:name w:val="Bullet points"/>
    <w:basedOn w:val="ListParagraph"/>
    <w:qFormat/>
    <w:rsid w:val="00AE2944"/>
    <w:pPr>
      <w:numPr>
        <w:numId w:val="19"/>
      </w:numPr>
      <w:spacing w:after="120"/>
      <w:ind w:left="1134" w:hanging="425"/>
    </w:pPr>
    <w:rPr>
      <w:rFonts w:ascii="Calibri" w:hAnsi="Calibri"/>
      <w:sz w:val="24"/>
      <w:szCs w:val="24"/>
    </w:rPr>
  </w:style>
  <w:style w:type="paragraph" w:customStyle="1" w:styleId="TableFooter">
    <w:name w:val="Table Footer"/>
    <w:basedOn w:val="Normal"/>
    <w:link w:val="TableFooterChar"/>
    <w:qFormat/>
    <w:rsid w:val="00C7409E"/>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pPr>
      <w:numPr>
        <w:ilvl w:val="1"/>
        <w:numId w:val="14"/>
      </w:numPr>
    </w:pPr>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rFonts w:ascii="Calibri" w:hAnsi="Calibri"/>
      <w:i/>
      <w:iCs/>
      <w:color w:val="000000" w:themeColor="text1"/>
      <w:sz w:val="18"/>
      <w:szCs w:val="18"/>
    </w:rPr>
  </w:style>
  <w:style w:type="paragraph" w:customStyle="1" w:styleId="ProcedureStep">
    <w:name w:val="ProcedureStep"/>
    <w:basedOn w:val="Normal"/>
    <w:rsid w:val="00BF27A0"/>
    <w:pPr>
      <w:numPr>
        <w:numId w:val="37"/>
      </w:numPr>
      <w:spacing w:before="60" w:after="60" w:line="300" w:lineRule="atLeast"/>
      <w:ind w:right="567"/>
    </w:pPr>
    <w:rPr>
      <w:rFonts w:ascii="Tahoma" w:hAnsi="Tahoma"/>
      <w:sz w:val="22"/>
      <w:szCs w:val="20"/>
    </w:rPr>
  </w:style>
  <w:style w:type="paragraph" w:styleId="FootnoteText">
    <w:name w:val="footnote text"/>
    <w:basedOn w:val="Normal"/>
    <w:link w:val="FootnoteTextChar"/>
    <w:semiHidden/>
    <w:unhideWhenUsed/>
    <w:rsid w:val="00DB2A93"/>
    <w:rPr>
      <w:sz w:val="20"/>
      <w:szCs w:val="20"/>
    </w:rPr>
  </w:style>
  <w:style w:type="character" w:customStyle="1" w:styleId="FootnoteTextChar">
    <w:name w:val="Footnote Text Char"/>
    <w:basedOn w:val="DefaultParagraphFont"/>
    <w:link w:val="FootnoteText"/>
    <w:semiHidden/>
    <w:rsid w:val="00DB2A93"/>
  </w:style>
  <w:style w:type="character" w:styleId="FootnoteReference">
    <w:name w:val="footnote reference"/>
    <w:basedOn w:val="DefaultParagraphFont"/>
    <w:semiHidden/>
    <w:unhideWhenUsed/>
    <w:rsid w:val="00DB2A93"/>
    <w:rPr>
      <w:vertAlign w:val="superscript"/>
    </w:rPr>
  </w:style>
  <w:style w:type="paragraph" w:styleId="Revision">
    <w:name w:val="Revision"/>
    <w:hidden/>
    <w:uiPriority w:val="71"/>
    <w:semiHidden/>
    <w:rsid w:val="007F0F2A"/>
    <w:rPr>
      <w:sz w:val="24"/>
      <w:szCs w:val="24"/>
    </w:rPr>
  </w:style>
  <w:style w:type="paragraph" w:styleId="NormalWeb">
    <w:name w:val="Normal (Web)"/>
    <w:basedOn w:val="Normal"/>
    <w:uiPriority w:val="99"/>
    <w:semiHidden/>
    <w:unhideWhenUsed/>
    <w:rsid w:val="0063675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73417966">
      <w:bodyDiv w:val="1"/>
      <w:marLeft w:val="0"/>
      <w:marRight w:val="0"/>
      <w:marTop w:val="0"/>
      <w:marBottom w:val="0"/>
      <w:divBdr>
        <w:top w:val="none" w:sz="0" w:space="0" w:color="auto"/>
        <w:left w:val="none" w:sz="0" w:space="0" w:color="auto"/>
        <w:bottom w:val="none" w:sz="0" w:space="0" w:color="auto"/>
        <w:right w:val="none" w:sz="0" w:space="0" w:color="auto"/>
      </w:divBdr>
    </w:div>
    <w:div w:id="268785029">
      <w:bodyDiv w:val="1"/>
      <w:marLeft w:val="0"/>
      <w:marRight w:val="0"/>
      <w:marTop w:val="0"/>
      <w:marBottom w:val="0"/>
      <w:divBdr>
        <w:top w:val="none" w:sz="0" w:space="0" w:color="auto"/>
        <w:left w:val="none" w:sz="0" w:space="0" w:color="auto"/>
        <w:bottom w:val="none" w:sz="0" w:space="0" w:color="auto"/>
        <w:right w:val="none" w:sz="0" w:space="0" w:color="auto"/>
      </w:divBdr>
    </w:div>
    <w:div w:id="303462905">
      <w:bodyDiv w:val="1"/>
      <w:marLeft w:val="0"/>
      <w:marRight w:val="0"/>
      <w:marTop w:val="0"/>
      <w:marBottom w:val="0"/>
      <w:divBdr>
        <w:top w:val="none" w:sz="0" w:space="0" w:color="auto"/>
        <w:left w:val="none" w:sz="0" w:space="0" w:color="auto"/>
        <w:bottom w:val="none" w:sz="0" w:space="0" w:color="auto"/>
        <w:right w:val="none" w:sz="0" w:space="0" w:color="auto"/>
      </w:divBdr>
    </w:div>
    <w:div w:id="63002048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3831867">
      <w:bodyDiv w:val="1"/>
      <w:marLeft w:val="0"/>
      <w:marRight w:val="0"/>
      <w:marTop w:val="0"/>
      <w:marBottom w:val="0"/>
      <w:divBdr>
        <w:top w:val="none" w:sz="0" w:space="0" w:color="auto"/>
        <w:left w:val="none" w:sz="0" w:space="0" w:color="auto"/>
        <w:bottom w:val="none" w:sz="0" w:space="0" w:color="auto"/>
        <w:right w:val="none" w:sz="0" w:space="0" w:color="auto"/>
      </w:divBdr>
    </w:div>
    <w:div w:id="1393236592">
      <w:bodyDiv w:val="1"/>
      <w:marLeft w:val="0"/>
      <w:marRight w:val="0"/>
      <w:marTop w:val="0"/>
      <w:marBottom w:val="0"/>
      <w:divBdr>
        <w:top w:val="none" w:sz="0" w:space="0" w:color="auto"/>
        <w:left w:val="none" w:sz="0" w:space="0" w:color="auto"/>
        <w:bottom w:val="none" w:sz="0" w:space="0" w:color="auto"/>
        <w:right w:val="none" w:sz="0" w:space="0" w:color="auto"/>
      </w:divBdr>
    </w:div>
    <w:div w:id="1520314271">
      <w:bodyDiv w:val="1"/>
      <w:marLeft w:val="0"/>
      <w:marRight w:val="0"/>
      <w:marTop w:val="0"/>
      <w:marBottom w:val="0"/>
      <w:divBdr>
        <w:top w:val="none" w:sz="0" w:space="0" w:color="auto"/>
        <w:left w:val="none" w:sz="0" w:space="0" w:color="auto"/>
        <w:bottom w:val="none" w:sz="0" w:space="0" w:color="auto"/>
        <w:right w:val="none" w:sz="0" w:space="0" w:color="auto"/>
      </w:divBdr>
    </w:div>
    <w:div w:id="1542131133">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22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abs.gov.au/AUSSTATS/abs@.nsf/DetailsPage/3238.02006%20to%202031?OpenDocument" TargetMode="External"/><Relationship Id="rId1" Type="http://schemas.openxmlformats.org/officeDocument/2006/relationships/hyperlink" Target="http://www.pbs.gov.au/info/publication/factsheets/closing-the-gap-pbs-co-payment-mea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1EC45-F933-4131-BBAB-A86B75C31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3282</Words>
  <Characters>18875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2020-02-26T23:56:00Z</dcterms:created>
  <dcterms:modified xsi:type="dcterms:W3CDTF">2020-02-27T00:01:00Z</dcterms:modified>
</cp:coreProperties>
</file>