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2E6" w:rsidRPr="008A5735" w:rsidRDefault="006348F6" w:rsidP="003D7198">
      <w:pPr>
        <w:pStyle w:val="1MainTitle"/>
        <w:rPr>
          <w:rFonts w:eastAsia="Calibri"/>
          <w:lang w:eastAsia="en-US"/>
        </w:rPr>
      </w:pPr>
      <w:r w:rsidRPr="003C1602">
        <w:rPr>
          <w:rFonts w:eastAsia="Calibri"/>
          <w:lang w:eastAsia="en-US"/>
        </w:rPr>
        <w:t>5.23</w:t>
      </w:r>
      <w:r w:rsidR="00BF27A0" w:rsidRPr="003C1602">
        <w:rPr>
          <w:rFonts w:eastAsia="Calibri"/>
          <w:lang w:eastAsia="en-US"/>
        </w:rPr>
        <w:tab/>
      </w:r>
      <w:r w:rsidR="008A1844" w:rsidRPr="003C1602">
        <w:rPr>
          <w:rFonts w:eastAsia="Calibri"/>
          <w:lang w:eastAsia="en-US"/>
        </w:rPr>
        <w:t xml:space="preserve">PROTEIN FORMULA WITH </w:t>
      </w:r>
      <w:r w:rsidR="00A5161E" w:rsidRPr="003C1602">
        <w:rPr>
          <w:rFonts w:eastAsia="Calibri"/>
          <w:lang w:eastAsia="en-US"/>
        </w:rPr>
        <w:t>VITAMINS AND MINERALS, AND LOW IN POTASSIUM</w:t>
      </w:r>
      <w:r w:rsidR="00580E91">
        <w:rPr>
          <w:rFonts w:eastAsia="Calibri"/>
          <w:lang w:eastAsia="en-US"/>
        </w:rPr>
        <w:t xml:space="preserve">, </w:t>
      </w:r>
      <w:r w:rsidR="00580E91" w:rsidRPr="00580E91">
        <w:rPr>
          <w:rFonts w:eastAsia="Calibri"/>
          <w:lang w:eastAsia="en-US"/>
        </w:rPr>
        <w:t>PHOSPHORUS, CALCIUM, CHLORIDE AND VITAMIN A</w:t>
      </w:r>
      <w:r w:rsidR="008A1844" w:rsidRPr="003C1602">
        <w:rPr>
          <w:rFonts w:eastAsia="Calibri"/>
          <w:lang w:eastAsia="en-US"/>
        </w:rPr>
        <w:t xml:space="preserve"> </w:t>
      </w:r>
      <w:r w:rsidR="00697B50" w:rsidRPr="003C1602">
        <w:rPr>
          <w:rFonts w:eastAsia="Calibri"/>
          <w:lang w:eastAsia="en-US"/>
        </w:rPr>
        <w:br/>
      </w:r>
      <w:r w:rsidR="00A5161E" w:rsidRPr="003C1602">
        <w:rPr>
          <w:rFonts w:eastAsia="Calibri"/>
          <w:lang w:eastAsia="en-US"/>
        </w:rPr>
        <w:t>Oral liquid 125 mL, 24</w:t>
      </w:r>
      <w:r w:rsidR="00697B50" w:rsidRPr="003C1602">
        <w:rPr>
          <w:rFonts w:eastAsia="Calibri"/>
          <w:lang w:eastAsia="en-US"/>
        </w:rPr>
        <w:t xml:space="preserve">, </w:t>
      </w:r>
      <w:r w:rsidR="00697B50" w:rsidRPr="003C1602">
        <w:rPr>
          <w:rFonts w:eastAsia="Calibri"/>
          <w:lang w:eastAsia="en-US"/>
        </w:rPr>
        <w:br/>
      </w:r>
      <w:proofErr w:type="spellStart"/>
      <w:r w:rsidR="00281D4D" w:rsidRPr="003C1602">
        <w:rPr>
          <w:rFonts w:eastAsia="Calibri"/>
          <w:lang w:eastAsia="en-US"/>
        </w:rPr>
        <w:t>Renastep</w:t>
      </w:r>
      <w:proofErr w:type="spellEnd"/>
      <w:r w:rsidR="00281D4D" w:rsidRPr="003C1602">
        <w:rPr>
          <w:rFonts w:eastAsia="Calibri"/>
          <w:lang w:eastAsia="en-US"/>
        </w:rPr>
        <w:t>®</w:t>
      </w:r>
      <w:r w:rsidR="00BF27A0" w:rsidRPr="003C1602">
        <w:rPr>
          <w:rFonts w:eastAsia="Calibri"/>
          <w:lang w:eastAsia="en-US"/>
        </w:rPr>
        <w:t>,</w:t>
      </w:r>
      <w:r w:rsidR="00697B50" w:rsidRPr="003C1602">
        <w:rPr>
          <w:rFonts w:eastAsia="Calibri"/>
          <w:lang w:eastAsia="en-US"/>
        </w:rPr>
        <w:t xml:space="preserve"> </w:t>
      </w:r>
      <w:r w:rsidR="00697B50" w:rsidRPr="003C1602">
        <w:rPr>
          <w:rFonts w:eastAsia="Calibri"/>
          <w:lang w:eastAsia="en-US"/>
        </w:rPr>
        <w:br/>
      </w:r>
      <w:proofErr w:type="spellStart"/>
      <w:r w:rsidR="00971898" w:rsidRPr="003C1602">
        <w:rPr>
          <w:rFonts w:eastAsia="Calibri"/>
          <w:lang w:eastAsia="en-US"/>
        </w:rPr>
        <w:t>Vitaflo</w:t>
      </w:r>
      <w:proofErr w:type="spellEnd"/>
      <w:r w:rsidR="00971898" w:rsidRPr="003C1602">
        <w:rPr>
          <w:rFonts w:eastAsia="Calibri"/>
          <w:lang w:eastAsia="en-US"/>
        </w:rPr>
        <w:t xml:space="preserve"> Australia Pty Ltd</w:t>
      </w:r>
      <w:r w:rsidR="00BF27A0" w:rsidRPr="003C1602">
        <w:rPr>
          <w:rFonts w:eastAsia="Calibri"/>
          <w:lang w:eastAsia="en-US"/>
        </w:rPr>
        <w:t xml:space="preserve"> </w:t>
      </w:r>
    </w:p>
    <w:p w:rsidR="008A50F1" w:rsidRPr="003C1602" w:rsidRDefault="00CE10C4" w:rsidP="003D7198">
      <w:pPr>
        <w:pStyle w:val="2Sections"/>
        <w:numPr>
          <w:ilvl w:val="0"/>
          <w:numId w:val="9"/>
        </w:numPr>
        <w:jc w:val="both"/>
      </w:pPr>
      <w:r w:rsidRPr="003C1602">
        <w:t xml:space="preserve">Purpose of </w:t>
      </w:r>
      <w:r w:rsidR="0004240E" w:rsidRPr="003C1602">
        <w:t>Application</w:t>
      </w:r>
      <w:r w:rsidR="00034905" w:rsidRPr="003C1602">
        <w:t xml:space="preserve"> </w:t>
      </w:r>
    </w:p>
    <w:p w:rsidR="006A12A5" w:rsidRPr="003C1602" w:rsidRDefault="00EF44A0" w:rsidP="003D7198">
      <w:pPr>
        <w:pStyle w:val="3Bodytext"/>
      </w:pPr>
      <w:r w:rsidRPr="003C1602">
        <w:t>The mi</w:t>
      </w:r>
      <w:r w:rsidR="00FF2801" w:rsidRPr="003C1602">
        <w:t>nor submission requested</w:t>
      </w:r>
      <w:r w:rsidR="00D5633B" w:rsidRPr="003C1602">
        <w:t xml:space="preserve"> an Authority Required (STREAMLINED)</w:t>
      </w:r>
      <w:r w:rsidR="00B17692" w:rsidRPr="003C1602">
        <w:t xml:space="preserve"> l</w:t>
      </w:r>
      <w:r w:rsidRPr="003C1602">
        <w:t>isting</w:t>
      </w:r>
      <w:r w:rsidR="00B17692" w:rsidRPr="003C1602">
        <w:t xml:space="preserve"> of casein protein formula for the treatment of chronic renal failure</w:t>
      </w:r>
      <w:r w:rsidR="008873FE" w:rsidRPr="003C1602">
        <w:t xml:space="preserve"> for pat</w:t>
      </w:r>
      <w:r w:rsidR="00DE7B9A" w:rsidRPr="003C1602">
        <w:t>i</w:t>
      </w:r>
      <w:r w:rsidR="008873FE" w:rsidRPr="003C1602">
        <w:t>ents age</w:t>
      </w:r>
      <w:r w:rsidR="00DE7B9A" w:rsidRPr="003C1602">
        <w:t>d</w:t>
      </w:r>
      <w:r w:rsidR="008873FE" w:rsidRPr="003C1602">
        <w:t xml:space="preserve"> 3 to 18 years.</w:t>
      </w:r>
    </w:p>
    <w:p w:rsidR="006A12A5" w:rsidRPr="003C1602" w:rsidRDefault="006A12A5" w:rsidP="003D7198">
      <w:pPr>
        <w:pStyle w:val="2Sections"/>
        <w:jc w:val="both"/>
      </w:pPr>
      <w:r w:rsidRPr="003C1602">
        <w:t>Requested listing</w:t>
      </w:r>
    </w:p>
    <w:p w:rsidR="00826F6D" w:rsidRPr="003C1602" w:rsidRDefault="00EF44A0" w:rsidP="003D7198">
      <w:pPr>
        <w:pStyle w:val="3Bodytext"/>
      </w:pPr>
      <w:r w:rsidRPr="003C1602">
        <w:t xml:space="preserve">The submission </w:t>
      </w:r>
      <w:r w:rsidR="00FF2801" w:rsidRPr="003C1602">
        <w:t>requested</w:t>
      </w:r>
      <w:r w:rsidRPr="003C1602">
        <w:t xml:space="preserve"> the following </w:t>
      </w:r>
      <w:r w:rsidR="0076420C" w:rsidRPr="003C1602">
        <w:t xml:space="preserve">new </w:t>
      </w:r>
      <w:r w:rsidR="00AC450E" w:rsidRPr="003C1602">
        <w:t>listing</w:t>
      </w:r>
      <w:r w:rsidR="003D7198">
        <w:t>.</w:t>
      </w:r>
      <w:r w:rsidRPr="003C1602">
        <w:t xml:space="preserve"> </w:t>
      </w:r>
    </w:p>
    <w:p w:rsidR="00BA2DA8" w:rsidRPr="003C1602" w:rsidRDefault="0067747D" w:rsidP="003D7198">
      <w:pPr>
        <w:pStyle w:val="3Bodytext"/>
      </w:pPr>
      <w:r w:rsidRPr="003C1602">
        <w:t>Suggestions and additions proposed by the Secretariat to the requested listing</w:t>
      </w:r>
      <w:r w:rsidR="00D07A8A" w:rsidRPr="003C1602">
        <w:t xml:space="preserve"> are in italics and deletions are in strikethrough</w:t>
      </w:r>
      <w:r w:rsidRPr="003C1602">
        <w:t>.</w:t>
      </w:r>
    </w:p>
    <w:tbl>
      <w:tblPr>
        <w:tblW w:w="5000" w:type="pct"/>
        <w:tblLook w:val="0000" w:firstRow="0" w:lastRow="0" w:firstColumn="0" w:lastColumn="0" w:noHBand="0" w:noVBand="0"/>
      </w:tblPr>
      <w:tblGrid>
        <w:gridCol w:w="2777"/>
        <w:gridCol w:w="419"/>
        <w:gridCol w:w="556"/>
        <w:gridCol w:w="832"/>
        <w:gridCol w:w="1666"/>
        <w:gridCol w:w="1527"/>
        <w:gridCol w:w="1249"/>
      </w:tblGrid>
      <w:tr w:rsidR="009324A6" w:rsidRPr="003D7198" w:rsidTr="003D7198">
        <w:trPr>
          <w:cantSplit/>
          <w:trHeight w:val="471"/>
        </w:trPr>
        <w:tc>
          <w:tcPr>
            <w:tcW w:w="1770" w:type="pct"/>
            <w:gridSpan w:val="2"/>
            <w:tcBorders>
              <w:bottom w:val="single" w:sz="4" w:space="0" w:color="auto"/>
            </w:tcBorders>
          </w:tcPr>
          <w:p w:rsidR="009324A6" w:rsidRPr="003D7198" w:rsidRDefault="009324A6" w:rsidP="003D7198">
            <w:pPr>
              <w:keepNext/>
              <w:ind w:left="-108"/>
              <w:jc w:val="both"/>
              <w:rPr>
                <w:rFonts w:ascii="Arial Narrow" w:hAnsi="Arial Narrow" w:cs="Arial"/>
                <w:sz w:val="20"/>
                <w:szCs w:val="20"/>
              </w:rPr>
            </w:pPr>
            <w:r w:rsidRPr="003D7198">
              <w:rPr>
                <w:rFonts w:ascii="Arial Narrow" w:hAnsi="Arial Narrow" w:cs="Arial"/>
                <w:sz w:val="20"/>
                <w:szCs w:val="20"/>
              </w:rPr>
              <w:t>Name, Restriction,</w:t>
            </w:r>
          </w:p>
          <w:p w:rsidR="009324A6" w:rsidRPr="003D7198" w:rsidRDefault="009324A6" w:rsidP="003D7198">
            <w:pPr>
              <w:keepNext/>
              <w:ind w:left="-108"/>
              <w:jc w:val="both"/>
              <w:rPr>
                <w:rFonts w:ascii="Arial Narrow" w:hAnsi="Arial Narrow" w:cs="Arial"/>
                <w:sz w:val="20"/>
                <w:szCs w:val="20"/>
              </w:rPr>
            </w:pPr>
            <w:r w:rsidRPr="003D7198">
              <w:rPr>
                <w:rFonts w:ascii="Arial Narrow" w:hAnsi="Arial Narrow" w:cs="Arial"/>
                <w:sz w:val="20"/>
                <w:szCs w:val="20"/>
              </w:rPr>
              <w:t>Manner of administration and form</w:t>
            </w:r>
          </w:p>
        </w:tc>
        <w:tc>
          <w:tcPr>
            <w:tcW w:w="308" w:type="pct"/>
            <w:tcBorders>
              <w:bottom w:val="single" w:sz="4" w:space="0" w:color="auto"/>
            </w:tcBorders>
          </w:tcPr>
          <w:p w:rsidR="009324A6" w:rsidRPr="003D7198" w:rsidRDefault="009324A6" w:rsidP="003D7198">
            <w:pPr>
              <w:keepNext/>
              <w:ind w:left="-108"/>
              <w:jc w:val="both"/>
              <w:rPr>
                <w:rFonts w:ascii="Arial Narrow" w:hAnsi="Arial Narrow" w:cs="Arial"/>
                <w:sz w:val="20"/>
                <w:szCs w:val="20"/>
              </w:rPr>
            </w:pPr>
            <w:r w:rsidRPr="003D7198">
              <w:rPr>
                <w:rFonts w:ascii="Arial Narrow" w:hAnsi="Arial Narrow" w:cs="Arial"/>
                <w:sz w:val="20"/>
                <w:szCs w:val="20"/>
              </w:rPr>
              <w:t>Max.</w:t>
            </w:r>
          </w:p>
          <w:p w:rsidR="009324A6" w:rsidRPr="003D7198" w:rsidRDefault="009324A6" w:rsidP="003D7198">
            <w:pPr>
              <w:keepNext/>
              <w:ind w:left="-108"/>
              <w:jc w:val="both"/>
              <w:rPr>
                <w:rFonts w:ascii="Arial Narrow" w:hAnsi="Arial Narrow" w:cs="Arial"/>
                <w:sz w:val="20"/>
                <w:szCs w:val="20"/>
              </w:rPr>
            </w:pPr>
            <w:proofErr w:type="spellStart"/>
            <w:r w:rsidRPr="003D7198">
              <w:rPr>
                <w:rFonts w:ascii="Arial Narrow" w:hAnsi="Arial Narrow" w:cs="Arial"/>
                <w:sz w:val="20"/>
                <w:szCs w:val="20"/>
              </w:rPr>
              <w:t>Qty</w:t>
            </w:r>
            <w:proofErr w:type="spellEnd"/>
          </w:p>
        </w:tc>
        <w:tc>
          <w:tcPr>
            <w:tcW w:w="461" w:type="pct"/>
            <w:tcBorders>
              <w:bottom w:val="single" w:sz="4" w:space="0" w:color="auto"/>
            </w:tcBorders>
          </w:tcPr>
          <w:p w:rsidR="009324A6" w:rsidRPr="003D7198" w:rsidRDefault="009324A6" w:rsidP="003D7198">
            <w:pPr>
              <w:keepNext/>
              <w:ind w:left="-108"/>
              <w:jc w:val="both"/>
              <w:rPr>
                <w:rFonts w:ascii="Arial Narrow" w:hAnsi="Arial Narrow" w:cs="Arial"/>
                <w:sz w:val="20"/>
                <w:szCs w:val="20"/>
              </w:rPr>
            </w:pPr>
            <w:r w:rsidRPr="003D7198">
              <w:rPr>
                <w:rFonts w:ascii="Arial Narrow" w:hAnsi="Arial Narrow" w:cs="Arial"/>
                <w:sz w:val="20"/>
                <w:szCs w:val="20"/>
              </w:rPr>
              <w:t>№.of</w:t>
            </w:r>
          </w:p>
          <w:p w:rsidR="009324A6" w:rsidRPr="003D7198" w:rsidRDefault="009324A6" w:rsidP="003D7198">
            <w:pPr>
              <w:keepNext/>
              <w:ind w:left="-108"/>
              <w:jc w:val="both"/>
              <w:rPr>
                <w:rFonts w:ascii="Arial Narrow" w:hAnsi="Arial Narrow" w:cs="Arial"/>
                <w:sz w:val="20"/>
                <w:szCs w:val="20"/>
              </w:rPr>
            </w:pPr>
            <w:proofErr w:type="spellStart"/>
            <w:r w:rsidRPr="003D7198">
              <w:rPr>
                <w:rFonts w:ascii="Arial Narrow" w:hAnsi="Arial Narrow" w:cs="Arial"/>
                <w:sz w:val="20"/>
                <w:szCs w:val="20"/>
              </w:rPr>
              <w:t>Rpts</w:t>
            </w:r>
            <w:proofErr w:type="spellEnd"/>
          </w:p>
        </w:tc>
        <w:tc>
          <w:tcPr>
            <w:tcW w:w="923" w:type="pct"/>
            <w:tcBorders>
              <w:bottom w:val="single" w:sz="4" w:space="0" w:color="auto"/>
            </w:tcBorders>
          </w:tcPr>
          <w:p w:rsidR="009324A6" w:rsidRPr="003D7198" w:rsidRDefault="009324A6" w:rsidP="003D7198">
            <w:pPr>
              <w:keepNext/>
              <w:ind w:left="-108"/>
              <w:jc w:val="both"/>
              <w:rPr>
                <w:rFonts w:ascii="Arial Narrow" w:hAnsi="Arial Narrow" w:cs="Arial"/>
                <w:sz w:val="20"/>
                <w:szCs w:val="20"/>
              </w:rPr>
            </w:pPr>
            <w:r w:rsidRPr="003D7198">
              <w:rPr>
                <w:rFonts w:ascii="Arial Narrow" w:hAnsi="Arial Narrow" w:cs="Arial"/>
                <w:sz w:val="20"/>
                <w:szCs w:val="20"/>
              </w:rPr>
              <w:t xml:space="preserve">Dispensed Price for Max. </w:t>
            </w:r>
            <w:proofErr w:type="spellStart"/>
            <w:r w:rsidRPr="003D7198">
              <w:rPr>
                <w:rFonts w:ascii="Arial Narrow" w:hAnsi="Arial Narrow" w:cs="Arial"/>
                <w:sz w:val="20"/>
                <w:szCs w:val="20"/>
              </w:rPr>
              <w:t>Qty</w:t>
            </w:r>
            <w:proofErr w:type="spellEnd"/>
          </w:p>
        </w:tc>
        <w:tc>
          <w:tcPr>
            <w:tcW w:w="1538" w:type="pct"/>
            <w:gridSpan w:val="2"/>
            <w:tcBorders>
              <w:bottom w:val="single" w:sz="4" w:space="0" w:color="auto"/>
            </w:tcBorders>
          </w:tcPr>
          <w:p w:rsidR="009324A6" w:rsidRPr="003D7198" w:rsidRDefault="009324A6" w:rsidP="003D7198">
            <w:pPr>
              <w:keepNext/>
              <w:jc w:val="both"/>
              <w:rPr>
                <w:rFonts w:ascii="Arial Narrow" w:hAnsi="Arial Narrow" w:cs="Arial"/>
                <w:sz w:val="20"/>
                <w:szCs w:val="20"/>
              </w:rPr>
            </w:pPr>
            <w:r w:rsidRPr="003D7198">
              <w:rPr>
                <w:rFonts w:ascii="Arial Narrow" w:hAnsi="Arial Narrow" w:cs="Arial"/>
                <w:sz w:val="20"/>
                <w:szCs w:val="20"/>
              </w:rPr>
              <w:t>Proprietary Name and Manufacturer</w:t>
            </w:r>
          </w:p>
        </w:tc>
      </w:tr>
      <w:tr w:rsidR="009324A6" w:rsidRPr="003D7198" w:rsidTr="003D7198">
        <w:trPr>
          <w:cantSplit/>
          <w:trHeight w:val="577"/>
        </w:trPr>
        <w:tc>
          <w:tcPr>
            <w:tcW w:w="1770" w:type="pct"/>
            <w:gridSpan w:val="2"/>
          </w:tcPr>
          <w:p w:rsidR="00B60FE8" w:rsidRPr="003D7198" w:rsidRDefault="00BE589D" w:rsidP="003D7198">
            <w:pPr>
              <w:keepNext/>
              <w:ind w:left="-108"/>
              <w:rPr>
                <w:rFonts w:ascii="Arial Narrow" w:hAnsi="Arial Narrow" w:cs="Arial"/>
                <w:sz w:val="20"/>
                <w:szCs w:val="20"/>
              </w:rPr>
            </w:pPr>
            <w:r w:rsidRPr="003D7198">
              <w:rPr>
                <w:rFonts w:ascii="Arial Narrow" w:hAnsi="Arial Narrow" w:cs="Arial"/>
                <w:smallCaps/>
                <w:sz w:val="20"/>
                <w:szCs w:val="20"/>
              </w:rPr>
              <w:t>protein formula with vitamins and minerals, and low in potassium, phosphorus, calcium, chloride and vitamin a</w:t>
            </w:r>
          </w:p>
          <w:p w:rsidR="009324A6" w:rsidRPr="003D7198" w:rsidRDefault="0059679A" w:rsidP="003D7198">
            <w:pPr>
              <w:keepNext/>
              <w:ind w:left="-108"/>
              <w:jc w:val="both"/>
              <w:rPr>
                <w:rFonts w:ascii="Arial Narrow" w:hAnsi="Arial Narrow" w:cs="Arial"/>
                <w:color w:val="FF0000"/>
                <w:sz w:val="20"/>
                <w:szCs w:val="20"/>
              </w:rPr>
            </w:pPr>
            <w:r w:rsidRPr="003D7198">
              <w:rPr>
                <w:rFonts w:ascii="Arial Narrow" w:hAnsi="Arial Narrow" w:cs="Arial"/>
                <w:sz w:val="20"/>
                <w:szCs w:val="20"/>
              </w:rPr>
              <w:t>O</w:t>
            </w:r>
            <w:r w:rsidR="008A1844" w:rsidRPr="003D7198">
              <w:rPr>
                <w:rFonts w:ascii="Arial Narrow" w:hAnsi="Arial Narrow" w:cs="Arial"/>
                <w:sz w:val="20"/>
                <w:szCs w:val="20"/>
              </w:rPr>
              <w:t>ral liquid, 24 × 125 mL bottle</w:t>
            </w:r>
            <w:r w:rsidR="00BE589D" w:rsidRPr="003D7198">
              <w:rPr>
                <w:rFonts w:ascii="Arial Narrow" w:hAnsi="Arial Narrow" w:cs="Arial"/>
                <w:sz w:val="20"/>
                <w:szCs w:val="20"/>
              </w:rPr>
              <w:t>s</w:t>
            </w:r>
          </w:p>
        </w:tc>
        <w:tc>
          <w:tcPr>
            <w:tcW w:w="308" w:type="pct"/>
          </w:tcPr>
          <w:p w:rsidR="009324A6" w:rsidRPr="003D7198" w:rsidRDefault="009324A6" w:rsidP="003D7198">
            <w:pPr>
              <w:keepNext/>
              <w:ind w:left="-108"/>
              <w:jc w:val="both"/>
              <w:rPr>
                <w:rFonts w:ascii="Arial Narrow" w:hAnsi="Arial Narrow" w:cs="Arial"/>
                <w:sz w:val="20"/>
                <w:szCs w:val="20"/>
              </w:rPr>
            </w:pPr>
          </w:p>
          <w:p w:rsidR="009324A6" w:rsidRPr="003D7198" w:rsidRDefault="00976868" w:rsidP="003D7198">
            <w:pPr>
              <w:keepNext/>
              <w:ind w:left="-108"/>
              <w:jc w:val="both"/>
              <w:rPr>
                <w:rFonts w:ascii="Arial Narrow" w:hAnsi="Arial Narrow" w:cs="Arial"/>
                <w:sz w:val="20"/>
                <w:szCs w:val="20"/>
              </w:rPr>
            </w:pPr>
            <w:r w:rsidRPr="003D7198">
              <w:rPr>
                <w:rFonts w:ascii="Arial Narrow" w:hAnsi="Arial Narrow" w:cs="Arial"/>
                <w:sz w:val="20"/>
                <w:szCs w:val="20"/>
              </w:rPr>
              <w:t>8</w:t>
            </w:r>
          </w:p>
        </w:tc>
        <w:tc>
          <w:tcPr>
            <w:tcW w:w="461" w:type="pct"/>
          </w:tcPr>
          <w:p w:rsidR="00942757" w:rsidRPr="003D7198" w:rsidRDefault="00942757" w:rsidP="003D7198">
            <w:pPr>
              <w:keepNext/>
              <w:ind w:left="-108"/>
              <w:jc w:val="both"/>
              <w:rPr>
                <w:rFonts w:ascii="Arial Narrow" w:hAnsi="Arial Narrow" w:cs="Arial"/>
                <w:sz w:val="20"/>
                <w:szCs w:val="20"/>
              </w:rPr>
            </w:pPr>
          </w:p>
          <w:p w:rsidR="009324A6" w:rsidRPr="003D7198" w:rsidRDefault="00976868" w:rsidP="003D7198">
            <w:pPr>
              <w:keepNext/>
              <w:ind w:left="-108"/>
              <w:jc w:val="both"/>
              <w:rPr>
                <w:rFonts w:ascii="Arial Narrow" w:hAnsi="Arial Narrow" w:cs="Arial"/>
                <w:sz w:val="20"/>
                <w:szCs w:val="20"/>
              </w:rPr>
            </w:pPr>
            <w:r w:rsidRPr="003D7198">
              <w:rPr>
                <w:rFonts w:ascii="Arial Narrow" w:hAnsi="Arial Narrow" w:cs="Arial"/>
                <w:sz w:val="20"/>
                <w:szCs w:val="20"/>
              </w:rPr>
              <w:t>5</w:t>
            </w:r>
          </w:p>
        </w:tc>
        <w:tc>
          <w:tcPr>
            <w:tcW w:w="923" w:type="pct"/>
          </w:tcPr>
          <w:p w:rsidR="009324A6" w:rsidRPr="003D7198" w:rsidRDefault="009324A6" w:rsidP="003D7198">
            <w:pPr>
              <w:keepNext/>
              <w:ind w:left="-108"/>
              <w:jc w:val="both"/>
              <w:rPr>
                <w:rFonts w:ascii="Arial Narrow" w:hAnsi="Arial Narrow" w:cs="Arial"/>
                <w:sz w:val="20"/>
                <w:szCs w:val="20"/>
              </w:rPr>
            </w:pPr>
          </w:p>
          <w:p w:rsidR="009324A6" w:rsidRPr="003D7198" w:rsidRDefault="009324A6" w:rsidP="003D7198">
            <w:pPr>
              <w:keepNext/>
              <w:ind w:left="-108"/>
              <w:jc w:val="both"/>
              <w:rPr>
                <w:rFonts w:ascii="Arial Narrow" w:hAnsi="Arial Narrow" w:cs="Arial"/>
                <w:sz w:val="20"/>
                <w:szCs w:val="20"/>
              </w:rPr>
            </w:pPr>
            <w:r w:rsidRPr="003D7198">
              <w:rPr>
                <w:rFonts w:ascii="Arial Narrow" w:hAnsi="Arial Narrow" w:cs="Arial"/>
                <w:sz w:val="20"/>
                <w:szCs w:val="20"/>
              </w:rPr>
              <w:t>$</w:t>
            </w:r>
            <w:r w:rsidR="00DB0B4E" w:rsidRPr="003D7198">
              <w:rPr>
                <w:rFonts w:ascii="Arial Narrow" w:hAnsi="Arial Narrow" w:cs="Arial"/>
                <w:sz w:val="20"/>
                <w:szCs w:val="20"/>
              </w:rPr>
              <w:t>1,627</w:t>
            </w:r>
          </w:p>
        </w:tc>
        <w:tc>
          <w:tcPr>
            <w:tcW w:w="846" w:type="pct"/>
          </w:tcPr>
          <w:p w:rsidR="009324A6" w:rsidRPr="003D7198" w:rsidRDefault="00355C7F" w:rsidP="003D7198">
            <w:pPr>
              <w:keepNext/>
              <w:jc w:val="both"/>
              <w:rPr>
                <w:rFonts w:ascii="Arial Narrow" w:hAnsi="Arial Narrow" w:cs="Arial"/>
                <w:sz w:val="20"/>
                <w:szCs w:val="20"/>
              </w:rPr>
            </w:pPr>
            <w:proofErr w:type="spellStart"/>
            <w:r w:rsidRPr="003D7198">
              <w:rPr>
                <w:rFonts w:ascii="Arial Narrow" w:hAnsi="Arial Narrow" w:cs="Arial"/>
                <w:sz w:val="20"/>
                <w:szCs w:val="20"/>
              </w:rPr>
              <w:t>Renastep</w:t>
            </w:r>
            <w:proofErr w:type="spellEnd"/>
            <w:r w:rsidRPr="003D7198">
              <w:rPr>
                <w:rFonts w:ascii="Arial Narrow" w:hAnsi="Arial Narrow" w:cs="Arial"/>
                <w:sz w:val="20"/>
                <w:szCs w:val="20"/>
              </w:rPr>
              <w:t>®</w:t>
            </w:r>
          </w:p>
        </w:tc>
        <w:tc>
          <w:tcPr>
            <w:tcW w:w="692" w:type="pct"/>
          </w:tcPr>
          <w:p w:rsidR="009324A6" w:rsidRPr="003D7198" w:rsidRDefault="00355C7F" w:rsidP="003D7198">
            <w:pPr>
              <w:keepNext/>
              <w:jc w:val="both"/>
              <w:rPr>
                <w:rFonts w:ascii="Arial Narrow" w:hAnsi="Arial Narrow" w:cs="Arial"/>
                <w:sz w:val="20"/>
                <w:szCs w:val="20"/>
              </w:rPr>
            </w:pPr>
            <w:proofErr w:type="spellStart"/>
            <w:r w:rsidRPr="003D7198">
              <w:rPr>
                <w:rFonts w:ascii="Arial Narrow" w:hAnsi="Arial Narrow" w:cs="Arial"/>
                <w:sz w:val="20"/>
                <w:szCs w:val="20"/>
              </w:rPr>
              <w:t>Vitaflo</w:t>
            </w:r>
            <w:proofErr w:type="spellEnd"/>
            <w:r w:rsidRPr="003D7198">
              <w:rPr>
                <w:rFonts w:ascii="Arial Narrow" w:hAnsi="Arial Narrow" w:cs="Arial"/>
                <w:sz w:val="20"/>
                <w:szCs w:val="20"/>
              </w:rPr>
              <w:t xml:space="preserve"> Australia Pty Ltd</w:t>
            </w:r>
          </w:p>
        </w:tc>
      </w:tr>
      <w:tr w:rsidR="009324A6" w:rsidRPr="003D7198" w:rsidTr="003D7198">
        <w:trPr>
          <w:cantSplit/>
          <w:trHeight w:val="360"/>
        </w:trPr>
        <w:tc>
          <w:tcPr>
            <w:tcW w:w="1538" w:type="pct"/>
            <w:tcBorders>
              <w:top w:val="single" w:sz="4" w:space="0" w:color="auto"/>
              <w:left w:val="single" w:sz="4" w:space="0" w:color="auto"/>
              <w:bottom w:val="single" w:sz="4" w:space="0" w:color="auto"/>
              <w:right w:val="single" w:sz="4" w:space="0" w:color="auto"/>
            </w:tcBorders>
          </w:tcPr>
          <w:p w:rsidR="009324A6" w:rsidRPr="003D7198" w:rsidRDefault="009324A6" w:rsidP="003D7198">
            <w:pPr>
              <w:jc w:val="both"/>
              <w:rPr>
                <w:rFonts w:ascii="Arial Narrow" w:hAnsi="Arial Narrow" w:cs="Arial"/>
                <w:b/>
                <w:sz w:val="20"/>
                <w:szCs w:val="20"/>
              </w:rPr>
            </w:pPr>
            <w:r w:rsidRPr="003D7198">
              <w:rPr>
                <w:rFonts w:ascii="Arial Narrow" w:hAnsi="Arial Narrow" w:cs="Arial"/>
                <w:b/>
                <w:sz w:val="20"/>
                <w:szCs w:val="20"/>
              </w:rPr>
              <w:t>Category / Program:</w:t>
            </w:r>
          </w:p>
        </w:tc>
        <w:tc>
          <w:tcPr>
            <w:tcW w:w="3462" w:type="pct"/>
            <w:gridSpan w:val="6"/>
            <w:tcBorders>
              <w:top w:val="single" w:sz="4" w:space="0" w:color="auto"/>
              <w:left w:val="single" w:sz="4" w:space="0" w:color="auto"/>
              <w:bottom w:val="single" w:sz="4" w:space="0" w:color="auto"/>
              <w:right w:val="single" w:sz="4" w:space="0" w:color="auto"/>
            </w:tcBorders>
          </w:tcPr>
          <w:p w:rsidR="009324A6" w:rsidRPr="003D7198" w:rsidRDefault="009324A6" w:rsidP="003D7198">
            <w:pPr>
              <w:jc w:val="both"/>
              <w:rPr>
                <w:rFonts w:ascii="Arial Narrow" w:hAnsi="Arial Narrow" w:cs="Arial"/>
                <w:sz w:val="20"/>
                <w:szCs w:val="20"/>
              </w:rPr>
            </w:pPr>
            <w:r w:rsidRPr="003D7198">
              <w:rPr>
                <w:rFonts w:ascii="Arial Narrow" w:hAnsi="Arial Narrow" w:cs="Arial"/>
                <w:sz w:val="20"/>
                <w:szCs w:val="20"/>
              </w:rPr>
              <w:t>GENERAL – General Schedule (Code GE)</w:t>
            </w:r>
          </w:p>
        </w:tc>
      </w:tr>
      <w:tr w:rsidR="009324A6" w:rsidRPr="003D7198" w:rsidTr="003D7198">
        <w:trPr>
          <w:cantSplit/>
          <w:trHeight w:val="360"/>
        </w:trPr>
        <w:tc>
          <w:tcPr>
            <w:tcW w:w="1538" w:type="pct"/>
            <w:tcBorders>
              <w:top w:val="single" w:sz="4" w:space="0" w:color="auto"/>
              <w:left w:val="single" w:sz="4" w:space="0" w:color="auto"/>
              <w:bottom w:val="single" w:sz="4" w:space="0" w:color="auto"/>
              <w:right w:val="single" w:sz="4" w:space="0" w:color="auto"/>
            </w:tcBorders>
          </w:tcPr>
          <w:p w:rsidR="009324A6" w:rsidRPr="003D7198" w:rsidRDefault="009324A6" w:rsidP="003D7198">
            <w:pPr>
              <w:jc w:val="both"/>
              <w:rPr>
                <w:rFonts w:ascii="Arial Narrow" w:hAnsi="Arial Narrow" w:cs="Arial"/>
                <w:b/>
                <w:sz w:val="20"/>
                <w:szCs w:val="20"/>
              </w:rPr>
            </w:pPr>
            <w:r w:rsidRPr="003D7198">
              <w:rPr>
                <w:rFonts w:ascii="Arial Narrow" w:hAnsi="Arial Narrow" w:cs="Arial"/>
                <w:b/>
                <w:sz w:val="20"/>
                <w:szCs w:val="20"/>
              </w:rPr>
              <w:t>Prescriber type:</w:t>
            </w:r>
          </w:p>
          <w:p w:rsidR="009324A6" w:rsidRPr="003D7198" w:rsidRDefault="009324A6" w:rsidP="003D7198">
            <w:pPr>
              <w:jc w:val="both"/>
              <w:rPr>
                <w:rFonts w:ascii="Arial Narrow" w:hAnsi="Arial Narrow" w:cs="Arial"/>
                <w:b/>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9324A6" w:rsidRPr="003D7198" w:rsidRDefault="009324A6" w:rsidP="003D7198">
            <w:pPr>
              <w:jc w:val="both"/>
              <w:rPr>
                <w:rFonts w:ascii="Arial Narrow" w:hAnsi="Arial Narrow" w:cs="Arial"/>
                <w:sz w:val="20"/>
                <w:szCs w:val="20"/>
              </w:rPr>
            </w:pPr>
            <w:r w:rsidRPr="003D7198">
              <w:rPr>
                <w:rFonts w:ascii="Arial Narrow" w:hAnsi="Arial Narrow" w:cs="Arial"/>
                <w:sz w:val="20"/>
                <w:szCs w:val="20"/>
              </w:rPr>
              <w:fldChar w:fldCharType="begin">
                <w:ffData>
                  <w:name w:val="Check1"/>
                  <w:enabled/>
                  <w:calcOnExit w:val="0"/>
                  <w:checkBox>
                    <w:sizeAuto/>
                    <w:default w:val="0"/>
                  </w:checkBox>
                </w:ffData>
              </w:fldChar>
            </w:r>
            <w:r w:rsidRPr="003D7198">
              <w:rPr>
                <w:rFonts w:ascii="Arial Narrow" w:hAnsi="Arial Narrow" w:cs="Arial"/>
                <w:sz w:val="20"/>
                <w:szCs w:val="20"/>
              </w:rPr>
              <w:instrText xml:space="preserve"> FORMCHECKBOX </w:instrText>
            </w:r>
            <w:r w:rsidR="0007780B">
              <w:rPr>
                <w:rFonts w:ascii="Arial Narrow" w:hAnsi="Arial Narrow" w:cs="Arial"/>
                <w:sz w:val="20"/>
                <w:szCs w:val="20"/>
              </w:rPr>
            </w:r>
            <w:r w:rsidR="0007780B">
              <w:rPr>
                <w:rFonts w:ascii="Arial Narrow" w:hAnsi="Arial Narrow" w:cs="Arial"/>
                <w:sz w:val="20"/>
                <w:szCs w:val="20"/>
              </w:rPr>
              <w:fldChar w:fldCharType="separate"/>
            </w:r>
            <w:r w:rsidRPr="003D7198">
              <w:rPr>
                <w:rFonts w:ascii="Arial Narrow" w:hAnsi="Arial Narrow" w:cs="Arial"/>
                <w:sz w:val="20"/>
                <w:szCs w:val="20"/>
              </w:rPr>
              <w:fldChar w:fldCharType="end"/>
            </w:r>
            <w:r w:rsidRPr="003D7198">
              <w:rPr>
                <w:rFonts w:ascii="Arial Narrow" w:hAnsi="Arial Narrow" w:cs="Arial"/>
                <w:sz w:val="20"/>
                <w:szCs w:val="20"/>
              </w:rPr>
              <w:t xml:space="preserve">Dental  </w:t>
            </w:r>
            <w:r w:rsidR="00971898" w:rsidRPr="003D7198">
              <w:rPr>
                <w:rFonts w:ascii="Arial Narrow" w:hAnsi="Arial Narrow" w:cs="Arial"/>
                <w:sz w:val="20"/>
                <w:szCs w:val="20"/>
              </w:rPr>
              <w:fldChar w:fldCharType="begin">
                <w:ffData>
                  <w:name w:val=""/>
                  <w:enabled/>
                  <w:calcOnExit w:val="0"/>
                  <w:checkBox>
                    <w:sizeAuto/>
                    <w:default w:val="1"/>
                  </w:checkBox>
                </w:ffData>
              </w:fldChar>
            </w:r>
            <w:r w:rsidR="00971898" w:rsidRPr="003D7198">
              <w:rPr>
                <w:rFonts w:ascii="Arial Narrow" w:hAnsi="Arial Narrow" w:cs="Arial"/>
                <w:sz w:val="20"/>
                <w:szCs w:val="20"/>
              </w:rPr>
              <w:instrText xml:space="preserve"> FORMCHECKBOX </w:instrText>
            </w:r>
            <w:r w:rsidR="0007780B">
              <w:rPr>
                <w:rFonts w:ascii="Arial Narrow" w:hAnsi="Arial Narrow" w:cs="Arial"/>
                <w:sz w:val="20"/>
                <w:szCs w:val="20"/>
              </w:rPr>
            </w:r>
            <w:r w:rsidR="0007780B">
              <w:rPr>
                <w:rFonts w:ascii="Arial Narrow" w:hAnsi="Arial Narrow" w:cs="Arial"/>
                <w:sz w:val="20"/>
                <w:szCs w:val="20"/>
              </w:rPr>
              <w:fldChar w:fldCharType="separate"/>
            </w:r>
            <w:r w:rsidR="00971898" w:rsidRPr="003D7198">
              <w:rPr>
                <w:rFonts w:ascii="Arial Narrow" w:hAnsi="Arial Narrow" w:cs="Arial"/>
                <w:sz w:val="20"/>
                <w:szCs w:val="20"/>
              </w:rPr>
              <w:fldChar w:fldCharType="end"/>
            </w:r>
            <w:r w:rsidRPr="003D7198">
              <w:rPr>
                <w:rFonts w:ascii="Arial Narrow" w:hAnsi="Arial Narrow" w:cs="Arial"/>
                <w:sz w:val="20"/>
                <w:szCs w:val="20"/>
              </w:rPr>
              <w:t xml:space="preserve">Medical Practitioners  </w:t>
            </w:r>
            <w:r w:rsidR="00971898" w:rsidRPr="003D7198">
              <w:rPr>
                <w:rFonts w:ascii="Arial Narrow" w:hAnsi="Arial Narrow" w:cs="Arial"/>
                <w:sz w:val="20"/>
                <w:szCs w:val="20"/>
              </w:rPr>
              <w:fldChar w:fldCharType="begin">
                <w:ffData>
                  <w:name w:val="Check3"/>
                  <w:enabled/>
                  <w:calcOnExit w:val="0"/>
                  <w:checkBox>
                    <w:sizeAuto/>
                    <w:default w:val="1"/>
                  </w:checkBox>
                </w:ffData>
              </w:fldChar>
            </w:r>
            <w:bookmarkStart w:id="0" w:name="Check3"/>
            <w:r w:rsidR="00971898" w:rsidRPr="003D7198">
              <w:rPr>
                <w:rFonts w:ascii="Arial Narrow" w:hAnsi="Arial Narrow" w:cs="Arial"/>
                <w:sz w:val="20"/>
                <w:szCs w:val="20"/>
              </w:rPr>
              <w:instrText xml:space="preserve"> FORMCHECKBOX </w:instrText>
            </w:r>
            <w:r w:rsidR="0007780B">
              <w:rPr>
                <w:rFonts w:ascii="Arial Narrow" w:hAnsi="Arial Narrow" w:cs="Arial"/>
                <w:sz w:val="20"/>
                <w:szCs w:val="20"/>
              </w:rPr>
            </w:r>
            <w:r w:rsidR="0007780B">
              <w:rPr>
                <w:rFonts w:ascii="Arial Narrow" w:hAnsi="Arial Narrow" w:cs="Arial"/>
                <w:sz w:val="20"/>
                <w:szCs w:val="20"/>
              </w:rPr>
              <w:fldChar w:fldCharType="separate"/>
            </w:r>
            <w:r w:rsidR="00971898" w:rsidRPr="003D7198">
              <w:rPr>
                <w:rFonts w:ascii="Arial Narrow" w:hAnsi="Arial Narrow" w:cs="Arial"/>
                <w:sz w:val="20"/>
                <w:szCs w:val="20"/>
              </w:rPr>
              <w:fldChar w:fldCharType="end"/>
            </w:r>
            <w:bookmarkEnd w:id="0"/>
            <w:r w:rsidRPr="003D7198">
              <w:rPr>
                <w:rFonts w:ascii="Arial Narrow" w:hAnsi="Arial Narrow" w:cs="Arial"/>
                <w:sz w:val="20"/>
                <w:szCs w:val="20"/>
              </w:rPr>
              <w:t xml:space="preserve">Nurse practitioners  </w:t>
            </w:r>
            <w:r w:rsidRPr="003D7198">
              <w:rPr>
                <w:rFonts w:ascii="Arial Narrow" w:hAnsi="Arial Narrow" w:cs="Arial"/>
                <w:sz w:val="20"/>
                <w:szCs w:val="20"/>
              </w:rPr>
              <w:fldChar w:fldCharType="begin">
                <w:ffData>
                  <w:name w:val=""/>
                  <w:enabled/>
                  <w:calcOnExit w:val="0"/>
                  <w:checkBox>
                    <w:sizeAuto/>
                    <w:default w:val="0"/>
                  </w:checkBox>
                </w:ffData>
              </w:fldChar>
            </w:r>
            <w:r w:rsidRPr="003D7198">
              <w:rPr>
                <w:rFonts w:ascii="Arial Narrow" w:hAnsi="Arial Narrow" w:cs="Arial"/>
                <w:sz w:val="20"/>
                <w:szCs w:val="20"/>
              </w:rPr>
              <w:instrText xml:space="preserve"> FORMCHECKBOX </w:instrText>
            </w:r>
            <w:r w:rsidR="0007780B">
              <w:rPr>
                <w:rFonts w:ascii="Arial Narrow" w:hAnsi="Arial Narrow" w:cs="Arial"/>
                <w:sz w:val="20"/>
                <w:szCs w:val="20"/>
              </w:rPr>
            </w:r>
            <w:r w:rsidR="0007780B">
              <w:rPr>
                <w:rFonts w:ascii="Arial Narrow" w:hAnsi="Arial Narrow" w:cs="Arial"/>
                <w:sz w:val="20"/>
                <w:szCs w:val="20"/>
              </w:rPr>
              <w:fldChar w:fldCharType="separate"/>
            </w:r>
            <w:r w:rsidRPr="003D7198">
              <w:rPr>
                <w:rFonts w:ascii="Arial Narrow" w:hAnsi="Arial Narrow" w:cs="Arial"/>
                <w:sz w:val="20"/>
                <w:szCs w:val="20"/>
              </w:rPr>
              <w:fldChar w:fldCharType="end"/>
            </w:r>
            <w:r w:rsidRPr="003D7198">
              <w:rPr>
                <w:rFonts w:ascii="Arial Narrow" w:hAnsi="Arial Narrow" w:cs="Arial"/>
                <w:sz w:val="20"/>
                <w:szCs w:val="20"/>
              </w:rPr>
              <w:t>Optometrists</w:t>
            </w:r>
          </w:p>
          <w:p w:rsidR="009324A6" w:rsidRPr="003D7198" w:rsidRDefault="009324A6" w:rsidP="003D7198">
            <w:pPr>
              <w:jc w:val="both"/>
              <w:rPr>
                <w:rFonts w:ascii="Arial Narrow" w:hAnsi="Arial Narrow" w:cs="Arial"/>
                <w:sz w:val="20"/>
                <w:szCs w:val="20"/>
              </w:rPr>
            </w:pPr>
            <w:r w:rsidRPr="003D7198">
              <w:rPr>
                <w:rFonts w:ascii="Arial Narrow" w:hAnsi="Arial Narrow" w:cs="Arial"/>
                <w:sz w:val="20"/>
                <w:szCs w:val="20"/>
              </w:rPr>
              <w:fldChar w:fldCharType="begin">
                <w:ffData>
                  <w:name w:val="Check5"/>
                  <w:enabled/>
                  <w:calcOnExit w:val="0"/>
                  <w:checkBox>
                    <w:sizeAuto/>
                    <w:default w:val="0"/>
                  </w:checkBox>
                </w:ffData>
              </w:fldChar>
            </w:r>
            <w:r w:rsidRPr="003D7198">
              <w:rPr>
                <w:rFonts w:ascii="Arial Narrow" w:hAnsi="Arial Narrow" w:cs="Arial"/>
                <w:sz w:val="20"/>
                <w:szCs w:val="20"/>
              </w:rPr>
              <w:instrText xml:space="preserve"> FORMCHECKBOX </w:instrText>
            </w:r>
            <w:r w:rsidR="0007780B">
              <w:rPr>
                <w:rFonts w:ascii="Arial Narrow" w:hAnsi="Arial Narrow" w:cs="Arial"/>
                <w:sz w:val="20"/>
                <w:szCs w:val="20"/>
              </w:rPr>
            </w:r>
            <w:r w:rsidR="0007780B">
              <w:rPr>
                <w:rFonts w:ascii="Arial Narrow" w:hAnsi="Arial Narrow" w:cs="Arial"/>
                <w:sz w:val="20"/>
                <w:szCs w:val="20"/>
              </w:rPr>
              <w:fldChar w:fldCharType="separate"/>
            </w:r>
            <w:r w:rsidRPr="003D7198">
              <w:rPr>
                <w:rFonts w:ascii="Arial Narrow" w:hAnsi="Arial Narrow" w:cs="Arial"/>
                <w:sz w:val="20"/>
                <w:szCs w:val="20"/>
              </w:rPr>
              <w:fldChar w:fldCharType="end"/>
            </w:r>
            <w:r w:rsidRPr="003D7198">
              <w:rPr>
                <w:rFonts w:ascii="Arial Narrow" w:hAnsi="Arial Narrow" w:cs="Arial"/>
                <w:sz w:val="20"/>
                <w:szCs w:val="20"/>
              </w:rPr>
              <w:t>Midwives</w:t>
            </w:r>
          </w:p>
        </w:tc>
      </w:tr>
      <w:tr w:rsidR="009324A6" w:rsidRPr="003D7198" w:rsidTr="003D7198">
        <w:trPr>
          <w:cantSplit/>
          <w:trHeight w:val="369"/>
        </w:trPr>
        <w:tc>
          <w:tcPr>
            <w:tcW w:w="1538" w:type="pct"/>
            <w:tcBorders>
              <w:top w:val="single" w:sz="4" w:space="0" w:color="auto"/>
              <w:left w:val="single" w:sz="4" w:space="0" w:color="auto"/>
              <w:bottom w:val="single" w:sz="4" w:space="0" w:color="auto"/>
              <w:right w:val="single" w:sz="4" w:space="0" w:color="auto"/>
            </w:tcBorders>
          </w:tcPr>
          <w:p w:rsidR="009324A6" w:rsidRPr="003D7198" w:rsidRDefault="009324A6" w:rsidP="003D7198">
            <w:pPr>
              <w:jc w:val="both"/>
              <w:rPr>
                <w:rFonts w:ascii="Arial Narrow" w:hAnsi="Arial Narrow" w:cs="Arial"/>
                <w:b/>
                <w:sz w:val="20"/>
                <w:szCs w:val="20"/>
              </w:rPr>
            </w:pPr>
            <w:r w:rsidRPr="003D7198">
              <w:rPr>
                <w:rFonts w:ascii="Arial Narrow" w:hAnsi="Arial Narrow" w:cs="Arial"/>
                <w:b/>
                <w:sz w:val="20"/>
                <w:szCs w:val="20"/>
              </w:rPr>
              <w:t>PBS Indication:</w:t>
            </w:r>
          </w:p>
        </w:tc>
        <w:tc>
          <w:tcPr>
            <w:tcW w:w="3462" w:type="pct"/>
            <w:gridSpan w:val="6"/>
            <w:tcBorders>
              <w:top w:val="single" w:sz="4" w:space="0" w:color="auto"/>
              <w:left w:val="single" w:sz="4" w:space="0" w:color="auto"/>
              <w:bottom w:val="single" w:sz="4" w:space="0" w:color="auto"/>
              <w:right w:val="single" w:sz="4" w:space="0" w:color="auto"/>
            </w:tcBorders>
          </w:tcPr>
          <w:p w:rsidR="009324A6" w:rsidRPr="003D7198" w:rsidRDefault="008873FE" w:rsidP="003D7198">
            <w:pPr>
              <w:jc w:val="both"/>
              <w:rPr>
                <w:rFonts w:ascii="Arial Narrow" w:hAnsi="Arial Narrow" w:cs="Arial"/>
                <w:i/>
                <w:sz w:val="20"/>
                <w:szCs w:val="20"/>
              </w:rPr>
            </w:pPr>
            <w:r w:rsidRPr="003D7198">
              <w:rPr>
                <w:rFonts w:ascii="Arial Narrow" w:hAnsi="Arial Narrow" w:cs="Arial"/>
                <w:sz w:val="20"/>
                <w:szCs w:val="20"/>
              </w:rPr>
              <w:t xml:space="preserve">Chronic </w:t>
            </w:r>
            <w:r w:rsidR="00AC450E" w:rsidRPr="003D7198">
              <w:rPr>
                <w:rFonts w:ascii="Arial Narrow" w:hAnsi="Arial Narrow" w:cs="Arial"/>
                <w:strike/>
                <w:sz w:val="20"/>
                <w:szCs w:val="20"/>
              </w:rPr>
              <w:t xml:space="preserve">kidney disease </w:t>
            </w:r>
            <w:r w:rsidR="00AC450E" w:rsidRPr="003D7198">
              <w:rPr>
                <w:rFonts w:ascii="Arial Narrow" w:hAnsi="Arial Narrow" w:cs="Arial"/>
                <w:i/>
                <w:sz w:val="20"/>
                <w:szCs w:val="20"/>
              </w:rPr>
              <w:t>renal failure</w:t>
            </w:r>
          </w:p>
        </w:tc>
      </w:tr>
      <w:tr w:rsidR="009324A6" w:rsidRPr="003D7198" w:rsidTr="003D7198">
        <w:trPr>
          <w:cantSplit/>
          <w:trHeight w:val="360"/>
        </w:trPr>
        <w:tc>
          <w:tcPr>
            <w:tcW w:w="1538" w:type="pct"/>
            <w:tcBorders>
              <w:top w:val="single" w:sz="4" w:space="0" w:color="auto"/>
              <w:left w:val="single" w:sz="4" w:space="0" w:color="auto"/>
              <w:bottom w:val="single" w:sz="4" w:space="0" w:color="auto"/>
              <w:right w:val="single" w:sz="4" w:space="0" w:color="auto"/>
            </w:tcBorders>
          </w:tcPr>
          <w:p w:rsidR="009324A6" w:rsidRPr="003D7198" w:rsidRDefault="009324A6" w:rsidP="003D7198">
            <w:pPr>
              <w:jc w:val="both"/>
              <w:rPr>
                <w:rFonts w:ascii="Arial Narrow" w:hAnsi="Arial Narrow" w:cs="Arial"/>
                <w:b/>
                <w:sz w:val="20"/>
                <w:szCs w:val="20"/>
              </w:rPr>
            </w:pPr>
            <w:r w:rsidRPr="003D7198">
              <w:rPr>
                <w:rFonts w:ascii="Arial Narrow" w:hAnsi="Arial Narrow" w:cs="Arial"/>
                <w:b/>
                <w:sz w:val="20"/>
                <w:szCs w:val="20"/>
              </w:rPr>
              <w:t>Restriction Level / Method:</w:t>
            </w:r>
          </w:p>
        </w:tc>
        <w:tc>
          <w:tcPr>
            <w:tcW w:w="3462" w:type="pct"/>
            <w:gridSpan w:val="6"/>
            <w:tcBorders>
              <w:top w:val="single" w:sz="4" w:space="0" w:color="auto"/>
              <w:left w:val="single" w:sz="4" w:space="0" w:color="auto"/>
              <w:bottom w:val="single" w:sz="4" w:space="0" w:color="auto"/>
              <w:right w:val="single" w:sz="4" w:space="0" w:color="auto"/>
            </w:tcBorders>
          </w:tcPr>
          <w:p w:rsidR="009324A6" w:rsidRPr="003D7198" w:rsidRDefault="00971898" w:rsidP="003D7198">
            <w:pPr>
              <w:jc w:val="both"/>
              <w:rPr>
                <w:rFonts w:ascii="Arial Narrow" w:hAnsi="Arial Narrow" w:cs="Arial"/>
                <w:sz w:val="20"/>
                <w:szCs w:val="20"/>
              </w:rPr>
            </w:pPr>
            <w:r w:rsidRPr="003D7198">
              <w:rPr>
                <w:rFonts w:ascii="Arial Narrow" w:hAnsi="Arial Narrow" w:cs="Arial"/>
                <w:sz w:val="20"/>
                <w:szCs w:val="20"/>
              </w:rPr>
              <w:fldChar w:fldCharType="begin">
                <w:ffData>
                  <w:name w:val="Check5"/>
                  <w:enabled/>
                  <w:calcOnExit w:val="0"/>
                  <w:checkBox>
                    <w:sizeAuto/>
                    <w:default w:val="1"/>
                  </w:checkBox>
                </w:ffData>
              </w:fldChar>
            </w:r>
            <w:bookmarkStart w:id="1" w:name="Check5"/>
            <w:r w:rsidRPr="003D7198">
              <w:rPr>
                <w:rFonts w:ascii="Arial Narrow" w:hAnsi="Arial Narrow" w:cs="Arial"/>
                <w:sz w:val="20"/>
                <w:szCs w:val="20"/>
              </w:rPr>
              <w:instrText xml:space="preserve"> FORMCHECKBOX </w:instrText>
            </w:r>
            <w:r w:rsidR="0007780B">
              <w:rPr>
                <w:rFonts w:ascii="Arial Narrow" w:hAnsi="Arial Narrow" w:cs="Arial"/>
                <w:sz w:val="20"/>
                <w:szCs w:val="20"/>
              </w:rPr>
            </w:r>
            <w:r w:rsidR="0007780B">
              <w:rPr>
                <w:rFonts w:ascii="Arial Narrow" w:hAnsi="Arial Narrow" w:cs="Arial"/>
                <w:sz w:val="20"/>
                <w:szCs w:val="20"/>
              </w:rPr>
              <w:fldChar w:fldCharType="separate"/>
            </w:r>
            <w:r w:rsidRPr="003D7198">
              <w:rPr>
                <w:rFonts w:ascii="Arial Narrow" w:hAnsi="Arial Narrow" w:cs="Arial"/>
                <w:sz w:val="20"/>
                <w:szCs w:val="20"/>
              </w:rPr>
              <w:fldChar w:fldCharType="end"/>
            </w:r>
            <w:bookmarkEnd w:id="1"/>
            <w:r w:rsidR="009324A6" w:rsidRPr="003D7198">
              <w:rPr>
                <w:rFonts w:ascii="Arial Narrow" w:hAnsi="Arial Narrow" w:cs="Arial"/>
                <w:sz w:val="20"/>
                <w:szCs w:val="20"/>
              </w:rPr>
              <w:t>Streamlined</w:t>
            </w:r>
          </w:p>
        </w:tc>
      </w:tr>
      <w:tr w:rsidR="009324A6" w:rsidRPr="003D7198" w:rsidTr="003D7198">
        <w:trPr>
          <w:cantSplit/>
          <w:trHeight w:val="657"/>
        </w:trPr>
        <w:tc>
          <w:tcPr>
            <w:tcW w:w="1538" w:type="pct"/>
            <w:tcBorders>
              <w:top w:val="single" w:sz="4" w:space="0" w:color="auto"/>
              <w:left w:val="single" w:sz="4" w:space="0" w:color="auto"/>
              <w:bottom w:val="single" w:sz="4" w:space="0" w:color="auto"/>
              <w:right w:val="single" w:sz="4" w:space="0" w:color="auto"/>
            </w:tcBorders>
          </w:tcPr>
          <w:p w:rsidR="009324A6" w:rsidRPr="003D7198" w:rsidRDefault="009324A6" w:rsidP="003D7198">
            <w:pPr>
              <w:jc w:val="both"/>
              <w:rPr>
                <w:rFonts w:ascii="Arial Narrow" w:hAnsi="Arial Narrow" w:cs="Arial"/>
                <w:b/>
                <w:sz w:val="20"/>
                <w:szCs w:val="20"/>
              </w:rPr>
            </w:pPr>
            <w:r w:rsidRPr="003D7198">
              <w:rPr>
                <w:rFonts w:ascii="Arial Narrow" w:hAnsi="Arial Narrow" w:cs="Arial"/>
                <w:b/>
                <w:sz w:val="20"/>
                <w:szCs w:val="20"/>
              </w:rPr>
              <w:t>Clinical criteria:</w:t>
            </w:r>
          </w:p>
        </w:tc>
        <w:tc>
          <w:tcPr>
            <w:tcW w:w="3462" w:type="pct"/>
            <w:gridSpan w:val="6"/>
            <w:tcBorders>
              <w:top w:val="single" w:sz="4" w:space="0" w:color="auto"/>
              <w:left w:val="single" w:sz="4" w:space="0" w:color="auto"/>
              <w:bottom w:val="single" w:sz="4" w:space="0" w:color="auto"/>
              <w:right w:val="single" w:sz="4" w:space="0" w:color="auto"/>
            </w:tcBorders>
          </w:tcPr>
          <w:p w:rsidR="009324A6" w:rsidRPr="003D7198" w:rsidRDefault="00040A5B" w:rsidP="003D7198">
            <w:pPr>
              <w:jc w:val="both"/>
              <w:rPr>
                <w:rFonts w:ascii="Arial Narrow" w:hAnsi="Arial Narrow" w:cs="Arial"/>
                <w:sz w:val="20"/>
                <w:szCs w:val="20"/>
              </w:rPr>
            </w:pPr>
            <w:r w:rsidRPr="003D7198">
              <w:rPr>
                <w:rFonts w:ascii="Arial Narrow" w:hAnsi="Arial Narrow" w:cs="Arial"/>
                <w:sz w:val="20"/>
                <w:szCs w:val="20"/>
              </w:rPr>
              <w:t>Patient must require treatment with a modified protein, low phosphorus diet</w:t>
            </w:r>
          </w:p>
          <w:p w:rsidR="00040A5B" w:rsidRPr="003D7198" w:rsidRDefault="00040A5B" w:rsidP="003D7198">
            <w:pPr>
              <w:jc w:val="both"/>
              <w:rPr>
                <w:rFonts w:ascii="Arial Narrow" w:hAnsi="Arial Narrow" w:cs="Arial"/>
                <w:sz w:val="20"/>
                <w:szCs w:val="20"/>
              </w:rPr>
            </w:pPr>
            <w:r w:rsidRPr="003D7198">
              <w:rPr>
                <w:rFonts w:ascii="Arial Narrow" w:hAnsi="Arial Narrow" w:cs="Arial"/>
                <w:sz w:val="20"/>
                <w:szCs w:val="20"/>
              </w:rPr>
              <w:t>OR</w:t>
            </w:r>
          </w:p>
          <w:p w:rsidR="009324A6" w:rsidRPr="003D7198" w:rsidRDefault="00040A5B" w:rsidP="003D7198">
            <w:pPr>
              <w:jc w:val="both"/>
              <w:rPr>
                <w:rFonts w:ascii="Arial Narrow" w:hAnsi="Arial Narrow" w:cs="Arial"/>
                <w:sz w:val="20"/>
                <w:szCs w:val="20"/>
              </w:rPr>
            </w:pPr>
            <w:r w:rsidRPr="003D7198">
              <w:rPr>
                <w:rFonts w:ascii="Arial Narrow" w:hAnsi="Arial Narrow" w:cs="Arial"/>
                <w:sz w:val="20"/>
                <w:szCs w:val="20"/>
              </w:rPr>
              <w:t>Patient must require treatment with modified protein, low phosphorus, low potassium diet</w:t>
            </w:r>
          </w:p>
        </w:tc>
      </w:tr>
      <w:tr w:rsidR="009324A6" w:rsidRPr="003D7198" w:rsidTr="003D7198">
        <w:trPr>
          <w:cantSplit/>
          <w:trHeight w:val="267"/>
        </w:trPr>
        <w:tc>
          <w:tcPr>
            <w:tcW w:w="1538" w:type="pct"/>
            <w:tcBorders>
              <w:top w:val="single" w:sz="4" w:space="0" w:color="auto"/>
              <w:left w:val="single" w:sz="4" w:space="0" w:color="auto"/>
              <w:bottom w:val="single" w:sz="4" w:space="0" w:color="auto"/>
              <w:right w:val="single" w:sz="4" w:space="0" w:color="auto"/>
            </w:tcBorders>
          </w:tcPr>
          <w:p w:rsidR="009324A6" w:rsidRPr="003D7198" w:rsidRDefault="009324A6" w:rsidP="003D7198">
            <w:pPr>
              <w:jc w:val="both"/>
              <w:rPr>
                <w:rFonts w:ascii="Arial Narrow" w:hAnsi="Arial Narrow" w:cs="Arial"/>
                <w:b/>
                <w:sz w:val="20"/>
                <w:szCs w:val="20"/>
              </w:rPr>
            </w:pPr>
            <w:r w:rsidRPr="003D7198">
              <w:rPr>
                <w:rFonts w:ascii="Arial Narrow" w:hAnsi="Arial Narrow" w:cs="Arial"/>
                <w:b/>
                <w:sz w:val="20"/>
                <w:szCs w:val="20"/>
              </w:rPr>
              <w:t>Population criteria:</w:t>
            </w:r>
          </w:p>
        </w:tc>
        <w:tc>
          <w:tcPr>
            <w:tcW w:w="3462" w:type="pct"/>
            <w:gridSpan w:val="6"/>
            <w:tcBorders>
              <w:top w:val="single" w:sz="4" w:space="0" w:color="auto"/>
              <w:left w:val="single" w:sz="4" w:space="0" w:color="auto"/>
              <w:bottom w:val="single" w:sz="4" w:space="0" w:color="auto"/>
              <w:right w:val="single" w:sz="4" w:space="0" w:color="auto"/>
            </w:tcBorders>
          </w:tcPr>
          <w:p w:rsidR="009324A6" w:rsidRPr="003D7198" w:rsidRDefault="00040A5B" w:rsidP="003D7198">
            <w:pPr>
              <w:jc w:val="both"/>
              <w:rPr>
                <w:rFonts w:ascii="Arial Narrow" w:hAnsi="Arial Narrow" w:cs="Arial"/>
                <w:sz w:val="20"/>
                <w:szCs w:val="20"/>
              </w:rPr>
            </w:pPr>
            <w:r w:rsidRPr="003D7198">
              <w:rPr>
                <w:rFonts w:ascii="Arial Narrow" w:hAnsi="Arial Narrow" w:cs="Arial"/>
                <w:sz w:val="20"/>
                <w:szCs w:val="20"/>
              </w:rPr>
              <w:t xml:space="preserve">Patient must be </w:t>
            </w:r>
            <w:r w:rsidR="00516055" w:rsidRPr="003D7198">
              <w:rPr>
                <w:rFonts w:ascii="Arial Narrow" w:hAnsi="Arial Narrow" w:cs="Arial"/>
                <w:i/>
                <w:sz w:val="20"/>
                <w:szCs w:val="20"/>
              </w:rPr>
              <w:t>an infant or a young child.</w:t>
            </w:r>
          </w:p>
        </w:tc>
      </w:tr>
    </w:tbl>
    <w:p w:rsidR="005918F6" w:rsidRPr="003C1602" w:rsidRDefault="005918F6" w:rsidP="003D7198">
      <w:pPr>
        <w:rPr>
          <w:rFonts w:asciiTheme="minorHAnsi" w:hAnsiTheme="minorHAnsi"/>
          <w:i/>
        </w:rPr>
      </w:pPr>
    </w:p>
    <w:p w:rsidR="005918F6" w:rsidRPr="00945B52" w:rsidRDefault="005918F6" w:rsidP="003D7198">
      <w:pPr>
        <w:ind w:left="709"/>
        <w:rPr>
          <w:rFonts w:asciiTheme="minorHAnsi" w:hAnsiTheme="minorHAnsi"/>
          <w:i/>
        </w:rPr>
      </w:pPr>
      <w:r w:rsidRPr="003C1602">
        <w:rPr>
          <w:rFonts w:asciiTheme="minorHAnsi" w:hAnsiTheme="minorHAnsi"/>
          <w:i/>
        </w:rPr>
        <w:t>For more detail on PBAC’s view, see section 7 PBAC outcome.</w:t>
      </w:r>
    </w:p>
    <w:p w:rsidR="00C603D4" w:rsidRPr="003C1602" w:rsidRDefault="00B008CC" w:rsidP="00A5390C">
      <w:pPr>
        <w:pStyle w:val="2Sections"/>
        <w:keepNext/>
        <w:jc w:val="both"/>
      </w:pPr>
      <w:r w:rsidRPr="003C1602">
        <w:lastRenderedPageBreak/>
        <w:t>Current situation</w:t>
      </w:r>
    </w:p>
    <w:p w:rsidR="00B008CC" w:rsidRPr="003C1602" w:rsidRDefault="00B008CC" w:rsidP="003D7198">
      <w:pPr>
        <w:pStyle w:val="3Bodytext"/>
        <w:rPr>
          <w:i/>
        </w:rPr>
      </w:pPr>
      <w:r w:rsidRPr="003C1602">
        <w:t xml:space="preserve">The </w:t>
      </w:r>
      <w:r w:rsidR="00F411F5" w:rsidRPr="003C1602">
        <w:t>S</w:t>
      </w:r>
      <w:r w:rsidRPr="003C1602">
        <w:t xml:space="preserve">ponsor of </w:t>
      </w:r>
      <w:proofErr w:type="spellStart"/>
      <w:r w:rsidRPr="003C1602">
        <w:t>Renastep</w:t>
      </w:r>
      <w:proofErr w:type="spellEnd"/>
      <w:r w:rsidRPr="003C1602">
        <w:t>® confirmed that it meets the requirements of foods that have medical purposes as set out under The Australia New Zealand Food Standards Code – Standard 2.9.5</w:t>
      </w:r>
      <w:r w:rsidR="00C54431" w:rsidRPr="003C1602">
        <w:t>:</w:t>
      </w:r>
      <w:r w:rsidRPr="003C1602">
        <w:t xml:space="preserve"> </w:t>
      </w:r>
      <w:r w:rsidR="00C54431" w:rsidRPr="003C1602">
        <w:t>Food for Special Medical P</w:t>
      </w:r>
      <w:r w:rsidRPr="003C1602">
        <w:t>u</w:t>
      </w:r>
      <w:r w:rsidR="00C54431" w:rsidRPr="003C1602">
        <w:t>r</w:t>
      </w:r>
      <w:r w:rsidRPr="003C1602">
        <w:t>poses</w:t>
      </w:r>
      <w:r w:rsidR="003C1602">
        <w:t xml:space="preserve">. </w:t>
      </w:r>
      <w:r w:rsidRPr="003C1602">
        <w:t xml:space="preserve"> </w:t>
      </w:r>
    </w:p>
    <w:p w:rsidR="00F26CC6" w:rsidRPr="003C1602" w:rsidRDefault="00C323EB" w:rsidP="003D7198">
      <w:pPr>
        <w:pStyle w:val="3Bodytext"/>
        <w:rPr>
          <w:i/>
          <w:color w:val="FF0000"/>
        </w:rPr>
      </w:pPr>
      <w:r w:rsidRPr="003C1602">
        <w:t xml:space="preserve">The submission claimed that </w:t>
      </w:r>
      <w:proofErr w:type="spellStart"/>
      <w:r w:rsidRPr="003C1602">
        <w:t>Renastep</w:t>
      </w:r>
      <w:proofErr w:type="spellEnd"/>
      <w:r w:rsidRPr="003C1602">
        <w:t xml:space="preserve"> has a nutritional profile tailored to patient</w:t>
      </w:r>
      <w:r w:rsidR="00F411F5" w:rsidRPr="003C1602">
        <w:t>s</w:t>
      </w:r>
      <w:r w:rsidRPr="003C1602">
        <w:t xml:space="preserve"> from 3 years </w:t>
      </w:r>
      <w:r w:rsidR="00B1447E" w:rsidRPr="003C1602">
        <w:t xml:space="preserve">of age </w:t>
      </w:r>
      <w:r w:rsidRPr="003C1602">
        <w:t>with chronic kidney disease</w:t>
      </w:r>
      <w:r w:rsidR="00DB624C" w:rsidRPr="003C1602">
        <w:t xml:space="preserve"> (CKD)</w:t>
      </w:r>
      <w:r w:rsidRPr="003C1602">
        <w:t xml:space="preserve">. The formulation has a higher protein concentration and </w:t>
      </w:r>
      <w:r w:rsidR="00A47008" w:rsidRPr="003C1602">
        <w:t xml:space="preserve">double the caloric density of the main comparator, </w:t>
      </w:r>
      <w:proofErr w:type="spellStart"/>
      <w:r w:rsidR="00A47008" w:rsidRPr="003C1602">
        <w:t>Renastart</w:t>
      </w:r>
      <w:proofErr w:type="spellEnd"/>
      <w:r w:rsidR="00B55FAF" w:rsidRPr="003C1602">
        <w:t>. The minor submission claimed that th</w:t>
      </w:r>
      <w:r w:rsidR="00F411F5" w:rsidRPr="003C1602">
        <w:t>ese</w:t>
      </w:r>
      <w:r w:rsidR="00B55FAF" w:rsidRPr="003C1602">
        <w:t xml:space="preserve"> </w:t>
      </w:r>
      <w:r w:rsidR="00A47008" w:rsidRPr="003C1602">
        <w:t xml:space="preserve">patients can </w:t>
      </w:r>
      <w:r w:rsidR="00B55FAF" w:rsidRPr="003C1602">
        <w:t>receive adequate protein and calories despite a limited fluid allowance, and taking a lower volume may also help to alleviate the nausea, vomiting and poor appetite which often occur with CKD.</w:t>
      </w:r>
      <w:r w:rsidR="002B1AE6" w:rsidRPr="003C1602">
        <w:t xml:space="preserve"> </w:t>
      </w:r>
    </w:p>
    <w:p w:rsidR="005918F6" w:rsidRPr="00945B52" w:rsidRDefault="00C54431" w:rsidP="003D7198">
      <w:pPr>
        <w:pStyle w:val="3Bodytext"/>
        <w:rPr>
          <w:color w:val="FF0000"/>
        </w:rPr>
      </w:pPr>
      <w:proofErr w:type="spellStart"/>
      <w:r w:rsidRPr="003C1602">
        <w:t>Renastep</w:t>
      </w:r>
      <w:proofErr w:type="spellEnd"/>
      <w:r w:rsidRPr="003C1602">
        <w:t>® has not been considered by PBAC previously</w:t>
      </w:r>
      <w:r w:rsidR="00E10048" w:rsidRPr="003C1602">
        <w:t>.</w:t>
      </w:r>
    </w:p>
    <w:p w:rsidR="005918F6" w:rsidRPr="00945B52" w:rsidRDefault="005918F6" w:rsidP="003D7198">
      <w:pPr>
        <w:pStyle w:val="Bodytextitalics"/>
        <w:numPr>
          <w:ilvl w:val="0"/>
          <w:numId w:val="0"/>
        </w:numPr>
        <w:ind w:left="720"/>
      </w:pPr>
      <w:r w:rsidRPr="003C1602">
        <w:t>For more detail on PBAC’s view, see section 7 PBAC outcome.</w:t>
      </w:r>
    </w:p>
    <w:p w:rsidR="00300B1B" w:rsidRPr="003C1602" w:rsidRDefault="005A3173" w:rsidP="003D7198">
      <w:pPr>
        <w:pStyle w:val="2Sections"/>
        <w:jc w:val="both"/>
        <w:rPr>
          <w:color w:val="FF0000"/>
        </w:rPr>
      </w:pPr>
      <w:r w:rsidRPr="003C1602">
        <w:t>Comparator</w:t>
      </w:r>
      <w:r w:rsidR="0099465B" w:rsidRPr="003C1602">
        <w:t xml:space="preserve"> </w:t>
      </w:r>
    </w:p>
    <w:p w:rsidR="00C35996" w:rsidRPr="003C1602" w:rsidRDefault="00FF2801" w:rsidP="003D7198">
      <w:pPr>
        <w:pStyle w:val="3Bodytext"/>
        <w:rPr>
          <w:i/>
        </w:rPr>
      </w:pPr>
      <w:r w:rsidRPr="003C1602">
        <w:t>The minor submission nominated</w:t>
      </w:r>
      <w:r w:rsidR="00CB1193" w:rsidRPr="003C1602">
        <w:t xml:space="preserve"> </w:t>
      </w:r>
      <w:proofErr w:type="spellStart"/>
      <w:r w:rsidR="0026487D" w:rsidRPr="003C1602">
        <w:t>Ren</w:t>
      </w:r>
      <w:r w:rsidR="0058237D" w:rsidRPr="003C1602">
        <w:t>astart</w:t>
      </w:r>
      <w:proofErr w:type="spellEnd"/>
      <w:r w:rsidR="0058237D" w:rsidRPr="003C1602">
        <w:t xml:space="preserve"> (</w:t>
      </w:r>
      <w:proofErr w:type="spellStart"/>
      <w:r w:rsidR="0058237D" w:rsidRPr="003C1602">
        <w:t>Vitaflo</w:t>
      </w:r>
      <w:proofErr w:type="spellEnd"/>
      <w:r w:rsidR="0026487D" w:rsidRPr="003C1602">
        <w:t xml:space="preserve"> Australia) as the main comparator</w:t>
      </w:r>
      <w:r w:rsidR="00D5633B" w:rsidRPr="003C1602">
        <w:t xml:space="preserve"> as it is therapeutically similar to </w:t>
      </w:r>
      <w:proofErr w:type="spellStart"/>
      <w:r w:rsidR="00D5633B" w:rsidRPr="003C1602">
        <w:t>Renastep</w:t>
      </w:r>
      <w:proofErr w:type="spellEnd"/>
      <w:r w:rsidR="00D5633B" w:rsidRPr="003C1602">
        <w:rPr>
          <w:rFonts w:cstheme="minorHAnsi"/>
        </w:rPr>
        <w:t xml:space="preserve"> and contains long-chain polyunsaturated fatty acid and docosahexaenoic acid (DHA)</w:t>
      </w:r>
      <w:r w:rsidR="00476245" w:rsidRPr="003C1602">
        <w:rPr>
          <w:rFonts w:cstheme="minorHAnsi"/>
        </w:rPr>
        <w:t>.</w:t>
      </w:r>
      <w:r w:rsidR="004904B9" w:rsidRPr="003C1602">
        <w:rPr>
          <w:rFonts w:cstheme="minorHAnsi"/>
        </w:rPr>
        <w:t xml:space="preserve"> </w:t>
      </w:r>
    </w:p>
    <w:p w:rsidR="00254EAE" w:rsidRPr="003C1602" w:rsidRDefault="00254EAE" w:rsidP="003D7198">
      <w:pPr>
        <w:pStyle w:val="3Bodytext"/>
        <w:rPr>
          <w:i/>
        </w:rPr>
      </w:pPr>
      <w:r w:rsidRPr="003C1602">
        <w:t xml:space="preserve">The submission also nominated another comparator, </w:t>
      </w:r>
      <w:proofErr w:type="spellStart"/>
      <w:r w:rsidRPr="003C1602">
        <w:t>Kindergen</w:t>
      </w:r>
      <w:proofErr w:type="spellEnd"/>
      <w:r w:rsidR="000C44F8" w:rsidRPr="003C1602">
        <w:t xml:space="preserve">, but claimed that it is less likely for </w:t>
      </w:r>
      <w:proofErr w:type="spellStart"/>
      <w:r w:rsidR="000C44F8" w:rsidRPr="003C1602">
        <w:t>Renastep</w:t>
      </w:r>
      <w:proofErr w:type="spellEnd"/>
      <w:r w:rsidR="000C44F8" w:rsidRPr="003C1602">
        <w:t xml:space="preserve"> to displace </w:t>
      </w:r>
      <w:proofErr w:type="spellStart"/>
      <w:r w:rsidR="000C44F8" w:rsidRPr="003C1602">
        <w:t>Kindergen</w:t>
      </w:r>
      <w:proofErr w:type="spellEnd"/>
      <w:r w:rsidR="000C44F8" w:rsidRPr="003C1602">
        <w:t xml:space="preserve"> as the lat</w:t>
      </w:r>
      <w:r w:rsidR="00B1447E" w:rsidRPr="003C1602">
        <w:t>t</w:t>
      </w:r>
      <w:r w:rsidR="000C44F8" w:rsidRPr="003C1602">
        <w:t xml:space="preserve">er does not contain DHA or </w:t>
      </w:r>
      <w:r w:rsidR="00B55FAF" w:rsidRPr="003C1602">
        <w:t>arachidonic acid</w:t>
      </w:r>
      <w:r w:rsidRPr="003C1602">
        <w:t xml:space="preserve">. </w:t>
      </w:r>
    </w:p>
    <w:p w:rsidR="00F411F5" w:rsidRPr="003C1602" w:rsidRDefault="00F411F5" w:rsidP="003D7198">
      <w:pPr>
        <w:pStyle w:val="3Bodytext"/>
        <w:rPr>
          <w:i/>
        </w:rPr>
      </w:pPr>
      <w:r w:rsidRPr="003C1602">
        <w:t xml:space="preserve">A comparison of the energy and protein composition of </w:t>
      </w:r>
      <w:proofErr w:type="spellStart"/>
      <w:r w:rsidRPr="003C1602">
        <w:t>Renastep</w:t>
      </w:r>
      <w:proofErr w:type="spellEnd"/>
      <w:r w:rsidRPr="003C1602">
        <w:t xml:space="preserve"> compared to the nominated comparators is provided in Table 1.</w:t>
      </w:r>
    </w:p>
    <w:p w:rsidR="000C44F8" w:rsidRPr="009A7177" w:rsidRDefault="002362E9" w:rsidP="003D7198">
      <w:pPr>
        <w:pStyle w:val="Tabletitles"/>
        <w:rPr>
          <w:rStyle w:val="CommentReference"/>
          <w:b w:val="0"/>
          <w:sz w:val="20"/>
          <w:szCs w:val="20"/>
        </w:rPr>
      </w:pPr>
      <w:r w:rsidRPr="003C1602">
        <w:rPr>
          <w:rStyle w:val="CommentReference"/>
          <w:sz w:val="20"/>
          <w:szCs w:val="20"/>
        </w:rPr>
        <w:t>Table 1: Nutritional c</w:t>
      </w:r>
      <w:r w:rsidR="00627B4C" w:rsidRPr="003C1602">
        <w:rPr>
          <w:rStyle w:val="CommentReference"/>
          <w:sz w:val="20"/>
          <w:szCs w:val="20"/>
        </w:rPr>
        <w:t xml:space="preserve">omposition of </w:t>
      </w:r>
      <w:proofErr w:type="spellStart"/>
      <w:r w:rsidR="00627B4C" w:rsidRPr="003C1602">
        <w:rPr>
          <w:rStyle w:val="CommentReference"/>
          <w:sz w:val="20"/>
          <w:szCs w:val="20"/>
        </w:rPr>
        <w:t>Renastep</w:t>
      </w:r>
      <w:proofErr w:type="spellEnd"/>
      <w:r w:rsidR="00627B4C" w:rsidRPr="003C1602">
        <w:rPr>
          <w:rStyle w:val="CommentReference"/>
          <w:sz w:val="20"/>
          <w:szCs w:val="20"/>
        </w:rPr>
        <w:t xml:space="preserve"> and comparators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8"/>
        <w:gridCol w:w="1408"/>
        <w:gridCol w:w="1410"/>
        <w:gridCol w:w="2660"/>
      </w:tblGrid>
      <w:tr w:rsidR="00627B4C" w:rsidRPr="00806377" w:rsidTr="003D7198">
        <w:tc>
          <w:tcPr>
            <w:tcW w:w="1962" w:type="pct"/>
          </w:tcPr>
          <w:p w:rsidR="00627B4C" w:rsidRPr="003D7198" w:rsidRDefault="00627B4C" w:rsidP="003D7198">
            <w:pPr>
              <w:pStyle w:val="TableText0"/>
              <w:rPr>
                <w:b/>
              </w:rPr>
            </w:pPr>
            <w:r w:rsidRPr="003D7198">
              <w:rPr>
                <w:b/>
              </w:rPr>
              <w:t xml:space="preserve">Nutrient per 100ml  </w:t>
            </w:r>
          </w:p>
        </w:tc>
        <w:tc>
          <w:tcPr>
            <w:tcW w:w="781" w:type="pct"/>
          </w:tcPr>
          <w:p w:rsidR="00627B4C" w:rsidRPr="003D7198" w:rsidRDefault="00627B4C" w:rsidP="003D7198">
            <w:pPr>
              <w:pStyle w:val="TableText0"/>
              <w:rPr>
                <w:b/>
              </w:rPr>
            </w:pPr>
            <w:proofErr w:type="spellStart"/>
            <w:r w:rsidRPr="003D7198">
              <w:rPr>
                <w:b/>
              </w:rPr>
              <w:t>Renastep</w:t>
            </w:r>
            <w:proofErr w:type="spellEnd"/>
            <w:r w:rsidRPr="003D7198">
              <w:rPr>
                <w:b/>
              </w:rPr>
              <w:t xml:space="preserve">   </w:t>
            </w:r>
          </w:p>
        </w:tc>
        <w:tc>
          <w:tcPr>
            <w:tcW w:w="782" w:type="pct"/>
          </w:tcPr>
          <w:p w:rsidR="00627B4C" w:rsidRPr="003D7198" w:rsidRDefault="00627B4C" w:rsidP="003D7198">
            <w:pPr>
              <w:pStyle w:val="TableText0"/>
              <w:rPr>
                <w:b/>
              </w:rPr>
            </w:pPr>
            <w:proofErr w:type="spellStart"/>
            <w:r w:rsidRPr="003D7198">
              <w:rPr>
                <w:b/>
              </w:rPr>
              <w:t>Renastart</w:t>
            </w:r>
            <w:proofErr w:type="spellEnd"/>
            <w:r w:rsidRPr="003D7198">
              <w:rPr>
                <w:b/>
              </w:rPr>
              <w:t xml:space="preserve">* </w:t>
            </w:r>
          </w:p>
        </w:tc>
        <w:tc>
          <w:tcPr>
            <w:tcW w:w="1475" w:type="pct"/>
          </w:tcPr>
          <w:p w:rsidR="00627B4C" w:rsidRPr="003D7198" w:rsidRDefault="00627B4C" w:rsidP="003D7198">
            <w:pPr>
              <w:pStyle w:val="TableText0"/>
              <w:rPr>
                <w:b/>
              </w:rPr>
            </w:pPr>
            <w:proofErr w:type="spellStart"/>
            <w:r w:rsidRPr="003D7198">
              <w:rPr>
                <w:b/>
              </w:rPr>
              <w:t>Kindergen</w:t>
            </w:r>
            <w:proofErr w:type="spellEnd"/>
            <w:r w:rsidRPr="003D7198">
              <w:rPr>
                <w:b/>
              </w:rPr>
              <w:t xml:space="preserve">** </w:t>
            </w:r>
          </w:p>
        </w:tc>
      </w:tr>
      <w:tr w:rsidR="00627B4C" w:rsidRPr="00806377" w:rsidTr="003D7198">
        <w:tc>
          <w:tcPr>
            <w:tcW w:w="1962" w:type="pct"/>
          </w:tcPr>
          <w:p w:rsidR="00627B4C" w:rsidRPr="00D301C5" w:rsidRDefault="00627B4C" w:rsidP="003D7198">
            <w:pPr>
              <w:pStyle w:val="TableText0"/>
            </w:pPr>
            <w:r w:rsidRPr="00D301C5">
              <w:t xml:space="preserve">Energy </w:t>
            </w:r>
            <w:r w:rsidR="002362E9" w:rsidRPr="00D301C5">
              <w:t>(</w:t>
            </w:r>
            <w:r w:rsidRPr="00D301C5">
              <w:t>kJ</w:t>
            </w:r>
            <w:r w:rsidR="002362E9" w:rsidRPr="00D301C5">
              <w:t>)</w:t>
            </w:r>
          </w:p>
          <w:p w:rsidR="00627B4C" w:rsidRPr="00D301C5" w:rsidRDefault="002362E9" w:rsidP="00DC4A7E">
            <w:pPr>
              <w:pStyle w:val="TableText0"/>
              <w:ind w:left="594"/>
            </w:pPr>
            <w:r w:rsidRPr="00D301C5">
              <w:t>(</w:t>
            </w:r>
            <w:r w:rsidR="00627B4C" w:rsidRPr="00D301C5">
              <w:t>kcal</w:t>
            </w:r>
            <w:r w:rsidRPr="00D301C5">
              <w:t>)</w:t>
            </w:r>
          </w:p>
        </w:tc>
        <w:tc>
          <w:tcPr>
            <w:tcW w:w="781" w:type="pct"/>
          </w:tcPr>
          <w:p w:rsidR="00627B4C" w:rsidRPr="00D301C5" w:rsidRDefault="00627B4C" w:rsidP="003D7198">
            <w:pPr>
              <w:pStyle w:val="TableText0"/>
            </w:pPr>
            <w:r w:rsidRPr="00D301C5">
              <w:t>836</w:t>
            </w:r>
          </w:p>
          <w:p w:rsidR="00627B4C" w:rsidRPr="00D301C5" w:rsidRDefault="00627B4C" w:rsidP="003D7198">
            <w:pPr>
              <w:pStyle w:val="TableText0"/>
            </w:pPr>
            <w:r w:rsidRPr="00D301C5">
              <w:t>200</w:t>
            </w:r>
          </w:p>
        </w:tc>
        <w:tc>
          <w:tcPr>
            <w:tcW w:w="782" w:type="pct"/>
          </w:tcPr>
          <w:p w:rsidR="00627B4C" w:rsidRPr="00D301C5" w:rsidRDefault="00627B4C" w:rsidP="003D7198">
            <w:pPr>
              <w:pStyle w:val="TableText0"/>
            </w:pPr>
            <w:r w:rsidRPr="00D301C5">
              <w:t>414</w:t>
            </w:r>
          </w:p>
          <w:p w:rsidR="00627B4C" w:rsidRPr="00D301C5" w:rsidRDefault="00627B4C" w:rsidP="003D7198">
            <w:pPr>
              <w:pStyle w:val="TableText0"/>
            </w:pPr>
            <w:r w:rsidRPr="00D301C5">
              <w:t>99</w:t>
            </w:r>
          </w:p>
        </w:tc>
        <w:tc>
          <w:tcPr>
            <w:tcW w:w="1475" w:type="pct"/>
          </w:tcPr>
          <w:p w:rsidR="00627B4C" w:rsidRPr="00D301C5" w:rsidRDefault="00627B4C" w:rsidP="003D7198">
            <w:pPr>
              <w:pStyle w:val="TableText0"/>
            </w:pPr>
            <w:r w:rsidRPr="00D301C5">
              <w:t>421</w:t>
            </w:r>
          </w:p>
          <w:p w:rsidR="00627B4C" w:rsidRPr="00D301C5" w:rsidRDefault="00627B4C" w:rsidP="003D7198">
            <w:pPr>
              <w:pStyle w:val="TableText0"/>
            </w:pPr>
            <w:r w:rsidRPr="00D301C5">
              <w:t>101</w:t>
            </w:r>
          </w:p>
        </w:tc>
      </w:tr>
      <w:tr w:rsidR="00627B4C" w:rsidRPr="00806377" w:rsidTr="003D7198">
        <w:tc>
          <w:tcPr>
            <w:tcW w:w="1962" w:type="pct"/>
          </w:tcPr>
          <w:p w:rsidR="00627B4C" w:rsidRPr="00D301C5" w:rsidRDefault="00627B4C" w:rsidP="003D7198">
            <w:pPr>
              <w:pStyle w:val="TableText0"/>
            </w:pPr>
            <w:r w:rsidRPr="00D301C5">
              <w:t xml:space="preserve">Protein </w:t>
            </w:r>
            <w:r w:rsidR="002362E9" w:rsidRPr="00D301C5">
              <w:t>(</w:t>
            </w:r>
            <w:r w:rsidRPr="00D301C5">
              <w:t>g</w:t>
            </w:r>
            <w:r w:rsidR="002362E9" w:rsidRPr="00D301C5">
              <w:t>)</w:t>
            </w:r>
          </w:p>
        </w:tc>
        <w:tc>
          <w:tcPr>
            <w:tcW w:w="781" w:type="pct"/>
          </w:tcPr>
          <w:p w:rsidR="00627B4C" w:rsidRPr="00D301C5" w:rsidRDefault="00627B4C" w:rsidP="003D7198">
            <w:pPr>
              <w:pStyle w:val="TableText0"/>
            </w:pPr>
            <w:r w:rsidRPr="00D301C5">
              <w:t>4.0</w:t>
            </w:r>
          </w:p>
        </w:tc>
        <w:tc>
          <w:tcPr>
            <w:tcW w:w="782" w:type="pct"/>
          </w:tcPr>
          <w:p w:rsidR="00627B4C" w:rsidRPr="00D301C5" w:rsidRDefault="00627B4C" w:rsidP="003D7198">
            <w:pPr>
              <w:pStyle w:val="TableText0"/>
            </w:pPr>
            <w:r w:rsidRPr="00D301C5">
              <w:t>1.5</w:t>
            </w:r>
          </w:p>
        </w:tc>
        <w:tc>
          <w:tcPr>
            <w:tcW w:w="1475" w:type="pct"/>
          </w:tcPr>
          <w:p w:rsidR="00627B4C" w:rsidRPr="00D301C5" w:rsidRDefault="00627B4C" w:rsidP="003D7198">
            <w:pPr>
              <w:pStyle w:val="TableText0"/>
            </w:pPr>
            <w:r w:rsidRPr="00D301C5">
              <w:t>1.5</w:t>
            </w:r>
          </w:p>
        </w:tc>
      </w:tr>
    </w:tbl>
    <w:p w:rsidR="00627B4C" w:rsidRPr="003C1602" w:rsidRDefault="00627B4C" w:rsidP="003D7198">
      <w:pPr>
        <w:pStyle w:val="TableFooter"/>
        <w:widowControl/>
      </w:pPr>
      <w:r w:rsidRPr="003C1602">
        <w:rPr>
          <w:b/>
        </w:rPr>
        <w:t>*</w:t>
      </w:r>
      <w:proofErr w:type="spellStart"/>
      <w:r w:rsidRPr="003C1602">
        <w:t>Renastart</w:t>
      </w:r>
      <w:proofErr w:type="spellEnd"/>
      <w:r w:rsidRPr="003C1602">
        <w:t xml:space="preserve"> Standard dilution as per manufacturer’s recommendation: 20% w/v (20g powder made up to 100ml with water) </w:t>
      </w:r>
    </w:p>
    <w:p w:rsidR="00627B4C" w:rsidRPr="003C1602" w:rsidRDefault="00627B4C" w:rsidP="003D7198">
      <w:pPr>
        <w:pStyle w:val="TableFooter"/>
        <w:widowControl/>
      </w:pPr>
      <w:r w:rsidRPr="003C1602">
        <w:rPr>
          <w:b/>
        </w:rPr>
        <w:t>**</w:t>
      </w:r>
      <w:proofErr w:type="spellStart"/>
      <w:r w:rsidRPr="003C1602">
        <w:t>Kindergen</w:t>
      </w:r>
      <w:proofErr w:type="spellEnd"/>
      <w:r w:rsidR="0059679A" w:rsidRPr="003C1602">
        <w:t xml:space="preserve"> </w:t>
      </w:r>
      <w:r w:rsidRPr="003C1602">
        <w:t>Standard dilution as per manufacturer’s recommendation: 20% w/v (20g powder made up to 100ml with water)</w:t>
      </w:r>
    </w:p>
    <w:p w:rsidR="00627B4C" w:rsidRPr="003C1602" w:rsidRDefault="0059679A" w:rsidP="003D7198">
      <w:pPr>
        <w:pStyle w:val="TableFooter"/>
        <w:widowControl/>
      </w:pPr>
      <w:r w:rsidRPr="003C1602">
        <w:t xml:space="preserve">[Source: </w:t>
      </w:r>
      <w:r w:rsidR="00627B4C" w:rsidRPr="003C1602">
        <w:t>Extracted from submission appendix 1</w:t>
      </w:r>
      <w:r w:rsidRPr="003C1602">
        <w:t>]</w:t>
      </w:r>
    </w:p>
    <w:p w:rsidR="005918F6" w:rsidRPr="003C1602" w:rsidRDefault="005918F6" w:rsidP="003D7198">
      <w:pPr>
        <w:jc w:val="both"/>
        <w:rPr>
          <w:rFonts w:ascii="Arial Narrow" w:hAnsi="Arial Narrow"/>
          <w:sz w:val="18"/>
          <w:szCs w:val="16"/>
        </w:rPr>
      </w:pPr>
    </w:p>
    <w:p w:rsidR="005918F6" w:rsidRPr="003C1602" w:rsidRDefault="005918F6" w:rsidP="003D7198">
      <w:pPr>
        <w:spacing w:after="120"/>
        <w:ind w:firstLine="709"/>
        <w:rPr>
          <w:rFonts w:ascii="Arial Narrow" w:hAnsi="Arial Narrow"/>
          <w:i/>
          <w:sz w:val="18"/>
          <w:szCs w:val="16"/>
        </w:rPr>
      </w:pPr>
      <w:r w:rsidRPr="003C1602">
        <w:rPr>
          <w:rFonts w:asciiTheme="minorHAnsi" w:hAnsiTheme="minorHAnsi"/>
          <w:i/>
        </w:rPr>
        <w:t>For more detail on PBAC’s view, see section 7 PBAC outcome.</w:t>
      </w:r>
    </w:p>
    <w:p w:rsidR="000B558D" w:rsidRPr="003C1602" w:rsidRDefault="008D7A41" w:rsidP="003D7198">
      <w:pPr>
        <w:pStyle w:val="2Sections"/>
      </w:pPr>
      <w:r w:rsidRPr="003C1602">
        <w:t>C</w:t>
      </w:r>
      <w:r w:rsidR="00D84934" w:rsidRPr="003C1602">
        <w:t>onsideration of the evidence</w:t>
      </w:r>
    </w:p>
    <w:p w:rsidR="002F5EE4" w:rsidRPr="00DA064C" w:rsidRDefault="002F5EE4" w:rsidP="003D7198">
      <w:pPr>
        <w:pStyle w:val="Heading2"/>
        <w:keepLines/>
        <w:spacing w:before="240" w:after="120"/>
        <w:jc w:val="both"/>
        <w:rPr>
          <w:rFonts w:asciiTheme="minorHAnsi" w:eastAsiaTheme="majorEastAsia" w:hAnsiTheme="minorHAnsi" w:cstheme="majorBidi"/>
          <w:sz w:val="28"/>
          <w:szCs w:val="28"/>
          <w:lang w:eastAsia="en-US"/>
        </w:rPr>
      </w:pPr>
      <w:r w:rsidRPr="00DA064C">
        <w:rPr>
          <w:rFonts w:asciiTheme="minorHAnsi" w:eastAsiaTheme="majorEastAsia" w:hAnsiTheme="minorHAnsi" w:cstheme="majorBidi"/>
          <w:sz w:val="28"/>
          <w:szCs w:val="28"/>
          <w:lang w:eastAsia="en-US"/>
        </w:rPr>
        <w:t>Sponsor hearing</w:t>
      </w:r>
    </w:p>
    <w:p w:rsidR="002F5EE4" w:rsidRPr="003C1602" w:rsidRDefault="002F5EE4" w:rsidP="003D7198">
      <w:pPr>
        <w:pStyle w:val="3Bodytext"/>
        <w:rPr>
          <w:snapToGrid w:val="0"/>
        </w:rPr>
      </w:pPr>
      <w:r w:rsidRPr="003C1602">
        <w:rPr>
          <w:snapToGrid w:val="0"/>
        </w:rPr>
        <w:t>There was no hearing for this item as it was a minor submission.</w:t>
      </w:r>
    </w:p>
    <w:p w:rsidR="002F5EE4" w:rsidRPr="00DA064C" w:rsidRDefault="002F5EE4" w:rsidP="003D7198">
      <w:pPr>
        <w:pStyle w:val="Heading2"/>
        <w:keepLines/>
        <w:spacing w:before="240" w:after="120"/>
        <w:jc w:val="both"/>
        <w:rPr>
          <w:rFonts w:asciiTheme="minorHAnsi" w:eastAsiaTheme="majorEastAsia" w:hAnsiTheme="minorHAnsi" w:cstheme="majorBidi"/>
          <w:sz w:val="28"/>
          <w:szCs w:val="28"/>
          <w:lang w:eastAsia="en-US"/>
        </w:rPr>
      </w:pPr>
      <w:r w:rsidRPr="00DA064C">
        <w:rPr>
          <w:rFonts w:asciiTheme="minorHAnsi" w:eastAsiaTheme="majorEastAsia" w:hAnsiTheme="minorHAnsi" w:cstheme="majorBidi"/>
          <w:sz w:val="28"/>
          <w:szCs w:val="28"/>
          <w:lang w:eastAsia="en-US"/>
        </w:rPr>
        <w:lastRenderedPageBreak/>
        <w:t>Consumer comments</w:t>
      </w:r>
    </w:p>
    <w:p w:rsidR="002F5EE4" w:rsidRPr="003C1602" w:rsidRDefault="002F5EE4" w:rsidP="003D7198">
      <w:pPr>
        <w:pStyle w:val="3Bodytext"/>
        <w:rPr>
          <w:snapToGrid w:val="0"/>
        </w:rPr>
      </w:pPr>
      <w:r w:rsidRPr="003C1602">
        <w:rPr>
          <w:snapToGrid w:val="0"/>
        </w:rPr>
        <w:t>The PBAC noted that no consumer comments were rec</w:t>
      </w:r>
      <w:r w:rsidR="00C56B55" w:rsidRPr="003C1602">
        <w:rPr>
          <w:snapToGrid w:val="0"/>
        </w:rPr>
        <w:t>eived for this item</w:t>
      </w:r>
      <w:r w:rsidRPr="003C1602">
        <w:rPr>
          <w:snapToGrid w:val="0"/>
        </w:rPr>
        <w:t>.</w:t>
      </w:r>
    </w:p>
    <w:p w:rsidR="00693DFB" w:rsidRPr="003C1602" w:rsidRDefault="00D84934" w:rsidP="003D7198">
      <w:pPr>
        <w:pStyle w:val="Heading2"/>
        <w:keepLines/>
        <w:spacing w:before="240" w:after="120"/>
        <w:jc w:val="both"/>
        <w:rPr>
          <w:rFonts w:asciiTheme="minorHAnsi" w:eastAsiaTheme="majorEastAsia" w:hAnsiTheme="minorHAnsi" w:cstheme="majorBidi"/>
          <w:sz w:val="28"/>
          <w:szCs w:val="28"/>
          <w:lang w:eastAsia="en-US"/>
        </w:rPr>
      </w:pPr>
      <w:r w:rsidRPr="003C1602">
        <w:rPr>
          <w:rFonts w:asciiTheme="minorHAnsi" w:eastAsiaTheme="majorEastAsia" w:hAnsiTheme="minorHAnsi" w:cstheme="majorBidi"/>
          <w:sz w:val="28"/>
          <w:szCs w:val="28"/>
          <w:lang w:eastAsia="en-US"/>
        </w:rPr>
        <w:t>Clinical trials</w:t>
      </w:r>
      <w:r w:rsidR="0099465B" w:rsidRPr="003C1602">
        <w:rPr>
          <w:rFonts w:asciiTheme="minorHAnsi" w:eastAsiaTheme="majorEastAsia" w:hAnsiTheme="minorHAnsi" w:cstheme="majorBidi"/>
          <w:sz w:val="28"/>
          <w:szCs w:val="28"/>
          <w:lang w:eastAsia="en-US"/>
        </w:rPr>
        <w:t xml:space="preserve"> </w:t>
      </w:r>
    </w:p>
    <w:p w:rsidR="0076420C" w:rsidRPr="003C1602" w:rsidRDefault="00980B0E" w:rsidP="003D7198">
      <w:pPr>
        <w:pStyle w:val="3Bodytext"/>
        <w:rPr>
          <w:i/>
        </w:rPr>
      </w:pPr>
      <w:r w:rsidRPr="003C1602">
        <w:t xml:space="preserve">The minor submission </w:t>
      </w:r>
      <w:r w:rsidR="002D472B" w:rsidRPr="003C1602">
        <w:t xml:space="preserve">included a clinical trial examining the acceptability of </w:t>
      </w:r>
      <w:proofErr w:type="spellStart"/>
      <w:r w:rsidR="002D472B" w:rsidRPr="003C1602">
        <w:t>Renastep</w:t>
      </w:r>
      <w:proofErr w:type="spellEnd"/>
      <w:r w:rsidR="006F4B69" w:rsidRPr="003C1602">
        <w:t xml:space="preserve"> in </w:t>
      </w:r>
      <w:r w:rsidR="00BC754F" w:rsidRPr="003C1602">
        <w:t xml:space="preserve">11 </w:t>
      </w:r>
      <w:r w:rsidR="006F4B69" w:rsidRPr="003C1602">
        <w:t>patients aged between 3 and 18 years with CKD</w:t>
      </w:r>
      <w:r w:rsidR="002D472B" w:rsidRPr="003C1602">
        <w:t xml:space="preserve">. The trial was conducted </w:t>
      </w:r>
      <w:r w:rsidR="009F12FC" w:rsidRPr="003C1602">
        <w:t>over</w:t>
      </w:r>
      <w:r w:rsidR="002D472B" w:rsidRPr="003C1602">
        <w:t xml:space="preserve"> three specialist paediatric renal centres in the UK</w:t>
      </w:r>
      <w:r w:rsidR="00B55FAF" w:rsidRPr="003C1602">
        <w:t>:</w:t>
      </w:r>
      <w:r w:rsidR="002D472B" w:rsidRPr="003C1602">
        <w:t xml:space="preserve"> Southampton Children’s Hospital, Alder Hey Children’s Hospital and Birmingham Children’s Hospital. </w:t>
      </w:r>
    </w:p>
    <w:p w:rsidR="002D472B" w:rsidRPr="003C1602" w:rsidRDefault="00B01871" w:rsidP="003D7198">
      <w:pPr>
        <w:pStyle w:val="3Bodytext"/>
        <w:rPr>
          <w:i/>
        </w:rPr>
      </w:pPr>
      <w:r w:rsidRPr="003C1602">
        <w:t>T</w:t>
      </w:r>
      <w:r w:rsidR="009F12FC" w:rsidRPr="003C1602">
        <w:t>he trial</w:t>
      </w:r>
      <w:r w:rsidR="006F4B69" w:rsidRPr="003C1602">
        <w:t xml:space="preserve"> was a descriptive study, which</w:t>
      </w:r>
      <w:r w:rsidR="009F12FC" w:rsidRPr="003C1602">
        <w:t xml:space="preserve"> did not provide </w:t>
      </w:r>
      <w:r w:rsidR="00F411F5" w:rsidRPr="003C1602">
        <w:t xml:space="preserve">a </w:t>
      </w:r>
      <w:r w:rsidR="009F12FC" w:rsidRPr="003C1602">
        <w:t xml:space="preserve">direct comparison between </w:t>
      </w:r>
      <w:proofErr w:type="spellStart"/>
      <w:r w:rsidR="009F12FC" w:rsidRPr="003C1602">
        <w:t>Renastep</w:t>
      </w:r>
      <w:proofErr w:type="spellEnd"/>
      <w:r w:rsidR="009F12FC" w:rsidRPr="003C1602">
        <w:t xml:space="preserve"> and </w:t>
      </w:r>
      <w:proofErr w:type="spellStart"/>
      <w:r w:rsidR="006F4B69" w:rsidRPr="003C1602">
        <w:t>Renastart</w:t>
      </w:r>
      <w:proofErr w:type="spellEnd"/>
      <w:r w:rsidR="006F4B69" w:rsidRPr="003C1602">
        <w:t xml:space="preserve">, </w:t>
      </w:r>
      <w:r w:rsidR="009F12FC" w:rsidRPr="003C1602">
        <w:t xml:space="preserve">the main comparator. </w:t>
      </w:r>
      <w:r w:rsidR="00525180" w:rsidRPr="003C1602">
        <w:t xml:space="preserve">The study did not investigate the potential benefits from increased protein concentration and caloric density as claimed by the submission. </w:t>
      </w:r>
      <w:r w:rsidR="00BC754F" w:rsidRPr="003C1602">
        <w:t xml:space="preserve">The study found that </w:t>
      </w:r>
      <w:proofErr w:type="spellStart"/>
      <w:r w:rsidR="00BC754F" w:rsidRPr="003C1602">
        <w:t>Renastep</w:t>
      </w:r>
      <w:proofErr w:type="spellEnd"/>
      <w:r w:rsidR="00BC754F" w:rsidRPr="003C1602">
        <w:t xml:space="preserve"> was useful in helping patients adhere to their complex dietary regime, due to its read</w:t>
      </w:r>
      <w:r w:rsidR="00982FF0" w:rsidRPr="003C1602">
        <w:t>y</w:t>
      </w:r>
      <w:r w:rsidR="00BC754F" w:rsidRPr="003C1602">
        <w:t>-to-use formulation.</w:t>
      </w:r>
    </w:p>
    <w:p w:rsidR="005A3173" w:rsidRPr="003C1602" w:rsidRDefault="005A3173" w:rsidP="003D7198">
      <w:pPr>
        <w:pStyle w:val="Heading2"/>
        <w:keepLines/>
        <w:spacing w:before="240" w:after="120"/>
        <w:jc w:val="both"/>
        <w:rPr>
          <w:rFonts w:asciiTheme="minorHAnsi" w:eastAsiaTheme="majorEastAsia" w:hAnsiTheme="minorHAnsi" w:cstheme="majorBidi"/>
          <w:sz w:val="28"/>
          <w:szCs w:val="28"/>
          <w:lang w:eastAsia="en-US"/>
        </w:rPr>
      </w:pPr>
      <w:r w:rsidRPr="003C1602">
        <w:rPr>
          <w:rFonts w:asciiTheme="minorHAnsi" w:eastAsiaTheme="majorEastAsia" w:hAnsiTheme="minorHAnsi" w:cstheme="majorBidi"/>
          <w:sz w:val="28"/>
          <w:szCs w:val="28"/>
          <w:lang w:eastAsia="en-US"/>
        </w:rPr>
        <w:t>Economic analysis</w:t>
      </w:r>
    </w:p>
    <w:p w:rsidR="00F00260" w:rsidRPr="003C1602" w:rsidRDefault="00CF6D02" w:rsidP="003D7198">
      <w:pPr>
        <w:pStyle w:val="3Bodytext"/>
      </w:pPr>
      <w:r w:rsidRPr="003C1602">
        <w:t>The submission claimed there is an unmet clinical need for the proposed listing, a</w:t>
      </w:r>
      <w:r w:rsidR="00C67993" w:rsidRPr="003C1602">
        <w:t>s there is no product listed on the PBS for use in the dietary management of CKD for children aged between 10</w:t>
      </w:r>
      <w:r w:rsidR="00BC754F" w:rsidRPr="003C1602">
        <w:t xml:space="preserve"> and </w:t>
      </w:r>
      <w:r w:rsidR="00C67993" w:rsidRPr="003C1602">
        <w:t>18 years</w:t>
      </w:r>
      <w:r w:rsidRPr="003C1602">
        <w:t xml:space="preserve">. </w:t>
      </w:r>
      <w:r w:rsidR="00C67993" w:rsidRPr="003C1602">
        <w:t xml:space="preserve">For this reason, the </w:t>
      </w:r>
      <w:r w:rsidR="00F411F5" w:rsidRPr="003C1602">
        <w:t>S</w:t>
      </w:r>
      <w:r w:rsidR="00C67993" w:rsidRPr="003C1602">
        <w:t xml:space="preserve">ponsor requested to list </w:t>
      </w:r>
      <w:proofErr w:type="spellStart"/>
      <w:r w:rsidR="00C67993" w:rsidRPr="003C1602">
        <w:t>Renastep</w:t>
      </w:r>
      <w:proofErr w:type="spellEnd"/>
      <w:r w:rsidR="00C67993" w:rsidRPr="003C1602">
        <w:t xml:space="preserve"> on a cost minimisation basis </w:t>
      </w:r>
      <w:r w:rsidR="004F1E19" w:rsidRPr="003C1602">
        <w:t xml:space="preserve">to </w:t>
      </w:r>
      <w:proofErr w:type="spellStart"/>
      <w:r w:rsidR="004F1E19" w:rsidRPr="003C1602">
        <w:t>Renastart</w:t>
      </w:r>
      <w:proofErr w:type="spellEnd"/>
      <w:r w:rsidR="004F1E19" w:rsidRPr="003C1602">
        <w:t xml:space="preserve"> on a </w:t>
      </w:r>
      <w:r w:rsidR="00C67993" w:rsidRPr="003C1602">
        <w:t>per calorie equivalent</w:t>
      </w:r>
      <w:r w:rsidR="004F1E19" w:rsidRPr="003C1602">
        <w:t xml:space="preserve"> basis,</w:t>
      </w:r>
      <w:r w:rsidR="00C67993" w:rsidRPr="003C1602">
        <w:t xml:space="preserve"> plus </w:t>
      </w:r>
      <w:r w:rsidR="007C4D02" w:rsidRPr="003C1602">
        <w:t xml:space="preserve">a </w:t>
      </w:r>
      <w:r w:rsidR="00D968D9">
        <w:rPr>
          <w:noProof/>
          <w:color w:val="000000"/>
          <w:highlight w:val="black"/>
        </w:rPr>
        <w:t>'''''</w:t>
      </w:r>
      <w:r w:rsidR="00C67993" w:rsidRPr="003C1602">
        <w:t>%</w:t>
      </w:r>
      <w:r w:rsidR="00AF441B" w:rsidRPr="003C1602">
        <w:t xml:space="preserve"> </w:t>
      </w:r>
      <w:r w:rsidR="00F279F3" w:rsidRPr="003C1602">
        <w:t>price increase</w:t>
      </w:r>
      <w:r w:rsidR="00F411F5" w:rsidRPr="003C1602">
        <w:t>, as shown in Table 2</w:t>
      </w:r>
      <w:r w:rsidR="00C67993" w:rsidRPr="003C1602">
        <w:t>.</w:t>
      </w:r>
    </w:p>
    <w:p w:rsidR="003D7198" w:rsidRDefault="003D7198">
      <w:pPr>
        <w:rPr>
          <w:rStyle w:val="CommentReference"/>
          <w:rFonts w:ascii="Arial Narrow" w:hAnsi="Arial Narrow"/>
          <w:b/>
          <w:sz w:val="20"/>
          <w:szCs w:val="20"/>
        </w:rPr>
      </w:pPr>
      <w:bookmarkStart w:id="2" w:name="_Hlk3368989"/>
      <w:bookmarkStart w:id="3" w:name="_Hlk17014142"/>
      <w:r>
        <w:rPr>
          <w:rStyle w:val="CommentReference"/>
          <w:sz w:val="20"/>
          <w:szCs w:val="20"/>
        </w:rPr>
        <w:br w:type="page"/>
      </w:r>
    </w:p>
    <w:p w:rsidR="00801BBA" w:rsidRPr="003D7198" w:rsidRDefault="00801BBA" w:rsidP="003D7198">
      <w:pPr>
        <w:pStyle w:val="Tabletitles"/>
        <w:rPr>
          <w:rStyle w:val="CommentReference"/>
          <w:sz w:val="20"/>
          <w:szCs w:val="22"/>
        </w:rPr>
      </w:pPr>
      <w:r w:rsidRPr="003C1602">
        <w:rPr>
          <w:rStyle w:val="CommentReference"/>
          <w:sz w:val="20"/>
          <w:szCs w:val="20"/>
        </w:rPr>
        <w:lastRenderedPageBreak/>
        <w:t xml:space="preserve">Table </w:t>
      </w:r>
      <w:r w:rsidR="00F411F5" w:rsidRPr="003C1602">
        <w:rPr>
          <w:rStyle w:val="CommentReference"/>
          <w:sz w:val="20"/>
          <w:szCs w:val="20"/>
        </w:rPr>
        <w:t>2</w:t>
      </w:r>
      <w:r w:rsidRPr="00DC00D2">
        <w:rPr>
          <w:rStyle w:val="CommentReference"/>
          <w:sz w:val="20"/>
          <w:szCs w:val="20"/>
        </w:rPr>
        <w:t xml:space="preserve">: Pricing Structure for </w:t>
      </w:r>
      <w:proofErr w:type="spellStart"/>
      <w:r w:rsidRPr="00DC00D2">
        <w:rPr>
          <w:rStyle w:val="CommentReference"/>
          <w:sz w:val="20"/>
          <w:szCs w:val="20"/>
        </w:rPr>
        <w:t>Renastep</w:t>
      </w:r>
      <w:proofErr w:type="spellEnd"/>
      <w:r w:rsidRPr="003C1602">
        <w:rPr>
          <w:rStyle w:val="CommentReference"/>
          <w:sz w:val="20"/>
          <w:szCs w:val="20"/>
        </w:rPr>
        <w:t xml:space="preserve"> </w:t>
      </w:r>
    </w:p>
    <w:tbl>
      <w:tblPr>
        <w:tblpPr w:leftFromText="180" w:rightFromText="180" w:vertAnchor="text" w:horzAnchor="margin" w:tblpY="1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3111A0" w:rsidRPr="003C1602" w:rsidTr="003D7198">
        <w:tc>
          <w:tcPr>
            <w:tcW w:w="1250" w:type="pct"/>
            <w:shd w:val="clear" w:color="auto" w:fill="FFFFFF" w:themeFill="background1"/>
          </w:tcPr>
          <w:p w:rsidR="003111A0" w:rsidRPr="003D7198" w:rsidRDefault="003111A0" w:rsidP="003D7198">
            <w:pPr>
              <w:pStyle w:val="TableText0"/>
              <w:keepNext/>
              <w:keepLines/>
              <w:rPr>
                <w:b/>
              </w:rPr>
            </w:pPr>
          </w:p>
        </w:tc>
        <w:tc>
          <w:tcPr>
            <w:tcW w:w="1250" w:type="pct"/>
            <w:shd w:val="clear" w:color="auto" w:fill="FFFFFF" w:themeFill="background1"/>
          </w:tcPr>
          <w:p w:rsidR="003111A0" w:rsidRPr="003D7198" w:rsidRDefault="003111A0" w:rsidP="003D7198">
            <w:pPr>
              <w:pStyle w:val="TableText0"/>
              <w:keepNext/>
              <w:keepLines/>
              <w:rPr>
                <w:b/>
              </w:rPr>
            </w:pPr>
            <w:proofErr w:type="spellStart"/>
            <w:r w:rsidRPr="003D7198">
              <w:rPr>
                <w:b/>
              </w:rPr>
              <w:t>Renastart</w:t>
            </w:r>
            <w:proofErr w:type="spellEnd"/>
          </w:p>
          <w:p w:rsidR="003111A0" w:rsidRPr="003D7198" w:rsidRDefault="00C70E43" w:rsidP="003D7198">
            <w:pPr>
              <w:pStyle w:val="TableText0"/>
              <w:keepNext/>
              <w:keepLines/>
              <w:rPr>
                <w:b/>
              </w:rPr>
            </w:pPr>
            <w:r w:rsidRPr="003D7198">
              <w:rPr>
                <w:b/>
              </w:rPr>
              <w:t>p</w:t>
            </w:r>
            <w:r w:rsidR="003111A0" w:rsidRPr="003D7198">
              <w:rPr>
                <w:b/>
              </w:rPr>
              <w:t xml:space="preserve">rice </w:t>
            </w:r>
            <w:r w:rsidRPr="003D7198">
              <w:rPr>
                <w:b/>
              </w:rPr>
              <w:t>(</w:t>
            </w:r>
            <w:r w:rsidR="003111A0" w:rsidRPr="003D7198">
              <w:rPr>
                <w:b/>
              </w:rPr>
              <w:t>$</w:t>
            </w:r>
            <w:r w:rsidRPr="003D7198">
              <w:rPr>
                <w:b/>
              </w:rPr>
              <w:t>)</w:t>
            </w:r>
          </w:p>
        </w:tc>
        <w:tc>
          <w:tcPr>
            <w:tcW w:w="1250" w:type="pct"/>
            <w:shd w:val="clear" w:color="auto" w:fill="FFFFFF" w:themeFill="background1"/>
          </w:tcPr>
          <w:p w:rsidR="003111A0" w:rsidRPr="003D7198" w:rsidRDefault="003111A0" w:rsidP="003D7198">
            <w:pPr>
              <w:pStyle w:val="TableText0"/>
              <w:keepNext/>
              <w:keepLines/>
              <w:rPr>
                <w:b/>
              </w:rPr>
            </w:pPr>
            <w:proofErr w:type="spellStart"/>
            <w:r w:rsidRPr="003D7198">
              <w:rPr>
                <w:b/>
              </w:rPr>
              <w:t>Renastep</w:t>
            </w:r>
            <w:proofErr w:type="spellEnd"/>
          </w:p>
          <w:p w:rsidR="003111A0" w:rsidRPr="003D7198" w:rsidRDefault="00C70E43" w:rsidP="003D7198">
            <w:pPr>
              <w:pStyle w:val="TableText0"/>
              <w:keepNext/>
              <w:keepLines/>
              <w:rPr>
                <w:b/>
              </w:rPr>
            </w:pPr>
            <w:r w:rsidRPr="003D7198">
              <w:rPr>
                <w:b/>
              </w:rPr>
              <w:t>p</w:t>
            </w:r>
            <w:r w:rsidR="003111A0" w:rsidRPr="003D7198">
              <w:rPr>
                <w:b/>
              </w:rPr>
              <w:t xml:space="preserve">rice (with </w:t>
            </w:r>
            <w:r w:rsidRPr="003D7198">
              <w:rPr>
                <w:b/>
              </w:rPr>
              <w:t xml:space="preserve">requested </w:t>
            </w:r>
            <w:r w:rsidR="003111A0" w:rsidRPr="003D7198">
              <w:rPr>
                <w:b/>
              </w:rPr>
              <w:t>20% price increase</w:t>
            </w:r>
            <w:r w:rsidRPr="003D7198">
              <w:rPr>
                <w:b/>
              </w:rPr>
              <w:t>)</w:t>
            </w:r>
            <w:r w:rsidR="003111A0" w:rsidRPr="003D7198">
              <w:rPr>
                <w:b/>
              </w:rPr>
              <w:t xml:space="preserve"> ($) </w:t>
            </w:r>
          </w:p>
        </w:tc>
        <w:tc>
          <w:tcPr>
            <w:tcW w:w="1250" w:type="pct"/>
            <w:shd w:val="clear" w:color="auto" w:fill="FFFFFF" w:themeFill="background1"/>
          </w:tcPr>
          <w:p w:rsidR="003111A0" w:rsidRPr="003D7198" w:rsidRDefault="003111A0" w:rsidP="003D7198">
            <w:pPr>
              <w:pStyle w:val="TableText0"/>
              <w:keepNext/>
              <w:keepLines/>
              <w:rPr>
                <w:b/>
              </w:rPr>
            </w:pPr>
            <w:proofErr w:type="spellStart"/>
            <w:r w:rsidRPr="003D7198">
              <w:rPr>
                <w:b/>
              </w:rPr>
              <w:t>Renastep</w:t>
            </w:r>
            <w:proofErr w:type="spellEnd"/>
            <w:r w:rsidRPr="003D7198">
              <w:rPr>
                <w:b/>
              </w:rPr>
              <w:t xml:space="preserve"> price</w:t>
            </w:r>
          </w:p>
          <w:p w:rsidR="003111A0" w:rsidRPr="003D7198" w:rsidRDefault="003111A0" w:rsidP="003D7198">
            <w:pPr>
              <w:pStyle w:val="TableText0"/>
              <w:keepNext/>
              <w:keepLines/>
              <w:rPr>
                <w:b/>
              </w:rPr>
            </w:pPr>
            <w:r w:rsidRPr="003D7198">
              <w:rPr>
                <w:b/>
              </w:rPr>
              <w:t xml:space="preserve">(without </w:t>
            </w:r>
            <w:r w:rsidR="00C70E43" w:rsidRPr="003D7198">
              <w:rPr>
                <w:b/>
              </w:rPr>
              <w:t xml:space="preserve">requested </w:t>
            </w:r>
            <w:r w:rsidRPr="003D7198">
              <w:rPr>
                <w:b/>
              </w:rPr>
              <w:t>20% price increase) ($)</w:t>
            </w:r>
          </w:p>
        </w:tc>
      </w:tr>
      <w:tr w:rsidR="003111A0" w:rsidRPr="003C1602" w:rsidTr="003D7198">
        <w:tc>
          <w:tcPr>
            <w:tcW w:w="1250" w:type="pct"/>
            <w:shd w:val="clear" w:color="auto" w:fill="auto"/>
          </w:tcPr>
          <w:p w:rsidR="003111A0" w:rsidRPr="003D7198" w:rsidRDefault="003111A0" w:rsidP="003D7198">
            <w:pPr>
              <w:pStyle w:val="TableText0"/>
              <w:keepNext/>
              <w:keepLines/>
              <w:rPr>
                <w:b/>
              </w:rPr>
            </w:pPr>
            <w:r w:rsidRPr="003D7198">
              <w:rPr>
                <w:b/>
              </w:rPr>
              <w:t xml:space="preserve">AEMP </w:t>
            </w:r>
          </w:p>
          <w:p w:rsidR="003111A0" w:rsidRPr="003D7198" w:rsidRDefault="003111A0" w:rsidP="003D7198">
            <w:pPr>
              <w:pStyle w:val="TableText0"/>
              <w:keepNext/>
              <w:keepLines/>
              <w:rPr>
                <w:b/>
              </w:rPr>
            </w:pPr>
            <w:r w:rsidRPr="003D7198">
              <w:rPr>
                <w:b/>
              </w:rPr>
              <w:t xml:space="preserve">(per carton) </w:t>
            </w:r>
          </w:p>
        </w:tc>
        <w:tc>
          <w:tcPr>
            <w:tcW w:w="1250" w:type="pct"/>
            <w:shd w:val="clear" w:color="auto" w:fill="auto"/>
          </w:tcPr>
          <w:p w:rsidR="003111A0" w:rsidRPr="003C1602" w:rsidRDefault="003111A0" w:rsidP="003D7198">
            <w:pPr>
              <w:pStyle w:val="TableText0"/>
              <w:keepNext/>
              <w:keepLines/>
              <w:rPr>
                <w:bCs/>
                <w:color w:val="000000"/>
              </w:rPr>
            </w:pPr>
            <w:r w:rsidRPr="003C1602">
              <w:rPr>
                <w:bCs/>
                <w:color w:val="000000"/>
              </w:rPr>
              <w:t>309.34 (11856</w:t>
            </w:r>
            <w:r w:rsidR="00C70E43" w:rsidRPr="003C1602">
              <w:rPr>
                <w:bCs/>
                <w:color w:val="000000"/>
              </w:rPr>
              <w:t xml:space="preserve"> </w:t>
            </w:r>
            <w:r w:rsidRPr="003C1602">
              <w:rPr>
                <w:bCs/>
                <w:color w:val="000000"/>
              </w:rPr>
              <w:t>kcal)</w:t>
            </w:r>
          </w:p>
          <w:p w:rsidR="003111A0" w:rsidRPr="003C1602" w:rsidRDefault="003111A0" w:rsidP="003D7198">
            <w:pPr>
              <w:pStyle w:val="TableText0"/>
              <w:keepNext/>
              <w:keepLines/>
              <w:rPr>
                <w:bCs/>
                <w:color w:val="000000"/>
              </w:rPr>
            </w:pPr>
            <w:r w:rsidRPr="003C1602">
              <w:rPr>
                <w:bCs/>
                <w:color w:val="000000"/>
              </w:rPr>
              <w:t>6 x 400</w:t>
            </w:r>
            <w:r w:rsidR="00C70E43" w:rsidRPr="003C1602">
              <w:rPr>
                <w:bCs/>
                <w:color w:val="000000"/>
              </w:rPr>
              <w:t xml:space="preserve"> </w:t>
            </w:r>
            <w:r w:rsidR="00263951" w:rsidRPr="003C1602">
              <w:rPr>
                <w:bCs/>
                <w:color w:val="000000"/>
              </w:rPr>
              <w:t>g t</w:t>
            </w:r>
            <w:r w:rsidRPr="003C1602">
              <w:rPr>
                <w:bCs/>
                <w:color w:val="000000"/>
              </w:rPr>
              <w:t>ins</w:t>
            </w:r>
          </w:p>
        </w:tc>
        <w:tc>
          <w:tcPr>
            <w:tcW w:w="1250" w:type="pct"/>
            <w:shd w:val="clear" w:color="auto" w:fill="auto"/>
          </w:tcPr>
          <w:p w:rsidR="003111A0" w:rsidRPr="003C1602" w:rsidRDefault="00D968D9" w:rsidP="003D7198">
            <w:pPr>
              <w:pStyle w:val="TableText0"/>
              <w:keepNext/>
              <w:keepLines/>
              <w:rPr>
                <w:bCs/>
                <w:color w:val="000000"/>
              </w:rPr>
            </w:pPr>
            <w:r>
              <w:rPr>
                <w:bCs/>
                <w:noProof/>
                <w:color w:val="000000"/>
                <w:highlight w:val="black"/>
              </w:rPr>
              <w:t>'''''''''''''''</w:t>
            </w:r>
            <w:r w:rsidR="003111A0" w:rsidRPr="003C1602">
              <w:rPr>
                <w:bCs/>
                <w:color w:val="000000"/>
              </w:rPr>
              <w:t xml:space="preserve"> (6000</w:t>
            </w:r>
            <w:r w:rsidR="00C70E43" w:rsidRPr="003C1602">
              <w:rPr>
                <w:bCs/>
                <w:color w:val="000000"/>
              </w:rPr>
              <w:t xml:space="preserve"> </w:t>
            </w:r>
            <w:r w:rsidR="003111A0" w:rsidRPr="003C1602">
              <w:rPr>
                <w:bCs/>
                <w:color w:val="000000"/>
              </w:rPr>
              <w:t>kcal)</w:t>
            </w:r>
          </w:p>
          <w:p w:rsidR="003111A0" w:rsidRPr="003C1602" w:rsidRDefault="003111A0" w:rsidP="003D7198">
            <w:pPr>
              <w:pStyle w:val="TableText0"/>
              <w:keepNext/>
              <w:keepLines/>
              <w:rPr>
                <w:bCs/>
                <w:color w:val="000000"/>
              </w:rPr>
            </w:pPr>
            <w:r w:rsidRPr="003C1602">
              <w:rPr>
                <w:bCs/>
                <w:color w:val="000000"/>
              </w:rPr>
              <w:t>24 x 125</w:t>
            </w:r>
            <w:r w:rsidR="00C70E43" w:rsidRPr="003C1602">
              <w:rPr>
                <w:bCs/>
                <w:color w:val="000000"/>
              </w:rPr>
              <w:t xml:space="preserve"> </w:t>
            </w:r>
            <w:r w:rsidRPr="003C1602">
              <w:rPr>
                <w:bCs/>
                <w:color w:val="000000"/>
              </w:rPr>
              <w:t>m</w:t>
            </w:r>
            <w:r w:rsidR="00C70E43" w:rsidRPr="003C1602">
              <w:rPr>
                <w:bCs/>
                <w:color w:val="000000"/>
              </w:rPr>
              <w:t>L</w:t>
            </w:r>
            <w:r w:rsidRPr="003C1602">
              <w:rPr>
                <w:bCs/>
                <w:color w:val="000000"/>
              </w:rPr>
              <w:t xml:space="preserve"> </w:t>
            </w:r>
            <w:r w:rsidR="00263951" w:rsidRPr="003C1602">
              <w:rPr>
                <w:bCs/>
                <w:color w:val="000000"/>
              </w:rPr>
              <w:t>b</w:t>
            </w:r>
            <w:r w:rsidRPr="003C1602">
              <w:rPr>
                <w:bCs/>
                <w:color w:val="000000"/>
              </w:rPr>
              <w:t>ottles</w:t>
            </w:r>
          </w:p>
        </w:tc>
        <w:tc>
          <w:tcPr>
            <w:tcW w:w="1250" w:type="pct"/>
          </w:tcPr>
          <w:p w:rsidR="003111A0" w:rsidRPr="00D968D9" w:rsidRDefault="00D968D9" w:rsidP="003D7198">
            <w:pPr>
              <w:pStyle w:val="TableText0"/>
              <w:keepNext/>
              <w:keepLines/>
              <w:rPr>
                <w:bCs/>
                <w:color w:val="000000"/>
                <w:highlight w:val="black"/>
              </w:rPr>
            </w:pPr>
            <w:r>
              <w:rPr>
                <w:bCs/>
                <w:noProof/>
                <w:color w:val="000000"/>
                <w:highlight w:val="black"/>
              </w:rPr>
              <w:t>'''''''''''''''''</w:t>
            </w:r>
          </w:p>
        </w:tc>
      </w:tr>
      <w:tr w:rsidR="003111A0" w:rsidRPr="003C1602" w:rsidTr="003D7198">
        <w:tc>
          <w:tcPr>
            <w:tcW w:w="1250" w:type="pct"/>
            <w:shd w:val="clear" w:color="auto" w:fill="auto"/>
          </w:tcPr>
          <w:p w:rsidR="003111A0" w:rsidRPr="003D7198" w:rsidRDefault="003111A0" w:rsidP="003D7198">
            <w:pPr>
              <w:pStyle w:val="TableText0"/>
              <w:keepNext/>
              <w:keepLines/>
              <w:rPr>
                <w:b/>
              </w:rPr>
            </w:pPr>
            <w:r w:rsidRPr="003D7198">
              <w:rPr>
                <w:b/>
              </w:rPr>
              <w:t xml:space="preserve">AEMP (per max </w:t>
            </w:r>
            <w:proofErr w:type="spellStart"/>
            <w:r w:rsidRPr="003D7198">
              <w:rPr>
                <w:b/>
              </w:rPr>
              <w:t>qty</w:t>
            </w:r>
            <w:proofErr w:type="spellEnd"/>
            <w:r w:rsidRPr="003D7198">
              <w:rPr>
                <w:b/>
              </w:rPr>
              <w:t>)</w:t>
            </w:r>
          </w:p>
        </w:tc>
        <w:tc>
          <w:tcPr>
            <w:tcW w:w="1250" w:type="pct"/>
            <w:shd w:val="clear" w:color="auto" w:fill="auto"/>
          </w:tcPr>
          <w:p w:rsidR="003111A0" w:rsidRPr="003C1602" w:rsidRDefault="003111A0" w:rsidP="003D7198">
            <w:pPr>
              <w:pStyle w:val="TableText0"/>
              <w:keepNext/>
              <w:keepLines/>
              <w:rPr>
                <w:bCs/>
                <w:color w:val="000000"/>
              </w:rPr>
            </w:pPr>
            <w:r w:rsidRPr="003C1602">
              <w:rPr>
                <w:bCs/>
                <w:color w:val="000000"/>
              </w:rPr>
              <w:t>1237.36</w:t>
            </w:r>
            <w:r w:rsidR="00C70E43" w:rsidRPr="003C1602">
              <w:rPr>
                <w:bCs/>
                <w:color w:val="000000"/>
              </w:rPr>
              <w:t xml:space="preserve"> </w:t>
            </w:r>
            <w:r w:rsidRPr="003C1602">
              <w:rPr>
                <w:bCs/>
                <w:color w:val="000000"/>
              </w:rPr>
              <w:t>(47424</w:t>
            </w:r>
            <w:r w:rsidR="00C70E43" w:rsidRPr="003C1602">
              <w:rPr>
                <w:bCs/>
                <w:color w:val="000000"/>
              </w:rPr>
              <w:t xml:space="preserve"> </w:t>
            </w:r>
            <w:r w:rsidRPr="003C1602">
              <w:rPr>
                <w:bCs/>
                <w:color w:val="000000"/>
              </w:rPr>
              <w:t>kcal)</w:t>
            </w:r>
          </w:p>
          <w:p w:rsidR="003111A0" w:rsidRPr="003C1602" w:rsidRDefault="003111A0" w:rsidP="003D7198">
            <w:pPr>
              <w:pStyle w:val="TableText0"/>
              <w:keepNext/>
              <w:keepLines/>
              <w:rPr>
                <w:bCs/>
                <w:color w:val="000000"/>
              </w:rPr>
            </w:pPr>
            <w:r w:rsidRPr="003C1602">
              <w:rPr>
                <w:bCs/>
                <w:color w:val="000000"/>
              </w:rPr>
              <w:t>6 x 400</w:t>
            </w:r>
            <w:r w:rsidR="00C70E43" w:rsidRPr="003C1602">
              <w:rPr>
                <w:bCs/>
                <w:color w:val="000000"/>
              </w:rPr>
              <w:t xml:space="preserve"> </w:t>
            </w:r>
            <w:r w:rsidRPr="003C1602">
              <w:rPr>
                <w:bCs/>
                <w:color w:val="000000"/>
              </w:rPr>
              <w:t xml:space="preserve">g </w:t>
            </w:r>
            <w:r w:rsidR="00263951" w:rsidRPr="003C1602">
              <w:rPr>
                <w:bCs/>
                <w:color w:val="000000"/>
              </w:rPr>
              <w:t>t</w:t>
            </w:r>
            <w:r w:rsidRPr="003C1602">
              <w:rPr>
                <w:bCs/>
                <w:color w:val="000000"/>
              </w:rPr>
              <w:t xml:space="preserve">ins x 4 </w:t>
            </w:r>
            <w:r w:rsidR="00263951" w:rsidRPr="003C1602">
              <w:rPr>
                <w:bCs/>
                <w:color w:val="000000"/>
              </w:rPr>
              <w:t>packs</w:t>
            </w:r>
          </w:p>
        </w:tc>
        <w:tc>
          <w:tcPr>
            <w:tcW w:w="1250" w:type="pct"/>
            <w:shd w:val="clear" w:color="auto" w:fill="auto"/>
          </w:tcPr>
          <w:p w:rsidR="003111A0" w:rsidRPr="003C1602" w:rsidRDefault="00D968D9" w:rsidP="003D7198">
            <w:pPr>
              <w:pStyle w:val="TableText0"/>
              <w:keepNext/>
              <w:keepLines/>
              <w:rPr>
                <w:bCs/>
                <w:color w:val="000000"/>
              </w:rPr>
            </w:pPr>
            <w:r>
              <w:rPr>
                <w:bCs/>
                <w:noProof/>
                <w:color w:val="000000"/>
                <w:highlight w:val="black"/>
              </w:rPr>
              <w:t>''''''''''''''''''''''</w:t>
            </w:r>
            <w:r w:rsidR="003111A0" w:rsidRPr="003C1602">
              <w:rPr>
                <w:bCs/>
                <w:color w:val="000000"/>
              </w:rPr>
              <w:t xml:space="preserve"> (48000</w:t>
            </w:r>
            <w:r w:rsidR="00C70E43" w:rsidRPr="003C1602">
              <w:rPr>
                <w:bCs/>
                <w:color w:val="000000"/>
              </w:rPr>
              <w:t xml:space="preserve"> </w:t>
            </w:r>
            <w:r w:rsidR="003111A0" w:rsidRPr="003C1602">
              <w:rPr>
                <w:bCs/>
                <w:color w:val="000000"/>
              </w:rPr>
              <w:t>kcal)</w:t>
            </w:r>
          </w:p>
          <w:p w:rsidR="003111A0" w:rsidRPr="003C1602" w:rsidRDefault="003111A0" w:rsidP="003D7198">
            <w:pPr>
              <w:pStyle w:val="TableText0"/>
              <w:keepNext/>
              <w:keepLines/>
              <w:rPr>
                <w:bCs/>
                <w:color w:val="000000"/>
              </w:rPr>
            </w:pPr>
            <w:r w:rsidRPr="003C1602">
              <w:rPr>
                <w:bCs/>
                <w:color w:val="000000"/>
              </w:rPr>
              <w:t>24 x 125</w:t>
            </w:r>
            <w:r w:rsidR="00C70E43" w:rsidRPr="003C1602">
              <w:rPr>
                <w:bCs/>
                <w:color w:val="000000"/>
              </w:rPr>
              <w:t xml:space="preserve"> </w:t>
            </w:r>
            <w:r w:rsidRPr="003C1602">
              <w:rPr>
                <w:bCs/>
                <w:color w:val="000000"/>
              </w:rPr>
              <w:t>m</w:t>
            </w:r>
            <w:r w:rsidR="00C70E43" w:rsidRPr="003C1602">
              <w:rPr>
                <w:bCs/>
                <w:color w:val="000000"/>
              </w:rPr>
              <w:t>L</w:t>
            </w:r>
            <w:r w:rsidR="00263951" w:rsidRPr="003C1602">
              <w:rPr>
                <w:bCs/>
                <w:color w:val="000000"/>
              </w:rPr>
              <w:t xml:space="preserve"> bottles</w:t>
            </w:r>
            <w:r w:rsidRPr="003C1602">
              <w:rPr>
                <w:bCs/>
                <w:color w:val="000000"/>
              </w:rPr>
              <w:t xml:space="preserve"> x 8</w:t>
            </w:r>
            <w:r w:rsidR="00263951" w:rsidRPr="003C1602">
              <w:rPr>
                <w:bCs/>
                <w:color w:val="000000"/>
              </w:rPr>
              <w:t xml:space="preserve"> packs</w:t>
            </w:r>
          </w:p>
        </w:tc>
        <w:tc>
          <w:tcPr>
            <w:tcW w:w="1250" w:type="pct"/>
          </w:tcPr>
          <w:p w:rsidR="003111A0" w:rsidRPr="00D968D9" w:rsidRDefault="00D968D9" w:rsidP="003D7198">
            <w:pPr>
              <w:pStyle w:val="TableText0"/>
              <w:keepNext/>
              <w:keepLines/>
              <w:rPr>
                <w:bCs/>
                <w:color w:val="000000"/>
                <w:highlight w:val="black"/>
              </w:rPr>
            </w:pPr>
            <w:r>
              <w:rPr>
                <w:bCs/>
                <w:noProof/>
                <w:color w:val="000000"/>
                <w:highlight w:val="black"/>
              </w:rPr>
              <w:t>'''''''''''''''''''''''</w:t>
            </w:r>
          </w:p>
        </w:tc>
      </w:tr>
      <w:tr w:rsidR="003111A0" w:rsidRPr="003C1602" w:rsidTr="003D7198">
        <w:tc>
          <w:tcPr>
            <w:tcW w:w="1250" w:type="pct"/>
            <w:shd w:val="clear" w:color="auto" w:fill="auto"/>
          </w:tcPr>
          <w:p w:rsidR="003111A0" w:rsidRPr="003D7198" w:rsidRDefault="003111A0" w:rsidP="003D7198">
            <w:pPr>
              <w:pStyle w:val="TableText0"/>
              <w:keepNext/>
              <w:keepLines/>
              <w:rPr>
                <w:b/>
              </w:rPr>
            </w:pPr>
            <w:r w:rsidRPr="003D7198">
              <w:rPr>
                <w:b/>
              </w:rPr>
              <w:t xml:space="preserve">Wholesaler mark up </w:t>
            </w:r>
          </w:p>
          <w:p w:rsidR="003111A0" w:rsidRPr="003D7198" w:rsidRDefault="003111A0" w:rsidP="003D7198">
            <w:pPr>
              <w:pStyle w:val="TableText0"/>
              <w:keepNext/>
              <w:keepLines/>
              <w:rPr>
                <w:b/>
              </w:rPr>
            </w:pPr>
          </w:p>
        </w:tc>
        <w:tc>
          <w:tcPr>
            <w:tcW w:w="1250" w:type="pct"/>
            <w:shd w:val="clear" w:color="auto" w:fill="auto"/>
          </w:tcPr>
          <w:p w:rsidR="003111A0" w:rsidRPr="003C1602" w:rsidRDefault="003111A0" w:rsidP="003D7198">
            <w:pPr>
              <w:pStyle w:val="TableText0"/>
              <w:keepNext/>
              <w:keepLines/>
              <w:rPr>
                <w:bCs/>
                <w:color w:val="000000"/>
              </w:rPr>
            </w:pPr>
            <w:r w:rsidRPr="003C1602">
              <w:rPr>
                <w:bCs/>
                <w:color w:val="000000"/>
              </w:rPr>
              <w:t>+6</w:t>
            </w:r>
            <w:r w:rsidR="00C70E43" w:rsidRPr="003C1602">
              <w:rPr>
                <w:bCs/>
                <w:color w:val="000000"/>
              </w:rPr>
              <w:t>9</w:t>
            </w:r>
            <w:r w:rsidRPr="003C1602">
              <w:rPr>
                <w:bCs/>
                <w:color w:val="000000"/>
              </w:rPr>
              <w:t>.94</w:t>
            </w:r>
          </w:p>
        </w:tc>
        <w:tc>
          <w:tcPr>
            <w:tcW w:w="1250" w:type="pct"/>
            <w:shd w:val="clear" w:color="auto" w:fill="auto"/>
          </w:tcPr>
          <w:p w:rsidR="003111A0" w:rsidRPr="003C1602" w:rsidRDefault="003111A0" w:rsidP="003D7198">
            <w:pPr>
              <w:pStyle w:val="TableText0"/>
              <w:keepNext/>
              <w:keepLines/>
              <w:rPr>
                <w:bCs/>
                <w:color w:val="000000"/>
              </w:rPr>
            </w:pPr>
            <w:r w:rsidRPr="003C1602">
              <w:rPr>
                <w:bCs/>
                <w:color w:val="000000"/>
              </w:rPr>
              <w:t>+6</w:t>
            </w:r>
            <w:r w:rsidR="00C70E43" w:rsidRPr="003C1602">
              <w:rPr>
                <w:bCs/>
                <w:color w:val="000000"/>
              </w:rPr>
              <w:t>9</w:t>
            </w:r>
            <w:r w:rsidRPr="003C1602">
              <w:rPr>
                <w:bCs/>
                <w:color w:val="000000"/>
              </w:rPr>
              <w:t>.94</w:t>
            </w:r>
          </w:p>
        </w:tc>
        <w:tc>
          <w:tcPr>
            <w:tcW w:w="1250" w:type="pct"/>
          </w:tcPr>
          <w:p w:rsidR="003111A0" w:rsidRPr="003C1602" w:rsidRDefault="003111A0" w:rsidP="003D7198">
            <w:pPr>
              <w:pStyle w:val="TableText0"/>
              <w:keepNext/>
              <w:keepLines/>
              <w:rPr>
                <w:bCs/>
                <w:color w:val="000000"/>
              </w:rPr>
            </w:pPr>
            <w:r w:rsidRPr="003C1602">
              <w:rPr>
                <w:bCs/>
                <w:color w:val="000000"/>
              </w:rPr>
              <w:t>+6</w:t>
            </w:r>
            <w:r w:rsidR="00C70E43" w:rsidRPr="003C1602">
              <w:rPr>
                <w:bCs/>
                <w:color w:val="000000"/>
              </w:rPr>
              <w:t>9</w:t>
            </w:r>
            <w:r w:rsidRPr="003C1602">
              <w:rPr>
                <w:bCs/>
                <w:color w:val="000000"/>
              </w:rPr>
              <w:t>.94</w:t>
            </w:r>
          </w:p>
        </w:tc>
      </w:tr>
      <w:tr w:rsidR="003111A0" w:rsidRPr="003C1602" w:rsidTr="003D7198">
        <w:tc>
          <w:tcPr>
            <w:tcW w:w="1250" w:type="pct"/>
            <w:shd w:val="clear" w:color="auto" w:fill="auto"/>
          </w:tcPr>
          <w:p w:rsidR="003111A0" w:rsidRPr="003D7198" w:rsidRDefault="003111A0" w:rsidP="003D7198">
            <w:pPr>
              <w:pStyle w:val="TableText0"/>
              <w:keepNext/>
              <w:keepLines/>
              <w:rPr>
                <w:b/>
              </w:rPr>
            </w:pPr>
            <w:r w:rsidRPr="003D7198">
              <w:rPr>
                <w:b/>
              </w:rPr>
              <w:t xml:space="preserve">Price to pharmacy </w:t>
            </w:r>
          </w:p>
        </w:tc>
        <w:tc>
          <w:tcPr>
            <w:tcW w:w="1250" w:type="pct"/>
            <w:shd w:val="clear" w:color="auto" w:fill="auto"/>
          </w:tcPr>
          <w:p w:rsidR="003111A0" w:rsidRPr="003C1602" w:rsidRDefault="003111A0" w:rsidP="003D7198">
            <w:pPr>
              <w:pStyle w:val="TableText0"/>
              <w:keepNext/>
              <w:keepLines/>
              <w:rPr>
                <w:bCs/>
                <w:color w:val="000000"/>
              </w:rPr>
            </w:pPr>
            <w:r w:rsidRPr="003C1602">
              <w:rPr>
                <w:bCs/>
                <w:color w:val="000000"/>
              </w:rPr>
              <w:t>130</w:t>
            </w:r>
            <w:r w:rsidR="00AF441B" w:rsidRPr="003C1602">
              <w:rPr>
                <w:bCs/>
                <w:color w:val="000000"/>
              </w:rPr>
              <w:t>7</w:t>
            </w:r>
            <w:r w:rsidRPr="003C1602">
              <w:rPr>
                <w:bCs/>
                <w:color w:val="000000"/>
              </w:rPr>
              <w:t>.30</w:t>
            </w:r>
          </w:p>
        </w:tc>
        <w:tc>
          <w:tcPr>
            <w:tcW w:w="1250" w:type="pct"/>
            <w:shd w:val="clear" w:color="auto" w:fill="auto"/>
          </w:tcPr>
          <w:p w:rsidR="003111A0" w:rsidRPr="00D968D9" w:rsidRDefault="00D968D9" w:rsidP="003D7198">
            <w:pPr>
              <w:pStyle w:val="TableText0"/>
              <w:keepNext/>
              <w:keepLines/>
              <w:rPr>
                <w:bCs/>
                <w:color w:val="000000"/>
                <w:highlight w:val="black"/>
              </w:rPr>
            </w:pPr>
            <w:r>
              <w:rPr>
                <w:bCs/>
                <w:noProof/>
                <w:color w:val="000000"/>
                <w:highlight w:val="black"/>
              </w:rPr>
              <w:t>''''''''''''''''''</w:t>
            </w:r>
          </w:p>
        </w:tc>
        <w:tc>
          <w:tcPr>
            <w:tcW w:w="1250" w:type="pct"/>
          </w:tcPr>
          <w:p w:rsidR="003111A0" w:rsidRPr="00D968D9" w:rsidRDefault="00D968D9" w:rsidP="003D7198">
            <w:pPr>
              <w:pStyle w:val="TableText0"/>
              <w:keepNext/>
              <w:keepLines/>
              <w:rPr>
                <w:bCs/>
                <w:color w:val="000000"/>
                <w:highlight w:val="black"/>
              </w:rPr>
            </w:pPr>
            <w:r>
              <w:rPr>
                <w:bCs/>
                <w:noProof/>
                <w:color w:val="000000"/>
                <w:highlight w:val="black"/>
              </w:rPr>
              <w:t>''''''''''''''''''''</w:t>
            </w:r>
          </w:p>
        </w:tc>
      </w:tr>
      <w:tr w:rsidR="003111A0" w:rsidRPr="003C1602" w:rsidTr="003D7198">
        <w:tc>
          <w:tcPr>
            <w:tcW w:w="1250" w:type="pct"/>
            <w:shd w:val="clear" w:color="auto" w:fill="auto"/>
          </w:tcPr>
          <w:p w:rsidR="003111A0" w:rsidRPr="003D7198" w:rsidRDefault="003111A0" w:rsidP="003D7198">
            <w:pPr>
              <w:pStyle w:val="TableText0"/>
              <w:keepNext/>
              <w:keepLines/>
              <w:rPr>
                <w:b/>
              </w:rPr>
            </w:pPr>
            <w:r w:rsidRPr="003D7198">
              <w:rPr>
                <w:b/>
              </w:rPr>
              <w:t xml:space="preserve">Pharmacy </w:t>
            </w:r>
            <w:proofErr w:type="spellStart"/>
            <w:r w:rsidRPr="003D7198">
              <w:rPr>
                <w:b/>
              </w:rPr>
              <w:t>mark up</w:t>
            </w:r>
            <w:proofErr w:type="spellEnd"/>
            <w:r w:rsidRPr="003D7198">
              <w:rPr>
                <w:b/>
              </w:rPr>
              <w:t xml:space="preserve"> </w:t>
            </w:r>
            <w:r w:rsidR="00C70E43" w:rsidRPr="003D7198">
              <w:rPr>
                <w:b/>
              </w:rPr>
              <w:t>(</w:t>
            </w:r>
            <w:r w:rsidR="00AF441B" w:rsidRPr="003D7198">
              <w:rPr>
                <w:b/>
              </w:rPr>
              <w:t>$40 for medicines with AEMP over $1000.01</w:t>
            </w:r>
            <w:r w:rsidR="00C70E43" w:rsidRPr="003D7198">
              <w:rPr>
                <w:b/>
              </w:rPr>
              <w:t>)</w:t>
            </w:r>
          </w:p>
        </w:tc>
        <w:tc>
          <w:tcPr>
            <w:tcW w:w="1250" w:type="pct"/>
            <w:shd w:val="clear" w:color="auto" w:fill="auto"/>
          </w:tcPr>
          <w:p w:rsidR="003111A0" w:rsidRPr="003C1602" w:rsidRDefault="003111A0" w:rsidP="003D7198">
            <w:pPr>
              <w:pStyle w:val="TableText0"/>
              <w:keepNext/>
              <w:keepLines/>
              <w:rPr>
                <w:bCs/>
                <w:color w:val="000000"/>
              </w:rPr>
            </w:pPr>
            <w:r w:rsidRPr="003C1602">
              <w:rPr>
                <w:bCs/>
                <w:color w:val="000000"/>
              </w:rPr>
              <w:t>+4</w:t>
            </w:r>
            <w:r w:rsidR="00AF441B" w:rsidRPr="003C1602">
              <w:rPr>
                <w:bCs/>
                <w:color w:val="000000"/>
              </w:rPr>
              <w:t>0.00</w:t>
            </w:r>
          </w:p>
        </w:tc>
        <w:tc>
          <w:tcPr>
            <w:tcW w:w="1250" w:type="pct"/>
            <w:shd w:val="clear" w:color="auto" w:fill="auto"/>
          </w:tcPr>
          <w:p w:rsidR="003111A0" w:rsidRPr="003C1602" w:rsidRDefault="003111A0" w:rsidP="003D7198">
            <w:pPr>
              <w:pStyle w:val="TableText0"/>
              <w:keepNext/>
              <w:keepLines/>
              <w:rPr>
                <w:bCs/>
                <w:color w:val="000000"/>
              </w:rPr>
            </w:pPr>
            <w:r w:rsidRPr="003C1602">
              <w:rPr>
                <w:bCs/>
                <w:color w:val="000000"/>
              </w:rPr>
              <w:t>+</w:t>
            </w:r>
            <w:r w:rsidR="00AF441B" w:rsidRPr="003C1602">
              <w:rPr>
                <w:bCs/>
                <w:color w:val="000000"/>
              </w:rPr>
              <w:t>40.00</w:t>
            </w:r>
          </w:p>
        </w:tc>
        <w:tc>
          <w:tcPr>
            <w:tcW w:w="1250" w:type="pct"/>
          </w:tcPr>
          <w:p w:rsidR="003111A0" w:rsidRPr="003C1602" w:rsidRDefault="003111A0" w:rsidP="003D7198">
            <w:pPr>
              <w:pStyle w:val="TableText0"/>
              <w:keepNext/>
              <w:keepLines/>
              <w:rPr>
                <w:bCs/>
                <w:color w:val="000000"/>
              </w:rPr>
            </w:pPr>
            <w:r w:rsidRPr="003C1602">
              <w:rPr>
                <w:bCs/>
                <w:color w:val="000000"/>
              </w:rPr>
              <w:t>+</w:t>
            </w:r>
            <w:r w:rsidR="00AF441B" w:rsidRPr="003C1602">
              <w:rPr>
                <w:bCs/>
                <w:color w:val="000000"/>
              </w:rPr>
              <w:t>40.00</w:t>
            </w:r>
          </w:p>
        </w:tc>
      </w:tr>
      <w:tr w:rsidR="003111A0" w:rsidRPr="003C1602" w:rsidTr="003D7198">
        <w:tc>
          <w:tcPr>
            <w:tcW w:w="1250" w:type="pct"/>
            <w:shd w:val="clear" w:color="auto" w:fill="auto"/>
          </w:tcPr>
          <w:p w:rsidR="003111A0" w:rsidRPr="003D7198" w:rsidRDefault="003111A0" w:rsidP="003D7198">
            <w:pPr>
              <w:pStyle w:val="TableText0"/>
              <w:keepNext/>
              <w:keepLines/>
              <w:rPr>
                <w:b/>
              </w:rPr>
            </w:pPr>
            <w:r w:rsidRPr="003D7198">
              <w:rPr>
                <w:b/>
              </w:rPr>
              <w:t xml:space="preserve">Dispensing fee </w:t>
            </w:r>
          </w:p>
        </w:tc>
        <w:tc>
          <w:tcPr>
            <w:tcW w:w="1250" w:type="pct"/>
            <w:shd w:val="clear" w:color="auto" w:fill="auto"/>
          </w:tcPr>
          <w:p w:rsidR="003111A0" w:rsidRPr="003C1602" w:rsidRDefault="003111A0" w:rsidP="003D7198">
            <w:pPr>
              <w:pStyle w:val="TableText0"/>
              <w:keepNext/>
              <w:keepLines/>
              <w:rPr>
                <w:bCs/>
                <w:color w:val="000000"/>
              </w:rPr>
            </w:pPr>
            <w:r w:rsidRPr="003C1602">
              <w:rPr>
                <w:bCs/>
                <w:color w:val="000000"/>
              </w:rPr>
              <w:t>+7.39</w:t>
            </w:r>
          </w:p>
        </w:tc>
        <w:tc>
          <w:tcPr>
            <w:tcW w:w="1250" w:type="pct"/>
            <w:shd w:val="clear" w:color="auto" w:fill="auto"/>
          </w:tcPr>
          <w:p w:rsidR="003111A0" w:rsidRPr="003C1602" w:rsidRDefault="003111A0" w:rsidP="003D7198">
            <w:pPr>
              <w:pStyle w:val="TableText0"/>
              <w:keepNext/>
              <w:keepLines/>
              <w:rPr>
                <w:bCs/>
                <w:color w:val="000000"/>
              </w:rPr>
            </w:pPr>
            <w:r w:rsidRPr="003C1602">
              <w:rPr>
                <w:bCs/>
                <w:color w:val="000000"/>
              </w:rPr>
              <w:t>+7.39</w:t>
            </w:r>
          </w:p>
        </w:tc>
        <w:tc>
          <w:tcPr>
            <w:tcW w:w="1250" w:type="pct"/>
          </w:tcPr>
          <w:p w:rsidR="003111A0" w:rsidRPr="003C1602" w:rsidRDefault="003111A0" w:rsidP="003D7198">
            <w:pPr>
              <w:pStyle w:val="TableText0"/>
              <w:keepNext/>
              <w:keepLines/>
              <w:rPr>
                <w:bCs/>
                <w:color w:val="000000"/>
              </w:rPr>
            </w:pPr>
            <w:r w:rsidRPr="003C1602">
              <w:rPr>
                <w:bCs/>
                <w:color w:val="000000"/>
              </w:rPr>
              <w:t>+7.39</w:t>
            </w:r>
          </w:p>
        </w:tc>
      </w:tr>
      <w:tr w:rsidR="003111A0" w:rsidRPr="003C1602" w:rsidTr="003D7198">
        <w:tc>
          <w:tcPr>
            <w:tcW w:w="1250" w:type="pct"/>
            <w:shd w:val="clear" w:color="auto" w:fill="auto"/>
          </w:tcPr>
          <w:p w:rsidR="003111A0" w:rsidRPr="003D7198" w:rsidRDefault="003111A0" w:rsidP="003D7198">
            <w:pPr>
              <w:pStyle w:val="TableText0"/>
              <w:keepNext/>
              <w:keepLines/>
              <w:rPr>
                <w:b/>
              </w:rPr>
            </w:pPr>
            <w:r w:rsidRPr="003D7198">
              <w:rPr>
                <w:b/>
              </w:rPr>
              <w:t>DPMQ</w:t>
            </w:r>
          </w:p>
        </w:tc>
        <w:tc>
          <w:tcPr>
            <w:tcW w:w="1250" w:type="pct"/>
            <w:shd w:val="clear" w:color="auto" w:fill="auto"/>
          </w:tcPr>
          <w:p w:rsidR="003111A0" w:rsidRPr="003C1602" w:rsidRDefault="00AF441B" w:rsidP="003D7198">
            <w:pPr>
              <w:pStyle w:val="TableText0"/>
              <w:keepNext/>
              <w:keepLines/>
              <w:rPr>
                <w:bCs/>
                <w:color w:val="000000"/>
              </w:rPr>
            </w:pPr>
            <w:r w:rsidRPr="003C1602">
              <w:rPr>
                <w:bCs/>
                <w:color w:val="000000"/>
              </w:rPr>
              <w:t>54.69</w:t>
            </w:r>
          </w:p>
        </w:tc>
        <w:tc>
          <w:tcPr>
            <w:tcW w:w="1250" w:type="pct"/>
            <w:shd w:val="clear" w:color="auto" w:fill="auto"/>
          </w:tcPr>
          <w:p w:rsidR="003111A0" w:rsidRPr="00D968D9" w:rsidRDefault="00D968D9" w:rsidP="003D7198">
            <w:pPr>
              <w:pStyle w:val="TableText0"/>
              <w:keepNext/>
              <w:keepLines/>
              <w:rPr>
                <w:bCs/>
                <w:color w:val="000000"/>
                <w:highlight w:val="black"/>
              </w:rPr>
            </w:pPr>
            <w:r>
              <w:rPr>
                <w:bCs/>
                <w:noProof/>
                <w:color w:val="000000"/>
                <w:highlight w:val="black"/>
              </w:rPr>
              <w:t>'''''''''''''''''''''</w:t>
            </w:r>
          </w:p>
        </w:tc>
        <w:tc>
          <w:tcPr>
            <w:tcW w:w="1250" w:type="pct"/>
          </w:tcPr>
          <w:p w:rsidR="003111A0" w:rsidRPr="00D968D9" w:rsidRDefault="00D968D9" w:rsidP="003D7198">
            <w:pPr>
              <w:pStyle w:val="TableText0"/>
              <w:keepNext/>
              <w:keepLines/>
              <w:rPr>
                <w:bCs/>
                <w:color w:val="000000"/>
                <w:highlight w:val="black"/>
              </w:rPr>
            </w:pPr>
            <w:r>
              <w:rPr>
                <w:bCs/>
                <w:noProof/>
                <w:color w:val="000000"/>
                <w:highlight w:val="black"/>
              </w:rPr>
              <w:t>'''''''''''''''''''''</w:t>
            </w:r>
          </w:p>
        </w:tc>
      </w:tr>
    </w:tbl>
    <w:bookmarkEnd w:id="2"/>
    <w:bookmarkEnd w:id="3"/>
    <w:p w:rsidR="000E422C" w:rsidRPr="003C1602" w:rsidRDefault="000E422C" w:rsidP="003D7198">
      <w:pPr>
        <w:pStyle w:val="TableFooter"/>
        <w:keepNext/>
        <w:keepLines/>
        <w:widowControl/>
        <w:rPr>
          <w:rFonts w:eastAsiaTheme="majorEastAsia"/>
        </w:rPr>
      </w:pPr>
      <w:r w:rsidRPr="003C1602">
        <w:rPr>
          <w:rFonts w:eastAsiaTheme="majorEastAsia"/>
        </w:rPr>
        <w:t xml:space="preserve">Source: Table 1 of the submission. Price without requested 20% price increase calculated </w:t>
      </w:r>
      <w:r w:rsidR="00F411F5" w:rsidRPr="003C1602">
        <w:rPr>
          <w:rFonts w:eastAsiaTheme="majorEastAsia"/>
        </w:rPr>
        <w:t>by the PBAC Secretariat</w:t>
      </w:r>
      <w:r w:rsidRPr="003C1602">
        <w:rPr>
          <w:rFonts w:eastAsiaTheme="majorEastAsia"/>
        </w:rPr>
        <w:t>.</w:t>
      </w:r>
    </w:p>
    <w:p w:rsidR="005A3173" w:rsidRPr="003C1602" w:rsidRDefault="000E422C" w:rsidP="003D7198">
      <w:pPr>
        <w:pStyle w:val="Heading2"/>
        <w:keepLines/>
        <w:spacing w:before="240" w:after="120"/>
        <w:jc w:val="both"/>
        <w:rPr>
          <w:rFonts w:asciiTheme="minorHAnsi" w:eastAsiaTheme="majorEastAsia" w:hAnsiTheme="minorHAnsi" w:cstheme="majorBidi"/>
          <w:sz w:val="28"/>
          <w:szCs w:val="28"/>
          <w:lang w:eastAsia="en-US"/>
        </w:rPr>
      </w:pPr>
      <w:r w:rsidRPr="003C1602">
        <w:rPr>
          <w:rFonts w:asciiTheme="minorHAnsi" w:eastAsiaTheme="majorEastAsia" w:hAnsiTheme="minorHAnsi" w:cstheme="majorBidi"/>
          <w:sz w:val="28"/>
          <w:szCs w:val="28"/>
          <w:lang w:eastAsia="en-US"/>
        </w:rPr>
        <w:t>E</w:t>
      </w:r>
      <w:r w:rsidR="005A3173" w:rsidRPr="003C1602">
        <w:rPr>
          <w:rFonts w:asciiTheme="minorHAnsi" w:eastAsiaTheme="majorEastAsia" w:hAnsiTheme="minorHAnsi" w:cstheme="majorBidi"/>
          <w:sz w:val="28"/>
          <w:szCs w:val="28"/>
          <w:lang w:eastAsia="en-US"/>
        </w:rPr>
        <w:t>stimated PBS usage &amp; financial implications</w:t>
      </w:r>
    </w:p>
    <w:p w:rsidR="0058237D" w:rsidRPr="003C1602" w:rsidRDefault="005F0654" w:rsidP="003D7198">
      <w:pPr>
        <w:pStyle w:val="3Bodytext"/>
      </w:pPr>
      <w:r w:rsidRPr="009A7177">
        <w:t xml:space="preserve">In order to estimate the number of patients </w:t>
      </w:r>
      <w:r w:rsidR="00BC754F" w:rsidRPr="009A7177">
        <w:t xml:space="preserve">likely to </w:t>
      </w:r>
      <w:r w:rsidRPr="009A7177">
        <w:t xml:space="preserve">transfer from </w:t>
      </w:r>
      <w:proofErr w:type="spellStart"/>
      <w:r w:rsidRPr="009A7177">
        <w:t>Renastart</w:t>
      </w:r>
      <w:proofErr w:type="spellEnd"/>
      <w:r w:rsidRPr="009A7177">
        <w:t xml:space="preserve"> to </w:t>
      </w:r>
      <w:proofErr w:type="spellStart"/>
      <w:r w:rsidRPr="009A7177">
        <w:t>Renastep</w:t>
      </w:r>
      <w:proofErr w:type="spellEnd"/>
      <w:r w:rsidRPr="009A7177">
        <w:t>, t</w:t>
      </w:r>
      <w:r w:rsidR="00CF6D02" w:rsidRPr="009A7177">
        <w:t>he submission</w:t>
      </w:r>
      <w:r w:rsidRPr="009A7177">
        <w:t xml:space="preserve"> included the following assumption in </w:t>
      </w:r>
      <w:r w:rsidR="00DA6F39" w:rsidRPr="009A7177">
        <w:t xml:space="preserve">its </w:t>
      </w:r>
      <w:r w:rsidRPr="009A7177">
        <w:t>financial calculation</w:t>
      </w:r>
      <w:r w:rsidR="00AF441B" w:rsidRPr="009A7177">
        <w:t>s</w:t>
      </w:r>
      <w:r w:rsidR="00CF6D02" w:rsidRPr="009A7177">
        <w:t xml:space="preserve">: </w:t>
      </w:r>
    </w:p>
    <w:p w:rsidR="00CF6D02" w:rsidRPr="003C1602" w:rsidRDefault="00CF6D02" w:rsidP="003D7198">
      <w:pPr>
        <w:pStyle w:val="Bulletpoints"/>
        <w:ind w:left="1134"/>
      </w:pPr>
      <w:r w:rsidRPr="003C1602">
        <w:t>10 (</w:t>
      </w:r>
      <w:r w:rsidR="00806377">
        <w:t xml:space="preserve">out of </w:t>
      </w:r>
      <w:r w:rsidRPr="003C1602">
        <w:t xml:space="preserve">20) patients (50%) are aged 3-10 years and these are the only patients who would potentially switch from </w:t>
      </w:r>
      <w:proofErr w:type="spellStart"/>
      <w:r w:rsidRPr="003C1602">
        <w:t>Renastart</w:t>
      </w:r>
      <w:proofErr w:type="spellEnd"/>
      <w:r w:rsidRPr="003C1602">
        <w:t xml:space="preserve"> to </w:t>
      </w:r>
      <w:proofErr w:type="spellStart"/>
      <w:r w:rsidRPr="003C1602">
        <w:t>Renastep</w:t>
      </w:r>
      <w:proofErr w:type="spellEnd"/>
      <w:r w:rsidR="003C1602">
        <w:t xml:space="preserve">. </w:t>
      </w:r>
    </w:p>
    <w:p w:rsidR="00CF6D02" w:rsidRPr="003C1602" w:rsidRDefault="00CF6D02" w:rsidP="003D7198">
      <w:pPr>
        <w:pStyle w:val="Bulletpoints"/>
        <w:ind w:left="1134"/>
      </w:pPr>
      <w:r w:rsidRPr="003C1602">
        <w:t xml:space="preserve">5 (50%) of these patients are aged 3-5 years and </w:t>
      </w:r>
      <w:r w:rsidR="00263951" w:rsidRPr="003C1602">
        <w:t>therefore</w:t>
      </w:r>
      <w:r w:rsidRPr="003C1602">
        <w:t xml:space="preserve"> the remaining 5 patients are aged 5 </w:t>
      </w:r>
      <w:r w:rsidR="0059639C" w:rsidRPr="003C1602">
        <w:t xml:space="preserve">to </w:t>
      </w:r>
      <w:r w:rsidRPr="003C1602">
        <w:t xml:space="preserve">≤10 years. </w:t>
      </w:r>
    </w:p>
    <w:p w:rsidR="00C00DA7" w:rsidRPr="009A7177" w:rsidRDefault="00FF2801" w:rsidP="003D7198">
      <w:pPr>
        <w:pStyle w:val="3Bodytext"/>
      </w:pPr>
      <w:r w:rsidRPr="003C1602">
        <w:t>The minor submission estimated</w:t>
      </w:r>
      <w:r w:rsidR="00F279F3" w:rsidRPr="003C1602">
        <w:t xml:space="preserve"> a</w:t>
      </w:r>
      <w:r w:rsidR="00C00DA7" w:rsidRPr="003C1602">
        <w:t xml:space="preserve"> </w:t>
      </w:r>
      <w:r w:rsidR="00F279F3" w:rsidRPr="003C1602">
        <w:t>cost</w:t>
      </w:r>
      <w:r w:rsidR="00C00DA7" w:rsidRPr="003C1602">
        <w:t xml:space="preserve"> to the PBS of </w:t>
      </w:r>
      <w:r w:rsidR="002F7B0E">
        <w:t xml:space="preserve">less than $10 million </w:t>
      </w:r>
      <w:r w:rsidR="00C00DA7" w:rsidRPr="003C1602">
        <w:t xml:space="preserve">in Year </w:t>
      </w:r>
      <w:r w:rsidR="00977BF3" w:rsidRPr="003C1602">
        <w:t>6</w:t>
      </w:r>
      <w:r w:rsidR="00F279F3" w:rsidRPr="003C1602">
        <w:t xml:space="preserve"> of listing, with a total</w:t>
      </w:r>
      <w:r w:rsidR="00C00DA7" w:rsidRPr="003C1602">
        <w:t xml:space="preserve"> cost to the PBS of </w:t>
      </w:r>
      <w:r w:rsidR="002F7B0E">
        <w:t xml:space="preserve">less than $10 million </w:t>
      </w:r>
      <w:r w:rsidR="00C00DA7" w:rsidRPr="003C1602">
        <w:t>ove</w:t>
      </w:r>
      <w:r w:rsidR="00C7409E" w:rsidRPr="003C1602">
        <w:t xml:space="preserve">r the first </w:t>
      </w:r>
      <w:r w:rsidR="00977BF3" w:rsidRPr="003C1602">
        <w:t>6</w:t>
      </w:r>
      <w:r w:rsidR="00C7409E" w:rsidRPr="003C1602">
        <w:t xml:space="preserve"> years of listing</w:t>
      </w:r>
      <w:r w:rsidR="00924581">
        <w:t xml:space="preserve"> based on the proposed price</w:t>
      </w:r>
      <w:r w:rsidR="00C7409E" w:rsidRPr="003C1602">
        <w:t xml:space="preserve">. </w:t>
      </w:r>
      <w:r w:rsidR="00C00DA7" w:rsidRPr="003C1602">
        <w:t xml:space="preserve">This is summarised in </w:t>
      </w:r>
      <w:r w:rsidR="00DA6F39" w:rsidRPr="003C1602">
        <w:t>Table 3 with</w:t>
      </w:r>
      <w:r w:rsidR="00C00DA7" w:rsidRPr="003C1602">
        <w:t xml:space="preserve"> </w:t>
      </w:r>
      <w:r w:rsidR="00977BF3" w:rsidRPr="003C1602">
        <w:t xml:space="preserve">the </w:t>
      </w:r>
      <w:r w:rsidR="00DA6F39" w:rsidRPr="003C1602">
        <w:t>S</w:t>
      </w:r>
      <w:r w:rsidR="00263951" w:rsidRPr="003C1602">
        <w:t xml:space="preserve">ponsor’s </w:t>
      </w:r>
      <w:r w:rsidR="00977BF3" w:rsidRPr="003C1602">
        <w:t xml:space="preserve">expected patient and </w:t>
      </w:r>
      <w:r w:rsidR="00C00DA7" w:rsidRPr="003C1602">
        <w:t xml:space="preserve">prescription numbers. </w:t>
      </w:r>
    </w:p>
    <w:p w:rsidR="00C7409E" w:rsidRPr="003C1602" w:rsidRDefault="00C7409E" w:rsidP="003D7198">
      <w:pPr>
        <w:pStyle w:val="Tabletitles"/>
        <w:keepNext/>
        <w:keepLines/>
      </w:pPr>
      <w:r w:rsidRPr="003C1602">
        <w:rPr>
          <w:rStyle w:val="CommentReference"/>
          <w:sz w:val="20"/>
          <w:szCs w:val="20"/>
        </w:rPr>
        <w:lastRenderedPageBreak/>
        <w:t xml:space="preserve">Table </w:t>
      </w:r>
      <w:r w:rsidR="00DA6F39" w:rsidRPr="003C1602">
        <w:rPr>
          <w:rStyle w:val="CommentReference"/>
          <w:sz w:val="20"/>
          <w:szCs w:val="20"/>
        </w:rPr>
        <w:t>3</w:t>
      </w:r>
      <w:r w:rsidRPr="003C1602">
        <w:rPr>
          <w:rStyle w:val="CommentReference"/>
          <w:sz w:val="20"/>
          <w:szCs w:val="20"/>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0"/>
        <w:gridCol w:w="1148"/>
        <w:gridCol w:w="1149"/>
        <w:gridCol w:w="1149"/>
        <w:gridCol w:w="1149"/>
        <w:gridCol w:w="1149"/>
        <w:gridCol w:w="1152"/>
      </w:tblGrid>
      <w:tr w:rsidR="00FE73D6" w:rsidRPr="003D7198" w:rsidTr="003D7198">
        <w:trPr>
          <w:tblHeader/>
        </w:trPr>
        <w:tc>
          <w:tcPr>
            <w:tcW w:w="1176" w:type="pct"/>
            <w:shd w:val="clear" w:color="auto" w:fill="auto"/>
            <w:vAlign w:val="center"/>
          </w:tcPr>
          <w:p w:rsidR="00C7409E" w:rsidRPr="003D7198" w:rsidRDefault="00C7409E" w:rsidP="003D7198">
            <w:pPr>
              <w:pStyle w:val="Tabletext"/>
              <w:keepNext/>
              <w:keepLines/>
              <w:spacing w:after="0"/>
              <w:jc w:val="both"/>
              <w:rPr>
                <w:rFonts w:ascii="Arial Narrow" w:hAnsi="Arial Narrow"/>
              </w:rPr>
            </w:pPr>
          </w:p>
        </w:tc>
        <w:tc>
          <w:tcPr>
            <w:tcW w:w="637" w:type="pct"/>
            <w:shd w:val="clear" w:color="auto" w:fill="auto"/>
            <w:vAlign w:val="center"/>
          </w:tcPr>
          <w:p w:rsidR="00C7409E" w:rsidRPr="003D7198" w:rsidRDefault="00C7409E" w:rsidP="003D7198">
            <w:pPr>
              <w:pStyle w:val="Tabletext"/>
              <w:keepNext/>
              <w:keepLines/>
              <w:spacing w:after="0"/>
              <w:jc w:val="center"/>
              <w:rPr>
                <w:rFonts w:ascii="Arial Narrow" w:hAnsi="Arial Narrow"/>
                <w:b/>
              </w:rPr>
            </w:pPr>
            <w:r w:rsidRPr="003D7198">
              <w:rPr>
                <w:rFonts w:ascii="Arial Narrow" w:hAnsi="Arial Narrow"/>
                <w:b/>
              </w:rPr>
              <w:t>Year 1</w:t>
            </w:r>
          </w:p>
        </w:tc>
        <w:tc>
          <w:tcPr>
            <w:tcW w:w="637" w:type="pct"/>
            <w:shd w:val="clear" w:color="auto" w:fill="auto"/>
            <w:vAlign w:val="center"/>
          </w:tcPr>
          <w:p w:rsidR="00C7409E" w:rsidRPr="003D7198" w:rsidRDefault="00C7409E" w:rsidP="003D7198">
            <w:pPr>
              <w:pStyle w:val="Tabletext"/>
              <w:keepNext/>
              <w:keepLines/>
              <w:spacing w:after="0"/>
              <w:jc w:val="center"/>
              <w:rPr>
                <w:rFonts w:ascii="Arial Narrow" w:hAnsi="Arial Narrow"/>
                <w:b/>
              </w:rPr>
            </w:pPr>
            <w:r w:rsidRPr="003D7198">
              <w:rPr>
                <w:rFonts w:ascii="Arial Narrow" w:hAnsi="Arial Narrow"/>
                <w:b/>
              </w:rPr>
              <w:t>Year 2</w:t>
            </w:r>
          </w:p>
        </w:tc>
        <w:tc>
          <w:tcPr>
            <w:tcW w:w="637" w:type="pct"/>
            <w:shd w:val="clear" w:color="auto" w:fill="auto"/>
            <w:vAlign w:val="center"/>
          </w:tcPr>
          <w:p w:rsidR="00C7409E" w:rsidRPr="003D7198" w:rsidRDefault="00C7409E" w:rsidP="003D7198">
            <w:pPr>
              <w:pStyle w:val="Tabletext"/>
              <w:keepNext/>
              <w:keepLines/>
              <w:spacing w:after="0"/>
              <w:jc w:val="center"/>
              <w:rPr>
                <w:rFonts w:ascii="Arial Narrow" w:hAnsi="Arial Narrow"/>
                <w:b/>
              </w:rPr>
            </w:pPr>
            <w:r w:rsidRPr="003D7198">
              <w:rPr>
                <w:rFonts w:ascii="Arial Narrow" w:hAnsi="Arial Narrow"/>
                <w:b/>
              </w:rPr>
              <w:t>Year 3</w:t>
            </w:r>
          </w:p>
        </w:tc>
        <w:tc>
          <w:tcPr>
            <w:tcW w:w="637" w:type="pct"/>
            <w:shd w:val="clear" w:color="auto" w:fill="auto"/>
            <w:vAlign w:val="center"/>
          </w:tcPr>
          <w:p w:rsidR="00C7409E" w:rsidRPr="003D7198" w:rsidRDefault="00C7409E" w:rsidP="003D7198">
            <w:pPr>
              <w:pStyle w:val="Tabletext"/>
              <w:keepNext/>
              <w:keepLines/>
              <w:spacing w:after="0"/>
              <w:jc w:val="center"/>
              <w:rPr>
                <w:rFonts w:ascii="Arial Narrow" w:hAnsi="Arial Narrow"/>
                <w:b/>
              </w:rPr>
            </w:pPr>
            <w:r w:rsidRPr="003D7198">
              <w:rPr>
                <w:rFonts w:ascii="Arial Narrow" w:hAnsi="Arial Narrow"/>
                <w:b/>
              </w:rPr>
              <w:t>Year 4</w:t>
            </w:r>
          </w:p>
        </w:tc>
        <w:tc>
          <w:tcPr>
            <w:tcW w:w="637" w:type="pct"/>
            <w:shd w:val="clear" w:color="auto" w:fill="auto"/>
            <w:vAlign w:val="center"/>
          </w:tcPr>
          <w:p w:rsidR="00C7409E" w:rsidRPr="003D7198" w:rsidRDefault="00C7409E" w:rsidP="003D7198">
            <w:pPr>
              <w:pStyle w:val="Tabletext"/>
              <w:keepNext/>
              <w:keepLines/>
              <w:spacing w:after="0"/>
              <w:jc w:val="center"/>
              <w:rPr>
                <w:rFonts w:ascii="Arial Narrow" w:hAnsi="Arial Narrow"/>
                <w:b/>
              </w:rPr>
            </w:pPr>
            <w:r w:rsidRPr="003D7198">
              <w:rPr>
                <w:rFonts w:ascii="Arial Narrow" w:hAnsi="Arial Narrow"/>
                <w:b/>
              </w:rPr>
              <w:t>Year 5</w:t>
            </w:r>
          </w:p>
        </w:tc>
        <w:tc>
          <w:tcPr>
            <w:tcW w:w="638" w:type="pct"/>
          </w:tcPr>
          <w:p w:rsidR="00C7409E" w:rsidRPr="003D7198" w:rsidRDefault="00C7409E" w:rsidP="003D7198">
            <w:pPr>
              <w:pStyle w:val="Tabletext"/>
              <w:keepNext/>
              <w:keepLines/>
              <w:spacing w:after="0"/>
              <w:jc w:val="center"/>
              <w:rPr>
                <w:rFonts w:ascii="Arial Narrow" w:hAnsi="Arial Narrow"/>
                <w:b/>
              </w:rPr>
            </w:pPr>
            <w:r w:rsidRPr="003D7198">
              <w:rPr>
                <w:rFonts w:ascii="Arial Narrow" w:hAnsi="Arial Narrow"/>
                <w:b/>
              </w:rPr>
              <w:t>Year 6</w:t>
            </w:r>
          </w:p>
        </w:tc>
      </w:tr>
      <w:tr w:rsidR="00C7409E" w:rsidRPr="003D7198" w:rsidTr="003D7198">
        <w:tc>
          <w:tcPr>
            <w:tcW w:w="5000" w:type="pct"/>
            <w:gridSpan w:val="7"/>
            <w:shd w:val="clear" w:color="auto" w:fill="auto"/>
            <w:vAlign w:val="center"/>
          </w:tcPr>
          <w:p w:rsidR="00C7409E" w:rsidRPr="003D7198" w:rsidRDefault="00C7409E" w:rsidP="003D7198">
            <w:pPr>
              <w:pStyle w:val="Tabletext"/>
              <w:keepNext/>
              <w:keepLines/>
              <w:spacing w:after="0"/>
              <w:jc w:val="both"/>
              <w:rPr>
                <w:rFonts w:ascii="Arial Narrow" w:hAnsi="Arial Narrow"/>
                <w:b/>
                <w:bCs/>
                <w:color w:val="000000"/>
              </w:rPr>
            </w:pPr>
            <w:r w:rsidRPr="003D7198">
              <w:rPr>
                <w:rFonts w:ascii="Arial Narrow" w:hAnsi="Arial Narrow"/>
                <w:b/>
                <w:bCs/>
                <w:color w:val="000000"/>
              </w:rPr>
              <w:t>Estimated extent of use</w:t>
            </w:r>
          </w:p>
        </w:tc>
      </w:tr>
      <w:tr w:rsidR="00FE73D6" w:rsidRPr="003D7198" w:rsidTr="003D7198">
        <w:tc>
          <w:tcPr>
            <w:tcW w:w="1176" w:type="pct"/>
            <w:shd w:val="clear" w:color="auto" w:fill="auto"/>
            <w:vAlign w:val="center"/>
          </w:tcPr>
          <w:p w:rsidR="00C7409E" w:rsidRPr="003D7198" w:rsidRDefault="00C7409E" w:rsidP="003D7198">
            <w:pPr>
              <w:pStyle w:val="Tabletext"/>
              <w:keepNext/>
              <w:keepLines/>
              <w:spacing w:after="0"/>
              <w:jc w:val="both"/>
              <w:rPr>
                <w:rFonts w:ascii="Arial Narrow" w:hAnsi="Arial Narrow"/>
              </w:rPr>
            </w:pPr>
            <w:r w:rsidRPr="003D7198">
              <w:rPr>
                <w:rFonts w:ascii="Arial Narrow" w:hAnsi="Arial Narrow"/>
              </w:rPr>
              <w:t>Number of patients treated</w:t>
            </w:r>
          </w:p>
        </w:tc>
        <w:tc>
          <w:tcPr>
            <w:tcW w:w="637" w:type="pct"/>
            <w:shd w:val="clear" w:color="auto" w:fill="auto"/>
            <w:vAlign w:val="center"/>
          </w:tcPr>
          <w:p w:rsidR="00C7409E"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7" w:type="pct"/>
            <w:shd w:val="clear" w:color="auto" w:fill="auto"/>
            <w:vAlign w:val="center"/>
          </w:tcPr>
          <w:p w:rsidR="00C7409E"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7" w:type="pct"/>
            <w:shd w:val="clear" w:color="auto" w:fill="auto"/>
            <w:vAlign w:val="center"/>
          </w:tcPr>
          <w:p w:rsidR="00C7409E"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7" w:type="pct"/>
            <w:shd w:val="clear" w:color="auto" w:fill="auto"/>
            <w:vAlign w:val="center"/>
          </w:tcPr>
          <w:p w:rsidR="00C7409E"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7" w:type="pct"/>
            <w:shd w:val="clear" w:color="auto" w:fill="auto"/>
            <w:vAlign w:val="center"/>
          </w:tcPr>
          <w:p w:rsidR="00C7409E"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8" w:type="pct"/>
          </w:tcPr>
          <w:p w:rsidR="00C7409E"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r>
      <w:tr w:rsidR="00FE73D6" w:rsidRPr="003D7198" w:rsidTr="003D7198">
        <w:tc>
          <w:tcPr>
            <w:tcW w:w="1176" w:type="pct"/>
            <w:shd w:val="clear" w:color="auto" w:fill="auto"/>
            <w:vAlign w:val="center"/>
          </w:tcPr>
          <w:p w:rsidR="00C7409E" w:rsidRPr="003D7198" w:rsidRDefault="00C7409E" w:rsidP="00A5390C">
            <w:pPr>
              <w:pStyle w:val="Tabletext"/>
              <w:keepNext/>
              <w:keepLines/>
              <w:spacing w:after="0"/>
              <w:rPr>
                <w:rFonts w:ascii="Arial Narrow" w:hAnsi="Arial Narrow"/>
              </w:rPr>
            </w:pPr>
            <w:r w:rsidRPr="003D7198">
              <w:rPr>
                <w:rFonts w:ascii="Arial Narrow" w:hAnsi="Arial Narrow"/>
              </w:rPr>
              <w:t xml:space="preserve">Number of scripts </w:t>
            </w:r>
            <w:proofErr w:type="spellStart"/>
            <w:r w:rsidRPr="003D7198">
              <w:rPr>
                <w:rFonts w:ascii="Arial Narrow" w:hAnsi="Arial Narrow"/>
              </w:rPr>
              <w:t>dispensed</w:t>
            </w:r>
            <w:r w:rsidRPr="003D7198">
              <w:rPr>
                <w:rFonts w:ascii="Arial Narrow" w:hAnsi="Arial Narrow"/>
                <w:vertAlign w:val="superscript"/>
              </w:rPr>
              <w:t>a</w:t>
            </w:r>
            <w:proofErr w:type="spellEnd"/>
          </w:p>
        </w:tc>
        <w:tc>
          <w:tcPr>
            <w:tcW w:w="637" w:type="pct"/>
            <w:shd w:val="clear" w:color="auto" w:fill="auto"/>
            <w:vAlign w:val="center"/>
          </w:tcPr>
          <w:p w:rsidR="00C7409E"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7" w:type="pct"/>
            <w:shd w:val="clear" w:color="auto" w:fill="auto"/>
            <w:vAlign w:val="center"/>
          </w:tcPr>
          <w:p w:rsidR="00C7409E"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7" w:type="pct"/>
            <w:shd w:val="clear" w:color="auto" w:fill="auto"/>
            <w:vAlign w:val="center"/>
          </w:tcPr>
          <w:p w:rsidR="00C7409E"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7" w:type="pct"/>
            <w:shd w:val="clear" w:color="auto" w:fill="auto"/>
            <w:vAlign w:val="center"/>
          </w:tcPr>
          <w:p w:rsidR="00C7409E"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7" w:type="pct"/>
            <w:shd w:val="clear" w:color="auto" w:fill="auto"/>
            <w:vAlign w:val="center"/>
          </w:tcPr>
          <w:p w:rsidR="00C7409E"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8" w:type="pct"/>
            <w:vAlign w:val="center"/>
          </w:tcPr>
          <w:p w:rsidR="00C7409E"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r>
      <w:tr w:rsidR="00C7409E" w:rsidRPr="003D7198" w:rsidTr="003D7198">
        <w:tc>
          <w:tcPr>
            <w:tcW w:w="5000" w:type="pct"/>
            <w:gridSpan w:val="7"/>
            <w:shd w:val="clear" w:color="auto" w:fill="auto"/>
            <w:vAlign w:val="center"/>
          </w:tcPr>
          <w:p w:rsidR="00C7409E" w:rsidRPr="003D7198" w:rsidRDefault="00C7409E" w:rsidP="003D7198">
            <w:pPr>
              <w:pStyle w:val="Tabletext"/>
              <w:keepNext/>
              <w:keepLines/>
              <w:spacing w:after="0"/>
              <w:jc w:val="both"/>
              <w:rPr>
                <w:rFonts w:ascii="Arial Narrow" w:hAnsi="Arial Narrow"/>
                <w:b/>
                <w:bCs/>
                <w:color w:val="000000"/>
              </w:rPr>
            </w:pPr>
            <w:r w:rsidRPr="003D7198">
              <w:rPr>
                <w:rFonts w:ascii="Arial Narrow" w:hAnsi="Arial Narrow"/>
                <w:b/>
                <w:bCs/>
                <w:color w:val="000000"/>
              </w:rPr>
              <w:t>Estimated financial implic</w:t>
            </w:r>
            <w:r w:rsidR="00F279F3" w:rsidRPr="003D7198">
              <w:rPr>
                <w:rFonts w:ascii="Arial Narrow" w:hAnsi="Arial Narrow"/>
                <w:b/>
                <w:bCs/>
                <w:color w:val="000000"/>
              </w:rPr>
              <w:t xml:space="preserve">ations of </w:t>
            </w:r>
            <w:proofErr w:type="spellStart"/>
            <w:r w:rsidR="00F279F3" w:rsidRPr="003D7198">
              <w:rPr>
                <w:rFonts w:ascii="Arial Narrow" w:hAnsi="Arial Narrow"/>
                <w:b/>
                <w:bCs/>
                <w:color w:val="000000"/>
              </w:rPr>
              <w:t>Renas</w:t>
            </w:r>
            <w:r w:rsidR="00A44048" w:rsidRPr="003D7198">
              <w:rPr>
                <w:rFonts w:ascii="Arial Narrow" w:hAnsi="Arial Narrow"/>
                <w:b/>
                <w:bCs/>
                <w:color w:val="000000"/>
              </w:rPr>
              <w:t>tep</w:t>
            </w:r>
            <w:proofErr w:type="spellEnd"/>
          </w:p>
        </w:tc>
      </w:tr>
      <w:tr w:rsidR="00FE73D6" w:rsidRPr="003D7198" w:rsidTr="003D7198">
        <w:tc>
          <w:tcPr>
            <w:tcW w:w="1176" w:type="pct"/>
            <w:shd w:val="clear" w:color="auto" w:fill="auto"/>
            <w:vAlign w:val="center"/>
          </w:tcPr>
          <w:p w:rsidR="0031680C" w:rsidRPr="003D7198" w:rsidRDefault="0031680C" w:rsidP="003D7198">
            <w:pPr>
              <w:pStyle w:val="Tabletext"/>
              <w:keepNext/>
              <w:keepLines/>
              <w:spacing w:after="0"/>
              <w:jc w:val="both"/>
              <w:rPr>
                <w:rFonts w:ascii="Arial Narrow" w:hAnsi="Arial Narrow"/>
              </w:rPr>
            </w:pPr>
            <w:r w:rsidRPr="003D7198">
              <w:rPr>
                <w:rFonts w:ascii="Arial Narrow" w:hAnsi="Arial Narrow"/>
              </w:rPr>
              <w:t>Cost to PBS/RPBS</w:t>
            </w:r>
          </w:p>
        </w:tc>
        <w:tc>
          <w:tcPr>
            <w:tcW w:w="637" w:type="pct"/>
            <w:shd w:val="clear" w:color="auto" w:fill="auto"/>
          </w:tcPr>
          <w:p w:rsidR="0031680C"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7" w:type="pct"/>
            <w:shd w:val="clear" w:color="auto" w:fill="auto"/>
          </w:tcPr>
          <w:p w:rsidR="0031680C"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7" w:type="pct"/>
            <w:shd w:val="clear" w:color="auto" w:fill="auto"/>
          </w:tcPr>
          <w:p w:rsidR="0031680C"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7" w:type="pct"/>
            <w:shd w:val="clear" w:color="auto" w:fill="auto"/>
          </w:tcPr>
          <w:p w:rsidR="0031680C"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7" w:type="pct"/>
            <w:shd w:val="clear" w:color="auto" w:fill="auto"/>
          </w:tcPr>
          <w:p w:rsidR="0031680C"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8" w:type="pct"/>
          </w:tcPr>
          <w:p w:rsidR="0031680C"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r>
      <w:tr w:rsidR="00FE73D6" w:rsidRPr="003D7198" w:rsidTr="003D7198">
        <w:tc>
          <w:tcPr>
            <w:tcW w:w="1176" w:type="pct"/>
            <w:shd w:val="clear" w:color="auto" w:fill="auto"/>
            <w:vAlign w:val="center"/>
          </w:tcPr>
          <w:p w:rsidR="0031680C" w:rsidRPr="003D7198" w:rsidRDefault="0031680C" w:rsidP="003D7198">
            <w:pPr>
              <w:pStyle w:val="Tabletext"/>
              <w:keepNext/>
              <w:keepLines/>
              <w:spacing w:after="0"/>
              <w:jc w:val="both"/>
              <w:rPr>
                <w:rFonts w:ascii="Arial Narrow" w:hAnsi="Arial Narrow"/>
              </w:rPr>
            </w:pPr>
            <w:proofErr w:type="spellStart"/>
            <w:r w:rsidRPr="003D7198">
              <w:rPr>
                <w:rFonts w:ascii="Arial Narrow" w:hAnsi="Arial Narrow"/>
              </w:rPr>
              <w:t>Copayments</w:t>
            </w:r>
            <w:proofErr w:type="spellEnd"/>
          </w:p>
        </w:tc>
        <w:tc>
          <w:tcPr>
            <w:tcW w:w="637" w:type="pct"/>
            <w:shd w:val="clear" w:color="auto" w:fill="auto"/>
          </w:tcPr>
          <w:p w:rsidR="0031680C"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7" w:type="pct"/>
            <w:shd w:val="clear" w:color="auto" w:fill="auto"/>
          </w:tcPr>
          <w:p w:rsidR="0031680C"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7" w:type="pct"/>
            <w:shd w:val="clear" w:color="auto" w:fill="auto"/>
          </w:tcPr>
          <w:p w:rsidR="0031680C"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7" w:type="pct"/>
            <w:shd w:val="clear" w:color="auto" w:fill="auto"/>
          </w:tcPr>
          <w:p w:rsidR="0031680C"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7" w:type="pct"/>
            <w:shd w:val="clear" w:color="auto" w:fill="auto"/>
          </w:tcPr>
          <w:p w:rsidR="0031680C"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8" w:type="pct"/>
          </w:tcPr>
          <w:p w:rsidR="0031680C"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r>
      <w:tr w:rsidR="00FE73D6" w:rsidRPr="003D7198" w:rsidTr="003D7198">
        <w:tc>
          <w:tcPr>
            <w:tcW w:w="1176" w:type="pct"/>
            <w:shd w:val="clear" w:color="auto" w:fill="auto"/>
            <w:vAlign w:val="center"/>
          </w:tcPr>
          <w:p w:rsidR="00A16D87" w:rsidRPr="003D7198" w:rsidRDefault="00A16D87" w:rsidP="003D7198">
            <w:pPr>
              <w:pStyle w:val="Tabletext"/>
              <w:keepNext/>
              <w:keepLines/>
              <w:spacing w:after="0"/>
              <w:jc w:val="both"/>
              <w:rPr>
                <w:rFonts w:ascii="Arial Narrow" w:hAnsi="Arial Narrow"/>
              </w:rPr>
            </w:pPr>
            <w:r w:rsidRPr="003D7198">
              <w:rPr>
                <w:rFonts w:ascii="Arial Narrow" w:hAnsi="Arial Narrow"/>
              </w:rPr>
              <w:t>Cost to PBS/RPBS</w:t>
            </w:r>
            <w:r w:rsidR="00A44048" w:rsidRPr="003D7198">
              <w:rPr>
                <w:rFonts w:ascii="Arial Narrow" w:hAnsi="Arial Narrow"/>
              </w:rPr>
              <w:t xml:space="preserve"> (without co-payment)</w:t>
            </w:r>
          </w:p>
        </w:tc>
        <w:tc>
          <w:tcPr>
            <w:tcW w:w="637" w:type="pct"/>
            <w:shd w:val="clear" w:color="auto" w:fill="auto"/>
          </w:tcPr>
          <w:p w:rsidR="00A16D87"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7" w:type="pct"/>
            <w:shd w:val="clear" w:color="auto" w:fill="auto"/>
          </w:tcPr>
          <w:p w:rsidR="00A16D87"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7" w:type="pct"/>
            <w:shd w:val="clear" w:color="auto" w:fill="auto"/>
          </w:tcPr>
          <w:p w:rsidR="00A16D87"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7" w:type="pct"/>
            <w:shd w:val="clear" w:color="auto" w:fill="auto"/>
          </w:tcPr>
          <w:p w:rsidR="00A16D87"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7" w:type="pct"/>
            <w:shd w:val="clear" w:color="auto" w:fill="auto"/>
          </w:tcPr>
          <w:p w:rsidR="00A16D87"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8" w:type="pct"/>
          </w:tcPr>
          <w:p w:rsidR="00A16D87"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r>
      <w:tr w:rsidR="0031680C" w:rsidRPr="003D7198" w:rsidTr="003D7198">
        <w:tc>
          <w:tcPr>
            <w:tcW w:w="5000" w:type="pct"/>
            <w:gridSpan w:val="7"/>
            <w:shd w:val="clear" w:color="auto" w:fill="auto"/>
            <w:vAlign w:val="center"/>
          </w:tcPr>
          <w:p w:rsidR="0031680C" w:rsidRPr="003D7198" w:rsidRDefault="0031680C" w:rsidP="003D7198">
            <w:pPr>
              <w:pStyle w:val="Tabletext"/>
              <w:keepNext/>
              <w:keepLines/>
              <w:spacing w:after="0"/>
              <w:jc w:val="both"/>
              <w:rPr>
                <w:rFonts w:ascii="Arial Narrow" w:hAnsi="Arial Narrow"/>
                <w:b/>
                <w:bCs/>
                <w:color w:val="000000"/>
              </w:rPr>
            </w:pPr>
            <w:r w:rsidRPr="003D7198">
              <w:rPr>
                <w:rFonts w:ascii="Arial Narrow" w:hAnsi="Arial Narrow"/>
                <w:b/>
                <w:bCs/>
                <w:color w:val="000000"/>
              </w:rPr>
              <w:t xml:space="preserve">Estimated financial implications for replacement of </w:t>
            </w:r>
            <w:proofErr w:type="spellStart"/>
            <w:r w:rsidRPr="003D7198">
              <w:rPr>
                <w:rFonts w:ascii="Arial Narrow" w:hAnsi="Arial Narrow"/>
                <w:b/>
                <w:bCs/>
                <w:color w:val="000000"/>
              </w:rPr>
              <w:t>Renastart</w:t>
            </w:r>
            <w:proofErr w:type="spellEnd"/>
          </w:p>
        </w:tc>
      </w:tr>
      <w:tr w:rsidR="00FE73D6" w:rsidRPr="003D7198" w:rsidTr="003D7198">
        <w:tc>
          <w:tcPr>
            <w:tcW w:w="1176" w:type="pct"/>
            <w:shd w:val="clear" w:color="auto" w:fill="auto"/>
            <w:vAlign w:val="center"/>
          </w:tcPr>
          <w:p w:rsidR="0031680C" w:rsidRPr="003D7198" w:rsidRDefault="0031680C" w:rsidP="003D7198">
            <w:pPr>
              <w:pStyle w:val="Tabletext"/>
              <w:keepNext/>
              <w:keepLines/>
              <w:spacing w:after="0"/>
              <w:jc w:val="both"/>
              <w:rPr>
                <w:rFonts w:ascii="Arial Narrow" w:hAnsi="Arial Narrow"/>
              </w:rPr>
            </w:pPr>
            <w:r w:rsidRPr="003D7198">
              <w:rPr>
                <w:rFonts w:ascii="Arial Narrow" w:hAnsi="Arial Narrow"/>
              </w:rPr>
              <w:t>Cost to PBS/RPBS</w:t>
            </w:r>
          </w:p>
        </w:tc>
        <w:tc>
          <w:tcPr>
            <w:tcW w:w="637" w:type="pct"/>
            <w:shd w:val="clear" w:color="auto" w:fill="auto"/>
          </w:tcPr>
          <w:p w:rsidR="0031680C"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7" w:type="pct"/>
            <w:shd w:val="clear" w:color="auto" w:fill="auto"/>
          </w:tcPr>
          <w:p w:rsidR="0031680C"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7" w:type="pct"/>
            <w:shd w:val="clear" w:color="auto" w:fill="auto"/>
          </w:tcPr>
          <w:p w:rsidR="0031680C"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7" w:type="pct"/>
            <w:shd w:val="clear" w:color="auto" w:fill="auto"/>
          </w:tcPr>
          <w:p w:rsidR="0031680C"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7" w:type="pct"/>
            <w:shd w:val="clear" w:color="auto" w:fill="auto"/>
          </w:tcPr>
          <w:p w:rsidR="0031680C"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8" w:type="pct"/>
          </w:tcPr>
          <w:p w:rsidR="0031680C"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r>
      <w:tr w:rsidR="00FE73D6" w:rsidRPr="003D7198" w:rsidTr="003D7198">
        <w:tc>
          <w:tcPr>
            <w:tcW w:w="1176" w:type="pct"/>
            <w:shd w:val="clear" w:color="auto" w:fill="auto"/>
            <w:vAlign w:val="center"/>
          </w:tcPr>
          <w:p w:rsidR="0031680C" w:rsidRPr="003D7198" w:rsidRDefault="0031680C" w:rsidP="003D7198">
            <w:pPr>
              <w:pStyle w:val="Tabletext"/>
              <w:keepNext/>
              <w:keepLines/>
              <w:spacing w:after="0"/>
              <w:jc w:val="both"/>
              <w:rPr>
                <w:rFonts w:ascii="Arial Narrow" w:hAnsi="Arial Narrow"/>
              </w:rPr>
            </w:pPr>
            <w:proofErr w:type="spellStart"/>
            <w:r w:rsidRPr="003D7198">
              <w:rPr>
                <w:rFonts w:ascii="Arial Narrow" w:hAnsi="Arial Narrow"/>
              </w:rPr>
              <w:t>Copayments</w:t>
            </w:r>
            <w:proofErr w:type="spellEnd"/>
          </w:p>
        </w:tc>
        <w:tc>
          <w:tcPr>
            <w:tcW w:w="637" w:type="pct"/>
            <w:shd w:val="clear" w:color="auto" w:fill="auto"/>
          </w:tcPr>
          <w:p w:rsidR="0031680C"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7" w:type="pct"/>
            <w:shd w:val="clear" w:color="auto" w:fill="auto"/>
          </w:tcPr>
          <w:p w:rsidR="0031680C"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7" w:type="pct"/>
            <w:shd w:val="clear" w:color="auto" w:fill="auto"/>
          </w:tcPr>
          <w:p w:rsidR="0031680C"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7" w:type="pct"/>
            <w:shd w:val="clear" w:color="auto" w:fill="auto"/>
          </w:tcPr>
          <w:p w:rsidR="0031680C"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7" w:type="pct"/>
            <w:shd w:val="clear" w:color="auto" w:fill="auto"/>
          </w:tcPr>
          <w:p w:rsidR="0031680C"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8" w:type="pct"/>
          </w:tcPr>
          <w:p w:rsidR="0031680C"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r>
      <w:tr w:rsidR="00FE73D6" w:rsidRPr="003D7198" w:rsidTr="003D7198">
        <w:tc>
          <w:tcPr>
            <w:tcW w:w="1176" w:type="pct"/>
            <w:shd w:val="clear" w:color="auto" w:fill="auto"/>
            <w:vAlign w:val="center"/>
          </w:tcPr>
          <w:p w:rsidR="0031680C" w:rsidRPr="003D7198" w:rsidRDefault="0031680C" w:rsidP="003D7198">
            <w:pPr>
              <w:pStyle w:val="Tabletext"/>
              <w:keepNext/>
              <w:keepLines/>
              <w:spacing w:after="0"/>
              <w:jc w:val="both"/>
              <w:rPr>
                <w:rFonts w:ascii="Arial Narrow" w:hAnsi="Arial Narrow"/>
              </w:rPr>
            </w:pPr>
            <w:r w:rsidRPr="003D7198">
              <w:rPr>
                <w:rFonts w:ascii="Arial Narrow" w:hAnsi="Arial Narrow"/>
              </w:rPr>
              <w:t>Cost to PBS/RPBS (without co-payment)</w:t>
            </w:r>
          </w:p>
        </w:tc>
        <w:tc>
          <w:tcPr>
            <w:tcW w:w="637" w:type="pct"/>
            <w:shd w:val="clear" w:color="auto" w:fill="auto"/>
          </w:tcPr>
          <w:p w:rsidR="0031680C"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7" w:type="pct"/>
            <w:shd w:val="clear" w:color="auto" w:fill="auto"/>
          </w:tcPr>
          <w:p w:rsidR="0031680C"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7" w:type="pct"/>
            <w:shd w:val="clear" w:color="auto" w:fill="auto"/>
          </w:tcPr>
          <w:p w:rsidR="0031680C"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7" w:type="pct"/>
            <w:shd w:val="clear" w:color="auto" w:fill="auto"/>
          </w:tcPr>
          <w:p w:rsidR="0031680C"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7" w:type="pct"/>
            <w:shd w:val="clear" w:color="auto" w:fill="auto"/>
          </w:tcPr>
          <w:p w:rsidR="0031680C"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c>
          <w:tcPr>
            <w:tcW w:w="638" w:type="pct"/>
          </w:tcPr>
          <w:p w:rsidR="0031680C" w:rsidRPr="00D968D9" w:rsidRDefault="00D968D9" w:rsidP="003D7198">
            <w:pPr>
              <w:pStyle w:val="Tabletext"/>
              <w:keepNext/>
              <w:keepLines/>
              <w:spacing w:after="0"/>
              <w:jc w:val="right"/>
              <w:rPr>
                <w:rFonts w:ascii="Arial Narrow" w:hAnsi="Arial Narrow"/>
                <w:bCs/>
                <w:color w:val="000000"/>
                <w:highlight w:val="black"/>
              </w:rPr>
            </w:pPr>
            <w:r>
              <w:rPr>
                <w:rFonts w:ascii="Arial Narrow" w:hAnsi="Arial Narrow"/>
                <w:bCs/>
                <w:noProof/>
                <w:color w:val="000000"/>
                <w:highlight w:val="black"/>
              </w:rPr>
              <w:t>''''''''''''''''''''''</w:t>
            </w:r>
          </w:p>
        </w:tc>
      </w:tr>
      <w:tr w:rsidR="0031680C" w:rsidRPr="003D7198" w:rsidTr="003D7198">
        <w:tc>
          <w:tcPr>
            <w:tcW w:w="5000" w:type="pct"/>
            <w:gridSpan w:val="7"/>
            <w:shd w:val="clear" w:color="auto" w:fill="auto"/>
            <w:vAlign w:val="center"/>
          </w:tcPr>
          <w:p w:rsidR="0031680C" w:rsidRPr="003D7198" w:rsidRDefault="0031680C" w:rsidP="003D7198">
            <w:pPr>
              <w:pStyle w:val="Tabletext"/>
              <w:keepNext/>
              <w:keepLines/>
              <w:spacing w:after="0"/>
              <w:jc w:val="both"/>
              <w:rPr>
                <w:rFonts w:ascii="Arial Narrow" w:hAnsi="Arial Narrow"/>
                <w:b/>
                <w:bCs/>
                <w:color w:val="000000"/>
              </w:rPr>
            </w:pPr>
            <w:r w:rsidRPr="003D7198">
              <w:rPr>
                <w:rFonts w:ascii="Arial Narrow" w:hAnsi="Arial Narrow"/>
                <w:b/>
                <w:bCs/>
                <w:color w:val="000000"/>
              </w:rPr>
              <w:t>Net financial implications</w:t>
            </w:r>
          </w:p>
        </w:tc>
      </w:tr>
      <w:tr w:rsidR="00FE73D6" w:rsidRPr="00D248B8" w:rsidTr="003D7198">
        <w:tc>
          <w:tcPr>
            <w:tcW w:w="1176" w:type="pct"/>
            <w:shd w:val="clear" w:color="auto" w:fill="auto"/>
            <w:vAlign w:val="center"/>
          </w:tcPr>
          <w:p w:rsidR="0031680C" w:rsidRPr="003D7198" w:rsidRDefault="0031680C" w:rsidP="003D7198">
            <w:pPr>
              <w:pStyle w:val="Tabletext"/>
              <w:keepNext/>
              <w:keepLines/>
              <w:spacing w:after="0"/>
              <w:jc w:val="both"/>
              <w:rPr>
                <w:rFonts w:ascii="Arial Narrow" w:hAnsi="Arial Narrow"/>
              </w:rPr>
            </w:pPr>
            <w:r w:rsidRPr="003D7198">
              <w:rPr>
                <w:rFonts w:ascii="Arial Narrow" w:hAnsi="Arial Narrow"/>
                <w:bCs/>
                <w:color w:val="000000"/>
              </w:rPr>
              <w:t>Net cost to PBS/RPBS</w:t>
            </w:r>
          </w:p>
        </w:tc>
        <w:tc>
          <w:tcPr>
            <w:tcW w:w="637" w:type="pct"/>
            <w:shd w:val="clear" w:color="auto" w:fill="auto"/>
          </w:tcPr>
          <w:p w:rsidR="0031680C" w:rsidRPr="00D968D9" w:rsidRDefault="00D968D9" w:rsidP="003D7198">
            <w:pPr>
              <w:pStyle w:val="Tabletext"/>
              <w:keepNext/>
              <w:keepLines/>
              <w:spacing w:after="0"/>
              <w:jc w:val="right"/>
              <w:rPr>
                <w:rFonts w:ascii="Arial Narrow" w:hAnsi="Arial Narrow"/>
                <w:b/>
                <w:bCs/>
                <w:color w:val="000000"/>
                <w:highlight w:val="black"/>
              </w:rPr>
            </w:pPr>
            <w:r>
              <w:rPr>
                <w:rFonts w:ascii="Arial Narrow" w:hAnsi="Arial Narrow"/>
                <w:b/>
                <w:bCs/>
                <w:noProof/>
                <w:color w:val="000000"/>
                <w:highlight w:val="black"/>
              </w:rPr>
              <w:t>''''''''''''''''''</w:t>
            </w:r>
          </w:p>
        </w:tc>
        <w:tc>
          <w:tcPr>
            <w:tcW w:w="637" w:type="pct"/>
            <w:shd w:val="clear" w:color="auto" w:fill="auto"/>
          </w:tcPr>
          <w:p w:rsidR="0031680C" w:rsidRPr="00D968D9" w:rsidRDefault="00D968D9" w:rsidP="003D7198">
            <w:pPr>
              <w:pStyle w:val="Tabletext"/>
              <w:keepNext/>
              <w:keepLines/>
              <w:spacing w:after="0"/>
              <w:jc w:val="right"/>
              <w:rPr>
                <w:rFonts w:ascii="Arial Narrow" w:hAnsi="Arial Narrow"/>
                <w:b/>
                <w:bCs/>
                <w:color w:val="000000"/>
                <w:highlight w:val="black"/>
              </w:rPr>
            </w:pPr>
            <w:r>
              <w:rPr>
                <w:rFonts w:ascii="Arial Narrow" w:hAnsi="Arial Narrow"/>
                <w:b/>
                <w:bCs/>
                <w:noProof/>
                <w:color w:val="000000"/>
                <w:highlight w:val="black"/>
              </w:rPr>
              <w:t>'''''''''''''''''</w:t>
            </w:r>
          </w:p>
        </w:tc>
        <w:tc>
          <w:tcPr>
            <w:tcW w:w="637" w:type="pct"/>
            <w:shd w:val="clear" w:color="auto" w:fill="auto"/>
          </w:tcPr>
          <w:p w:rsidR="0031680C" w:rsidRPr="00D968D9" w:rsidRDefault="00D968D9" w:rsidP="003D7198">
            <w:pPr>
              <w:pStyle w:val="Tabletext"/>
              <w:keepNext/>
              <w:keepLines/>
              <w:spacing w:after="0"/>
              <w:jc w:val="right"/>
              <w:rPr>
                <w:rFonts w:ascii="Arial Narrow" w:hAnsi="Arial Narrow"/>
                <w:b/>
                <w:bCs/>
                <w:color w:val="000000"/>
                <w:highlight w:val="black"/>
              </w:rPr>
            </w:pPr>
            <w:r>
              <w:rPr>
                <w:rFonts w:ascii="Arial Narrow" w:hAnsi="Arial Narrow"/>
                <w:b/>
                <w:bCs/>
                <w:noProof/>
                <w:color w:val="000000"/>
                <w:highlight w:val="black"/>
              </w:rPr>
              <w:t>'''''''''''''''</w:t>
            </w:r>
          </w:p>
        </w:tc>
        <w:tc>
          <w:tcPr>
            <w:tcW w:w="637" w:type="pct"/>
            <w:shd w:val="clear" w:color="auto" w:fill="auto"/>
          </w:tcPr>
          <w:p w:rsidR="0031680C" w:rsidRPr="00D968D9" w:rsidRDefault="00D968D9" w:rsidP="003D7198">
            <w:pPr>
              <w:pStyle w:val="Tabletext"/>
              <w:keepNext/>
              <w:keepLines/>
              <w:spacing w:after="0"/>
              <w:jc w:val="right"/>
              <w:rPr>
                <w:rFonts w:ascii="Arial Narrow" w:hAnsi="Arial Narrow"/>
                <w:b/>
                <w:bCs/>
                <w:color w:val="000000"/>
                <w:highlight w:val="black"/>
              </w:rPr>
            </w:pPr>
            <w:r>
              <w:rPr>
                <w:rFonts w:ascii="Arial Narrow" w:hAnsi="Arial Narrow"/>
                <w:b/>
                <w:bCs/>
                <w:noProof/>
                <w:color w:val="000000"/>
                <w:highlight w:val="black"/>
              </w:rPr>
              <w:t>'''''''''''''''</w:t>
            </w:r>
          </w:p>
        </w:tc>
        <w:tc>
          <w:tcPr>
            <w:tcW w:w="637" w:type="pct"/>
            <w:shd w:val="clear" w:color="auto" w:fill="auto"/>
          </w:tcPr>
          <w:p w:rsidR="0031680C" w:rsidRPr="00D968D9" w:rsidRDefault="00D968D9" w:rsidP="003D7198">
            <w:pPr>
              <w:pStyle w:val="Tabletext"/>
              <w:keepNext/>
              <w:keepLines/>
              <w:spacing w:after="0"/>
              <w:jc w:val="right"/>
              <w:rPr>
                <w:rFonts w:ascii="Arial Narrow" w:hAnsi="Arial Narrow"/>
                <w:b/>
                <w:bCs/>
                <w:color w:val="000000"/>
                <w:highlight w:val="black"/>
              </w:rPr>
            </w:pPr>
            <w:r>
              <w:rPr>
                <w:rFonts w:ascii="Arial Narrow" w:hAnsi="Arial Narrow"/>
                <w:b/>
                <w:bCs/>
                <w:noProof/>
                <w:color w:val="000000"/>
                <w:highlight w:val="black"/>
              </w:rPr>
              <w:t>'''''''''''''''''</w:t>
            </w:r>
          </w:p>
        </w:tc>
        <w:tc>
          <w:tcPr>
            <w:tcW w:w="638" w:type="pct"/>
          </w:tcPr>
          <w:p w:rsidR="0031680C" w:rsidRPr="00D968D9" w:rsidRDefault="00D968D9" w:rsidP="003D7198">
            <w:pPr>
              <w:pStyle w:val="Tabletext"/>
              <w:keepNext/>
              <w:keepLines/>
              <w:spacing w:after="0"/>
              <w:jc w:val="right"/>
              <w:rPr>
                <w:rFonts w:ascii="Arial Narrow" w:hAnsi="Arial Narrow"/>
                <w:b/>
                <w:bCs/>
                <w:color w:val="000000"/>
                <w:highlight w:val="black"/>
              </w:rPr>
            </w:pPr>
            <w:r>
              <w:rPr>
                <w:rFonts w:ascii="Arial Narrow" w:hAnsi="Arial Narrow"/>
                <w:b/>
                <w:bCs/>
                <w:noProof/>
                <w:color w:val="000000"/>
                <w:highlight w:val="black"/>
              </w:rPr>
              <w:t>''''''''''''''''</w:t>
            </w:r>
          </w:p>
        </w:tc>
      </w:tr>
    </w:tbl>
    <w:p w:rsidR="00C7409E" w:rsidRPr="003C1602" w:rsidRDefault="00C7409E" w:rsidP="003D7198">
      <w:pPr>
        <w:pStyle w:val="TableFooter"/>
      </w:pPr>
      <w:proofErr w:type="spellStart"/>
      <w:r w:rsidRPr="003C1602">
        <w:rPr>
          <w:vertAlign w:val="superscript"/>
        </w:rPr>
        <w:t>a</w:t>
      </w:r>
      <w:proofErr w:type="spellEnd"/>
      <w:r w:rsidR="003D7198">
        <w:t xml:space="preserve"> </w:t>
      </w:r>
      <w:r w:rsidRPr="003C1602">
        <w:t xml:space="preserve">Assuming </w:t>
      </w:r>
      <w:r w:rsidR="00A44048" w:rsidRPr="003C1602">
        <w:t>5.75 scripts</w:t>
      </w:r>
      <w:r w:rsidRPr="003C1602">
        <w:t xml:space="preserve"> per</w:t>
      </w:r>
      <w:r w:rsidR="00977BF3" w:rsidRPr="003C1602">
        <w:t xml:space="preserve"> patient per</w:t>
      </w:r>
      <w:r w:rsidRPr="003C1602">
        <w:t xml:space="preserve"> year as estimated by the submission</w:t>
      </w:r>
      <w:r w:rsidR="00A44048" w:rsidRPr="003C1602">
        <w:t xml:space="preserve"> (</w:t>
      </w:r>
      <w:r w:rsidR="0059639C" w:rsidRPr="003C1602">
        <w:t>A</w:t>
      </w:r>
      <w:r w:rsidR="00A44048" w:rsidRPr="003C1602">
        <w:t>ppendix 7)</w:t>
      </w:r>
      <w:r w:rsidRPr="003C1602">
        <w:t>.</w:t>
      </w:r>
      <w:r w:rsidR="00FE73D6" w:rsidRPr="003C1602">
        <w:t xml:space="preserve"> Estimates assume </w:t>
      </w:r>
      <w:proofErr w:type="spellStart"/>
      <w:r w:rsidR="00FE73D6" w:rsidRPr="003C1602">
        <w:t>Renastep</w:t>
      </w:r>
      <w:proofErr w:type="spellEnd"/>
      <w:r w:rsidR="00FE73D6" w:rsidRPr="003C1602">
        <w:t xml:space="preserve"> will replace </w:t>
      </w:r>
      <w:proofErr w:type="spellStart"/>
      <w:r w:rsidR="00FE73D6" w:rsidRPr="003C1602">
        <w:t>Renastart</w:t>
      </w:r>
      <w:proofErr w:type="spellEnd"/>
      <w:r w:rsidR="00FE73D6" w:rsidRPr="003C1602">
        <w:t xml:space="preserve"> at 1:1 ratio.</w:t>
      </w:r>
    </w:p>
    <w:p w:rsidR="00BB7EC3" w:rsidRPr="003C1602" w:rsidRDefault="00C7409E" w:rsidP="003D7198">
      <w:pPr>
        <w:pStyle w:val="TableFooter"/>
      </w:pPr>
      <w:r w:rsidRPr="003C1602">
        <w:t xml:space="preserve">Source: </w:t>
      </w:r>
      <w:r w:rsidR="0031680C" w:rsidRPr="003C1602">
        <w:t xml:space="preserve">Summary Page – </w:t>
      </w:r>
      <w:proofErr w:type="spellStart"/>
      <w:r w:rsidR="0031680C" w:rsidRPr="003C1602">
        <w:t>Renastep</w:t>
      </w:r>
      <w:proofErr w:type="spellEnd"/>
      <w:r w:rsidR="0031680C" w:rsidRPr="003C1602">
        <w:t xml:space="preserve"> utilisation and cost model spreadsheet</w:t>
      </w:r>
    </w:p>
    <w:p w:rsidR="00CE10C4" w:rsidRDefault="00CE10C4" w:rsidP="003D7198">
      <w:pPr>
        <w:jc w:val="both"/>
        <w:rPr>
          <w:rFonts w:asciiTheme="minorHAnsi" w:hAnsiTheme="minorHAnsi"/>
          <w:sz w:val="22"/>
          <w:szCs w:val="22"/>
        </w:rPr>
      </w:pPr>
    </w:p>
    <w:p w:rsidR="00D248B8" w:rsidRPr="00592303" w:rsidRDefault="00D248B8" w:rsidP="00D248B8">
      <w:pPr>
        <w:rPr>
          <w:rFonts w:asciiTheme="minorHAnsi" w:hAnsiTheme="minorHAnsi"/>
          <w:szCs w:val="22"/>
        </w:rPr>
      </w:pPr>
      <w:r w:rsidRPr="00592303">
        <w:rPr>
          <w:rFonts w:asciiTheme="minorHAnsi" w:hAnsiTheme="minorHAnsi"/>
          <w:szCs w:val="22"/>
        </w:rPr>
        <w:t>The redacted table shows that at Year 6, the estimated number of scripts dispensed was less than 10,000 and the net cost to the PBS would be less than $10 million.</w:t>
      </w:r>
    </w:p>
    <w:p w:rsidR="00D248B8" w:rsidRPr="003C1602" w:rsidRDefault="00D248B8" w:rsidP="003D7198">
      <w:pPr>
        <w:jc w:val="both"/>
        <w:rPr>
          <w:rFonts w:asciiTheme="minorHAnsi" w:hAnsiTheme="minorHAnsi"/>
          <w:sz w:val="22"/>
          <w:szCs w:val="22"/>
        </w:rPr>
      </w:pPr>
    </w:p>
    <w:p w:rsidR="00BA347C" w:rsidRPr="003C1602" w:rsidRDefault="00BA347C" w:rsidP="003D7198">
      <w:pPr>
        <w:pStyle w:val="3Bodytext"/>
      </w:pPr>
      <w:r w:rsidRPr="003C1602">
        <w:t>As a minor submission, the financial estimates have not been independently evaluated.</w:t>
      </w:r>
    </w:p>
    <w:p w:rsidR="005918F6" w:rsidRPr="003C1602" w:rsidRDefault="005918F6" w:rsidP="003D7198">
      <w:pPr>
        <w:pStyle w:val="Bodytextitalics"/>
        <w:numPr>
          <w:ilvl w:val="0"/>
          <w:numId w:val="0"/>
        </w:numPr>
        <w:ind w:left="720"/>
      </w:pPr>
      <w:r w:rsidRPr="003C1602">
        <w:t>For more detail on PBAC’s view, see section 7 PBAC outcome.</w:t>
      </w:r>
    </w:p>
    <w:p w:rsidR="0059679A" w:rsidRPr="003C1602" w:rsidRDefault="0059679A" w:rsidP="003D7198">
      <w:pPr>
        <w:pStyle w:val="2Sections"/>
        <w:rPr>
          <w:rFonts w:eastAsiaTheme="majorEastAsia"/>
        </w:rPr>
      </w:pPr>
      <w:r w:rsidRPr="003C1602">
        <w:rPr>
          <w:rFonts w:eastAsiaTheme="majorEastAsia"/>
        </w:rPr>
        <w:t>N</w:t>
      </w:r>
      <w:r w:rsidR="003A4451" w:rsidRPr="003C1602">
        <w:rPr>
          <w:rFonts w:eastAsiaTheme="majorEastAsia"/>
        </w:rPr>
        <w:t xml:space="preserve">utritional </w:t>
      </w:r>
      <w:r w:rsidRPr="003C1602">
        <w:rPr>
          <w:rFonts w:eastAsiaTheme="majorEastAsia"/>
        </w:rPr>
        <w:t>P</w:t>
      </w:r>
      <w:r w:rsidR="003A4451" w:rsidRPr="003C1602">
        <w:rPr>
          <w:rFonts w:eastAsiaTheme="majorEastAsia"/>
        </w:rPr>
        <w:t xml:space="preserve">roducts </w:t>
      </w:r>
      <w:r w:rsidRPr="003C1602">
        <w:rPr>
          <w:rFonts w:eastAsiaTheme="majorEastAsia"/>
        </w:rPr>
        <w:t>W</w:t>
      </w:r>
      <w:r w:rsidR="003A4451" w:rsidRPr="003C1602">
        <w:rPr>
          <w:rFonts w:eastAsiaTheme="majorEastAsia"/>
        </w:rPr>
        <w:t xml:space="preserve">orking </w:t>
      </w:r>
      <w:r w:rsidRPr="003C1602">
        <w:rPr>
          <w:rFonts w:eastAsiaTheme="majorEastAsia"/>
        </w:rPr>
        <w:t>P</w:t>
      </w:r>
      <w:r w:rsidR="003A4451" w:rsidRPr="003C1602">
        <w:rPr>
          <w:rFonts w:eastAsiaTheme="majorEastAsia"/>
        </w:rPr>
        <w:t>arty</w:t>
      </w:r>
      <w:r w:rsidRPr="003C1602">
        <w:rPr>
          <w:rFonts w:eastAsiaTheme="majorEastAsia"/>
        </w:rPr>
        <w:t xml:space="preserve"> Consideration (and sponsor’s further clarification)</w:t>
      </w:r>
    </w:p>
    <w:p w:rsidR="0059679A" w:rsidRPr="003C1602" w:rsidRDefault="0059679A" w:rsidP="003D7198">
      <w:pPr>
        <w:pStyle w:val="3Bodytext"/>
        <w:rPr>
          <w:i/>
          <w:snapToGrid w:val="0"/>
          <w:lang w:eastAsia="en-US"/>
        </w:rPr>
      </w:pPr>
      <w:r w:rsidRPr="003C1602">
        <w:rPr>
          <w:snapToGrid w:val="0"/>
          <w:lang w:eastAsia="en-US"/>
        </w:rPr>
        <w:t xml:space="preserve">The </w:t>
      </w:r>
      <w:r w:rsidR="003A4451" w:rsidRPr="003C1602">
        <w:rPr>
          <w:snapToGrid w:val="0"/>
          <w:lang w:eastAsia="en-US"/>
        </w:rPr>
        <w:t>Nutritional Products Working Party (</w:t>
      </w:r>
      <w:r w:rsidRPr="003C1602">
        <w:rPr>
          <w:snapToGrid w:val="0"/>
          <w:lang w:eastAsia="en-US"/>
        </w:rPr>
        <w:t>NPWP</w:t>
      </w:r>
      <w:r w:rsidR="003A4451" w:rsidRPr="003C1602">
        <w:rPr>
          <w:snapToGrid w:val="0"/>
          <w:lang w:eastAsia="en-US"/>
        </w:rPr>
        <w:t>)</w:t>
      </w:r>
      <w:r w:rsidRPr="003C1602">
        <w:rPr>
          <w:snapToGrid w:val="0"/>
          <w:lang w:eastAsia="en-US"/>
        </w:rPr>
        <w:t xml:space="preserve"> noted the requested listing of </w:t>
      </w:r>
      <w:proofErr w:type="spellStart"/>
      <w:r w:rsidRPr="003C1602">
        <w:rPr>
          <w:snapToGrid w:val="0"/>
          <w:lang w:eastAsia="en-US"/>
        </w:rPr>
        <w:t>Renastep</w:t>
      </w:r>
      <w:proofErr w:type="spellEnd"/>
      <w:r w:rsidRPr="003C1602">
        <w:rPr>
          <w:snapToGrid w:val="0"/>
          <w:lang w:eastAsia="en-US"/>
        </w:rPr>
        <w:t>® for the dietary management of paediatric patients with chronic kidney disease (CKD) aged 3 – 18 years old</w:t>
      </w:r>
      <w:r w:rsidR="003C1602">
        <w:rPr>
          <w:snapToGrid w:val="0"/>
          <w:lang w:eastAsia="en-US"/>
        </w:rPr>
        <w:t xml:space="preserve">. </w:t>
      </w:r>
      <w:r w:rsidRPr="003C1602">
        <w:rPr>
          <w:snapToGrid w:val="0"/>
          <w:lang w:eastAsia="en-US"/>
        </w:rPr>
        <w:t xml:space="preserve">The NPWP </w:t>
      </w:r>
      <w:r w:rsidR="00DA6F39" w:rsidRPr="003C1602">
        <w:rPr>
          <w:snapToGrid w:val="0"/>
          <w:lang w:eastAsia="en-US"/>
        </w:rPr>
        <w:t xml:space="preserve">considered that </w:t>
      </w:r>
      <w:proofErr w:type="spellStart"/>
      <w:r w:rsidRPr="003C1602">
        <w:rPr>
          <w:snapToGrid w:val="0"/>
          <w:lang w:eastAsia="en-US"/>
        </w:rPr>
        <w:t>Renastart</w:t>
      </w:r>
      <w:proofErr w:type="spellEnd"/>
      <w:r w:rsidRPr="003C1602">
        <w:rPr>
          <w:snapToGrid w:val="0"/>
          <w:lang w:eastAsia="en-US"/>
        </w:rPr>
        <w:t xml:space="preserve">® was </w:t>
      </w:r>
      <w:r w:rsidR="00DA6F39" w:rsidRPr="003C1602">
        <w:rPr>
          <w:snapToGrid w:val="0"/>
          <w:lang w:eastAsia="en-US"/>
        </w:rPr>
        <w:t xml:space="preserve">the </w:t>
      </w:r>
      <w:r w:rsidRPr="003C1602">
        <w:rPr>
          <w:snapToGrid w:val="0"/>
          <w:lang w:eastAsia="en-US"/>
        </w:rPr>
        <w:t>appropriate</w:t>
      </w:r>
      <w:r w:rsidR="00DA6F39" w:rsidRPr="003C1602">
        <w:rPr>
          <w:snapToGrid w:val="0"/>
          <w:lang w:eastAsia="en-US"/>
        </w:rPr>
        <w:t xml:space="preserve"> comparator</w:t>
      </w:r>
      <w:r w:rsidRPr="003C1602">
        <w:rPr>
          <w:snapToGrid w:val="0"/>
          <w:lang w:eastAsia="en-US"/>
        </w:rPr>
        <w:t>.</w:t>
      </w:r>
    </w:p>
    <w:p w:rsidR="0059679A" w:rsidRPr="003C1602" w:rsidRDefault="0059679A" w:rsidP="003D7198">
      <w:pPr>
        <w:pStyle w:val="3Bodytext"/>
        <w:rPr>
          <w:i/>
          <w:snapToGrid w:val="0"/>
          <w:lang w:eastAsia="en-US"/>
        </w:rPr>
      </w:pPr>
      <w:r w:rsidRPr="003C1602">
        <w:rPr>
          <w:snapToGrid w:val="0"/>
          <w:lang w:eastAsia="en-US"/>
        </w:rPr>
        <w:t xml:space="preserve">At present, the PBS subsidises protein formulas for paediatric CKD designed for patients who are infants or young children. The NPWP noted </w:t>
      </w:r>
      <w:r w:rsidR="001F4AB1" w:rsidRPr="003C1602">
        <w:rPr>
          <w:snapToGrid w:val="0"/>
          <w:lang w:eastAsia="en-US"/>
        </w:rPr>
        <w:t xml:space="preserve">that </w:t>
      </w:r>
      <w:r w:rsidRPr="003C1602">
        <w:rPr>
          <w:snapToGrid w:val="0"/>
          <w:lang w:eastAsia="en-US"/>
        </w:rPr>
        <w:t>patients aged 10</w:t>
      </w:r>
      <w:r w:rsidR="00806377">
        <w:rPr>
          <w:snapToGrid w:val="0"/>
          <w:lang w:eastAsia="en-US"/>
        </w:rPr>
        <w:t xml:space="preserve"> years</w:t>
      </w:r>
      <w:r w:rsidRPr="003C1602">
        <w:rPr>
          <w:snapToGrid w:val="0"/>
          <w:lang w:eastAsia="en-US"/>
        </w:rPr>
        <w:t xml:space="preserve"> and above are individually managed with protein formulas indicated for adult patients, often provided through access arrangements in treating hospitals. The NPWP noted </w:t>
      </w:r>
      <w:r w:rsidR="00DA6F39" w:rsidRPr="003C1602">
        <w:rPr>
          <w:snapToGrid w:val="0"/>
          <w:lang w:eastAsia="en-US"/>
        </w:rPr>
        <w:t xml:space="preserve">that there are </w:t>
      </w:r>
      <w:r w:rsidRPr="003C1602">
        <w:rPr>
          <w:snapToGrid w:val="0"/>
          <w:lang w:eastAsia="en-US"/>
        </w:rPr>
        <w:t xml:space="preserve">inequities in current arrangements for patients in the target age group, as not all hospitals assume the costs of these formulas and </w:t>
      </w:r>
      <w:r w:rsidR="001F4AB1" w:rsidRPr="003C1602">
        <w:rPr>
          <w:snapToGrid w:val="0"/>
          <w:lang w:eastAsia="en-US"/>
        </w:rPr>
        <w:t xml:space="preserve">some </w:t>
      </w:r>
      <w:r w:rsidRPr="003C1602">
        <w:rPr>
          <w:snapToGrid w:val="0"/>
          <w:lang w:eastAsia="en-US"/>
        </w:rPr>
        <w:t>families rel</w:t>
      </w:r>
      <w:r w:rsidR="001F4AB1" w:rsidRPr="003C1602">
        <w:rPr>
          <w:snapToGrid w:val="0"/>
          <w:lang w:eastAsia="en-US"/>
        </w:rPr>
        <w:t>y</w:t>
      </w:r>
      <w:r w:rsidRPr="003C1602">
        <w:rPr>
          <w:snapToGrid w:val="0"/>
          <w:lang w:eastAsia="en-US"/>
        </w:rPr>
        <w:t xml:space="preserve"> on financial assistance from charities to assist with the cost of managing the condition. </w:t>
      </w:r>
    </w:p>
    <w:p w:rsidR="0059679A" w:rsidRPr="003C1602" w:rsidRDefault="0059679A" w:rsidP="003D7198">
      <w:pPr>
        <w:pStyle w:val="3Bodytext"/>
        <w:rPr>
          <w:i/>
          <w:snapToGrid w:val="0"/>
          <w:lang w:eastAsia="en-US"/>
        </w:rPr>
      </w:pPr>
      <w:r w:rsidRPr="003C1602">
        <w:rPr>
          <w:snapToGrid w:val="0"/>
          <w:lang w:eastAsia="en-US"/>
        </w:rPr>
        <w:t>Furthermore, the NPWP considered</w:t>
      </w:r>
      <w:r w:rsidR="001F4AB1" w:rsidRPr="003C1602">
        <w:rPr>
          <w:snapToGrid w:val="0"/>
          <w:lang w:eastAsia="en-US"/>
        </w:rPr>
        <w:t xml:space="preserve"> that</w:t>
      </w:r>
      <w:r w:rsidRPr="003C1602">
        <w:rPr>
          <w:snapToGrid w:val="0"/>
          <w:lang w:eastAsia="en-US"/>
        </w:rPr>
        <w:t xml:space="preserve"> treating paediatric patients with adult dietary formulas for CKD was not optimal, as their nutritional profiles and calorie densities are not </w:t>
      </w:r>
      <w:r w:rsidR="001F4AB1" w:rsidRPr="003C1602">
        <w:rPr>
          <w:snapToGrid w:val="0"/>
          <w:lang w:eastAsia="en-US"/>
        </w:rPr>
        <w:t xml:space="preserve">designed </w:t>
      </w:r>
      <w:r w:rsidRPr="003C1602">
        <w:rPr>
          <w:snapToGrid w:val="0"/>
          <w:lang w:eastAsia="en-US"/>
        </w:rPr>
        <w:t xml:space="preserve">for this patient group. While the calorie density of </w:t>
      </w:r>
      <w:proofErr w:type="spellStart"/>
      <w:r w:rsidRPr="003C1602">
        <w:rPr>
          <w:snapToGrid w:val="0"/>
          <w:lang w:eastAsia="en-US"/>
        </w:rPr>
        <w:lastRenderedPageBreak/>
        <w:t>Renastep</w:t>
      </w:r>
      <w:proofErr w:type="spellEnd"/>
      <w:r w:rsidRPr="003C1602">
        <w:rPr>
          <w:snapToGrid w:val="0"/>
          <w:lang w:eastAsia="en-US"/>
        </w:rPr>
        <w:t xml:space="preserve">® was </w:t>
      </w:r>
      <w:r w:rsidR="001F4AB1" w:rsidRPr="003C1602">
        <w:rPr>
          <w:snapToGrid w:val="0"/>
          <w:lang w:eastAsia="en-US"/>
        </w:rPr>
        <w:t xml:space="preserve">designed </w:t>
      </w:r>
      <w:r w:rsidRPr="003C1602">
        <w:rPr>
          <w:snapToGrid w:val="0"/>
          <w:lang w:eastAsia="en-US"/>
        </w:rPr>
        <w:t xml:space="preserve">for paediatric patients, the NPWP noted the product </w:t>
      </w:r>
      <w:r w:rsidR="001F4AB1" w:rsidRPr="003C1602">
        <w:rPr>
          <w:snapToGrid w:val="0"/>
          <w:lang w:eastAsia="en-US"/>
        </w:rPr>
        <w:t>c</w:t>
      </w:r>
      <w:r w:rsidRPr="003C1602">
        <w:rPr>
          <w:snapToGrid w:val="0"/>
          <w:lang w:eastAsia="en-US"/>
        </w:rPr>
        <w:t>ould not be the sole source of nutrition for most patients due to insufficient levels of some vitamins and minerals (including iron and vitamin A) to meet dietary requirements in the target age group.</w:t>
      </w:r>
    </w:p>
    <w:p w:rsidR="003A4451" w:rsidRPr="003C1602" w:rsidRDefault="0059679A" w:rsidP="003D7198">
      <w:pPr>
        <w:pStyle w:val="3Bodytext"/>
        <w:rPr>
          <w:i/>
          <w:snapToGrid w:val="0"/>
          <w:lang w:eastAsia="en-US"/>
        </w:rPr>
      </w:pPr>
      <w:r w:rsidRPr="003C1602">
        <w:rPr>
          <w:snapToGrid w:val="0"/>
          <w:lang w:eastAsia="en-US"/>
        </w:rPr>
        <w:t xml:space="preserve">The NPWP considered the submission underestimated the likely use of </w:t>
      </w:r>
      <w:proofErr w:type="spellStart"/>
      <w:r w:rsidRPr="003C1602">
        <w:rPr>
          <w:snapToGrid w:val="0"/>
          <w:lang w:eastAsia="en-US"/>
        </w:rPr>
        <w:t>Renastep</w:t>
      </w:r>
      <w:proofErr w:type="spellEnd"/>
      <w:r w:rsidRPr="003C1602">
        <w:rPr>
          <w:snapToGrid w:val="0"/>
          <w:lang w:eastAsia="en-US"/>
        </w:rPr>
        <w:t xml:space="preserve">® and noted </w:t>
      </w:r>
      <w:r w:rsidR="003A4451" w:rsidRPr="003C1602">
        <w:rPr>
          <w:snapToGrid w:val="0"/>
          <w:lang w:eastAsia="en-US"/>
        </w:rPr>
        <w:t xml:space="preserve">that </w:t>
      </w:r>
      <w:r w:rsidRPr="003C1602">
        <w:rPr>
          <w:snapToGrid w:val="0"/>
          <w:lang w:eastAsia="en-US"/>
        </w:rPr>
        <w:t xml:space="preserve">patients aged 10-18 years were a new population which would grow the market and result in a cost to the PBS. However, the NPWP noted a substantial portion of the </w:t>
      </w:r>
      <w:r w:rsidR="003A4451" w:rsidRPr="003C1602">
        <w:rPr>
          <w:snapToGrid w:val="0"/>
          <w:lang w:eastAsia="en-US"/>
        </w:rPr>
        <w:t>cost</w:t>
      </w:r>
      <w:r w:rsidRPr="003C1602">
        <w:rPr>
          <w:snapToGrid w:val="0"/>
          <w:lang w:eastAsia="en-US"/>
        </w:rPr>
        <w:t xml:space="preserve"> would </w:t>
      </w:r>
      <w:r w:rsidR="003A4451" w:rsidRPr="003C1602">
        <w:rPr>
          <w:snapToGrid w:val="0"/>
          <w:lang w:eastAsia="en-US"/>
        </w:rPr>
        <w:t>result from</w:t>
      </w:r>
      <w:r w:rsidRPr="003C1602">
        <w:rPr>
          <w:snapToGrid w:val="0"/>
          <w:lang w:eastAsia="en-US"/>
        </w:rPr>
        <w:t xml:space="preserve"> shifting current treatment costs from patients and hospitals to the PBS. </w:t>
      </w:r>
    </w:p>
    <w:p w:rsidR="0059679A" w:rsidRPr="003C1602" w:rsidRDefault="0059679A" w:rsidP="003D7198">
      <w:pPr>
        <w:pStyle w:val="3Bodytext"/>
        <w:rPr>
          <w:i/>
        </w:rPr>
      </w:pPr>
      <w:r w:rsidRPr="003C1602">
        <w:rPr>
          <w:snapToGrid w:val="0"/>
          <w:lang w:eastAsia="en-US"/>
        </w:rPr>
        <w:t xml:space="preserve">The NPWP supported the listing of </w:t>
      </w:r>
      <w:proofErr w:type="spellStart"/>
      <w:r w:rsidRPr="003C1602">
        <w:rPr>
          <w:snapToGrid w:val="0"/>
          <w:lang w:eastAsia="en-US"/>
        </w:rPr>
        <w:t>Renastep</w:t>
      </w:r>
      <w:proofErr w:type="spellEnd"/>
      <w:r w:rsidRPr="003C1602">
        <w:rPr>
          <w:snapToGrid w:val="0"/>
          <w:lang w:eastAsia="en-US"/>
        </w:rPr>
        <w:t xml:space="preserve">® on a cost minimisation basis with </w:t>
      </w:r>
      <w:proofErr w:type="spellStart"/>
      <w:r w:rsidRPr="003C1602">
        <w:rPr>
          <w:snapToGrid w:val="0"/>
          <w:lang w:eastAsia="en-US"/>
        </w:rPr>
        <w:t>Renastart</w:t>
      </w:r>
      <w:proofErr w:type="spellEnd"/>
      <w:r w:rsidRPr="003C1602">
        <w:rPr>
          <w:snapToGrid w:val="0"/>
          <w:lang w:eastAsia="en-US"/>
        </w:rPr>
        <w:t>® at the same price per kcal of energy.</w:t>
      </w:r>
      <w:r w:rsidR="003A4451" w:rsidRPr="003C1602">
        <w:rPr>
          <w:snapToGrid w:val="0"/>
          <w:lang w:eastAsia="en-US"/>
        </w:rPr>
        <w:t xml:space="preserve"> The NPWP considered that there was no clinical rationale for the requested 20% price premium over the comparator’s price per kcal of energy.</w:t>
      </w:r>
    </w:p>
    <w:p w:rsidR="002F5EE4" w:rsidRPr="00E37FB1" w:rsidRDefault="00AB168C" w:rsidP="003D7198">
      <w:pPr>
        <w:pStyle w:val="3Bodytext"/>
      </w:pPr>
      <w:r w:rsidRPr="003C1602">
        <w:rPr>
          <w:snapToGrid w:val="0"/>
          <w:lang w:eastAsia="en-US"/>
        </w:rPr>
        <w:t xml:space="preserve">The </w:t>
      </w:r>
      <w:r w:rsidR="003A4451" w:rsidRPr="003C1602">
        <w:rPr>
          <w:snapToGrid w:val="0"/>
          <w:lang w:eastAsia="en-US"/>
        </w:rPr>
        <w:t xml:space="preserve">Sponsor’s </w:t>
      </w:r>
      <w:r w:rsidRPr="003C1602">
        <w:rPr>
          <w:snapToGrid w:val="0"/>
          <w:lang w:eastAsia="en-US"/>
        </w:rPr>
        <w:t xml:space="preserve">Pre-PBAC response acknowledged </w:t>
      </w:r>
      <w:r w:rsidR="003A4451" w:rsidRPr="003C1602">
        <w:rPr>
          <w:snapToGrid w:val="0"/>
          <w:lang w:eastAsia="en-US"/>
        </w:rPr>
        <w:t xml:space="preserve">the views of the </w:t>
      </w:r>
      <w:r w:rsidRPr="003C1602">
        <w:rPr>
          <w:snapToGrid w:val="0"/>
          <w:lang w:eastAsia="en-US"/>
        </w:rPr>
        <w:t xml:space="preserve">NPWP, and provided </w:t>
      </w:r>
      <w:r w:rsidR="003A4451" w:rsidRPr="003C1602">
        <w:rPr>
          <w:snapToGrid w:val="0"/>
          <w:lang w:eastAsia="en-US"/>
        </w:rPr>
        <w:t xml:space="preserve">a </w:t>
      </w:r>
      <w:r w:rsidRPr="003C1602">
        <w:rPr>
          <w:snapToGrid w:val="0"/>
          <w:lang w:eastAsia="en-US"/>
        </w:rPr>
        <w:t xml:space="preserve">revised request to list </w:t>
      </w:r>
      <w:proofErr w:type="spellStart"/>
      <w:r w:rsidRPr="003C1602">
        <w:rPr>
          <w:snapToGrid w:val="0"/>
          <w:lang w:eastAsia="en-US"/>
        </w:rPr>
        <w:t>Renastep</w:t>
      </w:r>
      <w:proofErr w:type="spellEnd"/>
      <w:r w:rsidRPr="003C1602">
        <w:rPr>
          <w:snapToGrid w:val="0"/>
          <w:lang w:eastAsia="en-US"/>
        </w:rPr>
        <w:t xml:space="preserve"> on a cost-minimisation basis with </w:t>
      </w:r>
      <w:proofErr w:type="spellStart"/>
      <w:r w:rsidRPr="003C1602">
        <w:rPr>
          <w:snapToGrid w:val="0"/>
          <w:lang w:eastAsia="en-US"/>
        </w:rPr>
        <w:t>Renastart</w:t>
      </w:r>
      <w:proofErr w:type="spellEnd"/>
      <w:r w:rsidRPr="003C1602">
        <w:rPr>
          <w:snapToGrid w:val="0"/>
          <w:lang w:eastAsia="en-US"/>
        </w:rPr>
        <w:t xml:space="preserve"> per kilocalorie of energy. </w:t>
      </w:r>
    </w:p>
    <w:p w:rsidR="005918F6" w:rsidRPr="003D7198" w:rsidRDefault="005918F6" w:rsidP="003D7198">
      <w:pPr>
        <w:pStyle w:val="Bodytextitalics"/>
        <w:numPr>
          <w:ilvl w:val="0"/>
          <w:numId w:val="0"/>
        </w:numPr>
        <w:ind w:left="720"/>
      </w:pPr>
      <w:r w:rsidRPr="003D7198">
        <w:t>For more detail on PBAC’s view, see section 7 PBAC outcome.</w:t>
      </w:r>
    </w:p>
    <w:p w:rsidR="002F5EE4" w:rsidRPr="003C1602" w:rsidRDefault="002F5EE4" w:rsidP="003D7198">
      <w:pPr>
        <w:pStyle w:val="2Sections"/>
        <w:rPr>
          <w:rFonts w:eastAsiaTheme="majorEastAsia"/>
        </w:rPr>
      </w:pPr>
      <w:r w:rsidRPr="003C1602">
        <w:rPr>
          <w:rFonts w:eastAsiaTheme="majorEastAsia"/>
        </w:rPr>
        <w:t>PBAC Outcome</w:t>
      </w:r>
    </w:p>
    <w:p w:rsidR="00F92401" w:rsidRPr="00F92401" w:rsidRDefault="00254D2B" w:rsidP="003D7198">
      <w:pPr>
        <w:pStyle w:val="3Bodytext"/>
        <w:rPr>
          <w:i/>
          <w:szCs w:val="24"/>
        </w:rPr>
      </w:pPr>
      <w:r w:rsidRPr="00B204E6">
        <w:t>The PBAC recommended the Authority Required (STREAMLINED) listing of protein formula with vitamins and minerals and low in potassium (</w:t>
      </w:r>
      <w:proofErr w:type="spellStart"/>
      <w:r w:rsidRPr="00B204E6">
        <w:t>Renastep</w:t>
      </w:r>
      <w:proofErr w:type="spellEnd"/>
      <w:r w:rsidRPr="00B204E6">
        <w:t xml:space="preserve">®) for the treatment of chronic renal failure for </w:t>
      </w:r>
      <w:r w:rsidR="005831A4" w:rsidRPr="00B204E6">
        <w:t xml:space="preserve">infant and young children </w:t>
      </w:r>
      <w:r w:rsidRPr="00B204E6">
        <w:t xml:space="preserve">on </w:t>
      </w:r>
      <w:r w:rsidR="003D5F3E" w:rsidRPr="00B204E6">
        <w:t>a cost minimisation basis per calorie of energy equivalent</w:t>
      </w:r>
      <w:r w:rsidR="00CA10DB" w:rsidRPr="00B204E6">
        <w:t xml:space="preserve"> against the cheapest alternative PBS listed whey protein formula indicated for chronic renal failure</w:t>
      </w:r>
      <w:r w:rsidR="003D5F3E" w:rsidRPr="00B204E6">
        <w:t xml:space="preserve">. </w:t>
      </w:r>
    </w:p>
    <w:p w:rsidR="00B204E6" w:rsidRPr="00B204E6" w:rsidRDefault="00B204E6" w:rsidP="003D7198">
      <w:pPr>
        <w:pStyle w:val="3Bodytext"/>
        <w:rPr>
          <w:i/>
          <w:szCs w:val="24"/>
        </w:rPr>
      </w:pPr>
      <w:r w:rsidRPr="00B204E6">
        <w:t xml:space="preserve">The PBAC </w:t>
      </w:r>
      <w:r w:rsidR="00F92401">
        <w:t xml:space="preserve">noted that the Sponsor has withdrawn </w:t>
      </w:r>
      <w:r w:rsidRPr="00B204E6">
        <w:rPr>
          <w:rFonts w:eastAsia="Times New Roman" w:cs="Arial"/>
          <w:snapToGrid w:val="0"/>
          <w:szCs w:val="24"/>
          <w:lang w:eastAsia="en-US"/>
        </w:rPr>
        <w:t>the requested 20% price premium over the comparator’s price per kilocalorie of energy</w:t>
      </w:r>
      <w:r w:rsidR="00F92401">
        <w:rPr>
          <w:rFonts w:eastAsia="Times New Roman" w:cs="Arial"/>
          <w:snapToGrid w:val="0"/>
          <w:szCs w:val="24"/>
          <w:lang w:eastAsia="en-US"/>
        </w:rPr>
        <w:t xml:space="preserve"> in the pre-PBAC response</w:t>
      </w:r>
      <w:r w:rsidRPr="00B204E6">
        <w:rPr>
          <w:rFonts w:eastAsia="Times New Roman" w:cs="Arial"/>
          <w:snapToGrid w:val="0"/>
          <w:szCs w:val="24"/>
          <w:lang w:eastAsia="en-US"/>
        </w:rPr>
        <w:t>.</w:t>
      </w:r>
    </w:p>
    <w:p w:rsidR="002D2155" w:rsidRPr="003C1602" w:rsidRDefault="0072432F" w:rsidP="003D7198">
      <w:pPr>
        <w:pStyle w:val="3Bodytext"/>
      </w:pPr>
      <w:r w:rsidRPr="003C1602">
        <w:t xml:space="preserve">The PBAC </w:t>
      </w:r>
      <w:r w:rsidR="00A503C3" w:rsidRPr="003C1602">
        <w:t>noted the NPWP advi</w:t>
      </w:r>
      <w:r w:rsidR="003A4451" w:rsidRPr="003C1602">
        <w:t>ce</w:t>
      </w:r>
      <w:r w:rsidR="00A503C3" w:rsidRPr="003C1602">
        <w:t xml:space="preserve"> </w:t>
      </w:r>
      <w:r w:rsidRPr="003C1602">
        <w:t>that patients</w:t>
      </w:r>
      <w:r w:rsidR="00F93695" w:rsidRPr="003C1602">
        <w:t xml:space="preserve"> aged 10-18</w:t>
      </w:r>
      <w:r w:rsidRPr="003C1602">
        <w:t xml:space="preserve"> </w:t>
      </w:r>
      <w:r w:rsidR="00806377">
        <w:t xml:space="preserve">years </w:t>
      </w:r>
      <w:r w:rsidRPr="003C1602">
        <w:t xml:space="preserve">with chronic renal failure are individually managed with protein formulas indicated for adult patients </w:t>
      </w:r>
      <w:r w:rsidR="00AB0383" w:rsidRPr="003C1602">
        <w:t xml:space="preserve">in </w:t>
      </w:r>
      <w:r w:rsidRPr="003C1602">
        <w:t xml:space="preserve">a hospital setting. </w:t>
      </w:r>
      <w:r w:rsidR="00F93695" w:rsidRPr="003C1602">
        <w:t xml:space="preserve">The </w:t>
      </w:r>
      <w:r w:rsidR="002D2155" w:rsidRPr="003C1602">
        <w:t xml:space="preserve">PBAC </w:t>
      </w:r>
      <w:r w:rsidR="00F93695" w:rsidRPr="003C1602">
        <w:t>acknowledged there are inequities in the current arrangement</w:t>
      </w:r>
      <w:r w:rsidR="003A4451" w:rsidRPr="003C1602">
        <w:t xml:space="preserve"> (as noted in paragraph 6.2)</w:t>
      </w:r>
      <w:r w:rsidR="00F93695" w:rsidRPr="003C1602">
        <w:t xml:space="preserve">, and </w:t>
      </w:r>
      <w:r w:rsidR="0034457D" w:rsidRPr="003C1602">
        <w:t xml:space="preserve">that the listing of </w:t>
      </w:r>
      <w:proofErr w:type="spellStart"/>
      <w:r w:rsidR="0034457D" w:rsidRPr="003C1602">
        <w:t>Renastep</w:t>
      </w:r>
      <w:proofErr w:type="spellEnd"/>
      <w:r w:rsidR="0034457D" w:rsidRPr="003C1602">
        <w:t xml:space="preserve"> on the PBS </w:t>
      </w:r>
      <w:r w:rsidR="00AB0383" w:rsidRPr="003C1602">
        <w:t>could</w:t>
      </w:r>
      <w:r w:rsidR="0034457D" w:rsidRPr="003C1602">
        <w:t xml:space="preserve"> provide an alternative for these patients</w:t>
      </w:r>
      <w:r w:rsidR="00F93695" w:rsidRPr="003C1602">
        <w:t>.</w:t>
      </w:r>
    </w:p>
    <w:p w:rsidR="00135352" w:rsidRPr="003C1602" w:rsidRDefault="00135352" w:rsidP="003D7198">
      <w:pPr>
        <w:pStyle w:val="3Bodytext"/>
      </w:pPr>
      <w:r w:rsidRPr="003C1602">
        <w:t xml:space="preserve">The PBAC </w:t>
      </w:r>
      <w:r w:rsidR="00F1116C" w:rsidRPr="003C1602">
        <w:t>agreed with the NPWP that</w:t>
      </w:r>
      <w:r w:rsidRPr="003C1602">
        <w:t xml:space="preserve"> </w:t>
      </w:r>
      <w:proofErr w:type="spellStart"/>
      <w:r w:rsidRPr="003C1602">
        <w:t>Renastart</w:t>
      </w:r>
      <w:proofErr w:type="spellEnd"/>
      <w:r w:rsidRPr="003C1602">
        <w:t xml:space="preserve"> </w:t>
      </w:r>
      <w:r w:rsidR="00437AFE">
        <w:t>wa</w:t>
      </w:r>
      <w:r w:rsidRPr="003C1602">
        <w:t xml:space="preserve">s an appropriate comparator for </w:t>
      </w:r>
      <w:proofErr w:type="spellStart"/>
      <w:r w:rsidRPr="003C1602">
        <w:t>Renastep</w:t>
      </w:r>
      <w:proofErr w:type="spellEnd"/>
      <w:r w:rsidR="00437AFE">
        <w:t xml:space="preserve">, but considered that </w:t>
      </w:r>
      <w:proofErr w:type="spellStart"/>
      <w:r w:rsidR="00437AFE">
        <w:t>Kindergen</w:t>
      </w:r>
      <w:proofErr w:type="spellEnd"/>
      <w:r w:rsidR="00437AFE">
        <w:t xml:space="preserve"> was also a relevant pricing comparator</w:t>
      </w:r>
      <w:r w:rsidRPr="003C1602">
        <w:t>.</w:t>
      </w:r>
    </w:p>
    <w:p w:rsidR="00AB168C" w:rsidRPr="003C1602" w:rsidRDefault="00094B2F" w:rsidP="003D7198">
      <w:pPr>
        <w:pStyle w:val="3Bodytext"/>
      </w:pPr>
      <w:r w:rsidRPr="003C1602">
        <w:t>The PBAC noted that t</w:t>
      </w:r>
      <w:r w:rsidR="00AB168C" w:rsidRPr="003C1602">
        <w:t xml:space="preserve">he total number of calories in the proposed </w:t>
      </w:r>
      <w:r w:rsidR="0034457D" w:rsidRPr="003C1602">
        <w:t xml:space="preserve">maximum quantity (8 packs with 5 repeats) </w:t>
      </w:r>
      <w:r w:rsidR="00AB168C" w:rsidRPr="003C1602">
        <w:t xml:space="preserve">aligns with that for </w:t>
      </w:r>
      <w:proofErr w:type="spellStart"/>
      <w:r w:rsidR="00AB168C" w:rsidRPr="003C1602">
        <w:t>Renastart</w:t>
      </w:r>
      <w:proofErr w:type="spellEnd"/>
      <w:r w:rsidR="00AB168C" w:rsidRPr="003C1602">
        <w:t>®</w:t>
      </w:r>
      <w:r w:rsidR="00734A6B" w:rsidRPr="003C1602">
        <w:t xml:space="preserve">, but </w:t>
      </w:r>
      <w:r w:rsidR="003310E6" w:rsidRPr="003C1602">
        <w:t>that t</w:t>
      </w:r>
      <w:r w:rsidR="00AB168C" w:rsidRPr="003C1602">
        <w:t xml:space="preserve">he patient population for </w:t>
      </w:r>
      <w:proofErr w:type="spellStart"/>
      <w:r w:rsidR="00AB168C" w:rsidRPr="003C1602">
        <w:t>Renastep</w:t>
      </w:r>
      <w:proofErr w:type="spellEnd"/>
      <w:r w:rsidR="00AB168C" w:rsidRPr="003C1602">
        <w:t xml:space="preserve"> (3 to 18 years) is broader than for </w:t>
      </w:r>
      <w:proofErr w:type="spellStart"/>
      <w:r w:rsidR="00AB168C" w:rsidRPr="003C1602">
        <w:t>Renastart</w:t>
      </w:r>
      <w:proofErr w:type="spellEnd"/>
      <w:r w:rsidR="00AB168C" w:rsidRPr="003C1602">
        <w:t xml:space="preserve"> (0-10 years), </w:t>
      </w:r>
      <w:r w:rsidR="00135352" w:rsidRPr="003C1602">
        <w:t xml:space="preserve">and </w:t>
      </w:r>
      <w:r w:rsidR="00AB168C" w:rsidRPr="003C1602">
        <w:t xml:space="preserve">some of the older patients may require a higher protein and energy intake. </w:t>
      </w:r>
      <w:r w:rsidR="003310E6" w:rsidRPr="003C1602">
        <w:t>However, t</w:t>
      </w:r>
      <w:r w:rsidR="00AB168C" w:rsidRPr="003C1602">
        <w:t xml:space="preserve">he PBAC </w:t>
      </w:r>
      <w:r w:rsidR="00B342E3" w:rsidRPr="003C1602">
        <w:t xml:space="preserve">considered the requested </w:t>
      </w:r>
      <w:r w:rsidR="009E16AB">
        <w:t>maximum quantity</w:t>
      </w:r>
      <w:r w:rsidR="009E16AB" w:rsidRPr="003C1602">
        <w:t xml:space="preserve"> </w:t>
      </w:r>
      <w:r w:rsidR="003504B8" w:rsidRPr="003C1602">
        <w:t>and number of repea</w:t>
      </w:r>
      <w:r w:rsidR="003310E6" w:rsidRPr="003C1602">
        <w:t>t</w:t>
      </w:r>
      <w:r w:rsidR="00734A6B" w:rsidRPr="003C1602">
        <w:t>s</w:t>
      </w:r>
      <w:r w:rsidR="003310E6" w:rsidRPr="003C1602">
        <w:t xml:space="preserve"> </w:t>
      </w:r>
      <w:r w:rsidR="003504B8" w:rsidRPr="003C1602">
        <w:t>were</w:t>
      </w:r>
      <w:r w:rsidR="00B342E3" w:rsidRPr="003C1602">
        <w:t xml:space="preserve"> appropriate as </w:t>
      </w:r>
      <w:proofErr w:type="spellStart"/>
      <w:r w:rsidR="0034457D" w:rsidRPr="003C1602">
        <w:t>Renastep</w:t>
      </w:r>
      <w:proofErr w:type="spellEnd"/>
      <w:r w:rsidR="0034457D" w:rsidRPr="003C1602">
        <w:t xml:space="preserve"> is most likely to be used in younger patients</w:t>
      </w:r>
      <w:r w:rsidR="00B342E3" w:rsidRPr="003C1602">
        <w:t xml:space="preserve">. </w:t>
      </w:r>
    </w:p>
    <w:p w:rsidR="00AB168C" w:rsidRPr="003C1602" w:rsidRDefault="00AB168C" w:rsidP="003D7198">
      <w:pPr>
        <w:pStyle w:val="3Bodytext"/>
      </w:pPr>
      <w:r w:rsidRPr="003C1602">
        <w:lastRenderedPageBreak/>
        <w:t xml:space="preserve">The </w:t>
      </w:r>
      <w:r w:rsidR="00135352" w:rsidRPr="003C1602">
        <w:t xml:space="preserve">PBAC considered it </w:t>
      </w:r>
      <w:r w:rsidR="00734A6B" w:rsidRPr="003C1602">
        <w:t>would be</w:t>
      </w:r>
      <w:r w:rsidR="00135352" w:rsidRPr="003C1602">
        <w:t xml:space="preserve"> appropriate</w:t>
      </w:r>
      <w:r w:rsidRPr="003C1602">
        <w:t xml:space="preserve"> to update the proposed indication to chronic renal failure to align with the indication of the main comparator, </w:t>
      </w:r>
      <w:proofErr w:type="spellStart"/>
      <w:r w:rsidRPr="003C1602">
        <w:t>Renastart</w:t>
      </w:r>
      <w:proofErr w:type="spellEnd"/>
      <w:r w:rsidRPr="003C1602">
        <w:t xml:space="preserve">. </w:t>
      </w:r>
    </w:p>
    <w:p w:rsidR="0069299A" w:rsidRPr="009A7177" w:rsidRDefault="00D04EFA" w:rsidP="003D7198">
      <w:pPr>
        <w:pStyle w:val="3Bodytext"/>
        <w:rPr>
          <w:i/>
          <w:snapToGrid w:val="0"/>
        </w:rPr>
      </w:pPr>
      <w:r w:rsidRPr="009A7177">
        <w:rPr>
          <w:snapToGrid w:val="0"/>
        </w:rPr>
        <w:t xml:space="preserve">The PBAC noted that </w:t>
      </w:r>
      <w:r w:rsidR="00E07875" w:rsidRPr="003C1602">
        <w:t xml:space="preserve">the comparator, </w:t>
      </w:r>
      <w:proofErr w:type="spellStart"/>
      <w:r w:rsidR="00E07875" w:rsidRPr="003C1602">
        <w:t>Renastart</w:t>
      </w:r>
      <w:proofErr w:type="spellEnd"/>
      <w:r w:rsidRPr="003C1602">
        <w:t xml:space="preserve"> is currently listed for infant</w:t>
      </w:r>
      <w:r w:rsidR="00734A6B" w:rsidRPr="003C1602">
        <w:t>s</w:t>
      </w:r>
      <w:r w:rsidRPr="003C1602">
        <w:t xml:space="preserve"> </w:t>
      </w:r>
      <w:r w:rsidR="00734A6B" w:rsidRPr="003C1602">
        <w:t>and</w:t>
      </w:r>
      <w:r w:rsidRPr="003C1602">
        <w:t xml:space="preserve"> young child</w:t>
      </w:r>
      <w:r w:rsidR="00734A6B" w:rsidRPr="003C1602">
        <w:t>ren</w:t>
      </w:r>
      <w:r w:rsidRPr="003C1602">
        <w:t>, but</w:t>
      </w:r>
      <w:r w:rsidR="00734A6B" w:rsidRPr="003C1602">
        <w:t xml:space="preserve"> the restriction is</w:t>
      </w:r>
      <w:r w:rsidRPr="003C1602">
        <w:t xml:space="preserve"> silent on age. </w:t>
      </w:r>
      <w:r w:rsidR="00734A6B" w:rsidRPr="003C1602">
        <w:t>T</w:t>
      </w:r>
      <w:r w:rsidRPr="003C1602">
        <w:t xml:space="preserve">he PBAC considered the PBS population for </w:t>
      </w:r>
      <w:proofErr w:type="spellStart"/>
      <w:r w:rsidRPr="003C1602">
        <w:t>Renastep</w:t>
      </w:r>
      <w:proofErr w:type="spellEnd"/>
      <w:r w:rsidRPr="003C1602">
        <w:t xml:space="preserve"> should </w:t>
      </w:r>
      <w:r w:rsidR="00756E5F" w:rsidRPr="003C1602">
        <w:t xml:space="preserve">be consistent </w:t>
      </w:r>
      <w:r w:rsidRPr="003C1602">
        <w:t xml:space="preserve">with </w:t>
      </w:r>
      <w:proofErr w:type="spellStart"/>
      <w:r w:rsidRPr="003C1602">
        <w:t>Renast</w:t>
      </w:r>
      <w:r w:rsidR="00E07875" w:rsidRPr="003C1602">
        <w:t>art</w:t>
      </w:r>
      <w:proofErr w:type="spellEnd"/>
      <w:r w:rsidRPr="003C1602">
        <w:t xml:space="preserve"> to offer flexibility to young patients.</w:t>
      </w:r>
    </w:p>
    <w:p w:rsidR="00D04EFA" w:rsidRPr="009A7177" w:rsidRDefault="0069299A" w:rsidP="003D7198">
      <w:pPr>
        <w:pStyle w:val="3Bodytext"/>
        <w:rPr>
          <w:snapToGrid w:val="0"/>
        </w:rPr>
      </w:pPr>
      <w:r w:rsidRPr="009A7177">
        <w:rPr>
          <w:snapToGrid w:val="0"/>
        </w:rPr>
        <w:t>The PBAC recommended</w:t>
      </w:r>
      <w:r w:rsidR="0059272C" w:rsidRPr="009A7177">
        <w:rPr>
          <w:snapToGrid w:val="0"/>
        </w:rPr>
        <w:t xml:space="preserve"> that, under Section 101(3BA) of the National Health Act 1953, </w:t>
      </w:r>
      <w:proofErr w:type="spellStart"/>
      <w:r w:rsidRPr="003C1602">
        <w:t>Renastep</w:t>
      </w:r>
      <w:proofErr w:type="spellEnd"/>
      <w:r w:rsidRPr="009A7177">
        <w:rPr>
          <w:snapToGrid w:val="0"/>
        </w:rPr>
        <w:t xml:space="preserve"> should be treated as interchangeable </w:t>
      </w:r>
      <w:r w:rsidR="0059272C" w:rsidRPr="009A7177">
        <w:rPr>
          <w:snapToGrid w:val="0"/>
        </w:rPr>
        <w:t xml:space="preserve">with </w:t>
      </w:r>
      <w:proofErr w:type="spellStart"/>
      <w:r w:rsidR="0059272C" w:rsidRPr="009A7177">
        <w:rPr>
          <w:snapToGrid w:val="0"/>
        </w:rPr>
        <w:t>Renastart</w:t>
      </w:r>
      <w:proofErr w:type="spellEnd"/>
      <w:r w:rsidR="0059272C" w:rsidRPr="009A7177">
        <w:rPr>
          <w:snapToGrid w:val="0"/>
        </w:rPr>
        <w:t xml:space="preserve"> </w:t>
      </w:r>
      <w:r w:rsidRPr="009A7177">
        <w:rPr>
          <w:snapToGrid w:val="0"/>
        </w:rPr>
        <w:t xml:space="preserve">on an individual patient basis. </w:t>
      </w:r>
    </w:p>
    <w:p w:rsidR="00094B2F" w:rsidRPr="009A7177" w:rsidRDefault="00094B2F" w:rsidP="003D7198">
      <w:pPr>
        <w:pStyle w:val="3Bodytext"/>
        <w:rPr>
          <w:snapToGrid w:val="0"/>
        </w:rPr>
      </w:pPr>
      <w:r w:rsidRPr="009A7177">
        <w:rPr>
          <w:snapToGrid w:val="0"/>
        </w:rPr>
        <w:t xml:space="preserve">The PBAC advised that </w:t>
      </w:r>
      <w:proofErr w:type="spellStart"/>
      <w:r w:rsidRPr="009A7177">
        <w:rPr>
          <w:snapToGrid w:val="0"/>
        </w:rPr>
        <w:t>Renastep</w:t>
      </w:r>
      <w:proofErr w:type="spellEnd"/>
      <w:r w:rsidRPr="009A7177">
        <w:rPr>
          <w:snapToGrid w:val="0"/>
        </w:rPr>
        <w:t xml:space="preserve"> is suitable for prescribing by nurse practitioners, similar to other nutritional products currently listed for the dietary management of patients with chronic renal failure.</w:t>
      </w:r>
      <w:r w:rsidRPr="009A7177" w:rsidDel="002769AC">
        <w:rPr>
          <w:snapToGrid w:val="0"/>
        </w:rPr>
        <w:t xml:space="preserve"> </w:t>
      </w:r>
    </w:p>
    <w:p w:rsidR="00784580" w:rsidRPr="009A7177" w:rsidRDefault="00784580" w:rsidP="003D7198">
      <w:pPr>
        <w:pStyle w:val="3Bodytext"/>
        <w:rPr>
          <w:snapToGrid w:val="0"/>
        </w:rPr>
      </w:pPr>
      <w:r w:rsidRPr="009A7177">
        <w:rPr>
          <w:snapToGrid w:val="0"/>
        </w:rPr>
        <w:t xml:space="preserve">The PBAC recommended that the Early Supply Rule should not apply to </w:t>
      </w:r>
      <w:proofErr w:type="spellStart"/>
      <w:r w:rsidR="00B204E6">
        <w:rPr>
          <w:snapToGrid w:val="0"/>
        </w:rPr>
        <w:t>Renastep</w:t>
      </w:r>
      <w:proofErr w:type="spellEnd"/>
      <w:r w:rsidRPr="009A7177">
        <w:rPr>
          <w:snapToGrid w:val="0"/>
        </w:rPr>
        <w:t>, since i</w:t>
      </w:r>
      <w:r w:rsidRPr="003C1602">
        <w:rPr>
          <w:snapToGrid w:val="0"/>
        </w:rPr>
        <w:t>t has previously been the PBAC’s view that general nutrients be exempt</w:t>
      </w:r>
      <w:r w:rsidR="003C1602">
        <w:rPr>
          <w:snapToGrid w:val="0"/>
        </w:rPr>
        <w:t xml:space="preserve">. </w:t>
      </w:r>
    </w:p>
    <w:p w:rsidR="002D2155" w:rsidRPr="003C1602" w:rsidRDefault="002D2155" w:rsidP="003D7198">
      <w:pPr>
        <w:pStyle w:val="3Bodytext"/>
        <w:rPr>
          <w:i/>
        </w:rPr>
      </w:pPr>
      <w:r w:rsidRPr="003C1602">
        <w:rPr>
          <w:lang w:eastAsia="en-US"/>
        </w:rPr>
        <w:t xml:space="preserve">The PBAC noted that its recommendation was on a cost-minimisation basis and advised that because </w:t>
      </w:r>
      <w:proofErr w:type="spellStart"/>
      <w:r w:rsidRPr="003C1602">
        <w:rPr>
          <w:lang w:eastAsia="en-US"/>
        </w:rPr>
        <w:t>Renastep</w:t>
      </w:r>
      <w:proofErr w:type="spellEnd"/>
      <w:r w:rsidRPr="003C1602">
        <w:rPr>
          <w:lang w:eastAsia="en-US"/>
        </w:rPr>
        <w:t xml:space="preserve"> is not expected to provide a substantial and clinically relevant improvement in efficacy, or reduction of toxicity, over </w:t>
      </w:r>
      <w:proofErr w:type="spellStart"/>
      <w:r w:rsidR="00784580" w:rsidRPr="003C1602">
        <w:rPr>
          <w:lang w:eastAsia="en-US"/>
        </w:rPr>
        <w:t>Renastart</w:t>
      </w:r>
      <w:proofErr w:type="spellEnd"/>
      <w:r w:rsidRPr="003C1602">
        <w:rPr>
          <w:lang w:eastAsia="en-US"/>
        </w:rPr>
        <w:t xml:space="preserve">, or not expected to address a high and urgent unmet </w:t>
      </w:r>
      <w:r w:rsidR="00972DC3" w:rsidRPr="003C1602">
        <w:rPr>
          <w:lang w:eastAsia="en-US"/>
        </w:rPr>
        <w:t xml:space="preserve">clinical need given the presence of an alternative therapy, the criteria prescribed by the National Health (Pharmaceuticals and Vaccines – Cost Recovery) Regulations 2009 for pricing Pathway A were not met. </w:t>
      </w:r>
    </w:p>
    <w:p w:rsidR="00AB168C" w:rsidRPr="003C1602" w:rsidRDefault="002D2155" w:rsidP="003D7198">
      <w:pPr>
        <w:pStyle w:val="3Bodytext"/>
        <w:rPr>
          <w:i/>
        </w:rPr>
      </w:pPr>
      <w:r w:rsidRPr="003C1602">
        <w:rPr>
          <w:lang w:eastAsia="en-US"/>
        </w:rPr>
        <w:t>The PBAC noted that this submission is not eligible for an Independent Review because it received a positive recommendation</w:t>
      </w:r>
    </w:p>
    <w:p w:rsidR="002F5EE4" w:rsidRPr="009A7177" w:rsidRDefault="002F5EE4" w:rsidP="003D7198">
      <w:pPr>
        <w:spacing w:before="240"/>
        <w:jc w:val="both"/>
        <w:rPr>
          <w:rFonts w:asciiTheme="minorHAnsi" w:hAnsiTheme="minorHAnsi" w:cs="Arial"/>
          <w:b/>
          <w:bCs/>
          <w:snapToGrid w:val="0"/>
        </w:rPr>
      </w:pPr>
      <w:r w:rsidRPr="009A7177">
        <w:rPr>
          <w:rFonts w:asciiTheme="minorHAnsi" w:hAnsiTheme="minorHAnsi" w:cs="Arial"/>
          <w:b/>
          <w:bCs/>
          <w:snapToGrid w:val="0"/>
        </w:rPr>
        <w:t>Outcome:</w:t>
      </w:r>
    </w:p>
    <w:p w:rsidR="002F5EE4" w:rsidRPr="008A20F4" w:rsidRDefault="002F5EE4" w:rsidP="003D7198">
      <w:pPr>
        <w:jc w:val="both"/>
        <w:rPr>
          <w:rFonts w:asciiTheme="minorHAnsi" w:hAnsiTheme="minorHAnsi" w:cs="Arial"/>
          <w:bCs/>
          <w:snapToGrid w:val="0"/>
        </w:rPr>
      </w:pPr>
      <w:r w:rsidRPr="009A7177">
        <w:rPr>
          <w:rFonts w:asciiTheme="minorHAnsi" w:hAnsiTheme="minorHAnsi" w:cs="Arial"/>
          <w:bCs/>
          <w:snapToGrid w:val="0"/>
        </w:rPr>
        <w:t xml:space="preserve">Recommended </w:t>
      </w:r>
    </w:p>
    <w:p w:rsidR="002F5EE4" w:rsidRPr="009A7177" w:rsidRDefault="002F5EE4" w:rsidP="003D7198">
      <w:pPr>
        <w:pStyle w:val="2Sections"/>
        <w:rPr>
          <w:i/>
        </w:rPr>
      </w:pPr>
      <w:r w:rsidRPr="00945B52">
        <w:t>Recommended</w:t>
      </w:r>
      <w:r w:rsidRPr="009A7177">
        <w:t xml:space="preserve"> listing</w:t>
      </w:r>
    </w:p>
    <w:p w:rsidR="00EA252F" w:rsidRPr="00BA312F" w:rsidRDefault="002F5EE4" w:rsidP="003D7198">
      <w:pPr>
        <w:pStyle w:val="3Bodytext"/>
        <w:rPr>
          <w:snapToGrid w:val="0"/>
        </w:rPr>
      </w:pPr>
      <w:r w:rsidRPr="003C1602">
        <w:rPr>
          <w:snapToGrid w:val="0"/>
        </w:rPr>
        <w:t>Add new item:</w:t>
      </w:r>
    </w:p>
    <w:tbl>
      <w:tblPr>
        <w:tblW w:w="5000" w:type="pct"/>
        <w:tblLook w:val="0000" w:firstRow="0" w:lastRow="0" w:firstColumn="0" w:lastColumn="0" w:noHBand="0" w:noVBand="0"/>
      </w:tblPr>
      <w:tblGrid>
        <w:gridCol w:w="2777"/>
        <w:gridCol w:w="419"/>
        <w:gridCol w:w="556"/>
        <w:gridCol w:w="832"/>
        <w:gridCol w:w="1527"/>
        <w:gridCol w:w="2915"/>
      </w:tblGrid>
      <w:tr w:rsidR="00FA3E76" w:rsidRPr="003C1602" w:rsidTr="003D7198">
        <w:trPr>
          <w:cantSplit/>
          <w:trHeight w:val="471"/>
        </w:trPr>
        <w:tc>
          <w:tcPr>
            <w:tcW w:w="1770" w:type="pct"/>
            <w:gridSpan w:val="2"/>
            <w:tcBorders>
              <w:bottom w:val="single" w:sz="4" w:space="0" w:color="auto"/>
            </w:tcBorders>
          </w:tcPr>
          <w:p w:rsidR="00FA3E76" w:rsidRPr="003C1602" w:rsidRDefault="00FA3E76" w:rsidP="003D7198">
            <w:pPr>
              <w:keepNext/>
              <w:ind w:left="-108"/>
              <w:jc w:val="both"/>
              <w:rPr>
                <w:rFonts w:ascii="Arial Narrow" w:hAnsi="Arial Narrow" w:cs="Arial"/>
                <w:sz w:val="20"/>
                <w:szCs w:val="20"/>
              </w:rPr>
            </w:pPr>
            <w:r w:rsidRPr="003C1602">
              <w:rPr>
                <w:rFonts w:ascii="Arial Narrow" w:hAnsi="Arial Narrow" w:cs="Arial"/>
                <w:sz w:val="20"/>
                <w:szCs w:val="20"/>
              </w:rPr>
              <w:t>Name, Restriction,</w:t>
            </w:r>
          </w:p>
          <w:p w:rsidR="00FA3E76" w:rsidRPr="003C1602" w:rsidRDefault="00FA3E76" w:rsidP="003D7198">
            <w:pPr>
              <w:keepNext/>
              <w:ind w:left="-108"/>
              <w:jc w:val="both"/>
              <w:rPr>
                <w:rFonts w:ascii="Arial Narrow" w:hAnsi="Arial Narrow" w:cs="Arial"/>
                <w:sz w:val="20"/>
                <w:szCs w:val="20"/>
              </w:rPr>
            </w:pPr>
            <w:r w:rsidRPr="003C1602">
              <w:rPr>
                <w:rFonts w:ascii="Arial Narrow" w:hAnsi="Arial Narrow" w:cs="Arial"/>
                <w:sz w:val="20"/>
                <w:szCs w:val="20"/>
              </w:rPr>
              <w:t>Manner of administration and form</w:t>
            </w:r>
          </w:p>
        </w:tc>
        <w:tc>
          <w:tcPr>
            <w:tcW w:w="308" w:type="pct"/>
            <w:tcBorders>
              <w:bottom w:val="single" w:sz="4" w:space="0" w:color="auto"/>
            </w:tcBorders>
          </w:tcPr>
          <w:p w:rsidR="00FA3E76" w:rsidRPr="003C1602" w:rsidRDefault="00FA3E76" w:rsidP="003D7198">
            <w:pPr>
              <w:keepNext/>
              <w:ind w:left="-108"/>
              <w:jc w:val="both"/>
              <w:rPr>
                <w:rFonts w:ascii="Arial Narrow" w:hAnsi="Arial Narrow" w:cs="Arial"/>
                <w:sz w:val="20"/>
                <w:szCs w:val="20"/>
              </w:rPr>
            </w:pPr>
            <w:r w:rsidRPr="003C1602">
              <w:rPr>
                <w:rFonts w:ascii="Arial Narrow" w:hAnsi="Arial Narrow" w:cs="Arial"/>
                <w:sz w:val="20"/>
                <w:szCs w:val="20"/>
              </w:rPr>
              <w:t>Max.</w:t>
            </w:r>
          </w:p>
          <w:p w:rsidR="00FA3E76" w:rsidRPr="003C1602" w:rsidRDefault="00FA3E76" w:rsidP="003D7198">
            <w:pPr>
              <w:keepNext/>
              <w:ind w:left="-108"/>
              <w:jc w:val="both"/>
              <w:rPr>
                <w:rFonts w:ascii="Arial Narrow" w:hAnsi="Arial Narrow" w:cs="Arial"/>
                <w:sz w:val="20"/>
                <w:szCs w:val="20"/>
              </w:rPr>
            </w:pPr>
            <w:proofErr w:type="spellStart"/>
            <w:r w:rsidRPr="003C1602">
              <w:rPr>
                <w:rFonts w:ascii="Arial Narrow" w:hAnsi="Arial Narrow" w:cs="Arial"/>
                <w:sz w:val="20"/>
                <w:szCs w:val="20"/>
              </w:rPr>
              <w:t>Qty</w:t>
            </w:r>
            <w:proofErr w:type="spellEnd"/>
          </w:p>
        </w:tc>
        <w:tc>
          <w:tcPr>
            <w:tcW w:w="461" w:type="pct"/>
            <w:tcBorders>
              <w:bottom w:val="single" w:sz="4" w:space="0" w:color="auto"/>
            </w:tcBorders>
          </w:tcPr>
          <w:p w:rsidR="00FA3E76" w:rsidRPr="003C1602" w:rsidRDefault="00FA3E76" w:rsidP="003D7198">
            <w:pPr>
              <w:keepNext/>
              <w:ind w:left="-108"/>
              <w:jc w:val="both"/>
              <w:rPr>
                <w:rFonts w:ascii="Arial Narrow" w:hAnsi="Arial Narrow" w:cs="Arial"/>
                <w:sz w:val="20"/>
                <w:szCs w:val="20"/>
              </w:rPr>
            </w:pPr>
            <w:r w:rsidRPr="003C1602">
              <w:rPr>
                <w:rFonts w:ascii="Arial Narrow" w:hAnsi="Arial Narrow" w:cs="Arial"/>
                <w:sz w:val="20"/>
                <w:szCs w:val="20"/>
              </w:rPr>
              <w:t>№.of</w:t>
            </w:r>
          </w:p>
          <w:p w:rsidR="00FA3E76" w:rsidRPr="003C1602" w:rsidRDefault="00FA3E76" w:rsidP="003D7198">
            <w:pPr>
              <w:keepNext/>
              <w:ind w:left="-108"/>
              <w:jc w:val="both"/>
              <w:rPr>
                <w:rFonts w:ascii="Arial Narrow" w:hAnsi="Arial Narrow" w:cs="Arial"/>
                <w:sz w:val="20"/>
                <w:szCs w:val="20"/>
              </w:rPr>
            </w:pPr>
            <w:proofErr w:type="spellStart"/>
            <w:r w:rsidRPr="003C1602">
              <w:rPr>
                <w:rFonts w:ascii="Arial Narrow" w:hAnsi="Arial Narrow" w:cs="Arial"/>
                <w:sz w:val="20"/>
                <w:szCs w:val="20"/>
              </w:rPr>
              <w:t>Rpts</w:t>
            </w:r>
            <w:proofErr w:type="spellEnd"/>
          </w:p>
        </w:tc>
        <w:tc>
          <w:tcPr>
            <w:tcW w:w="2461" w:type="pct"/>
            <w:gridSpan w:val="2"/>
            <w:tcBorders>
              <w:bottom w:val="single" w:sz="4" w:space="0" w:color="auto"/>
            </w:tcBorders>
          </w:tcPr>
          <w:p w:rsidR="00FA3E76" w:rsidRPr="009A7177" w:rsidRDefault="00FA3E76" w:rsidP="003D7198">
            <w:pPr>
              <w:keepNext/>
              <w:jc w:val="both"/>
              <w:rPr>
                <w:rFonts w:ascii="Arial Narrow" w:hAnsi="Arial Narrow" w:cs="Arial"/>
                <w:sz w:val="20"/>
                <w:szCs w:val="20"/>
              </w:rPr>
            </w:pPr>
            <w:r w:rsidRPr="003C1602">
              <w:rPr>
                <w:rFonts w:ascii="Arial Narrow" w:hAnsi="Arial Narrow" w:cs="Arial"/>
                <w:sz w:val="20"/>
                <w:szCs w:val="20"/>
              </w:rPr>
              <w:t>Proprietary Name and Manufacturer</w:t>
            </w:r>
          </w:p>
        </w:tc>
      </w:tr>
      <w:tr w:rsidR="00FA3E76" w:rsidRPr="003C1602" w:rsidTr="003D7198">
        <w:trPr>
          <w:cantSplit/>
          <w:trHeight w:val="577"/>
        </w:trPr>
        <w:tc>
          <w:tcPr>
            <w:tcW w:w="1770" w:type="pct"/>
            <w:gridSpan w:val="2"/>
          </w:tcPr>
          <w:p w:rsidR="00CB69CC" w:rsidRDefault="00CB69CC" w:rsidP="003D7198">
            <w:pPr>
              <w:keepNext/>
              <w:ind w:left="-108"/>
              <w:rPr>
                <w:rFonts w:ascii="Arial Narrow" w:hAnsi="Arial Narrow" w:cs="Arial"/>
                <w:smallCaps/>
                <w:sz w:val="20"/>
                <w:szCs w:val="20"/>
              </w:rPr>
            </w:pPr>
            <w:r w:rsidRPr="00CB69CC">
              <w:rPr>
                <w:rFonts w:ascii="Arial Narrow" w:hAnsi="Arial Narrow" w:cs="Arial"/>
                <w:smallCaps/>
                <w:sz w:val="20"/>
                <w:szCs w:val="20"/>
              </w:rPr>
              <w:t>protein formula with vitamins and minerals, and low in potassium, phosphorus, calcium, chloride and vitamin a</w:t>
            </w:r>
          </w:p>
          <w:p w:rsidR="00FA3E76" w:rsidRPr="003C1602" w:rsidRDefault="00FA3E76" w:rsidP="003D7198">
            <w:pPr>
              <w:keepNext/>
              <w:ind w:left="-108"/>
              <w:jc w:val="both"/>
              <w:rPr>
                <w:rFonts w:ascii="Arial Narrow" w:hAnsi="Arial Narrow" w:cs="Arial"/>
                <w:color w:val="FF0000"/>
                <w:sz w:val="20"/>
                <w:szCs w:val="20"/>
              </w:rPr>
            </w:pPr>
            <w:r w:rsidRPr="003C1602">
              <w:rPr>
                <w:rFonts w:ascii="Arial Narrow" w:hAnsi="Arial Narrow" w:cs="Arial"/>
                <w:sz w:val="20"/>
                <w:szCs w:val="20"/>
              </w:rPr>
              <w:t>Oral liquid, 24 × 125 mL bottle</w:t>
            </w:r>
            <w:r w:rsidR="00CB69CC">
              <w:rPr>
                <w:rFonts w:ascii="Arial Narrow" w:hAnsi="Arial Narrow" w:cs="Arial"/>
                <w:sz w:val="20"/>
                <w:szCs w:val="20"/>
              </w:rPr>
              <w:t>s</w:t>
            </w:r>
          </w:p>
        </w:tc>
        <w:tc>
          <w:tcPr>
            <w:tcW w:w="308" w:type="pct"/>
          </w:tcPr>
          <w:p w:rsidR="00FA3E76" w:rsidRPr="003C1602" w:rsidRDefault="00FA3E76" w:rsidP="003D7198">
            <w:pPr>
              <w:keepNext/>
              <w:ind w:left="-108"/>
              <w:jc w:val="both"/>
              <w:rPr>
                <w:rFonts w:ascii="Arial Narrow" w:hAnsi="Arial Narrow" w:cs="Arial"/>
                <w:sz w:val="20"/>
                <w:szCs w:val="20"/>
              </w:rPr>
            </w:pPr>
          </w:p>
          <w:p w:rsidR="00FA3E76" w:rsidRPr="003C1602" w:rsidRDefault="00FA3E76" w:rsidP="003D7198">
            <w:pPr>
              <w:keepNext/>
              <w:ind w:left="-108"/>
              <w:jc w:val="both"/>
              <w:rPr>
                <w:rFonts w:ascii="Arial Narrow" w:hAnsi="Arial Narrow" w:cs="Arial"/>
                <w:sz w:val="20"/>
                <w:szCs w:val="20"/>
              </w:rPr>
            </w:pPr>
            <w:r w:rsidRPr="003C1602">
              <w:rPr>
                <w:rFonts w:ascii="Arial Narrow" w:hAnsi="Arial Narrow" w:cs="Arial"/>
                <w:sz w:val="20"/>
                <w:szCs w:val="20"/>
              </w:rPr>
              <w:t>8</w:t>
            </w:r>
          </w:p>
        </w:tc>
        <w:tc>
          <w:tcPr>
            <w:tcW w:w="461" w:type="pct"/>
          </w:tcPr>
          <w:p w:rsidR="00FA3E76" w:rsidRPr="003C1602" w:rsidRDefault="00FA3E76" w:rsidP="003D7198">
            <w:pPr>
              <w:keepNext/>
              <w:ind w:left="-108"/>
              <w:jc w:val="both"/>
              <w:rPr>
                <w:rFonts w:ascii="Arial Narrow" w:hAnsi="Arial Narrow" w:cs="Arial"/>
                <w:sz w:val="20"/>
                <w:szCs w:val="20"/>
              </w:rPr>
            </w:pPr>
          </w:p>
          <w:p w:rsidR="00FA3E76" w:rsidRPr="003C1602" w:rsidRDefault="00FA3E76" w:rsidP="003D7198">
            <w:pPr>
              <w:keepNext/>
              <w:ind w:left="-108"/>
              <w:jc w:val="both"/>
              <w:rPr>
                <w:rFonts w:ascii="Arial Narrow" w:hAnsi="Arial Narrow" w:cs="Arial"/>
                <w:sz w:val="20"/>
                <w:szCs w:val="20"/>
              </w:rPr>
            </w:pPr>
            <w:r w:rsidRPr="003C1602">
              <w:rPr>
                <w:rFonts w:ascii="Arial Narrow" w:hAnsi="Arial Narrow" w:cs="Arial"/>
                <w:sz w:val="20"/>
                <w:szCs w:val="20"/>
              </w:rPr>
              <w:t>5</w:t>
            </w:r>
          </w:p>
        </w:tc>
        <w:tc>
          <w:tcPr>
            <w:tcW w:w="846" w:type="pct"/>
          </w:tcPr>
          <w:p w:rsidR="00FA3E76" w:rsidRPr="003C1602" w:rsidRDefault="00FA3E76" w:rsidP="003D7198">
            <w:pPr>
              <w:keepNext/>
              <w:jc w:val="both"/>
              <w:rPr>
                <w:rFonts w:ascii="Arial Narrow" w:hAnsi="Arial Narrow" w:cs="Arial"/>
                <w:sz w:val="20"/>
                <w:szCs w:val="20"/>
              </w:rPr>
            </w:pPr>
            <w:proofErr w:type="spellStart"/>
            <w:r w:rsidRPr="003C1602">
              <w:rPr>
                <w:rFonts w:ascii="Arial Narrow" w:hAnsi="Arial Narrow" w:cs="Arial"/>
                <w:sz w:val="20"/>
                <w:szCs w:val="20"/>
              </w:rPr>
              <w:t>Renastep</w:t>
            </w:r>
            <w:proofErr w:type="spellEnd"/>
            <w:r w:rsidRPr="003C1602">
              <w:rPr>
                <w:rFonts w:ascii="Arial Narrow" w:hAnsi="Arial Narrow" w:cs="Arial"/>
                <w:sz w:val="20"/>
                <w:szCs w:val="20"/>
              </w:rPr>
              <w:t>®</w:t>
            </w:r>
          </w:p>
        </w:tc>
        <w:tc>
          <w:tcPr>
            <w:tcW w:w="1615" w:type="pct"/>
          </w:tcPr>
          <w:p w:rsidR="00FA3E76" w:rsidRPr="003C1602" w:rsidRDefault="00FA3E76" w:rsidP="003D7198">
            <w:pPr>
              <w:keepNext/>
              <w:jc w:val="both"/>
              <w:rPr>
                <w:rFonts w:ascii="Arial Narrow" w:hAnsi="Arial Narrow" w:cs="Arial"/>
                <w:sz w:val="20"/>
                <w:szCs w:val="20"/>
              </w:rPr>
            </w:pPr>
            <w:proofErr w:type="spellStart"/>
            <w:r w:rsidRPr="003C1602">
              <w:rPr>
                <w:rFonts w:ascii="Arial Narrow" w:hAnsi="Arial Narrow" w:cs="Arial"/>
                <w:sz w:val="20"/>
                <w:szCs w:val="20"/>
              </w:rPr>
              <w:t>Vitaflo</w:t>
            </w:r>
            <w:proofErr w:type="spellEnd"/>
            <w:r w:rsidRPr="003C1602">
              <w:rPr>
                <w:rFonts w:ascii="Arial Narrow" w:hAnsi="Arial Narrow" w:cs="Arial"/>
                <w:sz w:val="20"/>
                <w:szCs w:val="20"/>
              </w:rPr>
              <w:t xml:space="preserve"> Australia Pty Ltd</w:t>
            </w:r>
          </w:p>
        </w:tc>
      </w:tr>
      <w:tr w:rsidR="00FA3E76" w:rsidRPr="003C1602" w:rsidTr="003D7198">
        <w:trPr>
          <w:cantSplit/>
          <w:trHeight w:val="360"/>
        </w:trPr>
        <w:tc>
          <w:tcPr>
            <w:tcW w:w="1538" w:type="pct"/>
            <w:tcBorders>
              <w:top w:val="single" w:sz="4" w:space="0" w:color="auto"/>
              <w:left w:val="single" w:sz="4" w:space="0" w:color="auto"/>
              <w:bottom w:val="single" w:sz="4" w:space="0" w:color="auto"/>
              <w:right w:val="single" w:sz="4" w:space="0" w:color="auto"/>
            </w:tcBorders>
          </w:tcPr>
          <w:p w:rsidR="00FA3E76" w:rsidRPr="003C1602" w:rsidRDefault="00FA3E76" w:rsidP="003D7198">
            <w:pPr>
              <w:jc w:val="both"/>
              <w:rPr>
                <w:rFonts w:ascii="Arial Narrow" w:hAnsi="Arial Narrow" w:cs="Arial"/>
                <w:b/>
                <w:sz w:val="20"/>
                <w:szCs w:val="20"/>
              </w:rPr>
            </w:pPr>
            <w:r w:rsidRPr="003C1602">
              <w:rPr>
                <w:rFonts w:ascii="Arial Narrow" w:hAnsi="Arial Narrow" w:cs="Arial"/>
                <w:b/>
                <w:sz w:val="20"/>
                <w:szCs w:val="20"/>
              </w:rPr>
              <w:t>Category / Program:</w:t>
            </w:r>
          </w:p>
        </w:tc>
        <w:tc>
          <w:tcPr>
            <w:tcW w:w="3462" w:type="pct"/>
            <w:gridSpan w:val="5"/>
            <w:tcBorders>
              <w:top w:val="single" w:sz="4" w:space="0" w:color="auto"/>
              <w:left w:val="single" w:sz="4" w:space="0" w:color="auto"/>
              <w:bottom w:val="single" w:sz="4" w:space="0" w:color="auto"/>
              <w:right w:val="single" w:sz="4" w:space="0" w:color="auto"/>
            </w:tcBorders>
          </w:tcPr>
          <w:p w:rsidR="00FA3E76" w:rsidRPr="003C1602" w:rsidRDefault="00FA3E76" w:rsidP="003D7198">
            <w:pPr>
              <w:jc w:val="both"/>
              <w:rPr>
                <w:rFonts w:ascii="Arial Narrow" w:hAnsi="Arial Narrow" w:cs="Arial"/>
                <w:sz w:val="20"/>
                <w:szCs w:val="20"/>
              </w:rPr>
            </w:pPr>
            <w:r w:rsidRPr="003C1602">
              <w:rPr>
                <w:rFonts w:ascii="Arial Narrow" w:hAnsi="Arial Narrow" w:cs="Arial"/>
                <w:sz w:val="20"/>
                <w:szCs w:val="20"/>
              </w:rPr>
              <w:t>GENERAL – General Schedule (Code GE)</w:t>
            </w:r>
          </w:p>
        </w:tc>
      </w:tr>
      <w:tr w:rsidR="00FA3E76" w:rsidRPr="003C1602" w:rsidTr="003D7198">
        <w:trPr>
          <w:cantSplit/>
          <w:trHeight w:val="360"/>
        </w:trPr>
        <w:tc>
          <w:tcPr>
            <w:tcW w:w="1538" w:type="pct"/>
            <w:tcBorders>
              <w:top w:val="single" w:sz="4" w:space="0" w:color="auto"/>
              <w:left w:val="single" w:sz="4" w:space="0" w:color="auto"/>
              <w:bottom w:val="single" w:sz="4" w:space="0" w:color="auto"/>
              <w:right w:val="single" w:sz="4" w:space="0" w:color="auto"/>
            </w:tcBorders>
          </w:tcPr>
          <w:p w:rsidR="00FA3E76" w:rsidRPr="003C1602" w:rsidRDefault="00FA3E76" w:rsidP="003D7198">
            <w:pPr>
              <w:jc w:val="both"/>
              <w:rPr>
                <w:rFonts w:ascii="Arial Narrow" w:hAnsi="Arial Narrow" w:cs="Arial"/>
                <w:b/>
                <w:sz w:val="20"/>
                <w:szCs w:val="20"/>
              </w:rPr>
            </w:pPr>
            <w:r w:rsidRPr="003C1602">
              <w:rPr>
                <w:rFonts w:ascii="Arial Narrow" w:hAnsi="Arial Narrow" w:cs="Arial"/>
                <w:b/>
                <w:sz w:val="20"/>
                <w:szCs w:val="20"/>
              </w:rPr>
              <w:t>Prescriber type:</w:t>
            </w:r>
          </w:p>
          <w:p w:rsidR="00FA3E76" w:rsidRPr="003C1602" w:rsidRDefault="00FA3E76" w:rsidP="003D7198">
            <w:pPr>
              <w:jc w:val="both"/>
              <w:rPr>
                <w:rFonts w:ascii="Arial Narrow" w:hAnsi="Arial Narrow" w:cs="Arial"/>
                <w:b/>
                <w:sz w:val="20"/>
                <w:szCs w:val="20"/>
              </w:rPr>
            </w:pPr>
          </w:p>
        </w:tc>
        <w:tc>
          <w:tcPr>
            <w:tcW w:w="3462" w:type="pct"/>
            <w:gridSpan w:val="5"/>
            <w:tcBorders>
              <w:top w:val="single" w:sz="4" w:space="0" w:color="auto"/>
              <w:left w:val="single" w:sz="4" w:space="0" w:color="auto"/>
              <w:bottom w:val="single" w:sz="4" w:space="0" w:color="auto"/>
              <w:right w:val="single" w:sz="4" w:space="0" w:color="auto"/>
            </w:tcBorders>
          </w:tcPr>
          <w:p w:rsidR="00FA3E76" w:rsidRPr="003C1602" w:rsidRDefault="00FA3E76" w:rsidP="003D7198">
            <w:pPr>
              <w:jc w:val="both"/>
              <w:rPr>
                <w:rFonts w:ascii="Arial Narrow" w:hAnsi="Arial Narrow" w:cs="Arial"/>
                <w:sz w:val="20"/>
                <w:szCs w:val="20"/>
              </w:rPr>
            </w:pPr>
            <w:r w:rsidRPr="009A7177">
              <w:rPr>
                <w:rFonts w:ascii="Arial Narrow" w:hAnsi="Arial Narrow" w:cs="Arial"/>
                <w:sz w:val="20"/>
                <w:szCs w:val="20"/>
              </w:rPr>
              <w:fldChar w:fldCharType="begin">
                <w:ffData>
                  <w:name w:val="Check1"/>
                  <w:enabled/>
                  <w:calcOnExit w:val="0"/>
                  <w:checkBox>
                    <w:sizeAuto/>
                    <w:default w:val="0"/>
                  </w:checkBox>
                </w:ffData>
              </w:fldChar>
            </w:r>
            <w:r w:rsidRPr="003C1602">
              <w:rPr>
                <w:rFonts w:ascii="Arial Narrow" w:hAnsi="Arial Narrow" w:cs="Arial"/>
                <w:sz w:val="20"/>
                <w:szCs w:val="20"/>
              </w:rPr>
              <w:instrText xml:space="preserve"> FORMCHECKBOX </w:instrText>
            </w:r>
            <w:r w:rsidR="0007780B">
              <w:rPr>
                <w:rFonts w:ascii="Arial Narrow" w:hAnsi="Arial Narrow" w:cs="Arial"/>
                <w:sz w:val="20"/>
                <w:szCs w:val="20"/>
              </w:rPr>
            </w:r>
            <w:r w:rsidR="0007780B">
              <w:rPr>
                <w:rFonts w:ascii="Arial Narrow" w:hAnsi="Arial Narrow" w:cs="Arial"/>
                <w:sz w:val="20"/>
                <w:szCs w:val="20"/>
              </w:rPr>
              <w:fldChar w:fldCharType="separate"/>
            </w:r>
            <w:r w:rsidRPr="009A7177">
              <w:rPr>
                <w:rFonts w:ascii="Arial Narrow" w:hAnsi="Arial Narrow" w:cs="Arial"/>
                <w:sz w:val="20"/>
                <w:szCs w:val="20"/>
              </w:rPr>
              <w:fldChar w:fldCharType="end"/>
            </w:r>
            <w:r w:rsidRPr="003C1602">
              <w:rPr>
                <w:rFonts w:ascii="Arial Narrow" w:hAnsi="Arial Narrow" w:cs="Arial"/>
                <w:sz w:val="20"/>
                <w:szCs w:val="20"/>
              </w:rPr>
              <w:t xml:space="preserve">Dental  </w:t>
            </w:r>
            <w:r w:rsidRPr="009A7177">
              <w:rPr>
                <w:rFonts w:ascii="Arial Narrow" w:hAnsi="Arial Narrow" w:cs="Arial"/>
                <w:sz w:val="20"/>
                <w:szCs w:val="20"/>
              </w:rPr>
              <w:fldChar w:fldCharType="begin">
                <w:ffData>
                  <w:name w:val=""/>
                  <w:enabled/>
                  <w:calcOnExit w:val="0"/>
                  <w:checkBox>
                    <w:sizeAuto/>
                    <w:default w:val="1"/>
                  </w:checkBox>
                </w:ffData>
              </w:fldChar>
            </w:r>
            <w:r w:rsidRPr="003C1602">
              <w:rPr>
                <w:rFonts w:ascii="Arial Narrow" w:hAnsi="Arial Narrow" w:cs="Arial"/>
                <w:sz w:val="20"/>
                <w:szCs w:val="20"/>
              </w:rPr>
              <w:instrText xml:space="preserve"> FORMCHECKBOX </w:instrText>
            </w:r>
            <w:r w:rsidR="0007780B">
              <w:rPr>
                <w:rFonts w:ascii="Arial Narrow" w:hAnsi="Arial Narrow" w:cs="Arial"/>
                <w:sz w:val="20"/>
                <w:szCs w:val="20"/>
              </w:rPr>
            </w:r>
            <w:r w:rsidR="0007780B">
              <w:rPr>
                <w:rFonts w:ascii="Arial Narrow" w:hAnsi="Arial Narrow" w:cs="Arial"/>
                <w:sz w:val="20"/>
                <w:szCs w:val="20"/>
              </w:rPr>
              <w:fldChar w:fldCharType="separate"/>
            </w:r>
            <w:r w:rsidRPr="009A7177">
              <w:rPr>
                <w:rFonts w:ascii="Arial Narrow" w:hAnsi="Arial Narrow" w:cs="Arial"/>
                <w:sz w:val="20"/>
                <w:szCs w:val="20"/>
              </w:rPr>
              <w:fldChar w:fldCharType="end"/>
            </w:r>
            <w:r w:rsidRPr="003C1602">
              <w:rPr>
                <w:rFonts w:ascii="Arial Narrow" w:hAnsi="Arial Narrow" w:cs="Arial"/>
                <w:sz w:val="20"/>
                <w:szCs w:val="20"/>
              </w:rPr>
              <w:t xml:space="preserve">Medical Practitioners  </w:t>
            </w:r>
            <w:r w:rsidRPr="009A7177">
              <w:rPr>
                <w:rFonts w:ascii="Arial Narrow" w:hAnsi="Arial Narrow" w:cs="Arial"/>
                <w:sz w:val="20"/>
                <w:szCs w:val="20"/>
              </w:rPr>
              <w:fldChar w:fldCharType="begin">
                <w:ffData>
                  <w:name w:val="Check3"/>
                  <w:enabled/>
                  <w:calcOnExit w:val="0"/>
                  <w:checkBox>
                    <w:sizeAuto/>
                    <w:default w:val="1"/>
                  </w:checkBox>
                </w:ffData>
              </w:fldChar>
            </w:r>
            <w:r w:rsidRPr="003C1602">
              <w:rPr>
                <w:rFonts w:ascii="Arial Narrow" w:hAnsi="Arial Narrow" w:cs="Arial"/>
                <w:sz w:val="20"/>
                <w:szCs w:val="20"/>
              </w:rPr>
              <w:instrText xml:space="preserve"> FORMCHECKBOX </w:instrText>
            </w:r>
            <w:r w:rsidR="0007780B">
              <w:rPr>
                <w:rFonts w:ascii="Arial Narrow" w:hAnsi="Arial Narrow" w:cs="Arial"/>
                <w:sz w:val="20"/>
                <w:szCs w:val="20"/>
              </w:rPr>
            </w:r>
            <w:r w:rsidR="0007780B">
              <w:rPr>
                <w:rFonts w:ascii="Arial Narrow" w:hAnsi="Arial Narrow" w:cs="Arial"/>
                <w:sz w:val="20"/>
                <w:szCs w:val="20"/>
              </w:rPr>
              <w:fldChar w:fldCharType="separate"/>
            </w:r>
            <w:r w:rsidRPr="009A7177">
              <w:rPr>
                <w:rFonts w:ascii="Arial Narrow" w:hAnsi="Arial Narrow" w:cs="Arial"/>
                <w:sz w:val="20"/>
                <w:szCs w:val="20"/>
              </w:rPr>
              <w:fldChar w:fldCharType="end"/>
            </w:r>
            <w:r w:rsidRPr="003C1602">
              <w:rPr>
                <w:rFonts w:ascii="Arial Narrow" w:hAnsi="Arial Narrow" w:cs="Arial"/>
                <w:sz w:val="20"/>
                <w:szCs w:val="20"/>
              </w:rPr>
              <w:t xml:space="preserve">Nurse practitioners  </w:t>
            </w:r>
            <w:r w:rsidRPr="009A7177">
              <w:rPr>
                <w:rFonts w:ascii="Arial Narrow" w:hAnsi="Arial Narrow" w:cs="Arial"/>
                <w:sz w:val="20"/>
                <w:szCs w:val="20"/>
              </w:rPr>
              <w:fldChar w:fldCharType="begin">
                <w:ffData>
                  <w:name w:val=""/>
                  <w:enabled/>
                  <w:calcOnExit w:val="0"/>
                  <w:checkBox>
                    <w:sizeAuto/>
                    <w:default w:val="0"/>
                  </w:checkBox>
                </w:ffData>
              </w:fldChar>
            </w:r>
            <w:r w:rsidRPr="003C1602">
              <w:rPr>
                <w:rFonts w:ascii="Arial Narrow" w:hAnsi="Arial Narrow" w:cs="Arial"/>
                <w:sz w:val="20"/>
                <w:szCs w:val="20"/>
              </w:rPr>
              <w:instrText xml:space="preserve"> FORMCHECKBOX </w:instrText>
            </w:r>
            <w:r w:rsidR="0007780B">
              <w:rPr>
                <w:rFonts w:ascii="Arial Narrow" w:hAnsi="Arial Narrow" w:cs="Arial"/>
                <w:sz w:val="20"/>
                <w:szCs w:val="20"/>
              </w:rPr>
            </w:r>
            <w:r w:rsidR="0007780B">
              <w:rPr>
                <w:rFonts w:ascii="Arial Narrow" w:hAnsi="Arial Narrow" w:cs="Arial"/>
                <w:sz w:val="20"/>
                <w:szCs w:val="20"/>
              </w:rPr>
              <w:fldChar w:fldCharType="separate"/>
            </w:r>
            <w:r w:rsidRPr="009A7177">
              <w:rPr>
                <w:rFonts w:ascii="Arial Narrow" w:hAnsi="Arial Narrow" w:cs="Arial"/>
                <w:sz w:val="20"/>
                <w:szCs w:val="20"/>
              </w:rPr>
              <w:fldChar w:fldCharType="end"/>
            </w:r>
            <w:r w:rsidRPr="003C1602">
              <w:rPr>
                <w:rFonts w:ascii="Arial Narrow" w:hAnsi="Arial Narrow" w:cs="Arial"/>
                <w:sz w:val="20"/>
                <w:szCs w:val="20"/>
              </w:rPr>
              <w:t>Optometrists</w:t>
            </w:r>
          </w:p>
          <w:p w:rsidR="00FA3E76" w:rsidRPr="003C1602" w:rsidRDefault="00FA3E76" w:rsidP="003D7198">
            <w:pPr>
              <w:jc w:val="both"/>
              <w:rPr>
                <w:rFonts w:ascii="Arial Narrow" w:hAnsi="Arial Narrow" w:cs="Arial"/>
                <w:sz w:val="20"/>
                <w:szCs w:val="20"/>
              </w:rPr>
            </w:pPr>
            <w:r w:rsidRPr="009A7177">
              <w:rPr>
                <w:rFonts w:ascii="Arial Narrow" w:hAnsi="Arial Narrow" w:cs="Arial"/>
                <w:sz w:val="20"/>
                <w:szCs w:val="20"/>
              </w:rPr>
              <w:fldChar w:fldCharType="begin">
                <w:ffData>
                  <w:name w:val="Check5"/>
                  <w:enabled/>
                  <w:calcOnExit w:val="0"/>
                  <w:checkBox>
                    <w:sizeAuto/>
                    <w:default w:val="0"/>
                  </w:checkBox>
                </w:ffData>
              </w:fldChar>
            </w:r>
            <w:r w:rsidRPr="003C1602">
              <w:rPr>
                <w:rFonts w:ascii="Arial Narrow" w:hAnsi="Arial Narrow" w:cs="Arial"/>
                <w:sz w:val="20"/>
                <w:szCs w:val="20"/>
              </w:rPr>
              <w:instrText xml:space="preserve"> FORMCHECKBOX </w:instrText>
            </w:r>
            <w:r w:rsidR="0007780B">
              <w:rPr>
                <w:rFonts w:ascii="Arial Narrow" w:hAnsi="Arial Narrow" w:cs="Arial"/>
                <w:sz w:val="20"/>
                <w:szCs w:val="20"/>
              </w:rPr>
            </w:r>
            <w:r w:rsidR="0007780B">
              <w:rPr>
                <w:rFonts w:ascii="Arial Narrow" w:hAnsi="Arial Narrow" w:cs="Arial"/>
                <w:sz w:val="20"/>
                <w:szCs w:val="20"/>
              </w:rPr>
              <w:fldChar w:fldCharType="separate"/>
            </w:r>
            <w:r w:rsidRPr="009A7177">
              <w:rPr>
                <w:rFonts w:ascii="Arial Narrow" w:hAnsi="Arial Narrow" w:cs="Arial"/>
                <w:sz w:val="20"/>
                <w:szCs w:val="20"/>
              </w:rPr>
              <w:fldChar w:fldCharType="end"/>
            </w:r>
            <w:r w:rsidRPr="003C1602">
              <w:rPr>
                <w:rFonts w:ascii="Arial Narrow" w:hAnsi="Arial Narrow" w:cs="Arial"/>
                <w:sz w:val="20"/>
                <w:szCs w:val="20"/>
              </w:rPr>
              <w:t>Midwives</w:t>
            </w:r>
          </w:p>
        </w:tc>
      </w:tr>
      <w:tr w:rsidR="00FA3E76" w:rsidRPr="003C1602" w:rsidTr="003D7198">
        <w:trPr>
          <w:cantSplit/>
          <w:trHeight w:val="301"/>
        </w:trPr>
        <w:tc>
          <w:tcPr>
            <w:tcW w:w="1538" w:type="pct"/>
            <w:tcBorders>
              <w:top w:val="single" w:sz="4" w:space="0" w:color="auto"/>
              <w:left w:val="single" w:sz="4" w:space="0" w:color="auto"/>
              <w:bottom w:val="single" w:sz="4" w:space="0" w:color="auto"/>
              <w:right w:val="single" w:sz="4" w:space="0" w:color="auto"/>
            </w:tcBorders>
          </w:tcPr>
          <w:p w:rsidR="00FA3E76" w:rsidRPr="003C1602" w:rsidRDefault="00FA3E76" w:rsidP="003D7198">
            <w:pPr>
              <w:jc w:val="both"/>
              <w:rPr>
                <w:rFonts w:ascii="Arial Narrow" w:hAnsi="Arial Narrow" w:cs="Arial"/>
                <w:b/>
                <w:sz w:val="20"/>
                <w:szCs w:val="20"/>
              </w:rPr>
            </w:pPr>
            <w:r w:rsidRPr="003C1602">
              <w:rPr>
                <w:rFonts w:ascii="Arial Narrow" w:hAnsi="Arial Narrow" w:cs="Arial"/>
                <w:b/>
                <w:sz w:val="20"/>
                <w:szCs w:val="20"/>
              </w:rPr>
              <w:t>PBS Indication:</w:t>
            </w:r>
          </w:p>
        </w:tc>
        <w:tc>
          <w:tcPr>
            <w:tcW w:w="3462" w:type="pct"/>
            <w:gridSpan w:val="5"/>
            <w:tcBorders>
              <w:top w:val="single" w:sz="4" w:space="0" w:color="auto"/>
              <w:left w:val="single" w:sz="4" w:space="0" w:color="auto"/>
              <w:bottom w:val="single" w:sz="4" w:space="0" w:color="auto"/>
              <w:right w:val="single" w:sz="4" w:space="0" w:color="auto"/>
            </w:tcBorders>
          </w:tcPr>
          <w:p w:rsidR="00FA3E76" w:rsidRPr="003C1602" w:rsidRDefault="00FA3E76" w:rsidP="003D7198">
            <w:pPr>
              <w:jc w:val="both"/>
              <w:rPr>
                <w:rFonts w:ascii="Arial Narrow" w:hAnsi="Arial Narrow" w:cs="Arial"/>
                <w:i/>
                <w:sz w:val="20"/>
                <w:szCs w:val="20"/>
              </w:rPr>
            </w:pPr>
            <w:r w:rsidRPr="003C1602">
              <w:rPr>
                <w:rFonts w:ascii="Arial Narrow" w:hAnsi="Arial Narrow" w:cs="Arial"/>
                <w:sz w:val="20"/>
                <w:szCs w:val="20"/>
              </w:rPr>
              <w:t>Chronic renal failure</w:t>
            </w:r>
          </w:p>
        </w:tc>
      </w:tr>
      <w:tr w:rsidR="00FA3E76" w:rsidRPr="003C1602" w:rsidTr="003D7198">
        <w:trPr>
          <w:cantSplit/>
          <w:trHeight w:val="263"/>
        </w:trPr>
        <w:tc>
          <w:tcPr>
            <w:tcW w:w="1538" w:type="pct"/>
            <w:tcBorders>
              <w:top w:val="single" w:sz="4" w:space="0" w:color="auto"/>
              <w:left w:val="single" w:sz="4" w:space="0" w:color="auto"/>
              <w:bottom w:val="single" w:sz="4" w:space="0" w:color="auto"/>
              <w:right w:val="single" w:sz="4" w:space="0" w:color="auto"/>
            </w:tcBorders>
          </w:tcPr>
          <w:p w:rsidR="00FA3E76" w:rsidRPr="003C1602" w:rsidRDefault="00FA3E76" w:rsidP="003D7198">
            <w:pPr>
              <w:jc w:val="both"/>
              <w:rPr>
                <w:rFonts w:ascii="Arial Narrow" w:hAnsi="Arial Narrow" w:cs="Arial"/>
                <w:b/>
                <w:sz w:val="20"/>
                <w:szCs w:val="20"/>
              </w:rPr>
            </w:pPr>
            <w:r w:rsidRPr="003C1602">
              <w:rPr>
                <w:rFonts w:ascii="Arial Narrow" w:hAnsi="Arial Narrow" w:cs="Arial"/>
                <w:b/>
                <w:sz w:val="20"/>
                <w:szCs w:val="20"/>
              </w:rPr>
              <w:t>Restriction Level / Method:</w:t>
            </w:r>
          </w:p>
        </w:tc>
        <w:tc>
          <w:tcPr>
            <w:tcW w:w="3462" w:type="pct"/>
            <w:gridSpan w:val="5"/>
            <w:tcBorders>
              <w:top w:val="single" w:sz="4" w:space="0" w:color="auto"/>
              <w:left w:val="single" w:sz="4" w:space="0" w:color="auto"/>
              <w:bottom w:val="single" w:sz="4" w:space="0" w:color="auto"/>
              <w:right w:val="single" w:sz="4" w:space="0" w:color="auto"/>
            </w:tcBorders>
          </w:tcPr>
          <w:p w:rsidR="00FA3E76" w:rsidRPr="003C1602" w:rsidRDefault="00FA3E76" w:rsidP="003D7198">
            <w:pPr>
              <w:jc w:val="both"/>
              <w:rPr>
                <w:rFonts w:ascii="Arial Narrow" w:hAnsi="Arial Narrow" w:cs="Arial"/>
                <w:sz w:val="20"/>
                <w:szCs w:val="20"/>
              </w:rPr>
            </w:pPr>
            <w:r w:rsidRPr="009A7177">
              <w:rPr>
                <w:rFonts w:ascii="Arial Narrow" w:hAnsi="Arial Narrow" w:cs="Arial"/>
                <w:sz w:val="20"/>
                <w:szCs w:val="20"/>
              </w:rPr>
              <w:fldChar w:fldCharType="begin">
                <w:ffData>
                  <w:name w:val="Check5"/>
                  <w:enabled/>
                  <w:calcOnExit w:val="0"/>
                  <w:checkBox>
                    <w:sizeAuto/>
                    <w:default w:val="1"/>
                  </w:checkBox>
                </w:ffData>
              </w:fldChar>
            </w:r>
            <w:r w:rsidRPr="003C1602">
              <w:rPr>
                <w:rFonts w:ascii="Arial Narrow" w:hAnsi="Arial Narrow" w:cs="Arial"/>
                <w:sz w:val="20"/>
                <w:szCs w:val="20"/>
              </w:rPr>
              <w:instrText xml:space="preserve"> FORMCHECKBOX </w:instrText>
            </w:r>
            <w:r w:rsidR="0007780B">
              <w:rPr>
                <w:rFonts w:ascii="Arial Narrow" w:hAnsi="Arial Narrow" w:cs="Arial"/>
                <w:sz w:val="20"/>
                <w:szCs w:val="20"/>
              </w:rPr>
            </w:r>
            <w:r w:rsidR="0007780B">
              <w:rPr>
                <w:rFonts w:ascii="Arial Narrow" w:hAnsi="Arial Narrow" w:cs="Arial"/>
                <w:sz w:val="20"/>
                <w:szCs w:val="20"/>
              </w:rPr>
              <w:fldChar w:fldCharType="separate"/>
            </w:r>
            <w:r w:rsidRPr="009A7177">
              <w:rPr>
                <w:rFonts w:ascii="Arial Narrow" w:hAnsi="Arial Narrow" w:cs="Arial"/>
                <w:sz w:val="20"/>
                <w:szCs w:val="20"/>
              </w:rPr>
              <w:fldChar w:fldCharType="end"/>
            </w:r>
            <w:r w:rsidRPr="003C1602">
              <w:rPr>
                <w:rFonts w:ascii="Arial Narrow" w:hAnsi="Arial Narrow" w:cs="Arial"/>
                <w:sz w:val="20"/>
                <w:szCs w:val="20"/>
              </w:rPr>
              <w:t>Streamlined</w:t>
            </w:r>
          </w:p>
        </w:tc>
      </w:tr>
      <w:tr w:rsidR="00FA3E76" w:rsidRPr="003C1602" w:rsidTr="003D7198">
        <w:trPr>
          <w:cantSplit/>
          <w:trHeight w:val="657"/>
        </w:trPr>
        <w:tc>
          <w:tcPr>
            <w:tcW w:w="1538" w:type="pct"/>
            <w:tcBorders>
              <w:top w:val="single" w:sz="4" w:space="0" w:color="auto"/>
              <w:left w:val="single" w:sz="4" w:space="0" w:color="auto"/>
              <w:bottom w:val="single" w:sz="4" w:space="0" w:color="auto"/>
              <w:right w:val="single" w:sz="4" w:space="0" w:color="auto"/>
            </w:tcBorders>
          </w:tcPr>
          <w:p w:rsidR="00FA3E76" w:rsidRPr="003C1602" w:rsidRDefault="00FA3E76" w:rsidP="003D7198">
            <w:pPr>
              <w:jc w:val="both"/>
              <w:rPr>
                <w:rFonts w:ascii="Arial Narrow" w:hAnsi="Arial Narrow" w:cs="Arial"/>
                <w:b/>
                <w:sz w:val="20"/>
                <w:szCs w:val="20"/>
              </w:rPr>
            </w:pPr>
            <w:r w:rsidRPr="003C1602">
              <w:rPr>
                <w:rFonts w:ascii="Arial Narrow" w:hAnsi="Arial Narrow" w:cs="Arial"/>
                <w:b/>
                <w:sz w:val="20"/>
                <w:szCs w:val="20"/>
              </w:rPr>
              <w:lastRenderedPageBreak/>
              <w:t>Clinical criteria:</w:t>
            </w:r>
          </w:p>
        </w:tc>
        <w:tc>
          <w:tcPr>
            <w:tcW w:w="3462" w:type="pct"/>
            <w:gridSpan w:val="5"/>
            <w:tcBorders>
              <w:top w:val="single" w:sz="4" w:space="0" w:color="auto"/>
              <w:left w:val="single" w:sz="4" w:space="0" w:color="auto"/>
              <w:bottom w:val="single" w:sz="4" w:space="0" w:color="auto"/>
              <w:right w:val="single" w:sz="4" w:space="0" w:color="auto"/>
            </w:tcBorders>
          </w:tcPr>
          <w:p w:rsidR="00FA3E76" w:rsidRPr="003C1602" w:rsidRDefault="00FA3E76" w:rsidP="003D7198">
            <w:pPr>
              <w:jc w:val="both"/>
              <w:rPr>
                <w:rFonts w:ascii="Arial Narrow" w:hAnsi="Arial Narrow" w:cs="Arial"/>
                <w:sz w:val="20"/>
                <w:szCs w:val="20"/>
              </w:rPr>
            </w:pPr>
            <w:r w:rsidRPr="003C1602">
              <w:rPr>
                <w:rFonts w:ascii="Arial Narrow" w:hAnsi="Arial Narrow" w:cs="Arial"/>
                <w:sz w:val="20"/>
                <w:szCs w:val="20"/>
              </w:rPr>
              <w:t>Patient must require treatment with a modified protein, low phosphorus diet</w:t>
            </w:r>
          </w:p>
          <w:p w:rsidR="00FA3E76" w:rsidRPr="003C1602" w:rsidRDefault="00FA3E76" w:rsidP="003D7198">
            <w:pPr>
              <w:jc w:val="both"/>
              <w:rPr>
                <w:rFonts w:ascii="Arial Narrow" w:hAnsi="Arial Narrow" w:cs="Arial"/>
                <w:sz w:val="20"/>
                <w:szCs w:val="20"/>
              </w:rPr>
            </w:pPr>
            <w:r w:rsidRPr="003C1602">
              <w:rPr>
                <w:rFonts w:ascii="Arial Narrow" w:hAnsi="Arial Narrow" w:cs="Arial"/>
                <w:sz w:val="20"/>
                <w:szCs w:val="20"/>
              </w:rPr>
              <w:t>OR</w:t>
            </w:r>
          </w:p>
          <w:p w:rsidR="00FA3E76" w:rsidRPr="003C1602" w:rsidRDefault="00FA3E76" w:rsidP="003D7198">
            <w:pPr>
              <w:jc w:val="both"/>
              <w:rPr>
                <w:rFonts w:ascii="Arial Narrow" w:hAnsi="Arial Narrow" w:cs="Arial"/>
                <w:sz w:val="20"/>
                <w:szCs w:val="20"/>
              </w:rPr>
            </w:pPr>
            <w:r w:rsidRPr="003C1602">
              <w:rPr>
                <w:rFonts w:ascii="Arial Narrow" w:hAnsi="Arial Narrow" w:cs="Arial"/>
                <w:sz w:val="20"/>
                <w:szCs w:val="20"/>
              </w:rPr>
              <w:t>Patient must require treatment with modified protein, low phosphorus, low potassium diet</w:t>
            </w:r>
          </w:p>
        </w:tc>
      </w:tr>
      <w:tr w:rsidR="00FA3E76" w:rsidRPr="003C1602" w:rsidTr="003D7198">
        <w:trPr>
          <w:cantSplit/>
          <w:trHeight w:val="183"/>
        </w:trPr>
        <w:tc>
          <w:tcPr>
            <w:tcW w:w="1538" w:type="pct"/>
            <w:tcBorders>
              <w:top w:val="single" w:sz="4" w:space="0" w:color="auto"/>
              <w:left w:val="single" w:sz="4" w:space="0" w:color="auto"/>
              <w:bottom w:val="single" w:sz="4" w:space="0" w:color="auto"/>
              <w:right w:val="single" w:sz="4" w:space="0" w:color="auto"/>
            </w:tcBorders>
          </w:tcPr>
          <w:p w:rsidR="00FA3E76" w:rsidRPr="003C1602" w:rsidRDefault="00FA3E76" w:rsidP="003D7198">
            <w:pPr>
              <w:jc w:val="both"/>
              <w:rPr>
                <w:rFonts w:ascii="Arial Narrow" w:hAnsi="Arial Narrow" w:cs="Arial"/>
                <w:b/>
                <w:sz w:val="20"/>
                <w:szCs w:val="20"/>
              </w:rPr>
            </w:pPr>
            <w:r w:rsidRPr="003C1602">
              <w:rPr>
                <w:rFonts w:ascii="Arial Narrow" w:hAnsi="Arial Narrow" w:cs="Arial"/>
                <w:b/>
                <w:sz w:val="20"/>
                <w:szCs w:val="20"/>
              </w:rPr>
              <w:t>Population criteria</w:t>
            </w:r>
          </w:p>
        </w:tc>
        <w:tc>
          <w:tcPr>
            <w:tcW w:w="3462" w:type="pct"/>
            <w:gridSpan w:val="5"/>
            <w:tcBorders>
              <w:top w:val="single" w:sz="4" w:space="0" w:color="auto"/>
              <w:left w:val="single" w:sz="4" w:space="0" w:color="auto"/>
              <w:bottom w:val="single" w:sz="4" w:space="0" w:color="auto"/>
              <w:right w:val="single" w:sz="4" w:space="0" w:color="auto"/>
            </w:tcBorders>
          </w:tcPr>
          <w:p w:rsidR="00FA3E76" w:rsidRPr="00DB77CC" w:rsidRDefault="00FA3E76" w:rsidP="003D7198">
            <w:pPr>
              <w:jc w:val="both"/>
              <w:rPr>
                <w:rFonts w:ascii="Arial Narrow" w:hAnsi="Arial Narrow" w:cs="Arial"/>
                <w:i/>
                <w:sz w:val="20"/>
                <w:szCs w:val="20"/>
              </w:rPr>
            </w:pPr>
            <w:r w:rsidRPr="003C1602">
              <w:rPr>
                <w:rFonts w:ascii="Arial Narrow" w:hAnsi="Arial Narrow" w:cs="Arial"/>
                <w:sz w:val="20"/>
                <w:szCs w:val="20"/>
              </w:rPr>
              <w:t>Patient must be an infant or a young child.</w:t>
            </w:r>
          </w:p>
        </w:tc>
      </w:tr>
    </w:tbl>
    <w:p w:rsidR="00FA3E76" w:rsidRDefault="00FA3E76" w:rsidP="003D7198">
      <w:pPr>
        <w:jc w:val="both"/>
        <w:rPr>
          <w:rFonts w:asciiTheme="minorHAnsi" w:hAnsiTheme="minorHAnsi" w:cstheme="minorHAnsi"/>
          <w:snapToGrid w:val="0"/>
          <w:color w:val="365F91" w:themeColor="accent1" w:themeShade="BF"/>
          <w:lang w:eastAsia="en-US"/>
        </w:rPr>
      </w:pPr>
    </w:p>
    <w:p w:rsidR="009A7177" w:rsidRDefault="006349C7" w:rsidP="003D7198">
      <w:pPr>
        <w:rPr>
          <w:rFonts w:asciiTheme="minorHAnsi" w:hAnsiTheme="minorHAnsi" w:cstheme="minorHAnsi"/>
          <w:bCs/>
          <w:i/>
          <w:iCs/>
        </w:rPr>
      </w:pPr>
      <w:r w:rsidRPr="004B5E2B">
        <w:rPr>
          <w:rFonts w:asciiTheme="minorHAnsi" w:hAnsiTheme="minorHAnsi" w:cstheme="minorHAnsi"/>
          <w:bCs/>
          <w:i/>
          <w:iCs/>
        </w:rPr>
        <w:t xml:space="preserve">The restriction is subject to further review. Should there be any substantial changes to the restriction the </w:t>
      </w:r>
      <w:r>
        <w:rPr>
          <w:rFonts w:asciiTheme="minorHAnsi" w:hAnsiTheme="minorHAnsi" w:cstheme="minorHAnsi"/>
          <w:bCs/>
          <w:i/>
          <w:iCs/>
        </w:rPr>
        <w:t>S</w:t>
      </w:r>
      <w:r w:rsidRPr="004B5E2B">
        <w:rPr>
          <w:rFonts w:asciiTheme="minorHAnsi" w:hAnsiTheme="minorHAnsi" w:cstheme="minorHAnsi"/>
          <w:bCs/>
          <w:i/>
          <w:iCs/>
        </w:rPr>
        <w:t>ponsor will be</w:t>
      </w:r>
      <w:r>
        <w:rPr>
          <w:rFonts w:asciiTheme="minorHAnsi" w:hAnsiTheme="minorHAnsi" w:cstheme="minorHAnsi"/>
          <w:bCs/>
          <w:i/>
          <w:iCs/>
        </w:rPr>
        <w:t xml:space="preserve"> informed</w:t>
      </w:r>
      <w:r w:rsidRPr="004B5E2B">
        <w:rPr>
          <w:rFonts w:asciiTheme="minorHAnsi" w:hAnsiTheme="minorHAnsi" w:cstheme="minorHAnsi"/>
          <w:bCs/>
          <w:i/>
          <w:iCs/>
        </w:rPr>
        <w:t xml:space="preserve">. </w:t>
      </w:r>
    </w:p>
    <w:p w:rsidR="002F7B0E" w:rsidRDefault="002F7B0E" w:rsidP="002F7B0E">
      <w:pPr>
        <w:pStyle w:val="2Sections"/>
        <w:numPr>
          <w:ilvl w:val="0"/>
          <w:numId w:val="1"/>
        </w:numPr>
        <w:rPr>
          <w:rFonts w:cstheme="minorHAnsi"/>
        </w:rPr>
      </w:pPr>
      <w:r>
        <w:t xml:space="preserve">Context for Decision </w:t>
      </w:r>
    </w:p>
    <w:p w:rsidR="00B231EE" w:rsidRPr="00B231EE" w:rsidRDefault="00B231EE" w:rsidP="00B231EE">
      <w:pPr>
        <w:spacing w:after="120" w:line="276" w:lineRule="auto"/>
        <w:jc w:val="both"/>
        <w:rPr>
          <w:rFonts w:asciiTheme="minorHAnsi" w:eastAsiaTheme="minorHAnsi" w:hAnsiTheme="minorHAnsi" w:cs="Arial"/>
          <w:bCs/>
          <w:szCs w:val="22"/>
          <w:lang w:eastAsia="en-US"/>
        </w:rPr>
      </w:pPr>
      <w:r w:rsidRPr="00B231EE">
        <w:rPr>
          <w:rFonts w:asciiTheme="minorHAnsi" w:eastAsiaTheme="minorHAnsi" w:hAnsiTheme="minorHAnsi" w:cs="Arial"/>
          <w:bCs/>
          <w:szCs w:val="22"/>
          <w:lang w:eastAsia="en-U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2F7B0E" w:rsidRPr="00B231EE" w:rsidRDefault="002F7B0E" w:rsidP="00B231EE">
      <w:pPr>
        <w:pStyle w:val="2Sections"/>
        <w:numPr>
          <w:ilvl w:val="0"/>
          <w:numId w:val="1"/>
        </w:numPr>
      </w:pPr>
      <w:r w:rsidRPr="00D53BD3">
        <w:t>Sponsor’s Comment</w:t>
      </w:r>
    </w:p>
    <w:p w:rsidR="002F7B0E" w:rsidRPr="00B231EE" w:rsidRDefault="002F7B0E" w:rsidP="00B231EE">
      <w:pPr>
        <w:spacing w:after="120" w:line="276" w:lineRule="auto"/>
        <w:jc w:val="both"/>
        <w:rPr>
          <w:rFonts w:asciiTheme="minorHAnsi" w:eastAsiaTheme="minorHAnsi" w:hAnsiTheme="minorHAnsi" w:cs="Arial"/>
          <w:bCs/>
          <w:szCs w:val="22"/>
          <w:lang w:eastAsia="en-US"/>
        </w:rPr>
      </w:pPr>
      <w:r w:rsidRPr="00D53BD3">
        <w:rPr>
          <w:rFonts w:asciiTheme="minorHAnsi" w:eastAsiaTheme="minorHAnsi" w:hAnsiTheme="minorHAnsi" w:cs="Arial"/>
          <w:bCs/>
          <w:szCs w:val="22"/>
          <w:lang w:eastAsia="en-US"/>
        </w:rPr>
        <w:t>The sponsor had no comment.</w:t>
      </w:r>
    </w:p>
    <w:sectPr w:rsidR="002F7B0E" w:rsidRPr="00B231EE" w:rsidSect="00C27B58">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8D9" w:rsidRDefault="00D968D9">
      <w:r>
        <w:separator/>
      </w:r>
    </w:p>
    <w:p w:rsidR="00D968D9" w:rsidRDefault="00D968D9"/>
  </w:endnote>
  <w:endnote w:type="continuationSeparator" w:id="0">
    <w:p w:rsidR="00D968D9" w:rsidRDefault="00D968D9">
      <w:r>
        <w:continuationSeparator/>
      </w:r>
    </w:p>
    <w:p w:rsidR="00D968D9" w:rsidRDefault="00D96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00000000" w:usb1="28CFFCFA" w:usb2="00000016" w:usb3="00000000" w:csb0="00100001"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80B" w:rsidRDefault="00077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80B" w:rsidRPr="0007780B" w:rsidRDefault="00734A6B" w:rsidP="0007780B">
    <w:pPr>
      <w:pStyle w:val="Footer"/>
      <w:jc w:val="center"/>
      <w:rPr>
        <w:rFonts w:asciiTheme="minorHAnsi" w:hAnsiTheme="minorHAnsi" w:cstheme="minorHAnsi"/>
        <w:b/>
      </w:rPr>
    </w:pPr>
    <w:r w:rsidRPr="00D968D9">
      <w:t xml:space="preserve"> </w:t>
    </w:r>
    <w:bookmarkStart w:id="4" w:name="_GoBack"/>
    <w:r w:rsidR="0007780B" w:rsidRPr="0007780B">
      <w:rPr>
        <w:rFonts w:asciiTheme="minorHAnsi" w:hAnsiTheme="minorHAnsi" w:cstheme="minorHAnsi"/>
        <w:b/>
      </w:rPr>
      <w:fldChar w:fldCharType="begin"/>
    </w:r>
    <w:r w:rsidR="0007780B" w:rsidRPr="0007780B">
      <w:rPr>
        <w:rFonts w:asciiTheme="minorHAnsi" w:hAnsiTheme="minorHAnsi" w:cstheme="minorHAnsi"/>
        <w:b/>
      </w:rPr>
      <w:instrText xml:space="preserve"> PAGE   \* MERGEFORMAT </w:instrText>
    </w:r>
    <w:r w:rsidR="0007780B" w:rsidRPr="0007780B">
      <w:rPr>
        <w:rFonts w:asciiTheme="minorHAnsi" w:hAnsiTheme="minorHAnsi" w:cstheme="minorHAnsi"/>
        <w:b/>
      </w:rPr>
      <w:fldChar w:fldCharType="separate"/>
    </w:r>
    <w:r w:rsidR="0007780B">
      <w:rPr>
        <w:rFonts w:asciiTheme="minorHAnsi" w:hAnsiTheme="minorHAnsi" w:cstheme="minorHAnsi"/>
        <w:b/>
        <w:noProof/>
      </w:rPr>
      <w:t>1</w:t>
    </w:r>
    <w:r w:rsidR="0007780B" w:rsidRPr="0007780B">
      <w:rPr>
        <w:rFonts w:asciiTheme="minorHAnsi" w:hAnsiTheme="minorHAnsi" w:cstheme="minorHAnsi"/>
        <w:b/>
        <w:noProof/>
      </w:rPr>
      <w:fldChar w:fldCharType="end"/>
    </w:r>
    <w:bookmarkEnd w:id="4"/>
  </w:p>
  <w:p w:rsidR="00734A6B" w:rsidRPr="00D968D9" w:rsidRDefault="00734A6B" w:rsidP="00D968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80B" w:rsidRDefault="00077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8D9" w:rsidRDefault="00D968D9">
      <w:r>
        <w:separator/>
      </w:r>
    </w:p>
    <w:p w:rsidR="00D968D9" w:rsidRDefault="00D968D9"/>
  </w:footnote>
  <w:footnote w:type="continuationSeparator" w:id="0">
    <w:p w:rsidR="00D968D9" w:rsidRDefault="00D968D9">
      <w:r>
        <w:continuationSeparator/>
      </w:r>
    </w:p>
    <w:p w:rsidR="00D968D9" w:rsidRDefault="00D968D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80B" w:rsidRDefault="000778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80B" w:rsidRPr="0007780B" w:rsidRDefault="0007780B" w:rsidP="0007780B">
    <w:pPr>
      <w:tabs>
        <w:tab w:val="center" w:pos="4513"/>
        <w:tab w:val="right" w:pos="9026"/>
      </w:tabs>
      <w:jc w:val="center"/>
      <w:rPr>
        <w:rFonts w:asciiTheme="minorHAnsi" w:hAnsiTheme="minorHAnsi" w:cstheme="minorHAnsi"/>
        <w:i/>
      </w:rPr>
    </w:pPr>
    <w:r w:rsidRPr="0007780B">
      <w:rPr>
        <w:rFonts w:asciiTheme="minorHAnsi" w:hAnsiTheme="minorHAnsi" w:cstheme="minorHAnsi"/>
        <w:i/>
      </w:rPr>
      <w:t>Public Summary Document – November 2019 PBAC Meeting</w:t>
    </w:r>
  </w:p>
  <w:p w:rsidR="00734A6B" w:rsidRPr="00D968D9" w:rsidRDefault="00734A6B" w:rsidP="00D968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80B" w:rsidRDefault="00077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7" w15:restartNumberingAfterBreak="0">
    <w:nsid w:val="44442297"/>
    <w:multiLevelType w:val="hybridMultilevel"/>
    <w:tmpl w:val="E6FE4E00"/>
    <w:lvl w:ilvl="0" w:tplc="C324F4FC">
      <w:start w:val="1"/>
      <w:numFmt w:val="bullet"/>
      <w:pStyle w:val="Bulletpoints"/>
      <w:lvlText w:val=""/>
      <w:lvlJc w:val="left"/>
      <w:pPr>
        <w:ind w:left="3270" w:hanging="360"/>
      </w:pPr>
      <w:rPr>
        <w:rFonts w:ascii="Symbol" w:hAnsi="Symbol" w:hint="default"/>
      </w:rPr>
    </w:lvl>
    <w:lvl w:ilvl="1" w:tplc="04090003" w:tentative="1">
      <w:start w:val="1"/>
      <w:numFmt w:val="bullet"/>
      <w:lvlText w:val="o"/>
      <w:lvlJc w:val="left"/>
      <w:pPr>
        <w:ind w:left="3990" w:hanging="360"/>
      </w:pPr>
      <w:rPr>
        <w:rFonts w:ascii="Courier New" w:hAnsi="Courier New" w:hint="default"/>
      </w:rPr>
    </w:lvl>
    <w:lvl w:ilvl="2" w:tplc="04090005" w:tentative="1">
      <w:start w:val="1"/>
      <w:numFmt w:val="bullet"/>
      <w:lvlText w:val=""/>
      <w:lvlJc w:val="left"/>
      <w:pPr>
        <w:ind w:left="4710" w:hanging="360"/>
      </w:pPr>
      <w:rPr>
        <w:rFonts w:ascii="Wingdings" w:hAnsi="Wingdings" w:hint="default"/>
      </w:rPr>
    </w:lvl>
    <w:lvl w:ilvl="3" w:tplc="04090001" w:tentative="1">
      <w:start w:val="1"/>
      <w:numFmt w:val="bullet"/>
      <w:lvlText w:val=""/>
      <w:lvlJc w:val="left"/>
      <w:pPr>
        <w:ind w:left="5430" w:hanging="360"/>
      </w:pPr>
      <w:rPr>
        <w:rFonts w:ascii="Symbol" w:hAnsi="Symbol" w:hint="default"/>
      </w:rPr>
    </w:lvl>
    <w:lvl w:ilvl="4" w:tplc="04090003" w:tentative="1">
      <w:start w:val="1"/>
      <w:numFmt w:val="bullet"/>
      <w:lvlText w:val="o"/>
      <w:lvlJc w:val="left"/>
      <w:pPr>
        <w:ind w:left="6150" w:hanging="360"/>
      </w:pPr>
      <w:rPr>
        <w:rFonts w:ascii="Courier New" w:hAnsi="Courier New" w:hint="default"/>
      </w:rPr>
    </w:lvl>
    <w:lvl w:ilvl="5" w:tplc="04090005" w:tentative="1">
      <w:start w:val="1"/>
      <w:numFmt w:val="bullet"/>
      <w:lvlText w:val=""/>
      <w:lvlJc w:val="left"/>
      <w:pPr>
        <w:ind w:left="6870" w:hanging="360"/>
      </w:pPr>
      <w:rPr>
        <w:rFonts w:ascii="Wingdings" w:hAnsi="Wingdings" w:hint="default"/>
      </w:rPr>
    </w:lvl>
    <w:lvl w:ilvl="6" w:tplc="04090001" w:tentative="1">
      <w:start w:val="1"/>
      <w:numFmt w:val="bullet"/>
      <w:lvlText w:val=""/>
      <w:lvlJc w:val="left"/>
      <w:pPr>
        <w:ind w:left="7590" w:hanging="360"/>
      </w:pPr>
      <w:rPr>
        <w:rFonts w:ascii="Symbol" w:hAnsi="Symbol" w:hint="default"/>
      </w:rPr>
    </w:lvl>
    <w:lvl w:ilvl="7" w:tplc="04090003" w:tentative="1">
      <w:start w:val="1"/>
      <w:numFmt w:val="bullet"/>
      <w:lvlText w:val="o"/>
      <w:lvlJc w:val="left"/>
      <w:pPr>
        <w:ind w:left="8310" w:hanging="360"/>
      </w:pPr>
      <w:rPr>
        <w:rFonts w:ascii="Courier New" w:hAnsi="Courier New" w:hint="default"/>
      </w:rPr>
    </w:lvl>
    <w:lvl w:ilvl="8" w:tplc="04090005" w:tentative="1">
      <w:start w:val="1"/>
      <w:numFmt w:val="bullet"/>
      <w:lvlText w:val=""/>
      <w:lvlJc w:val="left"/>
      <w:pPr>
        <w:ind w:left="9030" w:hanging="360"/>
      </w:pPr>
      <w:rPr>
        <w:rFonts w:ascii="Wingdings" w:hAnsi="Wingdings" w:hint="default"/>
      </w:rPr>
    </w:lvl>
  </w:abstractNum>
  <w:abstractNum w:abstractNumId="8" w15:restartNumberingAfterBreak="0">
    <w:nsid w:val="489A060E"/>
    <w:multiLevelType w:val="multilevel"/>
    <w:tmpl w:val="007CE386"/>
    <w:lvl w:ilvl="0">
      <w:start w:val="1"/>
      <w:numFmt w:val="decimal"/>
      <w:lvlText w:val="%1"/>
      <w:lvlJc w:val="left"/>
      <w:pPr>
        <w:ind w:left="720" w:hanging="720"/>
      </w:pPr>
      <w:rPr>
        <w:rFonts w:hint="default"/>
        <w:b/>
        <w:color w:val="000000" w:themeColor="text1"/>
      </w:rPr>
    </w:lvl>
    <w:lvl w:ilvl="1">
      <w:start w:val="1"/>
      <w:numFmt w:val="decimal"/>
      <w:lvlText w:val="%1.%2"/>
      <w:lvlJc w:val="left"/>
      <w:pPr>
        <w:ind w:left="720" w:hanging="720"/>
      </w:pPr>
      <w:rPr>
        <w:rFonts w:hint="default"/>
        <w:b w:val="0"/>
        <w:i w:val="0"/>
        <w:color w:val="000000" w:themeColor="text1"/>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B450366"/>
    <w:multiLevelType w:val="multilevel"/>
    <w:tmpl w:val="0C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15:restartNumberingAfterBreak="0">
    <w:nsid w:val="784D033C"/>
    <w:multiLevelType w:val="multilevel"/>
    <w:tmpl w:val="D14E4B52"/>
    <w:lvl w:ilvl="0">
      <w:start w:val="1"/>
      <w:numFmt w:val="decimal"/>
      <w:pStyle w:val="2Sections"/>
      <w:lvlText w:val="%1"/>
      <w:lvlJc w:val="left"/>
      <w:pPr>
        <w:ind w:left="720" w:hanging="720"/>
      </w:pPr>
      <w:rPr>
        <w:rFonts w:hint="default"/>
        <w:b/>
        <w:i w:val="0"/>
        <w:color w:val="000000" w:themeColor="text1"/>
      </w:rPr>
    </w:lvl>
    <w:lvl w:ilvl="1">
      <w:start w:val="1"/>
      <w:numFmt w:val="decimal"/>
      <w:pStyle w:val="Bodytextitalics"/>
      <w:lvlText w:val="%1.%2"/>
      <w:lvlJc w:val="left"/>
      <w:pPr>
        <w:ind w:left="720" w:hanging="720"/>
      </w:pPr>
      <w:rPr>
        <w:rFonts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3"/>
  </w:num>
  <w:num w:numId="2">
    <w:abstractNumId w:val="0"/>
  </w:num>
  <w:num w:numId="3">
    <w:abstractNumId w:val="13"/>
  </w:num>
  <w:num w:numId="4">
    <w:abstractNumId w:val="11"/>
  </w:num>
  <w:num w:numId="5">
    <w:abstractNumId w:val="7"/>
  </w:num>
  <w:num w:numId="6">
    <w:abstractNumId w:val="14"/>
  </w:num>
  <w:num w:numId="7">
    <w:abstractNumId w:val="9"/>
  </w:num>
  <w:num w:numId="8">
    <w:abstractNumId w:val="6"/>
    <w:lvlOverride w:ilvl="0">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2"/>
  </w:num>
  <w:num w:numId="12">
    <w:abstractNumId w:val="10"/>
  </w:num>
  <w:num w:numId="13">
    <w:abstractNumId w:val="2"/>
  </w:num>
  <w:num w:numId="14">
    <w:abstractNumId w:val="1"/>
  </w:num>
  <w:num w:numId="15">
    <w:abstractNumId w:val="4"/>
  </w:num>
  <w:num w:numId="16">
    <w:abstractNumId w:val="5"/>
  </w:num>
  <w:num w:numId="17">
    <w:abstractNumId w:val="3"/>
  </w:num>
  <w:num w:numId="1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16590"/>
    <w:rsid w:val="00016A41"/>
    <w:rsid w:val="00020B63"/>
    <w:rsid w:val="000214D1"/>
    <w:rsid w:val="0002464A"/>
    <w:rsid w:val="0003106B"/>
    <w:rsid w:val="00034905"/>
    <w:rsid w:val="00040A5B"/>
    <w:rsid w:val="000421A1"/>
    <w:rsid w:val="0004240E"/>
    <w:rsid w:val="00045E26"/>
    <w:rsid w:val="000514B5"/>
    <w:rsid w:val="00060E64"/>
    <w:rsid w:val="00065B75"/>
    <w:rsid w:val="00066755"/>
    <w:rsid w:val="0007350C"/>
    <w:rsid w:val="000763D5"/>
    <w:rsid w:val="00077143"/>
    <w:rsid w:val="0007780B"/>
    <w:rsid w:val="00082169"/>
    <w:rsid w:val="000918CB"/>
    <w:rsid w:val="00091B06"/>
    <w:rsid w:val="00093937"/>
    <w:rsid w:val="00094B2F"/>
    <w:rsid w:val="000951C4"/>
    <w:rsid w:val="00095ADA"/>
    <w:rsid w:val="000969AD"/>
    <w:rsid w:val="000A2710"/>
    <w:rsid w:val="000A3AA2"/>
    <w:rsid w:val="000A44B2"/>
    <w:rsid w:val="000B44C3"/>
    <w:rsid w:val="000B558D"/>
    <w:rsid w:val="000C44F8"/>
    <w:rsid w:val="000C5F95"/>
    <w:rsid w:val="000C6996"/>
    <w:rsid w:val="000D09E9"/>
    <w:rsid w:val="000D23BA"/>
    <w:rsid w:val="000D523D"/>
    <w:rsid w:val="000D73D7"/>
    <w:rsid w:val="000E422C"/>
    <w:rsid w:val="000E681E"/>
    <w:rsid w:val="000E79C0"/>
    <w:rsid w:val="000F0003"/>
    <w:rsid w:val="000F3384"/>
    <w:rsid w:val="000F4E6A"/>
    <w:rsid w:val="000F7354"/>
    <w:rsid w:val="00102202"/>
    <w:rsid w:val="00104227"/>
    <w:rsid w:val="001107BF"/>
    <w:rsid w:val="00113649"/>
    <w:rsid w:val="0012417C"/>
    <w:rsid w:val="0012749D"/>
    <w:rsid w:val="00135352"/>
    <w:rsid w:val="00142395"/>
    <w:rsid w:val="00142714"/>
    <w:rsid w:val="001452ED"/>
    <w:rsid w:val="00146287"/>
    <w:rsid w:val="00146419"/>
    <w:rsid w:val="001549C1"/>
    <w:rsid w:val="00162D4E"/>
    <w:rsid w:val="00163329"/>
    <w:rsid w:val="00164623"/>
    <w:rsid w:val="001652DE"/>
    <w:rsid w:val="00165B64"/>
    <w:rsid w:val="00180713"/>
    <w:rsid w:val="001830CE"/>
    <w:rsid w:val="0018643B"/>
    <w:rsid w:val="00196307"/>
    <w:rsid w:val="001A33EA"/>
    <w:rsid w:val="001A76FB"/>
    <w:rsid w:val="001B017F"/>
    <w:rsid w:val="001B2BBC"/>
    <w:rsid w:val="001B3FFE"/>
    <w:rsid w:val="001B5129"/>
    <w:rsid w:val="001C0B4C"/>
    <w:rsid w:val="001C1195"/>
    <w:rsid w:val="001D1F5F"/>
    <w:rsid w:val="001F1850"/>
    <w:rsid w:val="001F3189"/>
    <w:rsid w:val="001F4AB1"/>
    <w:rsid w:val="00203FAC"/>
    <w:rsid w:val="00213CFB"/>
    <w:rsid w:val="0021553C"/>
    <w:rsid w:val="0021557B"/>
    <w:rsid w:val="0021633E"/>
    <w:rsid w:val="002174FD"/>
    <w:rsid w:val="00217BE1"/>
    <w:rsid w:val="00220C06"/>
    <w:rsid w:val="00234252"/>
    <w:rsid w:val="002362E9"/>
    <w:rsid w:val="00253499"/>
    <w:rsid w:val="00254D2B"/>
    <w:rsid w:val="00254EAE"/>
    <w:rsid w:val="002551A4"/>
    <w:rsid w:val="00257664"/>
    <w:rsid w:val="00263951"/>
    <w:rsid w:val="0026487D"/>
    <w:rsid w:val="00265151"/>
    <w:rsid w:val="00271BA1"/>
    <w:rsid w:val="00275FC6"/>
    <w:rsid w:val="002762FA"/>
    <w:rsid w:val="00277505"/>
    <w:rsid w:val="00281D4D"/>
    <w:rsid w:val="002823B6"/>
    <w:rsid w:val="0029458F"/>
    <w:rsid w:val="002A0E04"/>
    <w:rsid w:val="002A104C"/>
    <w:rsid w:val="002A494D"/>
    <w:rsid w:val="002A4960"/>
    <w:rsid w:val="002B0AE0"/>
    <w:rsid w:val="002B1AE6"/>
    <w:rsid w:val="002B1D51"/>
    <w:rsid w:val="002B2DE8"/>
    <w:rsid w:val="002B30F8"/>
    <w:rsid w:val="002B388A"/>
    <w:rsid w:val="002B5596"/>
    <w:rsid w:val="002C0F69"/>
    <w:rsid w:val="002C212F"/>
    <w:rsid w:val="002C7485"/>
    <w:rsid w:val="002D2155"/>
    <w:rsid w:val="002D283A"/>
    <w:rsid w:val="002D4543"/>
    <w:rsid w:val="002D472B"/>
    <w:rsid w:val="002E3153"/>
    <w:rsid w:val="002E5292"/>
    <w:rsid w:val="002E72CA"/>
    <w:rsid w:val="002F5EE4"/>
    <w:rsid w:val="002F600D"/>
    <w:rsid w:val="002F7B0E"/>
    <w:rsid w:val="00300495"/>
    <w:rsid w:val="00300AD6"/>
    <w:rsid w:val="00300B1B"/>
    <w:rsid w:val="003019D0"/>
    <w:rsid w:val="0030629A"/>
    <w:rsid w:val="003064AF"/>
    <w:rsid w:val="003111A0"/>
    <w:rsid w:val="0031680C"/>
    <w:rsid w:val="00317C6C"/>
    <w:rsid w:val="00326E79"/>
    <w:rsid w:val="003301B1"/>
    <w:rsid w:val="003310E6"/>
    <w:rsid w:val="00331189"/>
    <w:rsid w:val="00331242"/>
    <w:rsid w:val="0033263D"/>
    <w:rsid w:val="0033518A"/>
    <w:rsid w:val="003367EF"/>
    <w:rsid w:val="00341AE4"/>
    <w:rsid w:val="0034457D"/>
    <w:rsid w:val="003476EE"/>
    <w:rsid w:val="003504B8"/>
    <w:rsid w:val="00355C7F"/>
    <w:rsid w:val="0036322E"/>
    <w:rsid w:val="00384988"/>
    <w:rsid w:val="003872CF"/>
    <w:rsid w:val="0039782C"/>
    <w:rsid w:val="003A346E"/>
    <w:rsid w:val="003A4451"/>
    <w:rsid w:val="003A5B4A"/>
    <w:rsid w:val="003B23C5"/>
    <w:rsid w:val="003B2A75"/>
    <w:rsid w:val="003B6124"/>
    <w:rsid w:val="003C093A"/>
    <w:rsid w:val="003C1602"/>
    <w:rsid w:val="003C1ECF"/>
    <w:rsid w:val="003C2FB5"/>
    <w:rsid w:val="003D24C5"/>
    <w:rsid w:val="003D4AC4"/>
    <w:rsid w:val="003D5F3E"/>
    <w:rsid w:val="003D63B7"/>
    <w:rsid w:val="003D7198"/>
    <w:rsid w:val="003E468B"/>
    <w:rsid w:val="003E62BD"/>
    <w:rsid w:val="003F0C3A"/>
    <w:rsid w:val="003F3228"/>
    <w:rsid w:val="003F5C8C"/>
    <w:rsid w:val="003F775A"/>
    <w:rsid w:val="00400E55"/>
    <w:rsid w:val="0040216B"/>
    <w:rsid w:val="004252EC"/>
    <w:rsid w:val="0042770D"/>
    <w:rsid w:val="00430D39"/>
    <w:rsid w:val="0043468F"/>
    <w:rsid w:val="00437AFE"/>
    <w:rsid w:val="00444FFB"/>
    <w:rsid w:val="004465BD"/>
    <w:rsid w:val="00461A44"/>
    <w:rsid w:val="00466ADA"/>
    <w:rsid w:val="004702BB"/>
    <w:rsid w:val="0047494B"/>
    <w:rsid w:val="00476245"/>
    <w:rsid w:val="00477A9B"/>
    <w:rsid w:val="00483035"/>
    <w:rsid w:val="00485940"/>
    <w:rsid w:val="0048714D"/>
    <w:rsid w:val="004904B9"/>
    <w:rsid w:val="004A2484"/>
    <w:rsid w:val="004A5A85"/>
    <w:rsid w:val="004A71D1"/>
    <w:rsid w:val="004A7C5B"/>
    <w:rsid w:val="004B2E98"/>
    <w:rsid w:val="004B5640"/>
    <w:rsid w:val="004C1BD7"/>
    <w:rsid w:val="004C31FE"/>
    <w:rsid w:val="004C524C"/>
    <w:rsid w:val="004C691D"/>
    <w:rsid w:val="004C6C07"/>
    <w:rsid w:val="004D4FF6"/>
    <w:rsid w:val="004D6026"/>
    <w:rsid w:val="004E692D"/>
    <w:rsid w:val="004E7D87"/>
    <w:rsid w:val="004F1E19"/>
    <w:rsid w:val="004F2553"/>
    <w:rsid w:val="004F36A2"/>
    <w:rsid w:val="00501554"/>
    <w:rsid w:val="00502AFE"/>
    <w:rsid w:val="00503AD7"/>
    <w:rsid w:val="00504E0C"/>
    <w:rsid w:val="005109D4"/>
    <w:rsid w:val="00514CD7"/>
    <w:rsid w:val="00516055"/>
    <w:rsid w:val="00520D6A"/>
    <w:rsid w:val="00522DB6"/>
    <w:rsid w:val="00525180"/>
    <w:rsid w:val="00525F63"/>
    <w:rsid w:val="0052792D"/>
    <w:rsid w:val="005319B2"/>
    <w:rsid w:val="00532402"/>
    <w:rsid w:val="00532C74"/>
    <w:rsid w:val="00534E2E"/>
    <w:rsid w:val="00544552"/>
    <w:rsid w:val="0055286A"/>
    <w:rsid w:val="00555745"/>
    <w:rsid w:val="00557D4F"/>
    <w:rsid w:val="00563872"/>
    <w:rsid w:val="0056484E"/>
    <w:rsid w:val="00570780"/>
    <w:rsid w:val="00577C4D"/>
    <w:rsid w:val="00580532"/>
    <w:rsid w:val="00580E91"/>
    <w:rsid w:val="00581932"/>
    <w:rsid w:val="0058237D"/>
    <w:rsid w:val="005831A4"/>
    <w:rsid w:val="005918F6"/>
    <w:rsid w:val="0059272C"/>
    <w:rsid w:val="0059639C"/>
    <w:rsid w:val="005963BB"/>
    <w:rsid w:val="0059679A"/>
    <w:rsid w:val="005A3173"/>
    <w:rsid w:val="005A3223"/>
    <w:rsid w:val="005A3DA3"/>
    <w:rsid w:val="005A52C4"/>
    <w:rsid w:val="005D03AB"/>
    <w:rsid w:val="005D5017"/>
    <w:rsid w:val="005D63FA"/>
    <w:rsid w:val="005E087D"/>
    <w:rsid w:val="005E1333"/>
    <w:rsid w:val="005E3136"/>
    <w:rsid w:val="005E507D"/>
    <w:rsid w:val="005F0654"/>
    <w:rsid w:val="005F2E35"/>
    <w:rsid w:val="00601A91"/>
    <w:rsid w:val="00602BA3"/>
    <w:rsid w:val="00605B63"/>
    <w:rsid w:val="00606EED"/>
    <w:rsid w:val="00612E34"/>
    <w:rsid w:val="00614159"/>
    <w:rsid w:val="00616C5F"/>
    <w:rsid w:val="00616DAC"/>
    <w:rsid w:val="00617C00"/>
    <w:rsid w:val="006263BF"/>
    <w:rsid w:val="0062748A"/>
    <w:rsid w:val="00627B4C"/>
    <w:rsid w:val="00630A2C"/>
    <w:rsid w:val="00630ED1"/>
    <w:rsid w:val="0063460D"/>
    <w:rsid w:val="006348F6"/>
    <w:rsid w:val="006349C7"/>
    <w:rsid w:val="0063682E"/>
    <w:rsid w:val="006404E3"/>
    <w:rsid w:val="00642DA8"/>
    <w:rsid w:val="006436CD"/>
    <w:rsid w:val="00651169"/>
    <w:rsid w:val="00653D69"/>
    <w:rsid w:val="006552E6"/>
    <w:rsid w:val="006641C9"/>
    <w:rsid w:val="006670BE"/>
    <w:rsid w:val="006670F8"/>
    <w:rsid w:val="00667F85"/>
    <w:rsid w:val="00670A76"/>
    <w:rsid w:val="006711AA"/>
    <w:rsid w:val="00672B57"/>
    <w:rsid w:val="00675622"/>
    <w:rsid w:val="0067747D"/>
    <w:rsid w:val="00681CA4"/>
    <w:rsid w:val="00685CD0"/>
    <w:rsid w:val="0069039D"/>
    <w:rsid w:val="006906DB"/>
    <w:rsid w:val="00691E6C"/>
    <w:rsid w:val="0069299A"/>
    <w:rsid w:val="00693DFB"/>
    <w:rsid w:val="0069501D"/>
    <w:rsid w:val="00696129"/>
    <w:rsid w:val="00697B50"/>
    <w:rsid w:val="00697BDE"/>
    <w:rsid w:val="00697CF2"/>
    <w:rsid w:val="006A12A5"/>
    <w:rsid w:val="006A5E20"/>
    <w:rsid w:val="006B0D94"/>
    <w:rsid w:val="006B485D"/>
    <w:rsid w:val="006B695D"/>
    <w:rsid w:val="006C334C"/>
    <w:rsid w:val="006C708E"/>
    <w:rsid w:val="006D14E7"/>
    <w:rsid w:val="006D4444"/>
    <w:rsid w:val="006D6493"/>
    <w:rsid w:val="006D6EC7"/>
    <w:rsid w:val="006E1BCD"/>
    <w:rsid w:val="006F24E0"/>
    <w:rsid w:val="006F4B69"/>
    <w:rsid w:val="006F5125"/>
    <w:rsid w:val="006F53F9"/>
    <w:rsid w:val="006F733D"/>
    <w:rsid w:val="00702B6F"/>
    <w:rsid w:val="00706A2F"/>
    <w:rsid w:val="0070718E"/>
    <w:rsid w:val="0071340B"/>
    <w:rsid w:val="007174BB"/>
    <w:rsid w:val="0072025D"/>
    <w:rsid w:val="0072432F"/>
    <w:rsid w:val="0073137C"/>
    <w:rsid w:val="00734A6B"/>
    <w:rsid w:val="007353D3"/>
    <w:rsid w:val="0074156B"/>
    <w:rsid w:val="007555E8"/>
    <w:rsid w:val="00756E5F"/>
    <w:rsid w:val="00756EC6"/>
    <w:rsid w:val="0076368F"/>
    <w:rsid w:val="0076420C"/>
    <w:rsid w:val="0077066F"/>
    <w:rsid w:val="007714A8"/>
    <w:rsid w:val="00771D07"/>
    <w:rsid w:val="00774E2C"/>
    <w:rsid w:val="007753C2"/>
    <w:rsid w:val="007838B8"/>
    <w:rsid w:val="00784580"/>
    <w:rsid w:val="00787F16"/>
    <w:rsid w:val="007915BA"/>
    <w:rsid w:val="007A436C"/>
    <w:rsid w:val="007B3DDC"/>
    <w:rsid w:val="007B72A6"/>
    <w:rsid w:val="007C0F57"/>
    <w:rsid w:val="007C40B6"/>
    <w:rsid w:val="007C4D02"/>
    <w:rsid w:val="007C729F"/>
    <w:rsid w:val="007E1D28"/>
    <w:rsid w:val="007F0021"/>
    <w:rsid w:val="007F2641"/>
    <w:rsid w:val="007F7C36"/>
    <w:rsid w:val="00801BBA"/>
    <w:rsid w:val="00806377"/>
    <w:rsid w:val="00806796"/>
    <w:rsid w:val="008151D6"/>
    <w:rsid w:val="00816003"/>
    <w:rsid w:val="008268BB"/>
    <w:rsid w:val="00826F6D"/>
    <w:rsid w:val="008306F3"/>
    <w:rsid w:val="00830E40"/>
    <w:rsid w:val="00855FD6"/>
    <w:rsid w:val="00856DDD"/>
    <w:rsid w:val="00863E68"/>
    <w:rsid w:val="008647B5"/>
    <w:rsid w:val="00875DCB"/>
    <w:rsid w:val="00882085"/>
    <w:rsid w:val="00883188"/>
    <w:rsid w:val="008873FE"/>
    <w:rsid w:val="00897D58"/>
    <w:rsid w:val="00897F22"/>
    <w:rsid w:val="008A0B39"/>
    <w:rsid w:val="008A1844"/>
    <w:rsid w:val="008A1956"/>
    <w:rsid w:val="008A20F4"/>
    <w:rsid w:val="008A4937"/>
    <w:rsid w:val="008A50F1"/>
    <w:rsid w:val="008A5735"/>
    <w:rsid w:val="008A6819"/>
    <w:rsid w:val="008A7E1B"/>
    <w:rsid w:val="008B2EC0"/>
    <w:rsid w:val="008C03F6"/>
    <w:rsid w:val="008D1B5C"/>
    <w:rsid w:val="008D3C82"/>
    <w:rsid w:val="008D447E"/>
    <w:rsid w:val="008D7A41"/>
    <w:rsid w:val="008E2C72"/>
    <w:rsid w:val="008E3680"/>
    <w:rsid w:val="008E5870"/>
    <w:rsid w:val="008F1434"/>
    <w:rsid w:val="008F54C3"/>
    <w:rsid w:val="008F7355"/>
    <w:rsid w:val="009023DC"/>
    <w:rsid w:val="009067B7"/>
    <w:rsid w:val="009220AB"/>
    <w:rsid w:val="00924581"/>
    <w:rsid w:val="00925348"/>
    <w:rsid w:val="00926560"/>
    <w:rsid w:val="00930937"/>
    <w:rsid w:val="009324A6"/>
    <w:rsid w:val="00933E6C"/>
    <w:rsid w:val="00937958"/>
    <w:rsid w:val="00941602"/>
    <w:rsid w:val="00942160"/>
    <w:rsid w:val="00942757"/>
    <w:rsid w:val="00945B52"/>
    <w:rsid w:val="0095146F"/>
    <w:rsid w:val="00957944"/>
    <w:rsid w:val="009602C5"/>
    <w:rsid w:val="00962223"/>
    <w:rsid w:val="00966D0D"/>
    <w:rsid w:val="0096783C"/>
    <w:rsid w:val="00971898"/>
    <w:rsid w:val="009722B3"/>
    <w:rsid w:val="00972DC3"/>
    <w:rsid w:val="00974C21"/>
    <w:rsid w:val="00976868"/>
    <w:rsid w:val="00977BF3"/>
    <w:rsid w:val="00980B0E"/>
    <w:rsid w:val="009811E1"/>
    <w:rsid w:val="00982FF0"/>
    <w:rsid w:val="009836A3"/>
    <w:rsid w:val="009913F4"/>
    <w:rsid w:val="0099465B"/>
    <w:rsid w:val="009A0CDD"/>
    <w:rsid w:val="009A61CA"/>
    <w:rsid w:val="009A7177"/>
    <w:rsid w:val="009B0F67"/>
    <w:rsid w:val="009B125C"/>
    <w:rsid w:val="009B7F1A"/>
    <w:rsid w:val="009C0E8D"/>
    <w:rsid w:val="009C703C"/>
    <w:rsid w:val="009D206E"/>
    <w:rsid w:val="009D3CAA"/>
    <w:rsid w:val="009D70A9"/>
    <w:rsid w:val="009E16AB"/>
    <w:rsid w:val="009E2A17"/>
    <w:rsid w:val="009E40E1"/>
    <w:rsid w:val="009F0EFA"/>
    <w:rsid w:val="009F12FC"/>
    <w:rsid w:val="009F4E46"/>
    <w:rsid w:val="009F5B65"/>
    <w:rsid w:val="009F5F2E"/>
    <w:rsid w:val="009F6630"/>
    <w:rsid w:val="00A06225"/>
    <w:rsid w:val="00A11623"/>
    <w:rsid w:val="00A128E6"/>
    <w:rsid w:val="00A144D3"/>
    <w:rsid w:val="00A16D87"/>
    <w:rsid w:val="00A22AC3"/>
    <w:rsid w:val="00A2411D"/>
    <w:rsid w:val="00A2744D"/>
    <w:rsid w:val="00A34E6C"/>
    <w:rsid w:val="00A36398"/>
    <w:rsid w:val="00A37C8D"/>
    <w:rsid w:val="00A37F9F"/>
    <w:rsid w:val="00A4020E"/>
    <w:rsid w:val="00A40FB5"/>
    <w:rsid w:val="00A42826"/>
    <w:rsid w:val="00A44048"/>
    <w:rsid w:val="00A47008"/>
    <w:rsid w:val="00A503C3"/>
    <w:rsid w:val="00A50832"/>
    <w:rsid w:val="00A5161E"/>
    <w:rsid w:val="00A5273B"/>
    <w:rsid w:val="00A5390C"/>
    <w:rsid w:val="00A53A9D"/>
    <w:rsid w:val="00A55FEE"/>
    <w:rsid w:val="00A576E7"/>
    <w:rsid w:val="00A62C1A"/>
    <w:rsid w:val="00A6426D"/>
    <w:rsid w:val="00A665C1"/>
    <w:rsid w:val="00A70622"/>
    <w:rsid w:val="00A70977"/>
    <w:rsid w:val="00A70D58"/>
    <w:rsid w:val="00A744F9"/>
    <w:rsid w:val="00A77613"/>
    <w:rsid w:val="00A8390C"/>
    <w:rsid w:val="00A928BD"/>
    <w:rsid w:val="00A97DE9"/>
    <w:rsid w:val="00AA12CD"/>
    <w:rsid w:val="00AA4D1C"/>
    <w:rsid w:val="00AA5EA2"/>
    <w:rsid w:val="00AB0383"/>
    <w:rsid w:val="00AB168C"/>
    <w:rsid w:val="00AB2973"/>
    <w:rsid w:val="00AB5856"/>
    <w:rsid w:val="00AC193C"/>
    <w:rsid w:val="00AC450E"/>
    <w:rsid w:val="00AC4DE5"/>
    <w:rsid w:val="00AC5206"/>
    <w:rsid w:val="00AD4322"/>
    <w:rsid w:val="00AD4F88"/>
    <w:rsid w:val="00AE11A5"/>
    <w:rsid w:val="00AE13E2"/>
    <w:rsid w:val="00AE22D3"/>
    <w:rsid w:val="00AE5A49"/>
    <w:rsid w:val="00AE675D"/>
    <w:rsid w:val="00AF441B"/>
    <w:rsid w:val="00AF62DF"/>
    <w:rsid w:val="00AF68CC"/>
    <w:rsid w:val="00AF70D7"/>
    <w:rsid w:val="00B008CC"/>
    <w:rsid w:val="00B01871"/>
    <w:rsid w:val="00B07788"/>
    <w:rsid w:val="00B07CFB"/>
    <w:rsid w:val="00B1059E"/>
    <w:rsid w:val="00B1447E"/>
    <w:rsid w:val="00B170A5"/>
    <w:rsid w:val="00B17692"/>
    <w:rsid w:val="00B176C8"/>
    <w:rsid w:val="00B204E6"/>
    <w:rsid w:val="00B205AA"/>
    <w:rsid w:val="00B22E84"/>
    <w:rsid w:val="00B231EE"/>
    <w:rsid w:val="00B233AD"/>
    <w:rsid w:val="00B23E25"/>
    <w:rsid w:val="00B25F75"/>
    <w:rsid w:val="00B26B3F"/>
    <w:rsid w:val="00B2778F"/>
    <w:rsid w:val="00B33635"/>
    <w:rsid w:val="00B342E3"/>
    <w:rsid w:val="00B43E90"/>
    <w:rsid w:val="00B454C5"/>
    <w:rsid w:val="00B467DC"/>
    <w:rsid w:val="00B51BFD"/>
    <w:rsid w:val="00B55FAF"/>
    <w:rsid w:val="00B56118"/>
    <w:rsid w:val="00B60FE8"/>
    <w:rsid w:val="00B6773F"/>
    <w:rsid w:val="00B760FB"/>
    <w:rsid w:val="00B801BA"/>
    <w:rsid w:val="00B84D5C"/>
    <w:rsid w:val="00BA2DA8"/>
    <w:rsid w:val="00BA312F"/>
    <w:rsid w:val="00BA347C"/>
    <w:rsid w:val="00BB5A99"/>
    <w:rsid w:val="00BB69F5"/>
    <w:rsid w:val="00BB7EC3"/>
    <w:rsid w:val="00BC4B9A"/>
    <w:rsid w:val="00BC754F"/>
    <w:rsid w:val="00BD02C3"/>
    <w:rsid w:val="00BD3C4C"/>
    <w:rsid w:val="00BD6E08"/>
    <w:rsid w:val="00BD784C"/>
    <w:rsid w:val="00BE020A"/>
    <w:rsid w:val="00BE589D"/>
    <w:rsid w:val="00BF092C"/>
    <w:rsid w:val="00BF27A0"/>
    <w:rsid w:val="00BF4CB6"/>
    <w:rsid w:val="00C00DA7"/>
    <w:rsid w:val="00C12768"/>
    <w:rsid w:val="00C12D70"/>
    <w:rsid w:val="00C27B58"/>
    <w:rsid w:val="00C323EB"/>
    <w:rsid w:val="00C35996"/>
    <w:rsid w:val="00C4747E"/>
    <w:rsid w:val="00C5342C"/>
    <w:rsid w:val="00C53B2B"/>
    <w:rsid w:val="00C54431"/>
    <w:rsid w:val="00C56B55"/>
    <w:rsid w:val="00C60272"/>
    <w:rsid w:val="00C603D4"/>
    <w:rsid w:val="00C6256A"/>
    <w:rsid w:val="00C67993"/>
    <w:rsid w:val="00C70E43"/>
    <w:rsid w:val="00C710E2"/>
    <w:rsid w:val="00C71C3F"/>
    <w:rsid w:val="00C71FC3"/>
    <w:rsid w:val="00C7409E"/>
    <w:rsid w:val="00C76E76"/>
    <w:rsid w:val="00C77891"/>
    <w:rsid w:val="00C80BF4"/>
    <w:rsid w:val="00C91449"/>
    <w:rsid w:val="00C92D10"/>
    <w:rsid w:val="00CA10DB"/>
    <w:rsid w:val="00CA48D9"/>
    <w:rsid w:val="00CB1193"/>
    <w:rsid w:val="00CB4767"/>
    <w:rsid w:val="00CB493D"/>
    <w:rsid w:val="00CB69CC"/>
    <w:rsid w:val="00CE10C4"/>
    <w:rsid w:val="00CE27B5"/>
    <w:rsid w:val="00CE6DAF"/>
    <w:rsid w:val="00CF410A"/>
    <w:rsid w:val="00CF6D02"/>
    <w:rsid w:val="00D0321E"/>
    <w:rsid w:val="00D04EFA"/>
    <w:rsid w:val="00D07A8A"/>
    <w:rsid w:val="00D1455A"/>
    <w:rsid w:val="00D22093"/>
    <w:rsid w:val="00D248B8"/>
    <w:rsid w:val="00D301C5"/>
    <w:rsid w:val="00D31150"/>
    <w:rsid w:val="00D3138B"/>
    <w:rsid w:val="00D3280C"/>
    <w:rsid w:val="00D3406A"/>
    <w:rsid w:val="00D441F1"/>
    <w:rsid w:val="00D4572C"/>
    <w:rsid w:val="00D469B2"/>
    <w:rsid w:val="00D5633B"/>
    <w:rsid w:val="00D65658"/>
    <w:rsid w:val="00D66EEA"/>
    <w:rsid w:val="00D72B6F"/>
    <w:rsid w:val="00D741EB"/>
    <w:rsid w:val="00D7679C"/>
    <w:rsid w:val="00D820F3"/>
    <w:rsid w:val="00D83605"/>
    <w:rsid w:val="00D84934"/>
    <w:rsid w:val="00D91271"/>
    <w:rsid w:val="00D919F5"/>
    <w:rsid w:val="00D94F03"/>
    <w:rsid w:val="00D966A1"/>
    <w:rsid w:val="00D968D9"/>
    <w:rsid w:val="00DA064C"/>
    <w:rsid w:val="00DA0D14"/>
    <w:rsid w:val="00DA1FC9"/>
    <w:rsid w:val="00DA2CB5"/>
    <w:rsid w:val="00DA4BAC"/>
    <w:rsid w:val="00DA6F39"/>
    <w:rsid w:val="00DB0151"/>
    <w:rsid w:val="00DB0B4E"/>
    <w:rsid w:val="00DB624C"/>
    <w:rsid w:val="00DB77CC"/>
    <w:rsid w:val="00DC00D2"/>
    <w:rsid w:val="00DC0EBA"/>
    <w:rsid w:val="00DC2C3E"/>
    <w:rsid w:val="00DC4A7E"/>
    <w:rsid w:val="00DE650F"/>
    <w:rsid w:val="00DE6D27"/>
    <w:rsid w:val="00DE7B9A"/>
    <w:rsid w:val="00DF217D"/>
    <w:rsid w:val="00DF26A7"/>
    <w:rsid w:val="00DF3277"/>
    <w:rsid w:val="00DF7919"/>
    <w:rsid w:val="00E0207E"/>
    <w:rsid w:val="00E03912"/>
    <w:rsid w:val="00E07875"/>
    <w:rsid w:val="00E10048"/>
    <w:rsid w:val="00E15627"/>
    <w:rsid w:val="00E164B3"/>
    <w:rsid w:val="00E16910"/>
    <w:rsid w:val="00E2424B"/>
    <w:rsid w:val="00E24E09"/>
    <w:rsid w:val="00E27234"/>
    <w:rsid w:val="00E37FB1"/>
    <w:rsid w:val="00E42BDB"/>
    <w:rsid w:val="00E42BF7"/>
    <w:rsid w:val="00E45146"/>
    <w:rsid w:val="00E57EEB"/>
    <w:rsid w:val="00E6068E"/>
    <w:rsid w:val="00E62D94"/>
    <w:rsid w:val="00E64F37"/>
    <w:rsid w:val="00E65E54"/>
    <w:rsid w:val="00E661C7"/>
    <w:rsid w:val="00E80155"/>
    <w:rsid w:val="00E80246"/>
    <w:rsid w:val="00E81F28"/>
    <w:rsid w:val="00E848C0"/>
    <w:rsid w:val="00E91B96"/>
    <w:rsid w:val="00E93D1E"/>
    <w:rsid w:val="00E941A1"/>
    <w:rsid w:val="00E95CE3"/>
    <w:rsid w:val="00EA09D2"/>
    <w:rsid w:val="00EA252F"/>
    <w:rsid w:val="00EA2825"/>
    <w:rsid w:val="00EA7EDE"/>
    <w:rsid w:val="00EB0B63"/>
    <w:rsid w:val="00EB0CB4"/>
    <w:rsid w:val="00EB0D38"/>
    <w:rsid w:val="00EB1936"/>
    <w:rsid w:val="00EB37BE"/>
    <w:rsid w:val="00EB5088"/>
    <w:rsid w:val="00ED1644"/>
    <w:rsid w:val="00ED2593"/>
    <w:rsid w:val="00ED7D9C"/>
    <w:rsid w:val="00EE5FE7"/>
    <w:rsid w:val="00EF0069"/>
    <w:rsid w:val="00EF44A0"/>
    <w:rsid w:val="00EF4FED"/>
    <w:rsid w:val="00F00260"/>
    <w:rsid w:val="00F007C6"/>
    <w:rsid w:val="00F0172E"/>
    <w:rsid w:val="00F050BD"/>
    <w:rsid w:val="00F05657"/>
    <w:rsid w:val="00F1116C"/>
    <w:rsid w:val="00F11F2E"/>
    <w:rsid w:val="00F209E2"/>
    <w:rsid w:val="00F25578"/>
    <w:rsid w:val="00F258E5"/>
    <w:rsid w:val="00F25B9C"/>
    <w:rsid w:val="00F26CC6"/>
    <w:rsid w:val="00F279F3"/>
    <w:rsid w:val="00F300BC"/>
    <w:rsid w:val="00F3263C"/>
    <w:rsid w:val="00F3334E"/>
    <w:rsid w:val="00F36CCB"/>
    <w:rsid w:val="00F374E5"/>
    <w:rsid w:val="00F37B93"/>
    <w:rsid w:val="00F411F5"/>
    <w:rsid w:val="00F43AF2"/>
    <w:rsid w:val="00F5007E"/>
    <w:rsid w:val="00F50EC4"/>
    <w:rsid w:val="00F52232"/>
    <w:rsid w:val="00F550CF"/>
    <w:rsid w:val="00F57A6D"/>
    <w:rsid w:val="00F638CC"/>
    <w:rsid w:val="00F64C9E"/>
    <w:rsid w:val="00F64CC1"/>
    <w:rsid w:val="00F72317"/>
    <w:rsid w:val="00F80475"/>
    <w:rsid w:val="00F8247A"/>
    <w:rsid w:val="00F92401"/>
    <w:rsid w:val="00F93695"/>
    <w:rsid w:val="00F9629A"/>
    <w:rsid w:val="00F97EFC"/>
    <w:rsid w:val="00FA1BDD"/>
    <w:rsid w:val="00FA3E76"/>
    <w:rsid w:val="00FA4DD5"/>
    <w:rsid w:val="00FA5883"/>
    <w:rsid w:val="00FA590B"/>
    <w:rsid w:val="00FA6055"/>
    <w:rsid w:val="00FB322F"/>
    <w:rsid w:val="00FB442F"/>
    <w:rsid w:val="00FC1929"/>
    <w:rsid w:val="00FC5B46"/>
    <w:rsid w:val="00FD6D8E"/>
    <w:rsid w:val="00FD7BA2"/>
    <w:rsid w:val="00FE0E94"/>
    <w:rsid w:val="00FE3CD9"/>
    <w:rsid w:val="00FE56B4"/>
    <w:rsid w:val="00FE73D6"/>
    <w:rsid w:val="00FF00BD"/>
    <w:rsid w:val="00FF1ED4"/>
    <w:rsid w:val="00FF2801"/>
    <w:rsid w:val="00FF6F1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3"/>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Bodytextitalics"/>
    <w:link w:val="3BodytextChar"/>
    <w:qFormat/>
    <w:rsid w:val="003D7198"/>
    <w:pPr>
      <w:jc w:val="both"/>
    </w:pPr>
    <w:rPr>
      <w:i w:val="0"/>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3D7198"/>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rmal"/>
    <w:link w:val="TableTextChar0"/>
    <w:qFormat/>
    <w:rsid w:val="00E03912"/>
    <w:rPr>
      <w:rFonts w:ascii="Arial Narrow" w:hAnsi="Arial Narrow" w:cs="Arial"/>
      <w:sz w:val="20"/>
      <w:szCs w:val="20"/>
    </w:rPr>
  </w:style>
  <w:style w:type="paragraph" w:customStyle="1" w:styleId="Lists">
    <w:name w:val="Lists"/>
    <w:basedOn w:val="3Bodytext"/>
    <w:link w:val="ListsChar"/>
    <w:qFormat/>
    <w:rsid w:val="000A44B2"/>
    <w:pPr>
      <w:numPr>
        <w:ilvl w:val="0"/>
        <w:numId w:val="4"/>
      </w:numPr>
    </w:pPr>
  </w:style>
  <w:style w:type="character" w:customStyle="1" w:styleId="TableTextChar0">
    <w:name w:val="Table Text Char"/>
    <w:basedOn w:val="NoSpacingChar"/>
    <w:link w:val="TableText0"/>
    <w:rsid w:val="00E03912"/>
    <w:rPr>
      <w:rFonts w:ascii="Arial Narrow" w:hAnsi="Arial Narrow" w:cs="Arial"/>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rsid w:val="00D72B6F"/>
    <w:pPr>
      <w:numPr>
        <w:numId w:val="5"/>
      </w:numPr>
      <w:ind w:left="425" w:hanging="425"/>
      <w:contextualSpacing w:val="0"/>
    </w:pPr>
    <w:rPr>
      <w:rFonts w:ascii="Calibri" w:hAnsi="Calibri"/>
      <w:sz w:val="24"/>
      <w:szCs w:val="24"/>
    </w:rPr>
  </w:style>
  <w:style w:type="paragraph" w:customStyle="1" w:styleId="TableFooter">
    <w:name w:val="Table Footer"/>
    <w:basedOn w:val="Normal"/>
    <w:link w:val="TableFooterChar"/>
    <w:qFormat/>
    <w:rsid w:val="00C7409E"/>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pPr>
      <w:numPr>
        <w:ilvl w:val="1"/>
        <w:numId w:val="3"/>
      </w:numPr>
    </w:pPr>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rFonts w:ascii="Calibri" w:hAnsi="Calibri"/>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styleId="Revision">
    <w:name w:val="Revision"/>
    <w:hidden/>
    <w:uiPriority w:val="71"/>
    <w:semiHidden/>
    <w:rsid w:val="00B231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45769337">
      <w:bodyDiv w:val="1"/>
      <w:marLeft w:val="0"/>
      <w:marRight w:val="0"/>
      <w:marTop w:val="0"/>
      <w:marBottom w:val="0"/>
      <w:divBdr>
        <w:top w:val="none" w:sz="0" w:space="0" w:color="auto"/>
        <w:left w:val="none" w:sz="0" w:space="0" w:color="auto"/>
        <w:bottom w:val="none" w:sz="0" w:space="0" w:color="auto"/>
        <w:right w:val="none" w:sz="0" w:space="0" w:color="auto"/>
      </w:divBdr>
    </w:div>
    <w:div w:id="1125273874">
      <w:bodyDiv w:val="1"/>
      <w:marLeft w:val="0"/>
      <w:marRight w:val="0"/>
      <w:marTop w:val="0"/>
      <w:marBottom w:val="0"/>
      <w:divBdr>
        <w:top w:val="none" w:sz="0" w:space="0" w:color="auto"/>
        <w:left w:val="none" w:sz="0" w:space="0" w:color="auto"/>
        <w:bottom w:val="none" w:sz="0" w:space="0" w:color="auto"/>
        <w:right w:val="none" w:sz="0" w:space="0" w:color="auto"/>
      </w:divBdr>
    </w:div>
    <w:div w:id="132851099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2322</Words>
  <Characters>13357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2020-02-26T03:00:00Z</dcterms:created>
  <dcterms:modified xsi:type="dcterms:W3CDTF">2020-02-28T06:37:00Z</dcterms:modified>
</cp:coreProperties>
</file>