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C12C14" w:rsidRDefault="00806B96" w:rsidP="00B21C81">
      <w:pPr>
        <w:ind w:left="720" w:hanging="720"/>
        <w:jc w:val="left"/>
        <w:outlineLvl w:val="0"/>
        <w:rPr>
          <w:b/>
          <w:sz w:val="36"/>
          <w:szCs w:val="36"/>
        </w:rPr>
      </w:pPr>
      <w:r>
        <w:rPr>
          <w:b/>
          <w:sz w:val="36"/>
          <w:szCs w:val="36"/>
        </w:rPr>
        <w:t>6</w:t>
      </w:r>
      <w:r w:rsidR="00433044" w:rsidRPr="00C12C14">
        <w:rPr>
          <w:b/>
          <w:sz w:val="36"/>
          <w:szCs w:val="36"/>
        </w:rPr>
        <w:t>.</w:t>
      </w:r>
      <w:r>
        <w:rPr>
          <w:b/>
          <w:sz w:val="36"/>
          <w:szCs w:val="36"/>
        </w:rPr>
        <w:t>06</w:t>
      </w:r>
      <w:r w:rsidR="00B60939" w:rsidRPr="00C12C14">
        <w:rPr>
          <w:b/>
          <w:sz w:val="36"/>
          <w:szCs w:val="36"/>
        </w:rPr>
        <w:tab/>
      </w:r>
      <w:r w:rsidR="005745DE">
        <w:rPr>
          <w:b/>
          <w:sz w:val="36"/>
          <w:szCs w:val="36"/>
        </w:rPr>
        <w:t>RUXOLITINIB</w:t>
      </w:r>
      <w:r w:rsidR="00B60939" w:rsidRPr="00C12C14">
        <w:rPr>
          <w:b/>
          <w:sz w:val="36"/>
          <w:szCs w:val="36"/>
        </w:rPr>
        <w:t xml:space="preserve">, </w:t>
      </w:r>
      <w:r w:rsidR="005745DE">
        <w:rPr>
          <w:b/>
          <w:sz w:val="36"/>
          <w:szCs w:val="36"/>
        </w:rPr>
        <w:br/>
        <w:t>Tablet</w:t>
      </w:r>
      <w:r w:rsidR="00B60939" w:rsidRPr="00C12C14">
        <w:rPr>
          <w:b/>
          <w:sz w:val="36"/>
          <w:szCs w:val="36"/>
        </w:rPr>
        <w:t xml:space="preserve"> </w:t>
      </w:r>
      <w:r w:rsidR="00440FA7">
        <w:rPr>
          <w:b/>
          <w:sz w:val="36"/>
          <w:szCs w:val="36"/>
        </w:rPr>
        <w:t>5</w:t>
      </w:r>
      <w:r w:rsidR="004609A9">
        <w:rPr>
          <w:b/>
          <w:sz w:val="36"/>
          <w:szCs w:val="36"/>
        </w:rPr>
        <w:t xml:space="preserve"> </w:t>
      </w:r>
      <w:r w:rsidR="00440FA7">
        <w:rPr>
          <w:b/>
          <w:sz w:val="36"/>
          <w:szCs w:val="36"/>
        </w:rPr>
        <w:t>mg, 10</w:t>
      </w:r>
      <w:r w:rsidR="004609A9">
        <w:rPr>
          <w:b/>
          <w:sz w:val="36"/>
          <w:szCs w:val="36"/>
        </w:rPr>
        <w:t xml:space="preserve"> </w:t>
      </w:r>
      <w:r w:rsidR="00440FA7">
        <w:rPr>
          <w:b/>
          <w:sz w:val="36"/>
          <w:szCs w:val="36"/>
        </w:rPr>
        <w:t>mg, 15</w:t>
      </w:r>
      <w:r w:rsidR="004609A9">
        <w:rPr>
          <w:b/>
          <w:sz w:val="36"/>
          <w:szCs w:val="36"/>
        </w:rPr>
        <w:t xml:space="preserve"> </w:t>
      </w:r>
      <w:r w:rsidR="00440FA7">
        <w:rPr>
          <w:b/>
          <w:sz w:val="36"/>
          <w:szCs w:val="36"/>
        </w:rPr>
        <w:t>mg, 20</w:t>
      </w:r>
      <w:r w:rsidR="004609A9">
        <w:rPr>
          <w:b/>
          <w:sz w:val="36"/>
          <w:szCs w:val="36"/>
        </w:rPr>
        <w:t xml:space="preserve"> </w:t>
      </w:r>
      <w:r w:rsidR="00440FA7">
        <w:rPr>
          <w:b/>
          <w:sz w:val="36"/>
          <w:szCs w:val="36"/>
        </w:rPr>
        <w:t>mg</w:t>
      </w:r>
      <w:r w:rsidR="00B60939" w:rsidRPr="00C12C14">
        <w:rPr>
          <w:b/>
          <w:sz w:val="36"/>
          <w:szCs w:val="36"/>
        </w:rPr>
        <w:t>,</w:t>
      </w:r>
      <w:r w:rsidR="005745DE">
        <w:rPr>
          <w:b/>
          <w:sz w:val="36"/>
          <w:szCs w:val="36"/>
        </w:rPr>
        <w:br/>
      </w:r>
      <w:proofErr w:type="spellStart"/>
      <w:r w:rsidR="00440FA7">
        <w:rPr>
          <w:b/>
          <w:sz w:val="36"/>
          <w:szCs w:val="36"/>
        </w:rPr>
        <w:t>Jakavi</w:t>
      </w:r>
      <w:proofErr w:type="spellEnd"/>
      <w:r w:rsidR="00B60939" w:rsidRPr="00C12C14">
        <w:rPr>
          <w:b/>
          <w:sz w:val="36"/>
          <w:szCs w:val="36"/>
          <w:vertAlign w:val="superscript"/>
        </w:rPr>
        <w:t>®</w:t>
      </w:r>
      <w:r w:rsidR="00B60939" w:rsidRPr="00C12C14">
        <w:rPr>
          <w:b/>
          <w:sz w:val="36"/>
          <w:szCs w:val="36"/>
        </w:rPr>
        <w:t xml:space="preserve">, </w:t>
      </w:r>
      <w:r w:rsidR="005745DE">
        <w:rPr>
          <w:b/>
          <w:sz w:val="36"/>
          <w:szCs w:val="36"/>
        </w:rPr>
        <w:br/>
      </w:r>
      <w:r w:rsidR="00440FA7">
        <w:rPr>
          <w:b/>
          <w:sz w:val="36"/>
          <w:szCs w:val="36"/>
        </w:rPr>
        <w:t>Novartis</w:t>
      </w:r>
      <w:r w:rsidR="006C798B">
        <w:rPr>
          <w:b/>
          <w:sz w:val="36"/>
          <w:szCs w:val="36"/>
        </w:rPr>
        <w:t xml:space="preserve"> Pharmaceuticals Australia Pty Ltd</w:t>
      </w:r>
      <w:r w:rsidR="00B60939" w:rsidRPr="00C12C14">
        <w:rPr>
          <w:b/>
          <w:sz w:val="36"/>
          <w:szCs w:val="36"/>
        </w:rPr>
        <w:t>.</w:t>
      </w:r>
    </w:p>
    <w:p w:rsidR="00D65B1C" w:rsidRPr="005048BA" w:rsidRDefault="00D65B1C" w:rsidP="00FE6CA5">
      <w:pPr>
        <w:pStyle w:val="Heading1"/>
        <w:keepNext/>
        <w:keepLines/>
        <w:widowControl/>
        <w:numPr>
          <w:ilvl w:val="0"/>
          <w:numId w:val="2"/>
        </w:numPr>
        <w:spacing w:before="120" w:after="120"/>
        <w:ind w:left="709" w:hanging="709"/>
        <w:rPr>
          <w:rFonts w:asciiTheme="minorHAnsi" w:eastAsiaTheme="majorEastAsia" w:hAnsiTheme="minorHAnsi" w:cstheme="majorBidi"/>
          <w:caps w:val="0"/>
          <w:snapToGrid/>
          <w:szCs w:val="28"/>
        </w:rPr>
      </w:pPr>
      <w:bookmarkStart w:id="0" w:name="_Toc19700352"/>
      <w:r w:rsidRPr="005048BA">
        <w:rPr>
          <w:rFonts w:asciiTheme="minorHAnsi" w:eastAsiaTheme="majorEastAsia" w:hAnsiTheme="minorHAnsi" w:cstheme="majorBidi"/>
          <w:caps w:val="0"/>
          <w:snapToGrid/>
          <w:szCs w:val="28"/>
        </w:rPr>
        <w:t>Purpose of Application</w:t>
      </w:r>
      <w:bookmarkEnd w:id="0"/>
    </w:p>
    <w:p w:rsidR="00D65B1C" w:rsidRPr="00B05ECE" w:rsidRDefault="004C240E" w:rsidP="00FE6CA5">
      <w:pPr>
        <w:pStyle w:val="ListParagraph"/>
        <w:widowControl/>
        <w:numPr>
          <w:ilvl w:val="1"/>
          <w:numId w:val="2"/>
        </w:numPr>
        <w:spacing w:before="120" w:after="120"/>
      </w:pPr>
      <w:r w:rsidRPr="00B05ECE">
        <w:t xml:space="preserve">The submission requested an </w:t>
      </w:r>
      <w:r w:rsidR="00D65B1C" w:rsidRPr="00B05ECE">
        <w:t xml:space="preserve">Authority </w:t>
      </w:r>
      <w:proofErr w:type="gramStart"/>
      <w:r w:rsidR="00D65B1C" w:rsidRPr="00B05ECE">
        <w:t>Required</w:t>
      </w:r>
      <w:proofErr w:type="gramEnd"/>
      <w:r w:rsidR="00D65B1C" w:rsidRPr="00B05ECE">
        <w:t xml:space="preserve"> listing for ruxolitinib for treatment of </w:t>
      </w:r>
      <w:proofErr w:type="spellStart"/>
      <w:r w:rsidR="00D65B1C" w:rsidRPr="00B05ECE">
        <w:t>polycythemia</w:t>
      </w:r>
      <w:proofErr w:type="spellEnd"/>
      <w:r w:rsidR="00D65B1C" w:rsidRPr="00B05ECE">
        <w:t xml:space="preserve"> </w:t>
      </w:r>
      <w:proofErr w:type="spellStart"/>
      <w:r w:rsidR="00D65B1C" w:rsidRPr="00B05ECE">
        <w:t>vera</w:t>
      </w:r>
      <w:proofErr w:type="spellEnd"/>
      <w:r w:rsidR="00D65B1C" w:rsidRPr="00B05ECE">
        <w:t xml:space="preserve"> (PV) in patients who are resistant or intolerant to </w:t>
      </w:r>
      <w:proofErr w:type="spellStart"/>
      <w:r w:rsidR="00D65B1C" w:rsidRPr="00B05ECE">
        <w:t>hydroxycarbamide</w:t>
      </w:r>
      <w:proofErr w:type="spellEnd"/>
      <w:r w:rsidR="00D65B1C" w:rsidRPr="00B05ECE">
        <w:t>/</w:t>
      </w:r>
      <w:proofErr w:type="spellStart"/>
      <w:r w:rsidR="00D65B1C" w:rsidRPr="00B05ECE">
        <w:t>hydroxyurea</w:t>
      </w:r>
      <w:proofErr w:type="spellEnd"/>
      <w:r w:rsidR="00D65B1C" w:rsidRPr="00B05ECE">
        <w:t xml:space="preserve"> (HC).  The PBAC has not considered ruxolitinib for this indication previously.  </w:t>
      </w:r>
      <w:r w:rsidR="00FC47B9">
        <w:t>R</w:t>
      </w:r>
      <w:r w:rsidR="00D65B1C" w:rsidRPr="00DE51EA">
        <w:t>ux</w:t>
      </w:r>
      <w:r w:rsidR="006C2177" w:rsidRPr="00DE51EA">
        <w:t>o</w:t>
      </w:r>
      <w:r w:rsidR="00D65B1C" w:rsidRPr="00DE51EA">
        <w:t xml:space="preserve">litinib is currently listed on the PBS for the treatment of </w:t>
      </w:r>
      <w:proofErr w:type="spellStart"/>
      <w:r w:rsidR="00D65B1C" w:rsidRPr="00DE51EA">
        <w:t>myelofibrosis</w:t>
      </w:r>
      <w:proofErr w:type="spellEnd"/>
      <w:r w:rsidR="00D65B1C" w:rsidRPr="00DE51EA">
        <w:t xml:space="preserve"> (MF)</w:t>
      </w:r>
      <w:r w:rsidR="00D65B1C" w:rsidRPr="00B05ECE">
        <w:t xml:space="preserve"> </w:t>
      </w:r>
    </w:p>
    <w:p w:rsidR="00D65B1C" w:rsidRDefault="00D65B1C" w:rsidP="00FE6CA5">
      <w:pPr>
        <w:pStyle w:val="ListParagraph"/>
        <w:widowControl/>
        <w:numPr>
          <w:ilvl w:val="1"/>
          <w:numId w:val="2"/>
        </w:numPr>
        <w:spacing w:before="120" w:after="120"/>
      </w:pPr>
      <w:r w:rsidRPr="00B05ECE">
        <w:t>The b</w:t>
      </w:r>
      <w:r w:rsidR="006C2177" w:rsidRPr="00B05ECE">
        <w:t xml:space="preserve">asis for </w:t>
      </w:r>
      <w:r w:rsidR="004C240E" w:rsidRPr="00B05ECE">
        <w:t xml:space="preserve">the </w:t>
      </w:r>
      <w:r w:rsidR="006C2177" w:rsidRPr="00B05ECE">
        <w:t>request</w:t>
      </w:r>
      <w:r w:rsidR="004C240E" w:rsidRPr="00B05ECE">
        <w:t>ed</w:t>
      </w:r>
      <w:r w:rsidR="006C2177" w:rsidRPr="00B05ECE">
        <w:t xml:space="preserve"> listing is </w:t>
      </w:r>
      <w:r w:rsidRPr="00B05ECE">
        <w:t>cost</w:t>
      </w:r>
      <w:r w:rsidR="002E5DB2" w:rsidRPr="00B05ECE">
        <w:t>-</w:t>
      </w:r>
      <w:r w:rsidRPr="00B05ECE">
        <w:t>effectiveness compared with best available therapy (BAT), which the submission assume</w:t>
      </w:r>
      <w:r w:rsidR="002E5DB2" w:rsidRPr="00B05ECE">
        <w:t>d</w:t>
      </w:r>
      <w:r w:rsidRPr="00B05ECE">
        <w:t xml:space="preserve"> to be 50% HC and 50% (peg</w:t>
      </w:r>
      <w:r w:rsidR="001A70B8" w:rsidRPr="00B05ECE">
        <w:t>) interferon</w:t>
      </w:r>
      <w:r w:rsidRPr="00B05ECE">
        <w:t xml:space="preserve">.  </w:t>
      </w:r>
      <w:r w:rsidR="003F2824" w:rsidRPr="00B05ECE">
        <w:t xml:space="preserve">The key components of the clinical issue addressed by the submission are presented in Table </w:t>
      </w:r>
      <w:r w:rsidR="003F2824" w:rsidRPr="00B05ECE">
        <w:rPr>
          <w:noProof/>
        </w:rPr>
        <w:t>1</w:t>
      </w:r>
      <w:r w:rsidR="003F2824" w:rsidRPr="00B05ECE">
        <w:t>.</w:t>
      </w:r>
    </w:p>
    <w:p w:rsidR="00D65B1C" w:rsidRPr="003F2824" w:rsidRDefault="003F2824" w:rsidP="00652C10">
      <w:pPr>
        <w:pStyle w:val="Caption"/>
        <w:keepNext/>
        <w:keepLines/>
        <w:widowControl/>
        <w:suppressLineNumbers/>
        <w:suppressAutoHyphens/>
        <w:rPr>
          <w:rStyle w:val="CommentReference"/>
          <w:b/>
        </w:rPr>
      </w:pPr>
      <w:bookmarkStart w:id="1" w:name="_Ref17145809"/>
      <w:r>
        <w:t xml:space="preserve">Table </w:t>
      </w:r>
      <w:r w:rsidR="00CF6741">
        <w:rPr>
          <w:noProof/>
        </w:rPr>
        <w:t>1</w:t>
      </w:r>
      <w:bookmarkEnd w:id="1"/>
      <w:r>
        <w:t>:</w:t>
      </w:r>
      <w:r w:rsidR="00D65B1C">
        <w:rPr>
          <w:rStyle w:val="CommentReference"/>
        </w:rPr>
        <w:t xml:space="preserve"> </w:t>
      </w:r>
      <w:r w:rsidR="00D65B1C" w:rsidRPr="003F2824">
        <w:rPr>
          <w:rStyle w:val="CommentReference"/>
          <w:b/>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82"/>
        <w:gridCol w:w="7335"/>
      </w:tblGrid>
      <w:tr w:rsidR="00D65B1C" w:rsidRPr="00691913" w:rsidTr="00EB5F18">
        <w:trPr>
          <w:cantSplit/>
          <w:tblHeader/>
        </w:trPr>
        <w:tc>
          <w:tcPr>
            <w:tcW w:w="1696" w:type="dxa"/>
            <w:shd w:val="clear" w:color="auto" w:fill="auto"/>
          </w:tcPr>
          <w:p w:rsidR="00D65B1C" w:rsidRPr="008B1757" w:rsidRDefault="00D65B1C" w:rsidP="00652C10">
            <w:pPr>
              <w:pStyle w:val="Tabletext"/>
              <w:keepNext/>
              <w:keepLines/>
              <w:suppressLineNumbers/>
              <w:suppressAutoHyphens/>
              <w:rPr>
                <w:b/>
                <w:szCs w:val="20"/>
              </w:rPr>
            </w:pPr>
            <w:r w:rsidRPr="008B1757">
              <w:rPr>
                <w:b/>
              </w:rPr>
              <w:t>Component</w:t>
            </w:r>
          </w:p>
        </w:tc>
        <w:tc>
          <w:tcPr>
            <w:tcW w:w="7484" w:type="dxa"/>
            <w:shd w:val="clear" w:color="auto" w:fill="auto"/>
          </w:tcPr>
          <w:p w:rsidR="00D65B1C" w:rsidRPr="008B1757" w:rsidRDefault="00D65B1C" w:rsidP="00652C10">
            <w:pPr>
              <w:pStyle w:val="Tabletext"/>
              <w:keepNext/>
              <w:keepLines/>
              <w:suppressLineNumbers/>
              <w:suppressAutoHyphens/>
              <w:jc w:val="center"/>
              <w:rPr>
                <w:b/>
              </w:rPr>
            </w:pPr>
            <w:r w:rsidRPr="008B1757">
              <w:rPr>
                <w:b/>
              </w:rPr>
              <w:t>Description</w:t>
            </w:r>
          </w:p>
        </w:tc>
      </w:tr>
      <w:tr w:rsidR="00D65B1C" w:rsidRPr="00691913" w:rsidTr="00EB5F18">
        <w:trPr>
          <w:cantSplit/>
        </w:trPr>
        <w:tc>
          <w:tcPr>
            <w:tcW w:w="1696" w:type="dxa"/>
            <w:shd w:val="clear" w:color="auto" w:fill="auto"/>
          </w:tcPr>
          <w:p w:rsidR="00D65B1C" w:rsidRPr="00691913" w:rsidRDefault="00D65B1C" w:rsidP="00652C10">
            <w:pPr>
              <w:pStyle w:val="Tabletext"/>
              <w:keepNext/>
              <w:keepLines/>
              <w:suppressLineNumbers/>
              <w:suppressAutoHyphens/>
            </w:pPr>
            <w:r w:rsidRPr="00691913">
              <w:t>Population</w:t>
            </w:r>
          </w:p>
        </w:tc>
        <w:tc>
          <w:tcPr>
            <w:tcW w:w="7484" w:type="dxa"/>
            <w:shd w:val="clear" w:color="auto" w:fill="auto"/>
          </w:tcPr>
          <w:p w:rsidR="00D65B1C" w:rsidRPr="00691913" w:rsidRDefault="00D65B1C" w:rsidP="00652C10">
            <w:pPr>
              <w:pStyle w:val="Tabletext"/>
              <w:keepNext/>
              <w:keepLines/>
              <w:suppressLineNumbers/>
              <w:suppressAutoHyphens/>
            </w:pPr>
            <w:proofErr w:type="spellStart"/>
            <w:r w:rsidRPr="00915A62">
              <w:t>Polycythemia</w:t>
            </w:r>
            <w:proofErr w:type="spellEnd"/>
            <w:r w:rsidRPr="00915A62">
              <w:t xml:space="preserve"> </w:t>
            </w:r>
            <w:proofErr w:type="spellStart"/>
            <w:r w:rsidRPr="00915A62">
              <w:t>vera</w:t>
            </w:r>
            <w:proofErr w:type="spellEnd"/>
            <w:r w:rsidRPr="00915A62">
              <w:t xml:space="preserve"> (PV) and resistance to or intolerance of </w:t>
            </w:r>
            <w:proofErr w:type="spellStart"/>
            <w:r w:rsidRPr="00915A62">
              <w:t>hydroxycarbamide</w:t>
            </w:r>
            <w:proofErr w:type="spellEnd"/>
            <w:r w:rsidRPr="00915A62">
              <w:t xml:space="preserve"> (HC)</w:t>
            </w:r>
          </w:p>
        </w:tc>
      </w:tr>
      <w:tr w:rsidR="00D65B1C" w:rsidRPr="00691913" w:rsidTr="00EB5F18">
        <w:trPr>
          <w:cantSplit/>
        </w:trPr>
        <w:tc>
          <w:tcPr>
            <w:tcW w:w="1696" w:type="dxa"/>
            <w:shd w:val="clear" w:color="auto" w:fill="auto"/>
          </w:tcPr>
          <w:p w:rsidR="00D65B1C" w:rsidRPr="00691913" w:rsidRDefault="00D65B1C" w:rsidP="00652C10">
            <w:pPr>
              <w:pStyle w:val="Tabletext"/>
              <w:keepNext/>
              <w:keepLines/>
              <w:suppressLineNumbers/>
              <w:suppressAutoHyphens/>
            </w:pPr>
            <w:r w:rsidRPr="00691913">
              <w:t>Intervention</w:t>
            </w:r>
          </w:p>
        </w:tc>
        <w:tc>
          <w:tcPr>
            <w:tcW w:w="7484" w:type="dxa"/>
            <w:shd w:val="clear" w:color="auto" w:fill="auto"/>
          </w:tcPr>
          <w:p w:rsidR="00D65B1C" w:rsidRPr="00691913" w:rsidRDefault="00D65B1C" w:rsidP="00652C10">
            <w:pPr>
              <w:pStyle w:val="Tabletext"/>
              <w:keepNext/>
              <w:keepLines/>
              <w:suppressLineNumbers/>
              <w:suppressAutoHyphens/>
            </w:pPr>
            <w:r w:rsidRPr="00915A62">
              <w:t>Ruxolitinib 10 mg twice daily; up to 25 mg twice daily</w:t>
            </w:r>
          </w:p>
        </w:tc>
      </w:tr>
      <w:tr w:rsidR="00D65B1C" w:rsidRPr="00691913" w:rsidTr="00EB5F18">
        <w:trPr>
          <w:cantSplit/>
        </w:trPr>
        <w:tc>
          <w:tcPr>
            <w:tcW w:w="1696" w:type="dxa"/>
            <w:shd w:val="clear" w:color="auto" w:fill="auto"/>
          </w:tcPr>
          <w:p w:rsidR="00D65B1C" w:rsidRPr="00691913" w:rsidRDefault="00D65B1C" w:rsidP="00652C10">
            <w:pPr>
              <w:pStyle w:val="Tabletext"/>
              <w:keepNext/>
              <w:keepLines/>
              <w:suppressLineNumbers/>
              <w:suppressAutoHyphens/>
            </w:pPr>
            <w:r w:rsidRPr="00691913">
              <w:t>Comparator</w:t>
            </w:r>
          </w:p>
        </w:tc>
        <w:tc>
          <w:tcPr>
            <w:tcW w:w="7484" w:type="dxa"/>
            <w:shd w:val="clear" w:color="auto" w:fill="auto"/>
          </w:tcPr>
          <w:p w:rsidR="00D65B1C" w:rsidRPr="00691913" w:rsidRDefault="00D65B1C" w:rsidP="00652C10">
            <w:pPr>
              <w:pStyle w:val="Tabletext"/>
              <w:keepNext/>
              <w:keepLines/>
              <w:suppressLineNumbers/>
              <w:suppressAutoHyphens/>
            </w:pPr>
            <w:r>
              <w:t>Best available therapy (BAT)</w:t>
            </w:r>
            <w:r>
              <w:rPr>
                <w:vertAlign w:val="superscript"/>
              </w:rPr>
              <w:t>1</w:t>
            </w:r>
          </w:p>
        </w:tc>
      </w:tr>
      <w:tr w:rsidR="00D65B1C" w:rsidRPr="00691913" w:rsidTr="00EB5F18">
        <w:trPr>
          <w:cantSplit/>
        </w:trPr>
        <w:tc>
          <w:tcPr>
            <w:tcW w:w="1696" w:type="dxa"/>
            <w:shd w:val="clear" w:color="auto" w:fill="auto"/>
          </w:tcPr>
          <w:p w:rsidR="00D65B1C" w:rsidRPr="00691913" w:rsidRDefault="00D65B1C" w:rsidP="00652C10">
            <w:pPr>
              <w:pStyle w:val="Tabletext"/>
              <w:keepNext/>
              <w:keepLines/>
              <w:suppressLineNumbers/>
              <w:suppressAutoHyphens/>
            </w:pPr>
            <w:r w:rsidRPr="00691913">
              <w:t>Outcomes</w:t>
            </w:r>
          </w:p>
        </w:tc>
        <w:tc>
          <w:tcPr>
            <w:tcW w:w="7484" w:type="dxa"/>
            <w:shd w:val="clear" w:color="auto" w:fill="auto"/>
          </w:tcPr>
          <w:p w:rsidR="00D65B1C" w:rsidRPr="00691913" w:rsidRDefault="00D65B1C" w:rsidP="00652C10">
            <w:pPr>
              <w:pStyle w:val="Tabletext"/>
              <w:keepNext/>
              <w:keepLines/>
              <w:suppressLineNumbers/>
              <w:suppressAutoHyphens/>
            </w:pPr>
            <w:r w:rsidRPr="00915A62">
              <w:t>Time to response (T</w:t>
            </w:r>
            <w:r>
              <w:t>TR), duration of response (</w:t>
            </w:r>
            <w:proofErr w:type="spellStart"/>
            <w:r>
              <w:t>DoR</w:t>
            </w:r>
            <w:proofErr w:type="spellEnd"/>
            <w:r>
              <w:t>)</w:t>
            </w:r>
            <w:r>
              <w:rPr>
                <w:vertAlign w:val="superscript"/>
              </w:rPr>
              <w:t>2</w:t>
            </w:r>
            <w:r>
              <w:t xml:space="preserve"> </w:t>
            </w:r>
            <w:r>
              <w:rPr>
                <w:vertAlign w:val="superscript"/>
              </w:rPr>
              <w:t>3</w:t>
            </w:r>
          </w:p>
        </w:tc>
      </w:tr>
      <w:tr w:rsidR="00D65B1C" w:rsidRPr="00691913" w:rsidTr="00EB5F18">
        <w:trPr>
          <w:cantSplit/>
        </w:trPr>
        <w:tc>
          <w:tcPr>
            <w:tcW w:w="1696" w:type="dxa"/>
            <w:shd w:val="clear" w:color="auto" w:fill="auto"/>
          </w:tcPr>
          <w:p w:rsidR="00D65B1C" w:rsidRPr="00691913" w:rsidRDefault="00D65B1C" w:rsidP="00652C10">
            <w:pPr>
              <w:pStyle w:val="Tabletext"/>
              <w:keepNext/>
              <w:keepLines/>
              <w:suppressLineNumbers/>
              <w:suppressAutoHyphens/>
            </w:pPr>
            <w:r w:rsidRPr="00691913">
              <w:t>Clinical claim</w:t>
            </w:r>
          </w:p>
        </w:tc>
        <w:tc>
          <w:tcPr>
            <w:tcW w:w="7484" w:type="dxa"/>
            <w:shd w:val="clear" w:color="auto" w:fill="auto"/>
          </w:tcPr>
          <w:p w:rsidR="00D65B1C" w:rsidRPr="00691913" w:rsidRDefault="00D65B1C" w:rsidP="00652C10">
            <w:pPr>
              <w:pStyle w:val="Tabletext"/>
              <w:keepNext/>
              <w:keepLines/>
              <w:suppressLineNumbers/>
              <w:suppressAutoHyphens/>
            </w:pPr>
            <w:r w:rsidRPr="00915A62">
              <w:t xml:space="preserve">Ruxolitinib is superior to BAT in terms of TTR and </w:t>
            </w:r>
            <w:proofErr w:type="spellStart"/>
            <w:r w:rsidRPr="00915A62">
              <w:t>DoR</w:t>
            </w:r>
            <w:proofErr w:type="spellEnd"/>
            <w:r w:rsidRPr="00915A62">
              <w:t xml:space="preserve"> </w:t>
            </w:r>
          </w:p>
        </w:tc>
      </w:tr>
    </w:tbl>
    <w:p w:rsidR="00D65B1C" w:rsidRDefault="009D03FE" w:rsidP="00652C10">
      <w:pPr>
        <w:pStyle w:val="TableFooter"/>
        <w:keepNext/>
        <w:keepLines/>
        <w:widowControl/>
        <w:suppressLineNumbers/>
        <w:tabs>
          <w:tab w:val="left" w:pos="284"/>
        </w:tabs>
        <w:suppressAutoHyphens/>
        <w:ind w:left="284" w:hanging="284"/>
      </w:pPr>
      <w:r>
        <w:rPr>
          <w:vertAlign w:val="superscript"/>
        </w:rPr>
        <w:t>1</w:t>
      </w:r>
      <w:r>
        <w:rPr>
          <w:vertAlign w:val="superscript"/>
        </w:rPr>
        <w:tab/>
      </w:r>
      <w:r w:rsidR="00D65B1C">
        <w:t xml:space="preserve">Best available therapy included treatment with </w:t>
      </w:r>
      <w:proofErr w:type="spellStart"/>
      <w:r w:rsidR="00D65B1C">
        <w:t>hydroxycarbamide</w:t>
      </w:r>
      <w:proofErr w:type="spellEnd"/>
      <w:r w:rsidR="00D65B1C">
        <w:t xml:space="preserve"> (</w:t>
      </w:r>
      <w:proofErr w:type="spellStart"/>
      <w:r w:rsidR="00D65B1C">
        <w:t>hydroxyurea</w:t>
      </w:r>
      <w:proofErr w:type="spellEnd"/>
      <w:r w:rsidR="00D65B1C">
        <w:t>), (peg</w:t>
      </w:r>
      <w:r w:rsidR="000E46ED">
        <w:t>) interferon</w:t>
      </w:r>
      <w:r w:rsidR="00D65B1C">
        <w:t xml:space="preserve">, </w:t>
      </w:r>
      <w:proofErr w:type="spellStart"/>
      <w:r w:rsidR="00D65B1C">
        <w:t>pipobroman</w:t>
      </w:r>
      <w:proofErr w:type="spellEnd"/>
      <w:r w:rsidR="00D65B1C">
        <w:t xml:space="preserve">, </w:t>
      </w:r>
      <w:proofErr w:type="spellStart"/>
      <w:r w:rsidR="00D65B1C">
        <w:t>anagrelide</w:t>
      </w:r>
      <w:proofErr w:type="spellEnd"/>
      <w:r w:rsidR="00D65B1C">
        <w:t xml:space="preserve">, approved </w:t>
      </w:r>
      <w:proofErr w:type="spellStart"/>
      <w:r w:rsidR="00D65B1C">
        <w:t>immunomodulators</w:t>
      </w:r>
      <w:proofErr w:type="spellEnd"/>
      <w:r w:rsidR="00D65B1C">
        <w:t xml:space="preserve"> or observation.  However </w:t>
      </w:r>
      <w:r w:rsidR="00222C4E">
        <w:t xml:space="preserve">was </w:t>
      </w:r>
      <w:r w:rsidR="00D65B1C">
        <w:t xml:space="preserve">assumed to be </w:t>
      </w:r>
      <w:proofErr w:type="spellStart"/>
      <w:r w:rsidR="00D65B1C">
        <w:t>hydroxyurea</w:t>
      </w:r>
      <w:proofErr w:type="spellEnd"/>
      <w:r w:rsidR="00D65B1C">
        <w:t xml:space="preserve"> and peginterferon only in </w:t>
      </w:r>
      <w:r w:rsidR="00222C4E">
        <w:t xml:space="preserve">the </w:t>
      </w:r>
      <w:r w:rsidR="00D65B1C">
        <w:t>submission</w:t>
      </w:r>
      <w:r w:rsidR="00652C10">
        <w:t>.</w:t>
      </w:r>
      <w:r w:rsidR="00D65B1C">
        <w:t xml:space="preserve"> </w:t>
      </w:r>
    </w:p>
    <w:p w:rsidR="00D65B1C" w:rsidRDefault="009D03FE" w:rsidP="00652C10">
      <w:pPr>
        <w:pStyle w:val="TableFooter"/>
        <w:keepNext/>
        <w:keepLines/>
        <w:widowControl/>
        <w:suppressLineNumbers/>
        <w:tabs>
          <w:tab w:val="left" w:pos="284"/>
        </w:tabs>
        <w:suppressAutoHyphens/>
        <w:ind w:left="284" w:hanging="284"/>
      </w:pPr>
      <w:r>
        <w:rPr>
          <w:vertAlign w:val="superscript"/>
        </w:rPr>
        <w:t>2</w:t>
      </w:r>
      <w:r>
        <w:rPr>
          <w:vertAlign w:val="superscript"/>
        </w:rPr>
        <w:tab/>
      </w:r>
      <w:r w:rsidR="00D65B1C">
        <w:t>Response was defined as haematocrit &lt; 45% without phlebotomy and/or all of the following three items: platelet count ≤ 400 x 10</w:t>
      </w:r>
      <w:r w:rsidR="00D65B1C" w:rsidRPr="00D65B1C">
        <w:rPr>
          <w:vertAlign w:val="superscript"/>
        </w:rPr>
        <w:t>9</w:t>
      </w:r>
      <w:r w:rsidR="00D65B1C">
        <w:t>/L, white blood cell count &lt; 10 x 10</w:t>
      </w:r>
      <w:r w:rsidR="00D65B1C" w:rsidRPr="00D65B1C">
        <w:rPr>
          <w:vertAlign w:val="superscript"/>
        </w:rPr>
        <w:t>9</w:t>
      </w:r>
      <w:r w:rsidR="00D65B1C">
        <w:t>/L, and absence of splenomegaly on imaging</w:t>
      </w:r>
      <w:r w:rsidR="00652C10">
        <w:t>.</w:t>
      </w:r>
      <w:r w:rsidR="00D65B1C">
        <w:t xml:space="preserve"> </w:t>
      </w:r>
    </w:p>
    <w:p w:rsidR="00D65B1C" w:rsidRDefault="009D03FE" w:rsidP="00652C10">
      <w:pPr>
        <w:pStyle w:val="TableFooter"/>
        <w:keepNext/>
        <w:keepLines/>
        <w:widowControl/>
        <w:suppressLineNumbers/>
        <w:tabs>
          <w:tab w:val="left" w:pos="284"/>
        </w:tabs>
        <w:suppressAutoHyphens/>
        <w:ind w:left="284" w:hanging="284"/>
      </w:pPr>
      <w:r>
        <w:rPr>
          <w:vertAlign w:val="superscript"/>
        </w:rPr>
        <w:t>3</w:t>
      </w:r>
      <w:r>
        <w:rPr>
          <w:vertAlign w:val="superscript"/>
        </w:rPr>
        <w:tab/>
      </w:r>
      <w:r w:rsidR="00D65B1C">
        <w:t>The benefits of achieving a response were assessed in the surrogate to final outcome framework, presented in Attachment 1 of submission.</w:t>
      </w:r>
    </w:p>
    <w:p w:rsidR="00D65B1C" w:rsidRDefault="00D65B1C" w:rsidP="00652C10">
      <w:pPr>
        <w:pStyle w:val="TableFooter"/>
        <w:keepNext/>
        <w:keepLines/>
        <w:widowControl/>
        <w:suppressLineNumbers/>
        <w:suppressAutoHyphens/>
      </w:pPr>
      <w:r>
        <w:t xml:space="preserve">Source: Table 1.1-1, p14 </w:t>
      </w:r>
      <w:r w:rsidRPr="00D13A3E">
        <w:t xml:space="preserve">of the </w:t>
      </w:r>
      <w:r>
        <w:t>submission</w:t>
      </w:r>
    </w:p>
    <w:p w:rsidR="00D65B1C" w:rsidRPr="005048BA" w:rsidRDefault="00D65B1C" w:rsidP="00FE6CA5">
      <w:pPr>
        <w:pStyle w:val="Heading1"/>
        <w:keepNext/>
        <w:keepLines/>
        <w:widowControl/>
        <w:numPr>
          <w:ilvl w:val="0"/>
          <w:numId w:val="2"/>
        </w:numPr>
        <w:spacing w:before="120" w:after="120"/>
        <w:ind w:left="709" w:hanging="709"/>
        <w:rPr>
          <w:rFonts w:asciiTheme="minorHAnsi" w:eastAsiaTheme="majorEastAsia" w:hAnsiTheme="minorHAnsi" w:cstheme="majorBidi"/>
          <w:caps w:val="0"/>
          <w:snapToGrid/>
          <w:szCs w:val="28"/>
        </w:rPr>
      </w:pPr>
      <w:bookmarkStart w:id="2" w:name="_Toc19700353"/>
      <w:r w:rsidRPr="005048BA">
        <w:rPr>
          <w:rFonts w:asciiTheme="minorHAnsi" w:eastAsiaTheme="majorEastAsia" w:hAnsiTheme="minorHAnsi" w:cstheme="majorBidi"/>
          <w:caps w:val="0"/>
          <w:snapToGrid/>
          <w:szCs w:val="28"/>
        </w:rPr>
        <w:t>Requested listing</w:t>
      </w:r>
      <w:bookmarkEnd w:id="2"/>
    </w:p>
    <w:tbl>
      <w:tblPr>
        <w:tblW w:w="4782" w:type="pct"/>
        <w:tblInd w:w="28" w:type="dxa"/>
        <w:tblLayout w:type="fixed"/>
        <w:tblCellMar>
          <w:left w:w="28" w:type="dxa"/>
          <w:right w:w="28" w:type="dxa"/>
        </w:tblCellMar>
        <w:tblLook w:val="0000" w:firstRow="0" w:lastRow="0" w:firstColumn="0" w:lastColumn="0" w:noHBand="0" w:noVBand="0"/>
      </w:tblPr>
      <w:tblGrid>
        <w:gridCol w:w="2306"/>
        <w:gridCol w:w="501"/>
        <w:gridCol w:w="361"/>
        <w:gridCol w:w="1226"/>
        <w:gridCol w:w="737"/>
        <w:gridCol w:w="1651"/>
        <w:gridCol w:w="703"/>
        <w:gridCol w:w="1148"/>
      </w:tblGrid>
      <w:tr w:rsidR="00E865C4" w:rsidRPr="009D03FE" w:rsidTr="00B15FAF">
        <w:trPr>
          <w:cantSplit/>
          <w:trHeight w:val="463"/>
        </w:trPr>
        <w:tc>
          <w:tcPr>
            <w:tcW w:w="1336" w:type="pct"/>
            <w:tcBorders>
              <w:top w:val="single" w:sz="4" w:space="0" w:color="auto"/>
              <w:bottom w:val="single" w:sz="4" w:space="0" w:color="auto"/>
            </w:tcBorders>
            <w:vAlign w:val="center"/>
          </w:tcPr>
          <w:p w:rsidR="00E865C4" w:rsidRPr="009D03FE" w:rsidRDefault="00E865C4" w:rsidP="00C46736">
            <w:pPr>
              <w:keepNext/>
              <w:jc w:val="left"/>
              <w:rPr>
                <w:rFonts w:ascii="Arial Narrow" w:hAnsi="Arial Narrow"/>
                <w:b/>
                <w:sz w:val="20"/>
                <w:szCs w:val="18"/>
              </w:rPr>
            </w:pPr>
            <w:r w:rsidRPr="009D03FE">
              <w:rPr>
                <w:rFonts w:ascii="Arial Narrow" w:hAnsi="Arial Narrow"/>
                <w:b/>
                <w:sz w:val="20"/>
                <w:szCs w:val="18"/>
              </w:rPr>
              <w:t>Name, Restriction,</w:t>
            </w:r>
          </w:p>
          <w:p w:rsidR="00E865C4" w:rsidRPr="009D03FE" w:rsidRDefault="00E865C4" w:rsidP="00C46736">
            <w:pPr>
              <w:keepNext/>
              <w:jc w:val="left"/>
              <w:rPr>
                <w:rFonts w:ascii="Arial Narrow" w:hAnsi="Arial Narrow"/>
                <w:b/>
                <w:sz w:val="20"/>
                <w:szCs w:val="18"/>
              </w:rPr>
            </w:pPr>
            <w:r w:rsidRPr="009D03FE">
              <w:rPr>
                <w:rFonts w:ascii="Arial Narrow" w:hAnsi="Arial Narrow"/>
                <w:b/>
                <w:sz w:val="20"/>
                <w:szCs w:val="18"/>
              </w:rPr>
              <w:t>Manner of administration and form</w:t>
            </w:r>
          </w:p>
        </w:tc>
        <w:tc>
          <w:tcPr>
            <w:tcW w:w="499" w:type="pct"/>
            <w:gridSpan w:val="2"/>
            <w:tcBorders>
              <w:top w:val="single" w:sz="4" w:space="0" w:color="auto"/>
              <w:bottom w:val="single" w:sz="4" w:space="0" w:color="auto"/>
            </w:tcBorders>
          </w:tcPr>
          <w:p w:rsidR="00E865C4" w:rsidRPr="009D03FE" w:rsidRDefault="00E865C4" w:rsidP="00C46736">
            <w:pPr>
              <w:keepNext/>
              <w:jc w:val="center"/>
              <w:rPr>
                <w:rFonts w:ascii="Arial Narrow" w:hAnsi="Arial Narrow"/>
                <w:b/>
                <w:sz w:val="20"/>
                <w:szCs w:val="18"/>
              </w:rPr>
            </w:pPr>
            <w:r>
              <w:rPr>
                <w:rFonts w:ascii="Arial Narrow" w:hAnsi="Arial Narrow"/>
                <w:b/>
                <w:sz w:val="20"/>
                <w:szCs w:val="18"/>
              </w:rPr>
              <w:t xml:space="preserve">Max </w:t>
            </w:r>
            <w:proofErr w:type="spellStart"/>
            <w:r>
              <w:rPr>
                <w:rFonts w:ascii="Arial Narrow" w:hAnsi="Arial Narrow"/>
                <w:b/>
                <w:sz w:val="20"/>
                <w:szCs w:val="18"/>
              </w:rPr>
              <w:t>Qty</w:t>
            </w:r>
            <w:proofErr w:type="spellEnd"/>
            <w:r>
              <w:rPr>
                <w:rFonts w:ascii="Arial Narrow" w:hAnsi="Arial Narrow"/>
                <w:b/>
                <w:sz w:val="20"/>
                <w:szCs w:val="18"/>
              </w:rPr>
              <w:t xml:space="preserve"> (packs)</w:t>
            </w:r>
          </w:p>
        </w:tc>
        <w:tc>
          <w:tcPr>
            <w:tcW w:w="710" w:type="pct"/>
            <w:tcBorders>
              <w:top w:val="single" w:sz="4" w:space="0" w:color="auto"/>
              <w:bottom w:val="single" w:sz="4" w:space="0" w:color="auto"/>
            </w:tcBorders>
            <w:vAlign w:val="center"/>
          </w:tcPr>
          <w:p w:rsidR="00E865C4" w:rsidRPr="009D03FE" w:rsidRDefault="00E865C4" w:rsidP="00C46736">
            <w:pPr>
              <w:keepNext/>
              <w:jc w:val="center"/>
              <w:rPr>
                <w:rFonts w:ascii="Arial Narrow" w:hAnsi="Arial Narrow"/>
                <w:b/>
                <w:sz w:val="20"/>
                <w:szCs w:val="18"/>
              </w:rPr>
            </w:pPr>
            <w:r w:rsidRPr="009D03FE">
              <w:rPr>
                <w:rFonts w:ascii="Arial Narrow" w:hAnsi="Arial Narrow"/>
                <w:b/>
                <w:sz w:val="20"/>
                <w:szCs w:val="18"/>
              </w:rPr>
              <w:t>Max.</w:t>
            </w:r>
          </w:p>
          <w:p w:rsidR="00E865C4" w:rsidRPr="009D03FE" w:rsidRDefault="00E865C4" w:rsidP="00E865C4">
            <w:pPr>
              <w:keepNext/>
              <w:jc w:val="center"/>
              <w:rPr>
                <w:rFonts w:ascii="Arial Narrow" w:hAnsi="Arial Narrow"/>
                <w:b/>
                <w:sz w:val="20"/>
                <w:szCs w:val="18"/>
              </w:rPr>
            </w:pPr>
            <w:proofErr w:type="spellStart"/>
            <w:r w:rsidRPr="009D03FE">
              <w:rPr>
                <w:rFonts w:ascii="Arial Narrow" w:hAnsi="Arial Narrow"/>
                <w:b/>
                <w:sz w:val="20"/>
                <w:szCs w:val="18"/>
              </w:rPr>
              <w:t>Qty</w:t>
            </w:r>
            <w:proofErr w:type="spellEnd"/>
            <w:r w:rsidRPr="009D03FE">
              <w:rPr>
                <w:rFonts w:ascii="Arial Narrow" w:hAnsi="Arial Narrow"/>
                <w:b/>
                <w:sz w:val="20"/>
                <w:szCs w:val="18"/>
              </w:rPr>
              <w:t xml:space="preserve"> </w:t>
            </w:r>
            <w:r>
              <w:rPr>
                <w:rFonts w:ascii="Arial Narrow" w:hAnsi="Arial Narrow"/>
                <w:b/>
                <w:sz w:val="20"/>
                <w:szCs w:val="18"/>
              </w:rPr>
              <w:t>(units)</w:t>
            </w:r>
          </w:p>
        </w:tc>
        <w:tc>
          <w:tcPr>
            <w:tcW w:w="427" w:type="pct"/>
            <w:tcBorders>
              <w:top w:val="single" w:sz="4" w:space="0" w:color="auto"/>
              <w:bottom w:val="single" w:sz="4" w:space="0" w:color="auto"/>
            </w:tcBorders>
            <w:vAlign w:val="center"/>
          </w:tcPr>
          <w:p w:rsidR="00E865C4" w:rsidRPr="009D03FE" w:rsidRDefault="00E865C4" w:rsidP="00C46736">
            <w:pPr>
              <w:keepNext/>
              <w:jc w:val="center"/>
              <w:rPr>
                <w:rFonts w:ascii="Arial Narrow" w:hAnsi="Arial Narrow"/>
                <w:b/>
                <w:sz w:val="20"/>
                <w:szCs w:val="18"/>
              </w:rPr>
            </w:pPr>
            <w:r w:rsidRPr="009D03FE">
              <w:rPr>
                <w:rFonts w:ascii="Arial Narrow" w:hAnsi="Arial Narrow" w:cs="Times New Roman"/>
                <w:b/>
                <w:sz w:val="20"/>
                <w:szCs w:val="18"/>
              </w:rPr>
              <w:t>№</w:t>
            </w:r>
            <w:r w:rsidRPr="009D03FE">
              <w:rPr>
                <w:rFonts w:ascii="Arial Narrow" w:hAnsi="Arial Narrow"/>
                <w:b/>
                <w:sz w:val="20"/>
                <w:szCs w:val="18"/>
              </w:rPr>
              <w:t>.of</w:t>
            </w:r>
          </w:p>
          <w:p w:rsidR="00E865C4" w:rsidRPr="009D03FE" w:rsidRDefault="00E865C4" w:rsidP="00C46736">
            <w:pPr>
              <w:keepNext/>
              <w:jc w:val="center"/>
              <w:rPr>
                <w:rFonts w:ascii="Arial Narrow" w:hAnsi="Arial Narrow"/>
                <w:b/>
                <w:sz w:val="20"/>
                <w:szCs w:val="18"/>
              </w:rPr>
            </w:pPr>
            <w:proofErr w:type="spellStart"/>
            <w:r w:rsidRPr="009D03FE">
              <w:rPr>
                <w:rFonts w:ascii="Arial Narrow" w:hAnsi="Arial Narrow"/>
                <w:b/>
                <w:sz w:val="20"/>
                <w:szCs w:val="18"/>
              </w:rPr>
              <w:t>Rpts</w:t>
            </w:r>
            <w:proofErr w:type="spellEnd"/>
          </w:p>
        </w:tc>
        <w:tc>
          <w:tcPr>
            <w:tcW w:w="956" w:type="pct"/>
            <w:tcBorders>
              <w:top w:val="single" w:sz="4" w:space="0" w:color="auto"/>
              <w:bottom w:val="single" w:sz="4" w:space="0" w:color="auto"/>
            </w:tcBorders>
            <w:vAlign w:val="center"/>
          </w:tcPr>
          <w:p w:rsidR="00E865C4" w:rsidRPr="009D03FE" w:rsidRDefault="00E865C4" w:rsidP="00C46736">
            <w:pPr>
              <w:keepNext/>
              <w:jc w:val="center"/>
              <w:rPr>
                <w:rFonts w:ascii="Arial Narrow" w:hAnsi="Arial Narrow"/>
                <w:b/>
                <w:sz w:val="20"/>
                <w:szCs w:val="18"/>
              </w:rPr>
            </w:pPr>
            <w:r w:rsidRPr="009D03FE">
              <w:rPr>
                <w:rFonts w:ascii="Arial Narrow" w:hAnsi="Arial Narrow"/>
                <w:b/>
                <w:sz w:val="20"/>
                <w:szCs w:val="18"/>
              </w:rPr>
              <w:t xml:space="preserve">Dispensed Price for Max. </w:t>
            </w:r>
            <w:proofErr w:type="spellStart"/>
            <w:r w:rsidRPr="009D03FE">
              <w:rPr>
                <w:rFonts w:ascii="Arial Narrow" w:hAnsi="Arial Narrow"/>
                <w:b/>
                <w:sz w:val="20"/>
                <w:szCs w:val="18"/>
              </w:rPr>
              <w:t>Qty</w:t>
            </w:r>
            <w:proofErr w:type="spellEnd"/>
            <w:r w:rsidRPr="009D03FE">
              <w:rPr>
                <w:rFonts w:ascii="Arial Narrow" w:hAnsi="Arial Narrow"/>
                <w:b/>
                <w:sz w:val="20"/>
                <w:szCs w:val="18"/>
              </w:rPr>
              <w:t xml:space="preserve"> </w:t>
            </w:r>
          </w:p>
        </w:tc>
        <w:tc>
          <w:tcPr>
            <w:tcW w:w="1072" w:type="pct"/>
            <w:gridSpan w:val="2"/>
            <w:tcBorders>
              <w:top w:val="single" w:sz="4" w:space="0" w:color="auto"/>
              <w:bottom w:val="single" w:sz="4" w:space="0" w:color="auto"/>
            </w:tcBorders>
            <w:vAlign w:val="center"/>
          </w:tcPr>
          <w:p w:rsidR="00E865C4" w:rsidRPr="009D03FE" w:rsidRDefault="00E865C4" w:rsidP="00C46736">
            <w:pPr>
              <w:keepNext/>
              <w:jc w:val="center"/>
              <w:rPr>
                <w:rFonts w:ascii="Arial Narrow" w:hAnsi="Arial Narrow"/>
                <w:b/>
                <w:sz w:val="20"/>
                <w:szCs w:val="18"/>
                <w:lang w:val="fr-FR"/>
              </w:rPr>
            </w:pPr>
            <w:r w:rsidRPr="009D03FE">
              <w:rPr>
                <w:rFonts w:ascii="Arial Narrow" w:hAnsi="Arial Narrow"/>
                <w:b/>
                <w:sz w:val="20"/>
                <w:szCs w:val="18"/>
              </w:rPr>
              <w:t>Proprietary Name and Manufacturer</w:t>
            </w:r>
          </w:p>
        </w:tc>
      </w:tr>
      <w:tr w:rsidR="00E865C4" w:rsidRPr="009D03FE" w:rsidTr="008D1DD2">
        <w:trPr>
          <w:cantSplit/>
          <w:trHeight w:val="340"/>
        </w:trPr>
        <w:tc>
          <w:tcPr>
            <w:tcW w:w="1336" w:type="pct"/>
          </w:tcPr>
          <w:p w:rsidR="00E865C4" w:rsidRPr="00B05ECE" w:rsidRDefault="00E865C4" w:rsidP="00C46736">
            <w:pPr>
              <w:keepNext/>
              <w:jc w:val="left"/>
              <w:rPr>
                <w:rFonts w:ascii="Arial Narrow" w:hAnsi="Arial Narrow"/>
                <w:sz w:val="20"/>
                <w:szCs w:val="18"/>
              </w:rPr>
            </w:pPr>
            <w:r w:rsidRPr="00B05ECE">
              <w:rPr>
                <w:rFonts w:ascii="Arial Narrow" w:hAnsi="Arial Narrow" w:cs="Calibri"/>
                <w:color w:val="000000"/>
                <w:sz w:val="20"/>
                <w:szCs w:val="18"/>
              </w:rPr>
              <w:t>Ruxolitinib 5 mg, 56 tablets</w:t>
            </w:r>
          </w:p>
        </w:tc>
        <w:tc>
          <w:tcPr>
            <w:tcW w:w="499" w:type="pct"/>
            <w:gridSpan w:val="2"/>
          </w:tcPr>
          <w:p w:rsidR="00E865C4" w:rsidRPr="00B05ECE" w:rsidRDefault="007E7210" w:rsidP="00C46736">
            <w:pPr>
              <w:keepNext/>
              <w:jc w:val="center"/>
              <w:rPr>
                <w:rFonts w:ascii="Arial Narrow" w:hAnsi="Arial Narrow"/>
                <w:sz w:val="20"/>
                <w:szCs w:val="18"/>
              </w:rPr>
            </w:pPr>
            <w:r w:rsidRPr="00B05ECE">
              <w:rPr>
                <w:rFonts w:ascii="Arial Narrow" w:hAnsi="Arial Narrow"/>
                <w:sz w:val="20"/>
                <w:szCs w:val="18"/>
              </w:rPr>
              <w:t>2</w:t>
            </w:r>
          </w:p>
        </w:tc>
        <w:tc>
          <w:tcPr>
            <w:tcW w:w="710" w:type="pct"/>
          </w:tcPr>
          <w:p w:rsidR="00E865C4" w:rsidRPr="00B05ECE" w:rsidRDefault="00E865C4" w:rsidP="00C46736">
            <w:pPr>
              <w:keepNext/>
              <w:jc w:val="center"/>
              <w:rPr>
                <w:rFonts w:ascii="Arial Narrow" w:hAnsi="Arial Narrow"/>
                <w:sz w:val="20"/>
                <w:szCs w:val="18"/>
              </w:rPr>
            </w:pPr>
            <w:r w:rsidRPr="00B05ECE">
              <w:rPr>
                <w:rFonts w:ascii="Arial Narrow" w:hAnsi="Arial Narrow"/>
                <w:sz w:val="20"/>
                <w:szCs w:val="18"/>
              </w:rPr>
              <w:t>112</w:t>
            </w:r>
          </w:p>
        </w:tc>
        <w:tc>
          <w:tcPr>
            <w:tcW w:w="427" w:type="pct"/>
          </w:tcPr>
          <w:p w:rsidR="00E865C4" w:rsidRPr="00B05ECE" w:rsidRDefault="00E865C4" w:rsidP="00C46736">
            <w:pPr>
              <w:keepNext/>
              <w:jc w:val="center"/>
              <w:rPr>
                <w:rFonts w:ascii="Arial Narrow" w:hAnsi="Arial Narrow"/>
                <w:sz w:val="20"/>
                <w:szCs w:val="18"/>
              </w:rPr>
            </w:pPr>
            <w:r w:rsidRPr="00B05ECE">
              <w:rPr>
                <w:rFonts w:ascii="Arial Narrow" w:hAnsi="Arial Narrow"/>
                <w:sz w:val="20"/>
                <w:szCs w:val="18"/>
              </w:rPr>
              <w:t>5</w:t>
            </w:r>
          </w:p>
        </w:tc>
        <w:tc>
          <w:tcPr>
            <w:tcW w:w="956" w:type="pct"/>
            <w:vAlign w:val="center"/>
          </w:tcPr>
          <w:p w:rsidR="00E865C4" w:rsidRPr="00B05ECE" w:rsidRDefault="00E865C4" w:rsidP="00C46736">
            <w:pPr>
              <w:pStyle w:val="Tabletext"/>
              <w:jc w:val="center"/>
              <w:rPr>
                <w:szCs w:val="18"/>
              </w:rPr>
            </w:pPr>
            <w:r w:rsidRPr="00B05ECE">
              <w:rPr>
                <w:szCs w:val="18"/>
              </w:rPr>
              <w:t>Published $5,152.13</w:t>
            </w:r>
          </w:p>
          <w:p w:rsidR="00E865C4" w:rsidRPr="00B05ECE" w:rsidRDefault="00E865C4" w:rsidP="00C46736">
            <w:pPr>
              <w:keepNext/>
              <w:jc w:val="center"/>
              <w:rPr>
                <w:rFonts w:ascii="Arial Narrow" w:hAnsi="Arial Narrow"/>
                <w:sz w:val="20"/>
                <w:szCs w:val="18"/>
              </w:rPr>
            </w:pPr>
            <w:r w:rsidRPr="00B05ECE">
              <w:rPr>
                <w:rFonts w:ascii="Arial Narrow" w:hAnsi="Arial Narrow"/>
                <w:sz w:val="20"/>
                <w:szCs w:val="18"/>
              </w:rPr>
              <w:t>Effective $</w:t>
            </w:r>
            <w:r w:rsidR="004A4EFC">
              <w:rPr>
                <w:rFonts w:ascii="Arial Narrow" w:hAnsi="Arial Narrow"/>
                <w:noProof/>
                <w:color w:val="000000"/>
                <w:sz w:val="20"/>
                <w:szCs w:val="18"/>
                <w:highlight w:val="black"/>
              </w:rPr>
              <w:t>''''''''''''''''''''</w:t>
            </w:r>
          </w:p>
        </w:tc>
        <w:tc>
          <w:tcPr>
            <w:tcW w:w="407" w:type="pct"/>
            <w:vMerge w:val="restart"/>
            <w:vAlign w:val="center"/>
          </w:tcPr>
          <w:p w:rsidR="00E865C4" w:rsidRPr="009D03FE" w:rsidRDefault="00E865C4" w:rsidP="00C46736">
            <w:pPr>
              <w:keepNext/>
              <w:jc w:val="center"/>
              <w:rPr>
                <w:rFonts w:ascii="Arial Narrow" w:hAnsi="Arial Narrow"/>
                <w:sz w:val="20"/>
                <w:szCs w:val="18"/>
              </w:rPr>
            </w:pPr>
            <w:proofErr w:type="spellStart"/>
            <w:r w:rsidRPr="009D03FE">
              <w:rPr>
                <w:rFonts w:ascii="Arial Narrow" w:hAnsi="Arial Narrow"/>
                <w:sz w:val="20"/>
                <w:szCs w:val="18"/>
              </w:rPr>
              <w:t>Jakavi</w:t>
            </w:r>
            <w:proofErr w:type="spellEnd"/>
          </w:p>
        </w:tc>
        <w:tc>
          <w:tcPr>
            <w:tcW w:w="665" w:type="pct"/>
            <w:vMerge w:val="restart"/>
            <w:vAlign w:val="center"/>
          </w:tcPr>
          <w:p w:rsidR="00E865C4" w:rsidRPr="009D03FE" w:rsidRDefault="00E865C4" w:rsidP="005E35EF">
            <w:pPr>
              <w:keepNext/>
              <w:jc w:val="center"/>
              <w:rPr>
                <w:rFonts w:ascii="Arial Narrow" w:hAnsi="Arial Narrow"/>
                <w:sz w:val="20"/>
                <w:szCs w:val="18"/>
              </w:rPr>
            </w:pPr>
            <w:r w:rsidRPr="009D03FE">
              <w:rPr>
                <w:rFonts w:ascii="Arial Narrow" w:hAnsi="Arial Narrow"/>
                <w:sz w:val="20"/>
                <w:szCs w:val="18"/>
              </w:rPr>
              <w:t xml:space="preserve">Novartis </w:t>
            </w:r>
          </w:p>
        </w:tc>
      </w:tr>
      <w:tr w:rsidR="00E865C4" w:rsidRPr="009D03FE" w:rsidTr="008D1DD2">
        <w:trPr>
          <w:cantSplit/>
          <w:trHeight w:val="340"/>
        </w:trPr>
        <w:tc>
          <w:tcPr>
            <w:tcW w:w="1336" w:type="pct"/>
          </w:tcPr>
          <w:p w:rsidR="00E865C4" w:rsidRPr="00B05ECE" w:rsidRDefault="00E865C4" w:rsidP="00C46736">
            <w:pPr>
              <w:keepNext/>
              <w:jc w:val="left"/>
              <w:rPr>
                <w:rFonts w:ascii="Arial Narrow" w:hAnsi="Arial Narrow"/>
                <w:smallCaps/>
                <w:sz w:val="20"/>
                <w:szCs w:val="18"/>
              </w:rPr>
            </w:pPr>
            <w:r w:rsidRPr="00B05ECE">
              <w:rPr>
                <w:rFonts w:ascii="Arial Narrow" w:hAnsi="Arial Narrow" w:cs="Calibri"/>
                <w:color w:val="000000"/>
                <w:sz w:val="20"/>
                <w:szCs w:val="18"/>
              </w:rPr>
              <w:t>Ruxolitinib 10 mg, 56 tablets</w:t>
            </w:r>
          </w:p>
        </w:tc>
        <w:tc>
          <w:tcPr>
            <w:tcW w:w="499" w:type="pct"/>
            <w:gridSpan w:val="2"/>
          </w:tcPr>
          <w:p w:rsidR="00E865C4" w:rsidRPr="00B05ECE" w:rsidRDefault="007E7210" w:rsidP="00C46736">
            <w:pPr>
              <w:keepNext/>
              <w:jc w:val="center"/>
              <w:rPr>
                <w:rFonts w:ascii="Arial Narrow" w:hAnsi="Arial Narrow"/>
                <w:sz w:val="20"/>
                <w:szCs w:val="18"/>
              </w:rPr>
            </w:pPr>
            <w:r w:rsidRPr="00B05ECE">
              <w:rPr>
                <w:rFonts w:ascii="Arial Narrow" w:hAnsi="Arial Narrow"/>
                <w:sz w:val="20"/>
                <w:szCs w:val="18"/>
              </w:rPr>
              <w:t>1</w:t>
            </w:r>
          </w:p>
        </w:tc>
        <w:tc>
          <w:tcPr>
            <w:tcW w:w="710" w:type="pct"/>
          </w:tcPr>
          <w:p w:rsidR="00E865C4" w:rsidRPr="00B05ECE" w:rsidRDefault="00E865C4" w:rsidP="00C46736">
            <w:pPr>
              <w:keepNext/>
              <w:jc w:val="center"/>
              <w:rPr>
                <w:rFonts w:ascii="Arial Narrow" w:hAnsi="Arial Narrow"/>
                <w:sz w:val="20"/>
                <w:szCs w:val="18"/>
              </w:rPr>
            </w:pPr>
            <w:r w:rsidRPr="00B05ECE">
              <w:rPr>
                <w:rFonts w:ascii="Arial Narrow" w:hAnsi="Arial Narrow"/>
                <w:sz w:val="20"/>
                <w:szCs w:val="18"/>
              </w:rPr>
              <w:t>56</w:t>
            </w:r>
          </w:p>
        </w:tc>
        <w:tc>
          <w:tcPr>
            <w:tcW w:w="427" w:type="pct"/>
          </w:tcPr>
          <w:p w:rsidR="00E865C4" w:rsidRPr="00B05ECE" w:rsidRDefault="00E865C4" w:rsidP="00C46736">
            <w:pPr>
              <w:keepNext/>
              <w:jc w:val="center"/>
              <w:rPr>
                <w:rFonts w:ascii="Arial Narrow" w:hAnsi="Arial Narrow"/>
                <w:sz w:val="20"/>
                <w:szCs w:val="18"/>
              </w:rPr>
            </w:pPr>
            <w:r w:rsidRPr="00B05ECE">
              <w:rPr>
                <w:rFonts w:ascii="Arial Narrow" w:hAnsi="Arial Narrow"/>
                <w:sz w:val="20"/>
                <w:szCs w:val="18"/>
              </w:rPr>
              <w:t>5</w:t>
            </w:r>
          </w:p>
        </w:tc>
        <w:tc>
          <w:tcPr>
            <w:tcW w:w="956" w:type="pct"/>
            <w:vAlign w:val="center"/>
          </w:tcPr>
          <w:p w:rsidR="00E865C4" w:rsidRPr="00B05ECE" w:rsidRDefault="00E865C4" w:rsidP="00C46736">
            <w:pPr>
              <w:pStyle w:val="Tabletext"/>
              <w:jc w:val="center"/>
              <w:rPr>
                <w:szCs w:val="18"/>
              </w:rPr>
            </w:pPr>
            <w:r w:rsidRPr="00B05ECE">
              <w:rPr>
                <w:szCs w:val="18"/>
              </w:rPr>
              <w:t>Published $5,152.12</w:t>
            </w:r>
          </w:p>
          <w:p w:rsidR="00E865C4" w:rsidRPr="00B05ECE" w:rsidRDefault="00E865C4" w:rsidP="00C46736">
            <w:pPr>
              <w:keepNext/>
              <w:jc w:val="center"/>
              <w:rPr>
                <w:rFonts w:ascii="Arial Narrow" w:hAnsi="Arial Narrow"/>
                <w:sz w:val="20"/>
                <w:szCs w:val="18"/>
              </w:rPr>
            </w:pPr>
            <w:r w:rsidRPr="00B05ECE">
              <w:rPr>
                <w:rFonts w:ascii="Arial Narrow" w:hAnsi="Arial Narrow"/>
                <w:sz w:val="20"/>
                <w:szCs w:val="18"/>
              </w:rPr>
              <w:t>Effective $</w:t>
            </w:r>
            <w:r w:rsidR="004A4EFC">
              <w:rPr>
                <w:rFonts w:ascii="Arial Narrow" w:hAnsi="Arial Narrow"/>
                <w:noProof/>
                <w:color w:val="000000"/>
                <w:sz w:val="20"/>
                <w:szCs w:val="18"/>
                <w:highlight w:val="black"/>
              </w:rPr>
              <w:t>'''''''''''''''''''''</w:t>
            </w:r>
          </w:p>
        </w:tc>
        <w:tc>
          <w:tcPr>
            <w:tcW w:w="407" w:type="pct"/>
            <w:vMerge/>
            <w:vAlign w:val="center"/>
          </w:tcPr>
          <w:p w:rsidR="00E865C4" w:rsidRPr="009D03FE" w:rsidRDefault="00E865C4" w:rsidP="00C46736">
            <w:pPr>
              <w:keepNext/>
              <w:jc w:val="center"/>
              <w:rPr>
                <w:rFonts w:ascii="Arial Narrow" w:hAnsi="Arial Narrow"/>
                <w:sz w:val="20"/>
                <w:szCs w:val="18"/>
              </w:rPr>
            </w:pPr>
          </w:p>
        </w:tc>
        <w:tc>
          <w:tcPr>
            <w:tcW w:w="665" w:type="pct"/>
            <w:vMerge/>
            <w:vAlign w:val="center"/>
          </w:tcPr>
          <w:p w:rsidR="00E865C4" w:rsidRPr="009D03FE" w:rsidRDefault="00E865C4" w:rsidP="00C46736">
            <w:pPr>
              <w:keepNext/>
              <w:jc w:val="center"/>
              <w:rPr>
                <w:rFonts w:ascii="Arial Narrow" w:hAnsi="Arial Narrow"/>
                <w:sz w:val="20"/>
                <w:szCs w:val="18"/>
              </w:rPr>
            </w:pPr>
          </w:p>
        </w:tc>
      </w:tr>
      <w:tr w:rsidR="00E865C4" w:rsidRPr="009D03FE" w:rsidTr="008D1DD2">
        <w:trPr>
          <w:cantSplit/>
          <w:trHeight w:val="340"/>
        </w:trPr>
        <w:tc>
          <w:tcPr>
            <w:tcW w:w="1336" w:type="pct"/>
          </w:tcPr>
          <w:p w:rsidR="00E865C4" w:rsidRPr="00B05ECE" w:rsidRDefault="00E865C4" w:rsidP="00C46736">
            <w:pPr>
              <w:keepNext/>
              <w:jc w:val="left"/>
              <w:rPr>
                <w:rFonts w:ascii="Arial Narrow" w:hAnsi="Arial Narrow"/>
                <w:smallCaps/>
                <w:sz w:val="20"/>
                <w:szCs w:val="18"/>
              </w:rPr>
            </w:pPr>
            <w:r w:rsidRPr="00B05ECE">
              <w:rPr>
                <w:rFonts w:ascii="Arial Narrow" w:hAnsi="Arial Narrow" w:cs="Calibri"/>
                <w:color w:val="000000"/>
                <w:sz w:val="20"/>
                <w:szCs w:val="18"/>
              </w:rPr>
              <w:t>Ruxolitinib 15 mg, 56 tablets</w:t>
            </w:r>
          </w:p>
        </w:tc>
        <w:tc>
          <w:tcPr>
            <w:tcW w:w="499" w:type="pct"/>
            <w:gridSpan w:val="2"/>
          </w:tcPr>
          <w:p w:rsidR="00E865C4" w:rsidRPr="00B05ECE" w:rsidRDefault="007E7210" w:rsidP="00C46736">
            <w:pPr>
              <w:keepNext/>
              <w:jc w:val="center"/>
              <w:rPr>
                <w:rFonts w:ascii="Arial Narrow" w:hAnsi="Arial Narrow"/>
                <w:sz w:val="20"/>
                <w:szCs w:val="18"/>
              </w:rPr>
            </w:pPr>
            <w:r w:rsidRPr="00B05ECE">
              <w:rPr>
                <w:rFonts w:ascii="Arial Narrow" w:hAnsi="Arial Narrow"/>
                <w:sz w:val="20"/>
                <w:szCs w:val="18"/>
              </w:rPr>
              <w:t>1</w:t>
            </w:r>
          </w:p>
        </w:tc>
        <w:tc>
          <w:tcPr>
            <w:tcW w:w="710" w:type="pct"/>
          </w:tcPr>
          <w:p w:rsidR="00E865C4" w:rsidRPr="00B05ECE" w:rsidRDefault="00E865C4" w:rsidP="00C46736">
            <w:pPr>
              <w:keepNext/>
              <w:jc w:val="center"/>
              <w:rPr>
                <w:rFonts w:ascii="Arial Narrow" w:hAnsi="Arial Narrow"/>
                <w:sz w:val="20"/>
                <w:szCs w:val="18"/>
              </w:rPr>
            </w:pPr>
            <w:r w:rsidRPr="00B05ECE">
              <w:rPr>
                <w:rFonts w:ascii="Arial Narrow" w:hAnsi="Arial Narrow"/>
                <w:sz w:val="20"/>
                <w:szCs w:val="18"/>
              </w:rPr>
              <w:t>56</w:t>
            </w:r>
          </w:p>
        </w:tc>
        <w:tc>
          <w:tcPr>
            <w:tcW w:w="427" w:type="pct"/>
          </w:tcPr>
          <w:p w:rsidR="00E865C4" w:rsidRPr="00B05ECE" w:rsidRDefault="00E865C4" w:rsidP="00C46736">
            <w:pPr>
              <w:keepNext/>
              <w:jc w:val="center"/>
              <w:rPr>
                <w:rFonts w:ascii="Arial Narrow" w:hAnsi="Arial Narrow"/>
                <w:sz w:val="20"/>
                <w:szCs w:val="18"/>
              </w:rPr>
            </w:pPr>
            <w:r w:rsidRPr="00B05ECE">
              <w:rPr>
                <w:rFonts w:ascii="Arial Narrow" w:hAnsi="Arial Narrow"/>
                <w:sz w:val="20"/>
                <w:szCs w:val="18"/>
              </w:rPr>
              <w:t>5</w:t>
            </w:r>
          </w:p>
        </w:tc>
        <w:tc>
          <w:tcPr>
            <w:tcW w:w="956" w:type="pct"/>
            <w:vAlign w:val="center"/>
          </w:tcPr>
          <w:p w:rsidR="00E865C4" w:rsidRPr="00B05ECE" w:rsidRDefault="00E865C4" w:rsidP="00C46736">
            <w:pPr>
              <w:pStyle w:val="Tabletext"/>
              <w:jc w:val="center"/>
              <w:rPr>
                <w:szCs w:val="18"/>
              </w:rPr>
            </w:pPr>
            <w:r w:rsidRPr="00B05ECE">
              <w:rPr>
                <w:szCs w:val="18"/>
              </w:rPr>
              <w:t>Published $5,152.12</w:t>
            </w:r>
          </w:p>
          <w:p w:rsidR="00E865C4" w:rsidRPr="00B05ECE" w:rsidRDefault="00E865C4" w:rsidP="00C46736">
            <w:pPr>
              <w:keepNext/>
              <w:jc w:val="center"/>
              <w:rPr>
                <w:rFonts w:ascii="Arial Narrow" w:hAnsi="Arial Narrow"/>
                <w:sz w:val="20"/>
                <w:szCs w:val="18"/>
              </w:rPr>
            </w:pPr>
            <w:r w:rsidRPr="00B05ECE">
              <w:rPr>
                <w:rFonts w:ascii="Arial Narrow" w:hAnsi="Arial Narrow"/>
                <w:sz w:val="20"/>
                <w:szCs w:val="18"/>
              </w:rPr>
              <w:t>Effective $</w:t>
            </w:r>
            <w:r w:rsidR="004A4EFC">
              <w:rPr>
                <w:rFonts w:ascii="Arial Narrow" w:hAnsi="Arial Narrow"/>
                <w:noProof/>
                <w:color w:val="000000"/>
                <w:sz w:val="20"/>
                <w:szCs w:val="18"/>
                <w:highlight w:val="black"/>
              </w:rPr>
              <w:t>''''''''''''''''''''</w:t>
            </w:r>
          </w:p>
        </w:tc>
        <w:tc>
          <w:tcPr>
            <w:tcW w:w="407" w:type="pct"/>
            <w:vMerge/>
            <w:vAlign w:val="center"/>
          </w:tcPr>
          <w:p w:rsidR="00E865C4" w:rsidRPr="009D03FE" w:rsidRDefault="00E865C4" w:rsidP="00C46736">
            <w:pPr>
              <w:keepNext/>
              <w:jc w:val="center"/>
              <w:rPr>
                <w:rFonts w:ascii="Arial Narrow" w:hAnsi="Arial Narrow"/>
                <w:sz w:val="20"/>
                <w:szCs w:val="18"/>
              </w:rPr>
            </w:pPr>
          </w:p>
        </w:tc>
        <w:tc>
          <w:tcPr>
            <w:tcW w:w="665" w:type="pct"/>
            <w:vMerge/>
            <w:vAlign w:val="center"/>
          </w:tcPr>
          <w:p w:rsidR="00E865C4" w:rsidRPr="009D03FE" w:rsidRDefault="00E865C4" w:rsidP="00C46736">
            <w:pPr>
              <w:keepNext/>
              <w:jc w:val="center"/>
              <w:rPr>
                <w:rFonts w:ascii="Arial Narrow" w:hAnsi="Arial Narrow"/>
                <w:sz w:val="20"/>
                <w:szCs w:val="18"/>
              </w:rPr>
            </w:pPr>
          </w:p>
        </w:tc>
      </w:tr>
      <w:tr w:rsidR="00E865C4" w:rsidRPr="009D03FE" w:rsidTr="008D1DD2">
        <w:trPr>
          <w:cantSplit/>
          <w:trHeight w:val="340"/>
        </w:trPr>
        <w:tc>
          <w:tcPr>
            <w:tcW w:w="1336" w:type="pct"/>
          </w:tcPr>
          <w:p w:rsidR="00E865C4" w:rsidRPr="00B05ECE" w:rsidRDefault="00E865C4" w:rsidP="00C46736">
            <w:pPr>
              <w:keepNext/>
              <w:jc w:val="left"/>
              <w:rPr>
                <w:rFonts w:ascii="Arial Narrow" w:hAnsi="Arial Narrow"/>
                <w:smallCaps/>
                <w:sz w:val="20"/>
                <w:szCs w:val="18"/>
              </w:rPr>
            </w:pPr>
            <w:r w:rsidRPr="00B05ECE">
              <w:rPr>
                <w:rFonts w:ascii="Arial Narrow" w:hAnsi="Arial Narrow" w:cs="Calibri"/>
                <w:color w:val="000000"/>
                <w:sz w:val="20"/>
                <w:szCs w:val="18"/>
              </w:rPr>
              <w:t>Ruxolitinib 20 mg, 56 tablets</w:t>
            </w:r>
          </w:p>
        </w:tc>
        <w:tc>
          <w:tcPr>
            <w:tcW w:w="499" w:type="pct"/>
            <w:gridSpan w:val="2"/>
          </w:tcPr>
          <w:p w:rsidR="00E865C4" w:rsidRPr="00B05ECE" w:rsidRDefault="007E7210" w:rsidP="00C46736">
            <w:pPr>
              <w:keepNext/>
              <w:jc w:val="center"/>
              <w:rPr>
                <w:rFonts w:ascii="Arial Narrow" w:hAnsi="Arial Narrow"/>
                <w:sz w:val="20"/>
                <w:szCs w:val="18"/>
              </w:rPr>
            </w:pPr>
            <w:r w:rsidRPr="00B05ECE">
              <w:rPr>
                <w:rFonts w:ascii="Arial Narrow" w:hAnsi="Arial Narrow"/>
                <w:sz w:val="20"/>
                <w:szCs w:val="18"/>
              </w:rPr>
              <w:t>1</w:t>
            </w:r>
          </w:p>
        </w:tc>
        <w:tc>
          <w:tcPr>
            <w:tcW w:w="710" w:type="pct"/>
          </w:tcPr>
          <w:p w:rsidR="00E865C4" w:rsidRPr="00B05ECE" w:rsidRDefault="00E865C4" w:rsidP="00C46736">
            <w:pPr>
              <w:keepNext/>
              <w:jc w:val="center"/>
              <w:rPr>
                <w:rFonts w:ascii="Arial Narrow" w:hAnsi="Arial Narrow"/>
                <w:sz w:val="20"/>
                <w:szCs w:val="18"/>
              </w:rPr>
            </w:pPr>
            <w:r w:rsidRPr="00B05ECE">
              <w:rPr>
                <w:rFonts w:ascii="Arial Narrow" w:hAnsi="Arial Narrow"/>
                <w:sz w:val="20"/>
                <w:szCs w:val="18"/>
              </w:rPr>
              <w:t>56</w:t>
            </w:r>
          </w:p>
        </w:tc>
        <w:tc>
          <w:tcPr>
            <w:tcW w:w="427" w:type="pct"/>
          </w:tcPr>
          <w:p w:rsidR="00E865C4" w:rsidRPr="00B05ECE" w:rsidRDefault="00E865C4" w:rsidP="00C46736">
            <w:pPr>
              <w:keepNext/>
              <w:jc w:val="center"/>
              <w:rPr>
                <w:rFonts w:ascii="Arial Narrow" w:hAnsi="Arial Narrow"/>
                <w:sz w:val="20"/>
                <w:szCs w:val="18"/>
              </w:rPr>
            </w:pPr>
            <w:r w:rsidRPr="00B05ECE">
              <w:rPr>
                <w:rFonts w:ascii="Arial Narrow" w:hAnsi="Arial Narrow"/>
                <w:sz w:val="20"/>
                <w:szCs w:val="18"/>
              </w:rPr>
              <w:t>5</w:t>
            </w:r>
          </w:p>
        </w:tc>
        <w:tc>
          <w:tcPr>
            <w:tcW w:w="956" w:type="pct"/>
            <w:vAlign w:val="center"/>
          </w:tcPr>
          <w:p w:rsidR="00E865C4" w:rsidRPr="00B05ECE" w:rsidRDefault="00E865C4" w:rsidP="00C46736">
            <w:pPr>
              <w:pStyle w:val="Tabletext"/>
              <w:jc w:val="center"/>
              <w:rPr>
                <w:szCs w:val="18"/>
              </w:rPr>
            </w:pPr>
            <w:r w:rsidRPr="00B05ECE">
              <w:rPr>
                <w:szCs w:val="18"/>
              </w:rPr>
              <w:t>Published $5,152.12</w:t>
            </w:r>
          </w:p>
          <w:p w:rsidR="00E865C4" w:rsidRPr="00B05ECE" w:rsidRDefault="00E865C4" w:rsidP="00C46736">
            <w:pPr>
              <w:keepNext/>
              <w:jc w:val="center"/>
              <w:rPr>
                <w:rFonts w:ascii="Arial Narrow" w:hAnsi="Arial Narrow"/>
                <w:sz w:val="20"/>
                <w:szCs w:val="18"/>
              </w:rPr>
            </w:pPr>
            <w:r w:rsidRPr="00B05ECE">
              <w:rPr>
                <w:rFonts w:ascii="Arial Narrow" w:hAnsi="Arial Narrow"/>
                <w:sz w:val="20"/>
                <w:szCs w:val="18"/>
              </w:rPr>
              <w:t>Effective $</w:t>
            </w:r>
            <w:r w:rsidR="004A4EFC">
              <w:rPr>
                <w:rFonts w:ascii="Arial Narrow" w:hAnsi="Arial Narrow"/>
                <w:noProof/>
                <w:color w:val="000000"/>
                <w:sz w:val="20"/>
                <w:szCs w:val="18"/>
                <w:highlight w:val="black"/>
              </w:rPr>
              <w:t>''''''''''''''''''''''</w:t>
            </w:r>
          </w:p>
        </w:tc>
        <w:tc>
          <w:tcPr>
            <w:tcW w:w="407" w:type="pct"/>
            <w:vMerge/>
            <w:vAlign w:val="center"/>
          </w:tcPr>
          <w:p w:rsidR="00E865C4" w:rsidRPr="009D03FE" w:rsidRDefault="00E865C4" w:rsidP="00C46736">
            <w:pPr>
              <w:keepNext/>
              <w:jc w:val="center"/>
              <w:rPr>
                <w:rFonts w:ascii="Arial Narrow" w:hAnsi="Arial Narrow"/>
                <w:sz w:val="20"/>
                <w:szCs w:val="18"/>
              </w:rPr>
            </w:pPr>
          </w:p>
        </w:tc>
        <w:tc>
          <w:tcPr>
            <w:tcW w:w="665" w:type="pct"/>
            <w:vMerge/>
            <w:vAlign w:val="center"/>
          </w:tcPr>
          <w:p w:rsidR="00E865C4" w:rsidRPr="009D03FE" w:rsidRDefault="00E865C4" w:rsidP="00C46736">
            <w:pPr>
              <w:keepNext/>
              <w:jc w:val="center"/>
              <w:rPr>
                <w:rFonts w:ascii="Arial Narrow" w:hAnsi="Arial Narrow"/>
                <w:sz w:val="20"/>
                <w:szCs w:val="18"/>
              </w:rPr>
            </w:pP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rsidR="00B405A6" w:rsidRPr="009D03FE" w:rsidRDefault="00B405A6" w:rsidP="00160C7E">
            <w:pPr>
              <w:pStyle w:val="Tabletext"/>
              <w:rPr>
                <w:b/>
                <w:szCs w:val="18"/>
                <w:lang w:eastAsia="en-AU"/>
              </w:rPr>
            </w:pPr>
            <w:r w:rsidRPr="009D03FE">
              <w:rPr>
                <w:b/>
                <w:szCs w:val="18"/>
                <w:lang w:eastAsia="en-AU"/>
              </w:rPr>
              <w:t xml:space="preserve">Requested Initial Restriction </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hideMark/>
          </w:tcPr>
          <w:p w:rsidR="00B405A6" w:rsidRPr="009D03FE" w:rsidRDefault="00B405A6" w:rsidP="00160C7E">
            <w:pPr>
              <w:pStyle w:val="Tabletext"/>
              <w:rPr>
                <w:szCs w:val="18"/>
                <w:lang w:eastAsia="en-AU"/>
              </w:rPr>
            </w:pPr>
            <w:r w:rsidRPr="009D03FE">
              <w:rPr>
                <w:szCs w:val="18"/>
                <w:lang w:eastAsia="en-AU"/>
              </w:rPr>
              <w:t>Category/Program:</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pStyle w:val="Tabletext"/>
              <w:rPr>
                <w:szCs w:val="18"/>
                <w:lang w:eastAsia="en-AU"/>
              </w:rPr>
            </w:pPr>
            <w:r w:rsidRPr="009D03FE">
              <w:rPr>
                <w:szCs w:val="18"/>
                <w:lang w:eastAsia="en-AU"/>
              </w:rPr>
              <w:t>General schedule</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snapToGrid w:val="0"/>
              <w:rPr>
                <w:rFonts w:ascii="Arial Narrow" w:hAnsi="Arial Narrow"/>
                <w:sz w:val="20"/>
                <w:szCs w:val="20"/>
              </w:rPr>
            </w:pPr>
            <w:r w:rsidRPr="00B405A6">
              <w:rPr>
                <w:rFonts w:ascii="Arial Narrow" w:hAnsi="Arial Narrow"/>
                <w:sz w:val="20"/>
                <w:szCs w:val="20"/>
                <w:lang w:eastAsia="en-AU"/>
              </w:rPr>
              <w:t>Prescriber type:</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4C240E" w:rsidRDefault="00B405A6" w:rsidP="00160C7E">
            <w:pPr>
              <w:snapToGrid w:val="0"/>
              <w:rPr>
                <w:rFonts w:ascii="Arial Narrow" w:hAnsi="Arial Narrow"/>
                <w:sz w:val="20"/>
                <w:szCs w:val="20"/>
              </w:rPr>
            </w:pPr>
            <w:r w:rsidRPr="004C240E">
              <w:rPr>
                <w:rFonts w:ascii="Arial Narrow" w:hAnsi="Arial Narrow"/>
                <w:sz w:val="20"/>
                <w:szCs w:val="20"/>
              </w:rPr>
              <w:fldChar w:fldCharType="begin">
                <w:ffData>
                  <w:name w:val="Check1"/>
                  <w:enabled/>
                  <w:calcOnExit w:val="0"/>
                  <w:checkBox>
                    <w:sizeAuto/>
                    <w:default w:val="0"/>
                  </w:checkBox>
                </w:ffData>
              </w:fldChar>
            </w:r>
            <w:r w:rsidRPr="004C240E">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4C240E">
              <w:rPr>
                <w:rFonts w:ascii="Arial Narrow" w:hAnsi="Arial Narrow"/>
                <w:sz w:val="20"/>
                <w:szCs w:val="20"/>
              </w:rPr>
              <w:fldChar w:fldCharType="end"/>
            </w:r>
            <w:r w:rsidRPr="004C240E">
              <w:rPr>
                <w:rFonts w:ascii="Arial Narrow" w:hAnsi="Arial Narrow"/>
                <w:sz w:val="20"/>
                <w:szCs w:val="20"/>
              </w:rPr>
              <w:t xml:space="preserve">Dental </w:t>
            </w:r>
            <w:r w:rsidRPr="004C240E">
              <w:rPr>
                <w:rFonts w:ascii="Arial Narrow" w:hAnsi="Arial Narrow"/>
                <w:sz w:val="20"/>
                <w:szCs w:val="20"/>
              </w:rPr>
              <w:fldChar w:fldCharType="begin">
                <w:ffData>
                  <w:name w:val=""/>
                  <w:enabled/>
                  <w:calcOnExit w:val="0"/>
                  <w:checkBox>
                    <w:sizeAuto/>
                    <w:default w:val="1"/>
                  </w:checkBox>
                </w:ffData>
              </w:fldChar>
            </w:r>
            <w:r w:rsidRPr="004C240E">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4C240E">
              <w:rPr>
                <w:rFonts w:ascii="Arial Narrow" w:hAnsi="Arial Narrow"/>
                <w:sz w:val="20"/>
                <w:szCs w:val="20"/>
              </w:rPr>
              <w:fldChar w:fldCharType="end"/>
            </w:r>
            <w:r w:rsidRPr="004C240E">
              <w:rPr>
                <w:rFonts w:ascii="Arial Narrow" w:hAnsi="Arial Narrow"/>
                <w:sz w:val="20"/>
                <w:szCs w:val="20"/>
              </w:rPr>
              <w:t xml:space="preserve">Medical Practitioners </w:t>
            </w:r>
            <w:r w:rsidRPr="004C240E">
              <w:rPr>
                <w:rFonts w:ascii="Arial Narrow" w:hAnsi="Arial Narrow"/>
                <w:sz w:val="20"/>
                <w:szCs w:val="20"/>
              </w:rPr>
              <w:fldChar w:fldCharType="begin">
                <w:ffData>
                  <w:name w:val="Check3"/>
                  <w:enabled/>
                  <w:calcOnExit w:val="0"/>
                  <w:checkBox>
                    <w:sizeAuto/>
                    <w:default w:val="0"/>
                  </w:checkBox>
                </w:ffData>
              </w:fldChar>
            </w:r>
            <w:r w:rsidRPr="004C240E">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4C240E">
              <w:rPr>
                <w:rFonts w:ascii="Arial Narrow" w:hAnsi="Arial Narrow"/>
                <w:sz w:val="20"/>
                <w:szCs w:val="20"/>
              </w:rPr>
              <w:fldChar w:fldCharType="end"/>
            </w:r>
            <w:r w:rsidRPr="004C240E">
              <w:rPr>
                <w:rFonts w:ascii="Arial Narrow" w:hAnsi="Arial Narrow"/>
                <w:sz w:val="20"/>
                <w:szCs w:val="20"/>
              </w:rPr>
              <w:t xml:space="preserve">Nurse practitioners </w:t>
            </w:r>
            <w:r w:rsidRPr="004C240E">
              <w:rPr>
                <w:rFonts w:ascii="Arial Narrow" w:hAnsi="Arial Narrow"/>
                <w:sz w:val="20"/>
                <w:szCs w:val="20"/>
              </w:rPr>
              <w:fldChar w:fldCharType="begin">
                <w:ffData>
                  <w:name w:val=""/>
                  <w:enabled/>
                  <w:calcOnExit w:val="0"/>
                  <w:checkBox>
                    <w:sizeAuto/>
                    <w:default w:val="0"/>
                  </w:checkBox>
                </w:ffData>
              </w:fldChar>
            </w:r>
            <w:r w:rsidRPr="004C240E">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4C240E">
              <w:rPr>
                <w:rFonts w:ascii="Arial Narrow" w:hAnsi="Arial Narrow"/>
                <w:sz w:val="20"/>
                <w:szCs w:val="20"/>
              </w:rPr>
              <w:fldChar w:fldCharType="end"/>
            </w:r>
            <w:r w:rsidRPr="004C240E">
              <w:rPr>
                <w:rFonts w:ascii="Arial Narrow" w:hAnsi="Arial Narrow"/>
                <w:sz w:val="20"/>
                <w:szCs w:val="20"/>
              </w:rPr>
              <w:t>Optometrists</w:t>
            </w:r>
          </w:p>
          <w:p w:rsidR="00B405A6" w:rsidRPr="009D03FE" w:rsidRDefault="00B405A6" w:rsidP="00160C7E">
            <w:pPr>
              <w:pStyle w:val="Tabletext"/>
              <w:rPr>
                <w:szCs w:val="18"/>
                <w:lang w:eastAsia="en-AU"/>
              </w:rPr>
            </w:pPr>
            <w:r w:rsidRPr="004C240E">
              <w:rPr>
                <w:rFonts w:cs="Arial"/>
                <w:szCs w:val="20"/>
              </w:rPr>
              <w:fldChar w:fldCharType="begin">
                <w:ffData>
                  <w:name w:val="Check5"/>
                  <w:enabled/>
                  <w:calcOnExit w:val="0"/>
                  <w:checkBox>
                    <w:sizeAuto/>
                    <w:default w:val="0"/>
                  </w:checkBox>
                </w:ffData>
              </w:fldChar>
            </w:r>
            <w:r w:rsidRPr="004C240E">
              <w:rPr>
                <w:rFonts w:cs="Arial"/>
                <w:szCs w:val="20"/>
              </w:rPr>
              <w:instrText xml:space="preserve"> FORMCHECKBOX </w:instrText>
            </w:r>
            <w:r w:rsidR="0017242B">
              <w:rPr>
                <w:rFonts w:cs="Arial"/>
                <w:szCs w:val="20"/>
              </w:rPr>
            </w:r>
            <w:r w:rsidR="0017242B">
              <w:rPr>
                <w:rFonts w:cs="Arial"/>
                <w:szCs w:val="20"/>
              </w:rPr>
              <w:fldChar w:fldCharType="separate"/>
            </w:r>
            <w:r w:rsidRPr="004C240E">
              <w:rPr>
                <w:rFonts w:cs="Arial"/>
                <w:szCs w:val="20"/>
              </w:rPr>
              <w:fldChar w:fldCharType="end"/>
            </w:r>
            <w:r w:rsidRPr="004C240E">
              <w:rPr>
                <w:rFonts w:cs="Arial"/>
                <w:szCs w:val="20"/>
              </w:rPr>
              <w:t>Midwives</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hideMark/>
          </w:tcPr>
          <w:p w:rsidR="00B405A6" w:rsidRPr="009D03FE" w:rsidRDefault="00B405A6" w:rsidP="00160C7E">
            <w:pPr>
              <w:pStyle w:val="Tabletext"/>
              <w:rPr>
                <w:szCs w:val="18"/>
                <w:lang w:eastAsia="en-AU"/>
              </w:rPr>
            </w:pPr>
            <w:r w:rsidRPr="009D03FE">
              <w:rPr>
                <w:szCs w:val="18"/>
                <w:lang w:eastAsia="en-AU"/>
              </w:rPr>
              <w:lastRenderedPageBreak/>
              <w:t xml:space="preserve">PBS </w:t>
            </w:r>
            <w:r>
              <w:rPr>
                <w:szCs w:val="18"/>
                <w:lang w:eastAsia="en-AU"/>
              </w:rPr>
              <w:t>I</w:t>
            </w:r>
            <w:r w:rsidRPr="009D03FE">
              <w:rPr>
                <w:szCs w:val="18"/>
                <w:lang w:eastAsia="en-AU"/>
              </w:rPr>
              <w:t>ndication:</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pStyle w:val="Tabletext"/>
              <w:rPr>
                <w:szCs w:val="18"/>
                <w:lang w:eastAsia="en-AU"/>
              </w:rPr>
            </w:pPr>
            <w:proofErr w:type="spellStart"/>
            <w:r w:rsidRPr="009D03FE">
              <w:rPr>
                <w:szCs w:val="18"/>
                <w:lang w:eastAsia="en-AU"/>
              </w:rPr>
              <w:t>Polycythemia</w:t>
            </w:r>
            <w:proofErr w:type="spellEnd"/>
            <w:r w:rsidRPr="009D03FE">
              <w:rPr>
                <w:szCs w:val="18"/>
                <w:lang w:eastAsia="en-AU"/>
              </w:rPr>
              <w:t xml:space="preserve"> Vera </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9D03FE" w:rsidDel="004C240E" w:rsidRDefault="00B405A6" w:rsidP="00160C7E">
            <w:pPr>
              <w:pStyle w:val="Tabletext"/>
              <w:rPr>
                <w:szCs w:val="18"/>
                <w:lang w:eastAsia="en-AU"/>
              </w:rPr>
            </w:pPr>
            <w:r w:rsidRPr="009D03FE">
              <w:rPr>
                <w:szCs w:val="18"/>
                <w:lang w:eastAsia="en-AU"/>
              </w:rPr>
              <w:t>Treatment phase</w:t>
            </w:r>
            <w:r>
              <w:rPr>
                <w:szCs w:val="18"/>
                <w:lang w:eastAsia="en-AU"/>
              </w:rPr>
              <w:t>:</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pStyle w:val="Tabletext"/>
              <w:rPr>
                <w:szCs w:val="18"/>
                <w:lang w:eastAsia="en-AU"/>
              </w:rPr>
            </w:pPr>
            <w:r>
              <w:rPr>
                <w:szCs w:val="18"/>
                <w:lang w:eastAsia="en-AU"/>
              </w:rPr>
              <w:t>Initial</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hideMark/>
          </w:tcPr>
          <w:p w:rsidR="00B405A6" w:rsidRPr="009D03FE" w:rsidRDefault="00B405A6" w:rsidP="00160C7E">
            <w:pPr>
              <w:pStyle w:val="Tabletext"/>
              <w:rPr>
                <w:szCs w:val="18"/>
                <w:lang w:eastAsia="en-AU"/>
              </w:rPr>
            </w:pPr>
            <w:r w:rsidRPr="009D03FE">
              <w:rPr>
                <w:szCs w:val="18"/>
                <w:lang w:eastAsia="en-AU"/>
              </w:rPr>
              <w:t>Restriction</w:t>
            </w:r>
            <w:r>
              <w:rPr>
                <w:szCs w:val="18"/>
                <w:lang w:eastAsia="en-AU"/>
              </w:rPr>
              <w:t xml:space="preserve"> Level / Method</w:t>
            </w:r>
            <w:r w:rsidRPr="009D03FE">
              <w:rPr>
                <w:szCs w:val="18"/>
                <w:lang w:eastAsia="en-AU"/>
              </w:rPr>
              <w:t>:</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pStyle w:val="Tabletext"/>
              <w:rPr>
                <w:szCs w:val="18"/>
                <w:lang w:eastAsia="en-AU"/>
              </w:rPr>
            </w:pPr>
            <w:r w:rsidRPr="009D03FE">
              <w:rPr>
                <w:szCs w:val="18"/>
                <w:lang w:eastAsia="en-AU"/>
              </w:rPr>
              <w:t xml:space="preserve">Authority Required – </w:t>
            </w:r>
            <w:r>
              <w:rPr>
                <w:szCs w:val="18"/>
                <w:lang w:eastAsia="en-AU"/>
              </w:rPr>
              <w:t>I</w:t>
            </w:r>
            <w:r w:rsidRPr="009D03FE">
              <w:rPr>
                <w:szCs w:val="18"/>
                <w:lang w:eastAsia="en-AU"/>
              </w:rPr>
              <w:t>n writing</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hideMark/>
          </w:tcPr>
          <w:p w:rsidR="00B405A6" w:rsidRPr="00B405A6" w:rsidRDefault="00B405A6" w:rsidP="00160C7E">
            <w:pPr>
              <w:snapToGrid w:val="0"/>
              <w:jc w:val="left"/>
              <w:rPr>
                <w:rFonts w:ascii="Arial Narrow" w:hAnsi="Arial Narrow"/>
                <w:sz w:val="20"/>
                <w:szCs w:val="20"/>
              </w:rPr>
            </w:pPr>
            <w:r w:rsidRPr="00B405A6">
              <w:rPr>
                <w:rFonts w:ascii="Arial Narrow" w:hAnsi="Arial Narrow"/>
                <w:sz w:val="20"/>
                <w:szCs w:val="20"/>
                <w:lang w:eastAsia="en-AU"/>
              </w:rPr>
              <w:t>Clinical criteria:</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snapToGrid w:val="0"/>
              <w:jc w:val="left"/>
              <w:rPr>
                <w:rFonts w:ascii="Arial Narrow" w:hAnsi="Arial Narrow"/>
                <w:sz w:val="20"/>
                <w:szCs w:val="18"/>
              </w:rPr>
            </w:pPr>
            <w:r w:rsidRPr="009D03FE">
              <w:rPr>
                <w:rFonts w:ascii="Arial Narrow" w:hAnsi="Arial Narrow"/>
                <w:sz w:val="20"/>
                <w:szCs w:val="18"/>
              </w:rPr>
              <w:t xml:space="preserve">The condition must be </w:t>
            </w:r>
            <w:proofErr w:type="spellStart"/>
            <w:r w:rsidRPr="009D03FE">
              <w:rPr>
                <w:rFonts w:ascii="Arial Narrow" w:hAnsi="Arial Narrow"/>
                <w:sz w:val="20"/>
                <w:szCs w:val="18"/>
              </w:rPr>
              <w:t>polycythemia</w:t>
            </w:r>
            <w:proofErr w:type="spellEnd"/>
            <w:r w:rsidRPr="009D03FE">
              <w:rPr>
                <w:rFonts w:ascii="Arial Narrow" w:hAnsi="Arial Narrow"/>
                <w:sz w:val="20"/>
                <w:szCs w:val="18"/>
              </w:rPr>
              <w:t xml:space="preserve"> </w:t>
            </w:r>
            <w:proofErr w:type="spellStart"/>
            <w:r w:rsidRPr="009D03FE">
              <w:rPr>
                <w:rFonts w:ascii="Arial Narrow" w:hAnsi="Arial Narrow"/>
                <w:sz w:val="20"/>
                <w:szCs w:val="18"/>
              </w:rPr>
              <w:t>vera</w:t>
            </w:r>
            <w:proofErr w:type="spellEnd"/>
            <w:r w:rsidR="008D1DD2">
              <w:rPr>
                <w:rFonts w:ascii="Arial Narrow" w:hAnsi="Arial Narrow"/>
                <w:sz w:val="20"/>
                <w:szCs w:val="18"/>
              </w:rPr>
              <w:t>,</w:t>
            </w:r>
          </w:p>
          <w:p w:rsidR="00B405A6" w:rsidRPr="009D03FE" w:rsidRDefault="00B405A6" w:rsidP="00160C7E">
            <w:pPr>
              <w:snapToGrid w:val="0"/>
              <w:jc w:val="left"/>
              <w:rPr>
                <w:rFonts w:ascii="Arial Narrow" w:hAnsi="Arial Narrow"/>
                <w:sz w:val="20"/>
                <w:szCs w:val="18"/>
              </w:rPr>
            </w:pPr>
            <w:r w:rsidRPr="009D03FE">
              <w:rPr>
                <w:rFonts w:ascii="Arial Narrow" w:hAnsi="Arial Narrow"/>
                <w:sz w:val="20"/>
                <w:szCs w:val="18"/>
              </w:rPr>
              <w:t>AND</w:t>
            </w:r>
          </w:p>
          <w:p w:rsidR="00B405A6" w:rsidRPr="009D03FE" w:rsidRDefault="00B405A6" w:rsidP="00160C7E">
            <w:pPr>
              <w:pStyle w:val="Tabletext"/>
              <w:rPr>
                <w:szCs w:val="18"/>
                <w:lang w:eastAsia="en-AU"/>
              </w:rPr>
            </w:pPr>
            <w:r w:rsidRPr="009D03FE">
              <w:rPr>
                <w:szCs w:val="18"/>
              </w:rPr>
              <w:t xml:space="preserve">Patient must be resistant to or intolerant of </w:t>
            </w:r>
            <w:proofErr w:type="spellStart"/>
            <w:r w:rsidRPr="009D03FE">
              <w:rPr>
                <w:szCs w:val="18"/>
              </w:rPr>
              <w:t>hydroxycarbamide</w:t>
            </w:r>
            <w:proofErr w:type="spellEnd"/>
            <w:r w:rsidRPr="009D03FE">
              <w:rPr>
                <w:szCs w:val="18"/>
              </w:rPr>
              <w:t xml:space="preserve"> /</w:t>
            </w:r>
            <w:proofErr w:type="spellStart"/>
            <w:r w:rsidRPr="009D03FE">
              <w:rPr>
                <w:szCs w:val="18"/>
              </w:rPr>
              <w:t>hydroxyurea</w:t>
            </w:r>
            <w:proofErr w:type="spellEnd"/>
            <w:r w:rsidRPr="009D03FE">
              <w:rPr>
                <w:szCs w:val="18"/>
              </w:rPr>
              <w:t xml:space="preserve"> (HC)</w:t>
            </w:r>
            <w:r w:rsidR="008D1DD2">
              <w:rPr>
                <w:szCs w:val="18"/>
              </w:rPr>
              <w:t>.</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snapToGrid w:val="0"/>
              <w:rPr>
                <w:rFonts w:ascii="Arial Narrow" w:hAnsi="Arial Narrow"/>
                <w:sz w:val="20"/>
                <w:szCs w:val="20"/>
              </w:rPr>
            </w:pPr>
            <w:r w:rsidRPr="00B405A6">
              <w:rPr>
                <w:rFonts w:ascii="Arial Narrow" w:hAnsi="Arial Narrow"/>
                <w:sz w:val="20"/>
                <w:szCs w:val="20"/>
                <w:lang w:eastAsia="en-AU"/>
              </w:rPr>
              <w:t>Prescriber Instructions:</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4C240E" w:rsidRDefault="00B405A6" w:rsidP="00160C7E">
            <w:pPr>
              <w:snapToGrid w:val="0"/>
              <w:rPr>
                <w:rFonts w:ascii="Arial Narrow" w:hAnsi="Arial Narrow"/>
                <w:sz w:val="20"/>
                <w:szCs w:val="20"/>
              </w:rPr>
            </w:pPr>
            <w:r w:rsidRPr="004C240E">
              <w:rPr>
                <w:rFonts w:ascii="Arial Narrow" w:hAnsi="Arial Narrow"/>
                <w:sz w:val="20"/>
                <w:szCs w:val="20"/>
              </w:rPr>
              <w:t>The authority form must be made in writing and include:</w:t>
            </w:r>
          </w:p>
          <w:p w:rsidR="00B405A6" w:rsidRPr="004C240E" w:rsidRDefault="00B405A6" w:rsidP="00160C7E">
            <w:pPr>
              <w:snapToGrid w:val="0"/>
              <w:rPr>
                <w:rFonts w:ascii="Arial Narrow" w:hAnsi="Arial Narrow"/>
                <w:sz w:val="20"/>
                <w:szCs w:val="20"/>
              </w:rPr>
            </w:pPr>
            <w:r w:rsidRPr="004C240E">
              <w:rPr>
                <w:rFonts w:ascii="Arial Narrow" w:hAnsi="Arial Narrow"/>
                <w:sz w:val="20"/>
                <w:szCs w:val="20"/>
              </w:rPr>
              <w:t xml:space="preserve">(1)  A completed authority prescription form; and </w:t>
            </w:r>
          </w:p>
          <w:p w:rsidR="00B405A6" w:rsidRPr="004C240E" w:rsidRDefault="00B405A6" w:rsidP="00160C7E">
            <w:pPr>
              <w:snapToGrid w:val="0"/>
              <w:rPr>
                <w:rFonts w:ascii="Arial Narrow" w:hAnsi="Arial Narrow"/>
                <w:sz w:val="20"/>
                <w:szCs w:val="20"/>
              </w:rPr>
            </w:pPr>
            <w:r w:rsidRPr="004C240E">
              <w:rPr>
                <w:rFonts w:ascii="Arial Narrow" w:hAnsi="Arial Narrow"/>
                <w:sz w:val="20"/>
                <w:szCs w:val="20"/>
              </w:rPr>
              <w:t xml:space="preserve">(2) A completed </w:t>
            </w:r>
            <w:proofErr w:type="spellStart"/>
            <w:r w:rsidRPr="004C240E">
              <w:rPr>
                <w:rFonts w:ascii="Arial Narrow" w:hAnsi="Arial Narrow"/>
                <w:sz w:val="20"/>
                <w:szCs w:val="20"/>
              </w:rPr>
              <w:t>Polycythemia</w:t>
            </w:r>
            <w:proofErr w:type="spellEnd"/>
            <w:r w:rsidRPr="004C240E">
              <w:rPr>
                <w:rFonts w:ascii="Arial Narrow" w:hAnsi="Arial Narrow"/>
                <w:sz w:val="20"/>
                <w:szCs w:val="20"/>
              </w:rPr>
              <w:t xml:space="preserve"> Vera Authority Application, which includes all of the following:</w:t>
            </w:r>
          </w:p>
          <w:p w:rsidR="00B405A6" w:rsidRPr="004C240E" w:rsidRDefault="00B405A6" w:rsidP="00160C7E">
            <w:pPr>
              <w:snapToGrid w:val="0"/>
              <w:rPr>
                <w:rFonts w:ascii="Arial Narrow" w:hAnsi="Arial Narrow"/>
                <w:sz w:val="20"/>
                <w:szCs w:val="20"/>
              </w:rPr>
            </w:pPr>
            <w:r w:rsidRPr="004C240E">
              <w:rPr>
                <w:rFonts w:ascii="Arial Narrow" w:hAnsi="Arial Narrow"/>
                <w:sz w:val="20"/>
                <w:szCs w:val="20"/>
              </w:rPr>
              <w:t>(A) A copy of pathology report from an approved pathology authority confirming evidence of a JAK2 mutation</w:t>
            </w:r>
          </w:p>
          <w:p w:rsidR="00B405A6" w:rsidRPr="004C240E" w:rsidRDefault="00B405A6" w:rsidP="00160C7E">
            <w:pPr>
              <w:snapToGrid w:val="0"/>
              <w:jc w:val="left"/>
              <w:rPr>
                <w:rFonts w:ascii="Arial Narrow" w:hAnsi="Arial Narrow"/>
                <w:sz w:val="20"/>
                <w:szCs w:val="18"/>
              </w:rPr>
            </w:pPr>
            <w:r w:rsidRPr="004C240E">
              <w:rPr>
                <w:rFonts w:ascii="Arial Narrow" w:hAnsi="Arial Narrow"/>
                <w:sz w:val="20"/>
                <w:szCs w:val="20"/>
              </w:rPr>
              <w:t>(B) Supporting pathology reports (if applicable)</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9D03FE" w:rsidRDefault="00B405A6" w:rsidP="00160C7E">
            <w:pPr>
              <w:pStyle w:val="Tabletext"/>
              <w:rPr>
                <w:szCs w:val="18"/>
              </w:rPr>
            </w:pPr>
            <w:r w:rsidRPr="009D03FE">
              <w:rPr>
                <w:szCs w:val="18"/>
                <w:lang w:eastAsia="en-AU"/>
              </w:rPr>
              <w:t xml:space="preserve">Administrative </w:t>
            </w:r>
            <w:r>
              <w:rPr>
                <w:szCs w:val="18"/>
                <w:lang w:eastAsia="en-AU"/>
              </w:rPr>
              <w:t>A</w:t>
            </w:r>
            <w:r w:rsidRPr="009D03FE">
              <w:rPr>
                <w:szCs w:val="18"/>
                <w:lang w:eastAsia="en-AU"/>
              </w:rPr>
              <w:t>dvice</w:t>
            </w:r>
            <w:r>
              <w:rPr>
                <w:szCs w:val="18"/>
                <w:lang w:eastAsia="en-AU"/>
              </w:rPr>
              <w:t>:</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pStyle w:val="Tabletext"/>
              <w:rPr>
                <w:color w:val="000000"/>
                <w:szCs w:val="18"/>
                <w:lang w:eastAsia="en-AU"/>
              </w:rPr>
            </w:pPr>
            <w:r w:rsidRPr="009D03FE">
              <w:rPr>
                <w:szCs w:val="18"/>
              </w:rPr>
              <w:t>Initial treatment authorisations will be limited to a maximum of 6 months of therapy</w:t>
            </w:r>
            <w:r w:rsidR="008D1DD2">
              <w:rPr>
                <w:szCs w:val="18"/>
              </w:rPr>
              <w:t>.</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hideMark/>
          </w:tcPr>
          <w:p w:rsidR="00B405A6" w:rsidRPr="00B405A6" w:rsidRDefault="00B405A6" w:rsidP="00160C7E">
            <w:pPr>
              <w:autoSpaceDE w:val="0"/>
              <w:autoSpaceDN w:val="0"/>
              <w:adjustRightInd w:val="0"/>
              <w:spacing w:line="276" w:lineRule="auto"/>
              <w:jc w:val="left"/>
              <w:rPr>
                <w:rFonts w:ascii="Arial Narrow" w:hAnsi="Arial Narrow" w:cs="Calibri"/>
                <w:color w:val="000000"/>
                <w:sz w:val="20"/>
                <w:szCs w:val="18"/>
              </w:rPr>
            </w:pPr>
            <w:r w:rsidRPr="00B405A6">
              <w:rPr>
                <w:rFonts w:ascii="Arial Narrow" w:hAnsi="Arial Narrow" w:cs="Calibri"/>
                <w:sz w:val="20"/>
                <w:szCs w:val="18"/>
                <w:lang w:eastAsia="en-AU"/>
              </w:rPr>
              <w:t>Note:</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autoSpaceDE w:val="0"/>
              <w:autoSpaceDN w:val="0"/>
              <w:adjustRightInd w:val="0"/>
              <w:spacing w:line="276" w:lineRule="auto"/>
              <w:jc w:val="left"/>
              <w:rPr>
                <w:rFonts w:ascii="Arial Narrow" w:hAnsi="Arial Narrow"/>
                <w:color w:val="000000"/>
                <w:sz w:val="20"/>
                <w:szCs w:val="18"/>
              </w:rPr>
            </w:pPr>
            <w:r w:rsidRPr="009D03FE">
              <w:rPr>
                <w:rFonts w:ascii="Arial Narrow" w:hAnsi="Arial Narrow"/>
                <w:color w:val="000000"/>
                <w:sz w:val="20"/>
                <w:szCs w:val="18"/>
              </w:rPr>
              <w:t>Resistance to or intolerance of HC is defined as one of the following:</w:t>
            </w:r>
          </w:p>
          <w:p w:rsidR="00B405A6" w:rsidRPr="009D03FE" w:rsidRDefault="00B405A6" w:rsidP="00160C7E">
            <w:pPr>
              <w:snapToGrid w:val="0"/>
              <w:jc w:val="left"/>
              <w:rPr>
                <w:rFonts w:ascii="Arial Narrow" w:hAnsi="Arial Narrow"/>
                <w:sz w:val="20"/>
                <w:szCs w:val="18"/>
              </w:rPr>
            </w:pPr>
            <w:r w:rsidRPr="009D03FE">
              <w:rPr>
                <w:rFonts w:ascii="Arial Narrow" w:hAnsi="Arial Narrow"/>
                <w:b/>
                <w:sz w:val="20"/>
                <w:szCs w:val="18"/>
              </w:rPr>
              <w:t>HC Resistance:</w:t>
            </w:r>
            <w:r>
              <w:rPr>
                <w:rFonts w:ascii="Arial Narrow" w:hAnsi="Arial Narrow"/>
                <w:sz w:val="20"/>
                <w:szCs w:val="18"/>
              </w:rPr>
              <w:t xml:space="preserve"> </w:t>
            </w:r>
            <w:r w:rsidRPr="009D03FE">
              <w:rPr>
                <w:rFonts w:ascii="Arial Narrow" w:hAnsi="Arial Narrow"/>
                <w:sz w:val="20"/>
                <w:szCs w:val="18"/>
              </w:rPr>
              <w:t>after 12 weeks into a course of HC therapy at a dose of at least 2 grams/day or at the patient’s maximally tolerated dose if that dose is less than 2 grams/day:</w:t>
            </w:r>
          </w:p>
          <w:p w:rsidR="00B405A6" w:rsidRPr="009D03FE" w:rsidRDefault="00B405A6" w:rsidP="00276007">
            <w:pPr>
              <w:numPr>
                <w:ilvl w:val="0"/>
                <w:numId w:val="4"/>
              </w:numPr>
              <w:snapToGrid w:val="0"/>
              <w:contextualSpacing/>
              <w:jc w:val="left"/>
              <w:rPr>
                <w:rFonts w:ascii="Arial Narrow" w:hAnsi="Arial Narrow"/>
                <w:sz w:val="20"/>
                <w:szCs w:val="18"/>
              </w:rPr>
            </w:pPr>
            <w:r w:rsidRPr="009D03FE">
              <w:rPr>
                <w:rFonts w:ascii="Arial Narrow" w:hAnsi="Arial Narrow"/>
                <w:sz w:val="20"/>
                <w:szCs w:val="18"/>
              </w:rPr>
              <w:t>Need for phlebotomy to keep haematocrit (HCT)</w:t>
            </w:r>
            <w:r>
              <w:rPr>
                <w:rFonts w:ascii="Arial Narrow" w:hAnsi="Arial Narrow"/>
                <w:sz w:val="20"/>
                <w:szCs w:val="18"/>
              </w:rPr>
              <w:t xml:space="preserve"> &lt;</w:t>
            </w:r>
            <w:r w:rsidR="008D1DD2">
              <w:rPr>
                <w:rFonts w:ascii="Arial Narrow" w:hAnsi="Arial Narrow"/>
                <w:sz w:val="20"/>
                <w:szCs w:val="18"/>
              </w:rPr>
              <w:t>45%;</w:t>
            </w:r>
            <w:r w:rsidRPr="009D03FE">
              <w:rPr>
                <w:rFonts w:ascii="Arial Narrow" w:hAnsi="Arial Narrow"/>
                <w:sz w:val="20"/>
                <w:szCs w:val="18"/>
              </w:rPr>
              <w:t xml:space="preserve"> OR</w:t>
            </w:r>
          </w:p>
          <w:p w:rsidR="00B405A6" w:rsidRPr="009D03FE" w:rsidRDefault="00B405A6" w:rsidP="00276007">
            <w:pPr>
              <w:numPr>
                <w:ilvl w:val="0"/>
                <w:numId w:val="4"/>
              </w:numPr>
              <w:snapToGrid w:val="0"/>
              <w:contextualSpacing/>
              <w:jc w:val="left"/>
              <w:rPr>
                <w:rFonts w:ascii="Arial Narrow" w:hAnsi="Arial Narrow"/>
                <w:sz w:val="20"/>
                <w:szCs w:val="18"/>
              </w:rPr>
            </w:pPr>
            <w:r w:rsidRPr="009D03FE">
              <w:rPr>
                <w:rFonts w:ascii="Arial Narrow" w:hAnsi="Arial Narrow"/>
                <w:sz w:val="20"/>
                <w:szCs w:val="18"/>
              </w:rPr>
              <w:t>Platelet count &gt;400 x 10</w:t>
            </w:r>
            <w:r w:rsidRPr="009D03FE">
              <w:rPr>
                <w:rFonts w:ascii="Arial Narrow" w:hAnsi="Arial Narrow"/>
                <w:sz w:val="20"/>
                <w:szCs w:val="18"/>
                <w:vertAlign w:val="superscript"/>
              </w:rPr>
              <w:t>9</w:t>
            </w:r>
            <w:r>
              <w:rPr>
                <w:rFonts w:ascii="Arial Narrow" w:hAnsi="Arial Narrow"/>
                <w:sz w:val="20"/>
                <w:szCs w:val="18"/>
              </w:rPr>
              <w:t>/L AND white blood cell count &gt;</w:t>
            </w:r>
            <w:r w:rsidRPr="009D03FE">
              <w:rPr>
                <w:rFonts w:ascii="Arial Narrow" w:hAnsi="Arial Narrow"/>
                <w:sz w:val="20"/>
                <w:szCs w:val="18"/>
              </w:rPr>
              <w:t>10 x 10</w:t>
            </w:r>
            <w:r w:rsidRPr="009D03FE">
              <w:rPr>
                <w:rFonts w:ascii="Arial Narrow" w:hAnsi="Arial Narrow"/>
                <w:sz w:val="20"/>
                <w:szCs w:val="18"/>
                <w:vertAlign w:val="superscript"/>
              </w:rPr>
              <w:t>9</w:t>
            </w:r>
            <w:r w:rsidR="008D1DD2">
              <w:rPr>
                <w:rFonts w:ascii="Arial Narrow" w:hAnsi="Arial Narrow"/>
                <w:sz w:val="20"/>
                <w:szCs w:val="18"/>
              </w:rPr>
              <w:t>/L;</w:t>
            </w:r>
            <w:r w:rsidRPr="009D03FE">
              <w:rPr>
                <w:rFonts w:ascii="Arial Narrow" w:hAnsi="Arial Narrow"/>
                <w:sz w:val="20"/>
                <w:szCs w:val="18"/>
              </w:rPr>
              <w:t xml:space="preserve"> </w:t>
            </w:r>
          </w:p>
          <w:p w:rsidR="00B405A6" w:rsidRPr="009D03FE" w:rsidRDefault="00B405A6" w:rsidP="00160C7E">
            <w:pPr>
              <w:snapToGrid w:val="0"/>
              <w:jc w:val="left"/>
              <w:rPr>
                <w:rFonts w:ascii="Arial Narrow" w:hAnsi="Arial Narrow"/>
                <w:sz w:val="20"/>
                <w:szCs w:val="18"/>
              </w:rPr>
            </w:pPr>
            <w:r w:rsidRPr="009D03FE">
              <w:rPr>
                <w:rFonts w:ascii="Arial Narrow" w:hAnsi="Arial Narrow"/>
                <w:sz w:val="20"/>
                <w:szCs w:val="18"/>
              </w:rPr>
              <w:t>OR</w:t>
            </w:r>
          </w:p>
          <w:p w:rsidR="00B405A6" w:rsidRPr="009D03FE" w:rsidRDefault="00B405A6" w:rsidP="00160C7E">
            <w:pPr>
              <w:snapToGrid w:val="0"/>
              <w:jc w:val="left"/>
              <w:rPr>
                <w:rFonts w:ascii="Arial Narrow" w:hAnsi="Arial Narrow"/>
                <w:b/>
                <w:sz w:val="20"/>
                <w:szCs w:val="18"/>
              </w:rPr>
            </w:pPr>
            <w:r w:rsidRPr="009D03FE">
              <w:rPr>
                <w:rFonts w:ascii="Arial Narrow" w:hAnsi="Arial Narrow"/>
                <w:b/>
                <w:sz w:val="20"/>
                <w:szCs w:val="18"/>
              </w:rPr>
              <w:t>HC Intolerance:</w:t>
            </w:r>
          </w:p>
          <w:p w:rsidR="00B405A6" w:rsidRPr="009D03FE" w:rsidRDefault="00B405A6" w:rsidP="00276007">
            <w:pPr>
              <w:numPr>
                <w:ilvl w:val="0"/>
                <w:numId w:val="5"/>
              </w:numPr>
              <w:autoSpaceDE w:val="0"/>
              <w:autoSpaceDN w:val="0"/>
              <w:adjustRightInd w:val="0"/>
              <w:spacing w:line="276" w:lineRule="auto"/>
              <w:jc w:val="left"/>
              <w:rPr>
                <w:rFonts w:ascii="Arial Narrow" w:hAnsi="Arial Narrow"/>
                <w:color w:val="000000"/>
                <w:sz w:val="20"/>
                <w:szCs w:val="18"/>
              </w:rPr>
            </w:pPr>
            <w:r>
              <w:rPr>
                <w:rFonts w:ascii="Arial Narrow" w:hAnsi="Arial Narrow"/>
                <w:color w:val="000000"/>
                <w:sz w:val="20"/>
                <w:szCs w:val="18"/>
              </w:rPr>
              <w:t>Absolute neutrophil count &lt;</w:t>
            </w:r>
            <w:r w:rsidRPr="009D03FE">
              <w:rPr>
                <w:rFonts w:ascii="Arial Narrow" w:hAnsi="Arial Narrow"/>
                <w:color w:val="000000"/>
                <w:sz w:val="20"/>
                <w:szCs w:val="18"/>
              </w:rPr>
              <w:t>1.0 x 10</w:t>
            </w:r>
            <w:r w:rsidRPr="009D03FE">
              <w:rPr>
                <w:rFonts w:ascii="Arial Narrow" w:hAnsi="Arial Narrow"/>
                <w:color w:val="000000"/>
                <w:sz w:val="20"/>
                <w:szCs w:val="18"/>
                <w:vertAlign w:val="superscript"/>
              </w:rPr>
              <w:t>9</w:t>
            </w:r>
            <w:r>
              <w:rPr>
                <w:rFonts w:ascii="Arial Narrow" w:hAnsi="Arial Narrow"/>
                <w:color w:val="000000"/>
                <w:sz w:val="20"/>
                <w:szCs w:val="18"/>
              </w:rPr>
              <w:t>/L</w:t>
            </w:r>
            <w:r w:rsidR="008D1DD2">
              <w:rPr>
                <w:rFonts w:ascii="Arial Narrow" w:hAnsi="Arial Narrow"/>
                <w:color w:val="000000"/>
                <w:sz w:val="20"/>
                <w:szCs w:val="18"/>
              </w:rPr>
              <w:t>;</w:t>
            </w:r>
            <w:r>
              <w:rPr>
                <w:rFonts w:ascii="Arial Narrow" w:hAnsi="Arial Narrow"/>
                <w:color w:val="000000"/>
                <w:sz w:val="20"/>
                <w:szCs w:val="18"/>
              </w:rPr>
              <w:t xml:space="preserve"> OR platelet count &lt;</w:t>
            </w:r>
            <w:r w:rsidRPr="009D03FE">
              <w:rPr>
                <w:rFonts w:ascii="Arial Narrow" w:hAnsi="Arial Narrow"/>
                <w:color w:val="000000"/>
                <w:sz w:val="20"/>
                <w:szCs w:val="18"/>
              </w:rPr>
              <w:t>100 x 10</w:t>
            </w:r>
            <w:r w:rsidRPr="009D03FE">
              <w:rPr>
                <w:rFonts w:ascii="Arial Narrow" w:hAnsi="Arial Narrow"/>
                <w:color w:val="000000"/>
                <w:sz w:val="20"/>
                <w:szCs w:val="18"/>
                <w:vertAlign w:val="superscript"/>
              </w:rPr>
              <w:t>9</w:t>
            </w:r>
            <w:r w:rsidR="008D1DD2">
              <w:rPr>
                <w:rFonts w:ascii="Arial Narrow" w:hAnsi="Arial Narrow"/>
                <w:color w:val="000000"/>
                <w:sz w:val="20"/>
                <w:szCs w:val="18"/>
              </w:rPr>
              <w:t>/L;</w:t>
            </w:r>
            <w:r>
              <w:rPr>
                <w:rFonts w:ascii="Arial Narrow" w:hAnsi="Arial Narrow"/>
                <w:color w:val="000000"/>
                <w:sz w:val="20"/>
                <w:szCs w:val="18"/>
              </w:rPr>
              <w:t xml:space="preserve"> OR haemoglobin &lt;</w:t>
            </w:r>
            <w:r w:rsidRPr="009D03FE">
              <w:rPr>
                <w:rFonts w:ascii="Arial Narrow" w:hAnsi="Arial Narrow"/>
                <w:color w:val="000000"/>
                <w:sz w:val="20"/>
                <w:szCs w:val="18"/>
              </w:rPr>
              <w:t>100 g/L (i.e. 10 g/</w:t>
            </w:r>
            <w:proofErr w:type="spellStart"/>
            <w:r w:rsidRPr="009D03FE">
              <w:rPr>
                <w:rFonts w:ascii="Arial Narrow" w:hAnsi="Arial Narrow"/>
                <w:color w:val="000000"/>
                <w:sz w:val="20"/>
                <w:szCs w:val="18"/>
              </w:rPr>
              <w:t>dL</w:t>
            </w:r>
            <w:proofErr w:type="spellEnd"/>
            <w:r w:rsidRPr="009D03FE">
              <w:rPr>
                <w:rFonts w:ascii="Arial Narrow" w:hAnsi="Arial Narrow"/>
                <w:color w:val="000000"/>
                <w:sz w:val="20"/>
                <w:szCs w:val="18"/>
              </w:rPr>
              <w:t>) at the lowest dose of HC required to achieve a response as defined below</w:t>
            </w:r>
            <w:r w:rsidR="008D1DD2">
              <w:rPr>
                <w:rFonts w:ascii="Arial Narrow" w:hAnsi="Arial Narrow"/>
                <w:color w:val="000000"/>
                <w:sz w:val="20"/>
                <w:szCs w:val="18"/>
              </w:rPr>
              <w:t>:</w:t>
            </w:r>
            <w:r w:rsidRPr="009D03FE">
              <w:rPr>
                <w:rFonts w:ascii="Arial Narrow" w:hAnsi="Arial Narrow"/>
                <w:color w:val="000000"/>
                <w:sz w:val="20"/>
                <w:szCs w:val="18"/>
              </w:rPr>
              <w:t xml:space="preserve"> </w:t>
            </w:r>
          </w:p>
          <w:p w:rsidR="00B405A6" w:rsidRPr="009D03FE" w:rsidRDefault="00B405A6" w:rsidP="00276007">
            <w:pPr>
              <w:numPr>
                <w:ilvl w:val="0"/>
                <w:numId w:val="6"/>
              </w:numPr>
              <w:snapToGrid w:val="0"/>
              <w:ind w:left="668" w:hanging="283"/>
              <w:contextualSpacing/>
              <w:jc w:val="left"/>
              <w:rPr>
                <w:rFonts w:ascii="Arial Narrow" w:hAnsi="Arial Narrow"/>
                <w:sz w:val="20"/>
                <w:szCs w:val="18"/>
              </w:rPr>
            </w:pPr>
            <w:r>
              <w:rPr>
                <w:rFonts w:ascii="Arial Narrow" w:hAnsi="Arial Narrow"/>
                <w:sz w:val="20"/>
                <w:szCs w:val="18"/>
              </w:rPr>
              <w:t>HCT &lt;</w:t>
            </w:r>
            <w:r w:rsidRPr="009D03FE">
              <w:rPr>
                <w:rFonts w:ascii="Arial Narrow" w:hAnsi="Arial Narrow"/>
                <w:sz w:val="20"/>
                <w:szCs w:val="18"/>
              </w:rPr>
              <w:t>45% without phlebotomy and/or all of the following three items:</w:t>
            </w:r>
          </w:p>
          <w:p w:rsidR="00B405A6" w:rsidRPr="009D03FE" w:rsidRDefault="00B405A6" w:rsidP="00276007">
            <w:pPr>
              <w:numPr>
                <w:ilvl w:val="0"/>
                <w:numId w:val="7"/>
              </w:numPr>
              <w:snapToGrid w:val="0"/>
              <w:ind w:left="952" w:hanging="284"/>
              <w:contextualSpacing/>
              <w:jc w:val="left"/>
              <w:rPr>
                <w:rFonts w:ascii="Arial Narrow" w:hAnsi="Arial Narrow"/>
                <w:sz w:val="20"/>
                <w:szCs w:val="18"/>
              </w:rPr>
            </w:pPr>
            <w:r>
              <w:rPr>
                <w:rFonts w:ascii="Arial Narrow" w:hAnsi="Arial Narrow"/>
                <w:sz w:val="20"/>
                <w:szCs w:val="18"/>
              </w:rPr>
              <w:t>platelet count ≤</w:t>
            </w:r>
            <w:r w:rsidRPr="009D03FE">
              <w:rPr>
                <w:rFonts w:ascii="Arial Narrow" w:hAnsi="Arial Narrow"/>
                <w:sz w:val="20"/>
                <w:szCs w:val="18"/>
              </w:rPr>
              <w:t>400 x 10</w:t>
            </w:r>
            <w:r w:rsidRPr="009D03FE">
              <w:rPr>
                <w:rFonts w:ascii="Arial Narrow" w:hAnsi="Arial Narrow"/>
                <w:sz w:val="20"/>
                <w:szCs w:val="18"/>
                <w:vertAlign w:val="superscript"/>
              </w:rPr>
              <w:t>9</w:t>
            </w:r>
            <w:r w:rsidRPr="009D03FE">
              <w:rPr>
                <w:rFonts w:ascii="Arial Narrow" w:hAnsi="Arial Narrow"/>
                <w:sz w:val="20"/>
                <w:szCs w:val="18"/>
              </w:rPr>
              <w:t>/L,</w:t>
            </w:r>
          </w:p>
          <w:p w:rsidR="00B405A6" w:rsidRPr="009D03FE" w:rsidRDefault="00B405A6" w:rsidP="00276007">
            <w:pPr>
              <w:numPr>
                <w:ilvl w:val="0"/>
                <w:numId w:val="7"/>
              </w:numPr>
              <w:snapToGrid w:val="0"/>
              <w:ind w:left="952" w:hanging="284"/>
              <w:contextualSpacing/>
              <w:jc w:val="left"/>
              <w:rPr>
                <w:rFonts w:ascii="Arial Narrow" w:hAnsi="Arial Narrow"/>
                <w:sz w:val="20"/>
                <w:szCs w:val="18"/>
              </w:rPr>
            </w:pPr>
            <w:r>
              <w:rPr>
                <w:rFonts w:ascii="Arial Narrow" w:hAnsi="Arial Narrow"/>
                <w:sz w:val="20"/>
                <w:szCs w:val="18"/>
              </w:rPr>
              <w:t>white blood cell count &lt;</w:t>
            </w:r>
            <w:r w:rsidRPr="009D03FE">
              <w:rPr>
                <w:rFonts w:ascii="Arial Narrow" w:hAnsi="Arial Narrow"/>
                <w:sz w:val="20"/>
                <w:szCs w:val="18"/>
              </w:rPr>
              <w:t>10 x 10</w:t>
            </w:r>
            <w:r w:rsidRPr="009D03FE">
              <w:rPr>
                <w:rFonts w:ascii="Arial Narrow" w:hAnsi="Arial Narrow"/>
                <w:sz w:val="20"/>
                <w:szCs w:val="18"/>
                <w:vertAlign w:val="superscript"/>
              </w:rPr>
              <w:t>9</w:t>
            </w:r>
            <w:r w:rsidRPr="009D03FE">
              <w:rPr>
                <w:rFonts w:ascii="Arial Narrow" w:hAnsi="Arial Narrow"/>
                <w:sz w:val="20"/>
                <w:szCs w:val="18"/>
              </w:rPr>
              <w:t>/L,</w:t>
            </w:r>
          </w:p>
          <w:p w:rsidR="00B405A6" w:rsidRPr="009D03FE" w:rsidRDefault="00B405A6" w:rsidP="00276007">
            <w:pPr>
              <w:numPr>
                <w:ilvl w:val="0"/>
                <w:numId w:val="7"/>
              </w:numPr>
              <w:snapToGrid w:val="0"/>
              <w:ind w:left="952" w:hanging="284"/>
              <w:contextualSpacing/>
              <w:jc w:val="left"/>
              <w:rPr>
                <w:rFonts w:ascii="Arial Narrow" w:hAnsi="Arial Narrow"/>
                <w:sz w:val="20"/>
                <w:szCs w:val="18"/>
              </w:rPr>
            </w:pPr>
            <w:r w:rsidRPr="009D03FE">
              <w:rPr>
                <w:rFonts w:ascii="Arial Narrow" w:hAnsi="Arial Narrow"/>
                <w:sz w:val="20"/>
                <w:szCs w:val="18"/>
              </w:rPr>
              <w:t>and non-palpable spleen, or</w:t>
            </w:r>
          </w:p>
          <w:p w:rsidR="00B405A6" w:rsidRPr="00160C7E" w:rsidRDefault="00B405A6" w:rsidP="00276007">
            <w:pPr>
              <w:numPr>
                <w:ilvl w:val="0"/>
                <w:numId w:val="5"/>
              </w:numPr>
              <w:autoSpaceDE w:val="0"/>
              <w:autoSpaceDN w:val="0"/>
              <w:adjustRightInd w:val="0"/>
              <w:spacing w:line="276" w:lineRule="auto"/>
              <w:jc w:val="left"/>
              <w:rPr>
                <w:rFonts w:ascii="Arial Narrow" w:hAnsi="Arial Narrow"/>
                <w:color w:val="000000"/>
                <w:sz w:val="20"/>
                <w:szCs w:val="18"/>
              </w:rPr>
            </w:pPr>
            <w:r w:rsidRPr="009D03FE">
              <w:rPr>
                <w:rFonts w:ascii="Arial Narrow" w:hAnsi="Arial Narrow"/>
                <w:color w:val="000000"/>
                <w:sz w:val="20"/>
                <w:szCs w:val="18"/>
              </w:rPr>
              <w:t xml:space="preserve">Presence of leg ulcers or other unacceptable HC-related non-haematological toxicities (such as </w:t>
            </w:r>
            <w:proofErr w:type="spellStart"/>
            <w:r w:rsidRPr="009D03FE">
              <w:rPr>
                <w:rFonts w:ascii="Arial Narrow" w:hAnsi="Arial Narrow"/>
                <w:color w:val="000000"/>
                <w:sz w:val="20"/>
                <w:szCs w:val="18"/>
              </w:rPr>
              <w:t>mucocutaneous</w:t>
            </w:r>
            <w:proofErr w:type="spellEnd"/>
            <w:r w:rsidRPr="009D03FE">
              <w:rPr>
                <w:rFonts w:ascii="Arial Narrow" w:hAnsi="Arial Narrow"/>
                <w:color w:val="000000"/>
                <w:sz w:val="20"/>
                <w:szCs w:val="18"/>
              </w:rPr>
              <w:t xml:space="preserve"> manifestations, gastrointestinal symptoms, pneumonitis or fever at any dose of HC</w:t>
            </w:r>
            <w:r w:rsidR="008D1DD2">
              <w:rPr>
                <w:rFonts w:ascii="Arial Narrow" w:hAnsi="Arial Narrow"/>
                <w:color w:val="000000"/>
                <w:sz w:val="20"/>
                <w:szCs w:val="18"/>
              </w:rPr>
              <w:t>).</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rsidR="00B405A6" w:rsidRPr="00F36BCA" w:rsidRDefault="00B405A6" w:rsidP="00160C7E">
            <w:pPr>
              <w:autoSpaceDE w:val="0"/>
              <w:autoSpaceDN w:val="0"/>
              <w:adjustRightInd w:val="0"/>
              <w:spacing w:line="276" w:lineRule="auto"/>
              <w:jc w:val="left"/>
              <w:rPr>
                <w:rFonts w:ascii="Arial Narrow" w:hAnsi="Arial Narrow"/>
                <w:b/>
                <w:color w:val="000000"/>
                <w:sz w:val="20"/>
                <w:szCs w:val="20"/>
              </w:rPr>
            </w:pPr>
            <w:r w:rsidRPr="00F36BCA">
              <w:rPr>
                <w:rFonts w:ascii="Arial Narrow" w:hAnsi="Arial Narrow"/>
                <w:b/>
                <w:color w:val="000000"/>
                <w:sz w:val="20"/>
                <w:szCs w:val="20"/>
              </w:rPr>
              <w:t xml:space="preserve">Requested </w:t>
            </w:r>
            <w:r>
              <w:rPr>
                <w:rFonts w:ascii="Arial Narrow" w:hAnsi="Arial Narrow"/>
                <w:b/>
                <w:color w:val="000000"/>
                <w:sz w:val="20"/>
                <w:szCs w:val="20"/>
              </w:rPr>
              <w:t>C</w:t>
            </w:r>
            <w:r w:rsidRPr="00F36BCA">
              <w:rPr>
                <w:rFonts w:ascii="Arial Narrow" w:hAnsi="Arial Narrow"/>
                <w:b/>
                <w:color w:val="000000"/>
                <w:sz w:val="20"/>
                <w:szCs w:val="20"/>
              </w:rPr>
              <w:t>ontinu</w:t>
            </w:r>
            <w:r>
              <w:rPr>
                <w:rFonts w:ascii="Arial Narrow" w:hAnsi="Arial Narrow"/>
                <w:b/>
                <w:color w:val="000000"/>
                <w:sz w:val="20"/>
                <w:szCs w:val="20"/>
              </w:rPr>
              <w:t xml:space="preserve">ing Restriction </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snapToGrid w:val="0"/>
              <w:rPr>
                <w:rFonts w:ascii="Arial Narrow" w:hAnsi="Arial Narrow"/>
                <w:sz w:val="20"/>
                <w:szCs w:val="20"/>
              </w:rPr>
            </w:pPr>
            <w:r w:rsidRPr="00B405A6">
              <w:rPr>
                <w:rFonts w:ascii="Arial Narrow" w:hAnsi="Arial Narrow"/>
                <w:sz w:val="20"/>
                <w:szCs w:val="20"/>
                <w:lang w:eastAsia="en-AU"/>
              </w:rPr>
              <w:t>Prescriber type:</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F36BCA" w:rsidRDefault="00B405A6" w:rsidP="00160C7E">
            <w:pPr>
              <w:snapToGrid w:val="0"/>
              <w:rPr>
                <w:rFonts w:ascii="Arial Narrow" w:hAnsi="Arial Narrow"/>
                <w:sz w:val="20"/>
                <w:szCs w:val="20"/>
              </w:rPr>
            </w:pPr>
            <w:r w:rsidRPr="00F36BCA">
              <w:rPr>
                <w:rFonts w:ascii="Arial Narrow" w:hAnsi="Arial Narrow"/>
                <w:sz w:val="20"/>
                <w:szCs w:val="20"/>
              </w:rPr>
              <w:fldChar w:fldCharType="begin">
                <w:ffData>
                  <w:name w:val="Check1"/>
                  <w:enabled/>
                  <w:calcOnExit w:val="0"/>
                  <w:checkBox>
                    <w:sizeAuto/>
                    <w:default w:val="0"/>
                  </w:checkBox>
                </w:ffData>
              </w:fldChar>
            </w:r>
            <w:r w:rsidRPr="00F36BCA">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F36BCA">
              <w:rPr>
                <w:rFonts w:ascii="Arial Narrow" w:hAnsi="Arial Narrow"/>
                <w:sz w:val="20"/>
                <w:szCs w:val="20"/>
              </w:rPr>
              <w:fldChar w:fldCharType="end"/>
            </w:r>
            <w:r w:rsidRPr="00F36BCA">
              <w:rPr>
                <w:rFonts w:ascii="Arial Narrow" w:hAnsi="Arial Narrow"/>
                <w:sz w:val="20"/>
                <w:szCs w:val="20"/>
              </w:rPr>
              <w:t xml:space="preserve">Dental </w:t>
            </w:r>
            <w:r w:rsidRPr="00F36BCA">
              <w:rPr>
                <w:rFonts w:ascii="Arial Narrow" w:hAnsi="Arial Narrow"/>
                <w:sz w:val="20"/>
                <w:szCs w:val="20"/>
              </w:rPr>
              <w:fldChar w:fldCharType="begin">
                <w:ffData>
                  <w:name w:val=""/>
                  <w:enabled/>
                  <w:calcOnExit w:val="0"/>
                  <w:checkBox>
                    <w:sizeAuto/>
                    <w:default w:val="1"/>
                  </w:checkBox>
                </w:ffData>
              </w:fldChar>
            </w:r>
            <w:r w:rsidRPr="00F36BCA">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F36BCA">
              <w:rPr>
                <w:rFonts w:ascii="Arial Narrow" w:hAnsi="Arial Narrow"/>
                <w:sz w:val="20"/>
                <w:szCs w:val="20"/>
              </w:rPr>
              <w:fldChar w:fldCharType="end"/>
            </w:r>
            <w:r w:rsidRPr="00F36BCA">
              <w:rPr>
                <w:rFonts w:ascii="Arial Narrow" w:hAnsi="Arial Narrow"/>
                <w:sz w:val="20"/>
                <w:szCs w:val="20"/>
              </w:rPr>
              <w:t xml:space="preserve">Medical Practitioners </w:t>
            </w:r>
            <w:r w:rsidRPr="00F36BCA">
              <w:rPr>
                <w:rFonts w:ascii="Arial Narrow" w:hAnsi="Arial Narrow"/>
                <w:sz w:val="20"/>
                <w:szCs w:val="20"/>
              </w:rPr>
              <w:fldChar w:fldCharType="begin">
                <w:ffData>
                  <w:name w:val="Check3"/>
                  <w:enabled/>
                  <w:calcOnExit w:val="0"/>
                  <w:checkBox>
                    <w:sizeAuto/>
                    <w:default w:val="0"/>
                  </w:checkBox>
                </w:ffData>
              </w:fldChar>
            </w:r>
            <w:r w:rsidRPr="00F36BCA">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F36BCA">
              <w:rPr>
                <w:rFonts w:ascii="Arial Narrow" w:hAnsi="Arial Narrow"/>
                <w:sz w:val="20"/>
                <w:szCs w:val="20"/>
              </w:rPr>
              <w:fldChar w:fldCharType="end"/>
            </w:r>
            <w:r w:rsidRPr="00F36BCA">
              <w:rPr>
                <w:rFonts w:ascii="Arial Narrow" w:hAnsi="Arial Narrow"/>
                <w:sz w:val="20"/>
                <w:szCs w:val="20"/>
              </w:rPr>
              <w:t xml:space="preserve">Nurse practitioners </w:t>
            </w:r>
            <w:r w:rsidRPr="00F36BCA">
              <w:rPr>
                <w:rFonts w:ascii="Arial Narrow" w:hAnsi="Arial Narrow"/>
                <w:sz w:val="20"/>
                <w:szCs w:val="20"/>
              </w:rPr>
              <w:fldChar w:fldCharType="begin">
                <w:ffData>
                  <w:name w:val=""/>
                  <w:enabled/>
                  <w:calcOnExit w:val="0"/>
                  <w:checkBox>
                    <w:sizeAuto/>
                    <w:default w:val="0"/>
                  </w:checkBox>
                </w:ffData>
              </w:fldChar>
            </w:r>
            <w:r w:rsidRPr="00F36BCA">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F36BCA">
              <w:rPr>
                <w:rFonts w:ascii="Arial Narrow" w:hAnsi="Arial Narrow"/>
                <w:sz w:val="20"/>
                <w:szCs w:val="20"/>
              </w:rPr>
              <w:fldChar w:fldCharType="end"/>
            </w:r>
            <w:r w:rsidRPr="00F36BCA">
              <w:rPr>
                <w:rFonts w:ascii="Arial Narrow" w:hAnsi="Arial Narrow"/>
                <w:sz w:val="20"/>
                <w:szCs w:val="20"/>
              </w:rPr>
              <w:t>Optometrists</w:t>
            </w:r>
          </w:p>
          <w:p w:rsidR="00B405A6" w:rsidRPr="00F36BCA" w:rsidRDefault="00B405A6" w:rsidP="00160C7E">
            <w:pPr>
              <w:autoSpaceDE w:val="0"/>
              <w:autoSpaceDN w:val="0"/>
              <w:adjustRightInd w:val="0"/>
              <w:spacing w:line="276" w:lineRule="auto"/>
              <w:jc w:val="left"/>
              <w:rPr>
                <w:rFonts w:ascii="Arial Narrow" w:hAnsi="Arial Narrow"/>
                <w:color w:val="000000"/>
                <w:sz w:val="20"/>
                <w:szCs w:val="20"/>
              </w:rPr>
            </w:pPr>
            <w:r w:rsidRPr="00F36BCA">
              <w:rPr>
                <w:rFonts w:ascii="Arial Narrow" w:hAnsi="Arial Narrow"/>
                <w:sz w:val="20"/>
                <w:szCs w:val="20"/>
              </w:rPr>
              <w:fldChar w:fldCharType="begin">
                <w:ffData>
                  <w:name w:val="Check5"/>
                  <w:enabled/>
                  <w:calcOnExit w:val="0"/>
                  <w:checkBox>
                    <w:sizeAuto/>
                    <w:default w:val="0"/>
                  </w:checkBox>
                </w:ffData>
              </w:fldChar>
            </w:r>
            <w:r w:rsidRPr="00F36BCA">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F36BCA">
              <w:rPr>
                <w:rFonts w:ascii="Arial Narrow" w:hAnsi="Arial Narrow"/>
                <w:sz w:val="20"/>
                <w:szCs w:val="20"/>
              </w:rPr>
              <w:fldChar w:fldCharType="end"/>
            </w:r>
            <w:r w:rsidRPr="00F36BCA">
              <w:rPr>
                <w:rFonts w:ascii="Arial Narrow" w:hAnsi="Arial Narrow"/>
                <w:sz w:val="20"/>
                <w:szCs w:val="20"/>
              </w:rPr>
              <w:t>Midwives</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autoSpaceDE w:val="0"/>
              <w:autoSpaceDN w:val="0"/>
              <w:adjustRightInd w:val="0"/>
              <w:spacing w:line="276" w:lineRule="auto"/>
              <w:jc w:val="left"/>
              <w:rPr>
                <w:rFonts w:ascii="Arial Narrow" w:hAnsi="Arial Narrow"/>
                <w:color w:val="000000"/>
                <w:sz w:val="20"/>
                <w:szCs w:val="20"/>
              </w:rPr>
            </w:pPr>
            <w:r w:rsidRPr="00B405A6">
              <w:rPr>
                <w:rFonts w:ascii="Arial Narrow" w:hAnsi="Arial Narrow"/>
                <w:sz w:val="20"/>
                <w:szCs w:val="20"/>
                <w:lang w:eastAsia="en-AU"/>
              </w:rPr>
              <w:t>PBS Indication:</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autoSpaceDE w:val="0"/>
              <w:autoSpaceDN w:val="0"/>
              <w:adjustRightInd w:val="0"/>
              <w:spacing w:line="276" w:lineRule="auto"/>
              <w:jc w:val="left"/>
              <w:rPr>
                <w:rFonts w:ascii="Arial Narrow" w:hAnsi="Arial Narrow"/>
                <w:color w:val="000000"/>
                <w:sz w:val="20"/>
                <w:szCs w:val="18"/>
              </w:rPr>
            </w:pPr>
            <w:proofErr w:type="spellStart"/>
            <w:r>
              <w:rPr>
                <w:rFonts w:ascii="Arial Narrow" w:hAnsi="Arial Narrow"/>
                <w:color w:val="000000"/>
                <w:sz w:val="20"/>
                <w:szCs w:val="18"/>
              </w:rPr>
              <w:t>Polycythemia</w:t>
            </w:r>
            <w:proofErr w:type="spellEnd"/>
            <w:r>
              <w:rPr>
                <w:rFonts w:ascii="Arial Narrow" w:hAnsi="Arial Narrow"/>
                <w:color w:val="000000"/>
                <w:sz w:val="20"/>
                <w:szCs w:val="18"/>
              </w:rPr>
              <w:t xml:space="preserve"> </w:t>
            </w:r>
            <w:proofErr w:type="spellStart"/>
            <w:r>
              <w:rPr>
                <w:rFonts w:ascii="Arial Narrow" w:hAnsi="Arial Narrow"/>
                <w:color w:val="000000"/>
                <w:sz w:val="20"/>
                <w:szCs w:val="18"/>
              </w:rPr>
              <w:t>vera</w:t>
            </w:r>
            <w:proofErr w:type="spellEnd"/>
            <w:r>
              <w:rPr>
                <w:rFonts w:ascii="Arial Narrow" w:hAnsi="Arial Narrow"/>
                <w:color w:val="000000"/>
                <w:sz w:val="20"/>
                <w:szCs w:val="18"/>
              </w:rPr>
              <w:t xml:space="preserve"> </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autoSpaceDE w:val="0"/>
              <w:autoSpaceDN w:val="0"/>
              <w:adjustRightInd w:val="0"/>
              <w:spacing w:line="276" w:lineRule="auto"/>
              <w:jc w:val="left"/>
              <w:rPr>
                <w:rFonts w:ascii="Arial Narrow" w:hAnsi="Arial Narrow"/>
                <w:color w:val="000000"/>
                <w:sz w:val="20"/>
                <w:szCs w:val="20"/>
              </w:rPr>
            </w:pPr>
            <w:r w:rsidRPr="00B405A6">
              <w:rPr>
                <w:rFonts w:ascii="Arial Narrow" w:hAnsi="Arial Narrow"/>
                <w:sz w:val="20"/>
                <w:szCs w:val="20"/>
                <w:lang w:eastAsia="en-AU"/>
              </w:rPr>
              <w:t>Treatment phase:</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autoSpaceDE w:val="0"/>
              <w:autoSpaceDN w:val="0"/>
              <w:adjustRightInd w:val="0"/>
              <w:spacing w:line="276" w:lineRule="auto"/>
              <w:jc w:val="left"/>
              <w:rPr>
                <w:rFonts w:ascii="Arial Narrow" w:hAnsi="Arial Narrow"/>
                <w:color w:val="000000"/>
                <w:sz w:val="20"/>
                <w:szCs w:val="18"/>
              </w:rPr>
            </w:pPr>
            <w:r w:rsidRPr="009D03FE">
              <w:rPr>
                <w:rFonts w:ascii="Arial Narrow" w:hAnsi="Arial Narrow"/>
                <w:color w:val="000000"/>
                <w:sz w:val="20"/>
                <w:szCs w:val="18"/>
              </w:rPr>
              <w:t>Continuing</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autoSpaceDE w:val="0"/>
              <w:autoSpaceDN w:val="0"/>
              <w:adjustRightInd w:val="0"/>
              <w:spacing w:line="276" w:lineRule="auto"/>
              <w:jc w:val="left"/>
              <w:rPr>
                <w:rFonts w:ascii="Arial Narrow" w:hAnsi="Arial Narrow"/>
                <w:sz w:val="20"/>
                <w:szCs w:val="20"/>
                <w:lang w:eastAsia="en-AU"/>
              </w:rPr>
            </w:pPr>
            <w:r w:rsidRPr="00B405A6">
              <w:rPr>
                <w:rFonts w:ascii="Arial Narrow" w:hAnsi="Arial Narrow"/>
                <w:sz w:val="20"/>
                <w:szCs w:val="20"/>
                <w:lang w:eastAsia="en-AU"/>
              </w:rPr>
              <w:t>Restriction Level / Method:</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F36BCA" w:rsidRDefault="00B405A6" w:rsidP="00160C7E">
            <w:pPr>
              <w:autoSpaceDE w:val="0"/>
              <w:autoSpaceDN w:val="0"/>
              <w:adjustRightInd w:val="0"/>
              <w:spacing w:line="276" w:lineRule="auto"/>
              <w:jc w:val="left"/>
              <w:rPr>
                <w:rFonts w:ascii="Arial Narrow" w:hAnsi="Arial Narrow"/>
                <w:color w:val="000000"/>
                <w:sz w:val="20"/>
                <w:szCs w:val="20"/>
              </w:rPr>
            </w:pPr>
            <w:r>
              <w:rPr>
                <w:rFonts w:ascii="Arial Narrow" w:hAnsi="Arial Narrow"/>
                <w:sz w:val="20"/>
                <w:szCs w:val="20"/>
                <w:lang w:eastAsia="en-AU"/>
              </w:rPr>
              <w:t>Authority Required – I</w:t>
            </w:r>
            <w:r w:rsidRPr="00F36BCA">
              <w:rPr>
                <w:rFonts w:ascii="Arial Narrow" w:hAnsi="Arial Narrow"/>
                <w:sz w:val="20"/>
                <w:szCs w:val="20"/>
                <w:lang w:eastAsia="en-AU"/>
              </w:rPr>
              <w:t>n writing</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snapToGrid w:val="0"/>
              <w:jc w:val="left"/>
              <w:rPr>
                <w:rFonts w:ascii="Arial Narrow" w:hAnsi="Arial Narrow"/>
                <w:sz w:val="20"/>
                <w:szCs w:val="20"/>
              </w:rPr>
            </w:pPr>
            <w:r w:rsidRPr="00B405A6">
              <w:rPr>
                <w:rFonts w:ascii="Arial Narrow" w:hAnsi="Arial Narrow"/>
                <w:sz w:val="20"/>
                <w:szCs w:val="20"/>
                <w:lang w:eastAsia="en-AU"/>
              </w:rPr>
              <w:t>Clinical criteria:</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snapToGrid w:val="0"/>
              <w:jc w:val="left"/>
              <w:rPr>
                <w:rFonts w:ascii="Arial Narrow" w:hAnsi="Arial Narrow"/>
                <w:sz w:val="20"/>
                <w:szCs w:val="18"/>
              </w:rPr>
            </w:pPr>
            <w:r w:rsidRPr="009D03FE">
              <w:rPr>
                <w:rFonts w:ascii="Arial Narrow" w:hAnsi="Arial Narrow"/>
                <w:sz w:val="20"/>
                <w:szCs w:val="18"/>
              </w:rPr>
              <w:t xml:space="preserve">The condition must be </w:t>
            </w:r>
            <w:proofErr w:type="spellStart"/>
            <w:r w:rsidRPr="009D03FE">
              <w:rPr>
                <w:rFonts w:ascii="Arial Narrow" w:hAnsi="Arial Narrow"/>
                <w:sz w:val="20"/>
                <w:szCs w:val="18"/>
              </w:rPr>
              <w:t>polycythemia</w:t>
            </w:r>
            <w:proofErr w:type="spellEnd"/>
            <w:r w:rsidRPr="009D03FE">
              <w:rPr>
                <w:rFonts w:ascii="Arial Narrow" w:hAnsi="Arial Narrow"/>
                <w:sz w:val="20"/>
                <w:szCs w:val="18"/>
              </w:rPr>
              <w:t xml:space="preserve"> </w:t>
            </w:r>
            <w:proofErr w:type="spellStart"/>
            <w:r w:rsidRPr="009D03FE">
              <w:rPr>
                <w:rFonts w:ascii="Arial Narrow" w:hAnsi="Arial Narrow"/>
                <w:sz w:val="20"/>
                <w:szCs w:val="18"/>
              </w:rPr>
              <w:t>vera</w:t>
            </w:r>
            <w:proofErr w:type="spellEnd"/>
            <w:r w:rsidR="008D1DD2">
              <w:rPr>
                <w:rFonts w:ascii="Arial Narrow" w:hAnsi="Arial Narrow"/>
                <w:sz w:val="20"/>
                <w:szCs w:val="18"/>
              </w:rPr>
              <w:t>,</w:t>
            </w:r>
          </w:p>
          <w:p w:rsidR="00B405A6" w:rsidRPr="009D03FE" w:rsidRDefault="00B405A6" w:rsidP="00160C7E">
            <w:pPr>
              <w:snapToGrid w:val="0"/>
              <w:jc w:val="left"/>
              <w:rPr>
                <w:rFonts w:ascii="Arial Narrow" w:hAnsi="Arial Narrow"/>
                <w:sz w:val="20"/>
                <w:szCs w:val="18"/>
              </w:rPr>
            </w:pPr>
            <w:r w:rsidRPr="009D03FE">
              <w:rPr>
                <w:rFonts w:ascii="Arial Narrow" w:hAnsi="Arial Narrow"/>
                <w:sz w:val="20"/>
                <w:szCs w:val="18"/>
              </w:rPr>
              <w:t>AND</w:t>
            </w:r>
          </w:p>
          <w:p w:rsidR="00B405A6" w:rsidRPr="009D03FE" w:rsidRDefault="00B405A6" w:rsidP="00160C7E">
            <w:pPr>
              <w:snapToGrid w:val="0"/>
              <w:jc w:val="left"/>
              <w:rPr>
                <w:rFonts w:ascii="Arial Narrow" w:hAnsi="Arial Narrow"/>
                <w:sz w:val="20"/>
                <w:szCs w:val="18"/>
              </w:rPr>
            </w:pPr>
            <w:r w:rsidRPr="009D03FE">
              <w:rPr>
                <w:rFonts w:ascii="Arial Narrow" w:hAnsi="Arial Narrow"/>
                <w:sz w:val="20"/>
                <w:szCs w:val="18"/>
              </w:rPr>
              <w:t xml:space="preserve">Patient must have previously received PBS-subsidised treatment with this drug </w:t>
            </w:r>
            <w:r w:rsidR="008D1DD2">
              <w:rPr>
                <w:rFonts w:ascii="Arial Narrow" w:hAnsi="Arial Narrow"/>
                <w:sz w:val="20"/>
                <w:szCs w:val="18"/>
              </w:rPr>
              <w:t>for this condition,</w:t>
            </w:r>
            <w:r w:rsidRPr="009D03FE">
              <w:rPr>
                <w:rFonts w:ascii="Arial Narrow" w:hAnsi="Arial Narrow"/>
                <w:sz w:val="20"/>
                <w:szCs w:val="18"/>
              </w:rPr>
              <w:t xml:space="preserve">  </w:t>
            </w:r>
          </w:p>
          <w:p w:rsidR="00B405A6" w:rsidRPr="009D03FE" w:rsidRDefault="00B405A6" w:rsidP="00160C7E">
            <w:pPr>
              <w:snapToGrid w:val="0"/>
              <w:jc w:val="left"/>
              <w:rPr>
                <w:rFonts w:ascii="Arial Narrow" w:hAnsi="Arial Narrow"/>
                <w:sz w:val="20"/>
                <w:szCs w:val="18"/>
              </w:rPr>
            </w:pPr>
            <w:r w:rsidRPr="009D03FE">
              <w:rPr>
                <w:rFonts w:ascii="Arial Narrow" w:hAnsi="Arial Narrow"/>
                <w:sz w:val="20"/>
                <w:szCs w:val="18"/>
              </w:rPr>
              <w:t xml:space="preserve">AND </w:t>
            </w:r>
          </w:p>
          <w:p w:rsidR="00B405A6" w:rsidRPr="009D03FE" w:rsidRDefault="00B405A6" w:rsidP="00160C7E">
            <w:pPr>
              <w:autoSpaceDE w:val="0"/>
              <w:autoSpaceDN w:val="0"/>
              <w:adjustRightInd w:val="0"/>
              <w:spacing w:line="276" w:lineRule="auto"/>
              <w:jc w:val="left"/>
              <w:rPr>
                <w:rFonts w:ascii="Arial Narrow" w:hAnsi="Arial Narrow"/>
                <w:color w:val="000000"/>
                <w:sz w:val="20"/>
                <w:szCs w:val="18"/>
              </w:rPr>
            </w:pPr>
            <w:r w:rsidRPr="009D03FE">
              <w:rPr>
                <w:rFonts w:ascii="Arial Narrow" w:hAnsi="Arial Narrow"/>
                <w:sz w:val="20"/>
                <w:szCs w:val="18"/>
              </w:rPr>
              <w:t>Patient must have demonstrated a response to treatment within 6 months</w:t>
            </w:r>
            <w:r w:rsidR="008D1DD2">
              <w:rPr>
                <w:rFonts w:ascii="Arial Narrow" w:hAnsi="Arial Narrow"/>
                <w:sz w:val="20"/>
                <w:szCs w:val="18"/>
              </w:rPr>
              <w:t>.</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snapToGrid w:val="0"/>
              <w:rPr>
                <w:rFonts w:ascii="Arial Narrow" w:hAnsi="Arial Narrow"/>
                <w:sz w:val="20"/>
                <w:szCs w:val="20"/>
              </w:rPr>
            </w:pPr>
            <w:r w:rsidRPr="00B405A6">
              <w:rPr>
                <w:rFonts w:ascii="Arial Narrow" w:hAnsi="Arial Narrow"/>
                <w:sz w:val="20"/>
                <w:szCs w:val="20"/>
                <w:lang w:eastAsia="en-AU"/>
              </w:rPr>
              <w:t>Prescriber Instructions:</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F36BCA" w:rsidRDefault="00B405A6" w:rsidP="00160C7E">
            <w:pPr>
              <w:snapToGrid w:val="0"/>
              <w:rPr>
                <w:rFonts w:ascii="Arial Narrow" w:hAnsi="Arial Narrow"/>
                <w:sz w:val="20"/>
                <w:szCs w:val="20"/>
              </w:rPr>
            </w:pPr>
            <w:r w:rsidRPr="00F36BCA">
              <w:rPr>
                <w:rFonts w:ascii="Arial Narrow" w:hAnsi="Arial Narrow"/>
                <w:sz w:val="20"/>
                <w:szCs w:val="20"/>
              </w:rPr>
              <w:t>The authority form must be made in writing and include:</w:t>
            </w:r>
          </w:p>
          <w:p w:rsidR="00B405A6" w:rsidRPr="00F36BCA" w:rsidRDefault="00B405A6" w:rsidP="00160C7E">
            <w:pPr>
              <w:snapToGrid w:val="0"/>
              <w:rPr>
                <w:rFonts w:ascii="Arial Narrow" w:hAnsi="Arial Narrow"/>
                <w:sz w:val="20"/>
                <w:szCs w:val="20"/>
              </w:rPr>
            </w:pPr>
            <w:r w:rsidRPr="00F36BCA">
              <w:rPr>
                <w:rFonts w:ascii="Arial Narrow" w:hAnsi="Arial Narrow"/>
                <w:sz w:val="20"/>
                <w:szCs w:val="20"/>
              </w:rPr>
              <w:t xml:space="preserve">(1)  A completed authority prescription form; and </w:t>
            </w:r>
          </w:p>
          <w:p w:rsidR="00B405A6" w:rsidRPr="00F36BCA" w:rsidRDefault="00B405A6" w:rsidP="00160C7E">
            <w:pPr>
              <w:snapToGrid w:val="0"/>
              <w:jc w:val="left"/>
              <w:rPr>
                <w:rFonts w:ascii="Arial Narrow" w:hAnsi="Arial Narrow"/>
                <w:sz w:val="20"/>
                <w:szCs w:val="18"/>
              </w:rPr>
            </w:pPr>
            <w:r w:rsidRPr="00F36BCA">
              <w:rPr>
                <w:rFonts w:ascii="Arial Narrow" w:hAnsi="Arial Narrow"/>
                <w:sz w:val="20"/>
                <w:szCs w:val="20"/>
              </w:rPr>
              <w:t xml:space="preserve">(2) A completed </w:t>
            </w:r>
            <w:proofErr w:type="spellStart"/>
            <w:r w:rsidRPr="00F36BCA">
              <w:rPr>
                <w:rFonts w:ascii="Arial Narrow" w:hAnsi="Arial Narrow"/>
                <w:sz w:val="20"/>
                <w:szCs w:val="20"/>
              </w:rPr>
              <w:t>Polycythemia</w:t>
            </w:r>
            <w:proofErr w:type="spellEnd"/>
            <w:r w:rsidRPr="00F36BCA">
              <w:rPr>
                <w:rFonts w:ascii="Arial Narrow" w:hAnsi="Arial Narrow"/>
                <w:sz w:val="20"/>
                <w:szCs w:val="20"/>
              </w:rPr>
              <w:t xml:space="preserve"> Vera Authority Application, which includes the relevant pathology reports</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snapToGrid w:val="0"/>
              <w:jc w:val="left"/>
              <w:rPr>
                <w:rFonts w:ascii="Arial Narrow" w:hAnsi="Arial Narrow"/>
                <w:sz w:val="20"/>
                <w:szCs w:val="20"/>
              </w:rPr>
            </w:pPr>
            <w:r w:rsidRPr="00B405A6">
              <w:rPr>
                <w:rFonts w:ascii="Arial Narrow" w:hAnsi="Arial Narrow"/>
                <w:sz w:val="20"/>
                <w:szCs w:val="20"/>
                <w:lang w:eastAsia="en-AU"/>
              </w:rPr>
              <w:lastRenderedPageBreak/>
              <w:t>Note:</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snapToGrid w:val="0"/>
              <w:jc w:val="left"/>
              <w:rPr>
                <w:rFonts w:ascii="Arial Narrow" w:hAnsi="Arial Narrow"/>
                <w:sz w:val="20"/>
                <w:szCs w:val="18"/>
              </w:rPr>
            </w:pPr>
            <w:r w:rsidRPr="009D03FE">
              <w:rPr>
                <w:rFonts w:ascii="Arial Narrow" w:hAnsi="Arial Narrow"/>
                <w:sz w:val="20"/>
                <w:szCs w:val="18"/>
              </w:rPr>
              <w:t>Response to PBS subsidised treatment with ruxolitinib is defined as:</w:t>
            </w:r>
          </w:p>
          <w:p w:rsidR="00B405A6" w:rsidRPr="009D03FE" w:rsidRDefault="00B405A6" w:rsidP="008D1DD2">
            <w:pPr>
              <w:widowControl/>
              <w:numPr>
                <w:ilvl w:val="0"/>
                <w:numId w:val="8"/>
              </w:numPr>
              <w:snapToGrid w:val="0"/>
              <w:ind w:left="243" w:hanging="243"/>
              <w:contextualSpacing/>
              <w:jc w:val="left"/>
              <w:rPr>
                <w:rFonts w:ascii="Arial Narrow" w:hAnsi="Arial Narrow"/>
                <w:sz w:val="20"/>
                <w:szCs w:val="18"/>
              </w:rPr>
            </w:pPr>
            <w:r w:rsidRPr="009D03FE">
              <w:rPr>
                <w:rFonts w:ascii="Arial Narrow" w:hAnsi="Arial Narrow"/>
                <w:sz w:val="20"/>
                <w:szCs w:val="18"/>
              </w:rPr>
              <w:t xml:space="preserve">HCT </w:t>
            </w:r>
            <w:r>
              <w:rPr>
                <w:rFonts w:ascii="Arial Narrow" w:hAnsi="Arial Narrow"/>
                <w:sz w:val="20"/>
                <w:szCs w:val="18"/>
              </w:rPr>
              <w:t>&lt;</w:t>
            </w:r>
            <w:r w:rsidRPr="009D03FE">
              <w:rPr>
                <w:rFonts w:ascii="Arial Narrow" w:hAnsi="Arial Narrow"/>
                <w:sz w:val="20"/>
                <w:szCs w:val="18"/>
              </w:rPr>
              <w:t>45% without phlebotomy (at least 3 months since last phlebotomy)</w:t>
            </w:r>
            <w:r w:rsidR="008D1DD2">
              <w:rPr>
                <w:rFonts w:ascii="Arial Narrow" w:hAnsi="Arial Narrow"/>
                <w:sz w:val="20"/>
                <w:szCs w:val="18"/>
              </w:rPr>
              <w:t>;</w:t>
            </w:r>
            <w:r w:rsidRPr="009D03FE">
              <w:rPr>
                <w:rFonts w:ascii="Arial Narrow" w:hAnsi="Arial Narrow"/>
                <w:sz w:val="20"/>
                <w:szCs w:val="18"/>
              </w:rPr>
              <w:t xml:space="preserve"> OR </w:t>
            </w:r>
          </w:p>
          <w:p w:rsidR="00B405A6" w:rsidRPr="009D03FE" w:rsidRDefault="00B405A6" w:rsidP="00276007">
            <w:pPr>
              <w:widowControl/>
              <w:numPr>
                <w:ilvl w:val="0"/>
                <w:numId w:val="8"/>
              </w:numPr>
              <w:snapToGrid w:val="0"/>
              <w:ind w:left="243" w:hanging="243"/>
              <w:contextualSpacing/>
              <w:jc w:val="left"/>
              <w:rPr>
                <w:rFonts w:ascii="Arial Narrow" w:hAnsi="Arial Narrow"/>
                <w:sz w:val="20"/>
                <w:szCs w:val="18"/>
              </w:rPr>
            </w:pPr>
            <w:r w:rsidRPr="009D03FE">
              <w:rPr>
                <w:rFonts w:ascii="Arial Narrow" w:hAnsi="Arial Narrow"/>
                <w:sz w:val="20"/>
                <w:szCs w:val="18"/>
              </w:rPr>
              <w:t xml:space="preserve">Both of </w:t>
            </w:r>
            <w:r>
              <w:rPr>
                <w:rFonts w:ascii="Arial Narrow" w:hAnsi="Arial Narrow"/>
                <w:sz w:val="20"/>
                <w:szCs w:val="18"/>
              </w:rPr>
              <w:t>the following; platelet count ≤</w:t>
            </w:r>
            <w:r w:rsidRPr="009D03FE">
              <w:rPr>
                <w:rFonts w:ascii="Arial Narrow" w:hAnsi="Arial Narrow"/>
                <w:sz w:val="20"/>
                <w:szCs w:val="18"/>
              </w:rPr>
              <w:t>400 x 10</w:t>
            </w:r>
            <w:r w:rsidRPr="009D03FE">
              <w:rPr>
                <w:rFonts w:ascii="Arial Narrow" w:hAnsi="Arial Narrow"/>
                <w:sz w:val="20"/>
                <w:szCs w:val="18"/>
                <w:vertAlign w:val="superscript"/>
              </w:rPr>
              <w:t>9</w:t>
            </w:r>
            <w:r w:rsidRPr="009D03FE">
              <w:rPr>
                <w:rFonts w:ascii="Arial Narrow" w:hAnsi="Arial Narrow"/>
                <w:sz w:val="20"/>
                <w:szCs w:val="18"/>
              </w:rPr>
              <w:t>/L AND ab</w:t>
            </w:r>
            <w:r>
              <w:rPr>
                <w:rFonts w:ascii="Arial Narrow" w:hAnsi="Arial Narrow"/>
                <w:sz w:val="20"/>
                <w:szCs w:val="18"/>
              </w:rPr>
              <w:t>sence of palpable splenomegaly.</w:t>
            </w:r>
            <w:r w:rsidRPr="009D03FE">
              <w:rPr>
                <w:rFonts w:ascii="Arial Narrow" w:hAnsi="Arial Narrow"/>
                <w:sz w:val="20"/>
                <w:szCs w:val="18"/>
              </w:rPr>
              <w:t xml:space="preserve"> </w:t>
            </w:r>
          </w:p>
          <w:p w:rsidR="00B405A6" w:rsidRPr="009D03FE" w:rsidRDefault="00B405A6" w:rsidP="00160C7E">
            <w:pPr>
              <w:autoSpaceDE w:val="0"/>
              <w:autoSpaceDN w:val="0"/>
              <w:adjustRightInd w:val="0"/>
              <w:spacing w:line="276" w:lineRule="auto"/>
              <w:jc w:val="left"/>
              <w:rPr>
                <w:rFonts w:ascii="Arial Narrow" w:hAnsi="Arial Narrow"/>
                <w:color w:val="000000"/>
                <w:sz w:val="20"/>
                <w:szCs w:val="18"/>
              </w:rPr>
            </w:pPr>
            <w:r w:rsidRPr="009D03FE">
              <w:rPr>
                <w:rFonts w:ascii="Arial Narrow" w:hAnsi="Arial Narrow"/>
                <w:sz w:val="20"/>
                <w:szCs w:val="18"/>
              </w:rPr>
              <w:t>Patients must maintain a response to continue receiv</w:t>
            </w:r>
            <w:r>
              <w:rPr>
                <w:rFonts w:ascii="Arial Narrow" w:hAnsi="Arial Narrow"/>
                <w:sz w:val="20"/>
                <w:szCs w:val="18"/>
              </w:rPr>
              <w:t>ing treatment with ruxolitinib.</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5000" w:type="pct"/>
            <w:gridSpan w:val="8"/>
            <w:tcBorders>
              <w:top w:val="single" w:sz="4" w:space="0" w:color="auto"/>
              <w:left w:val="single" w:sz="4" w:space="0" w:color="auto"/>
              <w:bottom w:val="single" w:sz="4" w:space="0" w:color="auto"/>
              <w:right w:val="single" w:sz="4" w:space="0" w:color="auto"/>
            </w:tcBorders>
          </w:tcPr>
          <w:p w:rsidR="00B405A6" w:rsidRPr="009D03FE" w:rsidRDefault="00B405A6" w:rsidP="00160C7E">
            <w:pPr>
              <w:autoSpaceDE w:val="0"/>
              <w:autoSpaceDN w:val="0"/>
              <w:adjustRightInd w:val="0"/>
              <w:spacing w:line="276" w:lineRule="auto"/>
              <w:jc w:val="left"/>
              <w:rPr>
                <w:rFonts w:ascii="Arial Narrow" w:hAnsi="Arial Narrow"/>
                <w:b/>
                <w:color w:val="000000"/>
                <w:sz w:val="20"/>
                <w:szCs w:val="18"/>
              </w:rPr>
            </w:pPr>
            <w:r w:rsidRPr="009D03FE">
              <w:rPr>
                <w:rFonts w:ascii="Arial Narrow" w:hAnsi="Arial Narrow"/>
                <w:b/>
                <w:color w:val="000000"/>
                <w:sz w:val="20"/>
                <w:szCs w:val="18"/>
              </w:rPr>
              <w:t xml:space="preserve">Requested </w:t>
            </w:r>
            <w:r>
              <w:rPr>
                <w:rFonts w:ascii="Arial Narrow" w:hAnsi="Arial Narrow"/>
                <w:b/>
                <w:color w:val="000000"/>
                <w:sz w:val="20"/>
                <w:szCs w:val="18"/>
              </w:rPr>
              <w:t>G</w:t>
            </w:r>
            <w:r w:rsidRPr="009D03FE">
              <w:rPr>
                <w:rFonts w:ascii="Arial Narrow" w:hAnsi="Arial Narrow"/>
                <w:b/>
                <w:color w:val="000000"/>
                <w:sz w:val="20"/>
                <w:szCs w:val="18"/>
              </w:rPr>
              <w:t>randfathering</w:t>
            </w:r>
            <w:r>
              <w:rPr>
                <w:rFonts w:ascii="Arial Narrow" w:hAnsi="Arial Narrow"/>
                <w:b/>
                <w:color w:val="000000"/>
                <w:sz w:val="20"/>
                <w:szCs w:val="18"/>
              </w:rPr>
              <w:t xml:space="preserve"> Restriction </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snapToGrid w:val="0"/>
              <w:rPr>
                <w:rFonts w:ascii="Arial Narrow" w:hAnsi="Arial Narrow"/>
                <w:sz w:val="20"/>
                <w:szCs w:val="20"/>
              </w:rPr>
            </w:pPr>
            <w:r w:rsidRPr="00B405A6">
              <w:rPr>
                <w:rFonts w:ascii="Arial Narrow" w:hAnsi="Arial Narrow"/>
                <w:sz w:val="20"/>
                <w:szCs w:val="20"/>
                <w:lang w:eastAsia="en-AU"/>
              </w:rPr>
              <w:t>Prescriber type:</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F36BCA" w:rsidRDefault="00B405A6" w:rsidP="00160C7E">
            <w:pPr>
              <w:snapToGrid w:val="0"/>
              <w:rPr>
                <w:rFonts w:ascii="Arial Narrow" w:hAnsi="Arial Narrow"/>
                <w:sz w:val="20"/>
                <w:szCs w:val="20"/>
              </w:rPr>
            </w:pPr>
            <w:r w:rsidRPr="00F36BCA">
              <w:rPr>
                <w:rFonts w:ascii="Arial Narrow" w:hAnsi="Arial Narrow"/>
                <w:sz w:val="20"/>
                <w:szCs w:val="20"/>
              </w:rPr>
              <w:fldChar w:fldCharType="begin">
                <w:ffData>
                  <w:name w:val="Check1"/>
                  <w:enabled/>
                  <w:calcOnExit w:val="0"/>
                  <w:checkBox>
                    <w:sizeAuto/>
                    <w:default w:val="0"/>
                  </w:checkBox>
                </w:ffData>
              </w:fldChar>
            </w:r>
            <w:r w:rsidRPr="00F36BCA">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F36BCA">
              <w:rPr>
                <w:rFonts w:ascii="Arial Narrow" w:hAnsi="Arial Narrow"/>
                <w:sz w:val="20"/>
                <w:szCs w:val="20"/>
              </w:rPr>
              <w:fldChar w:fldCharType="end"/>
            </w:r>
            <w:r w:rsidRPr="00F36BCA">
              <w:rPr>
                <w:rFonts w:ascii="Arial Narrow" w:hAnsi="Arial Narrow"/>
                <w:sz w:val="20"/>
                <w:szCs w:val="20"/>
              </w:rPr>
              <w:t xml:space="preserve">Dental </w:t>
            </w:r>
            <w:r w:rsidRPr="00F36BCA">
              <w:rPr>
                <w:rFonts w:ascii="Arial Narrow" w:hAnsi="Arial Narrow"/>
                <w:sz w:val="20"/>
                <w:szCs w:val="20"/>
              </w:rPr>
              <w:fldChar w:fldCharType="begin">
                <w:ffData>
                  <w:name w:val=""/>
                  <w:enabled/>
                  <w:calcOnExit w:val="0"/>
                  <w:checkBox>
                    <w:sizeAuto/>
                    <w:default w:val="1"/>
                  </w:checkBox>
                </w:ffData>
              </w:fldChar>
            </w:r>
            <w:r w:rsidRPr="00F36BCA">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F36BCA">
              <w:rPr>
                <w:rFonts w:ascii="Arial Narrow" w:hAnsi="Arial Narrow"/>
                <w:sz w:val="20"/>
                <w:szCs w:val="20"/>
              </w:rPr>
              <w:fldChar w:fldCharType="end"/>
            </w:r>
            <w:r w:rsidRPr="00F36BCA">
              <w:rPr>
                <w:rFonts w:ascii="Arial Narrow" w:hAnsi="Arial Narrow"/>
                <w:sz w:val="20"/>
                <w:szCs w:val="20"/>
              </w:rPr>
              <w:t xml:space="preserve">Medical Practitioners </w:t>
            </w:r>
            <w:r w:rsidRPr="00F36BCA">
              <w:rPr>
                <w:rFonts w:ascii="Arial Narrow" w:hAnsi="Arial Narrow"/>
                <w:sz w:val="20"/>
                <w:szCs w:val="20"/>
              </w:rPr>
              <w:fldChar w:fldCharType="begin">
                <w:ffData>
                  <w:name w:val="Check3"/>
                  <w:enabled/>
                  <w:calcOnExit w:val="0"/>
                  <w:checkBox>
                    <w:sizeAuto/>
                    <w:default w:val="0"/>
                  </w:checkBox>
                </w:ffData>
              </w:fldChar>
            </w:r>
            <w:r w:rsidRPr="00F36BCA">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F36BCA">
              <w:rPr>
                <w:rFonts w:ascii="Arial Narrow" w:hAnsi="Arial Narrow"/>
                <w:sz w:val="20"/>
                <w:szCs w:val="20"/>
              </w:rPr>
              <w:fldChar w:fldCharType="end"/>
            </w:r>
            <w:r w:rsidRPr="00F36BCA">
              <w:rPr>
                <w:rFonts w:ascii="Arial Narrow" w:hAnsi="Arial Narrow"/>
                <w:sz w:val="20"/>
                <w:szCs w:val="20"/>
              </w:rPr>
              <w:t xml:space="preserve">Nurse practitioners </w:t>
            </w:r>
            <w:r w:rsidRPr="00F36BCA">
              <w:rPr>
                <w:rFonts w:ascii="Arial Narrow" w:hAnsi="Arial Narrow"/>
                <w:sz w:val="20"/>
                <w:szCs w:val="20"/>
              </w:rPr>
              <w:fldChar w:fldCharType="begin">
                <w:ffData>
                  <w:name w:val=""/>
                  <w:enabled/>
                  <w:calcOnExit w:val="0"/>
                  <w:checkBox>
                    <w:sizeAuto/>
                    <w:default w:val="0"/>
                  </w:checkBox>
                </w:ffData>
              </w:fldChar>
            </w:r>
            <w:r w:rsidRPr="00F36BCA">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F36BCA">
              <w:rPr>
                <w:rFonts w:ascii="Arial Narrow" w:hAnsi="Arial Narrow"/>
                <w:sz w:val="20"/>
                <w:szCs w:val="20"/>
              </w:rPr>
              <w:fldChar w:fldCharType="end"/>
            </w:r>
            <w:r w:rsidRPr="00F36BCA">
              <w:rPr>
                <w:rFonts w:ascii="Arial Narrow" w:hAnsi="Arial Narrow"/>
                <w:sz w:val="20"/>
                <w:szCs w:val="20"/>
              </w:rPr>
              <w:t>Optometrists</w:t>
            </w:r>
          </w:p>
          <w:p w:rsidR="00B405A6" w:rsidRPr="009D03FE" w:rsidRDefault="00B405A6" w:rsidP="00160C7E">
            <w:pPr>
              <w:autoSpaceDE w:val="0"/>
              <w:autoSpaceDN w:val="0"/>
              <w:adjustRightInd w:val="0"/>
              <w:spacing w:line="276" w:lineRule="auto"/>
              <w:jc w:val="left"/>
              <w:rPr>
                <w:rFonts w:ascii="Arial Narrow" w:hAnsi="Arial Narrow"/>
                <w:color w:val="000000"/>
                <w:sz w:val="20"/>
                <w:szCs w:val="18"/>
              </w:rPr>
            </w:pPr>
            <w:r w:rsidRPr="00F36BCA">
              <w:rPr>
                <w:rFonts w:ascii="Arial Narrow" w:hAnsi="Arial Narrow"/>
                <w:sz w:val="20"/>
                <w:szCs w:val="20"/>
              </w:rPr>
              <w:fldChar w:fldCharType="begin">
                <w:ffData>
                  <w:name w:val="Check5"/>
                  <w:enabled/>
                  <w:calcOnExit w:val="0"/>
                  <w:checkBox>
                    <w:sizeAuto/>
                    <w:default w:val="0"/>
                  </w:checkBox>
                </w:ffData>
              </w:fldChar>
            </w:r>
            <w:r w:rsidRPr="00F36BCA">
              <w:rPr>
                <w:rFonts w:ascii="Arial Narrow" w:hAnsi="Arial Narrow"/>
                <w:sz w:val="20"/>
                <w:szCs w:val="20"/>
              </w:rPr>
              <w:instrText xml:space="preserve"> FORMCHECKBOX </w:instrText>
            </w:r>
            <w:r w:rsidR="0017242B">
              <w:rPr>
                <w:rFonts w:ascii="Arial Narrow" w:hAnsi="Arial Narrow"/>
                <w:sz w:val="20"/>
                <w:szCs w:val="20"/>
              </w:rPr>
            </w:r>
            <w:r w:rsidR="0017242B">
              <w:rPr>
                <w:rFonts w:ascii="Arial Narrow" w:hAnsi="Arial Narrow"/>
                <w:sz w:val="20"/>
                <w:szCs w:val="20"/>
              </w:rPr>
              <w:fldChar w:fldCharType="separate"/>
            </w:r>
            <w:r w:rsidRPr="00F36BCA">
              <w:rPr>
                <w:rFonts w:ascii="Arial Narrow" w:hAnsi="Arial Narrow"/>
                <w:sz w:val="20"/>
                <w:szCs w:val="20"/>
              </w:rPr>
              <w:fldChar w:fldCharType="end"/>
            </w:r>
            <w:r w:rsidRPr="00F36BCA">
              <w:rPr>
                <w:rFonts w:ascii="Arial Narrow" w:hAnsi="Arial Narrow"/>
                <w:sz w:val="20"/>
                <w:szCs w:val="20"/>
              </w:rPr>
              <w:t>Midwives</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autoSpaceDE w:val="0"/>
              <w:autoSpaceDN w:val="0"/>
              <w:adjustRightInd w:val="0"/>
              <w:spacing w:line="276" w:lineRule="auto"/>
              <w:jc w:val="left"/>
              <w:rPr>
                <w:rFonts w:ascii="Arial Narrow" w:hAnsi="Arial Narrow"/>
                <w:color w:val="000000"/>
                <w:sz w:val="20"/>
                <w:szCs w:val="20"/>
              </w:rPr>
            </w:pPr>
            <w:r w:rsidRPr="00B405A6">
              <w:rPr>
                <w:rFonts w:ascii="Arial Narrow" w:hAnsi="Arial Narrow"/>
                <w:sz w:val="20"/>
                <w:szCs w:val="20"/>
                <w:lang w:eastAsia="en-AU"/>
              </w:rPr>
              <w:t>PBS Indication:</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autoSpaceDE w:val="0"/>
              <w:autoSpaceDN w:val="0"/>
              <w:adjustRightInd w:val="0"/>
              <w:spacing w:line="276" w:lineRule="auto"/>
              <w:jc w:val="left"/>
              <w:rPr>
                <w:rFonts w:ascii="Arial Narrow" w:hAnsi="Arial Narrow"/>
                <w:color w:val="000000"/>
                <w:sz w:val="20"/>
                <w:szCs w:val="18"/>
              </w:rPr>
            </w:pPr>
            <w:proofErr w:type="spellStart"/>
            <w:r>
              <w:rPr>
                <w:rFonts w:ascii="Arial Narrow" w:hAnsi="Arial Narrow"/>
                <w:color w:val="000000"/>
                <w:sz w:val="20"/>
                <w:szCs w:val="18"/>
              </w:rPr>
              <w:t>Polycythemia</w:t>
            </w:r>
            <w:proofErr w:type="spellEnd"/>
            <w:r>
              <w:rPr>
                <w:rFonts w:ascii="Arial Narrow" w:hAnsi="Arial Narrow"/>
                <w:color w:val="000000"/>
                <w:sz w:val="20"/>
                <w:szCs w:val="18"/>
              </w:rPr>
              <w:t xml:space="preserve"> </w:t>
            </w:r>
            <w:proofErr w:type="spellStart"/>
            <w:r>
              <w:rPr>
                <w:rFonts w:ascii="Arial Narrow" w:hAnsi="Arial Narrow"/>
                <w:color w:val="000000"/>
                <w:sz w:val="20"/>
                <w:szCs w:val="18"/>
              </w:rPr>
              <w:t>vera</w:t>
            </w:r>
            <w:proofErr w:type="spellEnd"/>
            <w:r>
              <w:rPr>
                <w:rFonts w:ascii="Arial Narrow" w:hAnsi="Arial Narrow"/>
                <w:color w:val="000000"/>
                <w:sz w:val="20"/>
                <w:szCs w:val="18"/>
              </w:rPr>
              <w:t xml:space="preserve"> </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autoSpaceDE w:val="0"/>
              <w:autoSpaceDN w:val="0"/>
              <w:adjustRightInd w:val="0"/>
              <w:spacing w:line="276" w:lineRule="auto"/>
              <w:jc w:val="left"/>
              <w:rPr>
                <w:rFonts w:ascii="Arial Narrow" w:hAnsi="Arial Narrow"/>
                <w:color w:val="000000"/>
                <w:sz w:val="20"/>
                <w:szCs w:val="20"/>
              </w:rPr>
            </w:pPr>
            <w:r w:rsidRPr="00B405A6">
              <w:rPr>
                <w:rFonts w:ascii="Arial Narrow" w:hAnsi="Arial Narrow"/>
                <w:sz w:val="20"/>
                <w:szCs w:val="20"/>
                <w:lang w:eastAsia="en-AU"/>
              </w:rPr>
              <w:t>Treatment phase:</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autoSpaceDE w:val="0"/>
              <w:autoSpaceDN w:val="0"/>
              <w:adjustRightInd w:val="0"/>
              <w:spacing w:line="276" w:lineRule="auto"/>
              <w:jc w:val="left"/>
              <w:rPr>
                <w:rFonts w:ascii="Arial Narrow" w:hAnsi="Arial Narrow"/>
                <w:color w:val="000000"/>
                <w:sz w:val="20"/>
                <w:szCs w:val="18"/>
              </w:rPr>
            </w:pPr>
            <w:r w:rsidRPr="009D03FE">
              <w:rPr>
                <w:rFonts w:ascii="Arial Narrow" w:hAnsi="Arial Narrow"/>
                <w:color w:val="000000"/>
                <w:sz w:val="20"/>
                <w:szCs w:val="18"/>
              </w:rPr>
              <w:t>Grandfathering</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autoSpaceDE w:val="0"/>
              <w:autoSpaceDN w:val="0"/>
              <w:adjustRightInd w:val="0"/>
              <w:spacing w:line="276" w:lineRule="auto"/>
              <w:jc w:val="left"/>
              <w:rPr>
                <w:rFonts w:ascii="Arial Narrow" w:hAnsi="Arial Narrow"/>
                <w:sz w:val="20"/>
                <w:szCs w:val="20"/>
                <w:lang w:eastAsia="en-AU"/>
              </w:rPr>
            </w:pPr>
            <w:r w:rsidRPr="00B405A6">
              <w:rPr>
                <w:rFonts w:ascii="Arial Narrow" w:hAnsi="Arial Narrow"/>
                <w:sz w:val="20"/>
                <w:szCs w:val="20"/>
                <w:lang w:eastAsia="en-AU"/>
              </w:rPr>
              <w:t>Restriction Level / Method:</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autoSpaceDE w:val="0"/>
              <w:autoSpaceDN w:val="0"/>
              <w:adjustRightInd w:val="0"/>
              <w:spacing w:line="276" w:lineRule="auto"/>
              <w:jc w:val="left"/>
              <w:rPr>
                <w:rFonts w:ascii="Arial Narrow" w:hAnsi="Arial Narrow"/>
                <w:color w:val="000000"/>
                <w:sz w:val="20"/>
                <w:szCs w:val="18"/>
              </w:rPr>
            </w:pPr>
            <w:r>
              <w:rPr>
                <w:rFonts w:ascii="Arial Narrow" w:hAnsi="Arial Narrow"/>
                <w:sz w:val="20"/>
                <w:szCs w:val="20"/>
                <w:lang w:eastAsia="en-AU"/>
              </w:rPr>
              <w:t>Authority Required – I</w:t>
            </w:r>
            <w:r w:rsidRPr="00F36BCA">
              <w:rPr>
                <w:rFonts w:ascii="Arial Narrow" w:hAnsi="Arial Narrow"/>
                <w:sz w:val="20"/>
                <w:szCs w:val="20"/>
                <w:lang w:eastAsia="en-AU"/>
              </w:rPr>
              <w:t>n writing</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B405A6" w:rsidRDefault="00B405A6" w:rsidP="00160C7E">
            <w:pPr>
              <w:snapToGrid w:val="0"/>
              <w:jc w:val="left"/>
              <w:rPr>
                <w:rFonts w:ascii="Arial Narrow" w:hAnsi="Arial Narrow"/>
                <w:sz w:val="20"/>
                <w:szCs w:val="20"/>
              </w:rPr>
            </w:pPr>
            <w:r w:rsidRPr="00B405A6">
              <w:rPr>
                <w:rFonts w:ascii="Arial Narrow" w:hAnsi="Arial Narrow"/>
                <w:sz w:val="20"/>
                <w:szCs w:val="20"/>
                <w:lang w:eastAsia="en-AU"/>
              </w:rPr>
              <w:t>Clinical criteria:</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snapToGrid w:val="0"/>
              <w:jc w:val="left"/>
              <w:rPr>
                <w:rFonts w:ascii="Arial Narrow" w:hAnsi="Arial Narrow"/>
                <w:sz w:val="20"/>
                <w:szCs w:val="18"/>
              </w:rPr>
            </w:pPr>
            <w:r w:rsidRPr="009D03FE">
              <w:rPr>
                <w:rFonts w:ascii="Arial Narrow" w:hAnsi="Arial Narrow"/>
                <w:sz w:val="20"/>
                <w:szCs w:val="18"/>
              </w:rPr>
              <w:t xml:space="preserve">The condition must be </w:t>
            </w:r>
            <w:proofErr w:type="spellStart"/>
            <w:r w:rsidRPr="009D03FE">
              <w:rPr>
                <w:rFonts w:ascii="Arial Narrow" w:hAnsi="Arial Narrow"/>
                <w:sz w:val="20"/>
                <w:szCs w:val="18"/>
              </w:rPr>
              <w:t>polycythemia</w:t>
            </w:r>
            <w:proofErr w:type="spellEnd"/>
            <w:r w:rsidRPr="009D03FE">
              <w:rPr>
                <w:rFonts w:ascii="Arial Narrow" w:hAnsi="Arial Narrow"/>
                <w:sz w:val="20"/>
                <w:szCs w:val="18"/>
              </w:rPr>
              <w:t xml:space="preserve"> </w:t>
            </w:r>
            <w:proofErr w:type="spellStart"/>
            <w:r w:rsidRPr="009D03FE">
              <w:rPr>
                <w:rFonts w:ascii="Arial Narrow" w:hAnsi="Arial Narrow"/>
                <w:sz w:val="20"/>
                <w:szCs w:val="18"/>
              </w:rPr>
              <w:t>vera</w:t>
            </w:r>
            <w:proofErr w:type="spellEnd"/>
            <w:r w:rsidR="00387E3B">
              <w:rPr>
                <w:rFonts w:ascii="Arial Narrow" w:hAnsi="Arial Narrow"/>
                <w:sz w:val="20"/>
                <w:szCs w:val="18"/>
              </w:rPr>
              <w:t>,</w:t>
            </w:r>
          </w:p>
          <w:p w:rsidR="00B405A6" w:rsidRPr="009D03FE" w:rsidRDefault="00B405A6" w:rsidP="00160C7E">
            <w:pPr>
              <w:snapToGrid w:val="0"/>
              <w:jc w:val="left"/>
              <w:rPr>
                <w:rFonts w:ascii="Arial Narrow" w:hAnsi="Arial Narrow"/>
                <w:sz w:val="20"/>
                <w:szCs w:val="18"/>
              </w:rPr>
            </w:pPr>
            <w:r w:rsidRPr="009D03FE">
              <w:rPr>
                <w:rFonts w:ascii="Arial Narrow" w:hAnsi="Arial Narrow"/>
                <w:sz w:val="20"/>
                <w:szCs w:val="18"/>
              </w:rPr>
              <w:t xml:space="preserve">AND </w:t>
            </w:r>
          </w:p>
          <w:p w:rsidR="00B405A6" w:rsidRPr="009D03FE" w:rsidRDefault="00B405A6" w:rsidP="00160C7E">
            <w:pPr>
              <w:snapToGrid w:val="0"/>
              <w:jc w:val="left"/>
              <w:rPr>
                <w:rFonts w:ascii="Arial Narrow" w:hAnsi="Arial Narrow"/>
                <w:sz w:val="20"/>
                <w:szCs w:val="18"/>
              </w:rPr>
            </w:pPr>
            <w:r w:rsidRPr="009D03FE">
              <w:rPr>
                <w:rFonts w:ascii="Arial Narrow" w:hAnsi="Arial Narrow"/>
                <w:sz w:val="20"/>
                <w:szCs w:val="18"/>
              </w:rPr>
              <w:t xml:space="preserve">Patient must be resistant to or intolerant of </w:t>
            </w:r>
            <w:proofErr w:type="spellStart"/>
            <w:r w:rsidRPr="009D03FE">
              <w:rPr>
                <w:rFonts w:ascii="Arial Narrow" w:hAnsi="Arial Narrow"/>
                <w:sz w:val="20"/>
                <w:szCs w:val="18"/>
              </w:rPr>
              <w:t>hydroxycarbamide</w:t>
            </w:r>
            <w:proofErr w:type="spellEnd"/>
            <w:r w:rsidRPr="009D03FE">
              <w:rPr>
                <w:rFonts w:ascii="Arial Narrow" w:hAnsi="Arial Narrow"/>
                <w:sz w:val="20"/>
                <w:szCs w:val="18"/>
              </w:rPr>
              <w:t xml:space="preserve"> (</w:t>
            </w:r>
            <w:proofErr w:type="spellStart"/>
            <w:r w:rsidRPr="009D03FE">
              <w:rPr>
                <w:rFonts w:ascii="Arial Narrow" w:hAnsi="Arial Narrow"/>
                <w:sz w:val="20"/>
                <w:szCs w:val="18"/>
              </w:rPr>
              <w:t>hydroxyurea</w:t>
            </w:r>
            <w:proofErr w:type="spellEnd"/>
            <w:r w:rsidRPr="009D03FE">
              <w:rPr>
                <w:rFonts w:ascii="Arial Narrow" w:hAnsi="Arial Narrow"/>
                <w:sz w:val="20"/>
                <w:szCs w:val="18"/>
              </w:rPr>
              <w:t>)</w:t>
            </w:r>
            <w:r w:rsidR="00387E3B">
              <w:rPr>
                <w:rFonts w:ascii="Arial Narrow" w:hAnsi="Arial Narrow"/>
                <w:sz w:val="20"/>
                <w:szCs w:val="18"/>
              </w:rPr>
              <w:t>,</w:t>
            </w:r>
          </w:p>
          <w:p w:rsidR="00B405A6" w:rsidRPr="009D03FE" w:rsidRDefault="00B405A6" w:rsidP="00160C7E">
            <w:pPr>
              <w:snapToGrid w:val="0"/>
              <w:jc w:val="left"/>
              <w:rPr>
                <w:rFonts w:ascii="Arial Narrow" w:hAnsi="Arial Narrow"/>
                <w:sz w:val="20"/>
                <w:szCs w:val="18"/>
              </w:rPr>
            </w:pPr>
            <w:r w:rsidRPr="009D03FE">
              <w:rPr>
                <w:rFonts w:ascii="Arial Narrow" w:hAnsi="Arial Narrow"/>
                <w:sz w:val="20"/>
                <w:szCs w:val="18"/>
              </w:rPr>
              <w:t>AND</w:t>
            </w:r>
          </w:p>
          <w:p w:rsidR="00B405A6" w:rsidRPr="009D03FE" w:rsidRDefault="00B405A6" w:rsidP="00160C7E">
            <w:pPr>
              <w:autoSpaceDE w:val="0"/>
              <w:autoSpaceDN w:val="0"/>
              <w:adjustRightInd w:val="0"/>
              <w:spacing w:line="276" w:lineRule="auto"/>
              <w:jc w:val="left"/>
              <w:rPr>
                <w:rFonts w:ascii="Arial Narrow" w:hAnsi="Arial Narrow"/>
                <w:color w:val="000000"/>
                <w:sz w:val="20"/>
                <w:szCs w:val="18"/>
              </w:rPr>
            </w:pPr>
            <w:r w:rsidRPr="009D03FE">
              <w:rPr>
                <w:rFonts w:ascii="Arial Narrow" w:hAnsi="Arial Narrow"/>
                <w:sz w:val="20"/>
                <w:szCs w:val="18"/>
              </w:rPr>
              <w:t>Patient must have previously been treated with ruxolitinib for this condition and demonstrate an adequate response to treatment within 6 months</w:t>
            </w:r>
            <w:r w:rsidR="00387E3B">
              <w:rPr>
                <w:rFonts w:ascii="Arial Narrow" w:hAnsi="Arial Narrow"/>
                <w:sz w:val="20"/>
                <w:szCs w:val="18"/>
              </w:rPr>
              <w:t>.</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F17EBF" w:rsidRDefault="00B405A6" w:rsidP="00160C7E">
            <w:pPr>
              <w:snapToGrid w:val="0"/>
              <w:rPr>
                <w:rFonts w:ascii="Arial Narrow" w:hAnsi="Arial Narrow"/>
                <w:sz w:val="20"/>
                <w:szCs w:val="20"/>
              </w:rPr>
            </w:pPr>
            <w:r w:rsidRPr="00F17EBF">
              <w:rPr>
                <w:rFonts w:ascii="Arial Narrow" w:hAnsi="Arial Narrow"/>
                <w:sz w:val="20"/>
                <w:szCs w:val="20"/>
                <w:lang w:eastAsia="en-AU"/>
              </w:rPr>
              <w:t>Prescriber Instructions:</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F36BCA" w:rsidRDefault="00B405A6" w:rsidP="00160C7E">
            <w:pPr>
              <w:snapToGrid w:val="0"/>
              <w:rPr>
                <w:rFonts w:ascii="Arial Narrow" w:hAnsi="Arial Narrow"/>
                <w:sz w:val="20"/>
                <w:szCs w:val="20"/>
              </w:rPr>
            </w:pPr>
            <w:r w:rsidRPr="00F36BCA">
              <w:rPr>
                <w:rFonts w:ascii="Arial Narrow" w:hAnsi="Arial Narrow"/>
                <w:sz w:val="20"/>
                <w:szCs w:val="20"/>
              </w:rPr>
              <w:t>The authority form must be made in writing and include:</w:t>
            </w:r>
          </w:p>
          <w:p w:rsidR="00B405A6" w:rsidRPr="00F36BCA" w:rsidRDefault="00B405A6" w:rsidP="00160C7E">
            <w:pPr>
              <w:snapToGrid w:val="0"/>
              <w:rPr>
                <w:rFonts w:ascii="Arial Narrow" w:hAnsi="Arial Narrow"/>
                <w:sz w:val="20"/>
                <w:szCs w:val="20"/>
              </w:rPr>
            </w:pPr>
            <w:r w:rsidRPr="00F36BCA">
              <w:rPr>
                <w:rFonts w:ascii="Arial Narrow" w:hAnsi="Arial Narrow"/>
                <w:sz w:val="20"/>
                <w:szCs w:val="20"/>
              </w:rPr>
              <w:t xml:space="preserve">(1)  A completed authority prescription form; and </w:t>
            </w:r>
          </w:p>
          <w:p w:rsidR="00B405A6" w:rsidRPr="00F36BCA" w:rsidRDefault="00B405A6" w:rsidP="00160C7E">
            <w:pPr>
              <w:snapToGrid w:val="0"/>
              <w:rPr>
                <w:rFonts w:ascii="Arial Narrow" w:hAnsi="Arial Narrow"/>
                <w:sz w:val="20"/>
                <w:szCs w:val="20"/>
              </w:rPr>
            </w:pPr>
            <w:r w:rsidRPr="00F36BCA">
              <w:rPr>
                <w:rFonts w:ascii="Arial Narrow" w:hAnsi="Arial Narrow"/>
                <w:sz w:val="20"/>
                <w:szCs w:val="20"/>
              </w:rPr>
              <w:t xml:space="preserve">(2) A completed </w:t>
            </w:r>
            <w:proofErr w:type="spellStart"/>
            <w:r w:rsidRPr="00F36BCA">
              <w:rPr>
                <w:rFonts w:ascii="Arial Narrow" w:hAnsi="Arial Narrow"/>
                <w:sz w:val="20"/>
                <w:szCs w:val="20"/>
              </w:rPr>
              <w:t>Polycythemia</w:t>
            </w:r>
            <w:proofErr w:type="spellEnd"/>
            <w:r w:rsidRPr="00F36BCA">
              <w:rPr>
                <w:rFonts w:ascii="Arial Narrow" w:hAnsi="Arial Narrow"/>
                <w:sz w:val="20"/>
                <w:szCs w:val="20"/>
              </w:rPr>
              <w:t xml:space="preserve"> Vera Authority Application, which includes all of the following:</w:t>
            </w:r>
          </w:p>
          <w:p w:rsidR="00B405A6" w:rsidRPr="00F36BCA" w:rsidRDefault="00B405A6" w:rsidP="00160C7E">
            <w:pPr>
              <w:snapToGrid w:val="0"/>
              <w:rPr>
                <w:rFonts w:ascii="Arial Narrow" w:hAnsi="Arial Narrow"/>
                <w:sz w:val="20"/>
                <w:szCs w:val="20"/>
              </w:rPr>
            </w:pPr>
            <w:r w:rsidRPr="00F36BCA">
              <w:rPr>
                <w:rFonts w:ascii="Arial Narrow" w:hAnsi="Arial Narrow"/>
                <w:sz w:val="20"/>
                <w:szCs w:val="20"/>
              </w:rPr>
              <w:t>(A) A copy of pathology report from an approved pathology authority confirming evidence of a JAK2 mutation</w:t>
            </w:r>
          </w:p>
          <w:p w:rsidR="00B405A6" w:rsidRPr="00F36BCA" w:rsidRDefault="00B405A6" w:rsidP="00160C7E">
            <w:pPr>
              <w:snapToGrid w:val="0"/>
              <w:jc w:val="left"/>
              <w:rPr>
                <w:rFonts w:ascii="Arial Narrow" w:hAnsi="Arial Narrow"/>
                <w:sz w:val="20"/>
                <w:szCs w:val="18"/>
              </w:rPr>
            </w:pPr>
            <w:r w:rsidRPr="00F36BCA">
              <w:rPr>
                <w:rFonts w:ascii="Arial Narrow" w:hAnsi="Arial Narrow"/>
                <w:sz w:val="20"/>
                <w:szCs w:val="20"/>
              </w:rPr>
              <w:t>(B) Supporting pathology reports</w:t>
            </w:r>
          </w:p>
        </w:tc>
      </w:tr>
      <w:tr w:rsidR="00B405A6" w:rsidRPr="009D03FE" w:rsidTr="00B1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626" w:type="pct"/>
            <w:gridSpan w:val="2"/>
            <w:tcBorders>
              <w:top w:val="single" w:sz="4" w:space="0" w:color="auto"/>
              <w:left w:val="single" w:sz="4" w:space="0" w:color="auto"/>
              <w:bottom w:val="single" w:sz="4" w:space="0" w:color="auto"/>
              <w:right w:val="single" w:sz="4" w:space="0" w:color="auto"/>
            </w:tcBorders>
          </w:tcPr>
          <w:p w:rsidR="00B405A6" w:rsidRPr="00F17EBF" w:rsidRDefault="00B405A6" w:rsidP="00160C7E">
            <w:pPr>
              <w:snapToGrid w:val="0"/>
              <w:jc w:val="left"/>
              <w:rPr>
                <w:rFonts w:ascii="Arial Narrow" w:hAnsi="Arial Narrow"/>
                <w:sz w:val="20"/>
                <w:szCs w:val="20"/>
              </w:rPr>
            </w:pPr>
            <w:r w:rsidRPr="00F17EBF">
              <w:rPr>
                <w:rFonts w:ascii="Arial Narrow" w:hAnsi="Arial Narrow"/>
                <w:sz w:val="20"/>
                <w:szCs w:val="20"/>
                <w:lang w:eastAsia="en-AU"/>
              </w:rPr>
              <w:t>Note:</w:t>
            </w:r>
          </w:p>
        </w:tc>
        <w:tc>
          <w:tcPr>
            <w:tcW w:w="3374" w:type="pct"/>
            <w:gridSpan w:val="6"/>
            <w:tcBorders>
              <w:top w:val="single" w:sz="4" w:space="0" w:color="auto"/>
              <w:left w:val="single" w:sz="4" w:space="0" w:color="auto"/>
              <w:bottom w:val="single" w:sz="4" w:space="0" w:color="auto"/>
              <w:right w:val="single" w:sz="4" w:space="0" w:color="auto"/>
            </w:tcBorders>
          </w:tcPr>
          <w:p w:rsidR="00B405A6" w:rsidRPr="009D03FE" w:rsidRDefault="00B405A6" w:rsidP="00160C7E">
            <w:pPr>
              <w:snapToGrid w:val="0"/>
              <w:jc w:val="left"/>
              <w:rPr>
                <w:rFonts w:ascii="Arial Narrow" w:hAnsi="Arial Narrow"/>
                <w:sz w:val="20"/>
                <w:szCs w:val="18"/>
              </w:rPr>
            </w:pPr>
            <w:r w:rsidRPr="009D03FE">
              <w:rPr>
                <w:rFonts w:ascii="Arial Narrow" w:hAnsi="Arial Narrow"/>
                <w:sz w:val="20"/>
                <w:szCs w:val="18"/>
              </w:rPr>
              <w:t>Response to treatment with ruxolitinib is defined as:</w:t>
            </w:r>
          </w:p>
          <w:p w:rsidR="00B405A6" w:rsidRPr="009D03FE" w:rsidRDefault="00B405A6" w:rsidP="00276007">
            <w:pPr>
              <w:widowControl/>
              <w:numPr>
                <w:ilvl w:val="0"/>
                <w:numId w:val="8"/>
              </w:numPr>
              <w:snapToGrid w:val="0"/>
              <w:ind w:left="243" w:hanging="243"/>
              <w:contextualSpacing/>
              <w:jc w:val="left"/>
              <w:rPr>
                <w:rFonts w:ascii="Arial Narrow" w:hAnsi="Arial Narrow"/>
                <w:sz w:val="20"/>
                <w:szCs w:val="18"/>
              </w:rPr>
            </w:pPr>
            <w:r w:rsidRPr="009D03FE">
              <w:rPr>
                <w:rFonts w:ascii="Arial Narrow" w:hAnsi="Arial Narrow"/>
                <w:sz w:val="20"/>
                <w:szCs w:val="18"/>
              </w:rPr>
              <w:t>HCT</w:t>
            </w:r>
            <w:r>
              <w:rPr>
                <w:rFonts w:ascii="Arial Narrow" w:hAnsi="Arial Narrow"/>
                <w:sz w:val="20"/>
                <w:szCs w:val="18"/>
              </w:rPr>
              <w:t xml:space="preserve"> &lt;</w:t>
            </w:r>
            <w:r w:rsidRPr="009D03FE">
              <w:rPr>
                <w:rFonts w:ascii="Arial Narrow" w:hAnsi="Arial Narrow"/>
                <w:sz w:val="20"/>
                <w:szCs w:val="18"/>
              </w:rPr>
              <w:t>45% without phlebotomy (at least 3 months since last phlebotom</w:t>
            </w:r>
            <w:r w:rsidR="00387E3B">
              <w:rPr>
                <w:rFonts w:ascii="Arial Narrow" w:hAnsi="Arial Narrow"/>
                <w:sz w:val="20"/>
                <w:szCs w:val="18"/>
              </w:rPr>
              <w:t>y);</w:t>
            </w:r>
            <w:r w:rsidRPr="009D03FE">
              <w:rPr>
                <w:rFonts w:ascii="Arial Narrow" w:hAnsi="Arial Narrow"/>
                <w:sz w:val="20"/>
                <w:szCs w:val="18"/>
              </w:rPr>
              <w:t xml:space="preserve"> OR </w:t>
            </w:r>
          </w:p>
          <w:p w:rsidR="00B405A6" w:rsidRPr="009D03FE" w:rsidRDefault="00B405A6" w:rsidP="00276007">
            <w:pPr>
              <w:widowControl/>
              <w:numPr>
                <w:ilvl w:val="0"/>
                <w:numId w:val="8"/>
              </w:numPr>
              <w:snapToGrid w:val="0"/>
              <w:ind w:left="243" w:hanging="243"/>
              <w:contextualSpacing/>
              <w:jc w:val="left"/>
              <w:rPr>
                <w:rFonts w:ascii="Arial Narrow" w:hAnsi="Arial Narrow"/>
                <w:sz w:val="20"/>
                <w:szCs w:val="18"/>
              </w:rPr>
            </w:pPr>
            <w:r w:rsidRPr="009D03FE">
              <w:rPr>
                <w:rFonts w:ascii="Arial Narrow" w:hAnsi="Arial Narrow"/>
                <w:sz w:val="20"/>
                <w:szCs w:val="18"/>
              </w:rPr>
              <w:t>Both of the follow</w:t>
            </w:r>
            <w:r>
              <w:rPr>
                <w:rFonts w:ascii="Arial Narrow" w:hAnsi="Arial Narrow"/>
                <w:sz w:val="20"/>
                <w:szCs w:val="18"/>
              </w:rPr>
              <w:t>ing; platelet count ≤</w:t>
            </w:r>
            <w:r w:rsidRPr="009D03FE">
              <w:rPr>
                <w:rFonts w:ascii="Arial Narrow" w:hAnsi="Arial Narrow"/>
                <w:sz w:val="20"/>
                <w:szCs w:val="18"/>
              </w:rPr>
              <w:t>400 x 10</w:t>
            </w:r>
            <w:r w:rsidRPr="009D03FE">
              <w:rPr>
                <w:rFonts w:ascii="Arial Narrow" w:hAnsi="Arial Narrow"/>
                <w:sz w:val="20"/>
                <w:szCs w:val="18"/>
                <w:vertAlign w:val="superscript"/>
              </w:rPr>
              <w:t>9</w:t>
            </w:r>
            <w:r w:rsidRPr="009D03FE">
              <w:rPr>
                <w:rFonts w:ascii="Arial Narrow" w:hAnsi="Arial Narrow"/>
                <w:sz w:val="20"/>
                <w:szCs w:val="18"/>
              </w:rPr>
              <w:t xml:space="preserve">/L AND absence of palpable splenomegaly.  </w:t>
            </w:r>
          </w:p>
          <w:p w:rsidR="00B405A6" w:rsidRPr="009D03FE" w:rsidRDefault="00B405A6" w:rsidP="00160C7E">
            <w:pPr>
              <w:autoSpaceDE w:val="0"/>
              <w:autoSpaceDN w:val="0"/>
              <w:adjustRightInd w:val="0"/>
              <w:spacing w:line="276" w:lineRule="auto"/>
              <w:jc w:val="left"/>
              <w:rPr>
                <w:rFonts w:ascii="Arial Narrow" w:hAnsi="Arial Narrow"/>
                <w:color w:val="000000"/>
                <w:sz w:val="20"/>
                <w:szCs w:val="18"/>
              </w:rPr>
            </w:pPr>
            <w:r w:rsidRPr="009D03FE">
              <w:rPr>
                <w:rFonts w:ascii="Arial Narrow" w:hAnsi="Arial Narrow"/>
                <w:sz w:val="20"/>
                <w:szCs w:val="18"/>
              </w:rPr>
              <w:t>Patients must maintain a response to continue receiv</w:t>
            </w:r>
            <w:r>
              <w:rPr>
                <w:rFonts w:ascii="Arial Narrow" w:hAnsi="Arial Narrow"/>
                <w:sz w:val="20"/>
                <w:szCs w:val="18"/>
              </w:rPr>
              <w:t>ing treatment with ruxolitinib.</w:t>
            </w:r>
          </w:p>
        </w:tc>
      </w:tr>
    </w:tbl>
    <w:p w:rsidR="005C750E" w:rsidRDefault="005C750E" w:rsidP="005C750E">
      <w:pPr>
        <w:pStyle w:val="ListParagraph"/>
        <w:widowControl/>
        <w:spacing w:before="120" w:after="120"/>
      </w:pPr>
    </w:p>
    <w:p w:rsidR="00D65B1C" w:rsidRPr="002B3792" w:rsidRDefault="00D65B1C" w:rsidP="00FE6CA5">
      <w:pPr>
        <w:pStyle w:val="ListParagraph"/>
        <w:widowControl/>
        <w:numPr>
          <w:ilvl w:val="1"/>
          <w:numId w:val="2"/>
        </w:numPr>
        <w:spacing w:before="120" w:after="120"/>
      </w:pPr>
      <w:r w:rsidRPr="002B3792">
        <w:t>A special pricing arrangement was proposed by the submission.  All four strengths of ruxolitini</w:t>
      </w:r>
      <w:r w:rsidR="009D03FE" w:rsidRPr="002B3792">
        <w:t>b (5mg, 10mg, 15mg and 20mg) have</w:t>
      </w:r>
      <w:r w:rsidRPr="002B3792">
        <w:t xml:space="preserve"> a published DPMQ of $5152.13 and an effective DPMQ of $</w:t>
      </w:r>
      <w:r w:rsidR="004A4EFC">
        <w:rPr>
          <w:noProof/>
          <w:color w:val="000000"/>
          <w:highlight w:val="black"/>
        </w:rPr>
        <w:t>''''''''''</w:t>
      </w:r>
      <w:r w:rsidRPr="002B3792">
        <w:t>, for a rebate of $</w:t>
      </w:r>
      <w:r w:rsidR="004A4EFC">
        <w:rPr>
          <w:noProof/>
          <w:color w:val="000000"/>
          <w:highlight w:val="black"/>
        </w:rPr>
        <w:t>'''''''''''''''''</w:t>
      </w:r>
      <w:r w:rsidRPr="002B3792">
        <w:t xml:space="preserve"> per box.</w:t>
      </w:r>
    </w:p>
    <w:p w:rsidR="0076058F" w:rsidRPr="0076058F" w:rsidRDefault="00D65B1C" w:rsidP="00FE6CA5">
      <w:pPr>
        <w:pStyle w:val="ListParagraph"/>
        <w:widowControl/>
        <w:numPr>
          <w:ilvl w:val="1"/>
          <w:numId w:val="2"/>
        </w:numPr>
        <w:spacing w:after="120"/>
      </w:pPr>
      <w:r w:rsidRPr="002B3792">
        <w:t xml:space="preserve">The proposed definition for being resistant or intolerant to HC was based on the European </w:t>
      </w:r>
      <w:proofErr w:type="spellStart"/>
      <w:r w:rsidRPr="002B3792">
        <w:t>LeukemiaNet</w:t>
      </w:r>
      <w:proofErr w:type="spellEnd"/>
      <w:r w:rsidRPr="002B3792">
        <w:t xml:space="preserve"> (ELN) criteria.  The ELN is an appropriate source for the definition for resistance or intolerance to HC.</w:t>
      </w:r>
      <w:r w:rsidR="00B73D03" w:rsidRPr="002B3792">
        <w:t xml:space="preserve"> The ESC noted that </w:t>
      </w:r>
      <w:r w:rsidR="00DA3D77" w:rsidRPr="002B3792">
        <w:t>the</w:t>
      </w:r>
      <w:r w:rsidR="002B33FD" w:rsidRPr="002B3792">
        <w:t xml:space="preserve"> proposed</w:t>
      </w:r>
      <w:r w:rsidR="00B73D03" w:rsidRPr="002B3792">
        <w:t xml:space="preserve"> definition</w:t>
      </w:r>
      <w:r w:rsidR="00DA3D77" w:rsidRPr="002B3792">
        <w:t>s</w:t>
      </w:r>
      <w:r w:rsidR="00B73D03" w:rsidRPr="002B3792">
        <w:t xml:space="preserve"> </w:t>
      </w:r>
      <w:r w:rsidR="00977496" w:rsidRPr="002B3792">
        <w:t>are a</w:t>
      </w:r>
      <w:r w:rsidR="00B73D03" w:rsidRPr="002B3792">
        <w:t xml:space="preserve"> modified version of the ELN criteria</w:t>
      </w:r>
      <w:r w:rsidR="00977496" w:rsidRPr="002B3792">
        <w:t xml:space="preserve"> from the RESPONSE-2 trial (presented</w:t>
      </w:r>
      <w:r w:rsidR="00E729D0" w:rsidRPr="002B3792">
        <w:t xml:space="preserve"> in the submission</w:t>
      </w:r>
      <w:r w:rsidR="00977496" w:rsidRPr="002B3792">
        <w:t xml:space="preserve"> as a supplementary trial)</w:t>
      </w:r>
      <w:r w:rsidR="006068DD" w:rsidRPr="002B3792">
        <w:t>. Specifically, the proposed modified definitions</w:t>
      </w:r>
      <w:r w:rsidR="006A0837" w:rsidRPr="002B3792">
        <w:t xml:space="preserve"> </w:t>
      </w:r>
      <w:r w:rsidR="006A0837" w:rsidRPr="00FF4AF4">
        <w:t xml:space="preserve">excluded failure to reduce splenomegaly/relieve symptoms related to splenomegaly and </w:t>
      </w:r>
      <w:r w:rsidR="006068DD" w:rsidRPr="00FF4AF4">
        <w:t>the requirement for no disease related symptoms (within</w:t>
      </w:r>
      <w:r w:rsidR="006068DD" w:rsidRPr="00FF4AF4">
        <w:rPr>
          <w:i/>
        </w:rPr>
        <w:t xml:space="preserve"> </w:t>
      </w:r>
      <w:r w:rsidR="006068DD" w:rsidRPr="00FF4AF4">
        <w:t>the definition for complete response)</w:t>
      </w:r>
      <w:r w:rsidR="00B73D03" w:rsidRPr="00FF4AF4">
        <w:t>.</w:t>
      </w:r>
      <w:r w:rsidR="006068DD" w:rsidRPr="00FF4AF4">
        <w:t xml:space="preserve"> As such,</w:t>
      </w:r>
      <w:r w:rsidR="002B33FD" w:rsidRPr="00FF4AF4">
        <w:t xml:space="preserve"> </w:t>
      </w:r>
      <w:r w:rsidR="006068DD" w:rsidRPr="00FF4AF4">
        <w:t>t</w:t>
      </w:r>
      <w:r w:rsidR="002B33FD" w:rsidRPr="00FF4AF4">
        <w:t xml:space="preserve">he ESC considered that the PBS population could potentially be different to the </w:t>
      </w:r>
      <w:r w:rsidR="00AF71AF" w:rsidRPr="00FF4AF4">
        <w:t>populations in the trials.</w:t>
      </w:r>
    </w:p>
    <w:p w:rsidR="00BA543C" w:rsidRPr="002B3792" w:rsidRDefault="00BA543C" w:rsidP="00FE6CA5">
      <w:pPr>
        <w:pStyle w:val="ListParagraph"/>
        <w:widowControl/>
        <w:numPr>
          <w:ilvl w:val="1"/>
          <w:numId w:val="2"/>
        </w:numPr>
        <w:spacing w:after="120"/>
      </w:pPr>
      <w:r w:rsidRPr="002B3792">
        <w:rPr>
          <w:rFonts w:eastAsia="Calibri" w:cs="Times New Roman"/>
          <w:lang w:val="en-US"/>
        </w:rPr>
        <w:t>The ESC noted that JAK2 mutation negative patients represent a minority population of PV patients and therefore considered that the proposed listing should not exclude these patients from access to treatment with ruxolitinib. The ESC noted that the current ruxolitinib listing for the treatment of MF does not include a requirement for patients to test positive for the JAK2 mutation.</w:t>
      </w:r>
      <w:r w:rsidR="004278CA">
        <w:rPr>
          <w:rFonts w:eastAsia="Calibri" w:cs="Times New Roman"/>
          <w:lang w:val="en-US"/>
        </w:rPr>
        <w:t xml:space="preserve"> </w:t>
      </w:r>
    </w:p>
    <w:p w:rsidR="00D65B1C" w:rsidRPr="002B3792" w:rsidRDefault="00D65B1C" w:rsidP="00FE6CA5">
      <w:pPr>
        <w:pStyle w:val="ListParagraph"/>
        <w:widowControl/>
        <w:numPr>
          <w:ilvl w:val="1"/>
          <w:numId w:val="2"/>
        </w:numPr>
        <w:spacing w:after="120"/>
      </w:pPr>
      <w:r w:rsidRPr="002B3792">
        <w:t>The proposed definition of response required for continued treatment in the requested restriction</w:t>
      </w:r>
      <w:r w:rsidR="004A7F8F" w:rsidRPr="002B3792">
        <w:t xml:space="preserve"> was based on the 2009 ELN response criteria but</w:t>
      </w:r>
      <w:r w:rsidRPr="002B3792">
        <w:t xml:space="preserve"> differs to the definition in the clinical trials and the European </w:t>
      </w:r>
      <w:proofErr w:type="spellStart"/>
      <w:r w:rsidRPr="002B3792">
        <w:t>LeukemiaNet</w:t>
      </w:r>
      <w:proofErr w:type="spellEnd"/>
      <w:r w:rsidRPr="002B3792">
        <w:t xml:space="preserve"> (ELN) criteria in two ways:</w:t>
      </w:r>
    </w:p>
    <w:p w:rsidR="00D65B1C" w:rsidRPr="002B3792" w:rsidRDefault="00D65B1C" w:rsidP="00FE6CA5">
      <w:pPr>
        <w:pStyle w:val="ListParagraph"/>
        <w:widowControl/>
        <w:numPr>
          <w:ilvl w:val="0"/>
          <w:numId w:val="11"/>
        </w:numPr>
        <w:spacing w:after="120"/>
        <w:ind w:left="993" w:hanging="284"/>
      </w:pPr>
      <w:r w:rsidRPr="002B3792">
        <w:t>The requirement for white blood cell (WBC)</w:t>
      </w:r>
      <w:r w:rsidR="009D03FE" w:rsidRPr="002B3792">
        <w:t xml:space="preserve"> count ≤</w:t>
      </w:r>
      <w:r w:rsidRPr="002B3792">
        <w:t>10 X 10</w:t>
      </w:r>
      <w:r w:rsidRPr="002B3792">
        <w:rPr>
          <w:vertAlign w:val="superscript"/>
        </w:rPr>
        <w:t>9</w:t>
      </w:r>
      <w:r w:rsidRPr="002B3792">
        <w:t xml:space="preserve">/L </w:t>
      </w:r>
      <w:r w:rsidR="001B6D52" w:rsidRPr="002B3792">
        <w:t xml:space="preserve">was </w:t>
      </w:r>
      <w:r w:rsidRPr="002B3792">
        <w:t xml:space="preserve">excluded based on input from Australian clinicians and evidence from </w:t>
      </w:r>
      <w:r w:rsidR="001B6D52" w:rsidRPr="002B3792">
        <w:t xml:space="preserve">the </w:t>
      </w:r>
      <w:r w:rsidRPr="002B3792">
        <w:t xml:space="preserve">literature.  </w:t>
      </w:r>
      <w:r w:rsidR="00EB1E68" w:rsidRPr="002B3792">
        <w:t xml:space="preserve">Despite the limited evidence presented, the </w:t>
      </w:r>
      <w:r w:rsidR="00CA75C9">
        <w:t>PBAC</w:t>
      </w:r>
      <w:r w:rsidR="007F6B0B">
        <w:t xml:space="preserve"> agreed</w:t>
      </w:r>
      <w:r w:rsidR="00EB1E68" w:rsidRPr="002B3792">
        <w:t xml:space="preserve"> that t</w:t>
      </w:r>
      <w:r w:rsidRPr="002B3792">
        <w:t>his was likely reasonable</w:t>
      </w:r>
      <w:r w:rsidR="00B1572E" w:rsidRPr="002B3792">
        <w:t xml:space="preserve"> as</w:t>
      </w:r>
      <w:r w:rsidR="00EB1E68" w:rsidRPr="002B3792">
        <w:t xml:space="preserve"> </w:t>
      </w:r>
      <w:r w:rsidR="00634186" w:rsidRPr="002B3792">
        <w:t xml:space="preserve">improvement in </w:t>
      </w:r>
      <w:r w:rsidR="00EB1E68" w:rsidRPr="002B3792">
        <w:t xml:space="preserve">WBC count </w:t>
      </w:r>
      <w:r w:rsidR="00634186" w:rsidRPr="002B3792">
        <w:t xml:space="preserve">is not clearly correlated </w:t>
      </w:r>
      <w:r w:rsidR="00EB1E68" w:rsidRPr="002B3792">
        <w:t xml:space="preserve"> to</w:t>
      </w:r>
      <w:r w:rsidR="00634186" w:rsidRPr="002B3792">
        <w:t xml:space="preserve"> improvement in</w:t>
      </w:r>
      <w:r w:rsidR="00EB1E68" w:rsidRPr="002B3792">
        <w:t xml:space="preserve"> </w:t>
      </w:r>
      <w:r w:rsidR="00A70CAD" w:rsidRPr="002B3792">
        <w:t xml:space="preserve">clinical </w:t>
      </w:r>
      <w:r w:rsidR="00EB1E68" w:rsidRPr="002B3792">
        <w:t>outcomes</w:t>
      </w:r>
      <w:r w:rsidRPr="002B3792">
        <w:t>; and</w:t>
      </w:r>
    </w:p>
    <w:p w:rsidR="00D65B1C" w:rsidRPr="002B3792" w:rsidRDefault="00D65B1C" w:rsidP="00FE6CA5">
      <w:pPr>
        <w:pStyle w:val="ListParagraph"/>
        <w:widowControl/>
        <w:numPr>
          <w:ilvl w:val="0"/>
          <w:numId w:val="11"/>
        </w:numPr>
        <w:spacing w:after="120"/>
        <w:ind w:left="993" w:hanging="284"/>
      </w:pPr>
      <w:r w:rsidRPr="002B3792">
        <w:t xml:space="preserve">The ELN criteria for complete response requires ‘normal spleen size on imaging’ but was modified to ‘absence of palpable splenomegaly’ as the submission claimed that imaging for splenomegaly is not routinely done in clinical </w:t>
      </w:r>
      <w:r w:rsidR="001A70B8" w:rsidRPr="002B3792">
        <w:t>practice.</w:t>
      </w:r>
      <w:r w:rsidR="00EB1E68" w:rsidRPr="002B3792">
        <w:t xml:space="preserve"> </w:t>
      </w:r>
      <w:r w:rsidR="00FF4AF4">
        <w:t xml:space="preserve">The PBAC agreed </w:t>
      </w:r>
      <w:r w:rsidR="007F6B0B">
        <w:t xml:space="preserve">and </w:t>
      </w:r>
      <w:r w:rsidR="00011C7C" w:rsidRPr="002B3792">
        <w:t xml:space="preserve">considered </w:t>
      </w:r>
      <w:r w:rsidR="00EB1E68" w:rsidRPr="002B3792">
        <w:t>t</w:t>
      </w:r>
      <w:r w:rsidR="001A70B8" w:rsidRPr="002B3792">
        <w:t>his</w:t>
      </w:r>
      <w:r w:rsidRPr="002B3792">
        <w:t xml:space="preserve"> was </w:t>
      </w:r>
      <w:r w:rsidR="000375B5" w:rsidRPr="002B3792">
        <w:t>reasonable from a practical perspective</w:t>
      </w:r>
      <w:r w:rsidRPr="002B3792">
        <w:t>.</w:t>
      </w:r>
      <w:r w:rsidR="00CF230B" w:rsidRPr="002B3792">
        <w:t xml:space="preserve"> </w:t>
      </w:r>
    </w:p>
    <w:p w:rsidR="001C5CA6" w:rsidRPr="002B3792" w:rsidRDefault="001C5CA6" w:rsidP="00FE6CA5">
      <w:pPr>
        <w:pStyle w:val="ListParagraph"/>
        <w:widowControl/>
        <w:numPr>
          <w:ilvl w:val="0"/>
          <w:numId w:val="11"/>
        </w:numPr>
        <w:spacing w:after="120"/>
        <w:ind w:left="993" w:hanging="284"/>
      </w:pPr>
      <w:r w:rsidRPr="002B3792">
        <w:t xml:space="preserve">Both </w:t>
      </w:r>
      <w:r w:rsidR="000732CB" w:rsidRPr="002B3792">
        <w:t xml:space="preserve">the modified response criteria from the MAJIC trial and proposed response criteria for continued treatment excluded the requirement for no disease related symptoms </w:t>
      </w:r>
      <w:r w:rsidR="003E2B47" w:rsidRPr="002B3792">
        <w:t>(i</w:t>
      </w:r>
      <w:r w:rsidR="00D268A8" w:rsidRPr="002B3792">
        <w:t>.</w:t>
      </w:r>
      <w:r w:rsidR="003E2B47" w:rsidRPr="002B3792">
        <w:t>e</w:t>
      </w:r>
      <w:r w:rsidR="00D268A8" w:rsidRPr="002B3792">
        <w:t>.</w:t>
      </w:r>
      <w:r w:rsidR="003E2B47" w:rsidRPr="002B3792">
        <w:t xml:space="preserve"> </w:t>
      </w:r>
      <w:r w:rsidR="003E2B47" w:rsidRPr="002B3792">
        <w:rPr>
          <w:lang w:val="en-GB"/>
        </w:rPr>
        <w:t xml:space="preserve">microvascular disturbances, pruritus, </w:t>
      </w:r>
      <w:r w:rsidR="000E46ED" w:rsidRPr="002B3792">
        <w:rPr>
          <w:lang w:val="en-GB"/>
        </w:rPr>
        <w:t>and headache</w:t>
      </w:r>
      <w:r w:rsidR="003E2B47" w:rsidRPr="002B3792">
        <w:rPr>
          <w:lang w:val="en-GB"/>
        </w:rPr>
        <w:t>)</w:t>
      </w:r>
      <w:r w:rsidR="003E2B47" w:rsidRPr="002B3792">
        <w:t xml:space="preserve"> </w:t>
      </w:r>
      <w:r w:rsidR="00D52165" w:rsidRPr="002B3792">
        <w:t xml:space="preserve">from the definition of complete response. </w:t>
      </w:r>
    </w:p>
    <w:p w:rsidR="00773A6F" w:rsidRPr="002B3792" w:rsidRDefault="005D458B" w:rsidP="00FE6CA5">
      <w:pPr>
        <w:pStyle w:val="ListParagraph"/>
        <w:widowControl/>
        <w:numPr>
          <w:ilvl w:val="1"/>
          <w:numId w:val="2"/>
        </w:numPr>
        <w:spacing w:after="120"/>
      </w:pPr>
      <w:r w:rsidRPr="002B3792">
        <w:t>T</w:t>
      </w:r>
      <w:r w:rsidR="009849D5" w:rsidRPr="002B3792">
        <w:t xml:space="preserve">he ESC noted that the proposed continuation criteria </w:t>
      </w:r>
      <w:r w:rsidRPr="002B3792">
        <w:t>w</w:t>
      </w:r>
      <w:r w:rsidR="00F024AB" w:rsidRPr="002B3792">
        <w:t>as</w:t>
      </w:r>
      <w:r w:rsidRPr="002B3792">
        <w:t xml:space="preserve"> </w:t>
      </w:r>
      <w:r w:rsidR="00B1572E" w:rsidRPr="002B3792">
        <w:t>based on a modified version of the ELN criteria</w:t>
      </w:r>
      <w:r w:rsidRPr="002B3792">
        <w:t xml:space="preserve"> </w:t>
      </w:r>
      <w:r w:rsidR="009849D5" w:rsidRPr="002B3792">
        <w:t xml:space="preserve">from the MAJIC trial, </w:t>
      </w:r>
      <w:r w:rsidR="00973E05" w:rsidRPr="002B3792">
        <w:t>which was</w:t>
      </w:r>
      <w:r w:rsidR="009849D5" w:rsidRPr="002B3792">
        <w:t xml:space="preserve"> then further modified in </w:t>
      </w:r>
      <w:proofErr w:type="gramStart"/>
      <w:r w:rsidR="009849D5" w:rsidRPr="002B3792">
        <w:t>the</w:t>
      </w:r>
      <w:proofErr w:type="gramEnd"/>
      <w:r w:rsidR="009849D5" w:rsidRPr="002B3792">
        <w:t xml:space="preserve"> requested PBS listing.</w:t>
      </w:r>
      <w:r w:rsidR="00B1572E" w:rsidRPr="002B3792">
        <w:t xml:space="preserve"> The ESC noted that t</w:t>
      </w:r>
      <w:r w:rsidR="00887BDC" w:rsidRPr="002B3792">
        <w:t>he</w:t>
      </w:r>
      <w:r w:rsidR="00B1572E" w:rsidRPr="002B3792">
        <w:t xml:space="preserve"> ELN criteria for response in PV</w:t>
      </w:r>
      <w:r w:rsidR="00887BDC" w:rsidRPr="002B3792">
        <w:t xml:space="preserve"> was updated in 2013 to </w:t>
      </w:r>
      <w:r w:rsidR="00F05BF4" w:rsidRPr="002B3792">
        <w:t>include</w:t>
      </w:r>
      <w:r w:rsidR="00887BDC" w:rsidRPr="002B3792">
        <w:t xml:space="preserve"> more clinically relevant response definitions</w:t>
      </w:r>
      <w:r w:rsidR="00F05BF4" w:rsidRPr="002B3792">
        <w:t xml:space="preserve"> and as a result, are more </w:t>
      </w:r>
      <w:r w:rsidR="00F05BF4" w:rsidRPr="00FF4AF4">
        <w:t>focused on improvement in disease related symptoms</w:t>
      </w:r>
      <w:r w:rsidR="009C795A" w:rsidRPr="00FF4AF4">
        <w:t xml:space="preserve"> and reduction in hepato</w:t>
      </w:r>
      <w:r w:rsidR="002D61E3" w:rsidRPr="00FF4AF4">
        <w:t>s</w:t>
      </w:r>
      <w:r w:rsidR="009C795A" w:rsidRPr="00FF4AF4">
        <w:t>plenomegaly</w:t>
      </w:r>
      <w:r w:rsidR="00F024AB" w:rsidRPr="00FF4AF4">
        <w:t>.</w:t>
      </w:r>
      <w:r w:rsidR="00F05BF4" w:rsidRPr="00FF4AF4">
        <w:t xml:space="preserve"> In this regard, the ESC </w:t>
      </w:r>
      <w:r w:rsidR="0005240C" w:rsidRPr="00FF4AF4">
        <w:t xml:space="preserve">considered that the exclusion of </w:t>
      </w:r>
      <w:r w:rsidR="00D52165" w:rsidRPr="00FF4AF4">
        <w:t>requirement</w:t>
      </w:r>
      <w:r w:rsidR="00B07BCF" w:rsidRPr="00FF4AF4">
        <w:t xml:space="preserve"> for</w:t>
      </w:r>
      <w:r w:rsidR="0005240C" w:rsidRPr="00FF4AF4">
        <w:t xml:space="preserve"> no disease related symptoms from the response criteria in the MAJIC trial (and </w:t>
      </w:r>
      <w:r w:rsidR="00B07BCF" w:rsidRPr="00FF4AF4">
        <w:t>consequently,</w:t>
      </w:r>
      <w:r w:rsidR="0005240C" w:rsidRPr="00FF4AF4">
        <w:t xml:space="preserve"> the propos</w:t>
      </w:r>
      <w:r w:rsidR="00B07BCF" w:rsidRPr="00FF4AF4">
        <w:t xml:space="preserve">ed continuation criteria) may not be in line with </w:t>
      </w:r>
      <w:r w:rsidR="002D61E3" w:rsidRPr="00FF4AF4">
        <w:t xml:space="preserve">the direction of </w:t>
      </w:r>
      <w:r w:rsidR="00B07BCF" w:rsidRPr="00FF4AF4">
        <w:t>current clinical practice</w:t>
      </w:r>
      <w:r w:rsidR="0005240C" w:rsidRPr="00FF4AF4">
        <w:t>.</w:t>
      </w:r>
      <w:r w:rsidR="00F024AB" w:rsidRPr="00FF4AF4">
        <w:t xml:space="preserve"> </w:t>
      </w:r>
      <w:r w:rsidR="00B1572E" w:rsidRPr="00FF4AF4">
        <w:t>Further, t</w:t>
      </w:r>
      <w:r w:rsidR="000179FA" w:rsidRPr="00FF4AF4">
        <w:t>he ESC considered th</w:t>
      </w:r>
      <w:r w:rsidR="001C493A" w:rsidRPr="00FF4AF4">
        <w:t>at allowing</w:t>
      </w:r>
      <w:r w:rsidR="001C5CA6" w:rsidRPr="00FF4AF4">
        <w:t xml:space="preserve"> p</w:t>
      </w:r>
      <w:r w:rsidR="002D61E3" w:rsidRPr="00FF4AF4">
        <w:t>atients with partial response</w:t>
      </w:r>
      <w:r w:rsidR="00D268A8" w:rsidRPr="00FF4AF4">
        <w:t xml:space="preserve"> </w:t>
      </w:r>
      <w:r w:rsidR="00B07BCF" w:rsidRPr="00FF4AF4">
        <w:t>(</w:t>
      </w:r>
      <w:r w:rsidR="001C493A" w:rsidRPr="00FF4AF4">
        <w:t>PR</w:t>
      </w:r>
      <w:r w:rsidR="00B07BCF" w:rsidRPr="00FF4AF4">
        <w:t>)</w:t>
      </w:r>
      <w:r w:rsidR="001C5CA6" w:rsidRPr="00FF4AF4">
        <w:t xml:space="preserve"> to continue ruxolitinib</w:t>
      </w:r>
      <w:r w:rsidR="000179FA" w:rsidRPr="00FF4AF4">
        <w:t xml:space="preserve"> may not be appropriate, given </w:t>
      </w:r>
      <w:r w:rsidR="00D268A8" w:rsidRPr="00FF4AF4">
        <w:t>there was</w:t>
      </w:r>
      <w:r w:rsidR="00B07BCF" w:rsidRPr="00FF4AF4">
        <w:t xml:space="preserve"> a higher proportion of patients treated with </w:t>
      </w:r>
      <w:r w:rsidR="000179FA" w:rsidRPr="00FF4AF4">
        <w:t xml:space="preserve">BAT </w:t>
      </w:r>
      <w:r w:rsidR="00B07BCF" w:rsidRPr="00FF4AF4">
        <w:t>with PR compared to patients treated with</w:t>
      </w:r>
      <w:r w:rsidR="000179FA" w:rsidRPr="00FF4AF4">
        <w:t xml:space="preserve"> ruxolitinib in </w:t>
      </w:r>
      <w:r w:rsidR="000732CB" w:rsidRPr="00FF4AF4">
        <w:t xml:space="preserve">the </w:t>
      </w:r>
      <w:r w:rsidR="000179FA" w:rsidRPr="00FF4AF4">
        <w:t>MAJIC</w:t>
      </w:r>
      <w:r w:rsidR="000732CB" w:rsidRPr="002B3792">
        <w:t xml:space="preserve"> trial</w:t>
      </w:r>
      <w:r w:rsidR="000179FA" w:rsidRPr="002B3792">
        <w:t xml:space="preserve"> </w:t>
      </w:r>
      <w:r w:rsidR="002B7926" w:rsidRPr="002B3792">
        <w:t>(</w:t>
      </w:r>
      <w:r w:rsidR="003917EA" w:rsidRPr="003917EA">
        <w:t>see paragraph 6.18</w:t>
      </w:r>
      <w:r w:rsidR="002B7926" w:rsidRPr="003917EA">
        <w:t>).</w:t>
      </w:r>
      <w:r w:rsidR="002B7926" w:rsidRPr="002B3792">
        <w:t xml:space="preserve"> </w:t>
      </w:r>
      <w:r w:rsidR="00FE02B9" w:rsidRPr="002B3792">
        <w:t xml:space="preserve"> </w:t>
      </w:r>
      <w:r w:rsidR="00AF130B" w:rsidRPr="002B3792">
        <w:t xml:space="preserve">The option of removing the continuation criteria, as proposed in the </w:t>
      </w:r>
      <w:r w:rsidR="00AA55B8">
        <w:t>P</w:t>
      </w:r>
      <w:r w:rsidR="00AF130B" w:rsidRPr="002B3792">
        <w:t>re-</w:t>
      </w:r>
      <w:r w:rsidR="00AA55B8">
        <w:t>S</w:t>
      </w:r>
      <w:r w:rsidR="00AF130B" w:rsidRPr="002B3792">
        <w:t>ub-</w:t>
      </w:r>
      <w:r w:rsidR="00AA55B8">
        <w:t>C</w:t>
      </w:r>
      <w:r w:rsidR="00AF130B" w:rsidRPr="002B3792">
        <w:t xml:space="preserve">ommittee </w:t>
      </w:r>
      <w:r w:rsidR="00AA55B8">
        <w:t>R</w:t>
      </w:r>
      <w:r w:rsidR="00AF130B" w:rsidRPr="002B3792">
        <w:t>esponse (PSCR), was not considered appropriate given the cost for questionable benefit and potentially long duration of therapy.</w:t>
      </w:r>
    </w:p>
    <w:p w:rsidR="00AF130B" w:rsidRPr="002B3792" w:rsidRDefault="00A22EC2" w:rsidP="00FF43A9">
      <w:pPr>
        <w:pStyle w:val="ListParagraph"/>
        <w:numPr>
          <w:ilvl w:val="1"/>
          <w:numId w:val="2"/>
        </w:numPr>
        <w:spacing w:after="120"/>
      </w:pPr>
      <w:r w:rsidRPr="002B3792">
        <w:t xml:space="preserve">The submission anticipated an additional </w:t>
      </w:r>
      <w:r w:rsidR="004D1AB8">
        <w:t xml:space="preserve">less than 10,000 </w:t>
      </w:r>
      <w:r w:rsidRPr="002B3792">
        <w:t xml:space="preserve">patients would require grandfathering in the first year of listing. </w:t>
      </w:r>
      <w:r w:rsidR="00D65B1C" w:rsidRPr="002B3792">
        <w:t xml:space="preserve">Unlike the requested initial restriction, the proposed </w:t>
      </w:r>
      <w:r w:rsidR="001A70B8" w:rsidRPr="002B3792">
        <w:t>grandfathering restriction</w:t>
      </w:r>
      <w:r w:rsidR="00980A30" w:rsidRPr="002B3792">
        <w:t xml:space="preserve"> </w:t>
      </w:r>
      <w:r w:rsidR="00D65B1C" w:rsidRPr="002B3792">
        <w:t>did not specify how resistance or intole</w:t>
      </w:r>
      <w:r w:rsidR="00705C51">
        <w:t>rance to HC should be verified.</w:t>
      </w:r>
      <w:r w:rsidR="00D65B1C" w:rsidRPr="002B3792">
        <w:t xml:space="preserve"> This may lead to usage in patients beyond the requested </w:t>
      </w:r>
      <w:r w:rsidR="00D65B1C" w:rsidRPr="002B3792">
        <w:lastRenderedPageBreak/>
        <w:t xml:space="preserve">restriction.  </w:t>
      </w:r>
      <w:r w:rsidR="003E2B47" w:rsidRPr="002B3792">
        <w:t xml:space="preserve">The </w:t>
      </w:r>
      <w:r w:rsidR="00AF130B" w:rsidRPr="002B3792">
        <w:t>S</w:t>
      </w:r>
      <w:r w:rsidR="003E2B47" w:rsidRPr="002B3792">
        <w:t xml:space="preserve">ecretariat noted that </w:t>
      </w:r>
      <w:r w:rsidR="00AF130B" w:rsidRPr="002B3792">
        <w:t xml:space="preserve">unless the initial treatment restriction proposes baseline measures of disease severity, there was no need for a grandfathering restriction as patents who at any time were assessed as resistant or intolerant to HC would qualify.  </w:t>
      </w:r>
    </w:p>
    <w:p w:rsidR="00D65B1C" w:rsidRPr="002B3792" w:rsidRDefault="00D65B1C" w:rsidP="00FE6CA5">
      <w:pPr>
        <w:pStyle w:val="ListParagraph"/>
        <w:widowControl/>
        <w:numPr>
          <w:ilvl w:val="1"/>
          <w:numId w:val="2"/>
        </w:numPr>
        <w:spacing w:after="120"/>
      </w:pPr>
      <w:r w:rsidRPr="002B3792">
        <w:t>In the product information (PI), it is recommended that the dose of ruxolitinib be tapered down when</w:t>
      </w:r>
      <w:r w:rsidR="00980A30" w:rsidRPr="002B3792">
        <w:t xml:space="preserve"> a</w:t>
      </w:r>
      <w:r w:rsidRPr="002B3792">
        <w:t xml:space="preserve"> patient is discontinuing treatment.  However</w:t>
      </w:r>
      <w:r w:rsidR="001B6D52" w:rsidRPr="002B3792">
        <w:t>,</w:t>
      </w:r>
      <w:r w:rsidRPr="002B3792">
        <w:t xml:space="preserve"> there are no provisions in the proposed restrictions for patients to access this tapering dose in the event of a discontinuation.  </w:t>
      </w:r>
    </w:p>
    <w:p w:rsidR="00FE02B9" w:rsidRDefault="0055704E" w:rsidP="00FE6CA5">
      <w:pPr>
        <w:pStyle w:val="ListParagraph"/>
        <w:widowControl/>
        <w:numPr>
          <w:ilvl w:val="1"/>
          <w:numId w:val="2"/>
        </w:numPr>
        <w:spacing w:after="120"/>
      </w:pPr>
      <w:r w:rsidRPr="002B3792">
        <w:t xml:space="preserve">The ESC noted that the submission did not consider the impact of listing ruxolitinib in the PV setting on </w:t>
      </w:r>
      <w:r w:rsidR="002755FD" w:rsidRPr="002B3792">
        <w:t xml:space="preserve">the overall treatment </w:t>
      </w:r>
      <w:r w:rsidR="00AF130B" w:rsidRPr="002B3792">
        <w:t xml:space="preserve">algorithm </w:t>
      </w:r>
      <w:r w:rsidR="00D15EB6" w:rsidRPr="002B3792">
        <w:t xml:space="preserve">and whether </w:t>
      </w:r>
      <w:r w:rsidRPr="002B3792">
        <w:t xml:space="preserve">sequential use of ruxolitinib in </w:t>
      </w:r>
      <w:r w:rsidR="00D15EB6" w:rsidRPr="002B3792">
        <w:t xml:space="preserve">both </w:t>
      </w:r>
      <w:r w:rsidR="00AF130B" w:rsidRPr="002B3792">
        <w:t xml:space="preserve">PV and MF </w:t>
      </w:r>
      <w:r w:rsidR="00D15EB6" w:rsidRPr="002B3792">
        <w:t xml:space="preserve">settings should be permitted. The ESC noted that no clinical evidence for sequential use of ruxolitinib was presented. </w:t>
      </w:r>
    </w:p>
    <w:p w:rsidR="005209F0" w:rsidRPr="005209F0" w:rsidRDefault="005209F0" w:rsidP="00FE6CA5">
      <w:pPr>
        <w:pStyle w:val="ListParagraph"/>
        <w:widowControl/>
        <w:spacing w:after="120"/>
        <w:rPr>
          <w:i/>
        </w:rPr>
      </w:pPr>
      <w:r>
        <w:rPr>
          <w:i/>
        </w:rPr>
        <w:t xml:space="preserve">For more detail on PBAC’s view, see section 7 PBAC outcome. </w:t>
      </w:r>
    </w:p>
    <w:p w:rsidR="00D65B1C" w:rsidRPr="005048BA" w:rsidRDefault="00D65B1C" w:rsidP="00FE6CA5">
      <w:pPr>
        <w:pStyle w:val="Heading1"/>
        <w:keepNext/>
        <w:keepLines/>
        <w:widowControl/>
        <w:numPr>
          <w:ilvl w:val="0"/>
          <w:numId w:val="2"/>
        </w:numPr>
        <w:spacing w:after="120"/>
        <w:ind w:left="709" w:hanging="709"/>
        <w:rPr>
          <w:rFonts w:asciiTheme="minorHAnsi" w:eastAsiaTheme="majorEastAsia" w:hAnsiTheme="minorHAnsi" w:cstheme="majorBidi"/>
          <w:caps w:val="0"/>
          <w:snapToGrid/>
          <w:szCs w:val="28"/>
        </w:rPr>
      </w:pPr>
      <w:bookmarkStart w:id="3" w:name="_Toc19700354"/>
      <w:r w:rsidRPr="005048BA">
        <w:rPr>
          <w:rFonts w:asciiTheme="minorHAnsi" w:eastAsiaTheme="majorEastAsia" w:hAnsiTheme="minorHAnsi" w:cstheme="majorBidi"/>
          <w:caps w:val="0"/>
          <w:snapToGrid/>
          <w:szCs w:val="28"/>
        </w:rPr>
        <w:t>Background</w:t>
      </w:r>
      <w:bookmarkEnd w:id="3"/>
    </w:p>
    <w:p w:rsidR="00D65B1C" w:rsidRPr="004151CF" w:rsidRDefault="00D65B1C" w:rsidP="00FE6CA5">
      <w:pPr>
        <w:spacing w:after="120"/>
        <w:rPr>
          <w:b/>
          <w:i/>
          <w:sz w:val="28"/>
          <w:szCs w:val="28"/>
        </w:rPr>
      </w:pPr>
      <w:r w:rsidRPr="004151CF">
        <w:rPr>
          <w:b/>
          <w:i/>
          <w:sz w:val="28"/>
          <w:szCs w:val="28"/>
        </w:rPr>
        <w:t>Registration status</w:t>
      </w:r>
    </w:p>
    <w:p w:rsidR="00D65B1C" w:rsidRDefault="00D65B1C" w:rsidP="00FE6CA5">
      <w:pPr>
        <w:pStyle w:val="ListParagraph"/>
        <w:widowControl/>
        <w:numPr>
          <w:ilvl w:val="1"/>
          <w:numId w:val="2"/>
        </w:numPr>
        <w:spacing w:after="120"/>
      </w:pPr>
      <w:r>
        <w:t xml:space="preserve">Ruxolitinib was approved by the TGA on 14 December 2015 for the following indications:  </w:t>
      </w:r>
    </w:p>
    <w:p w:rsidR="00D65B1C" w:rsidRDefault="00D65B1C" w:rsidP="00FE6CA5">
      <w:pPr>
        <w:pStyle w:val="ListParagraph"/>
        <w:widowControl/>
        <w:numPr>
          <w:ilvl w:val="2"/>
          <w:numId w:val="12"/>
        </w:numPr>
        <w:spacing w:after="120"/>
        <w:ind w:left="993" w:hanging="284"/>
      </w:pPr>
      <w:r>
        <w:t xml:space="preserve">treatment of disease-related splenomegaly or symptoms in patients with primary </w:t>
      </w:r>
      <w:proofErr w:type="spellStart"/>
      <w:r>
        <w:t>myelofibrosis</w:t>
      </w:r>
      <w:proofErr w:type="spellEnd"/>
      <w:r>
        <w:t>, post-</w:t>
      </w:r>
      <w:proofErr w:type="spellStart"/>
      <w:r>
        <w:t>polycythemia</w:t>
      </w:r>
      <w:proofErr w:type="spellEnd"/>
      <w:r>
        <w:t xml:space="preserve"> </w:t>
      </w:r>
      <w:proofErr w:type="spellStart"/>
      <w:r>
        <w:t>vera</w:t>
      </w:r>
      <w:proofErr w:type="spellEnd"/>
      <w:r>
        <w:t xml:space="preserve"> </w:t>
      </w:r>
      <w:proofErr w:type="spellStart"/>
      <w:r>
        <w:t>myelofibrosis</w:t>
      </w:r>
      <w:proofErr w:type="spellEnd"/>
      <w:r>
        <w:t xml:space="preserve"> or post-essential </w:t>
      </w:r>
      <w:proofErr w:type="spellStart"/>
      <w:r>
        <w:t>thrombocythemia</w:t>
      </w:r>
      <w:proofErr w:type="spellEnd"/>
      <w:r>
        <w:t xml:space="preserve"> </w:t>
      </w:r>
      <w:proofErr w:type="spellStart"/>
      <w:r>
        <w:t>myelofibrosis</w:t>
      </w:r>
      <w:proofErr w:type="spellEnd"/>
      <w:r>
        <w:t>; and</w:t>
      </w:r>
    </w:p>
    <w:p w:rsidR="00D65B1C" w:rsidRDefault="00D65B1C" w:rsidP="00FE6CA5">
      <w:pPr>
        <w:pStyle w:val="ListParagraph"/>
        <w:widowControl/>
        <w:numPr>
          <w:ilvl w:val="2"/>
          <w:numId w:val="12"/>
        </w:numPr>
        <w:spacing w:after="120"/>
        <w:ind w:left="993" w:hanging="284"/>
      </w:pPr>
      <w:proofErr w:type="gramStart"/>
      <w:r>
        <w:t>treatment</w:t>
      </w:r>
      <w:proofErr w:type="gramEnd"/>
      <w:r>
        <w:t xml:space="preserve"> </w:t>
      </w:r>
      <w:bookmarkStart w:id="4" w:name="_GoBack"/>
      <w:bookmarkEnd w:id="4"/>
      <w:r>
        <w:t xml:space="preserve">of adult patients with </w:t>
      </w:r>
      <w:proofErr w:type="spellStart"/>
      <w:r>
        <w:t>polycythemia</w:t>
      </w:r>
      <w:proofErr w:type="spellEnd"/>
      <w:r>
        <w:t xml:space="preserve"> </w:t>
      </w:r>
      <w:proofErr w:type="spellStart"/>
      <w:r>
        <w:t>vera</w:t>
      </w:r>
      <w:proofErr w:type="spellEnd"/>
      <w:r>
        <w:t xml:space="preserve"> who are resistant to or intolerant of </w:t>
      </w:r>
      <w:proofErr w:type="spellStart"/>
      <w:r w:rsidR="001A70B8">
        <w:t>hydroxyurea</w:t>
      </w:r>
      <w:proofErr w:type="spellEnd"/>
      <w:r w:rsidR="001A70B8">
        <w:t>.</w:t>
      </w:r>
    </w:p>
    <w:p w:rsidR="00D65B1C" w:rsidRDefault="00D65B1C" w:rsidP="00FE6CA5">
      <w:pPr>
        <w:pStyle w:val="ListParagraph"/>
        <w:widowControl/>
        <w:numPr>
          <w:ilvl w:val="1"/>
          <w:numId w:val="2"/>
        </w:numPr>
        <w:spacing w:after="120"/>
      </w:pPr>
      <w:r>
        <w:t>At the time of evaluation for PBAC consideration, the clinical evaluation report, delegate overview, decision letter and risk management plan were available.</w:t>
      </w:r>
    </w:p>
    <w:p w:rsidR="005209F0" w:rsidRDefault="005209F0" w:rsidP="00FE6CA5">
      <w:pPr>
        <w:spacing w:after="120"/>
        <w:ind w:firstLine="709"/>
        <w:rPr>
          <w:i/>
        </w:rPr>
      </w:pPr>
      <w:r w:rsidRPr="005209F0">
        <w:rPr>
          <w:i/>
        </w:rPr>
        <w:t xml:space="preserve">For more detail on PBAC’s view, see section 7 PBAC outcome. </w:t>
      </w:r>
    </w:p>
    <w:p w:rsidR="00D65B1C" w:rsidRPr="005048BA" w:rsidRDefault="00D65B1C" w:rsidP="00FE6CA5">
      <w:pPr>
        <w:pStyle w:val="Heading1"/>
        <w:keepNext/>
        <w:keepLines/>
        <w:widowControl/>
        <w:numPr>
          <w:ilvl w:val="0"/>
          <w:numId w:val="2"/>
        </w:numPr>
        <w:spacing w:after="120"/>
        <w:ind w:left="709" w:hanging="709"/>
        <w:rPr>
          <w:rFonts w:asciiTheme="minorHAnsi" w:eastAsiaTheme="majorEastAsia" w:hAnsiTheme="minorHAnsi" w:cstheme="majorBidi"/>
          <w:caps w:val="0"/>
          <w:snapToGrid/>
          <w:szCs w:val="28"/>
        </w:rPr>
      </w:pPr>
      <w:bookmarkStart w:id="5" w:name="_Toc19700355"/>
      <w:r w:rsidRPr="005048BA">
        <w:rPr>
          <w:rFonts w:asciiTheme="minorHAnsi" w:eastAsiaTheme="majorEastAsia" w:hAnsiTheme="minorHAnsi" w:cstheme="majorBidi"/>
          <w:caps w:val="0"/>
          <w:snapToGrid/>
          <w:szCs w:val="28"/>
        </w:rPr>
        <w:t>Population and disease</w:t>
      </w:r>
      <w:bookmarkEnd w:id="5"/>
    </w:p>
    <w:p w:rsidR="00D65B1C" w:rsidRPr="005F34B5" w:rsidRDefault="00D65B1C" w:rsidP="00FE6CA5">
      <w:pPr>
        <w:pStyle w:val="ListParagraph"/>
        <w:widowControl/>
        <w:numPr>
          <w:ilvl w:val="1"/>
          <w:numId w:val="2"/>
        </w:numPr>
        <w:spacing w:after="120"/>
      </w:pPr>
      <w:r w:rsidRPr="00CD248B">
        <w:t xml:space="preserve">PV is a chronic </w:t>
      </w:r>
      <w:proofErr w:type="spellStart"/>
      <w:r w:rsidRPr="00CD248B">
        <w:t>haematologic</w:t>
      </w:r>
      <w:proofErr w:type="spellEnd"/>
      <w:r w:rsidRPr="00CD248B">
        <w:t xml:space="preserve"> cancer and one of the classic Philadelphia chromosome-negative (BCR-ABL1–negative) group of diseases known as </w:t>
      </w:r>
      <w:r w:rsidRPr="00E92DBE">
        <w:t>myeloproliferative neoplasm</w:t>
      </w:r>
      <w:r>
        <w:t>s (</w:t>
      </w:r>
      <w:r w:rsidRPr="00CD248B">
        <w:t>MPNs</w:t>
      </w:r>
      <w:r>
        <w:t>)</w:t>
      </w:r>
      <w:r w:rsidRPr="00CD248B">
        <w:t xml:space="preserve">, which also includes essential </w:t>
      </w:r>
      <w:proofErr w:type="spellStart"/>
      <w:r w:rsidRPr="00CD248B">
        <w:t>thrombocythemia</w:t>
      </w:r>
      <w:proofErr w:type="spellEnd"/>
      <w:r w:rsidRPr="00CD248B">
        <w:t xml:space="preserve"> (ET) and primary MF</w:t>
      </w:r>
      <w:r>
        <w:t>.  Patients wit</w:t>
      </w:r>
      <w:r w:rsidR="009D03FE">
        <w:t>h</w:t>
      </w:r>
      <w:r>
        <w:t xml:space="preserve"> PV have an increased red blood cell (RBC) mass (</w:t>
      </w:r>
      <w:proofErr w:type="spellStart"/>
      <w:r>
        <w:t>erythrocytosis</w:t>
      </w:r>
      <w:proofErr w:type="spellEnd"/>
      <w:r>
        <w:t xml:space="preserve">) and often </w:t>
      </w:r>
      <w:r w:rsidRPr="00CD248B">
        <w:rPr>
          <w:rFonts w:eastAsia="Calibri" w:cs="Times New Roman"/>
          <w:lang w:val="en-US"/>
        </w:rPr>
        <w:t>elevated WBC and platelet counts</w:t>
      </w:r>
      <w:r>
        <w:rPr>
          <w:rFonts w:eastAsia="Calibri" w:cs="Times New Roman"/>
          <w:lang w:val="en-US"/>
        </w:rPr>
        <w:t xml:space="preserve">.  Patients may also experience symptoms including severe night sweats, fatigue, pruritus, fever, </w:t>
      </w:r>
      <w:proofErr w:type="gramStart"/>
      <w:r>
        <w:rPr>
          <w:rFonts w:eastAsia="Calibri" w:cs="Times New Roman"/>
          <w:lang w:val="en-US"/>
        </w:rPr>
        <w:t>splenomegaly</w:t>
      </w:r>
      <w:proofErr w:type="gramEnd"/>
      <w:r>
        <w:rPr>
          <w:rFonts w:eastAsia="Calibri" w:cs="Times New Roman"/>
          <w:lang w:val="en-US"/>
        </w:rPr>
        <w:t xml:space="preserve"> and reduced health related quality of life (</w:t>
      </w:r>
      <w:proofErr w:type="spellStart"/>
      <w:r>
        <w:rPr>
          <w:rFonts w:eastAsia="Calibri" w:cs="Times New Roman"/>
          <w:lang w:val="en-US"/>
        </w:rPr>
        <w:t>HRQoL</w:t>
      </w:r>
      <w:proofErr w:type="spellEnd"/>
      <w:r>
        <w:rPr>
          <w:rFonts w:eastAsia="Calibri" w:cs="Times New Roman"/>
          <w:lang w:val="en-US"/>
        </w:rPr>
        <w:t>)</w:t>
      </w:r>
      <w:r w:rsidR="0043065C">
        <w:rPr>
          <w:rFonts w:eastAsia="Calibri" w:cs="Times New Roman"/>
          <w:lang w:val="en-US"/>
        </w:rPr>
        <w:t>, although many patients can</w:t>
      </w:r>
      <w:r w:rsidR="009A470E">
        <w:rPr>
          <w:rFonts w:eastAsia="Calibri" w:cs="Times New Roman"/>
          <w:lang w:val="en-US"/>
        </w:rPr>
        <w:t xml:space="preserve"> be </w:t>
      </w:r>
      <w:r w:rsidR="0043065C">
        <w:rPr>
          <w:rFonts w:eastAsia="Calibri" w:cs="Times New Roman"/>
          <w:lang w:val="en-US"/>
        </w:rPr>
        <w:t xml:space="preserve">relatively </w:t>
      </w:r>
      <w:r w:rsidR="009A470E">
        <w:rPr>
          <w:rFonts w:eastAsia="Calibri" w:cs="Times New Roman"/>
          <w:lang w:val="en-US"/>
        </w:rPr>
        <w:t xml:space="preserve">asymptomatic. The PBAC </w:t>
      </w:r>
      <w:r w:rsidR="0043065C">
        <w:rPr>
          <w:rFonts w:eastAsia="Calibri" w:cs="Times New Roman"/>
          <w:lang w:val="en-US"/>
        </w:rPr>
        <w:t xml:space="preserve">also noted that pruritus is a common, and often debilitating, symptom. </w:t>
      </w:r>
      <w:r>
        <w:rPr>
          <w:rFonts w:eastAsia="Calibri" w:cs="Times New Roman"/>
          <w:lang w:val="en-US"/>
        </w:rPr>
        <w:t>Diagnosis of PV is based on clinical presentation and laboratory tests, including the presence of Janus kinase-2 (JAK2) mutation.</w:t>
      </w:r>
      <w:r w:rsidR="00816803">
        <w:rPr>
          <w:rFonts w:eastAsia="Calibri" w:cs="Times New Roman"/>
          <w:i/>
          <w:lang w:val="en-US"/>
        </w:rPr>
        <w:t xml:space="preserve"> </w:t>
      </w:r>
    </w:p>
    <w:p w:rsidR="00D65B1C" w:rsidRDefault="00D65B1C" w:rsidP="00FE6CA5">
      <w:pPr>
        <w:pStyle w:val="ListParagraph"/>
        <w:widowControl/>
        <w:numPr>
          <w:ilvl w:val="1"/>
          <w:numId w:val="2"/>
        </w:numPr>
        <w:spacing w:after="120"/>
      </w:pPr>
      <w:r w:rsidRPr="004807F1">
        <w:lastRenderedPageBreak/>
        <w:t xml:space="preserve">Patients with PV have an increased risk of thrombosis due to increased blood viscosity.  This leads to increased risks of stroke, transient ischemic attack, acute myocardial infarction, angina, pulmonary embolism, peripheral arterial thrombosis, and deep venous thrombosis – which may lead to further morbidity and mortality.  Patients with PV may also have an increased risk of haemorrhage, possibly influenced by elevated platelets, use of anticoagulant therapy as part of the treatment for PV and/or acquired von </w:t>
      </w:r>
      <w:proofErr w:type="spellStart"/>
      <w:r w:rsidRPr="004807F1">
        <w:t>Willebrand</w:t>
      </w:r>
      <w:proofErr w:type="spellEnd"/>
      <w:r w:rsidRPr="004807F1">
        <w:t xml:space="preserve"> disease.  PV may also lead to bone marrow scarring and lead to </w:t>
      </w:r>
      <w:r>
        <w:t>MF</w:t>
      </w:r>
      <w:r w:rsidRPr="004807F1">
        <w:t xml:space="preserve"> which is associated with worse survival, or possibly evolve into acute myeloid leukaemia (AML) and other cancers. However</w:t>
      </w:r>
      <w:r w:rsidR="001B6D52">
        <w:t>,</w:t>
      </w:r>
      <w:r w:rsidRPr="004807F1">
        <w:t xml:space="preserve"> the rate of these transformations is relatively low (estimated &lt;20% transformation at up to 20 years).</w:t>
      </w:r>
      <w:r w:rsidR="00A40DF7">
        <w:t xml:space="preserve"> </w:t>
      </w:r>
    </w:p>
    <w:p w:rsidR="00D65B1C" w:rsidRPr="001C493A" w:rsidRDefault="00D65B1C" w:rsidP="00FE6CA5">
      <w:pPr>
        <w:pStyle w:val="ListParagraph"/>
        <w:widowControl/>
        <w:numPr>
          <w:ilvl w:val="1"/>
          <w:numId w:val="2"/>
        </w:numPr>
        <w:spacing w:after="120"/>
      </w:pPr>
      <w:r w:rsidRPr="004807F1">
        <w:t>Overall life expectancy fo</w:t>
      </w:r>
      <w:r w:rsidR="00705C51">
        <w:t>r patients with PV is variable.</w:t>
      </w:r>
      <w:r w:rsidRPr="004807F1">
        <w:t xml:space="preserve"> </w:t>
      </w:r>
      <w:proofErr w:type="spellStart"/>
      <w:r w:rsidRPr="004807F1">
        <w:t>Tefferi</w:t>
      </w:r>
      <w:proofErr w:type="spellEnd"/>
      <w:r w:rsidRPr="004807F1">
        <w:t xml:space="preserve"> et al. </w:t>
      </w:r>
      <w:r>
        <w:t>(2013) conducted a multivariate</w:t>
      </w:r>
      <w:r w:rsidRPr="004807F1">
        <w:t xml:space="preserve"> analysis of the survival </w:t>
      </w:r>
      <w:r w:rsidR="001B6D52">
        <w:t>of</w:t>
      </w:r>
      <w:r w:rsidR="009D03FE">
        <w:t xml:space="preserve"> 1,545 patients</w:t>
      </w:r>
      <w:r w:rsidRPr="004807F1">
        <w:t xml:space="preserve"> and developed a prognostic model that included age (age ≥67, 57-66 and &lt;57 years), leucocytosis (&lt;15 X10</w:t>
      </w:r>
      <w:r w:rsidRPr="00D65B1C">
        <w:rPr>
          <w:vertAlign w:val="superscript"/>
        </w:rPr>
        <w:t>9</w:t>
      </w:r>
      <w:r w:rsidR="009D03FE">
        <w:t>/L or ≥</w:t>
      </w:r>
      <w:r w:rsidRPr="004807F1">
        <w:t>15 X 10</w:t>
      </w:r>
      <w:r w:rsidRPr="00D65B1C">
        <w:rPr>
          <w:vertAlign w:val="superscript"/>
        </w:rPr>
        <w:t>9</w:t>
      </w:r>
      <w:r w:rsidRPr="004807F1">
        <w:t xml:space="preserve">/L) and venous </w:t>
      </w:r>
      <w:r w:rsidR="00705C51">
        <w:t>thrombosis (present or absent).</w:t>
      </w:r>
      <w:r w:rsidRPr="004807F1">
        <w:t xml:space="preserve"> The median survival </w:t>
      </w:r>
      <w:r>
        <w:t>of low,</w:t>
      </w:r>
      <w:r w:rsidRPr="004807F1">
        <w:t xml:space="preserve"> </w:t>
      </w:r>
      <w:r w:rsidRPr="001C493A">
        <w:t>intermediate and high risk patients was 27.8, 18.9 and 10.9 years, respectively.</w:t>
      </w:r>
    </w:p>
    <w:p w:rsidR="00D65B1C" w:rsidRPr="001C493A" w:rsidRDefault="00D65B1C" w:rsidP="00FE6CA5">
      <w:pPr>
        <w:pStyle w:val="ListParagraph"/>
        <w:widowControl/>
        <w:numPr>
          <w:ilvl w:val="1"/>
          <w:numId w:val="2"/>
        </w:numPr>
        <w:spacing w:after="120"/>
      </w:pPr>
      <w:r w:rsidRPr="001C493A">
        <w:t>The goals for PV treatment include controlling haematocrit (HCT), which is the percentage of RBC</w:t>
      </w:r>
      <w:r w:rsidR="009D03FE" w:rsidRPr="001C493A">
        <w:t xml:space="preserve"> in the total volume of blood, </w:t>
      </w:r>
      <w:r w:rsidRPr="001C493A">
        <w:t>controlling WBC</w:t>
      </w:r>
      <w:r w:rsidR="009D03FE" w:rsidRPr="001C493A">
        <w:t xml:space="preserve"> and platelet counts, and reducing</w:t>
      </w:r>
      <w:r w:rsidRPr="001C493A">
        <w:t xml:space="preserve"> splenomegaly.  However</w:t>
      </w:r>
      <w:r w:rsidR="001B6D52" w:rsidRPr="001C493A">
        <w:t>,</w:t>
      </w:r>
      <w:r w:rsidRPr="001C493A">
        <w:t xml:space="preserve"> these are considered surrogate outcomes only, with the relevant patient outcomes being thrombosis, haemorrhage, transformation to MF or AML and overall survival. </w:t>
      </w:r>
    </w:p>
    <w:p w:rsidR="00D65B1C" w:rsidRDefault="00D65B1C" w:rsidP="00FE6CA5">
      <w:pPr>
        <w:pStyle w:val="ListParagraph"/>
        <w:widowControl/>
        <w:numPr>
          <w:ilvl w:val="1"/>
          <w:numId w:val="2"/>
        </w:numPr>
        <w:spacing w:after="120"/>
      </w:pPr>
      <w:r w:rsidRPr="001C493A">
        <w:t>In PV, phlebotomy or venesection is often</w:t>
      </w:r>
      <w:r>
        <w:t xml:space="preserve"> used to reduce the HCT.  Phlebotomy is the removal of blood from the body, with the aim of reducing the proportion of</w:t>
      </w:r>
      <w:r w:rsidR="009963B9">
        <w:t xml:space="preserve"> RBC in the total blood volume.</w:t>
      </w:r>
      <w:r>
        <w:t xml:space="preserve"> Phlebotomy may be used alongside other treatments.  Additionally, in patients who can tolerate aspirin, a daily low dose aspirin is often prescribed to reduce thrombosis risks.  </w:t>
      </w:r>
    </w:p>
    <w:p w:rsidR="00D65B1C" w:rsidRDefault="00D65B1C" w:rsidP="00FE6CA5">
      <w:pPr>
        <w:pStyle w:val="ListParagraph"/>
        <w:widowControl/>
        <w:numPr>
          <w:ilvl w:val="1"/>
          <w:numId w:val="2"/>
        </w:numPr>
        <w:spacing w:after="120"/>
      </w:pPr>
      <w:r>
        <w:t xml:space="preserve">It was proposed that ruxolitinib will be used in patients with PV who develop resistance or intolerance to HC, either before or after treatment with peginterferon.  </w:t>
      </w:r>
    </w:p>
    <w:p w:rsidR="005209F0" w:rsidRPr="005209F0" w:rsidRDefault="005209F0" w:rsidP="00FE6CA5">
      <w:pPr>
        <w:spacing w:after="120"/>
        <w:ind w:firstLine="709"/>
        <w:rPr>
          <w:i/>
        </w:rPr>
      </w:pPr>
      <w:r w:rsidRPr="005209F0">
        <w:rPr>
          <w:i/>
        </w:rPr>
        <w:t xml:space="preserve">For more detail on PBAC’s view, see section 7 PBAC outcome. </w:t>
      </w:r>
    </w:p>
    <w:p w:rsidR="00D65B1C" w:rsidRPr="00407F2D" w:rsidRDefault="00D65B1C" w:rsidP="00FE6CA5">
      <w:pPr>
        <w:pStyle w:val="Heading1"/>
        <w:keepNext/>
        <w:keepLines/>
        <w:widowControl/>
        <w:numPr>
          <w:ilvl w:val="0"/>
          <w:numId w:val="2"/>
        </w:numPr>
        <w:spacing w:after="120"/>
        <w:ind w:left="709" w:hanging="709"/>
      </w:pPr>
      <w:bookmarkStart w:id="6" w:name="_Toc19700356"/>
      <w:r w:rsidRPr="005048BA">
        <w:rPr>
          <w:rFonts w:asciiTheme="minorHAnsi" w:eastAsiaTheme="majorEastAsia" w:hAnsiTheme="minorHAnsi" w:cstheme="majorBidi"/>
          <w:caps w:val="0"/>
          <w:snapToGrid/>
          <w:szCs w:val="28"/>
        </w:rPr>
        <w:t>Comparator</w:t>
      </w:r>
      <w:bookmarkEnd w:id="6"/>
    </w:p>
    <w:p w:rsidR="00D65B1C" w:rsidRPr="00B05ECE" w:rsidRDefault="00D65B1C" w:rsidP="00FE6CA5">
      <w:pPr>
        <w:pStyle w:val="ListParagraph"/>
        <w:widowControl/>
        <w:numPr>
          <w:ilvl w:val="1"/>
          <w:numId w:val="2"/>
        </w:numPr>
        <w:spacing w:after="120"/>
        <w:rPr>
          <w:color w:val="3366FF"/>
        </w:rPr>
      </w:pPr>
      <w:r w:rsidRPr="00B05ECE">
        <w:t xml:space="preserve">The submission nominated best available therapy (BAT) as the main comparator, which is represented by treatment with </w:t>
      </w:r>
      <w:proofErr w:type="spellStart"/>
      <w:r w:rsidR="00A20EEF" w:rsidRPr="00B05ECE">
        <w:t>hydroxycarbamide</w:t>
      </w:r>
      <w:proofErr w:type="spellEnd"/>
      <w:r w:rsidR="00A20EEF" w:rsidRPr="00B05ECE">
        <w:t>/</w:t>
      </w:r>
      <w:proofErr w:type="spellStart"/>
      <w:r w:rsidR="00A20EEF" w:rsidRPr="00B05ECE">
        <w:t>hydroxyurea</w:t>
      </w:r>
      <w:proofErr w:type="spellEnd"/>
      <w:r w:rsidR="00A20EEF" w:rsidRPr="00B05ECE">
        <w:t xml:space="preserve"> </w:t>
      </w:r>
      <w:r w:rsidR="00A20EEF">
        <w:t>(</w:t>
      </w:r>
      <w:r w:rsidRPr="00B05ECE">
        <w:t>HC</w:t>
      </w:r>
      <w:r w:rsidR="00A20EEF">
        <w:t>)</w:t>
      </w:r>
      <w:r w:rsidRPr="00B05ECE">
        <w:t xml:space="preserve"> or peginterferon</w:t>
      </w:r>
      <w:r w:rsidR="00A20EEF">
        <w:t xml:space="preserve"> </w:t>
      </w:r>
      <w:r w:rsidR="00A20EEF" w:rsidRPr="00B05ECE">
        <w:t>α-2a</w:t>
      </w:r>
      <w:r w:rsidR="00705C51">
        <w:t>.</w:t>
      </w:r>
      <w:r w:rsidRPr="00B05ECE">
        <w:t xml:space="preserve"> T</w:t>
      </w:r>
      <w:r w:rsidR="001B6D52" w:rsidRPr="00B05ECE">
        <w:t xml:space="preserve">he </w:t>
      </w:r>
      <w:r w:rsidRPr="00B05ECE">
        <w:t>main arguments were that both</w:t>
      </w:r>
      <w:r w:rsidRPr="00B05ECE">
        <w:rPr>
          <w:color w:val="3366FF"/>
        </w:rPr>
        <w:t xml:space="preserve"> </w:t>
      </w:r>
      <w:r w:rsidR="001B6D52" w:rsidRPr="00B05ECE">
        <w:t>HC and peg</w:t>
      </w:r>
      <w:r w:rsidRPr="00B05ECE">
        <w:t xml:space="preserve">interferon α-2a are listed on the PBS under unrestricted listings, with </w:t>
      </w:r>
      <w:r w:rsidR="00F80BF6" w:rsidRPr="00B05ECE">
        <w:t>either one</w:t>
      </w:r>
      <w:r w:rsidR="001B6D52" w:rsidRPr="00B05ECE">
        <w:t xml:space="preserve"> suggested as first-</w:t>
      </w:r>
      <w:r w:rsidRPr="00B05ECE">
        <w:t xml:space="preserve">line therapy in PV </w:t>
      </w:r>
      <w:r w:rsidR="001B6D52" w:rsidRPr="00B05ECE">
        <w:t xml:space="preserve">with the other </w:t>
      </w:r>
      <w:r w:rsidR="00A20EEF">
        <w:t>available</w:t>
      </w:r>
      <w:r w:rsidR="00A20EEF" w:rsidRPr="00B05ECE">
        <w:t xml:space="preserve"> </w:t>
      </w:r>
      <w:r w:rsidR="001B6D52" w:rsidRPr="00B05ECE">
        <w:t>as second-</w:t>
      </w:r>
      <w:r w:rsidRPr="00B05ECE">
        <w:t xml:space="preserve">line therapy, and there was no drug listed on the PBS specifically for the treatment in patients with PV who were resistant or intolerant to HC.  </w:t>
      </w:r>
    </w:p>
    <w:p w:rsidR="00D65B1C" w:rsidRPr="002B3792" w:rsidRDefault="00A20EEF" w:rsidP="00FE6CA5">
      <w:pPr>
        <w:pStyle w:val="ListParagraph"/>
        <w:widowControl/>
        <w:numPr>
          <w:ilvl w:val="1"/>
          <w:numId w:val="2"/>
        </w:numPr>
        <w:spacing w:after="120"/>
        <w:rPr>
          <w:color w:val="3366FF"/>
        </w:rPr>
      </w:pPr>
      <w:r w:rsidRPr="002B3792">
        <w:t>The evaluation</w:t>
      </w:r>
      <w:r w:rsidR="001B6D52" w:rsidRPr="002B3792">
        <w:t xml:space="preserve"> noted that neither HC nor peginterferon α-2a are specifically TGA ap</w:t>
      </w:r>
      <w:r w:rsidR="00705C51">
        <w:t>proved for the treatment of PV.</w:t>
      </w:r>
      <w:r w:rsidR="001B6D52" w:rsidRPr="002B3792">
        <w:t xml:space="preserve"> Other therapies such as </w:t>
      </w:r>
      <w:proofErr w:type="spellStart"/>
      <w:r w:rsidR="001B6D52" w:rsidRPr="002B3792">
        <w:t>busulfan</w:t>
      </w:r>
      <w:proofErr w:type="spellEnd"/>
      <w:r w:rsidR="001B6D52" w:rsidRPr="002B3792">
        <w:t xml:space="preserve"> were also used in the MAJIC trial (key trial supporting the submission) for second-line treatment of PV.  </w:t>
      </w:r>
      <w:proofErr w:type="spellStart"/>
      <w:r w:rsidR="001B6D52" w:rsidRPr="002B3792">
        <w:t>Busulfan</w:t>
      </w:r>
      <w:proofErr w:type="spellEnd"/>
      <w:r w:rsidR="001B6D52" w:rsidRPr="002B3792">
        <w:t xml:space="preserve"> is a recommended alternative to HC as first-line treatment (</w:t>
      </w:r>
      <w:proofErr w:type="spellStart"/>
      <w:r w:rsidR="001B6D52" w:rsidRPr="002B3792">
        <w:t>UpToDate</w:t>
      </w:r>
      <w:proofErr w:type="spellEnd"/>
      <w:r w:rsidR="001B6D52" w:rsidRPr="002B3792">
        <w:t xml:space="preserve">), and </w:t>
      </w:r>
      <w:r w:rsidR="001B6D52" w:rsidRPr="002B3792">
        <w:lastRenderedPageBreak/>
        <w:t xml:space="preserve">like HC and peginterferon α-2a, </w:t>
      </w:r>
      <w:proofErr w:type="spellStart"/>
      <w:r w:rsidR="009F5D1D" w:rsidRPr="002B3792">
        <w:t>busulfan</w:t>
      </w:r>
      <w:proofErr w:type="spellEnd"/>
      <w:r w:rsidR="001B6D52" w:rsidRPr="002B3792">
        <w:t xml:space="preserve"> is also listed on the PBS with an unrestricted listing.  </w:t>
      </w:r>
    </w:p>
    <w:p w:rsidR="004C0C16" w:rsidRPr="005209F0" w:rsidRDefault="004C0C16" w:rsidP="00FE6CA5">
      <w:pPr>
        <w:pStyle w:val="ListParagraph"/>
        <w:widowControl/>
        <w:numPr>
          <w:ilvl w:val="1"/>
          <w:numId w:val="2"/>
        </w:numPr>
        <w:spacing w:after="120"/>
        <w:rPr>
          <w:color w:val="3366FF"/>
        </w:rPr>
      </w:pPr>
      <w:r w:rsidRPr="002B3792">
        <w:t>The ESC considered the nominated comparator was appropriate</w:t>
      </w:r>
      <w:r w:rsidR="00A20EEF" w:rsidRPr="002B3792">
        <w:t xml:space="preserve">, however peginterferon α-2a is not well tolerated and use was likely to remain considerably lower than </w:t>
      </w:r>
      <w:r w:rsidR="00894C72" w:rsidRPr="002B3792">
        <w:t xml:space="preserve">continued use of </w:t>
      </w:r>
      <w:r w:rsidR="00A20EEF" w:rsidRPr="002B3792">
        <w:t>HC, even with an unrestricted PBS listing</w:t>
      </w:r>
      <w:r w:rsidRPr="002B3792">
        <w:t xml:space="preserve">. </w:t>
      </w:r>
    </w:p>
    <w:p w:rsidR="005209F0" w:rsidRDefault="005209F0" w:rsidP="00FE6CA5">
      <w:pPr>
        <w:spacing w:after="120"/>
        <w:ind w:firstLine="709"/>
        <w:rPr>
          <w:i/>
        </w:rPr>
      </w:pPr>
      <w:r w:rsidRPr="005209F0">
        <w:rPr>
          <w:i/>
        </w:rPr>
        <w:t xml:space="preserve">For more detail on PBAC’s view, see section 7 PBAC outcome. </w:t>
      </w:r>
    </w:p>
    <w:p w:rsidR="00D65B1C" w:rsidRPr="00407F2D" w:rsidRDefault="00D65B1C" w:rsidP="00FE6CA5">
      <w:pPr>
        <w:pStyle w:val="Heading1"/>
        <w:keepNext/>
        <w:keepLines/>
        <w:widowControl/>
        <w:numPr>
          <w:ilvl w:val="0"/>
          <w:numId w:val="2"/>
        </w:numPr>
        <w:spacing w:after="120"/>
        <w:ind w:left="709" w:hanging="709"/>
      </w:pPr>
      <w:bookmarkStart w:id="7" w:name="_Toc19700357"/>
      <w:r w:rsidRPr="005048BA">
        <w:rPr>
          <w:rFonts w:asciiTheme="minorHAnsi" w:eastAsiaTheme="majorEastAsia" w:hAnsiTheme="minorHAnsi" w:cstheme="majorBidi"/>
          <w:caps w:val="0"/>
          <w:snapToGrid/>
          <w:szCs w:val="28"/>
        </w:rPr>
        <w:t>Consideration of the evidence</w:t>
      </w:r>
      <w:bookmarkEnd w:id="7"/>
    </w:p>
    <w:p w:rsidR="00BB7CE8" w:rsidRDefault="00BB7CE8" w:rsidP="00FE6CA5">
      <w:pPr>
        <w:pStyle w:val="Heading2"/>
        <w:spacing w:after="120"/>
      </w:pPr>
      <w:bookmarkStart w:id="8" w:name="_Toc19700358"/>
      <w:r w:rsidRPr="00BB7CE8">
        <w:t>Sponsor hearing</w:t>
      </w:r>
    </w:p>
    <w:p w:rsidR="00BB7CE8" w:rsidRPr="00F84C9D" w:rsidRDefault="00F84C9D" w:rsidP="00FE6CA5">
      <w:pPr>
        <w:numPr>
          <w:ilvl w:val="1"/>
          <w:numId w:val="2"/>
        </w:numPr>
        <w:spacing w:after="120"/>
        <w:rPr>
          <w:rFonts w:asciiTheme="minorHAnsi" w:hAnsiTheme="minorHAnsi"/>
          <w:bCs/>
        </w:rPr>
      </w:pPr>
      <w:r>
        <w:rPr>
          <w:rFonts w:asciiTheme="minorHAnsi" w:hAnsiTheme="minorHAnsi"/>
          <w:bCs/>
        </w:rPr>
        <w:t xml:space="preserve">There was no hearing for this item. </w:t>
      </w:r>
    </w:p>
    <w:p w:rsidR="00BB7CE8" w:rsidRDefault="00BB7CE8" w:rsidP="00FE6CA5">
      <w:pPr>
        <w:pStyle w:val="Heading2"/>
        <w:spacing w:after="120"/>
      </w:pPr>
      <w:r w:rsidRPr="00BB7CE8">
        <w:t>Consumer comments</w:t>
      </w:r>
    </w:p>
    <w:p w:rsidR="008D5CBF" w:rsidRDefault="00D4125F" w:rsidP="00FE6CA5">
      <w:pPr>
        <w:numPr>
          <w:ilvl w:val="1"/>
          <w:numId w:val="2"/>
        </w:numPr>
        <w:spacing w:after="120"/>
        <w:rPr>
          <w:rFonts w:asciiTheme="minorHAnsi" w:hAnsiTheme="minorHAnsi"/>
          <w:bCs/>
        </w:rPr>
      </w:pPr>
      <w:r w:rsidRPr="00A3323D">
        <w:rPr>
          <w:rFonts w:asciiTheme="minorHAnsi" w:hAnsiTheme="minorHAnsi"/>
          <w:bCs/>
        </w:rPr>
        <w:t>The PBAC noted and welcomed the input from individuals (7) and organisations (1) via the Consumer Commen</w:t>
      </w:r>
      <w:r w:rsidR="00705C51">
        <w:rPr>
          <w:rFonts w:asciiTheme="minorHAnsi" w:hAnsiTheme="minorHAnsi"/>
          <w:bCs/>
        </w:rPr>
        <w:t>ts facility on the PBS website.</w:t>
      </w:r>
      <w:r w:rsidRPr="00A3323D">
        <w:rPr>
          <w:rFonts w:asciiTheme="minorHAnsi" w:hAnsiTheme="minorHAnsi"/>
          <w:bCs/>
        </w:rPr>
        <w:t xml:space="preserve"> The comments described </w:t>
      </w:r>
      <w:r w:rsidR="000E46ED" w:rsidRPr="00A3323D">
        <w:rPr>
          <w:rFonts w:asciiTheme="minorHAnsi" w:hAnsiTheme="minorHAnsi"/>
          <w:bCs/>
        </w:rPr>
        <w:t>a</w:t>
      </w:r>
      <w:r w:rsidR="000E46ED">
        <w:rPr>
          <w:rFonts w:asciiTheme="minorHAnsi" w:hAnsiTheme="minorHAnsi"/>
          <w:bCs/>
        </w:rPr>
        <w:t xml:space="preserve"> </w:t>
      </w:r>
      <w:r w:rsidR="000E46ED" w:rsidRPr="00A3323D">
        <w:rPr>
          <w:rFonts w:asciiTheme="minorHAnsi" w:hAnsiTheme="minorHAnsi"/>
          <w:bCs/>
        </w:rPr>
        <w:t>range</w:t>
      </w:r>
      <w:r w:rsidRPr="00A3323D">
        <w:rPr>
          <w:rFonts w:asciiTheme="minorHAnsi" w:hAnsiTheme="minorHAnsi"/>
          <w:bCs/>
        </w:rPr>
        <w:t xml:space="preserve"> of</w:t>
      </w:r>
      <w:r w:rsidR="007B5957">
        <w:rPr>
          <w:rFonts w:asciiTheme="minorHAnsi" w:hAnsiTheme="minorHAnsi"/>
          <w:bCs/>
        </w:rPr>
        <w:t xml:space="preserve"> potential</w:t>
      </w:r>
      <w:r w:rsidRPr="00A3323D">
        <w:rPr>
          <w:rFonts w:asciiTheme="minorHAnsi" w:hAnsiTheme="minorHAnsi"/>
          <w:bCs/>
        </w:rPr>
        <w:t xml:space="preserve"> benefits of treatment with ruxolitinib, including</w:t>
      </w:r>
      <w:r>
        <w:rPr>
          <w:rFonts w:asciiTheme="minorHAnsi" w:hAnsiTheme="minorHAnsi"/>
          <w:bCs/>
        </w:rPr>
        <w:t xml:space="preserve"> relief of symptoms</w:t>
      </w:r>
      <w:r w:rsidR="008B099F">
        <w:rPr>
          <w:rFonts w:asciiTheme="minorHAnsi" w:hAnsiTheme="minorHAnsi"/>
          <w:bCs/>
        </w:rPr>
        <w:t xml:space="preserve"> and </w:t>
      </w:r>
      <w:r w:rsidR="001238D2">
        <w:rPr>
          <w:rFonts w:asciiTheme="minorHAnsi" w:hAnsiTheme="minorHAnsi"/>
          <w:bCs/>
        </w:rPr>
        <w:t>improvement in quality of life</w:t>
      </w:r>
      <w:r>
        <w:rPr>
          <w:rFonts w:asciiTheme="minorHAnsi" w:hAnsiTheme="minorHAnsi"/>
          <w:bCs/>
        </w:rPr>
        <w:t xml:space="preserve">. </w:t>
      </w:r>
      <w:r w:rsidR="008B099F">
        <w:rPr>
          <w:rFonts w:asciiTheme="minorHAnsi" w:hAnsiTheme="minorHAnsi"/>
          <w:bCs/>
        </w:rPr>
        <w:t xml:space="preserve">The comments also emphasised the </w:t>
      </w:r>
      <w:r w:rsidR="00F431EE">
        <w:rPr>
          <w:rFonts w:asciiTheme="minorHAnsi" w:hAnsiTheme="minorHAnsi"/>
          <w:bCs/>
        </w:rPr>
        <w:t>need for</w:t>
      </w:r>
      <w:r w:rsidR="008B099F">
        <w:rPr>
          <w:rFonts w:asciiTheme="minorHAnsi" w:hAnsiTheme="minorHAnsi"/>
          <w:bCs/>
        </w:rPr>
        <w:t xml:space="preserve"> more treatment options for PV noting the</w:t>
      </w:r>
      <w:r w:rsidR="00F431EE">
        <w:rPr>
          <w:rFonts w:asciiTheme="minorHAnsi" w:hAnsiTheme="minorHAnsi"/>
          <w:bCs/>
        </w:rPr>
        <w:t>re are several side effects associated with existing</w:t>
      </w:r>
      <w:r w:rsidR="008B099F">
        <w:rPr>
          <w:rFonts w:asciiTheme="minorHAnsi" w:hAnsiTheme="minorHAnsi"/>
          <w:bCs/>
        </w:rPr>
        <w:t xml:space="preserve"> treatments. </w:t>
      </w:r>
    </w:p>
    <w:p w:rsidR="00D4125F" w:rsidRPr="00D4125F" w:rsidRDefault="00D4125F" w:rsidP="00FE6CA5">
      <w:pPr>
        <w:numPr>
          <w:ilvl w:val="1"/>
          <w:numId w:val="2"/>
        </w:numPr>
        <w:spacing w:after="120"/>
        <w:rPr>
          <w:rFonts w:asciiTheme="minorHAnsi" w:hAnsiTheme="minorHAnsi"/>
          <w:bCs/>
        </w:rPr>
      </w:pPr>
      <w:r>
        <w:rPr>
          <w:rFonts w:asciiTheme="minorHAnsi" w:hAnsiTheme="minorHAnsi"/>
          <w:bCs/>
        </w:rPr>
        <w:t>The Leukaemia Foundation</w:t>
      </w:r>
      <w:r w:rsidR="00027439">
        <w:rPr>
          <w:rFonts w:asciiTheme="minorHAnsi" w:hAnsiTheme="minorHAnsi"/>
          <w:bCs/>
        </w:rPr>
        <w:t xml:space="preserve"> </w:t>
      </w:r>
      <w:r>
        <w:rPr>
          <w:rFonts w:asciiTheme="minorHAnsi" w:hAnsiTheme="minorHAnsi"/>
          <w:bCs/>
        </w:rPr>
        <w:t>consider</w:t>
      </w:r>
      <w:r w:rsidR="00E6182B">
        <w:rPr>
          <w:rFonts w:asciiTheme="minorHAnsi" w:hAnsiTheme="minorHAnsi"/>
          <w:bCs/>
        </w:rPr>
        <w:t>ed</w:t>
      </w:r>
      <w:r>
        <w:rPr>
          <w:rFonts w:asciiTheme="minorHAnsi" w:hAnsiTheme="minorHAnsi"/>
          <w:bCs/>
        </w:rPr>
        <w:t xml:space="preserve"> there to be a high unmet need for more effective treatments for people living with PV. </w:t>
      </w:r>
    </w:p>
    <w:p w:rsidR="00D65B1C" w:rsidRPr="00C9624D" w:rsidRDefault="00D65B1C" w:rsidP="00FE6CA5">
      <w:pPr>
        <w:pStyle w:val="Heading2"/>
        <w:spacing w:after="120"/>
      </w:pPr>
      <w:r w:rsidRPr="00230BD1">
        <w:t>Clinical trials</w:t>
      </w:r>
      <w:bookmarkEnd w:id="8"/>
    </w:p>
    <w:p w:rsidR="00D65B1C" w:rsidRPr="00B50DB8" w:rsidRDefault="00D65B1C" w:rsidP="00FE6CA5">
      <w:pPr>
        <w:pStyle w:val="ListParagraph"/>
        <w:widowControl/>
        <w:numPr>
          <w:ilvl w:val="1"/>
          <w:numId w:val="2"/>
        </w:numPr>
        <w:spacing w:after="120"/>
      </w:pPr>
      <w:r>
        <w:t>The submission was based on one head-to-head randomised trial (MAJIC, n=190) and two supplementary randomised trials</w:t>
      </w:r>
      <w:r w:rsidRPr="00AC3E06">
        <w:t xml:space="preserve"> </w:t>
      </w:r>
      <w:r>
        <w:t>(RESPONSE, n=222 and RESPONSE-2, n=149) comparing ruxolitinib to BAT in patients with PV who were resistant or intolerant to HC.</w:t>
      </w:r>
      <w:r>
        <w:rPr>
          <w:rFonts w:cs="Calibri"/>
          <w:snapToGrid/>
          <w:szCs w:val="24"/>
          <w:lang w:val="en-US" w:eastAsia="en-AU"/>
        </w:rPr>
        <w:t xml:space="preserve"> </w:t>
      </w:r>
      <w:r w:rsidRPr="00B50DB8">
        <w:rPr>
          <w:color w:val="3366FF"/>
        </w:rPr>
        <w:t xml:space="preserve"> </w:t>
      </w:r>
    </w:p>
    <w:p w:rsidR="00D65B1C" w:rsidRPr="00B50DB8" w:rsidRDefault="00D65B1C" w:rsidP="00276007">
      <w:pPr>
        <w:pStyle w:val="ListParagraph"/>
        <w:widowControl/>
        <w:numPr>
          <w:ilvl w:val="1"/>
          <w:numId w:val="2"/>
        </w:numPr>
      </w:pPr>
      <w:r>
        <w:rPr>
          <w:rFonts w:cs="Calibri"/>
          <w:snapToGrid/>
          <w:szCs w:val="24"/>
          <w:lang w:val="en-US" w:eastAsia="en-AU"/>
        </w:rPr>
        <w:t xml:space="preserve">Details of the trials presented in the submission are provided in </w:t>
      </w:r>
      <w:r w:rsidR="003F2824">
        <w:t xml:space="preserve">Table </w:t>
      </w:r>
      <w:r w:rsidR="003F2824">
        <w:rPr>
          <w:noProof/>
        </w:rPr>
        <w:t>2</w:t>
      </w:r>
      <w:r>
        <w:rPr>
          <w:rFonts w:cs="Calibri"/>
          <w:snapToGrid/>
          <w:szCs w:val="24"/>
          <w:lang w:val="en-US" w:eastAsia="en-AU"/>
        </w:rPr>
        <w:t xml:space="preserve">.  </w:t>
      </w:r>
    </w:p>
    <w:p w:rsidR="00D65B1C" w:rsidRPr="008E0D3C" w:rsidRDefault="003F2824" w:rsidP="0040694F">
      <w:pPr>
        <w:pStyle w:val="Caption"/>
        <w:keepNext/>
        <w:keepLines/>
        <w:rPr>
          <w:rStyle w:val="CommentReference"/>
        </w:rPr>
      </w:pPr>
      <w:bookmarkStart w:id="9" w:name="_Ref17145845"/>
      <w:r>
        <w:lastRenderedPageBreak/>
        <w:t xml:space="preserve">Table </w:t>
      </w:r>
      <w:r w:rsidR="00CF6741">
        <w:rPr>
          <w:noProof/>
        </w:rPr>
        <w:t>2</w:t>
      </w:r>
      <w:bookmarkEnd w:id="9"/>
      <w:r>
        <w:t>:</w:t>
      </w:r>
      <w:r w:rsidR="00D65B1C" w:rsidRPr="003F2824">
        <w:rPr>
          <w:rStyle w:val="CommentReference"/>
          <w:b/>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4"/>
        <w:gridCol w:w="5055"/>
        <w:gridCol w:w="2528"/>
      </w:tblGrid>
      <w:tr w:rsidR="00D65B1C" w:rsidRPr="00B41614" w:rsidTr="003F2824">
        <w:trPr>
          <w:tblHeader/>
        </w:trPr>
        <w:tc>
          <w:tcPr>
            <w:tcW w:w="795" w:type="pct"/>
          </w:tcPr>
          <w:p w:rsidR="00D65B1C" w:rsidRPr="00B41614" w:rsidRDefault="00D65B1C" w:rsidP="0040694F">
            <w:pPr>
              <w:pStyle w:val="Tabletext"/>
              <w:keepNext/>
              <w:keepLines/>
              <w:rPr>
                <w:b/>
              </w:rPr>
            </w:pPr>
            <w:r w:rsidRPr="00B41614">
              <w:rPr>
                <w:b/>
              </w:rPr>
              <w:t>Trial ID</w:t>
            </w:r>
          </w:p>
        </w:tc>
        <w:tc>
          <w:tcPr>
            <w:tcW w:w="2803" w:type="pct"/>
          </w:tcPr>
          <w:p w:rsidR="00D65B1C" w:rsidRPr="00B41614" w:rsidRDefault="00D65B1C" w:rsidP="0040694F">
            <w:pPr>
              <w:pStyle w:val="Tabletext"/>
              <w:keepNext/>
              <w:keepLines/>
              <w:rPr>
                <w:b/>
              </w:rPr>
            </w:pPr>
            <w:r w:rsidRPr="00B41614">
              <w:rPr>
                <w:b/>
              </w:rPr>
              <w:t>Protocol title/ Publication title</w:t>
            </w:r>
          </w:p>
        </w:tc>
        <w:tc>
          <w:tcPr>
            <w:tcW w:w="1402" w:type="pct"/>
          </w:tcPr>
          <w:p w:rsidR="00D65B1C" w:rsidRPr="00B41614" w:rsidRDefault="00D65B1C" w:rsidP="0040694F">
            <w:pPr>
              <w:pStyle w:val="Tabletext"/>
              <w:keepNext/>
              <w:keepLines/>
              <w:rPr>
                <w:b/>
              </w:rPr>
            </w:pPr>
            <w:r w:rsidRPr="00B41614">
              <w:rPr>
                <w:b/>
              </w:rPr>
              <w:t>Publication citation</w:t>
            </w:r>
          </w:p>
        </w:tc>
      </w:tr>
      <w:tr w:rsidR="003F2824" w:rsidRPr="00CB38A8" w:rsidTr="003F2824">
        <w:tc>
          <w:tcPr>
            <w:tcW w:w="795" w:type="pct"/>
            <w:vMerge w:val="restart"/>
          </w:tcPr>
          <w:p w:rsidR="003F2824" w:rsidRPr="00EA695E" w:rsidRDefault="003F2824" w:rsidP="0040694F">
            <w:pPr>
              <w:keepNext/>
              <w:keepLines/>
              <w:jc w:val="left"/>
              <w:rPr>
                <w:rFonts w:ascii="Arial Narrow" w:hAnsi="Arial Narrow"/>
                <w:sz w:val="20"/>
                <w:szCs w:val="20"/>
              </w:rPr>
            </w:pPr>
            <w:r w:rsidRPr="00EA695E">
              <w:rPr>
                <w:rFonts w:ascii="Arial Narrow" w:hAnsi="Arial Narrow"/>
                <w:sz w:val="20"/>
                <w:szCs w:val="20"/>
              </w:rPr>
              <w:t>MAJIC</w:t>
            </w:r>
          </w:p>
        </w:tc>
        <w:tc>
          <w:tcPr>
            <w:tcW w:w="2803" w:type="pct"/>
            <w:tcBorders>
              <w:bottom w:val="nil"/>
            </w:tcBorders>
          </w:tcPr>
          <w:p w:rsidR="003F2824" w:rsidRPr="00EA695E" w:rsidRDefault="003F2824" w:rsidP="0040694F">
            <w:pPr>
              <w:keepNext/>
              <w:keepLines/>
              <w:jc w:val="left"/>
              <w:rPr>
                <w:rFonts w:ascii="Arial Narrow" w:hAnsi="Arial Narrow"/>
                <w:sz w:val="20"/>
                <w:szCs w:val="20"/>
              </w:rPr>
            </w:pPr>
            <w:r>
              <w:rPr>
                <w:rFonts w:ascii="Arial Narrow" w:hAnsi="Arial Narrow"/>
                <w:sz w:val="20"/>
                <w:szCs w:val="20"/>
              </w:rPr>
              <w:t>Harrison et al.</w:t>
            </w:r>
            <w:r w:rsidRPr="00EA695E">
              <w:rPr>
                <w:rFonts w:ascii="Arial Narrow" w:hAnsi="Arial Narrow"/>
                <w:sz w:val="20"/>
                <w:szCs w:val="20"/>
              </w:rPr>
              <w:t xml:space="preserve"> Ruxolitinib compared with best available therapy for polycythaemia </w:t>
            </w:r>
            <w:proofErr w:type="spellStart"/>
            <w:r w:rsidRPr="00EA695E">
              <w:rPr>
                <w:rFonts w:ascii="Arial Narrow" w:hAnsi="Arial Narrow"/>
                <w:sz w:val="20"/>
                <w:szCs w:val="20"/>
              </w:rPr>
              <w:t>vera</w:t>
            </w:r>
            <w:proofErr w:type="spellEnd"/>
            <w:r w:rsidRPr="00EA695E">
              <w:rPr>
                <w:rFonts w:ascii="Arial Narrow" w:hAnsi="Arial Narrow"/>
                <w:sz w:val="20"/>
                <w:szCs w:val="20"/>
              </w:rPr>
              <w:t xml:space="preserve"> patients resistant or intolerant to </w:t>
            </w:r>
            <w:proofErr w:type="spellStart"/>
            <w:r w:rsidRPr="00EA695E">
              <w:rPr>
                <w:rFonts w:ascii="Arial Narrow" w:hAnsi="Arial Narrow"/>
                <w:sz w:val="20"/>
                <w:szCs w:val="20"/>
              </w:rPr>
              <w:t>hydroxycarbamide</w:t>
            </w:r>
            <w:proofErr w:type="spellEnd"/>
            <w:r w:rsidRPr="00EA695E">
              <w:rPr>
                <w:rFonts w:ascii="Arial Narrow" w:hAnsi="Arial Narrow"/>
                <w:sz w:val="20"/>
                <w:szCs w:val="20"/>
              </w:rPr>
              <w:t xml:space="preserve"> in MAJIC-an investigator-led trial.</w:t>
            </w:r>
          </w:p>
        </w:tc>
        <w:tc>
          <w:tcPr>
            <w:tcW w:w="1402" w:type="pct"/>
            <w:tcBorders>
              <w:bottom w:val="nil"/>
            </w:tcBorders>
          </w:tcPr>
          <w:p w:rsidR="003F2824" w:rsidRPr="00EA695E" w:rsidRDefault="003F2824" w:rsidP="0040694F">
            <w:pPr>
              <w:keepNext/>
              <w:keepLines/>
              <w:jc w:val="left"/>
              <w:rPr>
                <w:rFonts w:ascii="Arial Narrow" w:hAnsi="Arial Narrow"/>
                <w:sz w:val="20"/>
                <w:szCs w:val="20"/>
              </w:rPr>
            </w:pPr>
            <w:r w:rsidRPr="00EA695E">
              <w:rPr>
                <w:rFonts w:ascii="Arial Narrow" w:hAnsi="Arial Narrow"/>
                <w:sz w:val="20"/>
                <w:szCs w:val="20"/>
              </w:rPr>
              <w:t xml:space="preserve">Poster at 23rd Congress of the European </w:t>
            </w:r>
            <w:proofErr w:type="spellStart"/>
            <w:r w:rsidRPr="00EA695E">
              <w:rPr>
                <w:rFonts w:ascii="Arial Narrow" w:hAnsi="Arial Narrow"/>
                <w:sz w:val="20"/>
                <w:szCs w:val="20"/>
              </w:rPr>
              <w:t>Hematology</w:t>
            </w:r>
            <w:proofErr w:type="spellEnd"/>
            <w:r w:rsidRPr="00EA695E">
              <w:rPr>
                <w:rFonts w:ascii="Arial Narrow" w:hAnsi="Arial Narrow"/>
                <w:sz w:val="20"/>
                <w:szCs w:val="20"/>
              </w:rPr>
              <w:t xml:space="preserve"> Association, Stockholm, June 14-17, 2018</w:t>
            </w:r>
          </w:p>
        </w:tc>
      </w:tr>
      <w:tr w:rsidR="003F2824" w:rsidRPr="00CB38A8" w:rsidTr="003F2824">
        <w:tc>
          <w:tcPr>
            <w:tcW w:w="795" w:type="pct"/>
            <w:vMerge/>
            <w:tcBorders>
              <w:bottom w:val="single" w:sz="4" w:space="0" w:color="auto"/>
            </w:tcBorders>
          </w:tcPr>
          <w:p w:rsidR="003F2824" w:rsidRPr="00EA695E" w:rsidRDefault="003F2824" w:rsidP="0040694F">
            <w:pPr>
              <w:keepNext/>
              <w:keepLines/>
              <w:jc w:val="left"/>
              <w:rPr>
                <w:rFonts w:ascii="Arial Narrow" w:hAnsi="Arial Narrow"/>
                <w:sz w:val="20"/>
                <w:szCs w:val="20"/>
              </w:rPr>
            </w:pPr>
          </w:p>
        </w:tc>
        <w:tc>
          <w:tcPr>
            <w:tcW w:w="2803" w:type="pct"/>
            <w:tcBorders>
              <w:top w:val="nil"/>
              <w:bottom w:val="single" w:sz="4" w:space="0" w:color="auto"/>
            </w:tcBorders>
          </w:tcPr>
          <w:p w:rsidR="003F2824" w:rsidRPr="00EA695E" w:rsidRDefault="003F2824" w:rsidP="0040694F">
            <w:pPr>
              <w:keepNext/>
              <w:keepLines/>
              <w:jc w:val="left"/>
              <w:rPr>
                <w:rFonts w:ascii="Arial Narrow" w:hAnsi="Arial Narrow"/>
                <w:sz w:val="20"/>
                <w:szCs w:val="20"/>
              </w:rPr>
            </w:pPr>
            <w:proofErr w:type="spellStart"/>
            <w:r w:rsidRPr="00EA695E">
              <w:rPr>
                <w:rFonts w:ascii="Arial Narrow" w:hAnsi="Arial Narrow"/>
                <w:sz w:val="20"/>
                <w:szCs w:val="20"/>
              </w:rPr>
              <w:t>Curto</w:t>
            </w:r>
            <w:proofErr w:type="spellEnd"/>
            <w:r w:rsidRPr="00EA695E">
              <w:rPr>
                <w:rFonts w:ascii="Arial Narrow" w:hAnsi="Arial Narrow"/>
                <w:sz w:val="20"/>
                <w:szCs w:val="20"/>
              </w:rPr>
              <w:t>-Garcia, et al. Molecular analysis in MAJIC PV correlation with clinical end points.</w:t>
            </w:r>
          </w:p>
        </w:tc>
        <w:tc>
          <w:tcPr>
            <w:tcW w:w="1402" w:type="pct"/>
            <w:tcBorders>
              <w:top w:val="nil"/>
              <w:bottom w:val="single" w:sz="4" w:space="0" w:color="auto"/>
            </w:tcBorders>
          </w:tcPr>
          <w:p w:rsidR="003F2824" w:rsidRPr="00EA695E" w:rsidRDefault="003F2824" w:rsidP="0040694F">
            <w:pPr>
              <w:keepNext/>
              <w:keepLines/>
              <w:jc w:val="left"/>
              <w:rPr>
                <w:rFonts w:ascii="Arial Narrow" w:hAnsi="Arial Narrow"/>
                <w:sz w:val="20"/>
                <w:szCs w:val="20"/>
              </w:rPr>
            </w:pPr>
            <w:r w:rsidRPr="00EA695E">
              <w:rPr>
                <w:rFonts w:ascii="Arial Narrow" w:hAnsi="Arial Narrow"/>
                <w:sz w:val="20"/>
                <w:szCs w:val="20"/>
              </w:rPr>
              <w:t xml:space="preserve">Oral presentation at the 24th European </w:t>
            </w:r>
            <w:proofErr w:type="spellStart"/>
            <w:r w:rsidRPr="00EA695E">
              <w:rPr>
                <w:rFonts w:ascii="Arial Narrow" w:hAnsi="Arial Narrow"/>
                <w:sz w:val="20"/>
                <w:szCs w:val="20"/>
              </w:rPr>
              <w:t>Hematology</w:t>
            </w:r>
            <w:proofErr w:type="spellEnd"/>
            <w:r w:rsidRPr="00EA695E">
              <w:rPr>
                <w:rFonts w:ascii="Arial Narrow" w:hAnsi="Arial Narrow"/>
                <w:sz w:val="20"/>
                <w:szCs w:val="20"/>
              </w:rPr>
              <w:t xml:space="preserve"> Association Congress, Amsterdam, Netherlands, June 13-16, 2019</w:t>
            </w:r>
          </w:p>
        </w:tc>
      </w:tr>
      <w:tr w:rsidR="003F2824" w:rsidRPr="00CB38A8" w:rsidTr="003F2824">
        <w:tc>
          <w:tcPr>
            <w:tcW w:w="795" w:type="pct"/>
            <w:vMerge w:val="restart"/>
            <w:tcBorders>
              <w:top w:val="single" w:sz="4" w:space="0" w:color="auto"/>
            </w:tcBorders>
          </w:tcPr>
          <w:p w:rsidR="003F2824" w:rsidRPr="00EA695E" w:rsidRDefault="003F2824" w:rsidP="0040694F">
            <w:pPr>
              <w:keepNext/>
              <w:keepLines/>
              <w:jc w:val="left"/>
              <w:rPr>
                <w:rFonts w:ascii="Arial Narrow" w:hAnsi="Arial Narrow"/>
                <w:sz w:val="20"/>
                <w:szCs w:val="20"/>
              </w:rPr>
            </w:pPr>
            <w:r w:rsidRPr="00EA695E">
              <w:rPr>
                <w:rFonts w:ascii="Arial Narrow" w:hAnsi="Arial Narrow"/>
                <w:sz w:val="20"/>
                <w:szCs w:val="20"/>
              </w:rPr>
              <w:t>RESPONSE</w:t>
            </w:r>
          </w:p>
        </w:tc>
        <w:tc>
          <w:tcPr>
            <w:tcW w:w="2803" w:type="pct"/>
            <w:tcBorders>
              <w:top w:val="single" w:sz="4" w:space="0" w:color="auto"/>
              <w:bottom w:val="dotted" w:sz="4" w:space="0" w:color="auto"/>
            </w:tcBorders>
          </w:tcPr>
          <w:p w:rsidR="003F2824" w:rsidRPr="00EA695E" w:rsidRDefault="003F2824" w:rsidP="0040694F">
            <w:pPr>
              <w:keepNext/>
              <w:keepLines/>
              <w:jc w:val="left"/>
              <w:rPr>
                <w:rFonts w:ascii="Arial Narrow" w:hAnsi="Arial Narrow"/>
                <w:sz w:val="20"/>
                <w:szCs w:val="20"/>
              </w:rPr>
            </w:pPr>
            <w:r w:rsidRPr="00EA695E">
              <w:rPr>
                <w:rFonts w:ascii="Arial Narrow" w:hAnsi="Arial Narrow"/>
                <w:sz w:val="20"/>
                <w:szCs w:val="20"/>
              </w:rPr>
              <w:t xml:space="preserve">Randomized, open label, </w:t>
            </w:r>
            <w:proofErr w:type="spellStart"/>
            <w:r w:rsidRPr="00EA695E">
              <w:rPr>
                <w:rFonts w:ascii="Arial Narrow" w:hAnsi="Arial Narrow"/>
                <w:sz w:val="20"/>
                <w:szCs w:val="20"/>
              </w:rPr>
              <w:t>multicenter</w:t>
            </w:r>
            <w:proofErr w:type="spellEnd"/>
            <w:r w:rsidRPr="00EA695E">
              <w:rPr>
                <w:rFonts w:ascii="Arial Narrow" w:hAnsi="Arial Narrow"/>
                <w:sz w:val="20"/>
                <w:szCs w:val="20"/>
              </w:rPr>
              <w:t xml:space="preserve"> phase III study of efficacy and safety in </w:t>
            </w:r>
            <w:proofErr w:type="spellStart"/>
            <w:r w:rsidRPr="00EA695E">
              <w:rPr>
                <w:rFonts w:ascii="Arial Narrow" w:hAnsi="Arial Narrow"/>
                <w:sz w:val="20"/>
                <w:szCs w:val="20"/>
              </w:rPr>
              <w:t>polycythemia</w:t>
            </w:r>
            <w:proofErr w:type="spellEnd"/>
            <w:r w:rsidRPr="00EA695E">
              <w:rPr>
                <w:rFonts w:ascii="Arial Narrow" w:hAnsi="Arial Narrow"/>
                <w:sz w:val="20"/>
                <w:szCs w:val="20"/>
              </w:rPr>
              <w:t xml:space="preserve"> </w:t>
            </w:r>
            <w:proofErr w:type="spellStart"/>
            <w:r w:rsidRPr="00EA695E">
              <w:rPr>
                <w:rFonts w:ascii="Arial Narrow" w:hAnsi="Arial Narrow"/>
                <w:sz w:val="20"/>
                <w:szCs w:val="20"/>
              </w:rPr>
              <w:t>vera</w:t>
            </w:r>
            <w:proofErr w:type="spellEnd"/>
            <w:r w:rsidRPr="00EA695E">
              <w:rPr>
                <w:rFonts w:ascii="Arial Narrow" w:hAnsi="Arial Narrow"/>
                <w:sz w:val="20"/>
                <w:szCs w:val="20"/>
              </w:rPr>
              <w:t xml:space="preserve"> subjects who are resistant to or intolerant of </w:t>
            </w:r>
            <w:proofErr w:type="spellStart"/>
            <w:r w:rsidRPr="00EA695E">
              <w:rPr>
                <w:rFonts w:ascii="Arial Narrow" w:hAnsi="Arial Narrow"/>
                <w:sz w:val="20"/>
                <w:szCs w:val="20"/>
              </w:rPr>
              <w:t>hydroxyurea</w:t>
            </w:r>
            <w:proofErr w:type="spellEnd"/>
            <w:r w:rsidRPr="00EA695E">
              <w:rPr>
                <w:rFonts w:ascii="Arial Narrow" w:hAnsi="Arial Narrow"/>
                <w:sz w:val="20"/>
                <w:szCs w:val="20"/>
              </w:rPr>
              <w:t>: JAK inhibitor INC424 tablets versus best available care (The RESPONSE Trial) – 48 week CSR</w:t>
            </w:r>
          </w:p>
        </w:tc>
        <w:tc>
          <w:tcPr>
            <w:tcW w:w="1402" w:type="pct"/>
            <w:tcBorders>
              <w:top w:val="single" w:sz="4" w:space="0" w:color="auto"/>
              <w:bottom w:val="dotted" w:sz="4" w:space="0" w:color="auto"/>
            </w:tcBorders>
          </w:tcPr>
          <w:p w:rsidR="003F2824" w:rsidRPr="00EA695E" w:rsidRDefault="003F2824" w:rsidP="0040694F">
            <w:pPr>
              <w:keepNext/>
              <w:keepLines/>
              <w:jc w:val="left"/>
              <w:rPr>
                <w:rFonts w:ascii="Arial Narrow" w:hAnsi="Arial Narrow"/>
                <w:sz w:val="20"/>
                <w:szCs w:val="20"/>
              </w:rPr>
            </w:pPr>
            <w:r w:rsidRPr="00EA695E">
              <w:rPr>
                <w:rFonts w:ascii="Arial Narrow" w:hAnsi="Arial Narrow"/>
                <w:sz w:val="20"/>
                <w:szCs w:val="20"/>
              </w:rPr>
              <w:t>05 May 2014</w:t>
            </w:r>
          </w:p>
        </w:tc>
      </w:tr>
      <w:tr w:rsidR="003F2824" w:rsidRPr="00CB38A8" w:rsidTr="003F2824">
        <w:tc>
          <w:tcPr>
            <w:tcW w:w="795" w:type="pct"/>
            <w:vMerge/>
          </w:tcPr>
          <w:p w:rsidR="003F2824" w:rsidRPr="00EA695E" w:rsidRDefault="003F2824" w:rsidP="0040694F">
            <w:pPr>
              <w:keepNext/>
              <w:keepLines/>
              <w:jc w:val="left"/>
              <w:rPr>
                <w:rFonts w:ascii="Arial Narrow" w:hAnsi="Arial Narrow"/>
                <w:sz w:val="20"/>
                <w:szCs w:val="20"/>
              </w:rPr>
            </w:pPr>
          </w:p>
        </w:tc>
        <w:tc>
          <w:tcPr>
            <w:tcW w:w="2803" w:type="pct"/>
            <w:tcBorders>
              <w:top w:val="dotted" w:sz="4" w:space="0" w:color="auto"/>
              <w:bottom w:val="nil"/>
            </w:tcBorders>
          </w:tcPr>
          <w:p w:rsidR="003F2824" w:rsidRPr="00EA695E" w:rsidRDefault="003F2824" w:rsidP="0040694F">
            <w:pPr>
              <w:keepNext/>
              <w:keepLines/>
              <w:jc w:val="left"/>
              <w:rPr>
                <w:rFonts w:ascii="Arial Narrow" w:hAnsi="Arial Narrow"/>
                <w:sz w:val="20"/>
                <w:szCs w:val="20"/>
              </w:rPr>
            </w:pPr>
            <w:proofErr w:type="spellStart"/>
            <w:r w:rsidRPr="00EA695E">
              <w:rPr>
                <w:rFonts w:ascii="Arial Narrow" w:hAnsi="Arial Narrow"/>
                <w:sz w:val="20"/>
                <w:szCs w:val="20"/>
              </w:rPr>
              <w:t>Vannucchi</w:t>
            </w:r>
            <w:proofErr w:type="spellEnd"/>
            <w:r w:rsidRPr="00EA695E">
              <w:rPr>
                <w:rFonts w:ascii="Arial Narrow" w:hAnsi="Arial Narrow"/>
                <w:sz w:val="20"/>
                <w:szCs w:val="20"/>
              </w:rPr>
              <w:t xml:space="preserve"> et al.  Ruxolitinib versus Standard Therapy for the Treatment of Polycythaemia Vera.</w:t>
            </w:r>
          </w:p>
        </w:tc>
        <w:tc>
          <w:tcPr>
            <w:tcW w:w="1402" w:type="pct"/>
            <w:tcBorders>
              <w:top w:val="dotted" w:sz="4" w:space="0" w:color="auto"/>
              <w:bottom w:val="nil"/>
            </w:tcBorders>
          </w:tcPr>
          <w:p w:rsidR="003F2824" w:rsidRPr="00EA695E" w:rsidRDefault="003F2824" w:rsidP="0040694F">
            <w:pPr>
              <w:keepNext/>
              <w:keepLines/>
              <w:jc w:val="left"/>
              <w:rPr>
                <w:rFonts w:ascii="Arial Narrow" w:hAnsi="Arial Narrow"/>
                <w:sz w:val="20"/>
                <w:szCs w:val="20"/>
              </w:rPr>
            </w:pPr>
            <w:r w:rsidRPr="00EA695E">
              <w:rPr>
                <w:rFonts w:ascii="Arial Narrow" w:hAnsi="Arial Narrow"/>
                <w:sz w:val="20"/>
                <w:szCs w:val="20"/>
              </w:rPr>
              <w:t xml:space="preserve">NEJM 2015; 372(5): 426-435. </w:t>
            </w:r>
          </w:p>
        </w:tc>
      </w:tr>
      <w:tr w:rsidR="003F2824" w:rsidRPr="00CB38A8" w:rsidTr="003F2824">
        <w:tc>
          <w:tcPr>
            <w:tcW w:w="795" w:type="pct"/>
            <w:vMerge/>
          </w:tcPr>
          <w:p w:rsidR="003F2824" w:rsidRPr="00EA695E" w:rsidRDefault="003F2824" w:rsidP="0040694F">
            <w:pPr>
              <w:keepNext/>
              <w:keepLines/>
              <w:jc w:val="left"/>
              <w:rPr>
                <w:rFonts w:ascii="Arial Narrow" w:hAnsi="Arial Narrow"/>
                <w:sz w:val="20"/>
                <w:szCs w:val="20"/>
              </w:rPr>
            </w:pPr>
          </w:p>
        </w:tc>
        <w:tc>
          <w:tcPr>
            <w:tcW w:w="2803" w:type="pct"/>
            <w:tcBorders>
              <w:top w:val="nil"/>
              <w:bottom w:val="nil"/>
            </w:tcBorders>
          </w:tcPr>
          <w:p w:rsidR="003F2824" w:rsidRPr="00EA695E" w:rsidRDefault="003F2824" w:rsidP="0040694F">
            <w:pPr>
              <w:keepNext/>
              <w:keepLines/>
              <w:jc w:val="left"/>
              <w:rPr>
                <w:rFonts w:ascii="Arial Narrow" w:hAnsi="Arial Narrow"/>
                <w:sz w:val="20"/>
                <w:szCs w:val="20"/>
              </w:rPr>
            </w:pPr>
            <w:proofErr w:type="spellStart"/>
            <w:r w:rsidRPr="00EA695E">
              <w:rPr>
                <w:rFonts w:ascii="Arial Narrow" w:hAnsi="Arial Narrow"/>
                <w:sz w:val="20"/>
                <w:szCs w:val="20"/>
              </w:rPr>
              <w:t>Verstovsek</w:t>
            </w:r>
            <w:proofErr w:type="spellEnd"/>
            <w:r w:rsidRPr="00EA695E">
              <w:rPr>
                <w:rFonts w:ascii="Arial Narrow" w:hAnsi="Arial Narrow"/>
                <w:sz w:val="20"/>
                <w:szCs w:val="20"/>
              </w:rPr>
              <w:t xml:space="preserve"> et al. Ruxolitinib versus best available therapy in patients with polycythaemia </w:t>
            </w:r>
            <w:proofErr w:type="spellStart"/>
            <w:r w:rsidRPr="00EA695E">
              <w:rPr>
                <w:rFonts w:ascii="Arial Narrow" w:hAnsi="Arial Narrow"/>
                <w:sz w:val="20"/>
                <w:szCs w:val="20"/>
              </w:rPr>
              <w:t>vera</w:t>
            </w:r>
            <w:proofErr w:type="spellEnd"/>
            <w:r w:rsidRPr="00EA695E">
              <w:rPr>
                <w:rFonts w:ascii="Arial Narrow" w:hAnsi="Arial Narrow"/>
                <w:sz w:val="20"/>
                <w:szCs w:val="20"/>
              </w:rPr>
              <w:t>: 80-week follow-up from the RESPONSE trial.</w:t>
            </w:r>
          </w:p>
        </w:tc>
        <w:tc>
          <w:tcPr>
            <w:tcW w:w="1402" w:type="pct"/>
            <w:tcBorders>
              <w:top w:val="nil"/>
              <w:bottom w:val="nil"/>
            </w:tcBorders>
          </w:tcPr>
          <w:p w:rsidR="003F2824" w:rsidRPr="00EA695E" w:rsidRDefault="003F2824" w:rsidP="0040694F">
            <w:pPr>
              <w:keepNext/>
              <w:keepLines/>
              <w:jc w:val="left"/>
              <w:rPr>
                <w:rFonts w:ascii="Arial Narrow" w:hAnsi="Arial Narrow"/>
                <w:sz w:val="20"/>
                <w:szCs w:val="20"/>
              </w:rPr>
            </w:pPr>
            <w:proofErr w:type="spellStart"/>
            <w:r w:rsidRPr="00EA695E">
              <w:rPr>
                <w:rFonts w:ascii="Arial Narrow" w:hAnsi="Arial Narrow"/>
                <w:sz w:val="20"/>
                <w:szCs w:val="20"/>
              </w:rPr>
              <w:t>Haematologica</w:t>
            </w:r>
            <w:proofErr w:type="spellEnd"/>
            <w:r w:rsidRPr="00EA695E">
              <w:rPr>
                <w:rFonts w:ascii="Arial Narrow" w:hAnsi="Arial Narrow"/>
                <w:sz w:val="20"/>
                <w:szCs w:val="20"/>
              </w:rPr>
              <w:t xml:space="preserve"> 2016; 101(7): 821-829.</w:t>
            </w:r>
          </w:p>
        </w:tc>
      </w:tr>
      <w:tr w:rsidR="003F2824" w:rsidRPr="00CB38A8" w:rsidTr="003F2824">
        <w:tc>
          <w:tcPr>
            <w:tcW w:w="795" w:type="pct"/>
            <w:vMerge/>
            <w:tcBorders>
              <w:bottom w:val="nil"/>
            </w:tcBorders>
          </w:tcPr>
          <w:p w:rsidR="003F2824" w:rsidRPr="00EA695E" w:rsidRDefault="003F2824" w:rsidP="0040694F">
            <w:pPr>
              <w:keepNext/>
              <w:keepLines/>
              <w:jc w:val="left"/>
              <w:rPr>
                <w:rFonts w:ascii="Arial Narrow" w:hAnsi="Arial Narrow"/>
                <w:sz w:val="20"/>
                <w:szCs w:val="20"/>
              </w:rPr>
            </w:pPr>
          </w:p>
        </w:tc>
        <w:tc>
          <w:tcPr>
            <w:tcW w:w="2803" w:type="pct"/>
            <w:tcBorders>
              <w:top w:val="dotted" w:sz="4" w:space="0" w:color="auto"/>
              <w:bottom w:val="nil"/>
            </w:tcBorders>
          </w:tcPr>
          <w:p w:rsidR="003F2824" w:rsidRPr="00EA695E" w:rsidRDefault="003F2824" w:rsidP="0040694F">
            <w:pPr>
              <w:keepNext/>
              <w:keepLines/>
              <w:jc w:val="left"/>
              <w:rPr>
                <w:rFonts w:ascii="Arial Narrow" w:hAnsi="Arial Narrow"/>
                <w:sz w:val="20"/>
                <w:szCs w:val="20"/>
              </w:rPr>
            </w:pPr>
            <w:r>
              <w:rPr>
                <w:rFonts w:ascii="Arial Narrow" w:hAnsi="Arial Narrow"/>
                <w:sz w:val="20"/>
                <w:szCs w:val="20"/>
              </w:rPr>
              <w:t xml:space="preserve">Harrison et al. </w:t>
            </w:r>
            <w:r w:rsidRPr="00EA695E">
              <w:rPr>
                <w:rFonts w:ascii="Arial Narrow" w:hAnsi="Arial Narrow"/>
                <w:sz w:val="20"/>
                <w:szCs w:val="20"/>
              </w:rPr>
              <w:t xml:space="preserve">Comprehensive haematological control with ruxolitinib in patients with polycythaemia </w:t>
            </w:r>
            <w:proofErr w:type="spellStart"/>
            <w:r w:rsidRPr="00EA695E">
              <w:rPr>
                <w:rFonts w:ascii="Arial Narrow" w:hAnsi="Arial Narrow"/>
                <w:sz w:val="20"/>
                <w:szCs w:val="20"/>
              </w:rPr>
              <w:t>vera</w:t>
            </w:r>
            <w:proofErr w:type="spellEnd"/>
            <w:r w:rsidRPr="00EA695E">
              <w:rPr>
                <w:rFonts w:ascii="Arial Narrow" w:hAnsi="Arial Narrow"/>
                <w:sz w:val="20"/>
                <w:szCs w:val="20"/>
              </w:rPr>
              <w:t xml:space="preserve"> resistant to or intolerant of </w:t>
            </w:r>
            <w:proofErr w:type="spellStart"/>
            <w:r w:rsidRPr="00EA695E">
              <w:rPr>
                <w:rFonts w:ascii="Arial Narrow" w:hAnsi="Arial Narrow"/>
                <w:sz w:val="20"/>
                <w:szCs w:val="20"/>
              </w:rPr>
              <w:t>hydroxycarbamide</w:t>
            </w:r>
            <w:proofErr w:type="spellEnd"/>
            <w:r w:rsidRPr="00EA695E">
              <w:rPr>
                <w:rFonts w:ascii="Arial Narrow" w:hAnsi="Arial Narrow"/>
                <w:sz w:val="20"/>
                <w:szCs w:val="20"/>
              </w:rPr>
              <w:t xml:space="preserve">. </w:t>
            </w:r>
          </w:p>
        </w:tc>
        <w:tc>
          <w:tcPr>
            <w:tcW w:w="1402" w:type="pct"/>
            <w:tcBorders>
              <w:top w:val="dotted" w:sz="4" w:space="0" w:color="auto"/>
              <w:bottom w:val="nil"/>
            </w:tcBorders>
          </w:tcPr>
          <w:p w:rsidR="003F2824" w:rsidRPr="00EA695E" w:rsidRDefault="003F2824" w:rsidP="0040694F">
            <w:pPr>
              <w:keepNext/>
              <w:keepLines/>
              <w:jc w:val="left"/>
              <w:rPr>
                <w:rFonts w:ascii="Arial Narrow" w:hAnsi="Arial Narrow"/>
                <w:sz w:val="20"/>
                <w:szCs w:val="20"/>
              </w:rPr>
            </w:pPr>
            <w:r w:rsidRPr="00EA695E">
              <w:rPr>
                <w:rFonts w:ascii="Arial Narrow" w:hAnsi="Arial Narrow"/>
                <w:sz w:val="20"/>
                <w:szCs w:val="20"/>
              </w:rPr>
              <w:t>British Journal of Haematology 2018; 182: 276-307</w:t>
            </w:r>
          </w:p>
        </w:tc>
      </w:tr>
      <w:tr w:rsidR="003F2824" w:rsidRPr="00CB38A8" w:rsidTr="003F2824">
        <w:tc>
          <w:tcPr>
            <w:tcW w:w="795" w:type="pct"/>
            <w:vMerge w:val="restart"/>
          </w:tcPr>
          <w:p w:rsidR="003F2824" w:rsidRPr="00EA695E" w:rsidRDefault="003F2824" w:rsidP="0040694F">
            <w:pPr>
              <w:keepNext/>
              <w:keepLines/>
              <w:jc w:val="left"/>
              <w:rPr>
                <w:rFonts w:ascii="Arial Narrow" w:hAnsi="Arial Narrow"/>
                <w:sz w:val="20"/>
                <w:szCs w:val="20"/>
              </w:rPr>
            </w:pPr>
            <w:r>
              <w:rPr>
                <w:rFonts w:ascii="Arial Narrow" w:hAnsi="Arial Narrow"/>
                <w:sz w:val="20"/>
                <w:szCs w:val="20"/>
              </w:rPr>
              <w:t>RESPONSE-2</w:t>
            </w:r>
          </w:p>
        </w:tc>
        <w:tc>
          <w:tcPr>
            <w:tcW w:w="2803" w:type="pct"/>
            <w:tcBorders>
              <w:bottom w:val="nil"/>
            </w:tcBorders>
          </w:tcPr>
          <w:p w:rsidR="003F2824" w:rsidRPr="00EA695E" w:rsidRDefault="003F2824" w:rsidP="0040694F">
            <w:pPr>
              <w:keepNext/>
              <w:keepLines/>
              <w:jc w:val="left"/>
              <w:rPr>
                <w:rFonts w:ascii="Arial Narrow" w:hAnsi="Arial Narrow"/>
                <w:sz w:val="20"/>
                <w:szCs w:val="20"/>
              </w:rPr>
            </w:pPr>
            <w:r w:rsidRPr="00026A6D">
              <w:rPr>
                <w:rFonts w:ascii="Arial Narrow" w:hAnsi="Arial Narrow"/>
                <w:sz w:val="20"/>
                <w:szCs w:val="20"/>
              </w:rPr>
              <w:t xml:space="preserve">Randomised, Open Label, </w:t>
            </w:r>
            <w:proofErr w:type="spellStart"/>
            <w:r w:rsidRPr="00026A6D">
              <w:rPr>
                <w:rFonts w:ascii="Arial Narrow" w:hAnsi="Arial Narrow"/>
                <w:sz w:val="20"/>
                <w:szCs w:val="20"/>
              </w:rPr>
              <w:t>Multicenter</w:t>
            </w:r>
            <w:proofErr w:type="spellEnd"/>
            <w:r w:rsidRPr="00026A6D">
              <w:rPr>
                <w:rFonts w:ascii="Arial Narrow" w:hAnsi="Arial Narrow"/>
                <w:sz w:val="20"/>
                <w:szCs w:val="20"/>
              </w:rPr>
              <w:t xml:space="preserve"> Phase </w:t>
            </w:r>
            <w:proofErr w:type="spellStart"/>
            <w:r w:rsidRPr="00026A6D">
              <w:rPr>
                <w:rFonts w:ascii="Arial Narrow" w:hAnsi="Arial Narrow"/>
                <w:sz w:val="20"/>
                <w:szCs w:val="20"/>
              </w:rPr>
              <w:t>IIIb</w:t>
            </w:r>
            <w:proofErr w:type="spellEnd"/>
            <w:r w:rsidRPr="00026A6D">
              <w:rPr>
                <w:rFonts w:ascii="Arial Narrow" w:hAnsi="Arial Narrow"/>
                <w:sz w:val="20"/>
                <w:szCs w:val="20"/>
              </w:rPr>
              <w:t xml:space="preserve"> Study Evaluating the Efficacy and Safety of Ruxolitinib Versus Best Available Therapy in Patients With Polycythaemia Vera Who Are </w:t>
            </w:r>
            <w:proofErr w:type="spellStart"/>
            <w:r w:rsidRPr="00026A6D">
              <w:rPr>
                <w:rFonts w:ascii="Arial Narrow" w:hAnsi="Arial Narrow"/>
                <w:sz w:val="20"/>
                <w:szCs w:val="20"/>
              </w:rPr>
              <w:t>Hydroxyurea</w:t>
            </w:r>
            <w:proofErr w:type="spellEnd"/>
            <w:r w:rsidRPr="00026A6D">
              <w:rPr>
                <w:rFonts w:ascii="Arial Narrow" w:hAnsi="Arial Narrow"/>
                <w:sz w:val="20"/>
                <w:szCs w:val="20"/>
              </w:rPr>
              <w:t xml:space="preserve"> Resistant or Intolerant (RESPONSE-2)</w:t>
            </w:r>
            <w:r>
              <w:rPr>
                <w:rFonts w:ascii="Arial Narrow" w:hAnsi="Arial Narrow"/>
                <w:sz w:val="20"/>
                <w:szCs w:val="20"/>
              </w:rPr>
              <w:t xml:space="preserve"> – 28 week CSR</w:t>
            </w:r>
          </w:p>
        </w:tc>
        <w:tc>
          <w:tcPr>
            <w:tcW w:w="1402" w:type="pct"/>
            <w:tcBorders>
              <w:bottom w:val="nil"/>
            </w:tcBorders>
          </w:tcPr>
          <w:p w:rsidR="003F2824" w:rsidRPr="00EA695E" w:rsidRDefault="003F2824" w:rsidP="0040694F">
            <w:pPr>
              <w:keepNext/>
              <w:keepLines/>
              <w:jc w:val="left"/>
              <w:rPr>
                <w:rFonts w:ascii="Arial Narrow" w:hAnsi="Arial Narrow"/>
                <w:sz w:val="20"/>
                <w:szCs w:val="20"/>
              </w:rPr>
            </w:pPr>
            <w:r>
              <w:rPr>
                <w:rFonts w:ascii="Arial Narrow" w:hAnsi="Arial Narrow"/>
                <w:sz w:val="20"/>
                <w:szCs w:val="20"/>
              </w:rPr>
              <w:t>1 April 2016</w:t>
            </w:r>
          </w:p>
        </w:tc>
      </w:tr>
      <w:tr w:rsidR="003F2824" w:rsidRPr="00CB38A8" w:rsidTr="003F2824">
        <w:tc>
          <w:tcPr>
            <w:tcW w:w="795" w:type="pct"/>
            <w:vMerge/>
            <w:tcBorders>
              <w:bottom w:val="single" w:sz="4" w:space="0" w:color="auto"/>
            </w:tcBorders>
          </w:tcPr>
          <w:p w:rsidR="003F2824" w:rsidRPr="00EA695E" w:rsidRDefault="003F2824" w:rsidP="0040694F">
            <w:pPr>
              <w:keepNext/>
              <w:keepLines/>
              <w:jc w:val="left"/>
              <w:rPr>
                <w:rFonts w:ascii="Arial Narrow" w:hAnsi="Arial Narrow"/>
                <w:sz w:val="20"/>
                <w:szCs w:val="20"/>
              </w:rPr>
            </w:pPr>
          </w:p>
        </w:tc>
        <w:tc>
          <w:tcPr>
            <w:tcW w:w="2803" w:type="pct"/>
            <w:tcBorders>
              <w:top w:val="nil"/>
              <w:bottom w:val="single" w:sz="4" w:space="0" w:color="auto"/>
            </w:tcBorders>
          </w:tcPr>
          <w:p w:rsidR="003F2824" w:rsidRPr="00EA695E" w:rsidRDefault="003F2824" w:rsidP="0040694F">
            <w:pPr>
              <w:keepNext/>
              <w:keepLines/>
              <w:jc w:val="left"/>
              <w:rPr>
                <w:rFonts w:ascii="Arial Narrow" w:hAnsi="Arial Narrow"/>
                <w:sz w:val="20"/>
                <w:szCs w:val="20"/>
              </w:rPr>
            </w:pPr>
            <w:proofErr w:type="spellStart"/>
            <w:r>
              <w:rPr>
                <w:rFonts w:ascii="Arial Narrow" w:hAnsi="Arial Narrow"/>
                <w:sz w:val="20"/>
                <w:szCs w:val="20"/>
              </w:rPr>
              <w:t>Passamonti</w:t>
            </w:r>
            <w:proofErr w:type="spellEnd"/>
            <w:r>
              <w:rPr>
                <w:rFonts w:ascii="Arial Narrow" w:hAnsi="Arial Narrow"/>
                <w:sz w:val="20"/>
                <w:szCs w:val="20"/>
              </w:rPr>
              <w:t xml:space="preserve"> et al. </w:t>
            </w:r>
            <w:r w:rsidRPr="00026A6D">
              <w:rPr>
                <w:rFonts w:ascii="Arial Narrow" w:hAnsi="Arial Narrow"/>
                <w:sz w:val="20"/>
                <w:szCs w:val="20"/>
              </w:rPr>
              <w:t xml:space="preserve">Ruxolitinib for the treatment of inadequately controlled polycythaemia </w:t>
            </w:r>
            <w:proofErr w:type="spellStart"/>
            <w:r w:rsidRPr="00026A6D">
              <w:rPr>
                <w:rFonts w:ascii="Arial Narrow" w:hAnsi="Arial Narrow"/>
                <w:sz w:val="20"/>
                <w:szCs w:val="20"/>
              </w:rPr>
              <w:t>vera</w:t>
            </w:r>
            <w:proofErr w:type="spellEnd"/>
            <w:r w:rsidRPr="00026A6D">
              <w:rPr>
                <w:rFonts w:ascii="Arial Narrow" w:hAnsi="Arial Narrow"/>
                <w:sz w:val="20"/>
                <w:szCs w:val="20"/>
              </w:rPr>
              <w:t xml:space="preserve"> without splenomegaly (RESPONSE-2): a randomised, open-label, phase 3b study.</w:t>
            </w:r>
          </w:p>
        </w:tc>
        <w:tc>
          <w:tcPr>
            <w:tcW w:w="1402" w:type="pct"/>
            <w:tcBorders>
              <w:top w:val="nil"/>
              <w:bottom w:val="single" w:sz="4" w:space="0" w:color="auto"/>
            </w:tcBorders>
          </w:tcPr>
          <w:p w:rsidR="003F2824" w:rsidRPr="00EA695E" w:rsidRDefault="003F2824" w:rsidP="0040694F">
            <w:pPr>
              <w:keepNext/>
              <w:keepLines/>
              <w:jc w:val="left"/>
              <w:rPr>
                <w:rFonts w:ascii="Arial Narrow" w:hAnsi="Arial Narrow"/>
                <w:sz w:val="20"/>
                <w:szCs w:val="20"/>
              </w:rPr>
            </w:pPr>
            <w:r w:rsidRPr="004763E3">
              <w:rPr>
                <w:rFonts w:ascii="Arial Narrow" w:hAnsi="Arial Narrow"/>
                <w:sz w:val="20"/>
                <w:szCs w:val="20"/>
              </w:rPr>
              <w:t>Lancet Oncology 2017; 18(1): 88-99</w:t>
            </w:r>
          </w:p>
        </w:tc>
      </w:tr>
    </w:tbl>
    <w:p w:rsidR="00D65B1C" w:rsidRPr="00B1011F" w:rsidRDefault="00D65B1C" w:rsidP="0040694F">
      <w:pPr>
        <w:pStyle w:val="TableFooter"/>
        <w:keepNext/>
        <w:keepLines/>
        <w:rPr>
          <w:sz w:val="20"/>
        </w:rPr>
      </w:pPr>
      <w:r>
        <w:t>Source:</w:t>
      </w:r>
      <w:r w:rsidRPr="008E3D13">
        <w:t xml:space="preserve"> </w:t>
      </w:r>
      <w:r>
        <w:t>Table 2.3-1, pp64-65 of the submission</w:t>
      </w:r>
    </w:p>
    <w:p w:rsidR="00D65B1C" w:rsidRPr="008F120A" w:rsidRDefault="00D65B1C" w:rsidP="00D65B1C">
      <w:pPr>
        <w:widowControl/>
      </w:pPr>
    </w:p>
    <w:p w:rsidR="00F5084B" w:rsidRDefault="00F5084B" w:rsidP="00117F44">
      <w:pPr>
        <w:pStyle w:val="ListParagraph"/>
        <w:widowControl/>
        <w:numPr>
          <w:ilvl w:val="1"/>
          <w:numId w:val="2"/>
        </w:numPr>
        <w:spacing w:after="120"/>
      </w:pPr>
      <w:r w:rsidRPr="00F5084B">
        <w:t xml:space="preserve">MAJIC was an open label randomised trial which enrolled </w:t>
      </w:r>
      <w:r w:rsidR="003F2824">
        <w:t xml:space="preserve">patients with both PV and </w:t>
      </w:r>
      <w:r w:rsidR="007F69D6">
        <w:t xml:space="preserve">essential </w:t>
      </w:r>
      <w:proofErr w:type="spellStart"/>
      <w:r w:rsidR="007F69D6">
        <w:t>thrombocythemia</w:t>
      </w:r>
      <w:proofErr w:type="spellEnd"/>
      <w:r w:rsidR="007F69D6">
        <w:t xml:space="preserve"> (</w:t>
      </w:r>
      <w:r w:rsidR="003F2824">
        <w:t>ET</w:t>
      </w:r>
      <w:r w:rsidR="007F69D6">
        <w:t>)</w:t>
      </w:r>
      <w:r w:rsidR="003F2824">
        <w:t xml:space="preserve">, </w:t>
      </w:r>
      <w:r w:rsidRPr="00F5084B">
        <w:t xml:space="preserve">but only the PV cohort was relevant to the current submission. </w:t>
      </w:r>
      <w:r w:rsidR="00EB41EF">
        <w:t>P</w:t>
      </w:r>
      <w:r w:rsidRPr="00F5084B">
        <w:t>atients</w:t>
      </w:r>
      <w:r w:rsidR="00EB41EF">
        <w:t xml:space="preserve"> (n=190)</w:t>
      </w:r>
      <w:r w:rsidRPr="00F5084B">
        <w:t xml:space="preserve"> with high risk PV who were resistant or intolerant to HC were randomised to receive ruxolitinib (n=95) or BAT (n=95) and followed up for up to 5 years.  Patients randomised to ruxolitinib who did not respond after 12 months of treatment were allowed to cross over to BAT, but patients with BAT were not allowed to crossover to ruxolitinib.  </w:t>
      </w:r>
      <w:r w:rsidR="000D06AD">
        <w:t xml:space="preserve">BAT in MAJIC included only active treatments.  </w:t>
      </w:r>
      <w:r w:rsidRPr="00F5084B">
        <w:t>The trial was powered to detect differences in the proportion of patients achieving complete response (CR)</w:t>
      </w:r>
      <w:r w:rsidR="00FB14E7">
        <w:t xml:space="preserve"> at 12 months</w:t>
      </w:r>
      <w:r w:rsidRPr="00F5084B">
        <w:t xml:space="preserve">, </w:t>
      </w:r>
      <w:r w:rsidR="00FB14E7">
        <w:t xml:space="preserve">defined as meeting all </w:t>
      </w:r>
      <w:proofErr w:type="spellStart"/>
      <w:r w:rsidR="00FC1AC7">
        <w:t>i</w:t>
      </w:r>
      <w:proofErr w:type="spellEnd"/>
      <w:r w:rsidR="00FC1AC7">
        <w:t>)</w:t>
      </w:r>
      <w:r w:rsidR="009F5D1D">
        <w:t xml:space="preserve"> </w:t>
      </w:r>
      <w:r w:rsidR="003F2824">
        <w:t>HCT &lt;</w:t>
      </w:r>
      <w:r w:rsidR="00FB14E7" w:rsidRPr="00F71955">
        <w:t>45% without phlebotomy for 3 months</w:t>
      </w:r>
      <w:r w:rsidR="00FB14E7">
        <w:t>,</w:t>
      </w:r>
      <w:r w:rsidR="009F5D1D">
        <w:t xml:space="preserve"> </w:t>
      </w:r>
      <w:r w:rsidR="00FC1AC7">
        <w:t>ii)</w:t>
      </w:r>
      <w:r w:rsidR="00FB14E7">
        <w:t xml:space="preserve"> </w:t>
      </w:r>
      <w:r w:rsidR="00084EA4">
        <w:t>p</w:t>
      </w:r>
      <w:r w:rsidR="003F2824">
        <w:t>latelet count ≤</w:t>
      </w:r>
      <w:r w:rsidR="00FB14E7" w:rsidRPr="00F71955">
        <w:t>400 x 10</w:t>
      </w:r>
      <w:r w:rsidR="00FB14E7" w:rsidRPr="00F71955">
        <w:rPr>
          <w:vertAlign w:val="superscript"/>
        </w:rPr>
        <w:t>9</w:t>
      </w:r>
      <w:r w:rsidR="00FB14E7" w:rsidRPr="00F71955">
        <w:t>/L</w:t>
      </w:r>
      <w:r w:rsidR="003F2824">
        <w:t xml:space="preserve">, </w:t>
      </w:r>
      <w:r w:rsidR="00FC1AC7">
        <w:t>iii)</w:t>
      </w:r>
      <w:r w:rsidR="003F2824">
        <w:t>white blood cell count ≤</w:t>
      </w:r>
      <w:r w:rsidR="00FB14E7">
        <w:t>10 × 10</w:t>
      </w:r>
      <w:r w:rsidR="00FB14E7">
        <w:rPr>
          <w:vertAlign w:val="superscript"/>
        </w:rPr>
        <w:t>9</w:t>
      </w:r>
      <w:r w:rsidR="003F2824">
        <w:t xml:space="preserve">/L and </w:t>
      </w:r>
      <w:r w:rsidR="00FC1AC7">
        <w:t xml:space="preserve">iv) </w:t>
      </w:r>
      <w:r w:rsidR="003F2824">
        <w:t>n</w:t>
      </w:r>
      <w:r w:rsidR="00FB14E7">
        <w:t>ormal spleen size on imaging</w:t>
      </w:r>
      <w:r w:rsidRPr="00F5084B">
        <w:t xml:space="preserve">. </w:t>
      </w:r>
      <w:r w:rsidR="00FB14E7">
        <w:t>Partial response (PR)</w:t>
      </w:r>
      <w:r w:rsidR="00FC1AC7">
        <w:t xml:space="preserve"> was</w:t>
      </w:r>
      <w:r w:rsidR="00FB14E7">
        <w:t xml:space="preserve"> defined as meeting either </w:t>
      </w:r>
      <w:proofErr w:type="spellStart"/>
      <w:r w:rsidR="00FB14E7">
        <w:t>i</w:t>
      </w:r>
      <w:proofErr w:type="spellEnd"/>
      <w:r w:rsidR="00FB14E7">
        <w:t xml:space="preserve">) </w:t>
      </w:r>
      <w:r w:rsidR="003F2824">
        <w:t>HCT &lt;</w:t>
      </w:r>
      <w:r w:rsidR="00FB14E7" w:rsidRPr="00F71955">
        <w:t>45% without phlebotomy for 3 months</w:t>
      </w:r>
      <w:r w:rsidR="00FB14E7">
        <w:t xml:space="preserve"> OR ii) </w:t>
      </w:r>
      <w:r w:rsidR="003F2824">
        <w:t>platelet count ≤</w:t>
      </w:r>
      <w:r w:rsidR="00FB14E7" w:rsidRPr="00F71955">
        <w:t>400 x 10</w:t>
      </w:r>
      <w:r w:rsidR="00FB14E7" w:rsidRPr="00F71955">
        <w:rPr>
          <w:vertAlign w:val="superscript"/>
        </w:rPr>
        <w:t>9</w:t>
      </w:r>
      <w:r w:rsidR="00FB14E7" w:rsidRPr="00F71955">
        <w:t>/L</w:t>
      </w:r>
      <w:r w:rsidR="004C58AE">
        <w:t>.</w:t>
      </w:r>
      <w:r w:rsidR="00AC7999">
        <w:t xml:space="preserve"> </w:t>
      </w:r>
      <w:r w:rsidR="004C58AE">
        <w:t>W</w:t>
      </w:r>
      <w:r w:rsidR="00FB14E7">
        <w:t>hi</w:t>
      </w:r>
      <w:r w:rsidR="003F2824">
        <w:t>te blood cell count ≤</w:t>
      </w:r>
      <w:r w:rsidR="00FB14E7">
        <w:t>10 × 10</w:t>
      </w:r>
      <w:r w:rsidR="00FB14E7">
        <w:rPr>
          <w:vertAlign w:val="superscript"/>
        </w:rPr>
        <w:t>9</w:t>
      </w:r>
      <w:r w:rsidR="003F2824">
        <w:t>/L and n</w:t>
      </w:r>
      <w:r w:rsidR="00FB14E7">
        <w:t>ormal spleen size on imaging, was considered as a secondary outcome.</w:t>
      </w:r>
    </w:p>
    <w:p w:rsidR="005C750E" w:rsidRPr="00F5084B" w:rsidRDefault="005C750E" w:rsidP="005C750E">
      <w:pPr>
        <w:pStyle w:val="ListParagraph"/>
        <w:widowControl/>
        <w:spacing w:after="120"/>
      </w:pPr>
    </w:p>
    <w:p w:rsidR="00F5084B" w:rsidRPr="00F5084B" w:rsidRDefault="00F5084B" w:rsidP="00117F44">
      <w:pPr>
        <w:pStyle w:val="ListParagraph"/>
        <w:widowControl/>
        <w:numPr>
          <w:ilvl w:val="1"/>
          <w:numId w:val="2"/>
        </w:numPr>
        <w:spacing w:after="120"/>
      </w:pPr>
      <w:r w:rsidRPr="00F5084B">
        <w:t xml:space="preserve">RESPONSE was an open label randomised trial which enrolled 222 patients with PV and image confirmed splenomegaly and were resistant or intolerant to HC based on a </w:t>
      </w:r>
      <w:r w:rsidRPr="00F5084B">
        <w:lastRenderedPageBreak/>
        <w:t xml:space="preserve">modified ELN criteria.  Patients were randomised to receive ruxolitinib (n=110) or BAT (n=112) for up to 32 weeks.  </w:t>
      </w:r>
      <w:r w:rsidR="000D06AD">
        <w:t xml:space="preserve">BAT in RESPONSE and RESPONSE 2 </w:t>
      </w:r>
      <w:r w:rsidR="00DF6867">
        <w:t>was single agent therapy (including no treatment)</w:t>
      </w:r>
      <w:r w:rsidR="000D06AD">
        <w:t xml:space="preserve"> </w:t>
      </w:r>
      <w:r w:rsidR="00DF6867">
        <w:t xml:space="preserve">determined by the treating physician.  </w:t>
      </w:r>
      <w:r w:rsidRPr="00F5084B">
        <w:t>The primary outcome was a composite outcome of haematocrit control (a platelet count ≤400×10</w:t>
      </w:r>
      <w:r w:rsidRPr="00F5084B">
        <w:rPr>
          <w:vertAlign w:val="superscript"/>
        </w:rPr>
        <w:t>9</w:t>
      </w:r>
      <w:r>
        <w:t>/L</w:t>
      </w:r>
      <w:r w:rsidRPr="00F5084B">
        <w:t xml:space="preserve">, and a </w:t>
      </w:r>
      <w:r w:rsidR="00A519DC">
        <w:t>WBC</w:t>
      </w:r>
      <w:r w:rsidRPr="00F5084B">
        <w:t xml:space="preserve"> count ≤10×10</w:t>
      </w:r>
      <w:r w:rsidRPr="00A519DC">
        <w:rPr>
          <w:vertAlign w:val="superscript"/>
        </w:rPr>
        <w:t>9</w:t>
      </w:r>
      <w:r w:rsidRPr="00F5084B">
        <w:t xml:space="preserve"> per litre) and reduction of 35% in spleen volume.  After 32 weeks, BAT patients were crossed over to ruxolitinib and followed for up to 256 weeks in a single arm extension phase.  </w:t>
      </w:r>
    </w:p>
    <w:p w:rsidR="00F5084B" w:rsidRDefault="00F5084B" w:rsidP="00117F44">
      <w:pPr>
        <w:pStyle w:val="ListParagraph"/>
        <w:widowControl/>
        <w:numPr>
          <w:ilvl w:val="1"/>
          <w:numId w:val="2"/>
        </w:numPr>
        <w:spacing w:after="120"/>
      </w:pPr>
      <w:r w:rsidRPr="00F5084B">
        <w:t>RESPONSE 2 was a similar trial to RESPONSE and was an open label randomised trial which enrolled 149 patients with PV but no palpable splenomegaly and were resistant or intolerant to HC based on a modified ELN criteria.  Patients were randomise</w:t>
      </w:r>
      <w:r>
        <w:t>d to receive ruxolitinib (n=74</w:t>
      </w:r>
      <w:r w:rsidRPr="00F5084B">
        <w:t>) or BAT (n=75) for up to 28 weeks.  The primary outcome was the proportion of patients achieving haematocrit control (a platelet count ≤400×10</w:t>
      </w:r>
      <w:r w:rsidRPr="00FB14E7">
        <w:rPr>
          <w:vertAlign w:val="superscript"/>
        </w:rPr>
        <w:t>9</w:t>
      </w:r>
      <w:r w:rsidR="00FB14E7">
        <w:t>/L</w:t>
      </w:r>
      <w:r w:rsidRPr="00F5084B">
        <w:t xml:space="preserve">, and a </w:t>
      </w:r>
      <w:r w:rsidR="008A7944">
        <w:t>WBC</w:t>
      </w:r>
      <w:r w:rsidRPr="00F5084B">
        <w:t xml:space="preserve"> count ≤10×10</w:t>
      </w:r>
      <w:r w:rsidRPr="00F5084B">
        <w:rPr>
          <w:vertAlign w:val="superscript"/>
        </w:rPr>
        <w:t>9</w:t>
      </w:r>
      <w:r>
        <w:t>/L</w:t>
      </w:r>
      <w:r w:rsidRPr="00F5084B">
        <w:t xml:space="preserve">) at the end of 28 weeks.  After 28 weeks, BAT patients were crossed over to ruxolitinib and followed for up to 260 weeks in a single arm extension phase.  </w:t>
      </w:r>
    </w:p>
    <w:p w:rsidR="0067402E" w:rsidRPr="002B3792" w:rsidRDefault="002A290F" w:rsidP="00117F44">
      <w:pPr>
        <w:pStyle w:val="ListParagraph"/>
        <w:widowControl/>
        <w:numPr>
          <w:ilvl w:val="1"/>
          <w:numId w:val="2"/>
        </w:numPr>
        <w:spacing w:after="120"/>
      </w:pPr>
      <w:r w:rsidRPr="002B3792">
        <w:t xml:space="preserve">The ESC considered that the use of surrogate outcomes comprised largely of blood laboratory results to determine response to treatment in the trials may not be consistent with current clinical practice </w:t>
      </w:r>
      <w:r w:rsidR="001430CD" w:rsidRPr="002B3792">
        <w:t>noting that the ELN</w:t>
      </w:r>
      <w:r w:rsidR="002E5577" w:rsidRPr="002B3792">
        <w:t xml:space="preserve"> response criteria for PV</w:t>
      </w:r>
      <w:r w:rsidR="001430CD" w:rsidRPr="002B3792">
        <w:t xml:space="preserve"> have been</w:t>
      </w:r>
      <w:r w:rsidR="002E5577" w:rsidRPr="002B3792">
        <w:t xml:space="preserve"> updated to include more clinically relevant measures (see paragraph </w:t>
      </w:r>
      <w:r w:rsidR="001430CD" w:rsidRPr="002B3792">
        <w:t xml:space="preserve"> </w:t>
      </w:r>
      <w:r w:rsidR="002E5577" w:rsidRPr="002B3792">
        <w:t>2.</w:t>
      </w:r>
      <w:r w:rsidR="003720FC" w:rsidRPr="002B3792">
        <w:t>5</w:t>
      </w:r>
      <w:r w:rsidR="002E5577" w:rsidRPr="002B3792">
        <w:t>)</w:t>
      </w:r>
    </w:p>
    <w:p w:rsidR="00D65B1C" w:rsidRPr="002B3792" w:rsidRDefault="00D65B1C" w:rsidP="00117F44">
      <w:pPr>
        <w:pStyle w:val="ListParagraph"/>
        <w:widowControl/>
        <w:numPr>
          <w:ilvl w:val="1"/>
          <w:numId w:val="2"/>
        </w:numPr>
        <w:spacing w:after="120"/>
        <w:rPr>
          <w:rFonts w:ascii="Arial Narrow" w:hAnsi="Arial Narrow"/>
          <w:b/>
          <w:sz w:val="20"/>
          <w:szCs w:val="16"/>
        </w:rPr>
      </w:pPr>
      <w:r w:rsidRPr="002B3792">
        <w:t xml:space="preserve">The key features of the direct randomised trials are summarised in </w:t>
      </w:r>
      <w:r w:rsidR="000E0A21" w:rsidRPr="002B3792">
        <w:t xml:space="preserve">Table </w:t>
      </w:r>
      <w:r w:rsidR="000E0A21" w:rsidRPr="002B3792">
        <w:rPr>
          <w:noProof/>
        </w:rPr>
        <w:t>3</w:t>
      </w:r>
      <w:r w:rsidRPr="002B3792">
        <w:t xml:space="preserve">.  </w:t>
      </w:r>
    </w:p>
    <w:p w:rsidR="00D65B1C" w:rsidRPr="00E2771E" w:rsidRDefault="000E0A21" w:rsidP="0040694F">
      <w:pPr>
        <w:pStyle w:val="Caption"/>
        <w:keepNext/>
        <w:keepLines/>
        <w:widowControl/>
        <w:rPr>
          <w:rStyle w:val="CommentReference"/>
        </w:rPr>
      </w:pPr>
      <w:bookmarkStart w:id="10" w:name="_Ref17146125"/>
      <w:r>
        <w:lastRenderedPageBreak/>
        <w:t xml:space="preserve">Table </w:t>
      </w:r>
      <w:r w:rsidR="00CF6741">
        <w:rPr>
          <w:noProof/>
        </w:rPr>
        <w:t>3</w:t>
      </w:r>
      <w:bookmarkEnd w:id="10"/>
      <w:r w:rsidR="00D65B1C" w:rsidRPr="000E0A21">
        <w:rPr>
          <w:rStyle w:val="CommentReference"/>
          <w:b/>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154"/>
        <w:gridCol w:w="563"/>
        <w:gridCol w:w="985"/>
        <w:gridCol w:w="1127"/>
        <w:gridCol w:w="1264"/>
        <w:gridCol w:w="2393"/>
        <w:gridCol w:w="1531"/>
      </w:tblGrid>
      <w:tr w:rsidR="00D65B1C" w:rsidRPr="00B41614" w:rsidTr="00C46736">
        <w:tc>
          <w:tcPr>
            <w:tcW w:w="640" w:type="pct"/>
            <w:shd w:val="clear" w:color="auto" w:fill="auto"/>
            <w:vAlign w:val="center"/>
          </w:tcPr>
          <w:p w:rsidR="00D65B1C" w:rsidRPr="00B41614" w:rsidRDefault="00D65B1C" w:rsidP="0040694F">
            <w:pPr>
              <w:pStyle w:val="Tabletext"/>
              <w:keepNext/>
              <w:keepLines/>
              <w:rPr>
                <w:b/>
                <w:lang w:val="en-US"/>
              </w:rPr>
            </w:pPr>
            <w:r w:rsidRPr="00B41614">
              <w:rPr>
                <w:b/>
                <w:lang w:val="en-US"/>
              </w:rPr>
              <w:t>Trial</w:t>
            </w:r>
          </w:p>
        </w:tc>
        <w:tc>
          <w:tcPr>
            <w:tcW w:w="312" w:type="pct"/>
            <w:shd w:val="clear" w:color="auto" w:fill="auto"/>
            <w:vAlign w:val="center"/>
          </w:tcPr>
          <w:p w:rsidR="00D65B1C" w:rsidRPr="00B41614" w:rsidRDefault="00D65B1C" w:rsidP="0040694F">
            <w:pPr>
              <w:pStyle w:val="Tabletext"/>
              <w:keepNext/>
              <w:keepLines/>
              <w:jc w:val="center"/>
              <w:rPr>
                <w:b/>
                <w:lang w:val="en-US"/>
              </w:rPr>
            </w:pPr>
            <w:r w:rsidRPr="00B41614">
              <w:rPr>
                <w:b/>
                <w:lang w:val="en-US"/>
              </w:rPr>
              <w:t>N</w:t>
            </w:r>
          </w:p>
        </w:tc>
        <w:tc>
          <w:tcPr>
            <w:tcW w:w="546" w:type="pct"/>
            <w:shd w:val="clear" w:color="auto" w:fill="auto"/>
            <w:vAlign w:val="center"/>
          </w:tcPr>
          <w:p w:rsidR="00D65B1C" w:rsidRPr="00B41614" w:rsidRDefault="00D65B1C" w:rsidP="0040694F">
            <w:pPr>
              <w:pStyle w:val="Tabletext"/>
              <w:keepNext/>
              <w:keepLines/>
              <w:jc w:val="center"/>
              <w:rPr>
                <w:b/>
                <w:lang w:val="en-US"/>
              </w:rPr>
            </w:pPr>
            <w:r w:rsidRPr="00B41614">
              <w:rPr>
                <w:b/>
                <w:lang w:val="en-US"/>
              </w:rPr>
              <w:t>Design/ duration</w:t>
            </w:r>
          </w:p>
        </w:tc>
        <w:tc>
          <w:tcPr>
            <w:tcW w:w="625" w:type="pct"/>
            <w:shd w:val="clear" w:color="auto" w:fill="auto"/>
            <w:vAlign w:val="center"/>
          </w:tcPr>
          <w:p w:rsidR="00D65B1C" w:rsidRPr="00B41614" w:rsidRDefault="00D65B1C" w:rsidP="0040694F">
            <w:pPr>
              <w:pStyle w:val="Tabletext"/>
              <w:keepNext/>
              <w:keepLines/>
              <w:jc w:val="center"/>
              <w:rPr>
                <w:b/>
                <w:lang w:val="en-US"/>
              </w:rPr>
            </w:pPr>
            <w:r w:rsidRPr="00B41614">
              <w:rPr>
                <w:b/>
                <w:lang w:val="en-US"/>
              </w:rPr>
              <w:t>Risk of bias</w:t>
            </w:r>
          </w:p>
        </w:tc>
        <w:tc>
          <w:tcPr>
            <w:tcW w:w="701" w:type="pct"/>
            <w:shd w:val="clear" w:color="auto" w:fill="auto"/>
            <w:vAlign w:val="center"/>
          </w:tcPr>
          <w:p w:rsidR="00D65B1C" w:rsidRPr="00B41614" w:rsidRDefault="00D65B1C" w:rsidP="0040694F">
            <w:pPr>
              <w:pStyle w:val="Tabletext"/>
              <w:keepNext/>
              <w:keepLines/>
              <w:jc w:val="center"/>
              <w:rPr>
                <w:b/>
                <w:lang w:val="en-US"/>
              </w:rPr>
            </w:pPr>
            <w:r w:rsidRPr="00B41614">
              <w:rPr>
                <w:b/>
                <w:lang w:val="en-US"/>
              </w:rPr>
              <w:t>Patient population</w:t>
            </w:r>
          </w:p>
        </w:tc>
        <w:tc>
          <w:tcPr>
            <w:tcW w:w="1327" w:type="pct"/>
            <w:shd w:val="clear" w:color="auto" w:fill="auto"/>
            <w:vAlign w:val="center"/>
          </w:tcPr>
          <w:p w:rsidR="00D65B1C" w:rsidRPr="00B41614" w:rsidRDefault="00D65B1C" w:rsidP="0040694F">
            <w:pPr>
              <w:pStyle w:val="Tabletext"/>
              <w:keepNext/>
              <w:keepLines/>
              <w:jc w:val="center"/>
              <w:rPr>
                <w:b/>
                <w:lang w:val="en-US"/>
              </w:rPr>
            </w:pPr>
            <w:r w:rsidRPr="00B41614">
              <w:rPr>
                <w:b/>
                <w:lang w:val="en-US"/>
              </w:rPr>
              <w:t>Outcome(s)</w:t>
            </w:r>
          </w:p>
        </w:tc>
        <w:tc>
          <w:tcPr>
            <w:tcW w:w="849" w:type="pct"/>
            <w:shd w:val="clear" w:color="auto" w:fill="auto"/>
            <w:vAlign w:val="center"/>
          </w:tcPr>
          <w:p w:rsidR="00D65B1C" w:rsidRPr="00B41614" w:rsidRDefault="00D65B1C" w:rsidP="0040694F">
            <w:pPr>
              <w:pStyle w:val="Tabletext"/>
              <w:keepNext/>
              <w:keepLines/>
              <w:jc w:val="center"/>
              <w:rPr>
                <w:b/>
                <w:lang w:val="en-US"/>
              </w:rPr>
            </w:pPr>
            <w:r w:rsidRPr="00B41614">
              <w:rPr>
                <w:b/>
                <w:lang w:val="en-US"/>
              </w:rPr>
              <w:t>Use in modelled evaluation</w:t>
            </w:r>
          </w:p>
        </w:tc>
      </w:tr>
      <w:tr w:rsidR="00D65B1C" w:rsidRPr="00E2771E" w:rsidTr="00C46736">
        <w:tc>
          <w:tcPr>
            <w:tcW w:w="5000" w:type="pct"/>
            <w:gridSpan w:val="7"/>
            <w:shd w:val="clear" w:color="auto" w:fill="auto"/>
            <w:vAlign w:val="center"/>
          </w:tcPr>
          <w:p w:rsidR="00D65B1C" w:rsidRPr="00B41614" w:rsidRDefault="00D65B1C" w:rsidP="0040694F">
            <w:pPr>
              <w:pStyle w:val="Tabletext"/>
              <w:keepNext/>
              <w:keepLines/>
              <w:rPr>
                <w:b/>
                <w:lang w:val="en-US"/>
              </w:rPr>
            </w:pPr>
            <w:r>
              <w:rPr>
                <w:b/>
                <w:lang w:val="en-US"/>
              </w:rPr>
              <w:t>Ruxolitinib vs BAT</w:t>
            </w:r>
          </w:p>
        </w:tc>
      </w:tr>
      <w:tr w:rsidR="00D65B1C" w:rsidRPr="00E2771E" w:rsidTr="00C46736">
        <w:tc>
          <w:tcPr>
            <w:tcW w:w="640" w:type="pct"/>
            <w:shd w:val="clear" w:color="auto" w:fill="auto"/>
            <w:vAlign w:val="center"/>
          </w:tcPr>
          <w:p w:rsidR="00D65B1C" w:rsidRPr="00E2771E" w:rsidRDefault="00D65B1C" w:rsidP="0040694F">
            <w:pPr>
              <w:pStyle w:val="Tabletext"/>
              <w:keepNext/>
              <w:keepLines/>
              <w:rPr>
                <w:lang w:val="en-US"/>
              </w:rPr>
            </w:pPr>
            <w:r>
              <w:rPr>
                <w:lang w:val="en-US"/>
              </w:rPr>
              <w:t>MAJIC</w:t>
            </w:r>
          </w:p>
        </w:tc>
        <w:tc>
          <w:tcPr>
            <w:tcW w:w="312" w:type="pct"/>
            <w:shd w:val="clear" w:color="auto" w:fill="auto"/>
            <w:vAlign w:val="center"/>
          </w:tcPr>
          <w:p w:rsidR="00D65B1C" w:rsidRPr="00E2771E" w:rsidRDefault="00D65B1C" w:rsidP="0040694F">
            <w:pPr>
              <w:pStyle w:val="Tabletext"/>
              <w:keepNext/>
              <w:keepLines/>
              <w:jc w:val="center"/>
              <w:rPr>
                <w:lang w:val="en-US"/>
              </w:rPr>
            </w:pPr>
            <w:r>
              <w:rPr>
                <w:lang w:val="en-US"/>
              </w:rPr>
              <w:t>190</w:t>
            </w:r>
          </w:p>
        </w:tc>
        <w:tc>
          <w:tcPr>
            <w:tcW w:w="546" w:type="pct"/>
            <w:shd w:val="clear" w:color="auto" w:fill="auto"/>
            <w:vAlign w:val="center"/>
          </w:tcPr>
          <w:p w:rsidR="00D65B1C" w:rsidRPr="00E2771E" w:rsidRDefault="00D65B1C" w:rsidP="0040694F">
            <w:pPr>
              <w:pStyle w:val="Tabletext"/>
              <w:keepNext/>
              <w:keepLines/>
              <w:jc w:val="center"/>
              <w:rPr>
                <w:lang w:val="en-US"/>
              </w:rPr>
            </w:pPr>
            <w:r w:rsidRPr="00E2771E">
              <w:rPr>
                <w:lang w:val="en-US"/>
              </w:rPr>
              <w:t>R,</w:t>
            </w:r>
            <w:r>
              <w:rPr>
                <w:lang w:val="en-US"/>
              </w:rPr>
              <w:t>OL</w:t>
            </w:r>
          </w:p>
          <w:p w:rsidR="00D65B1C" w:rsidRPr="009D23BA" w:rsidRDefault="0040694F" w:rsidP="0040694F">
            <w:pPr>
              <w:pStyle w:val="Tabletext"/>
              <w:keepNext/>
              <w:keepLines/>
              <w:jc w:val="center"/>
              <w:rPr>
                <w:vertAlign w:val="superscript"/>
              </w:rPr>
            </w:pPr>
            <w:r>
              <w:rPr>
                <w:lang w:val="en-US"/>
              </w:rPr>
              <w:t>5 years</w:t>
            </w:r>
            <w:r w:rsidR="00D65B1C">
              <w:rPr>
                <w:vertAlign w:val="superscript"/>
                <w:lang w:val="en-US"/>
              </w:rPr>
              <w:t>1</w:t>
            </w:r>
          </w:p>
        </w:tc>
        <w:tc>
          <w:tcPr>
            <w:tcW w:w="625" w:type="pct"/>
            <w:shd w:val="clear" w:color="auto" w:fill="auto"/>
            <w:vAlign w:val="center"/>
          </w:tcPr>
          <w:p w:rsidR="00D65B1C" w:rsidRPr="009D23BA" w:rsidRDefault="0040694F" w:rsidP="0040694F">
            <w:pPr>
              <w:pStyle w:val="Tabletext"/>
              <w:keepNext/>
              <w:keepLines/>
              <w:jc w:val="center"/>
              <w:rPr>
                <w:vertAlign w:val="superscript"/>
                <w:lang w:val="en-US"/>
              </w:rPr>
            </w:pPr>
            <w:r>
              <w:rPr>
                <w:lang w:val="en-US"/>
              </w:rPr>
              <w:t>High</w:t>
            </w:r>
            <w:r w:rsidR="00D65B1C">
              <w:rPr>
                <w:vertAlign w:val="superscript"/>
                <w:lang w:val="en-US"/>
              </w:rPr>
              <w:t>2</w:t>
            </w:r>
          </w:p>
        </w:tc>
        <w:tc>
          <w:tcPr>
            <w:tcW w:w="701" w:type="pct"/>
            <w:shd w:val="clear" w:color="auto" w:fill="auto"/>
            <w:vAlign w:val="center"/>
          </w:tcPr>
          <w:p w:rsidR="00D65B1C" w:rsidRPr="00F71955" w:rsidRDefault="00D65B1C" w:rsidP="0040694F">
            <w:pPr>
              <w:pStyle w:val="Tabletext"/>
              <w:keepNext/>
              <w:keepLines/>
              <w:jc w:val="center"/>
              <w:rPr>
                <w:vertAlign w:val="superscript"/>
                <w:lang w:val="en-US"/>
              </w:rPr>
            </w:pPr>
            <w:r>
              <w:rPr>
                <w:lang w:val="en-US"/>
              </w:rPr>
              <w:t>Resistant or intolerant t</w:t>
            </w:r>
            <w:r w:rsidR="0040694F">
              <w:rPr>
                <w:lang w:val="en-US"/>
              </w:rPr>
              <w:t>o HC, ‘high risk’ PV</w:t>
            </w:r>
            <w:r>
              <w:rPr>
                <w:vertAlign w:val="superscript"/>
                <w:lang w:val="en-US"/>
              </w:rPr>
              <w:t>3</w:t>
            </w:r>
          </w:p>
        </w:tc>
        <w:tc>
          <w:tcPr>
            <w:tcW w:w="1327" w:type="pct"/>
            <w:shd w:val="clear" w:color="auto" w:fill="auto"/>
            <w:vAlign w:val="center"/>
          </w:tcPr>
          <w:p w:rsidR="00D65B1C" w:rsidRPr="00E2771E" w:rsidRDefault="0040694F" w:rsidP="0040694F">
            <w:pPr>
              <w:pStyle w:val="Tabletext"/>
              <w:keepNext/>
              <w:keepLines/>
              <w:jc w:val="center"/>
              <w:rPr>
                <w:lang w:val="en-US"/>
              </w:rPr>
            </w:pPr>
            <w:r>
              <w:rPr>
                <w:lang w:val="en-US"/>
              </w:rPr>
              <w:t>CR</w:t>
            </w:r>
            <w:r w:rsidR="00D65B1C">
              <w:rPr>
                <w:vertAlign w:val="superscript"/>
                <w:lang w:val="en-US"/>
              </w:rPr>
              <w:t>4</w:t>
            </w:r>
            <w:r>
              <w:rPr>
                <w:lang w:val="en-US"/>
              </w:rPr>
              <w:t xml:space="preserve"> at 12 months, CR+PR</w:t>
            </w:r>
            <w:r w:rsidR="00D65B1C">
              <w:rPr>
                <w:vertAlign w:val="superscript"/>
                <w:lang w:val="en-US"/>
              </w:rPr>
              <w:t xml:space="preserve">5 </w:t>
            </w:r>
            <w:r w:rsidR="00D65B1C">
              <w:rPr>
                <w:lang w:val="en-US"/>
              </w:rPr>
              <w:t xml:space="preserve">at 12 months, TTR, </w:t>
            </w:r>
            <w:proofErr w:type="spellStart"/>
            <w:r w:rsidR="00D65B1C">
              <w:rPr>
                <w:lang w:val="en-US"/>
              </w:rPr>
              <w:t>DoR</w:t>
            </w:r>
            <w:proofErr w:type="spellEnd"/>
            <w:r w:rsidR="00D65B1C">
              <w:rPr>
                <w:lang w:val="en-US"/>
              </w:rPr>
              <w:t>, OS</w:t>
            </w:r>
          </w:p>
        </w:tc>
        <w:tc>
          <w:tcPr>
            <w:tcW w:w="849" w:type="pct"/>
            <w:shd w:val="clear" w:color="auto" w:fill="auto"/>
            <w:vAlign w:val="center"/>
          </w:tcPr>
          <w:p w:rsidR="00D65B1C" w:rsidRPr="00E2771E" w:rsidRDefault="00D65B1C" w:rsidP="0040694F">
            <w:pPr>
              <w:pStyle w:val="Tabletext"/>
              <w:keepNext/>
              <w:keepLines/>
              <w:jc w:val="center"/>
              <w:rPr>
                <w:lang w:val="en-US"/>
              </w:rPr>
            </w:pPr>
            <w:r>
              <w:rPr>
                <w:lang w:val="en-US"/>
              </w:rPr>
              <w:t xml:space="preserve">TTR, </w:t>
            </w:r>
            <w:proofErr w:type="spellStart"/>
            <w:r>
              <w:rPr>
                <w:lang w:val="en-US"/>
              </w:rPr>
              <w:t>DoR</w:t>
            </w:r>
            <w:proofErr w:type="spellEnd"/>
            <w:r>
              <w:rPr>
                <w:lang w:val="en-US"/>
              </w:rPr>
              <w:t xml:space="preserve"> and OS used to inform transitions</w:t>
            </w:r>
          </w:p>
        </w:tc>
      </w:tr>
      <w:tr w:rsidR="00D65B1C" w:rsidRPr="00E2771E" w:rsidTr="00C46736">
        <w:tc>
          <w:tcPr>
            <w:tcW w:w="640" w:type="pct"/>
            <w:shd w:val="clear" w:color="auto" w:fill="auto"/>
            <w:vAlign w:val="center"/>
          </w:tcPr>
          <w:p w:rsidR="00D65B1C" w:rsidRPr="00E2771E" w:rsidRDefault="00D65B1C" w:rsidP="0040694F">
            <w:pPr>
              <w:pStyle w:val="Tabletext"/>
              <w:keepNext/>
              <w:keepLines/>
              <w:rPr>
                <w:lang w:val="en-US"/>
              </w:rPr>
            </w:pPr>
            <w:r>
              <w:rPr>
                <w:lang w:val="en-US"/>
              </w:rPr>
              <w:t>RESPONSE</w:t>
            </w:r>
          </w:p>
        </w:tc>
        <w:tc>
          <w:tcPr>
            <w:tcW w:w="312" w:type="pct"/>
            <w:shd w:val="clear" w:color="auto" w:fill="auto"/>
            <w:vAlign w:val="center"/>
          </w:tcPr>
          <w:p w:rsidR="00D65B1C" w:rsidRPr="00E2771E" w:rsidRDefault="00D65B1C" w:rsidP="0040694F">
            <w:pPr>
              <w:pStyle w:val="Tabletext"/>
              <w:keepNext/>
              <w:keepLines/>
              <w:jc w:val="center"/>
              <w:rPr>
                <w:lang w:val="en-US"/>
              </w:rPr>
            </w:pPr>
            <w:r>
              <w:rPr>
                <w:lang w:val="en-US"/>
              </w:rPr>
              <w:t>222</w:t>
            </w:r>
          </w:p>
        </w:tc>
        <w:tc>
          <w:tcPr>
            <w:tcW w:w="546" w:type="pct"/>
            <w:shd w:val="clear" w:color="auto" w:fill="auto"/>
            <w:vAlign w:val="center"/>
          </w:tcPr>
          <w:p w:rsidR="00D65B1C" w:rsidRPr="00E2771E" w:rsidRDefault="00D65B1C" w:rsidP="0040694F">
            <w:pPr>
              <w:pStyle w:val="Tabletext"/>
              <w:keepNext/>
              <w:keepLines/>
              <w:jc w:val="center"/>
              <w:rPr>
                <w:lang w:val="en-US"/>
              </w:rPr>
            </w:pPr>
            <w:r w:rsidRPr="00E2771E">
              <w:rPr>
                <w:lang w:val="en-US"/>
              </w:rPr>
              <w:t>R, OL</w:t>
            </w:r>
          </w:p>
          <w:p w:rsidR="00D65B1C" w:rsidRPr="00BB5C00" w:rsidRDefault="00D65B1C" w:rsidP="0040694F">
            <w:pPr>
              <w:pStyle w:val="Tabletext"/>
              <w:keepNext/>
              <w:keepLines/>
              <w:jc w:val="center"/>
              <w:rPr>
                <w:vertAlign w:val="superscript"/>
                <w:lang w:val="en-US"/>
              </w:rPr>
            </w:pPr>
            <w:r>
              <w:rPr>
                <w:lang w:val="en-US"/>
              </w:rPr>
              <w:t xml:space="preserve">32 weeks </w:t>
            </w:r>
          </w:p>
        </w:tc>
        <w:tc>
          <w:tcPr>
            <w:tcW w:w="625" w:type="pct"/>
            <w:shd w:val="clear" w:color="auto" w:fill="auto"/>
            <w:vAlign w:val="center"/>
          </w:tcPr>
          <w:p w:rsidR="00D65B1C" w:rsidRPr="00E2771E" w:rsidRDefault="00D65B1C" w:rsidP="0040694F">
            <w:pPr>
              <w:pStyle w:val="Tabletext"/>
              <w:keepNext/>
              <w:keepLines/>
              <w:jc w:val="center"/>
              <w:rPr>
                <w:lang w:val="en-US"/>
              </w:rPr>
            </w:pPr>
            <w:r>
              <w:rPr>
                <w:lang w:val="en-US"/>
              </w:rPr>
              <w:t>Low</w:t>
            </w:r>
          </w:p>
        </w:tc>
        <w:tc>
          <w:tcPr>
            <w:tcW w:w="701" w:type="pct"/>
            <w:shd w:val="clear" w:color="auto" w:fill="auto"/>
            <w:vAlign w:val="center"/>
          </w:tcPr>
          <w:p w:rsidR="00D65B1C" w:rsidRPr="00E2771E" w:rsidRDefault="00D65B1C" w:rsidP="0040694F">
            <w:pPr>
              <w:pStyle w:val="Tabletext"/>
              <w:keepNext/>
              <w:keepLines/>
              <w:jc w:val="center"/>
              <w:rPr>
                <w:lang w:val="en-US"/>
              </w:rPr>
            </w:pPr>
            <w:r>
              <w:rPr>
                <w:lang w:val="en-US"/>
              </w:rPr>
              <w:t>Resistant or intolerant to HC with splenomegaly</w:t>
            </w:r>
          </w:p>
        </w:tc>
        <w:tc>
          <w:tcPr>
            <w:tcW w:w="1327" w:type="pct"/>
            <w:shd w:val="clear" w:color="auto" w:fill="auto"/>
            <w:vAlign w:val="center"/>
          </w:tcPr>
          <w:p w:rsidR="00D65B1C" w:rsidRPr="00E2771E" w:rsidRDefault="00D65B1C" w:rsidP="0040694F">
            <w:pPr>
              <w:pStyle w:val="Tabletext"/>
              <w:keepNext/>
              <w:keepLines/>
              <w:jc w:val="center"/>
              <w:rPr>
                <w:lang w:val="en-US"/>
              </w:rPr>
            </w:pPr>
            <w:r>
              <w:rPr>
                <w:lang w:val="en-US"/>
              </w:rPr>
              <w:t xml:space="preserve">Response (HCT &lt;45% with no more than one phlebotomy and reduction in spleen size ≥ 35% at 32  weeks, </w:t>
            </w:r>
            <w:proofErr w:type="spellStart"/>
            <w:r>
              <w:rPr>
                <w:lang w:val="en-US"/>
              </w:rPr>
              <w:t>HRQoL</w:t>
            </w:r>
            <w:proofErr w:type="spellEnd"/>
            <w:r>
              <w:rPr>
                <w:lang w:val="en-US"/>
              </w:rPr>
              <w:t>, OS</w:t>
            </w:r>
          </w:p>
        </w:tc>
        <w:tc>
          <w:tcPr>
            <w:tcW w:w="849" w:type="pct"/>
            <w:shd w:val="clear" w:color="auto" w:fill="auto"/>
            <w:vAlign w:val="center"/>
          </w:tcPr>
          <w:p w:rsidR="00D65B1C" w:rsidRPr="00E2771E" w:rsidRDefault="00D65B1C" w:rsidP="0040694F">
            <w:pPr>
              <w:pStyle w:val="Tabletext"/>
              <w:keepNext/>
              <w:keepLines/>
              <w:jc w:val="center"/>
              <w:rPr>
                <w:lang w:val="en-US"/>
              </w:rPr>
            </w:pPr>
            <w:proofErr w:type="spellStart"/>
            <w:r>
              <w:rPr>
                <w:lang w:val="en-US"/>
              </w:rPr>
              <w:t>HRQoL</w:t>
            </w:r>
            <w:proofErr w:type="spellEnd"/>
            <w:r>
              <w:rPr>
                <w:lang w:val="en-US"/>
              </w:rPr>
              <w:t xml:space="preserve"> used to inform utility. Adverse event rate used.</w:t>
            </w:r>
          </w:p>
        </w:tc>
      </w:tr>
      <w:tr w:rsidR="00D65B1C" w:rsidRPr="00E2771E" w:rsidTr="00C46736">
        <w:tc>
          <w:tcPr>
            <w:tcW w:w="640" w:type="pct"/>
            <w:shd w:val="clear" w:color="auto" w:fill="auto"/>
            <w:vAlign w:val="center"/>
          </w:tcPr>
          <w:p w:rsidR="00D65B1C" w:rsidRPr="00E2771E" w:rsidRDefault="00D65B1C" w:rsidP="0040694F">
            <w:pPr>
              <w:pStyle w:val="Tabletext"/>
              <w:keepNext/>
              <w:keepLines/>
              <w:rPr>
                <w:lang w:val="en-US"/>
              </w:rPr>
            </w:pPr>
            <w:r>
              <w:rPr>
                <w:lang w:val="en-US"/>
              </w:rPr>
              <w:t>RESPONSE-2</w:t>
            </w:r>
          </w:p>
        </w:tc>
        <w:tc>
          <w:tcPr>
            <w:tcW w:w="312" w:type="pct"/>
            <w:shd w:val="clear" w:color="auto" w:fill="auto"/>
            <w:vAlign w:val="center"/>
          </w:tcPr>
          <w:p w:rsidR="00D65B1C" w:rsidRPr="00E2771E" w:rsidRDefault="00D65B1C" w:rsidP="0040694F">
            <w:pPr>
              <w:pStyle w:val="Tabletext"/>
              <w:keepNext/>
              <w:keepLines/>
              <w:jc w:val="center"/>
              <w:rPr>
                <w:lang w:val="en-US"/>
              </w:rPr>
            </w:pPr>
            <w:r>
              <w:rPr>
                <w:lang w:val="en-US"/>
              </w:rPr>
              <w:t>149</w:t>
            </w:r>
          </w:p>
        </w:tc>
        <w:tc>
          <w:tcPr>
            <w:tcW w:w="546" w:type="pct"/>
            <w:shd w:val="clear" w:color="auto" w:fill="auto"/>
            <w:vAlign w:val="center"/>
          </w:tcPr>
          <w:p w:rsidR="00D65B1C" w:rsidRPr="00E2771E" w:rsidRDefault="00D65B1C" w:rsidP="0040694F">
            <w:pPr>
              <w:pStyle w:val="Tabletext"/>
              <w:keepNext/>
              <w:keepLines/>
              <w:jc w:val="center"/>
              <w:rPr>
                <w:lang w:val="en-US"/>
              </w:rPr>
            </w:pPr>
            <w:r>
              <w:rPr>
                <w:lang w:val="en-US"/>
              </w:rPr>
              <w:t>R, OL</w:t>
            </w:r>
          </w:p>
          <w:p w:rsidR="00D65B1C" w:rsidRPr="00E2771E" w:rsidRDefault="00D65B1C" w:rsidP="0040694F">
            <w:pPr>
              <w:pStyle w:val="Tabletext"/>
              <w:keepNext/>
              <w:keepLines/>
              <w:jc w:val="center"/>
              <w:rPr>
                <w:lang w:val="en-US"/>
              </w:rPr>
            </w:pPr>
            <w:r>
              <w:rPr>
                <w:lang w:val="en-US"/>
              </w:rPr>
              <w:t>2</w:t>
            </w:r>
            <w:r w:rsidRPr="00E2771E">
              <w:rPr>
                <w:lang w:val="en-US"/>
              </w:rPr>
              <w:t xml:space="preserve">8 </w:t>
            </w:r>
            <w:r>
              <w:rPr>
                <w:lang w:val="en-US"/>
              </w:rPr>
              <w:t>weeks</w:t>
            </w:r>
          </w:p>
        </w:tc>
        <w:tc>
          <w:tcPr>
            <w:tcW w:w="625" w:type="pct"/>
            <w:shd w:val="clear" w:color="auto" w:fill="auto"/>
            <w:vAlign w:val="center"/>
          </w:tcPr>
          <w:p w:rsidR="00D65B1C" w:rsidRPr="00E2771E" w:rsidRDefault="00D65B1C" w:rsidP="0040694F">
            <w:pPr>
              <w:pStyle w:val="Tabletext"/>
              <w:keepNext/>
              <w:keepLines/>
              <w:jc w:val="center"/>
              <w:rPr>
                <w:lang w:val="en-US"/>
              </w:rPr>
            </w:pPr>
            <w:r w:rsidRPr="00E2771E">
              <w:rPr>
                <w:lang w:val="en-US"/>
              </w:rPr>
              <w:t>Low</w:t>
            </w:r>
          </w:p>
        </w:tc>
        <w:tc>
          <w:tcPr>
            <w:tcW w:w="701" w:type="pct"/>
            <w:shd w:val="clear" w:color="auto" w:fill="auto"/>
            <w:vAlign w:val="center"/>
          </w:tcPr>
          <w:p w:rsidR="00D65B1C" w:rsidRPr="00E2771E" w:rsidRDefault="00D65B1C" w:rsidP="0040694F">
            <w:pPr>
              <w:pStyle w:val="Tabletext"/>
              <w:keepNext/>
              <w:keepLines/>
              <w:jc w:val="center"/>
              <w:rPr>
                <w:lang w:val="en-US"/>
              </w:rPr>
            </w:pPr>
            <w:r>
              <w:rPr>
                <w:lang w:val="en-US"/>
              </w:rPr>
              <w:t>Resistant or intolerant to HC with no splenomegaly</w:t>
            </w:r>
          </w:p>
        </w:tc>
        <w:tc>
          <w:tcPr>
            <w:tcW w:w="1327" w:type="pct"/>
            <w:shd w:val="clear" w:color="auto" w:fill="auto"/>
            <w:vAlign w:val="center"/>
          </w:tcPr>
          <w:p w:rsidR="00D65B1C" w:rsidRPr="00E2771E" w:rsidRDefault="00D65B1C" w:rsidP="0040694F">
            <w:pPr>
              <w:pStyle w:val="Tabletext"/>
              <w:keepNext/>
              <w:keepLines/>
              <w:jc w:val="center"/>
              <w:rPr>
                <w:lang w:val="en-US"/>
              </w:rPr>
            </w:pPr>
            <w:r>
              <w:rPr>
                <w:lang w:val="en-US"/>
              </w:rPr>
              <w:t xml:space="preserve">Response (HCT &lt;45% with no more than one phlebotomy) at 28  weeks, </w:t>
            </w:r>
            <w:proofErr w:type="spellStart"/>
            <w:r>
              <w:rPr>
                <w:lang w:val="en-US"/>
              </w:rPr>
              <w:t>HRQoL</w:t>
            </w:r>
            <w:proofErr w:type="spellEnd"/>
            <w:r>
              <w:rPr>
                <w:lang w:val="en-US"/>
              </w:rPr>
              <w:t>, OS</w:t>
            </w:r>
          </w:p>
        </w:tc>
        <w:tc>
          <w:tcPr>
            <w:tcW w:w="849" w:type="pct"/>
            <w:shd w:val="clear" w:color="auto" w:fill="auto"/>
            <w:vAlign w:val="center"/>
          </w:tcPr>
          <w:p w:rsidR="00D65B1C" w:rsidRPr="00E2771E" w:rsidRDefault="00D65B1C" w:rsidP="0040694F">
            <w:pPr>
              <w:pStyle w:val="Tabletext"/>
              <w:keepNext/>
              <w:keepLines/>
              <w:jc w:val="center"/>
              <w:rPr>
                <w:lang w:val="en-US"/>
              </w:rPr>
            </w:pPr>
            <w:proofErr w:type="spellStart"/>
            <w:r>
              <w:rPr>
                <w:lang w:val="en-US"/>
              </w:rPr>
              <w:t>HRQoL</w:t>
            </w:r>
            <w:proofErr w:type="spellEnd"/>
            <w:r>
              <w:rPr>
                <w:lang w:val="en-US"/>
              </w:rPr>
              <w:t xml:space="preserve"> used to inform utility. Adverse event rate used.</w:t>
            </w:r>
          </w:p>
        </w:tc>
      </w:tr>
    </w:tbl>
    <w:p w:rsidR="00D65B1C" w:rsidRPr="0072416F" w:rsidRDefault="00D65B1C" w:rsidP="0040694F">
      <w:pPr>
        <w:pStyle w:val="TableFooter"/>
        <w:keepNext/>
        <w:keepLines/>
        <w:widowControl/>
      </w:pPr>
      <w:r>
        <w:t xml:space="preserve">BAT = Best Available Therapy, R=randomised, OL = open label, HC = </w:t>
      </w:r>
      <w:proofErr w:type="spellStart"/>
      <w:r>
        <w:t>hydroxycarbamide</w:t>
      </w:r>
      <w:proofErr w:type="spellEnd"/>
      <w:r>
        <w:t>/</w:t>
      </w:r>
      <w:proofErr w:type="spellStart"/>
      <w:r>
        <w:t>hydroxyurea</w:t>
      </w:r>
      <w:proofErr w:type="spellEnd"/>
      <w:r>
        <w:t xml:space="preserve">, PV = </w:t>
      </w:r>
      <w:proofErr w:type="spellStart"/>
      <w:r>
        <w:t>polycythemia</w:t>
      </w:r>
      <w:proofErr w:type="spellEnd"/>
      <w:r>
        <w:t xml:space="preserve"> </w:t>
      </w:r>
      <w:proofErr w:type="spellStart"/>
      <w:proofErr w:type="gramStart"/>
      <w:r>
        <w:t>vera</w:t>
      </w:r>
      <w:proofErr w:type="spellEnd"/>
      <w:proofErr w:type="gramEnd"/>
      <w:r>
        <w:t xml:space="preserve">, CR = complete response, PR = partial response, TTR = time to response, </w:t>
      </w:r>
      <w:proofErr w:type="spellStart"/>
      <w:r>
        <w:t>DoR</w:t>
      </w:r>
      <w:proofErr w:type="spellEnd"/>
      <w:r>
        <w:t xml:space="preserve"> = duration of </w:t>
      </w:r>
      <w:r w:rsidR="000E0A21">
        <w:t>response, OS = overall survival</w:t>
      </w:r>
      <w:r>
        <w:t xml:space="preserve">, </w:t>
      </w:r>
      <w:proofErr w:type="spellStart"/>
      <w:r>
        <w:t>HRQoL</w:t>
      </w:r>
      <w:proofErr w:type="spellEnd"/>
      <w:r>
        <w:t xml:space="preserve"> = health related quality of life</w:t>
      </w:r>
    </w:p>
    <w:p w:rsidR="00D65B1C" w:rsidRDefault="00D65B1C" w:rsidP="0040694F">
      <w:pPr>
        <w:pStyle w:val="TableFooter"/>
        <w:keepNext/>
        <w:keepLines/>
        <w:widowControl/>
        <w:tabs>
          <w:tab w:val="left" w:pos="284"/>
        </w:tabs>
        <w:ind w:left="284" w:hanging="284"/>
      </w:pPr>
      <w:r>
        <w:rPr>
          <w:vertAlign w:val="superscript"/>
        </w:rPr>
        <w:t>1</w:t>
      </w:r>
      <w:r w:rsidR="000E0A21">
        <w:tab/>
      </w:r>
      <w:r>
        <w:t>Primary outcome reported only at 12 months</w:t>
      </w:r>
    </w:p>
    <w:p w:rsidR="00D65B1C" w:rsidRDefault="000E0A21" w:rsidP="0040694F">
      <w:pPr>
        <w:pStyle w:val="TableFooter"/>
        <w:keepNext/>
        <w:keepLines/>
        <w:widowControl/>
        <w:tabs>
          <w:tab w:val="left" w:pos="284"/>
        </w:tabs>
        <w:ind w:left="284" w:hanging="284"/>
      </w:pPr>
      <w:r>
        <w:rPr>
          <w:vertAlign w:val="superscript"/>
        </w:rPr>
        <w:t>2</w:t>
      </w:r>
      <w:r>
        <w:rPr>
          <w:vertAlign w:val="superscript"/>
        </w:rPr>
        <w:tab/>
      </w:r>
      <w:r w:rsidR="00D65B1C">
        <w:t>High risk as open label, high attrition in long term results and potential selective reporting</w:t>
      </w:r>
    </w:p>
    <w:p w:rsidR="00D65B1C" w:rsidRDefault="00D65B1C" w:rsidP="0040694F">
      <w:pPr>
        <w:pStyle w:val="TableFooter"/>
        <w:keepNext/>
        <w:keepLines/>
        <w:widowControl/>
        <w:tabs>
          <w:tab w:val="left" w:pos="284"/>
        </w:tabs>
        <w:ind w:left="284" w:hanging="284"/>
      </w:pPr>
      <w:r>
        <w:rPr>
          <w:vertAlign w:val="superscript"/>
        </w:rPr>
        <w:t>3</w:t>
      </w:r>
      <w:r w:rsidR="000E0A21">
        <w:rPr>
          <w:vertAlign w:val="superscript"/>
        </w:rPr>
        <w:tab/>
      </w:r>
      <w:r>
        <w:t xml:space="preserve">High risk defined as one or more of: </w:t>
      </w:r>
      <w:r w:rsidR="000E0A21">
        <w:t>age &gt;</w:t>
      </w:r>
      <w:r w:rsidRPr="00F71955">
        <w:t>60 years, previous thrombosis or migraine, signific</w:t>
      </w:r>
      <w:r w:rsidR="000E0A21">
        <w:t>ant splenomegaly or platelets &gt;</w:t>
      </w:r>
      <w:r w:rsidRPr="00F71955">
        <w:t>1000 × 10</w:t>
      </w:r>
      <w:r w:rsidRPr="00F71955">
        <w:rPr>
          <w:vertAlign w:val="superscript"/>
        </w:rPr>
        <w:t>9</w:t>
      </w:r>
      <w:r w:rsidRPr="00F71955">
        <w:t>/L</w:t>
      </w:r>
    </w:p>
    <w:p w:rsidR="00D65B1C" w:rsidRDefault="00D65B1C" w:rsidP="0040694F">
      <w:pPr>
        <w:pStyle w:val="TableFooter"/>
        <w:keepNext/>
        <w:keepLines/>
        <w:widowControl/>
        <w:tabs>
          <w:tab w:val="left" w:pos="284"/>
        </w:tabs>
        <w:ind w:left="284" w:hanging="284"/>
      </w:pPr>
      <w:r>
        <w:rPr>
          <w:vertAlign w:val="superscript"/>
        </w:rPr>
        <w:t>4</w:t>
      </w:r>
      <w:r w:rsidR="000E0A21">
        <w:tab/>
      </w:r>
      <w:r>
        <w:t xml:space="preserve">CR defined as meeting all of </w:t>
      </w:r>
      <w:r w:rsidR="000E0A21">
        <w:t>HCT &lt;</w:t>
      </w:r>
      <w:r w:rsidRPr="00F71955">
        <w:t>45% without phlebotomy for 3 months</w:t>
      </w:r>
      <w:r>
        <w:t xml:space="preserve">, AND </w:t>
      </w:r>
      <w:r w:rsidR="000E0A21">
        <w:t>Platelet count ≤</w:t>
      </w:r>
      <w:r w:rsidRPr="00F71955">
        <w:t>400 x 10</w:t>
      </w:r>
      <w:r w:rsidRPr="00F71955">
        <w:rPr>
          <w:vertAlign w:val="superscript"/>
        </w:rPr>
        <w:t>9</w:t>
      </w:r>
      <w:r w:rsidRPr="00F71955">
        <w:t>/L</w:t>
      </w:r>
      <w:r>
        <w:t>, white blood cell count ≤10 × 10</w:t>
      </w:r>
      <w:r>
        <w:rPr>
          <w:vertAlign w:val="superscript"/>
        </w:rPr>
        <w:t>9</w:t>
      </w:r>
      <w:r>
        <w:t>/L and Normal spleen size on imaging</w:t>
      </w:r>
    </w:p>
    <w:p w:rsidR="00D65B1C" w:rsidRDefault="00D65B1C" w:rsidP="0040694F">
      <w:pPr>
        <w:pStyle w:val="TableFooter"/>
        <w:keepNext/>
        <w:keepLines/>
        <w:widowControl/>
        <w:tabs>
          <w:tab w:val="left" w:pos="284"/>
        </w:tabs>
        <w:ind w:left="284" w:hanging="284"/>
      </w:pPr>
      <w:r>
        <w:rPr>
          <w:vertAlign w:val="superscript"/>
        </w:rPr>
        <w:t>5</w:t>
      </w:r>
      <w:r w:rsidR="000E0A21">
        <w:tab/>
      </w:r>
      <w:r>
        <w:t xml:space="preserve">PR defined as meeting either </w:t>
      </w:r>
      <w:proofErr w:type="spellStart"/>
      <w:r>
        <w:t>i</w:t>
      </w:r>
      <w:proofErr w:type="spellEnd"/>
      <w:r>
        <w:t xml:space="preserve">) </w:t>
      </w:r>
      <w:r w:rsidR="000E0A21">
        <w:t>HCT &lt;</w:t>
      </w:r>
      <w:r w:rsidRPr="00F71955">
        <w:t>45% without phlebotomy for 3 months</w:t>
      </w:r>
      <w:r>
        <w:t xml:space="preserve"> OR ii) </w:t>
      </w:r>
      <w:r w:rsidR="000E0A21">
        <w:t>Platelet count ≤</w:t>
      </w:r>
      <w:r w:rsidRPr="00F71955">
        <w:t>400 x 10</w:t>
      </w:r>
      <w:r w:rsidRPr="00F71955">
        <w:rPr>
          <w:vertAlign w:val="superscript"/>
        </w:rPr>
        <w:t>9</w:t>
      </w:r>
      <w:r w:rsidRPr="00F71955">
        <w:t>/L</w:t>
      </w:r>
      <w:r w:rsidR="000E0A21">
        <w:t>, white blood cell count ≤</w:t>
      </w:r>
      <w:r>
        <w:t>10 × 10</w:t>
      </w:r>
      <w:r>
        <w:rPr>
          <w:vertAlign w:val="superscript"/>
        </w:rPr>
        <w:t>9</w:t>
      </w:r>
      <w:r>
        <w:t>/L and Normal spleen size on imaging</w:t>
      </w:r>
    </w:p>
    <w:p w:rsidR="00D65B1C" w:rsidRDefault="00D65B1C" w:rsidP="0040694F">
      <w:pPr>
        <w:pStyle w:val="TableFooter"/>
        <w:keepNext/>
        <w:keepLines/>
        <w:widowControl/>
      </w:pPr>
      <w:r>
        <w:t xml:space="preserve">Source: Constructed during evaluation </w:t>
      </w:r>
    </w:p>
    <w:p w:rsidR="0040694F" w:rsidRPr="00B1011F" w:rsidRDefault="0040694F" w:rsidP="0040694F">
      <w:pPr>
        <w:pStyle w:val="TableFooter"/>
        <w:keepNext/>
        <w:keepLines/>
        <w:widowControl/>
        <w:rPr>
          <w:sz w:val="20"/>
        </w:rPr>
      </w:pPr>
    </w:p>
    <w:p w:rsidR="005C750E" w:rsidRPr="002B3792" w:rsidRDefault="00165411" w:rsidP="005C750E">
      <w:pPr>
        <w:pStyle w:val="ListParagraph"/>
        <w:widowControl/>
        <w:numPr>
          <w:ilvl w:val="1"/>
          <w:numId w:val="2"/>
        </w:numPr>
        <w:spacing w:after="120"/>
      </w:pPr>
      <w:r w:rsidRPr="002B3792">
        <w:t xml:space="preserve">The ESC agreed with the </w:t>
      </w:r>
      <w:r w:rsidR="0042755C" w:rsidRPr="002B3792">
        <w:t>evaluation</w:t>
      </w:r>
      <w:r w:rsidRPr="002B3792">
        <w:t xml:space="preserve"> that </w:t>
      </w:r>
      <w:r w:rsidR="00D65B1C" w:rsidRPr="002B3792">
        <w:t xml:space="preserve">MAJIC was considered to have a high risk of bias </w:t>
      </w:r>
      <w:r w:rsidRPr="002B3792">
        <w:t>as it was an open label trial that</w:t>
      </w:r>
      <w:r w:rsidR="00D65B1C" w:rsidRPr="002B3792">
        <w:t xml:space="preserve"> appeared to have high attri</w:t>
      </w:r>
      <w:r w:rsidR="000E0A21" w:rsidRPr="002B3792">
        <w:t>tion</w:t>
      </w:r>
      <w:r w:rsidR="0095709D" w:rsidRPr="002B3792">
        <w:t xml:space="preserve"> (&gt;40%)</w:t>
      </w:r>
      <w:r w:rsidR="000E0A21" w:rsidRPr="002B3792">
        <w:t xml:space="preserve"> beyond two years of follow-</w:t>
      </w:r>
      <w:r w:rsidR="00D65B1C" w:rsidRPr="002B3792">
        <w:t>up</w:t>
      </w:r>
      <w:r w:rsidR="005E35EF" w:rsidRPr="002B3792">
        <w:t>.</w:t>
      </w:r>
      <w:r w:rsidR="0002121D" w:rsidRPr="002B3792">
        <w:t xml:space="preserve"> </w:t>
      </w:r>
      <w:r w:rsidR="0017242B">
        <w:rPr>
          <w:rFonts w:asciiTheme="minorHAnsi" w:hAnsiTheme="minorHAnsi"/>
          <w:bCs/>
          <w:lang w:val="en-GB"/>
        </w:rPr>
        <w:t>The pre-PBAC response</w:t>
      </w:r>
      <w:r w:rsidR="0065635E">
        <w:rPr>
          <w:rFonts w:asciiTheme="minorHAnsi" w:hAnsiTheme="minorHAnsi"/>
          <w:bCs/>
          <w:lang w:val="en-GB"/>
        </w:rPr>
        <w:t xml:space="preserve"> </w:t>
      </w:r>
      <w:r w:rsidR="00F758CC">
        <w:rPr>
          <w:rFonts w:asciiTheme="minorHAnsi" w:hAnsiTheme="minorHAnsi"/>
          <w:bCs/>
          <w:lang w:val="en-GB"/>
        </w:rPr>
        <w:t>clarifi</w:t>
      </w:r>
      <w:r w:rsidR="0065635E">
        <w:rPr>
          <w:rFonts w:asciiTheme="minorHAnsi" w:hAnsiTheme="minorHAnsi"/>
          <w:bCs/>
          <w:lang w:val="en-GB"/>
        </w:rPr>
        <w:t xml:space="preserve">ed that MAJIC had a 19% attrition rate and </w:t>
      </w:r>
      <w:r w:rsidR="00F758CC">
        <w:rPr>
          <w:rFonts w:asciiTheme="minorHAnsi" w:hAnsiTheme="minorHAnsi"/>
          <w:bCs/>
          <w:lang w:val="en-GB"/>
        </w:rPr>
        <w:t>wa</w:t>
      </w:r>
      <w:r w:rsidR="0065635E">
        <w:rPr>
          <w:rFonts w:asciiTheme="minorHAnsi" w:hAnsiTheme="minorHAnsi"/>
          <w:bCs/>
          <w:lang w:val="en-GB"/>
        </w:rPr>
        <w:t xml:space="preserve">s an ongoing trial with a median duration of follow-up of 2.6 years and a planned duration of 5 years. </w:t>
      </w:r>
      <w:r w:rsidR="005E35EF" w:rsidRPr="002B3792">
        <w:t>Additionally</w:t>
      </w:r>
      <w:r w:rsidR="000E0A21" w:rsidRPr="002B3792">
        <w:t>,</w:t>
      </w:r>
      <w:r w:rsidR="005E35EF" w:rsidRPr="002B3792">
        <w:t xml:space="preserve"> </w:t>
      </w:r>
      <w:r w:rsidRPr="002B3792">
        <w:t xml:space="preserve">the ESC considered </w:t>
      </w:r>
      <w:r w:rsidR="005E35EF" w:rsidRPr="002B3792">
        <w:t>there wa</w:t>
      </w:r>
      <w:r w:rsidR="00D65B1C" w:rsidRPr="002B3792">
        <w:t xml:space="preserve">s </w:t>
      </w:r>
      <w:r w:rsidR="00ED53E2" w:rsidRPr="002B3792">
        <w:t xml:space="preserve">a </w:t>
      </w:r>
      <w:r w:rsidR="00D65B1C" w:rsidRPr="002B3792">
        <w:t xml:space="preserve">potential for selective reporting given that data from MAJIC was available only as a conference poster (Harrison et al 2018) and a </w:t>
      </w:r>
      <w:r w:rsidR="009F5D1D" w:rsidRPr="002B3792">
        <w:t>PowerPoint</w:t>
      </w:r>
      <w:r w:rsidR="00D65B1C" w:rsidRPr="002B3792">
        <w:t xml:space="preserve"> of an oral presentation (</w:t>
      </w:r>
      <w:proofErr w:type="spellStart"/>
      <w:r w:rsidR="00D65B1C" w:rsidRPr="002B3792">
        <w:t>Curto</w:t>
      </w:r>
      <w:proofErr w:type="spellEnd"/>
      <w:r w:rsidR="00D65B1C" w:rsidRPr="002B3792">
        <w:t xml:space="preserve">-Garcia 2019).  Both RESPONSE and RESPONSE-2, despite being open label trials, </w:t>
      </w:r>
      <w:r w:rsidR="005E35EF" w:rsidRPr="002B3792">
        <w:t>we</w:t>
      </w:r>
      <w:r w:rsidR="00D65B1C" w:rsidRPr="002B3792">
        <w:t>re considered to have a low risk of bias as the outcome assessors were blind</w:t>
      </w:r>
      <w:r w:rsidR="000E0A21" w:rsidRPr="002B3792">
        <w:t>ed</w:t>
      </w:r>
      <w:r w:rsidR="00D65B1C" w:rsidRPr="002B3792">
        <w:t xml:space="preserve"> to treatment allocation</w:t>
      </w:r>
      <w:r w:rsidR="00A407F3" w:rsidRPr="002B3792">
        <w:t xml:space="preserve"> until patients in BAT were allowed to cross over to ruxolitinib</w:t>
      </w:r>
      <w:r w:rsidR="00D65B1C" w:rsidRPr="002B3792">
        <w:t xml:space="preserve"> and</w:t>
      </w:r>
      <w:r w:rsidR="003A40C5" w:rsidRPr="002B3792">
        <w:t xml:space="preserve"> the trials</w:t>
      </w:r>
      <w:r w:rsidR="00D65B1C" w:rsidRPr="002B3792">
        <w:t xml:space="preserve"> did not have the same risk of attrition or reporting bias as MAJIC.</w:t>
      </w:r>
      <w:r w:rsidR="00A407F3" w:rsidRPr="002B3792">
        <w:t xml:space="preserve"> As such,  the ESC considered that data from the RESPONSE trials, despite allowing BAT patients to crossover to ruxolitinib at less than 12 months, are more robust compared to MAJIC. The ESC considered that the submission’s use of MAJIC, over the RESPONSE trials</w:t>
      </w:r>
      <w:r w:rsidR="002755FD" w:rsidRPr="002B3792">
        <w:t xml:space="preserve"> as primary evidence</w:t>
      </w:r>
      <w:r w:rsidR="00A407F3" w:rsidRPr="002B3792">
        <w:t>, is not sufficiently justified by its longer-term follow-up given the high attrition rate (</w:t>
      </w:r>
      <w:r w:rsidR="004457BA" w:rsidRPr="002B3792">
        <w:t xml:space="preserve">which may be </w:t>
      </w:r>
      <w:r w:rsidR="00C0774E" w:rsidRPr="002B3792">
        <w:t>due to loss of response or transformation to</w:t>
      </w:r>
      <w:r w:rsidR="00A33AEF" w:rsidRPr="002B3792">
        <w:t xml:space="preserve"> MF or AML</w:t>
      </w:r>
      <w:r w:rsidR="00A407F3" w:rsidRPr="002B3792">
        <w:t>).</w:t>
      </w:r>
    </w:p>
    <w:p w:rsidR="00D65B1C" w:rsidRPr="002B3792" w:rsidRDefault="00D65B1C" w:rsidP="00117F44">
      <w:pPr>
        <w:pStyle w:val="ListParagraph"/>
        <w:widowControl/>
        <w:numPr>
          <w:ilvl w:val="1"/>
          <w:numId w:val="2"/>
        </w:numPr>
        <w:spacing w:after="120"/>
      </w:pPr>
      <w:r w:rsidRPr="002B3792">
        <w:t xml:space="preserve">The definition of </w:t>
      </w:r>
      <w:r w:rsidR="000E0A21" w:rsidRPr="002B3792">
        <w:t>complete response (</w:t>
      </w:r>
      <w:r w:rsidR="00F5084B" w:rsidRPr="002B3792">
        <w:t>CR</w:t>
      </w:r>
      <w:r w:rsidR="000E0A21" w:rsidRPr="002B3792">
        <w:t>)</w:t>
      </w:r>
      <w:r w:rsidRPr="002B3792">
        <w:t xml:space="preserve"> and partial response (PR) in MAJIC was based on the ELN criteria for response.  As discussed, this differs to the definition of response in the proposed PBS criteria, with the requirement for WBC count omitted and the requirement for spleen size altered from on imaging to on palpation</w:t>
      </w:r>
      <w:r w:rsidR="00D959B8" w:rsidRPr="002B3792">
        <w:t xml:space="preserve"> (see paragraph 2.3)</w:t>
      </w:r>
      <w:r w:rsidRPr="002B3792">
        <w:t xml:space="preserve">.  </w:t>
      </w:r>
    </w:p>
    <w:p w:rsidR="003C3D65" w:rsidRPr="002B3792" w:rsidRDefault="003C3D65" w:rsidP="00117F44">
      <w:pPr>
        <w:pStyle w:val="ListParagraph"/>
        <w:widowControl/>
        <w:numPr>
          <w:ilvl w:val="1"/>
          <w:numId w:val="2"/>
        </w:numPr>
        <w:spacing w:after="120"/>
      </w:pPr>
      <w:r w:rsidRPr="002B3792">
        <w:lastRenderedPageBreak/>
        <w:t xml:space="preserve">A key issue in the submission is whether the proposed response criteria </w:t>
      </w:r>
      <w:r w:rsidR="00FA49DF" w:rsidRPr="002B3792">
        <w:t xml:space="preserve">is </w:t>
      </w:r>
      <w:r w:rsidRPr="002B3792">
        <w:t xml:space="preserve">associated with patient relevant clinical outcomes.  A summary of clinical evidence between the association of the aspects of </w:t>
      </w:r>
      <w:r w:rsidR="000E0A21" w:rsidRPr="002B3792">
        <w:t>response (a s</w:t>
      </w:r>
      <w:r w:rsidRPr="002B3792">
        <w:t xml:space="preserve">urrogate </w:t>
      </w:r>
      <w:r w:rsidR="000E0A21" w:rsidRPr="002B3792">
        <w:t>outcome)</w:t>
      </w:r>
      <w:r w:rsidRPr="002B3792">
        <w:t xml:space="preserve"> and clinical outcomes is presented in </w:t>
      </w:r>
      <w:r w:rsidR="000E0A21" w:rsidRPr="002B3792">
        <w:t xml:space="preserve">Table </w:t>
      </w:r>
      <w:r w:rsidR="000E0A21" w:rsidRPr="002B3792">
        <w:rPr>
          <w:noProof/>
        </w:rPr>
        <w:t>4</w:t>
      </w:r>
      <w:r w:rsidRPr="002B3792">
        <w:t xml:space="preserve">. </w:t>
      </w:r>
    </w:p>
    <w:p w:rsidR="003C3D65" w:rsidRPr="000E0A21" w:rsidRDefault="000E0A21" w:rsidP="000E0A21">
      <w:pPr>
        <w:pStyle w:val="Caption"/>
        <w:keepNext/>
      </w:pPr>
      <w:bookmarkStart w:id="11" w:name="_Ref17146313"/>
      <w:r>
        <w:t xml:space="preserve">Table </w:t>
      </w:r>
      <w:r w:rsidR="00CF6741">
        <w:rPr>
          <w:noProof/>
        </w:rPr>
        <w:t>4</w:t>
      </w:r>
      <w:bookmarkEnd w:id="11"/>
      <w:r>
        <w:t xml:space="preserve">: </w:t>
      </w:r>
      <w:r w:rsidR="003C3D65" w:rsidRPr="000E0A21">
        <w:rPr>
          <w:szCs w:val="20"/>
        </w:rPr>
        <w:t>Summary of association of surrogate outcome to clinical outcomes</w:t>
      </w:r>
    </w:p>
    <w:tbl>
      <w:tblPr>
        <w:tblStyle w:val="TableGrid"/>
        <w:tblW w:w="0" w:type="auto"/>
        <w:tblInd w:w="-5" w:type="dxa"/>
        <w:tblCellMar>
          <w:left w:w="28" w:type="dxa"/>
          <w:right w:w="28" w:type="dxa"/>
        </w:tblCellMar>
        <w:tblLook w:val="04A0" w:firstRow="1" w:lastRow="0" w:firstColumn="1" w:lastColumn="0" w:noHBand="0" w:noVBand="1"/>
        <w:tblCaption w:val="Table 4: Summary of association of surrogate outcome to clinical outcomes"/>
      </w:tblPr>
      <w:tblGrid>
        <w:gridCol w:w="1560"/>
        <w:gridCol w:w="4649"/>
        <w:gridCol w:w="2813"/>
      </w:tblGrid>
      <w:tr w:rsidR="003C3D65" w:rsidRPr="000E0A21" w:rsidTr="00B15FAF">
        <w:trPr>
          <w:cantSplit/>
          <w:tblHeader/>
        </w:trPr>
        <w:tc>
          <w:tcPr>
            <w:tcW w:w="1560" w:type="dxa"/>
          </w:tcPr>
          <w:p w:rsidR="003C3D65" w:rsidRPr="000E0A21" w:rsidRDefault="003C3D65" w:rsidP="000E0A21">
            <w:pPr>
              <w:jc w:val="left"/>
              <w:rPr>
                <w:rFonts w:ascii="Arial Narrow" w:hAnsi="Arial Narrow"/>
                <w:b/>
                <w:sz w:val="20"/>
                <w:szCs w:val="18"/>
              </w:rPr>
            </w:pPr>
            <w:r w:rsidRPr="000E0A21">
              <w:rPr>
                <w:rFonts w:ascii="Arial Narrow" w:hAnsi="Arial Narrow"/>
                <w:b/>
                <w:sz w:val="20"/>
                <w:szCs w:val="18"/>
              </w:rPr>
              <w:t>Surrogate</w:t>
            </w:r>
          </w:p>
        </w:tc>
        <w:tc>
          <w:tcPr>
            <w:tcW w:w="4649" w:type="dxa"/>
            <w:vAlign w:val="center"/>
          </w:tcPr>
          <w:p w:rsidR="003C3D65" w:rsidRPr="000E0A21" w:rsidRDefault="003C3D65" w:rsidP="00DF6867">
            <w:pPr>
              <w:jc w:val="center"/>
              <w:rPr>
                <w:rFonts w:ascii="Arial Narrow" w:hAnsi="Arial Narrow"/>
                <w:b/>
                <w:sz w:val="20"/>
                <w:szCs w:val="18"/>
              </w:rPr>
            </w:pPr>
            <w:r w:rsidRPr="000E0A21">
              <w:rPr>
                <w:rFonts w:ascii="Arial Narrow" w:hAnsi="Arial Narrow"/>
                <w:b/>
                <w:sz w:val="20"/>
                <w:szCs w:val="18"/>
              </w:rPr>
              <w:t>Relationship to clinical outcomes</w:t>
            </w:r>
          </w:p>
        </w:tc>
        <w:tc>
          <w:tcPr>
            <w:tcW w:w="2813" w:type="dxa"/>
            <w:vAlign w:val="center"/>
          </w:tcPr>
          <w:p w:rsidR="003C3D65" w:rsidRPr="000E0A21" w:rsidRDefault="003C3D65" w:rsidP="00DF6867">
            <w:pPr>
              <w:jc w:val="center"/>
              <w:rPr>
                <w:rFonts w:ascii="Arial Narrow" w:hAnsi="Arial Narrow"/>
                <w:b/>
                <w:sz w:val="20"/>
                <w:szCs w:val="18"/>
              </w:rPr>
            </w:pPr>
            <w:r w:rsidRPr="000E0A21">
              <w:rPr>
                <w:rFonts w:ascii="Arial Narrow" w:hAnsi="Arial Narrow"/>
                <w:b/>
                <w:sz w:val="20"/>
                <w:szCs w:val="18"/>
              </w:rPr>
              <w:t>Comments</w:t>
            </w:r>
          </w:p>
        </w:tc>
      </w:tr>
      <w:tr w:rsidR="003C3D65" w:rsidRPr="000E0A21" w:rsidTr="00B15FAF">
        <w:trPr>
          <w:cantSplit/>
        </w:trPr>
        <w:tc>
          <w:tcPr>
            <w:tcW w:w="1560" w:type="dxa"/>
          </w:tcPr>
          <w:p w:rsidR="003C3D65" w:rsidRPr="000E0A21" w:rsidRDefault="003C3D65" w:rsidP="000E0A21">
            <w:pPr>
              <w:jc w:val="left"/>
              <w:rPr>
                <w:rFonts w:ascii="Arial Narrow" w:hAnsi="Arial Narrow"/>
                <w:sz w:val="20"/>
                <w:szCs w:val="18"/>
              </w:rPr>
            </w:pPr>
            <w:r w:rsidRPr="000E0A21">
              <w:rPr>
                <w:rFonts w:ascii="Arial Narrow" w:hAnsi="Arial Narrow"/>
                <w:sz w:val="20"/>
                <w:szCs w:val="18"/>
              </w:rPr>
              <w:t>ELN response</w:t>
            </w:r>
          </w:p>
        </w:tc>
        <w:tc>
          <w:tcPr>
            <w:tcW w:w="4649" w:type="dxa"/>
          </w:tcPr>
          <w:p w:rsidR="003C3D65" w:rsidRPr="00E87A0D" w:rsidRDefault="003C3D65" w:rsidP="000E0A21">
            <w:pPr>
              <w:jc w:val="left"/>
              <w:rPr>
                <w:rFonts w:ascii="Arial Narrow" w:hAnsi="Arial Narrow"/>
                <w:sz w:val="20"/>
                <w:szCs w:val="18"/>
              </w:rPr>
            </w:pPr>
            <w:r w:rsidRPr="00E87A0D">
              <w:rPr>
                <w:rFonts w:ascii="Arial Narrow" w:hAnsi="Arial Narrow"/>
                <w:sz w:val="20"/>
                <w:szCs w:val="18"/>
              </w:rPr>
              <w:t>Alvarez-</w:t>
            </w:r>
            <w:proofErr w:type="spellStart"/>
            <w:r w:rsidRPr="00E87A0D">
              <w:rPr>
                <w:rFonts w:ascii="Arial Narrow" w:hAnsi="Arial Narrow"/>
                <w:sz w:val="20"/>
                <w:szCs w:val="18"/>
              </w:rPr>
              <w:t>Larran</w:t>
            </w:r>
            <w:proofErr w:type="spellEnd"/>
            <w:r w:rsidRPr="00E87A0D">
              <w:rPr>
                <w:rFonts w:ascii="Arial Narrow" w:hAnsi="Arial Narrow"/>
                <w:sz w:val="20"/>
                <w:szCs w:val="18"/>
              </w:rPr>
              <w:t xml:space="preserve"> et al (2012) conducted a retrospective study on 261 patients with PV</w:t>
            </w:r>
            <w:r w:rsidR="00A14168" w:rsidRPr="00E87A0D">
              <w:rPr>
                <w:rFonts w:ascii="Arial Narrow" w:hAnsi="Arial Narrow"/>
                <w:sz w:val="20"/>
                <w:szCs w:val="18"/>
              </w:rPr>
              <w:t xml:space="preserve"> treated with HC (median follow-</w:t>
            </w:r>
            <w:r w:rsidRPr="00E87A0D">
              <w:rPr>
                <w:rFonts w:ascii="Arial Narrow" w:hAnsi="Arial Narrow"/>
                <w:sz w:val="20"/>
                <w:szCs w:val="18"/>
              </w:rPr>
              <w:t xml:space="preserve">up 7.2 years, median treatment with HC for 4.4 years) and found that achieving ELN response (complete or partial) or haematocrit response </w:t>
            </w:r>
            <w:r w:rsidRPr="00E87A0D">
              <w:rPr>
                <w:rFonts w:ascii="Arial Narrow" w:hAnsi="Arial Narrow"/>
                <w:sz w:val="20"/>
                <w:szCs w:val="18"/>
                <w:u w:val="single"/>
              </w:rPr>
              <w:t>did not result in better survival or less thrombosis and bleeding.</w:t>
            </w:r>
            <w:r w:rsidRPr="00E87A0D">
              <w:rPr>
                <w:rFonts w:ascii="Arial Narrow" w:hAnsi="Arial Narrow"/>
                <w:sz w:val="20"/>
                <w:szCs w:val="18"/>
              </w:rPr>
              <w:t xml:space="preserve">  </w:t>
            </w:r>
          </w:p>
        </w:tc>
        <w:tc>
          <w:tcPr>
            <w:tcW w:w="2813" w:type="dxa"/>
          </w:tcPr>
          <w:p w:rsidR="003C3D65" w:rsidRPr="00E87A0D" w:rsidRDefault="003C3D65" w:rsidP="000E0A21">
            <w:pPr>
              <w:jc w:val="left"/>
              <w:rPr>
                <w:rFonts w:ascii="Arial Narrow" w:hAnsi="Arial Narrow"/>
                <w:sz w:val="20"/>
                <w:szCs w:val="18"/>
              </w:rPr>
            </w:pPr>
            <w:r w:rsidRPr="00E87A0D">
              <w:rPr>
                <w:rFonts w:ascii="Arial Narrow" w:hAnsi="Arial Narrow"/>
                <w:sz w:val="20"/>
                <w:szCs w:val="18"/>
              </w:rPr>
              <w:t xml:space="preserve">Given that the proposed criteria for response was based on the ELN criteria, this suggests that the surrogate outcome proposed in the submission may not be clinically relevant.  </w:t>
            </w:r>
          </w:p>
        </w:tc>
      </w:tr>
      <w:tr w:rsidR="003C3D65" w:rsidRPr="000E0A21" w:rsidTr="00B15FAF">
        <w:trPr>
          <w:cantSplit/>
        </w:trPr>
        <w:tc>
          <w:tcPr>
            <w:tcW w:w="1560" w:type="dxa"/>
          </w:tcPr>
          <w:p w:rsidR="003C3D65" w:rsidRPr="000E0A21" w:rsidRDefault="003C3D65" w:rsidP="00A14168">
            <w:pPr>
              <w:jc w:val="left"/>
              <w:rPr>
                <w:rFonts w:ascii="Arial Narrow" w:hAnsi="Arial Narrow"/>
                <w:sz w:val="20"/>
                <w:szCs w:val="18"/>
              </w:rPr>
            </w:pPr>
            <w:r w:rsidRPr="000E0A21">
              <w:rPr>
                <w:rFonts w:ascii="Arial Narrow" w:hAnsi="Arial Narrow"/>
                <w:sz w:val="20"/>
                <w:szCs w:val="18"/>
              </w:rPr>
              <w:t>Haematocrit (HCT) &lt;45%</w:t>
            </w:r>
          </w:p>
        </w:tc>
        <w:tc>
          <w:tcPr>
            <w:tcW w:w="4649" w:type="dxa"/>
          </w:tcPr>
          <w:p w:rsidR="003C3D65" w:rsidRPr="00E87A0D" w:rsidRDefault="003C3D65" w:rsidP="00A14168">
            <w:pPr>
              <w:spacing w:after="40"/>
              <w:jc w:val="left"/>
              <w:rPr>
                <w:rFonts w:ascii="Arial Narrow" w:hAnsi="Arial Narrow"/>
                <w:sz w:val="20"/>
                <w:szCs w:val="18"/>
              </w:rPr>
            </w:pPr>
            <w:r w:rsidRPr="00E87A0D">
              <w:rPr>
                <w:rFonts w:ascii="Arial Narrow" w:hAnsi="Arial Narrow"/>
                <w:sz w:val="20"/>
                <w:szCs w:val="18"/>
              </w:rPr>
              <w:t xml:space="preserve">Association with reduction in HCT to &lt;45% was supported by evidence from the </w:t>
            </w:r>
            <w:proofErr w:type="spellStart"/>
            <w:r w:rsidRPr="00E87A0D">
              <w:rPr>
                <w:rFonts w:ascii="Arial Narrow" w:hAnsi="Arial Narrow"/>
                <w:sz w:val="20"/>
                <w:szCs w:val="18"/>
              </w:rPr>
              <w:t>Cytoreductive</w:t>
            </w:r>
            <w:proofErr w:type="spellEnd"/>
            <w:r w:rsidRPr="00E87A0D">
              <w:rPr>
                <w:rFonts w:ascii="Arial Narrow" w:hAnsi="Arial Narrow"/>
                <w:sz w:val="20"/>
                <w:szCs w:val="18"/>
              </w:rPr>
              <w:t xml:space="preserve"> Therapy in </w:t>
            </w:r>
            <w:proofErr w:type="spellStart"/>
            <w:r w:rsidRPr="00E87A0D">
              <w:rPr>
                <w:rFonts w:ascii="Arial Narrow" w:hAnsi="Arial Narrow"/>
                <w:sz w:val="20"/>
                <w:szCs w:val="18"/>
              </w:rPr>
              <w:t>Polycythemia</w:t>
            </w:r>
            <w:proofErr w:type="spellEnd"/>
            <w:r w:rsidRPr="00E87A0D">
              <w:rPr>
                <w:rFonts w:ascii="Arial Narrow" w:hAnsi="Arial Narrow"/>
                <w:sz w:val="20"/>
                <w:szCs w:val="18"/>
              </w:rPr>
              <w:t xml:space="preserve"> Vera (CYTO-PV) trial, where 365 patients were randomised to receive either intense treatment (target HCT &lt;45%, n=182) or less intensive treatment (HCT 45-50%, n=182).  </w:t>
            </w:r>
            <w:r w:rsidR="00A14168" w:rsidRPr="00E87A0D">
              <w:rPr>
                <w:rFonts w:ascii="Arial Narrow" w:hAnsi="Arial Narrow"/>
                <w:sz w:val="20"/>
                <w:szCs w:val="18"/>
              </w:rPr>
              <w:t>After a median 31 month follow-u</w:t>
            </w:r>
            <w:r w:rsidRPr="00E87A0D">
              <w:rPr>
                <w:rFonts w:ascii="Arial Narrow" w:hAnsi="Arial Narrow"/>
                <w:sz w:val="20"/>
                <w:szCs w:val="18"/>
              </w:rPr>
              <w:t xml:space="preserve">p, patients in low HCT group had lower death from cardiovascular or major thrombotic effect than those in the high HCT group (HR 3.91, 95% CI 1.45, 10.53) </w:t>
            </w:r>
          </w:p>
          <w:p w:rsidR="003C3D65" w:rsidRPr="00E87A0D" w:rsidRDefault="003C3D65" w:rsidP="00A14168">
            <w:pPr>
              <w:spacing w:after="40"/>
              <w:jc w:val="left"/>
              <w:rPr>
                <w:rFonts w:ascii="Arial Narrow" w:hAnsi="Arial Narrow"/>
                <w:sz w:val="20"/>
                <w:szCs w:val="18"/>
              </w:rPr>
            </w:pPr>
            <w:r w:rsidRPr="00E87A0D">
              <w:rPr>
                <w:rFonts w:ascii="Arial Narrow" w:hAnsi="Arial Narrow"/>
                <w:sz w:val="20"/>
                <w:szCs w:val="18"/>
              </w:rPr>
              <w:t>However, Ferrero et al 2019, a retrospective study of 226 patients with PV, found no differences in overall thrombosis free survival between patients with HCT of &lt;45% and between 45-48% at a median follow up of 5.84 years, though those with an HCT of &gt;48% was significantly associated with shorter survival and higher risk of major thrombosis.</w:t>
            </w:r>
          </w:p>
          <w:p w:rsidR="003C3D65" w:rsidRPr="00E87A0D" w:rsidRDefault="003C3D65" w:rsidP="000E0A21">
            <w:pPr>
              <w:jc w:val="left"/>
              <w:rPr>
                <w:rFonts w:ascii="Arial Narrow" w:hAnsi="Arial Narrow"/>
                <w:sz w:val="20"/>
                <w:szCs w:val="18"/>
              </w:rPr>
            </w:pPr>
            <w:r w:rsidRPr="00E87A0D">
              <w:rPr>
                <w:rFonts w:ascii="Arial Narrow" w:hAnsi="Arial Narrow"/>
                <w:sz w:val="20"/>
                <w:szCs w:val="18"/>
              </w:rPr>
              <w:t xml:space="preserve">Additionally, a study by Di </w:t>
            </w:r>
            <w:proofErr w:type="spellStart"/>
            <w:r w:rsidRPr="00E87A0D">
              <w:rPr>
                <w:rFonts w:ascii="Arial Narrow" w:hAnsi="Arial Narrow"/>
                <w:sz w:val="20"/>
                <w:szCs w:val="18"/>
              </w:rPr>
              <w:t>Nisio</w:t>
            </w:r>
            <w:proofErr w:type="spellEnd"/>
            <w:r w:rsidRPr="00E87A0D">
              <w:rPr>
                <w:rFonts w:ascii="Arial Narrow" w:hAnsi="Arial Narrow"/>
                <w:sz w:val="20"/>
                <w:szCs w:val="18"/>
              </w:rPr>
              <w:t xml:space="preserve"> et al 2007 in 1638 patients</w:t>
            </w:r>
            <w:r w:rsidR="00A14168" w:rsidRPr="00E87A0D">
              <w:rPr>
                <w:rFonts w:ascii="Arial Narrow" w:hAnsi="Arial Narrow"/>
                <w:sz w:val="20"/>
                <w:szCs w:val="18"/>
              </w:rPr>
              <w:t xml:space="preserve"> with PV (median follow-</w:t>
            </w:r>
            <w:r w:rsidRPr="00E87A0D">
              <w:rPr>
                <w:rFonts w:ascii="Arial Narrow" w:hAnsi="Arial Narrow"/>
                <w:sz w:val="20"/>
                <w:szCs w:val="18"/>
              </w:rPr>
              <w:t>up 2.8 years, total of 4393 patient years) found that patients with HCT ≤45% and patients with HCT &gt;45% had comparable risk of death (HR 0.85, 95% CI 0.6-1.31), major thrombosis (HR 0.94, 95% CI 0.65-1.36) and total thrombosis (HR 0.97, 95% CI 0.72-1.30)</w:t>
            </w:r>
          </w:p>
        </w:tc>
        <w:tc>
          <w:tcPr>
            <w:tcW w:w="2813" w:type="dxa"/>
          </w:tcPr>
          <w:p w:rsidR="003C3D65" w:rsidRPr="00E87A0D" w:rsidRDefault="003C3D65" w:rsidP="000E0A21">
            <w:pPr>
              <w:jc w:val="left"/>
              <w:rPr>
                <w:rFonts w:ascii="Arial Narrow" w:hAnsi="Arial Narrow"/>
                <w:sz w:val="20"/>
                <w:szCs w:val="18"/>
              </w:rPr>
            </w:pPr>
            <w:r w:rsidRPr="00E87A0D">
              <w:rPr>
                <w:rFonts w:ascii="Arial Narrow" w:hAnsi="Arial Narrow"/>
                <w:sz w:val="20"/>
                <w:szCs w:val="18"/>
              </w:rPr>
              <w:t xml:space="preserve">Overall, there is conflicting evidence to suggest that the threshold of 45% HCT is correlated to clinically meaningful outcomes. Additionally, the proposed response specifies that HCT &lt;45% needs to be reached without </w:t>
            </w:r>
            <w:proofErr w:type="spellStart"/>
            <w:r w:rsidRPr="00E87A0D">
              <w:rPr>
                <w:rFonts w:ascii="Arial Narrow" w:hAnsi="Arial Narrow"/>
                <w:sz w:val="20"/>
                <w:szCs w:val="18"/>
              </w:rPr>
              <w:t>phlebectomy</w:t>
            </w:r>
            <w:proofErr w:type="spellEnd"/>
            <w:r w:rsidRPr="00E87A0D">
              <w:rPr>
                <w:rFonts w:ascii="Arial Narrow" w:hAnsi="Arial Narrow"/>
                <w:sz w:val="20"/>
                <w:szCs w:val="18"/>
              </w:rPr>
              <w:t xml:space="preserve">, whereas the low HCT in CTYO-PV was achieved with frequent phlebotomy (average of 3.0 per patient over 6 months).  Therefore it is unclear if the results of CYTO-PV would be applicable to the responses proposed in the current submission.  </w:t>
            </w:r>
          </w:p>
        </w:tc>
      </w:tr>
      <w:tr w:rsidR="003C3D65" w:rsidRPr="000E0A21" w:rsidTr="00B15FAF">
        <w:trPr>
          <w:cantSplit/>
        </w:trPr>
        <w:tc>
          <w:tcPr>
            <w:tcW w:w="1560" w:type="dxa"/>
          </w:tcPr>
          <w:p w:rsidR="003C3D65" w:rsidRPr="000E0A21" w:rsidRDefault="003C3D65" w:rsidP="000E0A21">
            <w:pPr>
              <w:jc w:val="left"/>
              <w:rPr>
                <w:rFonts w:ascii="Arial Narrow" w:hAnsi="Arial Narrow"/>
                <w:sz w:val="20"/>
                <w:szCs w:val="18"/>
              </w:rPr>
            </w:pPr>
            <w:r w:rsidRPr="000E0A21">
              <w:rPr>
                <w:rFonts w:ascii="Arial Narrow" w:hAnsi="Arial Narrow"/>
                <w:sz w:val="20"/>
                <w:szCs w:val="18"/>
              </w:rPr>
              <w:t>White blood cell (WBC) count</w:t>
            </w:r>
          </w:p>
        </w:tc>
        <w:tc>
          <w:tcPr>
            <w:tcW w:w="4649" w:type="dxa"/>
          </w:tcPr>
          <w:p w:rsidR="003C3D65" w:rsidRPr="00E87A0D" w:rsidRDefault="003C3D65" w:rsidP="000E0A21">
            <w:pPr>
              <w:jc w:val="left"/>
              <w:rPr>
                <w:rFonts w:ascii="Arial Narrow" w:hAnsi="Arial Narrow"/>
                <w:sz w:val="20"/>
                <w:szCs w:val="18"/>
              </w:rPr>
            </w:pPr>
            <w:r w:rsidRPr="00E87A0D">
              <w:rPr>
                <w:rFonts w:ascii="Arial Narrow" w:hAnsi="Arial Narrow"/>
                <w:sz w:val="20"/>
                <w:szCs w:val="18"/>
              </w:rPr>
              <w:t>A number of epidemiologic studies associate higher WBC count at diagnosis and worse survival.  However WBC count may not necessarily change due to treatment.  In CYTO-PV, there was no statistically significant increase in risk of thrombosis in patients with a WBC count 10.1 to 15 × 10</w:t>
            </w:r>
            <w:r w:rsidRPr="00E87A0D">
              <w:rPr>
                <w:rFonts w:ascii="Arial Narrow" w:hAnsi="Arial Narrow"/>
                <w:sz w:val="20"/>
                <w:szCs w:val="18"/>
                <w:vertAlign w:val="superscript"/>
              </w:rPr>
              <w:t>9</w:t>
            </w:r>
            <w:r w:rsidRPr="00E87A0D">
              <w:rPr>
                <w:rFonts w:ascii="Arial Narrow" w:hAnsi="Arial Narrow"/>
                <w:sz w:val="20"/>
                <w:szCs w:val="18"/>
              </w:rPr>
              <w:t>/L prior to thrombosis compared to WBC count ≤10× 10</w:t>
            </w:r>
            <w:r w:rsidRPr="00E87A0D">
              <w:rPr>
                <w:rFonts w:ascii="Arial Narrow" w:hAnsi="Arial Narrow"/>
                <w:sz w:val="20"/>
                <w:szCs w:val="18"/>
                <w:vertAlign w:val="superscript"/>
              </w:rPr>
              <w:t>9</w:t>
            </w:r>
            <w:r w:rsidRPr="00E87A0D">
              <w:rPr>
                <w:rFonts w:ascii="Arial Narrow" w:hAnsi="Arial Narrow"/>
                <w:sz w:val="20"/>
                <w:szCs w:val="18"/>
              </w:rPr>
              <w:t>/L prior to thrombosis.  Alvarez-</w:t>
            </w:r>
            <w:proofErr w:type="spellStart"/>
            <w:r w:rsidRPr="00E87A0D">
              <w:rPr>
                <w:rFonts w:ascii="Arial Narrow" w:hAnsi="Arial Narrow"/>
                <w:sz w:val="20"/>
                <w:szCs w:val="18"/>
              </w:rPr>
              <w:t>Larren</w:t>
            </w:r>
            <w:proofErr w:type="spellEnd"/>
            <w:r w:rsidRPr="00E87A0D">
              <w:rPr>
                <w:rFonts w:ascii="Arial Narrow" w:hAnsi="Arial Narrow"/>
                <w:sz w:val="20"/>
                <w:szCs w:val="18"/>
              </w:rPr>
              <w:t xml:space="preserve"> et al (2012) found a lack of response in WBC to be a risk factor for survival in mono-variate analysis but lost significance when included with HC resistance in a multivariate model.</w:t>
            </w:r>
          </w:p>
        </w:tc>
        <w:tc>
          <w:tcPr>
            <w:tcW w:w="2813" w:type="dxa"/>
          </w:tcPr>
          <w:p w:rsidR="003C3D65" w:rsidRPr="00E87A0D" w:rsidRDefault="003C3D65" w:rsidP="00B03FB4">
            <w:pPr>
              <w:jc w:val="left"/>
              <w:rPr>
                <w:rFonts w:ascii="Arial Narrow" w:hAnsi="Arial Narrow"/>
                <w:sz w:val="20"/>
                <w:szCs w:val="18"/>
              </w:rPr>
            </w:pPr>
            <w:r w:rsidRPr="00E87A0D">
              <w:rPr>
                <w:rFonts w:ascii="Arial Narrow" w:hAnsi="Arial Narrow"/>
                <w:sz w:val="20"/>
                <w:szCs w:val="18"/>
              </w:rPr>
              <w:t xml:space="preserve">No evidence to support that improving WBC count as </w:t>
            </w:r>
            <w:r w:rsidR="00A14168" w:rsidRPr="00E87A0D">
              <w:rPr>
                <w:rFonts w:ascii="Arial Narrow" w:hAnsi="Arial Narrow"/>
                <w:sz w:val="20"/>
                <w:szCs w:val="18"/>
              </w:rPr>
              <w:t xml:space="preserve">part of response is associated </w:t>
            </w:r>
            <w:r w:rsidRPr="00E87A0D">
              <w:rPr>
                <w:rFonts w:ascii="Arial Narrow" w:hAnsi="Arial Narrow"/>
                <w:sz w:val="20"/>
                <w:szCs w:val="18"/>
              </w:rPr>
              <w:t xml:space="preserve">with thrombosis and OS.  </w:t>
            </w:r>
            <w:r w:rsidR="00E723DD" w:rsidRPr="00E87A0D">
              <w:rPr>
                <w:rFonts w:ascii="Arial Narrow" w:hAnsi="Arial Narrow"/>
                <w:sz w:val="20"/>
                <w:szCs w:val="18"/>
              </w:rPr>
              <w:t>Additionally, WBC was recommended to be excluded from definition of response by clinicians</w:t>
            </w:r>
            <w:r w:rsidR="00B03FB4">
              <w:rPr>
                <w:rFonts w:ascii="Arial Narrow" w:hAnsi="Arial Narrow"/>
                <w:sz w:val="20"/>
                <w:szCs w:val="18"/>
              </w:rPr>
              <w:t>.</w:t>
            </w:r>
            <w:r w:rsidR="00E723DD" w:rsidRPr="00E87A0D">
              <w:rPr>
                <w:rFonts w:ascii="Arial Narrow" w:hAnsi="Arial Narrow"/>
                <w:sz w:val="20"/>
                <w:szCs w:val="18"/>
              </w:rPr>
              <w:t xml:space="preserve"> </w:t>
            </w:r>
          </w:p>
        </w:tc>
      </w:tr>
      <w:tr w:rsidR="003C3D65" w:rsidRPr="000E0A21" w:rsidTr="00B15FAF">
        <w:trPr>
          <w:cantSplit/>
        </w:trPr>
        <w:tc>
          <w:tcPr>
            <w:tcW w:w="1560" w:type="dxa"/>
          </w:tcPr>
          <w:p w:rsidR="003C3D65" w:rsidRPr="000E0A21" w:rsidRDefault="00A14168" w:rsidP="000E0A21">
            <w:pPr>
              <w:jc w:val="left"/>
              <w:rPr>
                <w:rFonts w:ascii="Arial Narrow" w:hAnsi="Arial Narrow"/>
                <w:sz w:val="20"/>
                <w:szCs w:val="18"/>
              </w:rPr>
            </w:pPr>
            <w:r>
              <w:rPr>
                <w:rFonts w:ascii="Arial Narrow" w:hAnsi="Arial Narrow"/>
                <w:sz w:val="20"/>
                <w:szCs w:val="18"/>
              </w:rPr>
              <w:lastRenderedPageBreak/>
              <w:t>Platelet count &lt;</w:t>
            </w:r>
            <w:r w:rsidR="003C3D65" w:rsidRPr="000E0A21">
              <w:rPr>
                <w:rFonts w:ascii="Arial Narrow" w:hAnsi="Arial Narrow"/>
                <w:sz w:val="20"/>
                <w:szCs w:val="18"/>
              </w:rPr>
              <w:t>400 × 10</w:t>
            </w:r>
            <w:r w:rsidR="003C3D65" w:rsidRPr="000E0A21">
              <w:rPr>
                <w:rFonts w:ascii="Arial Narrow" w:hAnsi="Arial Narrow"/>
                <w:sz w:val="20"/>
                <w:szCs w:val="18"/>
                <w:vertAlign w:val="superscript"/>
              </w:rPr>
              <w:t>9</w:t>
            </w:r>
            <w:r w:rsidR="003C3D65" w:rsidRPr="000E0A21">
              <w:rPr>
                <w:rFonts w:ascii="Arial Narrow" w:hAnsi="Arial Narrow"/>
                <w:sz w:val="20"/>
                <w:szCs w:val="18"/>
              </w:rPr>
              <w:t xml:space="preserve"> </w:t>
            </w:r>
          </w:p>
        </w:tc>
        <w:tc>
          <w:tcPr>
            <w:tcW w:w="4649" w:type="dxa"/>
          </w:tcPr>
          <w:p w:rsidR="003C3D65" w:rsidRPr="00E87A0D" w:rsidRDefault="003C3D65" w:rsidP="00A14168">
            <w:pPr>
              <w:spacing w:after="40"/>
              <w:jc w:val="left"/>
              <w:rPr>
                <w:rFonts w:ascii="Arial Narrow" w:hAnsi="Arial Narrow"/>
                <w:sz w:val="20"/>
                <w:szCs w:val="18"/>
              </w:rPr>
            </w:pPr>
            <w:r w:rsidRPr="00E87A0D">
              <w:rPr>
                <w:rFonts w:ascii="Arial Narrow" w:hAnsi="Arial Narrow"/>
                <w:sz w:val="20"/>
                <w:szCs w:val="18"/>
              </w:rPr>
              <w:t>Alvarez-</w:t>
            </w:r>
            <w:proofErr w:type="spellStart"/>
            <w:r w:rsidRPr="00E87A0D">
              <w:rPr>
                <w:rFonts w:ascii="Arial Narrow" w:hAnsi="Arial Narrow"/>
                <w:sz w:val="20"/>
                <w:szCs w:val="18"/>
              </w:rPr>
              <w:t>Larran</w:t>
            </w:r>
            <w:proofErr w:type="spellEnd"/>
            <w:r w:rsidRPr="00E87A0D">
              <w:rPr>
                <w:rFonts w:ascii="Arial Narrow" w:hAnsi="Arial Narrow"/>
                <w:sz w:val="20"/>
                <w:szCs w:val="18"/>
              </w:rPr>
              <w:t xml:space="preserve"> et al (2012) reported that patients with platelet count &lt;400 × 10</w:t>
            </w:r>
            <w:r w:rsidRPr="00E87A0D">
              <w:rPr>
                <w:rFonts w:ascii="Arial Narrow" w:hAnsi="Arial Narrow"/>
                <w:sz w:val="20"/>
                <w:szCs w:val="18"/>
                <w:vertAlign w:val="superscript"/>
              </w:rPr>
              <w:t>9</w:t>
            </w:r>
            <w:r w:rsidRPr="00E87A0D">
              <w:rPr>
                <w:rFonts w:ascii="Arial Narrow" w:hAnsi="Arial Narrow"/>
                <w:sz w:val="20"/>
                <w:szCs w:val="18"/>
              </w:rPr>
              <w:t xml:space="preserve">/L were statistically significantly less likely to experience thrombosis and bleeds.  However the authors noted that the association between lack of response in platelet count and increased risk of thrombosis was unexpected and disagreed with previous studies, including Di </w:t>
            </w:r>
            <w:proofErr w:type="spellStart"/>
            <w:r w:rsidRPr="00E87A0D">
              <w:rPr>
                <w:rFonts w:ascii="Arial Narrow" w:hAnsi="Arial Narrow"/>
                <w:sz w:val="20"/>
                <w:szCs w:val="18"/>
              </w:rPr>
              <w:t>Nisio</w:t>
            </w:r>
            <w:proofErr w:type="spellEnd"/>
            <w:r w:rsidRPr="00E87A0D">
              <w:rPr>
                <w:rFonts w:ascii="Arial Narrow" w:hAnsi="Arial Narrow"/>
                <w:sz w:val="20"/>
                <w:szCs w:val="18"/>
              </w:rPr>
              <w:t xml:space="preserve"> 2007 which included data from 1638 patients for</w:t>
            </w:r>
            <w:r w:rsidR="00A14168" w:rsidRPr="00E87A0D">
              <w:rPr>
                <w:rFonts w:ascii="Arial Narrow" w:hAnsi="Arial Narrow"/>
                <w:sz w:val="20"/>
                <w:szCs w:val="18"/>
              </w:rPr>
              <w:t xml:space="preserve"> an average of 2.8 years follow-</w:t>
            </w:r>
            <w:r w:rsidRPr="00E87A0D">
              <w:rPr>
                <w:rFonts w:ascii="Arial Narrow" w:hAnsi="Arial Narrow"/>
                <w:sz w:val="20"/>
                <w:szCs w:val="18"/>
              </w:rPr>
              <w:t xml:space="preserve">up which found no association between thrombocytosis in PV and thrombotic complications.  </w:t>
            </w:r>
          </w:p>
          <w:p w:rsidR="003C3D65" w:rsidRPr="00E87A0D" w:rsidRDefault="003C3D65" w:rsidP="00A14168">
            <w:pPr>
              <w:jc w:val="left"/>
              <w:rPr>
                <w:rFonts w:ascii="Arial Narrow" w:hAnsi="Arial Narrow"/>
                <w:sz w:val="20"/>
                <w:szCs w:val="18"/>
              </w:rPr>
            </w:pPr>
            <w:r w:rsidRPr="00E87A0D">
              <w:rPr>
                <w:rFonts w:ascii="Arial Narrow" w:hAnsi="Arial Narrow"/>
                <w:sz w:val="20"/>
                <w:szCs w:val="18"/>
              </w:rPr>
              <w:t xml:space="preserve">In </w:t>
            </w:r>
            <w:proofErr w:type="spellStart"/>
            <w:r w:rsidRPr="00E87A0D">
              <w:rPr>
                <w:rFonts w:ascii="Arial Narrow" w:hAnsi="Arial Narrow"/>
                <w:sz w:val="20"/>
                <w:szCs w:val="18"/>
              </w:rPr>
              <w:t>Tefferi</w:t>
            </w:r>
            <w:proofErr w:type="spellEnd"/>
            <w:r w:rsidRPr="00E87A0D">
              <w:rPr>
                <w:rFonts w:ascii="Arial Narrow" w:hAnsi="Arial Narrow"/>
                <w:sz w:val="20"/>
                <w:szCs w:val="18"/>
              </w:rPr>
              <w:t xml:space="preserve"> et al (2013), a study in 1545 patient with PV, a multivariate prediction model for overall and leukaemia free survival was presented.  Platelet count ≥450 x 10</w:t>
            </w:r>
            <w:r w:rsidRPr="00E87A0D">
              <w:rPr>
                <w:rFonts w:ascii="Arial Narrow" w:hAnsi="Arial Narrow"/>
                <w:sz w:val="20"/>
                <w:szCs w:val="18"/>
                <w:vertAlign w:val="superscript"/>
              </w:rPr>
              <w:t>9</w:t>
            </w:r>
            <w:r w:rsidRPr="00E87A0D">
              <w:rPr>
                <w:rFonts w:ascii="Arial Narrow" w:hAnsi="Arial Narrow"/>
                <w:sz w:val="20"/>
                <w:szCs w:val="18"/>
              </w:rPr>
              <w:t xml:space="preserve">/L was not considered statistically significantly predictive (p value of 0.1 and 0.47 excluding and including abnormal karyotype as covariate, respectively) of overall survival in multivariate analysis when adjusted </w:t>
            </w:r>
            <w:r w:rsidR="00A14168" w:rsidRPr="00E87A0D">
              <w:rPr>
                <w:rFonts w:ascii="Arial Narrow" w:hAnsi="Arial Narrow"/>
                <w:sz w:val="20"/>
                <w:szCs w:val="18"/>
              </w:rPr>
              <w:t>for age categories (57-66 and ≥</w:t>
            </w:r>
            <w:r w:rsidRPr="00E87A0D">
              <w:rPr>
                <w:rFonts w:ascii="Arial Narrow" w:hAnsi="Arial Narrow"/>
                <w:sz w:val="20"/>
                <w:szCs w:val="18"/>
              </w:rPr>
              <w:t>67 years)</w:t>
            </w:r>
          </w:p>
        </w:tc>
        <w:tc>
          <w:tcPr>
            <w:tcW w:w="2813" w:type="dxa"/>
          </w:tcPr>
          <w:p w:rsidR="003C3D65" w:rsidRPr="00E87A0D" w:rsidRDefault="003C3D65" w:rsidP="000E0A21">
            <w:pPr>
              <w:jc w:val="left"/>
              <w:rPr>
                <w:rFonts w:ascii="Arial Narrow" w:hAnsi="Arial Narrow"/>
                <w:sz w:val="20"/>
                <w:szCs w:val="18"/>
              </w:rPr>
            </w:pPr>
            <w:r w:rsidRPr="00E87A0D">
              <w:rPr>
                <w:rFonts w:ascii="Arial Narrow" w:hAnsi="Arial Narrow"/>
                <w:sz w:val="20"/>
                <w:szCs w:val="18"/>
              </w:rPr>
              <w:t>There is some biological plausibility that extreme platelet counts may increase bleeds.  However there is conflicting evidence as to whether a platelet count of &lt;400 × 10</w:t>
            </w:r>
            <w:r w:rsidRPr="00E87A0D">
              <w:rPr>
                <w:rFonts w:ascii="Arial Narrow" w:hAnsi="Arial Narrow"/>
                <w:sz w:val="20"/>
                <w:szCs w:val="18"/>
                <w:vertAlign w:val="superscript"/>
              </w:rPr>
              <w:t>9</w:t>
            </w:r>
            <w:r w:rsidRPr="00E87A0D">
              <w:rPr>
                <w:rFonts w:ascii="Arial Narrow" w:hAnsi="Arial Narrow"/>
                <w:sz w:val="20"/>
                <w:szCs w:val="18"/>
              </w:rPr>
              <w:t xml:space="preserve">/L is correlated with any of the clinical outcomes.  </w:t>
            </w:r>
          </w:p>
        </w:tc>
      </w:tr>
      <w:tr w:rsidR="00E723DD" w:rsidRPr="000E0A21" w:rsidTr="00B15FAF">
        <w:trPr>
          <w:cantSplit/>
        </w:trPr>
        <w:tc>
          <w:tcPr>
            <w:tcW w:w="1560" w:type="dxa"/>
          </w:tcPr>
          <w:p w:rsidR="00E723DD" w:rsidRPr="000E0A21" w:rsidRDefault="00E723DD" w:rsidP="00E723DD">
            <w:pPr>
              <w:jc w:val="left"/>
              <w:rPr>
                <w:rFonts w:ascii="Arial Narrow" w:hAnsi="Arial Narrow"/>
                <w:sz w:val="20"/>
                <w:szCs w:val="18"/>
              </w:rPr>
            </w:pPr>
            <w:r w:rsidRPr="000E0A21">
              <w:rPr>
                <w:rFonts w:ascii="Arial Narrow" w:hAnsi="Arial Narrow"/>
                <w:sz w:val="20"/>
                <w:szCs w:val="18"/>
              </w:rPr>
              <w:t>Splenomegaly</w:t>
            </w:r>
          </w:p>
        </w:tc>
        <w:tc>
          <w:tcPr>
            <w:tcW w:w="4649" w:type="dxa"/>
          </w:tcPr>
          <w:p w:rsidR="00E723DD" w:rsidRPr="00E87A0D" w:rsidRDefault="00E723DD" w:rsidP="00DF6867">
            <w:pPr>
              <w:spacing w:after="40"/>
              <w:jc w:val="left"/>
              <w:rPr>
                <w:rFonts w:ascii="Arial Narrow" w:hAnsi="Arial Narrow"/>
                <w:sz w:val="20"/>
                <w:szCs w:val="18"/>
              </w:rPr>
            </w:pPr>
            <w:r w:rsidRPr="00E87A0D">
              <w:rPr>
                <w:rFonts w:ascii="Arial Narrow" w:hAnsi="Arial Narrow"/>
                <w:sz w:val="20"/>
                <w:szCs w:val="18"/>
              </w:rPr>
              <w:t xml:space="preserve">Bai et al (2015) (n=72, mean 6 year follow up), </w:t>
            </w:r>
            <w:proofErr w:type="spellStart"/>
            <w:r w:rsidRPr="00E87A0D">
              <w:rPr>
                <w:rFonts w:ascii="Arial Narrow" w:hAnsi="Arial Narrow"/>
                <w:sz w:val="20"/>
                <w:szCs w:val="18"/>
              </w:rPr>
              <w:t>Abdulkarim</w:t>
            </w:r>
            <w:proofErr w:type="spellEnd"/>
            <w:r w:rsidRPr="00E87A0D">
              <w:rPr>
                <w:rFonts w:ascii="Arial Narrow" w:hAnsi="Arial Narrow"/>
                <w:sz w:val="20"/>
                <w:szCs w:val="18"/>
              </w:rPr>
              <w:t xml:space="preserve"> et al (2011) (n= 150, no follow up described) reported that splenomegaly at diagnosis of PV was an independent risk factor for the development of MF.  Additionally, Alvarez-</w:t>
            </w:r>
            <w:proofErr w:type="spellStart"/>
            <w:r w:rsidRPr="00E87A0D">
              <w:rPr>
                <w:rFonts w:ascii="Arial Narrow" w:hAnsi="Arial Narrow"/>
                <w:sz w:val="20"/>
                <w:szCs w:val="18"/>
              </w:rPr>
              <w:t>Larran</w:t>
            </w:r>
            <w:proofErr w:type="spellEnd"/>
            <w:r w:rsidRPr="00E87A0D">
              <w:rPr>
                <w:rFonts w:ascii="Arial Narrow" w:hAnsi="Arial Narrow"/>
                <w:sz w:val="20"/>
                <w:szCs w:val="18"/>
              </w:rPr>
              <w:t xml:space="preserve"> et al (2016) found that in one of their multivariate analysis that failure to reduce massive splenomegaly was statistically significantly correlated with increased transformation to MF (14% at 5 years vs 1.6%, p = 0.03).  However it should be noted that only 7/890 patients met the criterion defined as failure to reduce splenomegaly by more than 50%, as measured by palpation after 3 months of at least 2 g/d of HC, meaning that there was only 1 case of transformation at 5 years (1/7 = 14%). </w:t>
            </w:r>
          </w:p>
          <w:p w:rsidR="00E723DD" w:rsidRPr="00E87A0D" w:rsidRDefault="00E723DD" w:rsidP="00E723DD">
            <w:pPr>
              <w:jc w:val="left"/>
              <w:rPr>
                <w:rFonts w:ascii="Arial Narrow" w:hAnsi="Arial Narrow"/>
                <w:sz w:val="20"/>
                <w:szCs w:val="18"/>
              </w:rPr>
            </w:pPr>
            <w:r w:rsidRPr="00E87A0D">
              <w:rPr>
                <w:rFonts w:ascii="Arial Narrow" w:hAnsi="Arial Narrow"/>
                <w:sz w:val="20"/>
                <w:szCs w:val="18"/>
              </w:rPr>
              <w:t xml:space="preserve">In </w:t>
            </w:r>
            <w:proofErr w:type="spellStart"/>
            <w:r w:rsidRPr="00E87A0D">
              <w:rPr>
                <w:rFonts w:ascii="Arial Narrow" w:hAnsi="Arial Narrow"/>
                <w:sz w:val="20"/>
                <w:szCs w:val="18"/>
              </w:rPr>
              <w:t>Passamonti</w:t>
            </w:r>
            <w:proofErr w:type="spellEnd"/>
            <w:r w:rsidRPr="00E87A0D">
              <w:rPr>
                <w:rFonts w:ascii="Arial Narrow" w:hAnsi="Arial Narrow"/>
                <w:sz w:val="20"/>
                <w:szCs w:val="18"/>
              </w:rPr>
              <w:t xml:space="preserve"> et al (2010) (n=338, mean 3.2 year follow up), spleen size was not statistically significantly correlated with transformation.</w:t>
            </w:r>
          </w:p>
        </w:tc>
        <w:tc>
          <w:tcPr>
            <w:tcW w:w="2813" w:type="dxa"/>
          </w:tcPr>
          <w:p w:rsidR="00E723DD" w:rsidRPr="00E87A0D" w:rsidRDefault="00E723DD" w:rsidP="00E723DD">
            <w:pPr>
              <w:jc w:val="left"/>
              <w:rPr>
                <w:rFonts w:ascii="Arial Narrow" w:hAnsi="Arial Narrow"/>
                <w:sz w:val="20"/>
                <w:szCs w:val="18"/>
              </w:rPr>
            </w:pPr>
            <w:r w:rsidRPr="00E87A0D">
              <w:rPr>
                <w:rFonts w:ascii="Arial Narrow" w:hAnsi="Arial Narrow"/>
                <w:sz w:val="20"/>
                <w:szCs w:val="18"/>
              </w:rPr>
              <w:t xml:space="preserve">There may be some correlation between splenomegaly at diagnosis and transformation, but it is unclear, however, if treatment to reduce or eliminate splenomegaly after diagnosis changes the risk of transformation.  However it is reasonable to assume that reduction in splenomegaly in patients where it is symptomatic will improve patient quality of life.  </w:t>
            </w:r>
          </w:p>
        </w:tc>
      </w:tr>
    </w:tbl>
    <w:p w:rsidR="003C3D65" w:rsidRPr="00DF6867" w:rsidRDefault="003C3D65" w:rsidP="004018FF">
      <w:pPr>
        <w:rPr>
          <w:rFonts w:ascii="Arial Narrow" w:hAnsi="Arial Narrow"/>
          <w:sz w:val="18"/>
          <w:szCs w:val="20"/>
        </w:rPr>
      </w:pPr>
      <w:r w:rsidRPr="00DF6867">
        <w:rPr>
          <w:rFonts w:ascii="Arial Narrow" w:hAnsi="Arial Narrow"/>
          <w:sz w:val="18"/>
          <w:szCs w:val="20"/>
        </w:rPr>
        <w:t>Source: Attachment 1 to the submission and p88-92 of the submission</w:t>
      </w:r>
    </w:p>
    <w:p w:rsidR="003C3D65" w:rsidRPr="002B3792" w:rsidRDefault="003C3D65" w:rsidP="003C3D65">
      <w:pPr>
        <w:ind w:firstLine="720"/>
        <w:rPr>
          <w:rFonts w:ascii="Arial Narrow" w:hAnsi="Arial Narrow"/>
          <w:sz w:val="20"/>
          <w:szCs w:val="20"/>
        </w:rPr>
      </w:pPr>
    </w:p>
    <w:p w:rsidR="003C3D65" w:rsidRPr="002B3792" w:rsidRDefault="005001B4" w:rsidP="00117F44">
      <w:pPr>
        <w:pStyle w:val="ListParagraph"/>
        <w:widowControl/>
        <w:numPr>
          <w:ilvl w:val="1"/>
          <w:numId w:val="2"/>
        </w:numPr>
        <w:spacing w:after="120"/>
      </w:pPr>
      <w:r w:rsidRPr="002B3792">
        <w:t>The ESC considered that, o</w:t>
      </w:r>
      <w:r w:rsidR="003526AA" w:rsidRPr="002B3792">
        <w:t>verall, t</w:t>
      </w:r>
      <w:r w:rsidR="003C3D65" w:rsidRPr="002B3792">
        <w:t xml:space="preserve">he available evidence does not appear to support an association between the proposed response </w:t>
      </w:r>
      <w:r w:rsidR="00A14168" w:rsidRPr="002B3792">
        <w:t xml:space="preserve">criteria </w:t>
      </w:r>
      <w:r w:rsidR="003C3D65" w:rsidRPr="002B3792">
        <w:t>and patient relevant outcomes:</w:t>
      </w:r>
    </w:p>
    <w:p w:rsidR="003C3D65" w:rsidRPr="002B3792" w:rsidRDefault="003C3D65" w:rsidP="00117F44">
      <w:pPr>
        <w:pStyle w:val="ListParagraph"/>
        <w:widowControl/>
        <w:numPr>
          <w:ilvl w:val="2"/>
          <w:numId w:val="13"/>
        </w:numPr>
        <w:spacing w:after="120"/>
        <w:ind w:left="1134" w:hanging="425"/>
      </w:pPr>
      <w:r w:rsidRPr="002B3792">
        <w:t xml:space="preserve">Epidemiological evidence from </w:t>
      </w:r>
      <w:proofErr w:type="spellStart"/>
      <w:r w:rsidRPr="002B3792">
        <w:t>Alverez-Larren</w:t>
      </w:r>
      <w:proofErr w:type="spellEnd"/>
      <w:r w:rsidRPr="002B3792">
        <w:t xml:space="preserve"> et al 2012 does not support </w:t>
      </w:r>
      <w:r w:rsidR="00D703BB" w:rsidRPr="002B3792">
        <w:t xml:space="preserve">an </w:t>
      </w:r>
      <w:r w:rsidRPr="002B3792">
        <w:t>association between ELN response and overall survival;</w:t>
      </w:r>
    </w:p>
    <w:p w:rsidR="003C3D65" w:rsidRPr="002B3792" w:rsidRDefault="003C3D65" w:rsidP="00117F44">
      <w:pPr>
        <w:pStyle w:val="ListParagraph"/>
        <w:widowControl/>
        <w:numPr>
          <w:ilvl w:val="2"/>
          <w:numId w:val="13"/>
        </w:numPr>
        <w:spacing w:after="120"/>
        <w:ind w:left="1134" w:hanging="425"/>
      </w:pPr>
      <w:r w:rsidRPr="002B3792">
        <w:t>There is conflicting evidence to suggest that the threshold of 45% HCT is correlated to clinically meaningful outcomes;</w:t>
      </w:r>
    </w:p>
    <w:p w:rsidR="003C3D65" w:rsidRPr="002B3792" w:rsidRDefault="003C3D65" w:rsidP="00117F44">
      <w:pPr>
        <w:pStyle w:val="ListParagraph"/>
        <w:widowControl/>
        <w:numPr>
          <w:ilvl w:val="2"/>
          <w:numId w:val="13"/>
        </w:numPr>
        <w:spacing w:after="120"/>
        <w:ind w:left="1134" w:hanging="425"/>
      </w:pPr>
      <w:r w:rsidRPr="002B3792">
        <w:t xml:space="preserve">No evidence </w:t>
      </w:r>
      <w:r w:rsidR="00337D18" w:rsidRPr="002B3792">
        <w:t xml:space="preserve">was provided to </w:t>
      </w:r>
      <w:r w:rsidRPr="002B3792">
        <w:t xml:space="preserve">support that </w:t>
      </w:r>
      <w:r w:rsidR="00337D18" w:rsidRPr="002B3792">
        <w:t xml:space="preserve">improved </w:t>
      </w:r>
      <w:r w:rsidRPr="002B3792">
        <w:t xml:space="preserve">WBC count as part of response is positively correlated with thrombosis and OS; </w:t>
      </w:r>
    </w:p>
    <w:p w:rsidR="003C3D65" w:rsidRPr="002B3792" w:rsidRDefault="003C3D65" w:rsidP="00117F44">
      <w:pPr>
        <w:pStyle w:val="ListParagraph"/>
        <w:widowControl/>
        <w:numPr>
          <w:ilvl w:val="2"/>
          <w:numId w:val="13"/>
        </w:numPr>
        <w:spacing w:after="120"/>
        <w:ind w:left="1134" w:hanging="425"/>
      </w:pPr>
      <w:r w:rsidRPr="002B3792">
        <w:t>There is conflicting evidence as to whether a platelet count of &lt;400 × 10</w:t>
      </w:r>
      <w:r w:rsidRPr="002B3792">
        <w:rPr>
          <w:vertAlign w:val="superscript"/>
        </w:rPr>
        <w:t>9</w:t>
      </w:r>
      <w:r w:rsidR="00A14168" w:rsidRPr="002B3792">
        <w:t xml:space="preserve">/L </w:t>
      </w:r>
      <w:r w:rsidRPr="002B3792">
        <w:t>is correlated with any of the clinical outcomes; and</w:t>
      </w:r>
    </w:p>
    <w:p w:rsidR="003C3D65" w:rsidRPr="002B3792" w:rsidRDefault="00E723DD" w:rsidP="00117F44">
      <w:pPr>
        <w:pStyle w:val="ListParagraph"/>
        <w:widowControl/>
        <w:numPr>
          <w:ilvl w:val="2"/>
          <w:numId w:val="13"/>
        </w:numPr>
        <w:spacing w:after="120"/>
        <w:ind w:left="1134" w:hanging="425"/>
      </w:pPr>
      <w:r w:rsidRPr="002B3792">
        <w:lastRenderedPageBreak/>
        <w:t>There is some correlation between splenomegaly at diagnosis and transformation but i</w:t>
      </w:r>
      <w:r w:rsidR="002E0F64" w:rsidRPr="002B3792">
        <w:t>t</w:t>
      </w:r>
      <w:r w:rsidR="003C3D65" w:rsidRPr="002B3792">
        <w:t xml:space="preserve"> is unclear if treatment to reduce or eliminate splenomegaly after diagnosis changes the risk of transformation, though it is likely to improve quality of life. </w:t>
      </w:r>
    </w:p>
    <w:p w:rsidR="003C3D65" w:rsidRPr="002B3792" w:rsidRDefault="003C3D65" w:rsidP="00117F44">
      <w:pPr>
        <w:pStyle w:val="ListParagraph"/>
        <w:widowControl/>
        <w:numPr>
          <w:ilvl w:val="1"/>
          <w:numId w:val="2"/>
        </w:numPr>
        <w:spacing w:after="120"/>
      </w:pPr>
      <w:r w:rsidRPr="002B3792">
        <w:t xml:space="preserve">Therefore, it is possible that achieving the proposed response may not lead to improvement in the relevant clinical outcomes in patients with PV.  </w:t>
      </w:r>
    </w:p>
    <w:p w:rsidR="00B03FB4" w:rsidRPr="002B3792" w:rsidRDefault="00B03FB4" w:rsidP="00117F44">
      <w:pPr>
        <w:pStyle w:val="ListParagraph"/>
        <w:widowControl/>
        <w:numPr>
          <w:ilvl w:val="1"/>
          <w:numId w:val="2"/>
        </w:numPr>
        <w:spacing w:after="120"/>
      </w:pPr>
      <w:r w:rsidRPr="002B3792">
        <w:t xml:space="preserve">The ESC considered that quality of life for PV patients was unlikely to be impacted by partial and complete response criteria as defined above, but was affected by spleen enlargement, thrombosis, and in rare cases </w:t>
      </w:r>
      <w:proofErr w:type="spellStart"/>
      <w:r w:rsidRPr="002B3792">
        <w:t>erythromelalgia</w:t>
      </w:r>
      <w:proofErr w:type="spellEnd"/>
      <w:r w:rsidRPr="002B3792">
        <w:t>. Reductions in phlebotomies are also likely to be impactful for patients.</w:t>
      </w:r>
    </w:p>
    <w:p w:rsidR="00D65B1C" w:rsidRPr="00C9624D" w:rsidRDefault="00D65B1C" w:rsidP="00117F44">
      <w:pPr>
        <w:pStyle w:val="Heading2"/>
        <w:spacing w:after="120"/>
      </w:pPr>
      <w:bookmarkStart w:id="12" w:name="_Toc19700359"/>
      <w:r w:rsidRPr="00C9624D">
        <w:t>Comparative effectiveness</w:t>
      </w:r>
      <w:bookmarkEnd w:id="12"/>
    </w:p>
    <w:p w:rsidR="007E5FCB" w:rsidRDefault="00C46736" w:rsidP="00117F44">
      <w:pPr>
        <w:pStyle w:val="ListParagraph"/>
        <w:widowControl/>
        <w:numPr>
          <w:ilvl w:val="1"/>
          <w:numId w:val="2"/>
        </w:numPr>
        <w:spacing w:after="120"/>
      </w:pPr>
      <w:r w:rsidRPr="00C46736">
        <w:t xml:space="preserve">The proportion of patients achieving complete (CR) or partial (PR) response </w:t>
      </w:r>
      <w:r>
        <w:t xml:space="preserve">by 12 months in MAJIC </w:t>
      </w:r>
      <w:r w:rsidRPr="00C46736">
        <w:t xml:space="preserve">is presented </w:t>
      </w:r>
      <w:r w:rsidR="00A14168">
        <w:t xml:space="preserve">in Table </w:t>
      </w:r>
      <w:r w:rsidR="00A14168">
        <w:rPr>
          <w:noProof/>
        </w:rPr>
        <w:t>5</w:t>
      </w:r>
      <w:r w:rsidRPr="00C46736">
        <w:t xml:space="preserve">.  </w:t>
      </w:r>
    </w:p>
    <w:p w:rsidR="00C46736" w:rsidRPr="00C46736" w:rsidRDefault="00A14168" w:rsidP="00B25E6A">
      <w:pPr>
        <w:pStyle w:val="Caption"/>
        <w:keepNext/>
        <w:keepLines/>
        <w:widowControl/>
        <w:rPr>
          <w:rStyle w:val="CommentReference"/>
        </w:rPr>
      </w:pPr>
      <w:bookmarkStart w:id="13" w:name="_Ref17146643"/>
      <w:r>
        <w:t xml:space="preserve">Table </w:t>
      </w:r>
      <w:r w:rsidR="00CF6741">
        <w:rPr>
          <w:noProof/>
        </w:rPr>
        <w:t>5</w:t>
      </w:r>
      <w:bookmarkEnd w:id="13"/>
      <w:r>
        <w:t>:</w:t>
      </w:r>
      <w:r w:rsidR="00C46736" w:rsidRPr="00A14168">
        <w:rPr>
          <w:rStyle w:val="CommentReference"/>
          <w:b/>
        </w:rPr>
        <w:t xml:space="preserve"> Proportion of complete and partial responders</w:t>
      </w:r>
      <w:r w:rsidR="00C46736" w:rsidRPr="00C46736">
        <w:rPr>
          <w:rStyle w:val="CommentReference"/>
        </w:rPr>
        <w:t xml:space="preserve"> </w:t>
      </w:r>
    </w:p>
    <w:tbl>
      <w:tblPr>
        <w:tblStyle w:val="Summarybox4"/>
        <w:tblW w:w="9015" w:type="dxa"/>
        <w:tblCellMar>
          <w:left w:w="28" w:type="dxa"/>
          <w:right w:w="28" w:type="dxa"/>
        </w:tblCellMar>
        <w:tblLook w:val="04A0" w:firstRow="1" w:lastRow="0" w:firstColumn="1" w:lastColumn="0" w:noHBand="0" w:noVBand="1"/>
        <w:tblCaption w:val="Table 5: Proportion of complete and partial responders "/>
      </w:tblPr>
      <w:tblGrid>
        <w:gridCol w:w="2122"/>
        <w:gridCol w:w="1701"/>
        <w:gridCol w:w="1093"/>
        <w:gridCol w:w="1366"/>
        <w:gridCol w:w="1366"/>
        <w:gridCol w:w="1367"/>
      </w:tblGrid>
      <w:tr w:rsidR="00C46736" w:rsidRPr="000D5DA8" w:rsidTr="00C46736">
        <w:trPr>
          <w:trHeight w:val="20"/>
          <w:tblHead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36" w:rsidRPr="000D5DA8" w:rsidRDefault="00C46736" w:rsidP="00B25E6A">
            <w:pPr>
              <w:keepNext/>
              <w:keepLines/>
              <w:widowControl/>
              <w:rPr>
                <w:rFonts w:ascii="Arial Narrow" w:hAnsi="Arial Narrow"/>
                <w:b/>
                <w:sz w:val="20"/>
                <w:szCs w:val="20"/>
              </w:rPr>
            </w:pPr>
            <w:r w:rsidRPr="000D5DA8">
              <w:rPr>
                <w:rFonts w:ascii="Arial Narrow" w:hAnsi="Arial Narrow"/>
                <w:b/>
                <w:sz w:val="20"/>
                <w:szCs w:val="20"/>
              </w:rPr>
              <w:t>MAJIC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36" w:rsidRPr="000D5DA8" w:rsidRDefault="00C46736" w:rsidP="00B25E6A">
            <w:pPr>
              <w:keepNext/>
              <w:keepLines/>
              <w:widowControl/>
              <w:rPr>
                <w:rFonts w:ascii="Arial Narrow" w:hAnsi="Arial Narrow"/>
                <w:b/>
                <w:sz w:val="20"/>
                <w:szCs w:val="20"/>
              </w:rPr>
            </w:pPr>
            <w:r w:rsidRPr="000D5DA8">
              <w:rPr>
                <w:rFonts w:ascii="Arial Narrow" w:hAnsi="Arial Narrow"/>
                <w:b/>
                <w:sz w:val="20"/>
                <w:szCs w:val="20"/>
              </w:rPr>
              <w:t>Ruxolitinib (N = 93)</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36" w:rsidRPr="000D5DA8" w:rsidRDefault="00C46736" w:rsidP="00B25E6A">
            <w:pPr>
              <w:keepNext/>
              <w:keepLines/>
              <w:widowControl/>
              <w:rPr>
                <w:rFonts w:ascii="Arial Narrow" w:hAnsi="Arial Narrow"/>
                <w:b/>
                <w:sz w:val="20"/>
                <w:szCs w:val="20"/>
              </w:rPr>
            </w:pPr>
            <w:r w:rsidRPr="000D5DA8">
              <w:rPr>
                <w:rFonts w:ascii="Arial Narrow" w:hAnsi="Arial Narrow"/>
                <w:b/>
                <w:sz w:val="20"/>
                <w:szCs w:val="20"/>
              </w:rPr>
              <w:t>BAT (N = 89)</w:t>
            </w:r>
          </w:p>
        </w:tc>
        <w:tc>
          <w:tcPr>
            <w:tcW w:w="1366" w:type="dxa"/>
            <w:tcBorders>
              <w:top w:val="single" w:sz="4" w:space="0" w:color="auto"/>
              <w:left w:val="single" w:sz="4" w:space="0" w:color="auto"/>
              <w:bottom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b/>
                <w:sz w:val="20"/>
                <w:szCs w:val="20"/>
              </w:rPr>
            </w:pPr>
            <w:r w:rsidRPr="000D5DA8">
              <w:rPr>
                <w:rFonts w:ascii="Arial Narrow" w:hAnsi="Arial Narrow"/>
                <w:b/>
                <w:sz w:val="20"/>
                <w:szCs w:val="20"/>
              </w:rPr>
              <w:t>OR^ (95% CI)</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36" w:rsidRPr="000D5DA8" w:rsidRDefault="00C46736" w:rsidP="00B25E6A">
            <w:pPr>
              <w:keepNext/>
              <w:keepLines/>
              <w:widowControl/>
              <w:jc w:val="center"/>
              <w:rPr>
                <w:rFonts w:ascii="Arial Narrow" w:hAnsi="Arial Narrow"/>
                <w:b/>
                <w:sz w:val="20"/>
                <w:szCs w:val="20"/>
              </w:rPr>
            </w:pPr>
            <w:r w:rsidRPr="000D5DA8">
              <w:rPr>
                <w:rFonts w:ascii="Arial Narrow" w:hAnsi="Arial Narrow"/>
                <w:b/>
                <w:sz w:val="20"/>
                <w:szCs w:val="20"/>
              </w:rPr>
              <w:t>RR^ (95% CI)</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36" w:rsidRPr="000D5DA8" w:rsidRDefault="00C46736" w:rsidP="00B25E6A">
            <w:pPr>
              <w:keepNext/>
              <w:keepLines/>
              <w:widowControl/>
              <w:jc w:val="center"/>
              <w:rPr>
                <w:rFonts w:ascii="Arial Narrow" w:hAnsi="Arial Narrow"/>
                <w:b/>
                <w:sz w:val="20"/>
                <w:szCs w:val="20"/>
              </w:rPr>
            </w:pPr>
            <w:r w:rsidRPr="000D5DA8">
              <w:rPr>
                <w:rFonts w:ascii="Arial Narrow" w:hAnsi="Arial Narrow"/>
                <w:b/>
                <w:sz w:val="20"/>
                <w:szCs w:val="20"/>
              </w:rPr>
              <w:t>RD^ (95% CI)</w:t>
            </w:r>
          </w:p>
        </w:tc>
      </w:tr>
      <w:tr w:rsidR="00C46736" w:rsidRPr="000D5DA8" w:rsidTr="00C46736">
        <w:trPr>
          <w:trHeight w:val="20"/>
        </w:trPr>
        <w:tc>
          <w:tcPr>
            <w:tcW w:w="2122" w:type="dxa"/>
            <w:tcBorders>
              <w:top w:val="single" w:sz="4" w:space="0" w:color="auto"/>
              <w:left w:val="single" w:sz="4" w:space="0" w:color="auto"/>
              <w:right w:val="single" w:sz="4" w:space="0" w:color="auto"/>
            </w:tcBorders>
            <w:vAlign w:val="center"/>
            <w:hideMark/>
          </w:tcPr>
          <w:p w:rsidR="00C46736" w:rsidRPr="000D5DA8" w:rsidRDefault="00C46736" w:rsidP="00B25E6A">
            <w:pPr>
              <w:keepNext/>
              <w:keepLines/>
              <w:widowControl/>
              <w:rPr>
                <w:rFonts w:ascii="Arial Narrow" w:hAnsi="Arial Narrow"/>
                <w:sz w:val="20"/>
                <w:szCs w:val="20"/>
              </w:rPr>
            </w:pPr>
            <w:r w:rsidRPr="000D5DA8">
              <w:rPr>
                <w:rFonts w:ascii="Arial Narrow" w:hAnsi="Arial Narrow"/>
                <w:sz w:val="20"/>
                <w:szCs w:val="20"/>
              </w:rPr>
              <w:t>Complete responders, n (%)</w:t>
            </w:r>
          </w:p>
        </w:tc>
        <w:tc>
          <w:tcPr>
            <w:tcW w:w="1701" w:type="dxa"/>
            <w:tcBorders>
              <w:top w:val="single" w:sz="4" w:space="0" w:color="auto"/>
              <w:left w:val="single" w:sz="4" w:space="0" w:color="auto"/>
              <w:right w:val="single" w:sz="4" w:space="0" w:color="auto"/>
            </w:tcBorders>
            <w:vAlign w:val="center"/>
            <w:hideMark/>
          </w:tcPr>
          <w:p w:rsidR="00C46736" w:rsidRPr="000D5DA8" w:rsidRDefault="00C46736" w:rsidP="00B25E6A">
            <w:pPr>
              <w:keepNext/>
              <w:keepLines/>
              <w:widowControl/>
              <w:jc w:val="center"/>
              <w:rPr>
                <w:rFonts w:ascii="Arial Narrow" w:hAnsi="Arial Narrow"/>
                <w:sz w:val="20"/>
                <w:szCs w:val="20"/>
              </w:rPr>
            </w:pPr>
            <w:r w:rsidRPr="000D5DA8">
              <w:rPr>
                <w:rFonts w:ascii="Arial Narrow" w:hAnsi="Arial Narrow"/>
                <w:sz w:val="20"/>
                <w:szCs w:val="20"/>
              </w:rPr>
              <w:t>46 (49.5)*</w:t>
            </w:r>
          </w:p>
        </w:tc>
        <w:tc>
          <w:tcPr>
            <w:tcW w:w="1093" w:type="dxa"/>
            <w:tcBorders>
              <w:top w:val="single" w:sz="4" w:space="0" w:color="auto"/>
              <w:left w:val="single" w:sz="4" w:space="0" w:color="auto"/>
              <w:right w:val="single" w:sz="4" w:space="0" w:color="auto"/>
            </w:tcBorders>
            <w:vAlign w:val="center"/>
            <w:hideMark/>
          </w:tcPr>
          <w:p w:rsidR="00C46736" w:rsidRPr="000D5DA8" w:rsidRDefault="00C46736" w:rsidP="00B25E6A">
            <w:pPr>
              <w:keepNext/>
              <w:keepLines/>
              <w:widowControl/>
              <w:jc w:val="center"/>
              <w:rPr>
                <w:rFonts w:ascii="Arial Narrow" w:hAnsi="Arial Narrow"/>
                <w:sz w:val="20"/>
                <w:szCs w:val="20"/>
              </w:rPr>
            </w:pPr>
            <w:r w:rsidRPr="000D5DA8">
              <w:rPr>
                <w:rFonts w:ascii="Arial Narrow" w:hAnsi="Arial Narrow"/>
                <w:sz w:val="20"/>
                <w:szCs w:val="20"/>
              </w:rPr>
              <w:t>24 (27.0)</w:t>
            </w:r>
          </w:p>
        </w:tc>
        <w:tc>
          <w:tcPr>
            <w:tcW w:w="1366" w:type="dxa"/>
            <w:tcBorders>
              <w:top w:val="single" w:sz="4" w:space="0" w:color="auto"/>
              <w:left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b/>
                <w:sz w:val="20"/>
                <w:szCs w:val="20"/>
              </w:rPr>
            </w:pPr>
            <w:r w:rsidRPr="000D5DA8">
              <w:rPr>
                <w:rFonts w:ascii="Arial Narrow" w:hAnsi="Arial Narrow"/>
                <w:b/>
                <w:sz w:val="20"/>
                <w:szCs w:val="20"/>
              </w:rPr>
              <w:t>2.65 (1.43, 4.93)</w:t>
            </w:r>
          </w:p>
        </w:tc>
        <w:tc>
          <w:tcPr>
            <w:tcW w:w="1366" w:type="dxa"/>
            <w:tcBorders>
              <w:top w:val="single" w:sz="4" w:space="0" w:color="auto"/>
              <w:left w:val="single" w:sz="4" w:space="0" w:color="auto"/>
              <w:bottom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b/>
                <w:sz w:val="20"/>
                <w:szCs w:val="20"/>
              </w:rPr>
            </w:pPr>
            <w:r w:rsidRPr="000D5DA8">
              <w:rPr>
                <w:rFonts w:ascii="Arial Narrow" w:hAnsi="Arial Narrow"/>
                <w:b/>
                <w:sz w:val="20"/>
                <w:szCs w:val="20"/>
              </w:rPr>
              <w:t>1.83 (1.43, 4.93)</w:t>
            </w:r>
          </w:p>
        </w:tc>
        <w:tc>
          <w:tcPr>
            <w:tcW w:w="1367" w:type="dxa"/>
            <w:tcBorders>
              <w:top w:val="single" w:sz="4" w:space="0" w:color="auto"/>
              <w:left w:val="single" w:sz="4" w:space="0" w:color="auto"/>
              <w:bottom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b/>
                <w:sz w:val="20"/>
                <w:szCs w:val="20"/>
              </w:rPr>
            </w:pPr>
            <w:r w:rsidRPr="000D5DA8">
              <w:rPr>
                <w:rFonts w:ascii="Arial Narrow" w:hAnsi="Arial Narrow"/>
                <w:b/>
                <w:sz w:val="20"/>
                <w:szCs w:val="20"/>
              </w:rPr>
              <w:t>0.22 (0.09, 0.36)</w:t>
            </w:r>
          </w:p>
        </w:tc>
      </w:tr>
      <w:tr w:rsidR="00C46736" w:rsidRPr="000D5DA8" w:rsidTr="00C46736">
        <w:trPr>
          <w:trHeight w:val="20"/>
        </w:trPr>
        <w:tc>
          <w:tcPr>
            <w:tcW w:w="2122" w:type="dxa"/>
            <w:tcBorders>
              <w:top w:val="single" w:sz="4" w:space="0" w:color="auto"/>
              <w:left w:val="single" w:sz="4" w:space="0" w:color="auto"/>
              <w:bottom w:val="single" w:sz="4" w:space="0" w:color="auto"/>
              <w:right w:val="single" w:sz="4" w:space="0" w:color="auto"/>
            </w:tcBorders>
            <w:vAlign w:val="center"/>
          </w:tcPr>
          <w:p w:rsidR="00C46736" w:rsidRPr="000D5DA8" w:rsidRDefault="00C46736" w:rsidP="00B25E6A">
            <w:pPr>
              <w:keepNext/>
              <w:keepLines/>
              <w:widowControl/>
              <w:rPr>
                <w:rFonts w:ascii="Arial Narrow" w:hAnsi="Arial Narrow"/>
                <w:sz w:val="20"/>
                <w:szCs w:val="20"/>
              </w:rPr>
            </w:pPr>
            <w:r w:rsidRPr="000D5DA8">
              <w:rPr>
                <w:rFonts w:ascii="Arial Narrow" w:hAnsi="Arial Narrow"/>
                <w:sz w:val="20"/>
                <w:szCs w:val="20"/>
              </w:rPr>
              <w:t>Partial responders, n (%)</w:t>
            </w:r>
          </w:p>
        </w:tc>
        <w:tc>
          <w:tcPr>
            <w:tcW w:w="1701" w:type="dxa"/>
            <w:tcBorders>
              <w:top w:val="single" w:sz="4" w:space="0" w:color="auto"/>
              <w:left w:val="single" w:sz="4" w:space="0" w:color="auto"/>
              <w:bottom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sz w:val="20"/>
                <w:szCs w:val="20"/>
              </w:rPr>
            </w:pPr>
            <w:r w:rsidRPr="000D5DA8">
              <w:rPr>
                <w:rFonts w:ascii="Arial Narrow" w:hAnsi="Arial Narrow"/>
                <w:sz w:val="20"/>
                <w:szCs w:val="20"/>
              </w:rPr>
              <w:t>44 (47.3)</w:t>
            </w:r>
          </w:p>
        </w:tc>
        <w:tc>
          <w:tcPr>
            <w:tcW w:w="1093" w:type="dxa"/>
            <w:tcBorders>
              <w:top w:val="single" w:sz="4" w:space="0" w:color="auto"/>
              <w:left w:val="single" w:sz="4" w:space="0" w:color="auto"/>
              <w:bottom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sz w:val="20"/>
                <w:szCs w:val="20"/>
              </w:rPr>
            </w:pPr>
            <w:r w:rsidRPr="000D5DA8">
              <w:rPr>
                <w:rFonts w:ascii="Arial Narrow" w:hAnsi="Arial Narrow"/>
                <w:sz w:val="20"/>
                <w:szCs w:val="20"/>
              </w:rPr>
              <w:t>59 (66.3)</w:t>
            </w:r>
          </w:p>
        </w:tc>
        <w:tc>
          <w:tcPr>
            <w:tcW w:w="1366" w:type="dxa"/>
            <w:tcBorders>
              <w:top w:val="single" w:sz="4" w:space="0" w:color="auto"/>
              <w:left w:val="single" w:sz="4" w:space="0" w:color="auto"/>
              <w:bottom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b/>
                <w:sz w:val="20"/>
                <w:szCs w:val="20"/>
              </w:rPr>
            </w:pPr>
            <w:r w:rsidRPr="000D5DA8">
              <w:rPr>
                <w:rFonts w:ascii="Arial Narrow" w:hAnsi="Arial Narrow"/>
                <w:b/>
                <w:sz w:val="20"/>
                <w:szCs w:val="20"/>
              </w:rPr>
              <w:t>0.46 (0.25, 0.83)</w:t>
            </w:r>
          </w:p>
        </w:tc>
        <w:tc>
          <w:tcPr>
            <w:tcW w:w="1366" w:type="dxa"/>
            <w:tcBorders>
              <w:top w:val="single" w:sz="4" w:space="0" w:color="auto"/>
              <w:left w:val="single" w:sz="4" w:space="0" w:color="auto"/>
              <w:bottom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b/>
                <w:sz w:val="20"/>
                <w:szCs w:val="20"/>
              </w:rPr>
            </w:pPr>
            <w:r w:rsidRPr="000D5DA8">
              <w:rPr>
                <w:rFonts w:ascii="Arial Narrow" w:hAnsi="Arial Narrow"/>
                <w:b/>
                <w:sz w:val="20"/>
                <w:szCs w:val="20"/>
              </w:rPr>
              <w:t>0.71 (0.55, 0.93)</w:t>
            </w:r>
          </w:p>
        </w:tc>
        <w:tc>
          <w:tcPr>
            <w:tcW w:w="1367" w:type="dxa"/>
            <w:tcBorders>
              <w:top w:val="single" w:sz="4" w:space="0" w:color="auto"/>
              <w:left w:val="single" w:sz="4" w:space="0" w:color="auto"/>
              <w:bottom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b/>
                <w:sz w:val="20"/>
                <w:szCs w:val="20"/>
              </w:rPr>
            </w:pPr>
            <w:r w:rsidRPr="000D5DA8">
              <w:rPr>
                <w:rFonts w:ascii="Arial Narrow" w:hAnsi="Arial Narrow"/>
                <w:b/>
                <w:sz w:val="20"/>
                <w:szCs w:val="20"/>
              </w:rPr>
              <w:t>-0.19(-0.33,-0.05)</w:t>
            </w:r>
          </w:p>
        </w:tc>
      </w:tr>
      <w:tr w:rsidR="00C46736" w:rsidRPr="000D5DA8" w:rsidTr="00C46736">
        <w:trPr>
          <w:trHeight w:val="20"/>
        </w:trPr>
        <w:tc>
          <w:tcPr>
            <w:tcW w:w="2122" w:type="dxa"/>
            <w:tcBorders>
              <w:top w:val="single" w:sz="4" w:space="0" w:color="auto"/>
              <w:left w:val="single" w:sz="4" w:space="0" w:color="auto"/>
              <w:bottom w:val="single" w:sz="4" w:space="0" w:color="auto"/>
              <w:right w:val="single" w:sz="4" w:space="0" w:color="auto"/>
            </w:tcBorders>
            <w:vAlign w:val="center"/>
          </w:tcPr>
          <w:p w:rsidR="00C46736" w:rsidRPr="000D5DA8" w:rsidRDefault="00C46736" w:rsidP="00B25E6A">
            <w:pPr>
              <w:keepNext/>
              <w:keepLines/>
              <w:widowControl/>
              <w:rPr>
                <w:rFonts w:ascii="Arial Narrow" w:hAnsi="Arial Narrow"/>
                <w:sz w:val="20"/>
                <w:szCs w:val="20"/>
              </w:rPr>
            </w:pPr>
            <w:r w:rsidRPr="000D5DA8">
              <w:rPr>
                <w:rFonts w:ascii="Arial Narrow" w:hAnsi="Arial Narrow"/>
                <w:sz w:val="20"/>
                <w:szCs w:val="20"/>
              </w:rPr>
              <w:t>Responders~, n (%)</w:t>
            </w:r>
          </w:p>
        </w:tc>
        <w:tc>
          <w:tcPr>
            <w:tcW w:w="1701" w:type="dxa"/>
            <w:tcBorders>
              <w:top w:val="single" w:sz="4" w:space="0" w:color="auto"/>
              <w:left w:val="single" w:sz="4" w:space="0" w:color="auto"/>
              <w:bottom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sz w:val="20"/>
                <w:szCs w:val="20"/>
              </w:rPr>
            </w:pPr>
            <w:r w:rsidRPr="000D5DA8">
              <w:rPr>
                <w:rFonts w:ascii="Arial Narrow" w:hAnsi="Arial Narrow"/>
                <w:sz w:val="20"/>
                <w:szCs w:val="20"/>
              </w:rPr>
              <w:t>90 (96.8)</w:t>
            </w:r>
          </w:p>
        </w:tc>
        <w:tc>
          <w:tcPr>
            <w:tcW w:w="1093" w:type="dxa"/>
            <w:tcBorders>
              <w:top w:val="single" w:sz="4" w:space="0" w:color="auto"/>
              <w:left w:val="single" w:sz="4" w:space="0" w:color="auto"/>
              <w:bottom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sz w:val="20"/>
                <w:szCs w:val="20"/>
              </w:rPr>
            </w:pPr>
            <w:r w:rsidRPr="000D5DA8">
              <w:rPr>
                <w:rFonts w:ascii="Arial Narrow" w:hAnsi="Arial Narrow"/>
                <w:sz w:val="20"/>
                <w:szCs w:val="20"/>
              </w:rPr>
              <w:t>83 (93.3)</w:t>
            </w:r>
          </w:p>
        </w:tc>
        <w:tc>
          <w:tcPr>
            <w:tcW w:w="1366" w:type="dxa"/>
            <w:tcBorders>
              <w:top w:val="single" w:sz="4" w:space="0" w:color="auto"/>
              <w:left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sz w:val="20"/>
                <w:szCs w:val="20"/>
              </w:rPr>
            </w:pPr>
            <w:r w:rsidRPr="000D5DA8">
              <w:rPr>
                <w:rFonts w:ascii="Arial Narrow" w:hAnsi="Arial Narrow"/>
                <w:sz w:val="20"/>
                <w:szCs w:val="20"/>
              </w:rPr>
              <w:t>2.17 (0.53, 8.95)</w:t>
            </w:r>
          </w:p>
        </w:tc>
        <w:tc>
          <w:tcPr>
            <w:tcW w:w="1366" w:type="dxa"/>
            <w:tcBorders>
              <w:top w:val="single" w:sz="4" w:space="0" w:color="auto"/>
              <w:left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sz w:val="20"/>
                <w:szCs w:val="20"/>
              </w:rPr>
            </w:pPr>
            <w:r w:rsidRPr="000D5DA8">
              <w:rPr>
                <w:rFonts w:ascii="Arial Narrow" w:hAnsi="Arial Narrow"/>
                <w:sz w:val="20"/>
                <w:szCs w:val="20"/>
              </w:rPr>
              <w:t>1.04 (0.97, 1.11)</w:t>
            </w:r>
          </w:p>
        </w:tc>
        <w:tc>
          <w:tcPr>
            <w:tcW w:w="1367" w:type="dxa"/>
            <w:tcBorders>
              <w:top w:val="single" w:sz="4" w:space="0" w:color="auto"/>
              <w:left w:val="single" w:sz="4" w:space="0" w:color="auto"/>
              <w:right w:val="single" w:sz="4" w:space="0" w:color="auto"/>
            </w:tcBorders>
            <w:vAlign w:val="center"/>
          </w:tcPr>
          <w:p w:rsidR="00C46736" w:rsidRPr="000D5DA8" w:rsidRDefault="00C46736" w:rsidP="00B25E6A">
            <w:pPr>
              <w:keepNext/>
              <w:keepLines/>
              <w:widowControl/>
              <w:jc w:val="center"/>
              <w:rPr>
                <w:rFonts w:ascii="Arial Narrow" w:hAnsi="Arial Narrow"/>
                <w:sz w:val="20"/>
                <w:szCs w:val="20"/>
              </w:rPr>
            </w:pPr>
            <w:r w:rsidRPr="000D5DA8">
              <w:rPr>
                <w:rFonts w:ascii="Arial Narrow" w:hAnsi="Arial Narrow"/>
                <w:sz w:val="20"/>
                <w:szCs w:val="20"/>
              </w:rPr>
              <w:t>0.04 (-0.03, 0.10)</w:t>
            </w:r>
          </w:p>
        </w:tc>
      </w:tr>
    </w:tbl>
    <w:p w:rsidR="00C46736" w:rsidRPr="002F1203" w:rsidRDefault="00C46736" w:rsidP="00B25E6A">
      <w:pPr>
        <w:keepNext/>
        <w:keepLines/>
        <w:widowControl/>
        <w:rPr>
          <w:rFonts w:ascii="Arial Narrow" w:hAnsi="Arial Narrow"/>
          <w:sz w:val="18"/>
          <w:szCs w:val="18"/>
        </w:rPr>
      </w:pPr>
      <w:r w:rsidRPr="002F1203">
        <w:rPr>
          <w:rFonts w:ascii="Arial Narrow" w:hAnsi="Arial Narrow"/>
          <w:sz w:val="18"/>
          <w:szCs w:val="18"/>
        </w:rPr>
        <w:t>Abbreviations: BAT = best available therapy; CI = confidence interval; RR = risk ratio; RD = risk difference</w:t>
      </w:r>
    </w:p>
    <w:p w:rsidR="00C46736" w:rsidRPr="002F1203" w:rsidRDefault="00C46736" w:rsidP="00B25E6A">
      <w:pPr>
        <w:keepNext/>
        <w:keepLines/>
        <w:widowControl/>
        <w:tabs>
          <w:tab w:val="left" w:pos="284"/>
        </w:tabs>
        <w:rPr>
          <w:rFonts w:ascii="Arial Narrow" w:hAnsi="Arial Narrow"/>
          <w:sz w:val="18"/>
          <w:szCs w:val="18"/>
        </w:rPr>
      </w:pPr>
      <w:r w:rsidRPr="002F1203">
        <w:rPr>
          <w:rFonts w:ascii="Arial Narrow" w:hAnsi="Arial Narrow"/>
          <w:sz w:val="18"/>
          <w:szCs w:val="18"/>
        </w:rPr>
        <w:t>*</w:t>
      </w:r>
      <w:r>
        <w:rPr>
          <w:rFonts w:ascii="Arial Narrow" w:hAnsi="Arial Narrow"/>
          <w:sz w:val="18"/>
          <w:szCs w:val="18"/>
        </w:rPr>
        <w:tab/>
      </w:r>
      <w:proofErr w:type="gramStart"/>
      <w:r w:rsidRPr="002F1203">
        <w:rPr>
          <w:rFonts w:ascii="Arial Narrow" w:hAnsi="Arial Narrow"/>
          <w:sz w:val="18"/>
          <w:szCs w:val="18"/>
        </w:rPr>
        <w:t>between-treatment</w:t>
      </w:r>
      <w:proofErr w:type="gramEnd"/>
      <w:r w:rsidRPr="002F1203">
        <w:rPr>
          <w:rFonts w:ascii="Arial Narrow" w:hAnsi="Arial Narrow"/>
          <w:sz w:val="18"/>
          <w:szCs w:val="18"/>
        </w:rPr>
        <w:t xml:space="preserve"> group difference: p = 0.0009 reported in </w:t>
      </w:r>
      <w:r w:rsidRPr="00D63B86">
        <w:rPr>
          <w:rFonts w:ascii="Arial Narrow" w:hAnsi="Arial Narrow"/>
          <w:sz w:val="18"/>
          <w:szCs w:val="18"/>
        </w:rPr>
        <w:t>Harrison et al. (2018a)</w:t>
      </w:r>
      <w:r w:rsidRPr="002F1203">
        <w:rPr>
          <w:rFonts w:ascii="Arial Narrow" w:hAnsi="Arial Narrow"/>
          <w:sz w:val="18"/>
          <w:szCs w:val="18"/>
        </w:rPr>
        <w:t xml:space="preserve"> poster</w:t>
      </w:r>
    </w:p>
    <w:p w:rsidR="00C46736" w:rsidRPr="002F1203" w:rsidRDefault="00C46736" w:rsidP="00B25E6A">
      <w:pPr>
        <w:keepNext/>
        <w:keepLines/>
        <w:widowControl/>
        <w:tabs>
          <w:tab w:val="left" w:pos="284"/>
        </w:tabs>
        <w:rPr>
          <w:rFonts w:ascii="Arial Narrow" w:hAnsi="Arial Narrow"/>
          <w:sz w:val="18"/>
          <w:szCs w:val="18"/>
        </w:rPr>
      </w:pPr>
      <w:r w:rsidRPr="002F1203">
        <w:rPr>
          <w:rFonts w:ascii="Arial Narrow" w:hAnsi="Arial Narrow"/>
          <w:sz w:val="18"/>
          <w:szCs w:val="18"/>
        </w:rPr>
        <w:t>^</w:t>
      </w:r>
      <w:r>
        <w:rPr>
          <w:rFonts w:ascii="Arial Narrow" w:hAnsi="Arial Narrow"/>
          <w:sz w:val="18"/>
          <w:szCs w:val="18"/>
        </w:rPr>
        <w:tab/>
      </w:r>
      <w:r w:rsidRPr="002F1203">
        <w:rPr>
          <w:rFonts w:ascii="Arial Narrow" w:hAnsi="Arial Narrow"/>
          <w:sz w:val="18"/>
          <w:szCs w:val="18"/>
        </w:rPr>
        <w:t xml:space="preserve">calculated for the purpose of the submission using </w:t>
      </w:r>
      <w:proofErr w:type="spellStart"/>
      <w:r w:rsidRPr="002F1203">
        <w:rPr>
          <w:rFonts w:ascii="Arial Narrow" w:hAnsi="Arial Narrow"/>
          <w:sz w:val="18"/>
          <w:szCs w:val="18"/>
        </w:rPr>
        <w:t>RevMan</w:t>
      </w:r>
      <w:proofErr w:type="spellEnd"/>
      <w:r w:rsidRPr="002F1203">
        <w:rPr>
          <w:rFonts w:ascii="Arial Narrow" w:hAnsi="Arial Narrow"/>
          <w:sz w:val="18"/>
          <w:szCs w:val="18"/>
        </w:rPr>
        <w:t xml:space="preserve"> v5.3 </w:t>
      </w:r>
    </w:p>
    <w:p w:rsidR="00C46736" w:rsidRDefault="00C46736" w:rsidP="00B25E6A">
      <w:pPr>
        <w:keepNext/>
        <w:keepLines/>
        <w:widowControl/>
        <w:tabs>
          <w:tab w:val="left" w:pos="284"/>
        </w:tabs>
        <w:rPr>
          <w:rFonts w:ascii="Arial Narrow" w:hAnsi="Arial Narrow"/>
          <w:sz w:val="18"/>
          <w:szCs w:val="18"/>
        </w:rPr>
      </w:pPr>
      <w:r w:rsidRPr="002F1203">
        <w:rPr>
          <w:rFonts w:ascii="Arial Narrow" w:hAnsi="Arial Narrow"/>
          <w:sz w:val="18"/>
          <w:szCs w:val="18"/>
        </w:rPr>
        <w:t>~</w:t>
      </w:r>
      <w:r>
        <w:rPr>
          <w:rFonts w:ascii="Arial Narrow" w:hAnsi="Arial Narrow"/>
          <w:sz w:val="18"/>
          <w:szCs w:val="18"/>
        </w:rPr>
        <w:tab/>
      </w:r>
      <w:r w:rsidRPr="002F1203">
        <w:rPr>
          <w:rFonts w:ascii="Arial Narrow" w:hAnsi="Arial Narrow"/>
          <w:sz w:val="18"/>
          <w:szCs w:val="18"/>
        </w:rPr>
        <w:t xml:space="preserve">Response comprises complete and partial response </w:t>
      </w:r>
    </w:p>
    <w:p w:rsidR="00C46736" w:rsidRPr="002F1203" w:rsidRDefault="00B25E6A" w:rsidP="00B25E6A">
      <w:pPr>
        <w:keepNext/>
        <w:keepLines/>
        <w:widowControl/>
        <w:rPr>
          <w:rFonts w:ascii="Arial Narrow" w:hAnsi="Arial Narrow"/>
          <w:sz w:val="18"/>
          <w:szCs w:val="18"/>
        </w:rPr>
      </w:pPr>
      <w:r>
        <w:rPr>
          <w:rFonts w:ascii="Arial Narrow" w:hAnsi="Arial Narrow"/>
          <w:sz w:val="18"/>
          <w:szCs w:val="18"/>
        </w:rPr>
        <w:t>Note: t</w:t>
      </w:r>
      <w:r w:rsidR="00C46736">
        <w:rPr>
          <w:rFonts w:ascii="Arial Narrow" w:hAnsi="Arial Narrow"/>
          <w:sz w:val="18"/>
          <w:szCs w:val="18"/>
        </w:rPr>
        <w:t xml:space="preserve">ext in bold indicates statistically significant results </w:t>
      </w:r>
    </w:p>
    <w:p w:rsidR="00C46736" w:rsidRDefault="00C46736" w:rsidP="00B25E6A">
      <w:pPr>
        <w:keepNext/>
        <w:keepLines/>
        <w:widowControl/>
        <w:rPr>
          <w:rFonts w:ascii="Arial Narrow" w:hAnsi="Arial Narrow"/>
          <w:sz w:val="18"/>
          <w:szCs w:val="18"/>
        </w:rPr>
      </w:pPr>
      <w:r w:rsidRPr="002F1203">
        <w:rPr>
          <w:rFonts w:ascii="Arial Narrow" w:hAnsi="Arial Narrow"/>
          <w:sz w:val="18"/>
          <w:szCs w:val="18"/>
        </w:rPr>
        <w:t>Source: Table 2.3-15, p92 of the submission</w:t>
      </w:r>
    </w:p>
    <w:p w:rsidR="00C46736" w:rsidRPr="002F1203" w:rsidRDefault="00C46736" w:rsidP="00C46736">
      <w:pPr>
        <w:rPr>
          <w:rFonts w:ascii="Arial Narrow" w:hAnsi="Arial Narrow"/>
          <w:sz w:val="18"/>
          <w:szCs w:val="18"/>
        </w:rPr>
      </w:pPr>
    </w:p>
    <w:p w:rsidR="00C46736" w:rsidRPr="00FF4AF4" w:rsidRDefault="00C46736" w:rsidP="003405EC">
      <w:pPr>
        <w:pStyle w:val="ListParagraph"/>
        <w:widowControl/>
        <w:numPr>
          <w:ilvl w:val="1"/>
          <w:numId w:val="2"/>
        </w:numPr>
        <w:spacing w:after="120"/>
      </w:pPr>
      <w:r w:rsidRPr="00FF4AF4">
        <w:t>There were statistically significantly more patients treated with ruxolitinib who achieved CR compared to patients treated with BAT (OR 2.65; 95% CI: 1.43, 4.93)</w:t>
      </w:r>
      <w:r w:rsidR="00A14168" w:rsidRPr="00FF4AF4">
        <w:t xml:space="preserve"> in MAJIC</w:t>
      </w:r>
      <w:r w:rsidRPr="00FF4AF4">
        <w:t>.  However,</w:t>
      </w:r>
      <w:r w:rsidR="00E2657D" w:rsidRPr="00FF4AF4">
        <w:rPr>
          <w:i/>
        </w:rPr>
        <w:t xml:space="preserve"> </w:t>
      </w:r>
      <w:r w:rsidR="004E0D05" w:rsidRPr="00FF4AF4">
        <w:t>there</w:t>
      </w:r>
      <w:r w:rsidRPr="00FF4AF4">
        <w:t xml:space="preserve"> were statistically significantly more patients treated with BAT who achieved PR compared to patients treated with ruxolitinib</w:t>
      </w:r>
      <w:r w:rsidR="00613B2B">
        <w:t xml:space="preserve"> (OR 0.46; 95% CI: 0.25, 0.83).</w:t>
      </w:r>
      <w:r w:rsidRPr="00FF4AF4">
        <w:t xml:space="preserve"> </w:t>
      </w:r>
      <w:r w:rsidR="00E2657D" w:rsidRPr="00FF4AF4">
        <w:t xml:space="preserve">The </w:t>
      </w:r>
      <w:r w:rsidRPr="00FF4AF4">
        <w:t>net result was that there w</w:t>
      </w:r>
      <w:r w:rsidR="00E2657D" w:rsidRPr="00FF4AF4">
        <w:t>ere</w:t>
      </w:r>
      <w:r w:rsidRPr="00FF4AF4">
        <w:t xml:space="preserve"> no statistically significant differences between the proportion of patients who responded (CR + PR) within Year 1 between treatments, with 90/93 (96.8%) and 83/89 (93.3%) of patients treated with ruxolitinib and BAT achieving CR or PR, respectively.  </w:t>
      </w:r>
    </w:p>
    <w:p w:rsidR="00C46736" w:rsidRPr="00DE51EA" w:rsidRDefault="00C46736" w:rsidP="003405EC">
      <w:pPr>
        <w:pStyle w:val="ListParagraph"/>
        <w:widowControl/>
        <w:numPr>
          <w:ilvl w:val="1"/>
          <w:numId w:val="2"/>
        </w:numPr>
        <w:spacing w:after="120"/>
      </w:pPr>
      <w:r w:rsidRPr="00FF4AF4">
        <w:t>The proposed PBS restriction for ruxolitinib</w:t>
      </w:r>
      <w:r w:rsidRPr="00E2657D">
        <w:t xml:space="preserve"> in PV, however, restricts use to patient</w:t>
      </w:r>
      <w:r w:rsidR="00A14168" w:rsidRPr="00E2657D">
        <w:t>s</w:t>
      </w:r>
      <w:r w:rsidRPr="00E2657D">
        <w:t xml:space="preserve"> who have responded within six months</w:t>
      </w:r>
      <w:r w:rsidR="00613B2B">
        <w:t>.</w:t>
      </w:r>
      <w:r w:rsidRPr="00DE51EA">
        <w:t xml:space="preserve"> </w:t>
      </w:r>
      <w:r w:rsidR="00E2657D" w:rsidRPr="00DE51EA">
        <w:t>The</w:t>
      </w:r>
      <w:r w:rsidR="00E2657D" w:rsidRPr="00E2657D">
        <w:rPr>
          <w:i/>
        </w:rPr>
        <w:t xml:space="preserve"> </w:t>
      </w:r>
      <w:r w:rsidRPr="00DE51EA">
        <w:t xml:space="preserve">economic evaluation uses the time to response to estimate the proportion of patients who responded by six months instead of the proportion who responded within one year reported above.  </w:t>
      </w:r>
    </w:p>
    <w:p w:rsidR="00A55744" w:rsidRPr="00B05ECE" w:rsidRDefault="003C3D65" w:rsidP="003405EC">
      <w:pPr>
        <w:pStyle w:val="ListParagraph"/>
        <w:numPr>
          <w:ilvl w:val="1"/>
          <w:numId w:val="2"/>
        </w:numPr>
        <w:spacing w:after="120"/>
      </w:pPr>
      <w:r w:rsidRPr="001C493A">
        <w:t>As the definition of ‘response’ differed between all three trials, the submission also conducted a post hoc analysis of the results from RESPONSE and RESPONSE-2 using the same criteria as MAJIC</w:t>
      </w:r>
      <w:r w:rsidR="00A55744" w:rsidRPr="001C493A">
        <w:t>.</w:t>
      </w:r>
      <w:r w:rsidR="00A55744" w:rsidRPr="00B05ECE">
        <w:t xml:space="preserve">  </w:t>
      </w:r>
      <w:r w:rsidR="00706A80" w:rsidRPr="00B05ECE">
        <w:t xml:space="preserve">For comparison, the proportion of patients who achieved response at a comparable time point (0.5 years, 5.74 months) in MAJIC was extracted from the economic evaluation.  </w:t>
      </w:r>
      <w:r w:rsidR="00A55744" w:rsidRPr="00B05ECE">
        <w:t xml:space="preserve">The results are presented in </w:t>
      </w:r>
      <w:r w:rsidR="00A14168" w:rsidRPr="00B05ECE">
        <w:t xml:space="preserve">Table </w:t>
      </w:r>
      <w:r w:rsidR="00A14168" w:rsidRPr="00B05ECE">
        <w:rPr>
          <w:noProof/>
        </w:rPr>
        <w:t>6</w:t>
      </w:r>
      <w:r w:rsidR="00A55744" w:rsidRPr="00B05ECE">
        <w:t xml:space="preserve">.  </w:t>
      </w:r>
    </w:p>
    <w:p w:rsidR="00A55744" w:rsidRDefault="00A14168" w:rsidP="00726B10">
      <w:pPr>
        <w:pStyle w:val="Caption"/>
        <w:keepNext/>
        <w:keepLines/>
        <w:widowControl/>
      </w:pPr>
      <w:bookmarkStart w:id="14" w:name="_Ref17146751"/>
      <w:r>
        <w:lastRenderedPageBreak/>
        <w:t xml:space="preserve">Table </w:t>
      </w:r>
      <w:r w:rsidR="00CF6741">
        <w:rPr>
          <w:noProof/>
        </w:rPr>
        <w:t>6</w:t>
      </w:r>
      <w:bookmarkEnd w:id="14"/>
      <w:r>
        <w:t xml:space="preserve">: </w:t>
      </w:r>
      <w:r w:rsidR="00E15BF1" w:rsidRPr="00A14168">
        <w:rPr>
          <w:i/>
          <w:szCs w:val="20"/>
        </w:rPr>
        <w:t xml:space="preserve">Post </w:t>
      </w:r>
      <w:r w:rsidR="00E15BF1">
        <w:rPr>
          <w:i/>
          <w:szCs w:val="20"/>
        </w:rPr>
        <w:t>h</w:t>
      </w:r>
      <w:r w:rsidR="00E15BF1" w:rsidRPr="00A14168">
        <w:rPr>
          <w:i/>
          <w:szCs w:val="20"/>
        </w:rPr>
        <w:t>oc</w:t>
      </w:r>
      <w:r w:rsidR="00E15BF1" w:rsidRPr="00A14168">
        <w:rPr>
          <w:szCs w:val="20"/>
        </w:rPr>
        <w:t xml:space="preserve"> analysis of RESPONSE and RESPONSE-2 using response criteria from MAJIC</w:t>
      </w:r>
    </w:p>
    <w:tbl>
      <w:tblPr>
        <w:tblStyle w:val="Summarybox4"/>
        <w:tblW w:w="5031" w:type="pct"/>
        <w:tblCellMar>
          <w:left w:w="28" w:type="dxa"/>
          <w:right w:w="28" w:type="dxa"/>
        </w:tblCellMar>
        <w:tblLook w:val="04A0" w:firstRow="1" w:lastRow="0" w:firstColumn="1" w:lastColumn="0" w:noHBand="0" w:noVBand="1"/>
        <w:tblCaption w:val="Table 6: Post hoc analysis of RESPONSE and RESPONSE-2 using response criteria from MAJIC"/>
      </w:tblPr>
      <w:tblGrid>
        <w:gridCol w:w="2121"/>
        <w:gridCol w:w="1417"/>
        <w:gridCol w:w="1074"/>
        <w:gridCol w:w="1630"/>
        <w:gridCol w:w="1417"/>
        <w:gridCol w:w="1414"/>
      </w:tblGrid>
      <w:tr w:rsidR="00A55744" w:rsidRPr="00360FFB" w:rsidTr="0076058F">
        <w:trPr>
          <w:trHeight w:val="20"/>
          <w:tblHeader/>
        </w:trPr>
        <w:tc>
          <w:tcPr>
            <w:tcW w:w="1169" w:type="pct"/>
            <w:vAlign w:val="center"/>
          </w:tcPr>
          <w:p w:rsidR="00A55744" w:rsidRPr="00360FFB" w:rsidRDefault="00A55744" w:rsidP="00726B10">
            <w:pPr>
              <w:keepNext/>
              <w:keepLines/>
              <w:widowControl/>
              <w:rPr>
                <w:rFonts w:ascii="Arial Narrow" w:hAnsi="Arial Narrow"/>
                <w:b/>
                <w:sz w:val="20"/>
                <w:szCs w:val="18"/>
              </w:rPr>
            </w:pPr>
            <w:r w:rsidRPr="00360FFB">
              <w:rPr>
                <w:rFonts w:ascii="Arial Narrow" w:hAnsi="Arial Narrow"/>
                <w:b/>
                <w:sz w:val="20"/>
                <w:szCs w:val="18"/>
              </w:rPr>
              <w:t>Trial</w:t>
            </w:r>
          </w:p>
        </w:tc>
        <w:tc>
          <w:tcPr>
            <w:tcW w:w="781" w:type="pct"/>
            <w:vAlign w:val="center"/>
          </w:tcPr>
          <w:p w:rsidR="00A55744" w:rsidRPr="00360FFB" w:rsidRDefault="00A55744" w:rsidP="00726B10">
            <w:pPr>
              <w:keepNext/>
              <w:keepLines/>
              <w:widowControl/>
              <w:jc w:val="center"/>
              <w:rPr>
                <w:rFonts w:ascii="Arial Narrow" w:hAnsi="Arial Narrow"/>
                <w:b/>
                <w:sz w:val="20"/>
                <w:szCs w:val="18"/>
              </w:rPr>
            </w:pPr>
            <w:r w:rsidRPr="00360FFB">
              <w:rPr>
                <w:rFonts w:ascii="Arial Narrow" w:hAnsi="Arial Narrow"/>
                <w:b/>
                <w:sz w:val="20"/>
                <w:szCs w:val="18"/>
              </w:rPr>
              <w:t>Ruxolitinib, n/</w:t>
            </w:r>
            <w:proofErr w:type="gramStart"/>
            <w:r w:rsidRPr="00360FFB">
              <w:rPr>
                <w:rFonts w:ascii="Arial Narrow" w:hAnsi="Arial Narrow"/>
                <w:b/>
                <w:sz w:val="20"/>
                <w:szCs w:val="18"/>
              </w:rPr>
              <w:t>N(</w:t>
            </w:r>
            <w:proofErr w:type="gramEnd"/>
            <w:r w:rsidRPr="00360FFB">
              <w:rPr>
                <w:rFonts w:ascii="Arial Narrow" w:hAnsi="Arial Narrow"/>
                <w:b/>
                <w:sz w:val="20"/>
                <w:szCs w:val="18"/>
              </w:rPr>
              <w:t>%)</w:t>
            </w:r>
          </w:p>
        </w:tc>
        <w:tc>
          <w:tcPr>
            <w:tcW w:w="592" w:type="pct"/>
            <w:vAlign w:val="center"/>
          </w:tcPr>
          <w:p w:rsidR="00A55744" w:rsidRPr="00360FFB" w:rsidRDefault="00A55744" w:rsidP="00726B10">
            <w:pPr>
              <w:keepNext/>
              <w:keepLines/>
              <w:widowControl/>
              <w:jc w:val="center"/>
              <w:rPr>
                <w:rFonts w:ascii="Arial Narrow" w:hAnsi="Arial Narrow"/>
                <w:b/>
                <w:sz w:val="20"/>
                <w:szCs w:val="18"/>
              </w:rPr>
            </w:pPr>
            <w:r w:rsidRPr="00360FFB">
              <w:rPr>
                <w:rFonts w:ascii="Arial Narrow" w:hAnsi="Arial Narrow"/>
                <w:b/>
                <w:sz w:val="20"/>
                <w:szCs w:val="18"/>
              </w:rPr>
              <w:t>BAT</w:t>
            </w:r>
            <w:r w:rsidR="00EB6AC4">
              <w:rPr>
                <w:rFonts w:ascii="Arial Narrow" w:hAnsi="Arial Narrow"/>
                <w:b/>
                <w:sz w:val="20"/>
                <w:szCs w:val="18"/>
              </w:rPr>
              <w:t>*</w:t>
            </w:r>
            <w:r w:rsidRPr="00360FFB">
              <w:rPr>
                <w:rFonts w:ascii="Arial Narrow" w:hAnsi="Arial Narrow"/>
                <w:b/>
                <w:sz w:val="20"/>
                <w:szCs w:val="18"/>
              </w:rPr>
              <w:t>, n/</w:t>
            </w:r>
            <w:proofErr w:type="gramStart"/>
            <w:r w:rsidRPr="00360FFB">
              <w:rPr>
                <w:rFonts w:ascii="Arial Narrow" w:hAnsi="Arial Narrow"/>
                <w:b/>
                <w:sz w:val="20"/>
                <w:szCs w:val="18"/>
              </w:rPr>
              <w:t>N(</w:t>
            </w:r>
            <w:proofErr w:type="gramEnd"/>
            <w:r w:rsidRPr="00360FFB">
              <w:rPr>
                <w:rFonts w:ascii="Arial Narrow" w:hAnsi="Arial Narrow"/>
                <w:b/>
                <w:sz w:val="20"/>
                <w:szCs w:val="18"/>
              </w:rPr>
              <w:t>%)</w:t>
            </w:r>
          </w:p>
        </w:tc>
        <w:tc>
          <w:tcPr>
            <w:tcW w:w="898" w:type="pct"/>
            <w:vAlign w:val="center"/>
          </w:tcPr>
          <w:p w:rsidR="00A55744" w:rsidRPr="00360FFB" w:rsidRDefault="00A55744" w:rsidP="00726B10">
            <w:pPr>
              <w:keepNext/>
              <w:keepLines/>
              <w:widowControl/>
              <w:jc w:val="center"/>
              <w:rPr>
                <w:rFonts w:ascii="Arial Narrow" w:hAnsi="Arial Narrow"/>
                <w:b/>
                <w:sz w:val="20"/>
                <w:szCs w:val="18"/>
              </w:rPr>
            </w:pPr>
            <w:r w:rsidRPr="00360FFB">
              <w:rPr>
                <w:rFonts w:ascii="Arial Narrow" w:hAnsi="Arial Narrow"/>
                <w:b/>
                <w:sz w:val="20"/>
                <w:szCs w:val="18"/>
              </w:rPr>
              <w:t>OR (95%CI)</w:t>
            </w:r>
          </w:p>
        </w:tc>
        <w:tc>
          <w:tcPr>
            <w:tcW w:w="781" w:type="pct"/>
            <w:vAlign w:val="center"/>
          </w:tcPr>
          <w:p w:rsidR="00A55744" w:rsidRPr="00360FFB" w:rsidRDefault="00A55744" w:rsidP="00726B10">
            <w:pPr>
              <w:keepNext/>
              <w:keepLines/>
              <w:widowControl/>
              <w:jc w:val="center"/>
              <w:rPr>
                <w:rFonts w:ascii="Arial Narrow" w:hAnsi="Arial Narrow"/>
                <w:b/>
                <w:sz w:val="20"/>
                <w:szCs w:val="18"/>
              </w:rPr>
            </w:pPr>
            <w:r w:rsidRPr="00360FFB">
              <w:rPr>
                <w:rFonts w:ascii="Arial Narrow" w:hAnsi="Arial Narrow"/>
                <w:b/>
                <w:sz w:val="20"/>
                <w:szCs w:val="18"/>
              </w:rPr>
              <w:t>RR (95%CI)</w:t>
            </w:r>
          </w:p>
        </w:tc>
        <w:tc>
          <w:tcPr>
            <w:tcW w:w="779" w:type="pct"/>
            <w:vAlign w:val="center"/>
          </w:tcPr>
          <w:p w:rsidR="00A55744" w:rsidRPr="00360FFB" w:rsidRDefault="00A55744" w:rsidP="00726B10">
            <w:pPr>
              <w:keepNext/>
              <w:keepLines/>
              <w:widowControl/>
              <w:jc w:val="center"/>
              <w:rPr>
                <w:rFonts w:ascii="Arial Narrow" w:hAnsi="Arial Narrow"/>
                <w:b/>
                <w:sz w:val="20"/>
                <w:szCs w:val="18"/>
              </w:rPr>
            </w:pPr>
            <w:r w:rsidRPr="00360FFB">
              <w:rPr>
                <w:rFonts w:ascii="Arial Narrow" w:hAnsi="Arial Narrow"/>
                <w:b/>
                <w:sz w:val="20"/>
                <w:szCs w:val="18"/>
              </w:rPr>
              <w:t>RD (95%CI)</w:t>
            </w:r>
          </w:p>
        </w:tc>
      </w:tr>
      <w:tr w:rsidR="00A55744" w:rsidRPr="00360FFB" w:rsidTr="00B15FAF">
        <w:trPr>
          <w:trHeight w:val="20"/>
        </w:trPr>
        <w:tc>
          <w:tcPr>
            <w:tcW w:w="1169" w:type="pct"/>
            <w:vAlign w:val="center"/>
          </w:tcPr>
          <w:p w:rsidR="00A55744" w:rsidRPr="00360FFB" w:rsidRDefault="00A55744" w:rsidP="00726B10">
            <w:pPr>
              <w:keepNext/>
              <w:keepLines/>
              <w:widowControl/>
              <w:rPr>
                <w:rFonts w:ascii="Arial Narrow" w:hAnsi="Arial Narrow"/>
                <w:sz w:val="20"/>
                <w:szCs w:val="18"/>
              </w:rPr>
            </w:pPr>
            <w:r w:rsidRPr="00360FFB">
              <w:rPr>
                <w:rFonts w:ascii="Arial Narrow" w:hAnsi="Arial Narrow"/>
                <w:sz w:val="20"/>
                <w:szCs w:val="18"/>
              </w:rPr>
              <w:t>MAJIC (up to 0.5 years)</w:t>
            </w:r>
          </w:p>
        </w:tc>
        <w:tc>
          <w:tcPr>
            <w:tcW w:w="781" w:type="pct"/>
            <w:vAlign w:val="center"/>
          </w:tcPr>
          <w:p w:rsidR="00A55744" w:rsidRPr="00360FFB" w:rsidRDefault="00A55744" w:rsidP="00726B10">
            <w:pPr>
              <w:keepNext/>
              <w:keepLines/>
              <w:widowControl/>
              <w:jc w:val="center"/>
              <w:rPr>
                <w:rFonts w:ascii="Arial Narrow" w:hAnsi="Arial Narrow"/>
                <w:sz w:val="20"/>
                <w:szCs w:val="18"/>
              </w:rPr>
            </w:pPr>
            <w:r w:rsidRPr="00360FFB">
              <w:rPr>
                <w:rFonts w:ascii="Arial Narrow" w:hAnsi="Arial Narrow"/>
                <w:sz w:val="20"/>
                <w:szCs w:val="18"/>
              </w:rPr>
              <w:t>86/93 (92.5)</w:t>
            </w:r>
          </w:p>
        </w:tc>
        <w:tc>
          <w:tcPr>
            <w:tcW w:w="592" w:type="pct"/>
            <w:vAlign w:val="center"/>
          </w:tcPr>
          <w:p w:rsidR="00A55744" w:rsidRPr="00360FFB" w:rsidRDefault="00A55744" w:rsidP="00726B10">
            <w:pPr>
              <w:keepNext/>
              <w:keepLines/>
              <w:widowControl/>
              <w:jc w:val="center"/>
              <w:rPr>
                <w:rFonts w:ascii="Arial Narrow" w:hAnsi="Arial Narrow"/>
                <w:sz w:val="20"/>
                <w:szCs w:val="18"/>
              </w:rPr>
            </w:pPr>
            <w:r w:rsidRPr="00360FFB">
              <w:rPr>
                <w:rFonts w:ascii="Arial Narrow" w:hAnsi="Arial Narrow"/>
                <w:sz w:val="20"/>
                <w:szCs w:val="18"/>
              </w:rPr>
              <w:t>74/89 (83.4)</w:t>
            </w:r>
          </w:p>
        </w:tc>
        <w:tc>
          <w:tcPr>
            <w:tcW w:w="898" w:type="pct"/>
            <w:vAlign w:val="center"/>
          </w:tcPr>
          <w:p w:rsidR="00A55744" w:rsidRPr="00696521" w:rsidRDefault="00A55744" w:rsidP="00726B10">
            <w:pPr>
              <w:keepNext/>
              <w:keepLines/>
              <w:widowControl/>
              <w:jc w:val="center"/>
              <w:rPr>
                <w:rFonts w:ascii="Arial Narrow" w:hAnsi="Arial Narrow"/>
                <w:sz w:val="20"/>
                <w:szCs w:val="18"/>
              </w:rPr>
            </w:pPr>
            <w:r w:rsidRPr="00696521">
              <w:rPr>
                <w:rFonts w:ascii="Arial Narrow" w:hAnsi="Arial Narrow"/>
                <w:sz w:val="20"/>
                <w:szCs w:val="18"/>
              </w:rPr>
              <w:t>2.49 (0.89, 7.65)</w:t>
            </w:r>
            <w:r w:rsidR="00696521" w:rsidRPr="008C1AD0">
              <w:rPr>
                <w:rFonts w:ascii="Arial Narrow" w:hAnsi="Arial Narrow"/>
                <w:sz w:val="18"/>
                <w:szCs w:val="20"/>
                <w:vertAlign w:val="superscript"/>
              </w:rPr>
              <w:t>a</w:t>
            </w:r>
          </w:p>
        </w:tc>
        <w:tc>
          <w:tcPr>
            <w:tcW w:w="781" w:type="pct"/>
            <w:vAlign w:val="center"/>
          </w:tcPr>
          <w:p w:rsidR="00A55744" w:rsidRPr="00696521" w:rsidRDefault="00A55744" w:rsidP="00726B10">
            <w:pPr>
              <w:keepNext/>
              <w:keepLines/>
              <w:widowControl/>
              <w:jc w:val="center"/>
              <w:rPr>
                <w:rFonts w:ascii="Arial Narrow" w:hAnsi="Arial Narrow"/>
                <w:sz w:val="20"/>
                <w:szCs w:val="18"/>
              </w:rPr>
            </w:pPr>
            <w:r w:rsidRPr="00696521">
              <w:rPr>
                <w:rFonts w:ascii="Arial Narrow" w:hAnsi="Arial Narrow"/>
                <w:sz w:val="20"/>
                <w:szCs w:val="18"/>
              </w:rPr>
              <w:t>1.11 (1.00, 1.26)</w:t>
            </w:r>
            <w:r w:rsidR="00696521" w:rsidRPr="008C1AD0">
              <w:rPr>
                <w:rFonts w:ascii="Arial Narrow" w:hAnsi="Arial Narrow"/>
                <w:sz w:val="18"/>
                <w:szCs w:val="20"/>
                <w:vertAlign w:val="superscript"/>
              </w:rPr>
              <w:t>a</w:t>
            </w:r>
          </w:p>
        </w:tc>
        <w:tc>
          <w:tcPr>
            <w:tcW w:w="779" w:type="pct"/>
            <w:vAlign w:val="center"/>
          </w:tcPr>
          <w:p w:rsidR="00A55744" w:rsidRPr="00696521" w:rsidRDefault="00696521" w:rsidP="00726B10">
            <w:pPr>
              <w:keepNext/>
              <w:keepLines/>
              <w:widowControl/>
              <w:jc w:val="center"/>
              <w:rPr>
                <w:rFonts w:ascii="Arial Narrow" w:hAnsi="Arial Narrow"/>
                <w:sz w:val="20"/>
                <w:szCs w:val="18"/>
              </w:rPr>
            </w:pPr>
            <w:r>
              <w:rPr>
                <w:rFonts w:ascii="Arial Narrow" w:hAnsi="Arial Narrow"/>
                <w:sz w:val="20"/>
                <w:szCs w:val="18"/>
              </w:rPr>
              <w:t>0.09 (-0.002, 0.19</w:t>
            </w:r>
            <w:r w:rsidR="00A55744" w:rsidRPr="00696521">
              <w:rPr>
                <w:rFonts w:ascii="Arial Narrow" w:hAnsi="Arial Narrow"/>
                <w:sz w:val="20"/>
                <w:szCs w:val="18"/>
              </w:rPr>
              <w:t>)</w:t>
            </w:r>
            <w:r w:rsidRPr="008C1AD0">
              <w:rPr>
                <w:rFonts w:ascii="Arial Narrow" w:hAnsi="Arial Narrow"/>
                <w:sz w:val="18"/>
                <w:szCs w:val="20"/>
                <w:vertAlign w:val="superscript"/>
              </w:rPr>
              <w:t>a</w:t>
            </w:r>
          </w:p>
        </w:tc>
      </w:tr>
      <w:tr w:rsidR="00A55744" w:rsidRPr="00360FFB" w:rsidTr="00B15FAF">
        <w:trPr>
          <w:trHeight w:val="20"/>
        </w:trPr>
        <w:tc>
          <w:tcPr>
            <w:tcW w:w="1169" w:type="pct"/>
            <w:vAlign w:val="center"/>
          </w:tcPr>
          <w:p w:rsidR="00A55744" w:rsidRPr="00360FFB" w:rsidRDefault="00A55744" w:rsidP="00726B10">
            <w:pPr>
              <w:keepNext/>
              <w:keepLines/>
              <w:widowControl/>
              <w:rPr>
                <w:rFonts w:ascii="Arial Narrow" w:hAnsi="Arial Narrow"/>
                <w:sz w:val="20"/>
                <w:szCs w:val="18"/>
              </w:rPr>
            </w:pPr>
            <w:r w:rsidRPr="00360FFB">
              <w:rPr>
                <w:rFonts w:ascii="Arial Narrow" w:hAnsi="Arial Narrow"/>
                <w:sz w:val="20"/>
                <w:szCs w:val="18"/>
              </w:rPr>
              <w:t>RESPONSE (8-32 weeks)</w:t>
            </w:r>
            <w:r w:rsidR="00EB6AC4">
              <w:rPr>
                <w:rFonts w:ascii="Arial Narrow" w:hAnsi="Arial Narrow"/>
                <w:sz w:val="20"/>
                <w:szCs w:val="18"/>
              </w:rPr>
              <w:t>~</w:t>
            </w:r>
          </w:p>
        </w:tc>
        <w:tc>
          <w:tcPr>
            <w:tcW w:w="781" w:type="pct"/>
            <w:vAlign w:val="center"/>
          </w:tcPr>
          <w:p w:rsidR="00A55744" w:rsidRPr="00360FFB" w:rsidRDefault="004A4EFC" w:rsidP="00726B10">
            <w:pPr>
              <w:keepNext/>
              <w:keepLines/>
              <w:widowControl/>
              <w:jc w:val="center"/>
              <w:rPr>
                <w:rFonts w:ascii="Arial Narrow" w:hAnsi="Arial Narrow"/>
                <w:sz w:val="20"/>
                <w:szCs w:val="18"/>
              </w:rPr>
            </w:pPr>
            <w:r>
              <w:rPr>
                <w:rFonts w:ascii="Arial Narrow" w:hAnsi="Arial Narrow"/>
                <w:noProof/>
                <w:color w:val="000000"/>
                <w:sz w:val="20"/>
                <w:szCs w:val="18"/>
                <w:highlight w:val="black"/>
              </w:rPr>
              <w:t>'''''</w:t>
            </w:r>
            <w:r w:rsidR="00A55744" w:rsidRPr="00360FFB">
              <w:rPr>
                <w:rFonts w:ascii="Arial Narrow" w:hAnsi="Arial Narrow"/>
                <w:sz w:val="20"/>
                <w:szCs w:val="18"/>
              </w:rPr>
              <w:t>/110 (</w:t>
            </w:r>
            <w:r>
              <w:rPr>
                <w:rFonts w:ascii="Arial Narrow" w:hAnsi="Arial Narrow"/>
                <w:noProof/>
                <w:color w:val="000000"/>
                <w:sz w:val="20"/>
                <w:szCs w:val="18"/>
                <w:highlight w:val="black"/>
              </w:rPr>
              <w:t>''''''''''''</w:t>
            </w:r>
            <w:r w:rsidR="00A55744" w:rsidRPr="00360FFB">
              <w:rPr>
                <w:rFonts w:ascii="Arial Narrow" w:hAnsi="Arial Narrow"/>
                <w:sz w:val="20"/>
                <w:szCs w:val="18"/>
              </w:rPr>
              <w:t>)</w:t>
            </w:r>
          </w:p>
        </w:tc>
        <w:tc>
          <w:tcPr>
            <w:tcW w:w="592" w:type="pct"/>
            <w:vAlign w:val="center"/>
          </w:tcPr>
          <w:p w:rsidR="00A55744" w:rsidRPr="00360FFB" w:rsidRDefault="004A4EFC" w:rsidP="00726B10">
            <w:pPr>
              <w:keepNext/>
              <w:keepLines/>
              <w:widowControl/>
              <w:jc w:val="center"/>
              <w:rPr>
                <w:rFonts w:ascii="Arial Narrow" w:hAnsi="Arial Narrow"/>
                <w:sz w:val="20"/>
                <w:szCs w:val="18"/>
              </w:rPr>
            </w:pPr>
            <w:r>
              <w:rPr>
                <w:rFonts w:ascii="Arial Narrow" w:hAnsi="Arial Narrow"/>
                <w:noProof/>
                <w:color w:val="000000"/>
                <w:sz w:val="20"/>
                <w:szCs w:val="18"/>
                <w:highlight w:val="black"/>
              </w:rPr>
              <w:t>''''''</w:t>
            </w:r>
            <w:r w:rsidR="00A55744" w:rsidRPr="00360FFB">
              <w:rPr>
                <w:rFonts w:ascii="Arial Narrow" w:hAnsi="Arial Narrow"/>
                <w:sz w:val="20"/>
                <w:szCs w:val="18"/>
              </w:rPr>
              <w:t>/112 (</w:t>
            </w:r>
            <w:r>
              <w:rPr>
                <w:rFonts w:ascii="Arial Narrow" w:hAnsi="Arial Narrow"/>
                <w:noProof/>
                <w:color w:val="000000"/>
                <w:sz w:val="20"/>
                <w:szCs w:val="18"/>
                <w:highlight w:val="black"/>
              </w:rPr>
              <w:t>''''''''''</w:t>
            </w:r>
            <w:r w:rsidR="00A55744" w:rsidRPr="00360FFB">
              <w:rPr>
                <w:rFonts w:ascii="Arial Narrow" w:hAnsi="Arial Narrow"/>
                <w:sz w:val="20"/>
                <w:szCs w:val="18"/>
              </w:rPr>
              <w:t>)</w:t>
            </w:r>
          </w:p>
        </w:tc>
        <w:tc>
          <w:tcPr>
            <w:tcW w:w="898" w:type="pct"/>
            <w:vAlign w:val="center"/>
          </w:tcPr>
          <w:p w:rsidR="00A55744" w:rsidRPr="00360FFB" w:rsidRDefault="004A4EFC" w:rsidP="00726B10">
            <w:pPr>
              <w:keepNext/>
              <w:keepLines/>
              <w:widowControl/>
              <w:jc w:val="center"/>
              <w:rPr>
                <w:rFonts w:ascii="Arial Narrow" w:hAnsi="Arial Narrow"/>
                <w:b/>
                <w:sz w:val="20"/>
                <w:szCs w:val="18"/>
              </w:rPr>
            </w:pPr>
            <w:r>
              <w:rPr>
                <w:rFonts w:ascii="Arial Narrow" w:hAnsi="Arial Narrow"/>
                <w:b/>
                <w:noProof/>
                <w:color w:val="000000"/>
                <w:sz w:val="20"/>
                <w:szCs w:val="18"/>
                <w:highlight w:val="black"/>
              </w:rPr>
              <w:t>''''''''</w:t>
            </w:r>
            <w:r w:rsidR="00A55744" w:rsidRPr="00360FFB">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360FFB">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360FFB">
              <w:rPr>
                <w:rFonts w:ascii="Arial Narrow" w:hAnsi="Arial Narrow"/>
                <w:b/>
                <w:sz w:val="20"/>
                <w:szCs w:val="18"/>
              </w:rPr>
              <w:t>)</w:t>
            </w:r>
          </w:p>
        </w:tc>
        <w:tc>
          <w:tcPr>
            <w:tcW w:w="781" w:type="pct"/>
            <w:vAlign w:val="center"/>
          </w:tcPr>
          <w:p w:rsidR="00A55744" w:rsidRPr="00360FFB" w:rsidRDefault="004A4EFC" w:rsidP="00726B10">
            <w:pPr>
              <w:keepNext/>
              <w:keepLines/>
              <w:widowControl/>
              <w:jc w:val="center"/>
              <w:rPr>
                <w:rFonts w:ascii="Arial Narrow" w:hAnsi="Arial Narrow"/>
                <w:b/>
                <w:sz w:val="20"/>
                <w:szCs w:val="18"/>
              </w:rPr>
            </w:pPr>
            <w:r>
              <w:rPr>
                <w:rFonts w:ascii="Arial Narrow" w:hAnsi="Arial Narrow"/>
                <w:b/>
                <w:noProof/>
                <w:color w:val="000000"/>
                <w:sz w:val="20"/>
                <w:szCs w:val="18"/>
                <w:highlight w:val="black"/>
              </w:rPr>
              <w:t>'''''''''</w:t>
            </w:r>
            <w:r w:rsidR="00A55744" w:rsidRPr="00360FFB">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360FFB">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360FFB">
              <w:rPr>
                <w:rFonts w:ascii="Arial Narrow" w:hAnsi="Arial Narrow"/>
                <w:b/>
                <w:sz w:val="20"/>
                <w:szCs w:val="18"/>
              </w:rPr>
              <w:t>)</w:t>
            </w:r>
          </w:p>
        </w:tc>
        <w:tc>
          <w:tcPr>
            <w:tcW w:w="779" w:type="pct"/>
            <w:vAlign w:val="center"/>
          </w:tcPr>
          <w:p w:rsidR="00A55744" w:rsidRPr="00360FFB" w:rsidRDefault="004A4EFC" w:rsidP="00726B10">
            <w:pPr>
              <w:keepNext/>
              <w:keepLines/>
              <w:widowControl/>
              <w:jc w:val="center"/>
              <w:rPr>
                <w:rFonts w:ascii="Arial Narrow" w:hAnsi="Arial Narrow"/>
                <w:b/>
                <w:sz w:val="20"/>
                <w:szCs w:val="18"/>
              </w:rPr>
            </w:pPr>
            <w:r>
              <w:rPr>
                <w:rFonts w:ascii="Arial Narrow" w:hAnsi="Arial Narrow"/>
                <w:b/>
                <w:noProof/>
                <w:color w:val="000000"/>
                <w:sz w:val="20"/>
                <w:szCs w:val="18"/>
                <w:highlight w:val="black"/>
              </w:rPr>
              <w:t>'''''''''</w:t>
            </w:r>
            <w:r w:rsidR="00A55744" w:rsidRPr="00360FFB">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360FFB">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360FFB">
              <w:rPr>
                <w:rFonts w:ascii="Arial Narrow" w:hAnsi="Arial Narrow"/>
                <w:b/>
                <w:sz w:val="20"/>
                <w:szCs w:val="18"/>
              </w:rPr>
              <w:t>)</w:t>
            </w:r>
          </w:p>
        </w:tc>
      </w:tr>
      <w:tr w:rsidR="00A55744" w:rsidRPr="00360FFB" w:rsidTr="00B15FAF">
        <w:trPr>
          <w:trHeight w:val="20"/>
        </w:trPr>
        <w:tc>
          <w:tcPr>
            <w:tcW w:w="1169" w:type="pct"/>
            <w:vAlign w:val="center"/>
          </w:tcPr>
          <w:p w:rsidR="00A55744" w:rsidRPr="00360FFB" w:rsidRDefault="00B15FAF" w:rsidP="00726B10">
            <w:pPr>
              <w:keepNext/>
              <w:keepLines/>
              <w:widowControl/>
              <w:jc w:val="left"/>
              <w:rPr>
                <w:rFonts w:ascii="Arial Narrow" w:hAnsi="Arial Narrow"/>
                <w:sz w:val="20"/>
                <w:szCs w:val="18"/>
              </w:rPr>
            </w:pPr>
            <w:r>
              <w:rPr>
                <w:rFonts w:ascii="Arial Narrow" w:hAnsi="Arial Narrow"/>
                <w:sz w:val="20"/>
                <w:szCs w:val="18"/>
              </w:rPr>
              <w:t xml:space="preserve">RESPONSE-2 </w:t>
            </w:r>
            <w:r w:rsidR="00A55744" w:rsidRPr="00360FFB">
              <w:rPr>
                <w:rFonts w:ascii="Arial Narrow" w:hAnsi="Arial Narrow"/>
                <w:sz w:val="20"/>
                <w:szCs w:val="18"/>
              </w:rPr>
              <w:t>(8-28 weeks)</w:t>
            </w:r>
            <w:r w:rsidR="00EB6AC4">
              <w:rPr>
                <w:rFonts w:ascii="Arial Narrow" w:hAnsi="Arial Narrow"/>
                <w:sz w:val="20"/>
                <w:szCs w:val="18"/>
              </w:rPr>
              <w:t>~</w:t>
            </w:r>
          </w:p>
        </w:tc>
        <w:tc>
          <w:tcPr>
            <w:tcW w:w="781" w:type="pct"/>
            <w:vAlign w:val="center"/>
          </w:tcPr>
          <w:p w:rsidR="00A55744" w:rsidRPr="00360FFB" w:rsidRDefault="004A4EFC" w:rsidP="00726B10">
            <w:pPr>
              <w:keepNext/>
              <w:keepLines/>
              <w:widowControl/>
              <w:jc w:val="center"/>
              <w:rPr>
                <w:rFonts w:ascii="Arial Narrow" w:hAnsi="Arial Narrow"/>
                <w:sz w:val="20"/>
                <w:szCs w:val="18"/>
              </w:rPr>
            </w:pPr>
            <w:r>
              <w:rPr>
                <w:rFonts w:ascii="Arial Narrow" w:hAnsi="Arial Narrow"/>
                <w:noProof/>
                <w:color w:val="000000"/>
                <w:sz w:val="20"/>
                <w:szCs w:val="18"/>
                <w:highlight w:val="black"/>
              </w:rPr>
              <w:t>'''''</w:t>
            </w:r>
            <w:r w:rsidR="00A55744" w:rsidRPr="00360FFB">
              <w:rPr>
                <w:rFonts w:ascii="Arial Narrow" w:hAnsi="Arial Narrow"/>
                <w:sz w:val="20"/>
                <w:szCs w:val="18"/>
              </w:rPr>
              <w:t>/74 (</w:t>
            </w:r>
            <w:r>
              <w:rPr>
                <w:rFonts w:ascii="Arial Narrow" w:hAnsi="Arial Narrow"/>
                <w:noProof/>
                <w:color w:val="000000"/>
                <w:sz w:val="20"/>
                <w:szCs w:val="18"/>
                <w:highlight w:val="black"/>
              </w:rPr>
              <w:t>''''''''''</w:t>
            </w:r>
            <w:r w:rsidR="00A55744" w:rsidRPr="00360FFB">
              <w:rPr>
                <w:rFonts w:ascii="Arial Narrow" w:hAnsi="Arial Narrow"/>
                <w:sz w:val="20"/>
                <w:szCs w:val="18"/>
              </w:rPr>
              <w:t>)</w:t>
            </w:r>
          </w:p>
        </w:tc>
        <w:tc>
          <w:tcPr>
            <w:tcW w:w="592" w:type="pct"/>
            <w:vAlign w:val="center"/>
          </w:tcPr>
          <w:p w:rsidR="00A55744" w:rsidRPr="00360FFB" w:rsidRDefault="004A4EFC" w:rsidP="00726B10">
            <w:pPr>
              <w:keepNext/>
              <w:keepLines/>
              <w:widowControl/>
              <w:jc w:val="center"/>
              <w:rPr>
                <w:rFonts w:ascii="Arial Narrow" w:hAnsi="Arial Narrow"/>
                <w:sz w:val="20"/>
                <w:szCs w:val="18"/>
              </w:rPr>
            </w:pPr>
            <w:r>
              <w:rPr>
                <w:rFonts w:ascii="Arial Narrow" w:hAnsi="Arial Narrow"/>
                <w:noProof/>
                <w:color w:val="000000"/>
                <w:sz w:val="20"/>
                <w:szCs w:val="18"/>
                <w:highlight w:val="black"/>
              </w:rPr>
              <w:t>''''''</w:t>
            </w:r>
            <w:r w:rsidR="00A55744" w:rsidRPr="00360FFB">
              <w:rPr>
                <w:rFonts w:ascii="Arial Narrow" w:hAnsi="Arial Narrow"/>
                <w:sz w:val="20"/>
                <w:szCs w:val="18"/>
              </w:rPr>
              <w:t>/74 (</w:t>
            </w:r>
            <w:r>
              <w:rPr>
                <w:rFonts w:ascii="Arial Narrow" w:hAnsi="Arial Narrow"/>
                <w:noProof/>
                <w:color w:val="000000"/>
                <w:sz w:val="20"/>
                <w:szCs w:val="18"/>
                <w:highlight w:val="black"/>
              </w:rPr>
              <w:t>'''''''''''</w:t>
            </w:r>
            <w:r w:rsidR="00A55744" w:rsidRPr="00360FFB">
              <w:rPr>
                <w:rFonts w:ascii="Arial Narrow" w:hAnsi="Arial Narrow"/>
                <w:sz w:val="20"/>
                <w:szCs w:val="18"/>
              </w:rPr>
              <w:t>)</w:t>
            </w:r>
          </w:p>
        </w:tc>
        <w:tc>
          <w:tcPr>
            <w:tcW w:w="898" w:type="pct"/>
            <w:vAlign w:val="center"/>
          </w:tcPr>
          <w:p w:rsidR="00A55744" w:rsidRPr="00360FFB" w:rsidRDefault="004A4EFC" w:rsidP="00726B10">
            <w:pPr>
              <w:keepNext/>
              <w:keepLines/>
              <w:widowControl/>
              <w:jc w:val="center"/>
              <w:rPr>
                <w:rFonts w:ascii="Arial Narrow" w:hAnsi="Arial Narrow"/>
                <w:b/>
                <w:sz w:val="20"/>
                <w:szCs w:val="18"/>
              </w:rPr>
            </w:pPr>
            <w:r>
              <w:rPr>
                <w:rFonts w:ascii="Arial Narrow" w:hAnsi="Arial Narrow"/>
                <w:b/>
                <w:noProof/>
                <w:color w:val="000000"/>
                <w:sz w:val="20"/>
                <w:szCs w:val="18"/>
                <w:highlight w:val="black"/>
              </w:rPr>
              <w:t>'''''''''</w:t>
            </w:r>
            <w:r w:rsidR="00A55744" w:rsidRPr="00360FFB">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360FFB">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360FFB">
              <w:rPr>
                <w:rFonts w:ascii="Arial Narrow" w:hAnsi="Arial Narrow"/>
                <w:b/>
                <w:sz w:val="20"/>
                <w:szCs w:val="18"/>
              </w:rPr>
              <w:t>)</w:t>
            </w:r>
          </w:p>
        </w:tc>
        <w:tc>
          <w:tcPr>
            <w:tcW w:w="781" w:type="pct"/>
            <w:vAlign w:val="center"/>
          </w:tcPr>
          <w:p w:rsidR="00A55744" w:rsidRPr="00360FFB" w:rsidRDefault="004A4EFC" w:rsidP="00726B10">
            <w:pPr>
              <w:keepNext/>
              <w:keepLines/>
              <w:widowControl/>
              <w:jc w:val="center"/>
              <w:rPr>
                <w:rFonts w:ascii="Arial Narrow" w:hAnsi="Arial Narrow"/>
                <w:b/>
                <w:sz w:val="20"/>
                <w:szCs w:val="18"/>
              </w:rPr>
            </w:pPr>
            <w:r>
              <w:rPr>
                <w:rFonts w:ascii="Arial Narrow" w:hAnsi="Arial Narrow"/>
                <w:b/>
                <w:noProof/>
                <w:color w:val="000000"/>
                <w:sz w:val="20"/>
                <w:szCs w:val="18"/>
                <w:highlight w:val="black"/>
              </w:rPr>
              <w:t>'''''''''</w:t>
            </w:r>
            <w:r w:rsidR="00A55744" w:rsidRPr="00360FFB">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360FFB">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360FFB">
              <w:rPr>
                <w:rFonts w:ascii="Arial Narrow" w:hAnsi="Arial Narrow"/>
                <w:b/>
                <w:sz w:val="20"/>
                <w:szCs w:val="18"/>
              </w:rPr>
              <w:t>)</w:t>
            </w:r>
          </w:p>
        </w:tc>
        <w:tc>
          <w:tcPr>
            <w:tcW w:w="779" w:type="pct"/>
            <w:vAlign w:val="center"/>
          </w:tcPr>
          <w:p w:rsidR="00A55744" w:rsidRPr="00360FFB" w:rsidRDefault="004A4EFC" w:rsidP="00726B10">
            <w:pPr>
              <w:keepNext/>
              <w:keepLines/>
              <w:widowControl/>
              <w:jc w:val="center"/>
              <w:rPr>
                <w:rFonts w:ascii="Arial Narrow" w:hAnsi="Arial Narrow"/>
                <w:b/>
                <w:sz w:val="20"/>
                <w:szCs w:val="18"/>
              </w:rPr>
            </w:pPr>
            <w:r>
              <w:rPr>
                <w:rFonts w:ascii="Arial Narrow" w:hAnsi="Arial Narrow"/>
                <w:b/>
                <w:noProof/>
                <w:color w:val="000000"/>
                <w:sz w:val="20"/>
                <w:szCs w:val="18"/>
                <w:highlight w:val="black"/>
              </w:rPr>
              <w:t>''''''''''</w:t>
            </w:r>
            <w:r w:rsidR="00A55744" w:rsidRPr="00360FFB">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360FFB">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360FFB">
              <w:rPr>
                <w:rFonts w:ascii="Arial Narrow" w:hAnsi="Arial Narrow"/>
                <w:b/>
                <w:sz w:val="20"/>
                <w:szCs w:val="18"/>
              </w:rPr>
              <w:t>)</w:t>
            </w:r>
          </w:p>
        </w:tc>
      </w:tr>
      <w:tr w:rsidR="00A55744" w:rsidRPr="00360FFB" w:rsidTr="00B15FAF">
        <w:trPr>
          <w:trHeight w:val="20"/>
        </w:trPr>
        <w:tc>
          <w:tcPr>
            <w:tcW w:w="2542" w:type="pct"/>
            <w:gridSpan w:val="3"/>
            <w:vAlign w:val="center"/>
          </w:tcPr>
          <w:p w:rsidR="00A55744" w:rsidRPr="00360FFB" w:rsidRDefault="00A55744" w:rsidP="00726B10">
            <w:pPr>
              <w:keepNext/>
              <w:keepLines/>
              <w:widowControl/>
              <w:rPr>
                <w:rFonts w:ascii="Arial Narrow" w:hAnsi="Arial Narrow"/>
                <w:sz w:val="20"/>
                <w:szCs w:val="18"/>
              </w:rPr>
            </w:pPr>
            <w:r w:rsidRPr="00360FFB">
              <w:rPr>
                <w:rFonts w:ascii="Arial Narrow" w:hAnsi="Arial Narrow"/>
                <w:sz w:val="20"/>
                <w:szCs w:val="18"/>
              </w:rPr>
              <w:t>Pooled ruxolitinib vs BAT (RESPONSE and RESPONSE-2)</w:t>
            </w:r>
          </w:p>
        </w:tc>
        <w:tc>
          <w:tcPr>
            <w:tcW w:w="898" w:type="pct"/>
            <w:vAlign w:val="center"/>
          </w:tcPr>
          <w:p w:rsidR="00A55744" w:rsidRPr="007C7AFD" w:rsidRDefault="004A4EFC" w:rsidP="00726B10">
            <w:pPr>
              <w:keepNext/>
              <w:keepLines/>
              <w:widowControl/>
              <w:jc w:val="center"/>
              <w:rPr>
                <w:rFonts w:ascii="Arial Narrow" w:hAnsi="Arial Narrow"/>
                <w:b/>
                <w:sz w:val="20"/>
                <w:szCs w:val="18"/>
              </w:rPr>
            </w:pPr>
            <w:r>
              <w:rPr>
                <w:rFonts w:ascii="Arial Narrow" w:hAnsi="Arial Narrow"/>
                <w:b/>
                <w:noProof/>
                <w:color w:val="000000"/>
                <w:sz w:val="20"/>
                <w:szCs w:val="18"/>
                <w:highlight w:val="black"/>
              </w:rPr>
              <w:t>''''''''</w:t>
            </w:r>
            <w:r w:rsidR="00A55744" w:rsidRPr="007C7AFD">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7C7AFD">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7C7AFD">
              <w:rPr>
                <w:rFonts w:ascii="Arial Narrow" w:hAnsi="Arial Narrow"/>
                <w:b/>
                <w:sz w:val="20"/>
                <w:szCs w:val="18"/>
              </w:rPr>
              <w:t>)</w:t>
            </w:r>
          </w:p>
        </w:tc>
        <w:tc>
          <w:tcPr>
            <w:tcW w:w="781" w:type="pct"/>
            <w:vAlign w:val="center"/>
          </w:tcPr>
          <w:p w:rsidR="00A55744" w:rsidRPr="007C7AFD" w:rsidRDefault="004A4EFC" w:rsidP="00726B10">
            <w:pPr>
              <w:keepNext/>
              <w:keepLines/>
              <w:widowControl/>
              <w:jc w:val="center"/>
              <w:rPr>
                <w:rFonts w:ascii="Arial Narrow" w:hAnsi="Arial Narrow"/>
                <w:b/>
                <w:sz w:val="20"/>
                <w:szCs w:val="18"/>
              </w:rPr>
            </w:pPr>
            <w:r>
              <w:rPr>
                <w:rFonts w:ascii="Arial Narrow" w:hAnsi="Arial Narrow"/>
                <w:b/>
                <w:noProof/>
                <w:color w:val="000000"/>
                <w:sz w:val="20"/>
                <w:szCs w:val="18"/>
                <w:highlight w:val="black"/>
              </w:rPr>
              <w:t>''''''''''</w:t>
            </w:r>
            <w:r w:rsidR="00A55744" w:rsidRPr="007C7AFD">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7C7AFD">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7C7AFD">
              <w:rPr>
                <w:rFonts w:ascii="Arial Narrow" w:hAnsi="Arial Narrow"/>
                <w:b/>
                <w:sz w:val="20"/>
                <w:szCs w:val="18"/>
              </w:rPr>
              <w:t>)</w:t>
            </w:r>
          </w:p>
        </w:tc>
        <w:tc>
          <w:tcPr>
            <w:tcW w:w="779" w:type="pct"/>
            <w:vAlign w:val="center"/>
          </w:tcPr>
          <w:p w:rsidR="00A55744" w:rsidRPr="007C7AFD" w:rsidRDefault="004A4EFC" w:rsidP="00726B10">
            <w:pPr>
              <w:keepNext/>
              <w:keepLines/>
              <w:widowControl/>
              <w:jc w:val="center"/>
              <w:rPr>
                <w:rFonts w:ascii="Arial Narrow" w:hAnsi="Arial Narrow"/>
                <w:b/>
                <w:sz w:val="20"/>
                <w:szCs w:val="18"/>
              </w:rPr>
            </w:pPr>
            <w:r>
              <w:rPr>
                <w:rFonts w:ascii="Arial Narrow" w:hAnsi="Arial Narrow"/>
                <w:b/>
                <w:noProof/>
                <w:color w:val="000000"/>
                <w:sz w:val="20"/>
                <w:szCs w:val="18"/>
                <w:highlight w:val="black"/>
              </w:rPr>
              <w:t>'''''''''</w:t>
            </w:r>
            <w:r w:rsidR="00A55744" w:rsidRPr="007C7AFD">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7C7AFD">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7C7AFD">
              <w:rPr>
                <w:rFonts w:ascii="Arial Narrow" w:hAnsi="Arial Narrow"/>
                <w:b/>
                <w:sz w:val="20"/>
                <w:szCs w:val="18"/>
              </w:rPr>
              <w:t>)</w:t>
            </w:r>
          </w:p>
        </w:tc>
      </w:tr>
      <w:tr w:rsidR="00A55744" w:rsidRPr="00360FFB" w:rsidTr="00B15FAF">
        <w:trPr>
          <w:trHeight w:val="20"/>
        </w:trPr>
        <w:tc>
          <w:tcPr>
            <w:tcW w:w="2542" w:type="pct"/>
            <w:gridSpan w:val="3"/>
            <w:vAlign w:val="center"/>
          </w:tcPr>
          <w:p w:rsidR="00A55744" w:rsidRPr="00360FFB" w:rsidRDefault="00A55744" w:rsidP="00726B10">
            <w:pPr>
              <w:keepNext/>
              <w:keepLines/>
              <w:widowControl/>
              <w:rPr>
                <w:rFonts w:ascii="Arial Narrow" w:hAnsi="Arial Narrow"/>
                <w:sz w:val="20"/>
                <w:szCs w:val="18"/>
              </w:rPr>
            </w:pPr>
            <w:r w:rsidRPr="00360FFB">
              <w:rPr>
                <w:rFonts w:ascii="Arial Narrow" w:hAnsi="Arial Narrow"/>
                <w:sz w:val="20"/>
                <w:szCs w:val="18"/>
              </w:rPr>
              <w:t>Heterogeneity</w:t>
            </w:r>
          </w:p>
        </w:tc>
        <w:tc>
          <w:tcPr>
            <w:tcW w:w="898" w:type="pct"/>
            <w:vAlign w:val="center"/>
          </w:tcPr>
          <w:p w:rsidR="00A55744" w:rsidRPr="00360FFB" w:rsidRDefault="00A55744" w:rsidP="00726B10">
            <w:pPr>
              <w:keepNext/>
              <w:keepLines/>
              <w:widowControl/>
              <w:jc w:val="center"/>
              <w:rPr>
                <w:rFonts w:ascii="Arial Narrow" w:hAnsi="Arial Narrow"/>
                <w:sz w:val="20"/>
                <w:szCs w:val="18"/>
              </w:rPr>
            </w:pPr>
            <w:r w:rsidRPr="00360FFB">
              <w:rPr>
                <w:rFonts w:ascii="Arial Narrow" w:hAnsi="Arial Narrow"/>
                <w:sz w:val="20"/>
                <w:szCs w:val="18"/>
              </w:rPr>
              <w:t xml:space="preserve">Tau² = </w:t>
            </w:r>
            <w:r w:rsidR="004A4EFC">
              <w:rPr>
                <w:rFonts w:ascii="Arial Narrow" w:hAnsi="Arial Narrow"/>
                <w:noProof/>
                <w:color w:val="000000"/>
                <w:sz w:val="20"/>
                <w:szCs w:val="18"/>
                <w:highlight w:val="black"/>
              </w:rPr>
              <w:t>'''''''''''</w:t>
            </w:r>
            <w:r w:rsidRPr="00360FFB">
              <w:rPr>
                <w:rFonts w:ascii="Arial Narrow" w:hAnsi="Arial Narrow"/>
                <w:sz w:val="20"/>
                <w:szCs w:val="18"/>
              </w:rPr>
              <w:t xml:space="preserve">; </w:t>
            </w:r>
            <w:r w:rsidR="00B15FAF">
              <w:rPr>
                <w:rFonts w:ascii="Arial Narrow" w:hAnsi="Arial Narrow"/>
                <w:sz w:val="20"/>
                <w:szCs w:val="18"/>
              </w:rPr>
              <w:br/>
            </w:r>
            <w:r w:rsidRPr="00360FFB">
              <w:rPr>
                <w:rFonts w:ascii="Arial Narrow" w:hAnsi="Arial Narrow"/>
                <w:sz w:val="20"/>
                <w:szCs w:val="18"/>
              </w:rPr>
              <w:t xml:space="preserve">Chi² = </w:t>
            </w:r>
            <w:r w:rsidR="004A4EFC">
              <w:rPr>
                <w:rFonts w:ascii="Arial Narrow" w:hAnsi="Arial Narrow"/>
                <w:noProof/>
                <w:color w:val="000000"/>
                <w:sz w:val="20"/>
                <w:szCs w:val="18"/>
                <w:highlight w:val="black"/>
              </w:rPr>
              <w:t>''''''''''</w:t>
            </w:r>
            <w:r w:rsidRPr="00360FFB">
              <w:rPr>
                <w:rFonts w:ascii="Arial Narrow" w:hAnsi="Arial Narrow"/>
                <w:sz w:val="20"/>
                <w:szCs w:val="18"/>
              </w:rPr>
              <w:t xml:space="preserve">, </w:t>
            </w:r>
            <w:proofErr w:type="spellStart"/>
            <w:r w:rsidRPr="00360FFB">
              <w:rPr>
                <w:rFonts w:ascii="Arial Narrow" w:hAnsi="Arial Narrow"/>
                <w:sz w:val="20"/>
                <w:szCs w:val="18"/>
              </w:rPr>
              <w:t>df</w:t>
            </w:r>
            <w:proofErr w:type="spellEnd"/>
            <w:r w:rsidRPr="00360FFB">
              <w:rPr>
                <w:rFonts w:ascii="Arial Narrow" w:hAnsi="Arial Narrow"/>
                <w:sz w:val="20"/>
                <w:szCs w:val="18"/>
              </w:rPr>
              <w:t xml:space="preserve"> = </w:t>
            </w:r>
            <w:r w:rsidR="004A4EFC">
              <w:rPr>
                <w:rFonts w:ascii="Arial Narrow" w:hAnsi="Arial Narrow"/>
                <w:noProof/>
                <w:color w:val="000000"/>
                <w:sz w:val="20"/>
                <w:szCs w:val="18"/>
                <w:highlight w:val="black"/>
              </w:rPr>
              <w:t>''''</w:t>
            </w:r>
            <w:r w:rsidRPr="00360FFB">
              <w:rPr>
                <w:rFonts w:ascii="Arial Narrow" w:hAnsi="Arial Narrow"/>
                <w:sz w:val="20"/>
                <w:szCs w:val="18"/>
              </w:rPr>
              <w:t xml:space="preserve"> </w:t>
            </w:r>
            <w:r w:rsidR="00B15FAF">
              <w:rPr>
                <w:rFonts w:ascii="Arial Narrow" w:hAnsi="Arial Narrow"/>
                <w:sz w:val="20"/>
                <w:szCs w:val="18"/>
              </w:rPr>
              <w:br/>
            </w:r>
            <w:r w:rsidRPr="00360FFB">
              <w:rPr>
                <w:rFonts w:ascii="Arial Narrow" w:hAnsi="Arial Narrow"/>
                <w:sz w:val="20"/>
                <w:szCs w:val="18"/>
              </w:rPr>
              <w:t xml:space="preserve">(P = </w:t>
            </w:r>
            <w:r w:rsidR="004A4EFC">
              <w:rPr>
                <w:rFonts w:ascii="Arial Narrow" w:hAnsi="Arial Narrow"/>
                <w:noProof/>
                <w:color w:val="000000"/>
                <w:sz w:val="20"/>
                <w:szCs w:val="18"/>
                <w:highlight w:val="black"/>
              </w:rPr>
              <w:t>''''''''''''</w:t>
            </w:r>
            <w:r w:rsidRPr="00360FFB">
              <w:rPr>
                <w:rFonts w:ascii="Arial Narrow" w:hAnsi="Arial Narrow"/>
                <w:sz w:val="20"/>
                <w:szCs w:val="18"/>
              </w:rPr>
              <w:t xml:space="preserve">); I² = </w:t>
            </w:r>
            <w:r w:rsidR="004A4EFC">
              <w:rPr>
                <w:rFonts w:ascii="Arial Narrow" w:hAnsi="Arial Narrow"/>
                <w:noProof/>
                <w:color w:val="000000"/>
                <w:sz w:val="20"/>
                <w:szCs w:val="18"/>
                <w:highlight w:val="black"/>
              </w:rPr>
              <w:t>''''</w:t>
            </w:r>
            <w:r w:rsidRPr="00360FFB">
              <w:rPr>
                <w:rFonts w:ascii="Arial Narrow" w:hAnsi="Arial Narrow"/>
                <w:sz w:val="20"/>
                <w:szCs w:val="18"/>
              </w:rPr>
              <w:t>%</w:t>
            </w:r>
          </w:p>
        </w:tc>
        <w:tc>
          <w:tcPr>
            <w:tcW w:w="781" w:type="pct"/>
            <w:vAlign w:val="center"/>
          </w:tcPr>
          <w:p w:rsidR="00A55744" w:rsidRPr="00360FFB" w:rsidRDefault="00A55744" w:rsidP="00726B10">
            <w:pPr>
              <w:keepNext/>
              <w:keepLines/>
              <w:widowControl/>
              <w:jc w:val="center"/>
              <w:rPr>
                <w:rFonts w:ascii="Arial Narrow" w:hAnsi="Arial Narrow"/>
                <w:sz w:val="20"/>
                <w:szCs w:val="18"/>
              </w:rPr>
            </w:pPr>
            <w:r w:rsidRPr="00360FFB">
              <w:rPr>
                <w:rFonts w:ascii="Arial Narrow" w:hAnsi="Arial Narrow"/>
                <w:sz w:val="20"/>
                <w:szCs w:val="18"/>
              </w:rPr>
              <w:t xml:space="preserve">Tau² = </w:t>
            </w:r>
            <w:r w:rsidR="004A4EFC">
              <w:rPr>
                <w:rFonts w:ascii="Arial Narrow" w:hAnsi="Arial Narrow"/>
                <w:noProof/>
                <w:color w:val="000000"/>
                <w:sz w:val="20"/>
                <w:szCs w:val="18"/>
                <w:highlight w:val="black"/>
              </w:rPr>
              <w:t>''''''''''</w:t>
            </w:r>
            <w:r w:rsidRPr="00360FFB">
              <w:rPr>
                <w:rFonts w:ascii="Arial Narrow" w:hAnsi="Arial Narrow"/>
                <w:sz w:val="20"/>
                <w:szCs w:val="18"/>
              </w:rPr>
              <w:t xml:space="preserve">; </w:t>
            </w:r>
            <w:r w:rsidR="00B15FAF">
              <w:rPr>
                <w:rFonts w:ascii="Arial Narrow" w:hAnsi="Arial Narrow"/>
                <w:sz w:val="20"/>
                <w:szCs w:val="18"/>
              </w:rPr>
              <w:br/>
            </w:r>
            <w:r w:rsidRPr="00360FFB">
              <w:rPr>
                <w:rFonts w:ascii="Arial Narrow" w:hAnsi="Arial Narrow"/>
                <w:sz w:val="20"/>
                <w:szCs w:val="18"/>
              </w:rPr>
              <w:t xml:space="preserve">Chi² = </w:t>
            </w:r>
            <w:r w:rsidR="004A4EFC">
              <w:rPr>
                <w:rFonts w:ascii="Arial Narrow" w:hAnsi="Arial Narrow"/>
                <w:noProof/>
                <w:color w:val="000000"/>
                <w:sz w:val="20"/>
                <w:szCs w:val="18"/>
                <w:highlight w:val="black"/>
              </w:rPr>
              <w:t>''''''''''''</w:t>
            </w:r>
            <w:r w:rsidRPr="00360FFB">
              <w:rPr>
                <w:rFonts w:ascii="Arial Narrow" w:hAnsi="Arial Narrow"/>
                <w:sz w:val="20"/>
                <w:szCs w:val="18"/>
              </w:rPr>
              <w:t xml:space="preserve">, </w:t>
            </w:r>
            <w:proofErr w:type="spellStart"/>
            <w:r w:rsidRPr="00360FFB">
              <w:rPr>
                <w:rFonts w:ascii="Arial Narrow" w:hAnsi="Arial Narrow"/>
                <w:sz w:val="20"/>
                <w:szCs w:val="18"/>
              </w:rPr>
              <w:t>df</w:t>
            </w:r>
            <w:proofErr w:type="spellEnd"/>
            <w:r w:rsidRPr="00360FFB">
              <w:rPr>
                <w:rFonts w:ascii="Arial Narrow" w:hAnsi="Arial Narrow"/>
                <w:sz w:val="20"/>
                <w:szCs w:val="18"/>
              </w:rPr>
              <w:t xml:space="preserve"> = </w:t>
            </w:r>
            <w:r w:rsidR="004A4EFC">
              <w:rPr>
                <w:rFonts w:ascii="Arial Narrow" w:hAnsi="Arial Narrow"/>
                <w:noProof/>
                <w:color w:val="000000"/>
                <w:sz w:val="20"/>
                <w:szCs w:val="18"/>
                <w:highlight w:val="black"/>
              </w:rPr>
              <w:t>''''</w:t>
            </w:r>
            <w:r w:rsidRPr="00360FFB">
              <w:rPr>
                <w:rFonts w:ascii="Arial Narrow" w:hAnsi="Arial Narrow"/>
                <w:sz w:val="20"/>
                <w:szCs w:val="18"/>
              </w:rPr>
              <w:t xml:space="preserve"> (P = </w:t>
            </w:r>
            <w:r w:rsidR="004A4EFC">
              <w:rPr>
                <w:rFonts w:ascii="Arial Narrow" w:hAnsi="Arial Narrow"/>
                <w:noProof/>
                <w:color w:val="000000"/>
                <w:sz w:val="20"/>
                <w:szCs w:val="18"/>
                <w:highlight w:val="black"/>
              </w:rPr>
              <w:t>''''''''''</w:t>
            </w:r>
            <w:r w:rsidRPr="00360FFB">
              <w:rPr>
                <w:rFonts w:ascii="Arial Narrow" w:hAnsi="Arial Narrow"/>
                <w:sz w:val="20"/>
                <w:szCs w:val="18"/>
              </w:rPr>
              <w:t xml:space="preserve">); I² = </w:t>
            </w:r>
            <w:r w:rsidR="004A4EFC">
              <w:rPr>
                <w:rFonts w:ascii="Arial Narrow" w:hAnsi="Arial Narrow"/>
                <w:noProof/>
                <w:color w:val="000000"/>
                <w:sz w:val="20"/>
                <w:szCs w:val="18"/>
                <w:highlight w:val="black"/>
              </w:rPr>
              <w:t>'''</w:t>
            </w:r>
            <w:r w:rsidRPr="00360FFB">
              <w:rPr>
                <w:rFonts w:ascii="Arial Narrow" w:hAnsi="Arial Narrow"/>
                <w:sz w:val="20"/>
                <w:szCs w:val="18"/>
              </w:rPr>
              <w:t>%</w:t>
            </w:r>
          </w:p>
        </w:tc>
        <w:tc>
          <w:tcPr>
            <w:tcW w:w="779" w:type="pct"/>
            <w:vAlign w:val="center"/>
          </w:tcPr>
          <w:p w:rsidR="00A55744" w:rsidRPr="00360FFB" w:rsidRDefault="00A55744" w:rsidP="00726B10">
            <w:pPr>
              <w:keepNext/>
              <w:keepLines/>
              <w:widowControl/>
              <w:jc w:val="center"/>
              <w:rPr>
                <w:rFonts w:ascii="Arial Narrow" w:hAnsi="Arial Narrow"/>
                <w:sz w:val="20"/>
                <w:szCs w:val="18"/>
              </w:rPr>
            </w:pPr>
            <w:r w:rsidRPr="00360FFB">
              <w:rPr>
                <w:rFonts w:ascii="Arial Narrow" w:hAnsi="Arial Narrow"/>
                <w:sz w:val="20"/>
                <w:szCs w:val="18"/>
              </w:rPr>
              <w:t xml:space="preserve">Tau² = </w:t>
            </w:r>
            <w:r w:rsidR="004A4EFC">
              <w:rPr>
                <w:rFonts w:ascii="Arial Narrow" w:hAnsi="Arial Narrow"/>
                <w:noProof/>
                <w:color w:val="000000"/>
                <w:sz w:val="20"/>
                <w:szCs w:val="18"/>
                <w:highlight w:val="black"/>
              </w:rPr>
              <w:t>'''''''''''</w:t>
            </w:r>
            <w:r w:rsidRPr="00360FFB">
              <w:rPr>
                <w:rFonts w:ascii="Arial Narrow" w:hAnsi="Arial Narrow"/>
                <w:sz w:val="20"/>
                <w:szCs w:val="18"/>
              </w:rPr>
              <w:t xml:space="preserve">; </w:t>
            </w:r>
            <w:r w:rsidR="00B15FAF">
              <w:rPr>
                <w:rFonts w:ascii="Arial Narrow" w:hAnsi="Arial Narrow"/>
                <w:sz w:val="20"/>
                <w:szCs w:val="18"/>
              </w:rPr>
              <w:br/>
            </w:r>
            <w:r w:rsidRPr="00360FFB">
              <w:rPr>
                <w:rFonts w:ascii="Arial Narrow" w:hAnsi="Arial Narrow"/>
                <w:sz w:val="20"/>
                <w:szCs w:val="18"/>
              </w:rPr>
              <w:t xml:space="preserve">Chi² = </w:t>
            </w:r>
            <w:r w:rsidR="004A4EFC">
              <w:rPr>
                <w:rFonts w:ascii="Arial Narrow" w:hAnsi="Arial Narrow"/>
                <w:noProof/>
                <w:color w:val="000000"/>
                <w:sz w:val="20"/>
                <w:szCs w:val="18"/>
                <w:highlight w:val="black"/>
              </w:rPr>
              <w:t>'''''''''''</w:t>
            </w:r>
            <w:r w:rsidRPr="00360FFB">
              <w:rPr>
                <w:rFonts w:ascii="Arial Narrow" w:hAnsi="Arial Narrow"/>
                <w:sz w:val="20"/>
                <w:szCs w:val="18"/>
              </w:rPr>
              <w:t xml:space="preserve">, </w:t>
            </w:r>
            <w:proofErr w:type="spellStart"/>
            <w:r w:rsidRPr="00360FFB">
              <w:rPr>
                <w:rFonts w:ascii="Arial Narrow" w:hAnsi="Arial Narrow"/>
                <w:sz w:val="20"/>
                <w:szCs w:val="18"/>
              </w:rPr>
              <w:t>df</w:t>
            </w:r>
            <w:proofErr w:type="spellEnd"/>
            <w:r w:rsidRPr="00360FFB">
              <w:rPr>
                <w:rFonts w:ascii="Arial Narrow" w:hAnsi="Arial Narrow"/>
                <w:sz w:val="20"/>
                <w:szCs w:val="18"/>
              </w:rPr>
              <w:t xml:space="preserve"> = </w:t>
            </w:r>
            <w:r w:rsidR="004A4EFC">
              <w:rPr>
                <w:rFonts w:ascii="Arial Narrow" w:hAnsi="Arial Narrow"/>
                <w:noProof/>
                <w:color w:val="000000"/>
                <w:sz w:val="20"/>
                <w:szCs w:val="18"/>
                <w:highlight w:val="black"/>
              </w:rPr>
              <w:t>''''</w:t>
            </w:r>
            <w:r w:rsidRPr="00360FFB">
              <w:rPr>
                <w:rFonts w:ascii="Arial Narrow" w:hAnsi="Arial Narrow"/>
                <w:sz w:val="20"/>
                <w:szCs w:val="18"/>
              </w:rPr>
              <w:t xml:space="preserve"> (P = </w:t>
            </w:r>
            <w:r w:rsidR="004A4EFC">
              <w:rPr>
                <w:rFonts w:ascii="Arial Narrow" w:hAnsi="Arial Narrow"/>
                <w:noProof/>
                <w:color w:val="000000"/>
                <w:sz w:val="20"/>
                <w:szCs w:val="18"/>
                <w:highlight w:val="black"/>
              </w:rPr>
              <w:t>''''''''''</w:t>
            </w:r>
            <w:r w:rsidRPr="00360FFB">
              <w:rPr>
                <w:rFonts w:ascii="Arial Narrow" w:hAnsi="Arial Narrow"/>
                <w:sz w:val="20"/>
                <w:szCs w:val="18"/>
              </w:rPr>
              <w:t xml:space="preserve">); I² = </w:t>
            </w:r>
            <w:r w:rsidR="004A4EFC">
              <w:rPr>
                <w:rFonts w:ascii="Arial Narrow" w:hAnsi="Arial Narrow"/>
                <w:noProof/>
                <w:color w:val="000000"/>
                <w:sz w:val="20"/>
                <w:szCs w:val="18"/>
                <w:highlight w:val="black"/>
              </w:rPr>
              <w:t>'''</w:t>
            </w:r>
            <w:r w:rsidRPr="00360FFB">
              <w:rPr>
                <w:rFonts w:ascii="Arial Narrow" w:hAnsi="Arial Narrow"/>
                <w:sz w:val="20"/>
                <w:szCs w:val="18"/>
              </w:rPr>
              <w:t>%</w:t>
            </w:r>
          </w:p>
        </w:tc>
      </w:tr>
      <w:tr w:rsidR="00A55744" w:rsidRPr="008F3188" w:rsidTr="00B15FAF">
        <w:trPr>
          <w:trHeight w:val="20"/>
        </w:trPr>
        <w:tc>
          <w:tcPr>
            <w:tcW w:w="2542" w:type="pct"/>
            <w:gridSpan w:val="3"/>
            <w:vAlign w:val="center"/>
          </w:tcPr>
          <w:p w:rsidR="00A55744" w:rsidRPr="008F3188" w:rsidRDefault="00A55744" w:rsidP="00726B10">
            <w:pPr>
              <w:keepNext/>
              <w:keepLines/>
              <w:widowControl/>
              <w:rPr>
                <w:rFonts w:ascii="Arial Narrow" w:hAnsi="Arial Narrow"/>
                <w:sz w:val="20"/>
                <w:szCs w:val="18"/>
              </w:rPr>
            </w:pPr>
            <w:r w:rsidRPr="008F3188">
              <w:rPr>
                <w:rFonts w:ascii="Arial Narrow" w:hAnsi="Arial Narrow"/>
                <w:sz w:val="20"/>
                <w:szCs w:val="18"/>
              </w:rPr>
              <w:t>Pooled ruxolitinib vs BAT (all trials)</w:t>
            </w:r>
            <w:r w:rsidR="00912042" w:rsidRPr="008C1AD0">
              <w:rPr>
                <w:rFonts w:ascii="Arial Narrow" w:hAnsi="Arial Narrow"/>
                <w:sz w:val="18"/>
                <w:szCs w:val="20"/>
                <w:vertAlign w:val="superscript"/>
              </w:rPr>
              <w:t>a</w:t>
            </w:r>
          </w:p>
        </w:tc>
        <w:tc>
          <w:tcPr>
            <w:tcW w:w="898" w:type="pct"/>
            <w:vAlign w:val="center"/>
          </w:tcPr>
          <w:p w:rsidR="00A55744" w:rsidRPr="00696521" w:rsidRDefault="004A4EFC" w:rsidP="00726B10">
            <w:pPr>
              <w:keepNext/>
              <w:keepLines/>
              <w:widowControl/>
              <w:jc w:val="center"/>
              <w:rPr>
                <w:rFonts w:ascii="Arial Narrow" w:hAnsi="Arial Narrow"/>
                <w:b/>
                <w:sz w:val="20"/>
                <w:szCs w:val="18"/>
              </w:rPr>
            </w:pPr>
            <w:r>
              <w:rPr>
                <w:rFonts w:ascii="Arial Narrow" w:hAnsi="Arial Narrow"/>
                <w:b/>
                <w:noProof/>
                <w:color w:val="000000"/>
                <w:sz w:val="20"/>
                <w:szCs w:val="18"/>
                <w:highlight w:val="black"/>
              </w:rPr>
              <w:t>'''''''''</w:t>
            </w:r>
            <w:r w:rsidR="00A55744" w:rsidRPr="00696521">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696521">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696521">
              <w:rPr>
                <w:rFonts w:ascii="Arial Narrow" w:hAnsi="Arial Narrow"/>
                <w:b/>
                <w:sz w:val="20"/>
                <w:szCs w:val="18"/>
              </w:rPr>
              <w:t>)</w:t>
            </w:r>
          </w:p>
        </w:tc>
        <w:tc>
          <w:tcPr>
            <w:tcW w:w="781" w:type="pct"/>
            <w:vAlign w:val="center"/>
          </w:tcPr>
          <w:p w:rsidR="00A55744" w:rsidRPr="00696521" w:rsidRDefault="004A4EFC" w:rsidP="00726B10">
            <w:pPr>
              <w:keepNext/>
              <w:keepLines/>
              <w:widowControl/>
              <w:jc w:val="center"/>
              <w:rPr>
                <w:rFonts w:ascii="Arial Narrow" w:hAnsi="Arial Narrow"/>
                <w:b/>
                <w:sz w:val="20"/>
                <w:szCs w:val="18"/>
              </w:rPr>
            </w:pPr>
            <w:r>
              <w:rPr>
                <w:rFonts w:ascii="Arial Narrow" w:hAnsi="Arial Narrow"/>
                <w:b/>
                <w:noProof/>
                <w:color w:val="000000"/>
                <w:sz w:val="20"/>
                <w:szCs w:val="18"/>
                <w:highlight w:val="black"/>
              </w:rPr>
              <w:t>'''''''''</w:t>
            </w:r>
            <w:r w:rsidR="00A55744" w:rsidRPr="00696521">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696521">
              <w:rPr>
                <w:rFonts w:ascii="Arial Narrow" w:hAnsi="Arial Narrow"/>
                <w:b/>
                <w:sz w:val="20"/>
                <w:szCs w:val="18"/>
              </w:rPr>
              <w:t>,</w:t>
            </w:r>
            <w:r>
              <w:rPr>
                <w:rFonts w:ascii="Arial Narrow" w:hAnsi="Arial Narrow"/>
                <w:b/>
                <w:noProof/>
                <w:color w:val="000000"/>
                <w:sz w:val="20"/>
                <w:szCs w:val="18"/>
                <w:highlight w:val="black"/>
              </w:rPr>
              <w:t>''''''''</w:t>
            </w:r>
            <w:r w:rsidR="00A55744" w:rsidRPr="00696521">
              <w:rPr>
                <w:rFonts w:ascii="Arial Narrow" w:hAnsi="Arial Narrow"/>
                <w:b/>
                <w:sz w:val="20"/>
                <w:szCs w:val="18"/>
              </w:rPr>
              <w:t>)</w:t>
            </w:r>
          </w:p>
        </w:tc>
        <w:tc>
          <w:tcPr>
            <w:tcW w:w="779" w:type="pct"/>
            <w:vAlign w:val="center"/>
          </w:tcPr>
          <w:p w:rsidR="00A55744" w:rsidRPr="00696521" w:rsidRDefault="004A4EFC" w:rsidP="00726B10">
            <w:pPr>
              <w:keepNext/>
              <w:keepLines/>
              <w:widowControl/>
              <w:jc w:val="center"/>
              <w:rPr>
                <w:rFonts w:ascii="Arial Narrow" w:hAnsi="Arial Narrow"/>
                <w:b/>
                <w:sz w:val="20"/>
                <w:szCs w:val="18"/>
              </w:rPr>
            </w:pPr>
            <w:r>
              <w:rPr>
                <w:rFonts w:ascii="Arial Narrow" w:hAnsi="Arial Narrow"/>
                <w:b/>
                <w:noProof/>
                <w:color w:val="000000"/>
                <w:sz w:val="20"/>
                <w:szCs w:val="18"/>
                <w:highlight w:val="black"/>
              </w:rPr>
              <w:t>''''''''''</w:t>
            </w:r>
            <w:r w:rsidR="00A55744" w:rsidRPr="00696521">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696521">
              <w:rPr>
                <w:rFonts w:ascii="Arial Narrow" w:hAnsi="Arial Narrow"/>
                <w:b/>
                <w:sz w:val="20"/>
                <w:szCs w:val="18"/>
              </w:rPr>
              <w:t xml:space="preserve">, </w:t>
            </w:r>
            <w:r>
              <w:rPr>
                <w:rFonts w:ascii="Arial Narrow" w:hAnsi="Arial Narrow"/>
                <w:b/>
                <w:noProof/>
                <w:color w:val="000000"/>
                <w:sz w:val="20"/>
                <w:szCs w:val="18"/>
                <w:highlight w:val="black"/>
              </w:rPr>
              <w:t>'''''''''</w:t>
            </w:r>
            <w:r w:rsidR="00A55744" w:rsidRPr="00696521">
              <w:rPr>
                <w:rFonts w:ascii="Arial Narrow" w:hAnsi="Arial Narrow"/>
                <w:b/>
                <w:sz w:val="20"/>
                <w:szCs w:val="18"/>
              </w:rPr>
              <w:t>)</w:t>
            </w:r>
          </w:p>
        </w:tc>
      </w:tr>
      <w:tr w:rsidR="00A55744" w:rsidRPr="008F3188" w:rsidTr="00B15FAF">
        <w:trPr>
          <w:trHeight w:val="20"/>
        </w:trPr>
        <w:tc>
          <w:tcPr>
            <w:tcW w:w="2542" w:type="pct"/>
            <w:gridSpan w:val="3"/>
            <w:vAlign w:val="center"/>
          </w:tcPr>
          <w:p w:rsidR="00A55744" w:rsidRPr="008F3188" w:rsidRDefault="00A55744" w:rsidP="00726B10">
            <w:pPr>
              <w:keepNext/>
              <w:keepLines/>
              <w:widowControl/>
              <w:rPr>
                <w:rFonts w:ascii="Arial Narrow" w:hAnsi="Arial Narrow"/>
                <w:sz w:val="20"/>
                <w:szCs w:val="18"/>
              </w:rPr>
            </w:pPr>
            <w:proofErr w:type="spellStart"/>
            <w:r w:rsidRPr="008F3188">
              <w:rPr>
                <w:rFonts w:ascii="Arial Narrow" w:hAnsi="Arial Narrow"/>
                <w:sz w:val="20"/>
                <w:szCs w:val="18"/>
              </w:rPr>
              <w:t>Heterogeneity</w:t>
            </w:r>
            <w:r w:rsidR="00912042" w:rsidRPr="008C1AD0">
              <w:rPr>
                <w:rFonts w:ascii="Arial Narrow" w:hAnsi="Arial Narrow"/>
                <w:sz w:val="18"/>
                <w:szCs w:val="20"/>
                <w:vertAlign w:val="superscript"/>
              </w:rPr>
              <w:t>a</w:t>
            </w:r>
            <w:proofErr w:type="spellEnd"/>
          </w:p>
        </w:tc>
        <w:tc>
          <w:tcPr>
            <w:tcW w:w="898" w:type="pct"/>
            <w:vAlign w:val="center"/>
          </w:tcPr>
          <w:p w:rsidR="00A55744" w:rsidRPr="00696521" w:rsidRDefault="00A55744" w:rsidP="00726B10">
            <w:pPr>
              <w:keepNext/>
              <w:keepLines/>
              <w:widowControl/>
              <w:jc w:val="center"/>
              <w:rPr>
                <w:rFonts w:ascii="Arial Narrow" w:hAnsi="Arial Narrow"/>
                <w:sz w:val="20"/>
                <w:szCs w:val="18"/>
              </w:rPr>
            </w:pPr>
            <w:r w:rsidRPr="00696521">
              <w:rPr>
                <w:rFonts w:ascii="Arial Narrow" w:hAnsi="Arial Narrow"/>
                <w:sz w:val="20"/>
                <w:szCs w:val="18"/>
              </w:rPr>
              <w:t xml:space="preserve">Chi² = </w:t>
            </w:r>
            <w:r w:rsidR="004A4EFC">
              <w:rPr>
                <w:rFonts w:ascii="Arial Narrow" w:hAnsi="Arial Narrow"/>
                <w:noProof/>
                <w:color w:val="000000"/>
                <w:sz w:val="20"/>
                <w:szCs w:val="18"/>
                <w:highlight w:val="black"/>
              </w:rPr>
              <w:t>''''''''''</w:t>
            </w:r>
            <w:r w:rsidRPr="00696521">
              <w:rPr>
                <w:rFonts w:ascii="Arial Narrow" w:hAnsi="Arial Narrow"/>
                <w:sz w:val="20"/>
                <w:szCs w:val="18"/>
              </w:rPr>
              <w:t xml:space="preserve">, </w:t>
            </w:r>
            <w:proofErr w:type="spellStart"/>
            <w:r w:rsidRPr="00696521">
              <w:rPr>
                <w:rFonts w:ascii="Arial Narrow" w:hAnsi="Arial Narrow"/>
                <w:sz w:val="20"/>
                <w:szCs w:val="18"/>
              </w:rPr>
              <w:t>df</w:t>
            </w:r>
            <w:proofErr w:type="spellEnd"/>
            <w:r w:rsidRPr="00696521">
              <w:rPr>
                <w:rFonts w:ascii="Arial Narrow" w:hAnsi="Arial Narrow"/>
                <w:sz w:val="20"/>
                <w:szCs w:val="18"/>
              </w:rPr>
              <w:t xml:space="preserve"> = </w:t>
            </w:r>
            <w:r w:rsidR="004A4EFC">
              <w:rPr>
                <w:rFonts w:ascii="Arial Narrow" w:hAnsi="Arial Narrow"/>
                <w:noProof/>
                <w:color w:val="000000"/>
                <w:sz w:val="20"/>
                <w:szCs w:val="18"/>
                <w:highlight w:val="black"/>
              </w:rPr>
              <w:t>'''</w:t>
            </w:r>
            <w:r w:rsidRPr="00696521">
              <w:rPr>
                <w:rFonts w:ascii="Arial Narrow" w:hAnsi="Arial Narrow"/>
                <w:sz w:val="20"/>
                <w:szCs w:val="18"/>
              </w:rPr>
              <w:t xml:space="preserve"> </w:t>
            </w:r>
            <w:r w:rsidR="00B15FAF" w:rsidRPr="00696521">
              <w:rPr>
                <w:rFonts w:ascii="Arial Narrow" w:hAnsi="Arial Narrow"/>
                <w:sz w:val="20"/>
                <w:szCs w:val="18"/>
              </w:rPr>
              <w:br/>
            </w:r>
            <w:r w:rsidRPr="00696521">
              <w:rPr>
                <w:rFonts w:ascii="Arial Narrow" w:hAnsi="Arial Narrow"/>
                <w:sz w:val="20"/>
                <w:szCs w:val="18"/>
              </w:rPr>
              <w:t>(P =</w:t>
            </w:r>
            <w:r w:rsidR="004A4EFC">
              <w:rPr>
                <w:rFonts w:ascii="Arial Narrow" w:hAnsi="Arial Narrow"/>
                <w:noProof/>
                <w:color w:val="000000"/>
                <w:sz w:val="20"/>
                <w:szCs w:val="18"/>
                <w:highlight w:val="black"/>
              </w:rPr>
              <w:t>'''''''''''''</w:t>
            </w:r>
            <w:r w:rsidRPr="00696521">
              <w:rPr>
                <w:rFonts w:ascii="Arial Narrow" w:hAnsi="Arial Narrow"/>
                <w:sz w:val="20"/>
                <w:szCs w:val="18"/>
              </w:rPr>
              <w:t xml:space="preserve">); </w:t>
            </w:r>
            <w:r w:rsidR="00B15FAF" w:rsidRPr="00696521">
              <w:rPr>
                <w:rFonts w:ascii="Arial Narrow" w:hAnsi="Arial Narrow"/>
                <w:sz w:val="20"/>
                <w:szCs w:val="18"/>
              </w:rPr>
              <w:br/>
            </w:r>
            <w:r w:rsidRPr="00696521">
              <w:rPr>
                <w:rFonts w:ascii="Arial Narrow" w:hAnsi="Arial Narrow"/>
                <w:sz w:val="20"/>
                <w:szCs w:val="18"/>
              </w:rPr>
              <w:t xml:space="preserve">I² = </w:t>
            </w:r>
            <w:r w:rsidR="004A4EFC">
              <w:rPr>
                <w:rFonts w:ascii="Arial Narrow" w:hAnsi="Arial Narrow"/>
                <w:noProof/>
                <w:color w:val="000000"/>
                <w:sz w:val="20"/>
                <w:szCs w:val="18"/>
                <w:highlight w:val="black"/>
              </w:rPr>
              <w:t>''''''''''''</w:t>
            </w:r>
            <w:r w:rsidRPr="00696521">
              <w:rPr>
                <w:rFonts w:ascii="Arial Narrow" w:hAnsi="Arial Narrow"/>
                <w:sz w:val="20"/>
                <w:szCs w:val="18"/>
              </w:rPr>
              <w:t>%</w:t>
            </w:r>
          </w:p>
        </w:tc>
        <w:tc>
          <w:tcPr>
            <w:tcW w:w="781" w:type="pct"/>
            <w:vAlign w:val="center"/>
          </w:tcPr>
          <w:p w:rsidR="00A55744" w:rsidRPr="00696521" w:rsidRDefault="00A55744" w:rsidP="00726B10">
            <w:pPr>
              <w:keepNext/>
              <w:keepLines/>
              <w:widowControl/>
              <w:jc w:val="center"/>
              <w:rPr>
                <w:rFonts w:ascii="Arial Narrow" w:hAnsi="Arial Narrow"/>
                <w:sz w:val="20"/>
                <w:szCs w:val="18"/>
              </w:rPr>
            </w:pPr>
            <w:r w:rsidRPr="00696521">
              <w:rPr>
                <w:rFonts w:ascii="Arial Narrow" w:hAnsi="Arial Narrow"/>
                <w:sz w:val="20"/>
                <w:szCs w:val="18"/>
              </w:rPr>
              <w:t xml:space="preserve">Chi² = </w:t>
            </w:r>
            <w:r w:rsidR="004A4EFC">
              <w:rPr>
                <w:rFonts w:ascii="Arial Narrow" w:hAnsi="Arial Narrow"/>
                <w:noProof/>
                <w:color w:val="000000"/>
                <w:sz w:val="20"/>
                <w:szCs w:val="18"/>
                <w:highlight w:val="black"/>
              </w:rPr>
              <w:t>'''''''''''</w:t>
            </w:r>
            <w:r w:rsidRPr="00696521">
              <w:rPr>
                <w:rFonts w:ascii="Arial Narrow" w:hAnsi="Arial Narrow"/>
                <w:sz w:val="20"/>
                <w:szCs w:val="18"/>
              </w:rPr>
              <w:t xml:space="preserve">, </w:t>
            </w:r>
            <w:proofErr w:type="spellStart"/>
            <w:r w:rsidRPr="00696521">
              <w:rPr>
                <w:rFonts w:ascii="Arial Narrow" w:hAnsi="Arial Narrow"/>
                <w:sz w:val="20"/>
                <w:szCs w:val="18"/>
              </w:rPr>
              <w:t>df</w:t>
            </w:r>
            <w:proofErr w:type="spellEnd"/>
            <w:r w:rsidRPr="00696521">
              <w:rPr>
                <w:rFonts w:ascii="Arial Narrow" w:hAnsi="Arial Narrow"/>
                <w:sz w:val="20"/>
                <w:szCs w:val="18"/>
              </w:rPr>
              <w:t xml:space="preserve"> = </w:t>
            </w:r>
            <w:r w:rsidR="004A4EFC">
              <w:rPr>
                <w:rFonts w:ascii="Arial Narrow" w:hAnsi="Arial Narrow"/>
                <w:noProof/>
                <w:color w:val="000000"/>
                <w:sz w:val="20"/>
                <w:szCs w:val="18"/>
                <w:highlight w:val="black"/>
              </w:rPr>
              <w:t>''''</w:t>
            </w:r>
            <w:r w:rsidRPr="00696521">
              <w:rPr>
                <w:rFonts w:ascii="Arial Narrow" w:hAnsi="Arial Narrow"/>
                <w:sz w:val="20"/>
                <w:szCs w:val="18"/>
              </w:rPr>
              <w:t xml:space="preserve"> (P = </w:t>
            </w:r>
            <w:r w:rsidR="004A4EFC">
              <w:rPr>
                <w:rFonts w:ascii="Arial Narrow" w:hAnsi="Arial Narrow"/>
                <w:noProof/>
                <w:color w:val="000000"/>
                <w:sz w:val="20"/>
                <w:szCs w:val="18"/>
                <w:highlight w:val="black"/>
              </w:rPr>
              <w:t>''''''''''''''''''</w:t>
            </w:r>
            <w:r w:rsidRPr="00696521">
              <w:rPr>
                <w:rFonts w:ascii="Arial Narrow" w:hAnsi="Arial Narrow"/>
                <w:sz w:val="20"/>
                <w:szCs w:val="18"/>
              </w:rPr>
              <w:t>);</w:t>
            </w:r>
            <w:r w:rsidR="00B15FAF" w:rsidRPr="00696521">
              <w:rPr>
                <w:rFonts w:ascii="Arial Narrow" w:hAnsi="Arial Narrow"/>
                <w:sz w:val="20"/>
                <w:szCs w:val="18"/>
              </w:rPr>
              <w:br/>
            </w:r>
            <w:r w:rsidRPr="00696521">
              <w:rPr>
                <w:rFonts w:ascii="Arial Narrow" w:hAnsi="Arial Narrow"/>
                <w:sz w:val="20"/>
                <w:szCs w:val="18"/>
              </w:rPr>
              <w:t xml:space="preserve">I² = </w:t>
            </w:r>
            <w:r w:rsidR="004A4EFC">
              <w:rPr>
                <w:rFonts w:ascii="Arial Narrow" w:hAnsi="Arial Narrow"/>
                <w:noProof/>
                <w:color w:val="000000"/>
                <w:sz w:val="20"/>
                <w:szCs w:val="18"/>
                <w:highlight w:val="black"/>
              </w:rPr>
              <w:t>''''''''''</w:t>
            </w:r>
            <w:r w:rsidRPr="00696521">
              <w:rPr>
                <w:rFonts w:ascii="Arial Narrow" w:hAnsi="Arial Narrow"/>
                <w:sz w:val="20"/>
                <w:szCs w:val="18"/>
              </w:rPr>
              <w:t>%</w:t>
            </w:r>
          </w:p>
        </w:tc>
        <w:tc>
          <w:tcPr>
            <w:tcW w:w="779" w:type="pct"/>
            <w:vAlign w:val="center"/>
          </w:tcPr>
          <w:p w:rsidR="00A55744" w:rsidRPr="00696521" w:rsidRDefault="00A55744" w:rsidP="00726B10">
            <w:pPr>
              <w:keepNext/>
              <w:keepLines/>
              <w:widowControl/>
              <w:jc w:val="center"/>
              <w:rPr>
                <w:rFonts w:ascii="Arial Narrow" w:hAnsi="Arial Narrow"/>
                <w:sz w:val="20"/>
                <w:szCs w:val="18"/>
              </w:rPr>
            </w:pPr>
            <w:r w:rsidRPr="00696521">
              <w:rPr>
                <w:rFonts w:ascii="Arial Narrow" w:hAnsi="Arial Narrow"/>
                <w:sz w:val="20"/>
                <w:szCs w:val="18"/>
              </w:rPr>
              <w:t xml:space="preserve">Chi² = </w:t>
            </w:r>
            <w:r w:rsidR="004A4EFC">
              <w:rPr>
                <w:rFonts w:ascii="Arial Narrow" w:hAnsi="Arial Narrow"/>
                <w:noProof/>
                <w:color w:val="000000"/>
                <w:sz w:val="20"/>
                <w:szCs w:val="18"/>
                <w:highlight w:val="black"/>
              </w:rPr>
              <w:t>''''''''''</w:t>
            </w:r>
            <w:r w:rsidRPr="00696521">
              <w:rPr>
                <w:rFonts w:ascii="Arial Narrow" w:hAnsi="Arial Narrow"/>
                <w:sz w:val="20"/>
                <w:szCs w:val="18"/>
              </w:rPr>
              <w:t xml:space="preserve">, </w:t>
            </w:r>
            <w:proofErr w:type="spellStart"/>
            <w:r w:rsidRPr="00696521">
              <w:rPr>
                <w:rFonts w:ascii="Arial Narrow" w:hAnsi="Arial Narrow"/>
                <w:sz w:val="20"/>
                <w:szCs w:val="18"/>
              </w:rPr>
              <w:t>df</w:t>
            </w:r>
            <w:proofErr w:type="spellEnd"/>
            <w:r w:rsidRPr="00696521">
              <w:rPr>
                <w:rFonts w:ascii="Arial Narrow" w:hAnsi="Arial Narrow"/>
                <w:sz w:val="20"/>
                <w:szCs w:val="18"/>
              </w:rPr>
              <w:t xml:space="preserve"> = </w:t>
            </w:r>
            <w:r w:rsidR="004A4EFC">
              <w:rPr>
                <w:rFonts w:ascii="Arial Narrow" w:hAnsi="Arial Narrow"/>
                <w:noProof/>
                <w:color w:val="000000"/>
                <w:sz w:val="20"/>
                <w:szCs w:val="18"/>
                <w:highlight w:val="black"/>
              </w:rPr>
              <w:t>''''</w:t>
            </w:r>
            <w:r w:rsidRPr="00696521">
              <w:rPr>
                <w:rFonts w:ascii="Arial Narrow" w:hAnsi="Arial Narrow"/>
                <w:sz w:val="20"/>
                <w:szCs w:val="18"/>
              </w:rPr>
              <w:t xml:space="preserve"> (P </w:t>
            </w:r>
            <w:r w:rsidR="004A4EFC">
              <w:rPr>
                <w:rFonts w:ascii="Arial Narrow" w:hAnsi="Arial Narrow"/>
                <w:noProof/>
                <w:color w:val="000000"/>
                <w:sz w:val="20"/>
                <w:szCs w:val="18"/>
                <w:highlight w:val="black"/>
              </w:rPr>
              <w:t>''''''''''''''''''</w:t>
            </w:r>
            <w:r w:rsidRPr="00696521">
              <w:rPr>
                <w:rFonts w:ascii="Arial Narrow" w:hAnsi="Arial Narrow"/>
                <w:sz w:val="20"/>
                <w:szCs w:val="18"/>
              </w:rPr>
              <w:t xml:space="preserve">); </w:t>
            </w:r>
            <w:r w:rsidR="00B15FAF" w:rsidRPr="00696521">
              <w:rPr>
                <w:rFonts w:ascii="Arial Narrow" w:hAnsi="Arial Narrow"/>
                <w:sz w:val="20"/>
                <w:szCs w:val="18"/>
              </w:rPr>
              <w:br/>
            </w:r>
            <w:r w:rsidRPr="00696521">
              <w:rPr>
                <w:rFonts w:ascii="Arial Narrow" w:hAnsi="Arial Narrow"/>
                <w:sz w:val="20"/>
                <w:szCs w:val="18"/>
              </w:rPr>
              <w:t xml:space="preserve">I² = </w:t>
            </w:r>
            <w:r w:rsidR="004A4EFC">
              <w:rPr>
                <w:rFonts w:ascii="Arial Narrow" w:hAnsi="Arial Narrow"/>
                <w:noProof/>
                <w:color w:val="000000"/>
                <w:sz w:val="20"/>
                <w:szCs w:val="18"/>
                <w:highlight w:val="black"/>
              </w:rPr>
              <w:t>''''</w:t>
            </w:r>
            <w:r w:rsidRPr="00696521">
              <w:rPr>
                <w:rFonts w:ascii="Arial Narrow" w:hAnsi="Arial Narrow"/>
                <w:sz w:val="20"/>
                <w:szCs w:val="18"/>
              </w:rPr>
              <w:t>%</w:t>
            </w:r>
          </w:p>
        </w:tc>
      </w:tr>
    </w:tbl>
    <w:p w:rsidR="00A55744" w:rsidRPr="008F3188" w:rsidRDefault="00A55744" w:rsidP="00726B10">
      <w:pPr>
        <w:keepNext/>
        <w:keepLines/>
        <w:widowControl/>
        <w:rPr>
          <w:rFonts w:ascii="Arial Narrow" w:hAnsi="Arial Narrow"/>
          <w:sz w:val="18"/>
          <w:szCs w:val="20"/>
        </w:rPr>
      </w:pPr>
      <w:r w:rsidRPr="008F3188">
        <w:rPr>
          <w:rFonts w:ascii="Arial Narrow" w:hAnsi="Arial Narrow"/>
          <w:sz w:val="18"/>
          <w:szCs w:val="20"/>
        </w:rPr>
        <w:t>Abbreviations: BAT = best available therapy; CI = confidence interval; RR = risk ratio; RD = risk difference</w:t>
      </w:r>
    </w:p>
    <w:p w:rsidR="00A55744" w:rsidRPr="008F3188" w:rsidRDefault="00A55744" w:rsidP="00726B10">
      <w:pPr>
        <w:keepNext/>
        <w:keepLines/>
        <w:widowControl/>
        <w:rPr>
          <w:rFonts w:ascii="Arial Narrow" w:hAnsi="Arial Narrow"/>
          <w:sz w:val="18"/>
          <w:szCs w:val="20"/>
        </w:rPr>
      </w:pPr>
      <w:r w:rsidRPr="008F3188">
        <w:rPr>
          <w:rFonts w:ascii="Arial Narrow" w:hAnsi="Arial Narrow"/>
          <w:sz w:val="18"/>
          <w:szCs w:val="20"/>
        </w:rPr>
        <w:t xml:space="preserve">Note: calculated for the purpose of the submission using </w:t>
      </w:r>
      <w:proofErr w:type="spellStart"/>
      <w:r w:rsidRPr="008F3188">
        <w:rPr>
          <w:rFonts w:ascii="Arial Narrow" w:hAnsi="Arial Narrow"/>
          <w:sz w:val="18"/>
          <w:szCs w:val="20"/>
        </w:rPr>
        <w:t>RevMan</w:t>
      </w:r>
      <w:proofErr w:type="spellEnd"/>
      <w:r w:rsidRPr="008F3188">
        <w:rPr>
          <w:rFonts w:ascii="Arial Narrow" w:hAnsi="Arial Narrow"/>
          <w:sz w:val="18"/>
          <w:szCs w:val="20"/>
        </w:rPr>
        <w:t xml:space="preserve"> v5.3</w:t>
      </w:r>
    </w:p>
    <w:p w:rsidR="00A55744" w:rsidRPr="008C1AD0" w:rsidRDefault="00A55744" w:rsidP="00726B10">
      <w:pPr>
        <w:keepNext/>
        <w:keepLines/>
        <w:widowControl/>
        <w:tabs>
          <w:tab w:val="left" w:pos="284"/>
        </w:tabs>
        <w:ind w:left="284" w:hanging="284"/>
        <w:rPr>
          <w:rFonts w:ascii="Arial Narrow" w:hAnsi="Arial Narrow"/>
          <w:sz w:val="18"/>
          <w:szCs w:val="20"/>
        </w:rPr>
      </w:pPr>
      <w:r w:rsidRPr="008C1AD0">
        <w:rPr>
          <w:rFonts w:ascii="Arial Narrow" w:hAnsi="Arial Narrow"/>
          <w:sz w:val="18"/>
          <w:szCs w:val="20"/>
        </w:rPr>
        <w:t>*</w:t>
      </w:r>
      <w:r w:rsidRPr="008C1AD0">
        <w:rPr>
          <w:rFonts w:ascii="Arial Narrow" w:hAnsi="Arial Narrow"/>
          <w:sz w:val="18"/>
          <w:szCs w:val="20"/>
        </w:rPr>
        <w:tab/>
        <w:t>Subgroup of patients in the BAT arm who were receiving active treatment (observation [i.e. phlebotomy] only removed)</w:t>
      </w:r>
    </w:p>
    <w:p w:rsidR="00A55744" w:rsidRPr="008F3188" w:rsidRDefault="00A55744" w:rsidP="00726B10">
      <w:pPr>
        <w:keepNext/>
        <w:keepLines/>
        <w:widowControl/>
        <w:tabs>
          <w:tab w:val="left" w:pos="284"/>
        </w:tabs>
        <w:ind w:left="284" w:hanging="284"/>
        <w:rPr>
          <w:rFonts w:ascii="Arial Narrow" w:hAnsi="Arial Narrow"/>
          <w:sz w:val="18"/>
          <w:szCs w:val="20"/>
        </w:rPr>
      </w:pPr>
      <w:r w:rsidRPr="008C1AD0">
        <w:rPr>
          <w:rFonts w:ascii="Arial Narrow" w:hAnsi="Arial Narrow"/>
          <w:sz w:val="18"/>
          <w:szCs w:val="20"/>
        </w:rPr>
        <w:t>~</w:t>
      </w:r>
      <w:r w:rsidRPr="008C1AD0">
        <w:rPr>
          <w:rFonts w:ascii="Arial Narrow" w:hAnsi="Arial Narrow"/>
          <w:sz w:val="18"/>
          <w:szCs w:val="20"/>
        </w:rPr>
        <w:tab/>
        <w:t>Patients in RESPONSE and RESPONSE-2 were only considered to be responders from Week 8 onwards to Week 32 and Week 28, respectively because of the effect of the pre-randomisation HCT control period</w:t>
      </w:r>
      <w:r w:rsidRPr="008F3188">
        <w:rPr>
          <w:rFonts w:ascii="Arial Narrow" w:hAnsi="Arial Narrow"/>
          <w:sz w:val="18"/>
          <w:szCs w:val="20"/>
        </w:rPr>
        <w:t xml:space="preserve"> </w:t>
      </w:r>
    </w:p>
    <w:p w:rsidR="00A55744" w:rsidRDefault="008C1AD0" w:rsidP="00726B10">
      <w:pPr>
        <w:keepNext/>
        <w:keepLines/>
        <w:widowControl/>
        <w:rPr>
          <w:rFonts w:ascii="Arial Narrow" w:hAnsi="Arial Narrow"/>
          <w:sz w:val="18"/>
          <w:szCs w:val="20"/>
        </w:rPr>
      </w:pPr>
      <w:proofErr w:type="gramStart"/>
      <w:r w:rsidRPr="008C1AD0">
        <w:rPr>
          <w:rFonts w:ascii="Arial Narrow" w:hAnsi="Arial Narrow"/>
          <w:sz w:val="18"/>
          <w:szCs w:val="20"/>
          <w:vertAlign w:val="superscript"/>
        </w:rPr>
        <w:t>a</w:t>
      </w:r>
      <w:r>
        <w:rPr>
          <w:rFonts w:ascii="Arial Narrow" w:hAnsi="Arial Narrow"/>
          <w:sz w:val="18"/>
          <w:szCs w:val="20"/>
          <w:vertAlign w:val="superscript"/>
        </w:rPr>
        <w:t xml:space="preserve"> </w:t>
      </w:r>
      <w:r w:rsidR="00E22E3E">
        <w:rPr>
          <w:rFonts w:ascii="Arial Narrow" w:hAnsi="Arial Narrow"/>
          <w:sz w:val="18"/>
          <w:szCs w:val="20"/>
          <w:vertAlign w:val="superscript"/>
        </w:rPr>
        <w:t xml:space="preserve"> </w:t>
      </w:r>
      <w:r w:rsidR="00833254">
        <w:rPr>
          <w:rFonts w:ascii="Arial Narrow" w:hAnsi="Arial Narrow"/>
          <w:sz w:val="18"/>
          <w:szCs w:val="20"/>
        </w:rPr>
        <w:t>C</w:t>
      </w:r>
      <w:r w:rsidR="00A55744" w:rsidRPr="008C1AD0">
        <w:rPr>
          <w:rFonts w:ascii="Arial Narrow" w:hAnsi="Arial Narrow"/>
          <w:sz w:val="18"/>
          <w:szCs w:val="20"/>
        </w:rPr>
        <w:t>alculated</w:t>
      </w:r>
      <w:proofErr w:type="gramEnd"/>
      <w:r w:rsidR="00A55744" w:rsidRPr="008F3188">
        <w:rPr>
          <w:rFonts w:ascii="Arial Narrow" w:hAnsi="Arial Narrow"/>
          <w:sz w:val="18"/>
          <w:szCs w:val="20"/>
        </w:rPr>
        <w:t xml:space="preserve"> during evaluation using </w:t>
      </w:r>
      <w:proofErr w:type="spellStart"/>
      <w:r w:rsidR="00A55744" w:rsidRPr="008F3188">
        <w:rPr>
          <w:rFonts w:ascii="Arial Narrow" w:hAnsi="Arial Narrow"/>
          <w:sz w:val="18"/>
          <w:szCs w:val="20"/>
        </w:rPr>
        <w:t>StatsDirect</w:t>
      </w:r>
      <w:proofErr w:type="spellEnd"/>
      <w:r w:rsidR="00A55744" w:rsidRPr="00360FFB">
        <w:rPr>
          <w:rFonts w:ascii="Arial Narrow" w:hAnsi="Arial Narrow"/>
          <w:sz w:val="18"/>
          <w:szCs w:val="20"/>
        </w:rPr>
        <w:t xml:space="preserve"> </w:t>
      </w:r>
    </w:p>
    <w:p w:rsidR="00A55744" w:rsidRPr="00360FFB" w:rsidRDefault="00A55744" w:rsidP="00726B10">
      <w:pPr>
        <w:keepNext/>
        <w:keepLines/>
        <w:widowControl/>
        <w:rPr>
          <w:rFonts w:ascii="Arial Narrow" w:hAnsi="Arial Narrow"/>
          <w:sz w:val="18"/>
          <w:szCs w:val="20"/>
        </w:rPr>
      </w:pPr>
      <w:r>
        <w:rPr>
          <w:rFonts w:ascii="Arial Narrow" w:hAnsi="Arial Narrow"/>
          <w:sz w:val="18"/>
          <w:szCs w:val="20"/>
        </w:rPr>
        <w:t>Bolded text indicates statistically significant differences</w:t>
      </w:r>
    </w:p>
    <w:p w:rsidR="00A55744" w:rsidRDefault="00A55744" w:rsidP="00726B10">
      <w:pPr>
        <w:keepNext/>
        <w:keepLines/>
        <w:widowControl/>
        <w:rPr>
          <w:rFonts w:ascii="Arial Narrow" w:hAnsi="Arial Narrow"/>
          <w:sz w:val="18"/>
          <w:szCs w:val="20"/>
        </w:rPr>
      </w:pPr>
      <w:r w:rsidRPr="00360FFB">
        <w:rPr>
          <w:rFonts w:ascii="Arial Narrow" w:hAnsi="Arial Narrow"/>
          <w:sz w:val="18"/>
          <w:szCs w:val="20"/>
        </w:rPr>
        <w:t xml:space="preserve">Source: Table 2.3-17, p99 of the submission and </w:t>
      </w:r>
      <w:proofErr w:type="spellStart"/>
      <w:r w:rsidRPr="00360FFB">
        <w:rPr>
          <w:rFonts w:ascii="Arial Narrow" w:hAnsi="Arial Narrow"/>
          <w:sz w:val="18"/>
          <w:szCs w:val="20"/>
        </w:rPr>
        <w:t>Jakavi</w:t>
      </w:r>
      <w:proofErr w:type="spellEnd"/>
      <w:r w:rsidRPr="00360FFB">
        <w:rPr>
          <w:rFonts w:ascii="Arial Narrow" w:hAnsi="Arial Narrow"/>
          <w:sz w:val="18"/>
          <w:szCs w:val="20"/>
        </w:rPr>
        <w:t xml:space="preserve"> (ruxolitinib) Economic Evaluation – Base case.xlsx</w:t>
      </w:r>
    </w:p>
    <w:p w:rsidR="00E57A9C" w:rsidRDefault="00E57A9C" w:rsidP="00A55744">
      <w:pPr>
        <w:rPr>
          <w:rFonts w:ascii="Arial Narrow" w:hAnsi="Arial Narrow"/>
          <w:sz w:val="18"/>
          <w:szCs w:val="20"/>
        </w:rPr>
      </w:pPr>
    </w:p>
    <w:p w:rsidR="00A55744" w:rsidRPr="00FF4AF4" w:rsidRDefault="001C493A" w:rsidP="003405EC">
      <w:pPr>
        <w:pStyle w:val="ListParagraph"/>
        <w:widowControl/>
        <w:numPr>
          <w:ilvl w:val="1"/>
          <w:numId w:val="2"/>
        </w:numPr>
        <w:spacing w:after="120"/>
      </w:pPr>
      <w:r w:rsidRPr="00FF4AF4">
        <w:t xml:space="preserve">The </w:t>
      </w:r>
      <w:r w:rsidR="00A55744" w:rsidRPr="00FF4AF4">
        <w:t xml:space="preserve">results of the post hoc analysis from RESPONSE and RESPONSE-2 using the MAJIC criteria for response </w:t>
      </w:r>
      <w:r w:rsidR="00A14168" w:rsidRPr="00FF4AF4">
        <w:t xml:space="preserve">indicated that a statistically significantly greater proportion of patients treated with ruxolitinib achieved response. This </w:t>
      </w:r>
      <w:r w:rsidR="00A55744" w:rsidRPr="00FF4AF4">
        <w:t xml:space="preserve">was somewhat inconsistent with the results from MAJIC at 6 months, </w:t>
      </w:r>
      <w:r w:rsidR="00A14168" w:rsidRPr="00FF4AF4">
        <w:t>in which no</w:t>
      </w:r>
      <w:r w:rsidR="00A55744" w:rsidRPr="00FF4AF4">
        <w:t xml:space="preserve"> statistically significant differen</w:t>
      </w:r>
      <w:r w:rsidR="00A14168" w:rsidRPr="00FF4AF4">
        <w:t>ces were observed</w:t>
      </w:r>
      <w:r w:rsidR="00A55744" w:rsidRPr="00FF4AF4">
        <w:t xml:space="preserve"> between treatment arms.  This could be due to differences in the BAT arm, as RESPONSE and RESPONSE-2 included ‘watch and wait’ as a BAT option whereas all patients in MAJIC received active treatments (according to protocol).  </w:t>
      </w:r>
    </w:p>
    <w:p w:rsidR="00C46736" w:rsidRPr="00B05ECE" w:rsidRDefault="00C46736" w:rsidP="003405EC">
      <w:pPr>
        <w:pStyle w:val="ListParagraph"/>
        <w:widowControl/>
        <w:numPr>
          <w:ilvl w:val="1"/>
          <w:numId w:val="2"/>
        </w:numPr>
        <w:spacing w:after="120"/>
      </w:pPr>
      <w:r w:rsidRPr="00B05ECE">
        <w:t>The time to response (TTR) duration of response (</w:t>
      </w:r>
      <w:proofErr w:type="spellStart"/>
      <w:r w:rsidRPr="00B05ECE">
        <w:t>DoR</w:t>
      </w:r>
      <w:proofErr w:type="spellEnd"/>
      <w:r w:rsidRPr="00B05ECE">
        <w:t>)</w:t>
      </w:r>
      <w:r w:rsidR="00706A80" w:rsidRPr="00B05ECE">
        <w:t xml:space="preserve"> reported in MAJIC</w:t>
      </w:r>
      <w:r w:rsidRPr="00B05ECE">
        <w:t xml:space="preserve"> is presented</w:t>
      </w:r>
      <w:r w:rsidR="003B6904" w:rsidRPr="00B05ECE">
        <w:t xml:space="preserve"> in </w:t>
      </w:r>
      <w:r w:rsidR="00A14168" w:rsidRPr="00B05ECE">
        <w:t xml:space="preserve">Figure </w:t>
      </w:r>
      <w:r w:rsidR="00A14168" w:rsidRPr="00B05ECE">
        <w:rPr>
          <w:noProof/>
        </w:rPr>
        <w:t>1</w:t>
      </w:r>
      <w:r w:rsidR="003B6904" w:rsidRPr="00B05ECE">
        <w:t xml:space="preserve"> and </w:t>
      </w:r>
      <w:r w:rsidR="0079624F" w:rsidRPr="00B05ECE">
        <w:t xml:space="preserve">Figure </w:t>
      </w:r>
      <w:r w:rsidR="0079624F" w:rsidRPr="00B05ECE">
        <w:rPr>
          <w:noProof/>
        </w:rPr>
        <w:t>2</w:t>
      </w:r>
      <w:r w:rsidR="00A14168" w:rsidRPr="00B05ECE">
        <w:t>,</w:t>
      </w:r>
      <w:r w:rsidR="003B6904" w:rsidRPr="00B05ECE">
        <w:t xml:space="preserve"> respectively</w:t>
      </w:r>
      <w:r w:rsidRPr="00B05ECE">
        <w:t xml:space="preserve">.  </w:t>
      </w:r>
    </w:p>
    <w:p w:rsidR="00C46736" w:rsidRPr="00A14168" w:rsidRDefault="00A14168" w:rsidP="00FD497E">
      <w:pPr>
        <w:pStyle w:val="Caption"/>
        <w:keepNext/>
        <w:keepLines/>
        <w:rPr>
          <w:rStyle w:val="CommentReference"/>
          <w:b/>
        </w:rPr>
      </w:pPr>
      <w:bookmarkStart w:id="15" w:name="_Ref17146927"/>
      <w:r>
        <w:lastRenderedPageBreak/>
        <w:t xml:space="preserve">Figure </w:t>
      </w:r>
      <w:r w:rsidR="007233BE">
        <w:rPr>
          <w:noProof/>
        </w:rPr>
        <w:t>1</w:t>
      </w:r>
      <w:bookmarkEnd w:id="15"/>
      <w:r w:rsidR="008061D6">
        <w:rPr>
          <w:noProof/>
        </w:rPr>
        <w:t>, 2</w:t>
      </w:r>
      <w:r w:rsidR="00C46736" w:rsidRPr="00C46736">
        <w:rPr>
          <w:rStyle w:val="CommentReference"/>
        </w:rPr>
        <w:t xml:space="preserve">: </w:t>
      </w:r>
      <w:r w:rsidR="00C46736" w:rsidRPr="00A14168">
        <w:rPr>
          <w:rStyle w:val="CommentReference"/>
          <w:b/>
        </w:rPr>
        <w:t xml:space="preserve">Time to response </w:t>
      </w:r>
      <w:r w:rsidR="00DF6867">
        <w:rPr>
          <w:rStyle w:val="CommentReference"/>
          <w:b/>
        </w:rPr>
        <w:t xml:space="preserve">(left) and </w:t>
      </w:r>
      <w:r w:rsidR="00DF6867" w:rsidRPr="0079624F">
        <w:rPr>
          <w:rStyle w:val="CommentReference"/>
          <w:b/>
        </w:rPr>
        <w:t xml:space="preserve">Duration of response </w:t>
      </w:r>
      <w:r w:rsidR="00DF6867">
        <w:rPr>
          <w:rStyle w:val="CommentReference"/>
          <w:b/>
        </w:rPr>
        <w:t xml:space="preserve">(right) </w:t>
      </w:r>
      <w:r w:rsidR="00C46736" w:rsidRPr="00A14168">
        <w:rPr>
          <w:rStyle w:val="CommentReference"/>
          <w:b/>
        </w:rPr>
        <w:t xml:space="preserve">in MAJIC </w:t>
      </w:r>
    </w:p>
    <w:p w:rsidR="00C46736" w:rsidRDefault="00C46736" w:rsidP="00FD497E">
      <w:pPr>
        <w:pStyle w:val="ListParagraph"/>
        <w:keepNext/>
        <w:keepLines/>
        <w:widowControl/>
        <w:ind w:left="0"/>
        <w:jc w:val="left"/>
        <w:rPr>
          <w:i/>
        </w:rPr>
      </w:pPr>
      <w:r w:rsidRPr="00E43AB4">
        <w:rPr>
          <w:noProof/>
          <w:lang w:eastAsia="en-AU"/>
        </w:rPr>
        <w:drawing>
          <wp:inline distT="0" distB="0" distL="0" distR="0" wp14:anchorId="5B8E74D4" wp14:editId="0DCAAF40">
            <wp:extent cx="2704840" cy="1982455"/>
            <wp:effectExtent l="0" t="0" r="635" b="0"/>
            <wp:docPr id="10" name="Picture 10" title="Figure 1: Time to response (left) and Duration of response (right) in MAJ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8921" cy="1985446"/>
                    </a:xfrm>
                    <a:prstGeom prst="rect">
                      <a:avLst/>
                    </a:prstGeom>
                  </pic:spPr>
                </pic:pic>
              </a:graphicData>
            </a:graphic>
          </wp:inline>
        </w:drawing>
      </w:r>
      <w:r w:rsidR="00DF6867" w:rsidRPr="00E43AB4">
        <w:rPr>
          <w:noProof/>
          <w:lang w:eastAsia="en-AU"/>
        </w:rPr>
        <w:drawing>
          <wp:inline distT="0" distB="0" distL="0" distR="0" wp14:anchorId="55F2BDF0" wp14:editId="4FC3FE2F">
            <wp:extent cx="2924175" cy="2344340"/>
            <wp:effectExtent l="0" t="0" r="0" b="0"/>
            <wp:docPr id="16" name="Picture 16" title="Figure 2: Time to response (left) and Duration of response (right) in MAJ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56308" cy="2450272"/>
                    </a:xfrm>
                    <a:prstGeom prst="rect">
                      <a:avLst/>
                    </a:prstGeom>
                  </pic:spPr>
                </pic:pic>
              </a:graphicData>
            </a:graphic>
          </wp:inline>
        </w:drawing>
      </w:r>
    </w:p>
    <w:p w:rsidR="001C2A93" w:rsidRDefault="001C2A93" w:rsidP="00FD497E">
      <w:pPr>
        <w:pStyle w:val="ListParagraph"/>
        <w:keepNext/>
        <w:keepLines/>
        <w:widowControl/>
        <w:ind w:left="0"/>
        <w:jc w:val="left"/>
        <w:rPr>
          <w:i/>
        </w:rPr>
      </w:pPr>
    </w:p>
    <w:p w:rsidR="00C46736" w:rsidRPr="000D5DA8" w:rsidRDefault="00C46736" w:rsidP="00FD497E">
      <w:pPr>
        <w:keepNext/>
        <w:keepLines/>
        <w:rPr>
          <w:rFonts w:ascii="Arial Narrow" w:hAnsi="Arial Narrow"/>
          <w:sz w:val="18"/>
        </w:rPr>
      </w:pPr>
      <w:r w:rsidRPr="000D5DA8">
        <w:rPr>
          <w:rFonts w:ascii="Arial Narrow" w:hAnsi="Arial Narrow"/>
          <w:sz w:val="18"/>
        </w:rPr>
        <w:t>Abbreviations: BAT = best available therapy</w:t>
      </w:r>
      <w:r w:rsidR="001C2A93">
        <w:rPr>
          <w:rFonts w:ascii="Arial Narrow" w:hAnsi="Arial Narrow"/>
          <w:sz w:val="18"/>
        </w:rPr>
        <w:t xml:space="preserve">; </w:t>
      </w:r>
      <w:r w:rsidR="001C2A93" w:rsidRPr="000D5DA8">
        <w:rPr>
          <w:rFonts w:ascii="Arial Narrow" w:hAnsi="Arial Narrow"/>
          <w:sz w:val="18"/>
        </w:rPr>
        <w:t>CR = complete response; PR = partial response</w:t>
      </w:r>
    </w:p>
    <w:p w:rsidR="00C46736" w:rsidRPr="000D5DA8" w:rsidRDefault="00C46736" w:rsidP="00FD497E">
      <w:pPr>
        <w:keepNext/>
        <w:keepLines/>
        <w:rPr>
          <w:rFonts w:ascii="Arial Narrow" w:hAnsi="Arial Narrow"/>
          <w:sz w:val="18"/>
        </w:rPr>
      </w:pPr>
      <w:r w:rsidRPr="000D5DA8">
        <w:rPr>
          <w:rFonts w:ascii="Arial Narrow" w:hAnsi="Arial Narrow"/>
          <w:sz w:val="18"/>
        </w:rPr>
        <w:t>Note: Response comprised complete or partial response</w:t>
      </w:r>
    </w:p>
    <w:p w:rsidR="00C46736" w:rsidRPr="000D5DA8" w:rsidRDefault="00C46736" w:rsidP="00FD497E">
      <w:pPr>
        <w:keepNext/>
        <w:keepLines/>
        <w:rPr>
          <w:rFonts w:ascii="Arial Narrow" w:hAnsi="Arial Narrow"/>
          <w:sz w:val="18"/>
        </w:rPr>
      </w:pPr>
      <w:r w:rsidRPr="000D5DA8">
        <w:rPr>
          <w:rFonts w:ascii="Arial Narrow" w:hAnsi="Arial Narrow"/>
          <w:sz w:val="18"/>
        </w:rPr>
        <w:t xml:space="preserve">Source: Figure 2.3-4, p94 </w:t>
      </w:r>
      <w:r w:rsidR="00DF6867">
        <w:rPr>
          <w:rFonts w:ascii="Arial Narrow" w:hAnsi="Arial Narrow"/>
          <w:sz w:val="18"/>
        </w:rPr>
        <w:t xml:space="preserve">and </w:t>
      </w:r>
      <w:r w:rsidR="00DF6867" w:rsidRPr="000D5DA8">
        <w:rPr>
          <w:rFonts w:ascii="Arial Narrow" w:hAnsi="Arial Narrow"/>
          <w:sz w:val="18"/>
        </w:rPr>
        <w:t xml:space="preserve">Figure 2.3-5, p94 </w:t>
      </w:r>
      <w:r w:rsidRPr="000D5DA8">
        <w:rPr>
          <w:rFonts w:ascii="Arial Narrow" w:hAnsi="Arial Narrow"/>
          <w:sz w:val="18"/>
        </w:rPr>
        <w:t>of the submission</w:t>
      </w:r>
    </w:p>
    <w:p w:rsidR="00C46736" w:rsidRDefault="00C46736" w:rsidP="00A14168">
      <w:pPr>
        <w:pStyle w:val="ListParagraph"/>
        <w:widowControl/>
        <w:spacing w:after="0"/>
        <w:rPr>
          <w:i/>
        </w:rPr>
      </w:pPr>
    </w:p>
    <w:p w:rsidR="00144267" w:rsidRPr="00FF4AF4" w:rsidRDefault="003E5A32" w:rsidP="003405EC">
      <w:pPr>
        <w:pStyle w:val="ListParagraph"/>
        <w:widowControl/>
        <w:numPr>
          <w:ilvl w:val="1"/>
          <w:numId w:val="2"/>
        </w:numPr>
        <w:spacing w:after="120"/>
      </w:pPr>
      <w:r w:rsidRPr="00FF4AF4">
        <w:t>The submission claimed that ruxolitinib had superior efficacy in terms of faster time to response and duration of response compare</w:t>
      </w:r>
      <w:r w:rsidR="0049218E">
        <w:t>d to BAT.</w:t>
      </w:r>
      <w:r w:rsidRPr="00FF4AF4">
        <w:t xml:space="preserve"> </w:t>
      </w:r>
      <w:r w:rsidR="00A51712" w:rsidRPr="00FF4AF4">
        <w:t>It</w:t>
      </w:r>
      <w:r w:rsidR="00BB1F0F" w:rsidRPr="00FF4AF4">
        <w:t xml:space="preserve"> was unclear what hypothesis or statistical tests were conducted to derive the P values.  N</w:t>
      </w:r>
      <w:r w:rsidR="007315C8">
        <w:t>o hazard ratios were presented.</w:t>
      </w:r>
      <w:r w:rsidR="00BB1F0F" w:rsidRPr="00FF4AF4">
        <w:t xml:space="preserve"> </w:t>
      </w:r>
      <w:r w:rsidRPr="00FF4AF4">
        <w:t>As TTR was a</w:t>
      </w:r>
      <w:r w:rsidR="00E11671" w:rsidRPr="00FF4AF4">
        <w:t>n outcome presented</w:t>
      </w:r>
      <w:r w:rsidRPr="00FF4AF4">
        <w:t xml:space="preserve"> post hoc, </w:t>
      </w:r>
      <w:r w:rsidR="0079624F" w:rsidRPr="00FF4AF4">
        <w:t>it was possible that MAJIC wa</w:t>
      </w:r>
      <w:r w:rsidR="00E11671" w:rsidRPr="00FF4AF4">
        <w:t xml:space="preserve">s not powered </w:t>
      </w:r>
      <w:r w:rsidRPr="00FF4AF4">
        <w:t xml:space="preserve">to detect </w:t>
      </w:r>
      <w:r w:rsidR="00E11671" w:rsidRPr="00FF4AF4">
        <w:t xml:space="preserve">any </w:t>
      </w:r>
      <w:r w:rsidR="007315C8">
        <w:t>differences.</w:t>
      </w:r>
      <w:r w:rsidRPr="00FF4AF4">
        <w:t xml:space="preserve"> </w:t>
      </w:r>
      <w:r w:rsidR="00E11671" w:rsidRPr="00FF4AF4">
        <w:t xml:space="preserve">Similarly, even though </w:t>
      </w:r>
      <w:proofErr w:type="spellStart"/>
      <w:r w:rsidRPr="00FF4AF4">
        <w:t>DoR</w:t>
      </w:r>
      <w:proofErr w:type="spellEnd"/>
      <w:r w:rsidRPr="00FF4AF4">
        <w:t xml:space="preserve"> was a pre-specified secondary outcome</w:t>
      </w:r>
      <w:r w:rsidR="00E11671" w:rsidRPr="00FF4AF4">
        <w:t>,</w:t>
      </w:r>
      <w:r w:rsidRPr="00FF4AF4">
        <w:t xml:space="preserve"> MAJIC </w:t>
      </w:r>
      <w:r w:rsidR="0079624F" w:rsidRPr="00FF4AF4">
        <w:t xml:space="preserve">was </w:t>
      </w:r>
      <w:r w:rsidR="00E11671" w:rsidRPr="00FF4AF4">
        <w:t xml:space="preserve">designed </w:t>
      </w:r>
      <w:r w:rsidR="0079624F" w:rsidRPr="00FF4AF4">
        <w:t xml:space="preserve">to </w:t>
      </w:r>
      <w:r w:rsidR="00E11671" w:rsidRPr="00FF4AF4">
        <w:t xml:space="preserve">only detect differences in CR at 12 months and therefore </w:t>
      </w:r>
      <w:r w:rsidRPr="00FF4AF4">
        <w:t xml:space="preserve">was not necessarily powered to detect differences in </w:t>
      </w:r>
      <w:proofErr w:type="spellStart"/>
      <w:r w:rsidRPr="00FF4AF4">
        <w:t>DoR.</w:t>
      </w:r>
      <w:proofErr w:type="spellEnd"/>
      <w:r w:rsidRPr="00FF4AF4">
        <w:t xml:space="preserve"> </w:t>
      </w:r>
      <w:r w:rsidR="00E11671" w:rsidRPr="00FF4AF4">
        <w:t xml:space="preserve"> </w:t>
      </w:r>
      <w:r w:rsidRPr="00FF4AF4">
        <w:t xml:space="preserve">Both TTR (up to 12 months) and </w:t>
      </w:r>
      <w:proofErr w:type="spellStart"/>
      <w:r w:rsidRPr="00FF4AF4">
        <w:t>DoR</w:t>
      </w:r>
      <w:proofErr w:type="spellEnd"/>
      <w:r w:rsidRPr="00FF4AF4">
        <w:t xml:space="preserve"> (up to 31.2 months and extrapolated to 20 years) are used to inform the economic model.</w:t>
      </w:r>
      <w:r w:rsidR="00C17CB7" w:rsidRPr="00FF4AF4">
        <w:t xml:space="preserve"> </w:t>
      </w:r>
    </w:p>
    <w:p w:rsidR="00E11671" w:rsidRPr="002B3792" w:rsidRDefault="00DD4C75" w:rsidP="003405EC">
      <w:pPr>
        <w:pStyle w:val="ListParagraph"/>
        <w:widowControl/>
        <w:numPr>
          <w:ilvl w:val="1"/>
          <w:numId w:val="2"/>
        </w:numPr>
        <w:spacing w:after="120"/>
      </w:pPr>
      <w:r w:rsidRPr="00FF4AF4">
        <w:t>T</w:t>
      </w:r>
      <w:r w:rsidR="00C17CB7" w:rsidRPr="00FF4AF4">
        <w:t>he ESC considered</w:t>
      </w:r>
      <w:r w:rsidRPr="00FF4AF4">
        <w:t xml:space="preserve"> that</w:t>
      </w:r>
      <w:r w:rsidR="00C17CB7" w:rsidRPr="00FF4AF4">
        <w:t xml:space="preserve"> </w:t>
      </w:r>
      <w:proofErr w:type="spellStart"/>
      <w:r w:rsidR="00C17CB7" w:rsidRPr="00FF4AF4">
        <w:t>DoR</w:t>
      </w:r>
      <w:proofErr w:type="spellEnd"/>
      <w:r w:rsidR="00C17CB7" w:rsidRPr="00FF4AF4">
        <w:t xml:space="preserve"> </w:t>
      </w:r>
      <w:r w:rsidRPr="00FF4AF4">
        <w:t>is a clinically</w:t>
      </w:r>
      <w:r w:rsidR="00C17CB7" w:rsidRPr="00FF4AF4">
        <w:t xml:space="preserve"> significant </w:t>
      </w:r>
      <w:r w:rsidR="00335726" w:rsidRPr="00FF4AF4">
        <w:t>measur</w:t>
      </w:r>
      <w:r w:rsidRPr="00FF4AF4">
        <w:t xml:space="preserve">e </w:t>
      </w:r>
      <w:r w:rsidR="00C17CB7" w:rsidRPr="00FF4AF4">
        <w:t>given the chronic nature of PV</w:t>
      </w:r>
      <w:r w:rsidR="00144267" w:rsidRPr="00FF4AF4">
        <w:t>,</w:t>
      </w:r>
      <w:r w:rsidRPr="00FF4AF4">
        <w:t xml:space="preserve"> however</w:t>
      </w:r>
      <w:r w:rsidR="00335726" w:rsidRPr="00FF4AF4">
        <w:t>,</w:t>
      </w:r>
      <w:r w:rsidRPr="00FF4AF4">
        <w:t xml:space="preserve"> </w:t>
      </w:r>
      <w:r w:rsidR="00335726" w:rsidRPr="00FF4AF4">
        <w:t>the results</w:t>
      </w:r>
      <w:r w:rsidRPr="00FF4AF4">
        <w:t xml:space="preserve"> </w:t>
      </w:r>
      <w:r w:rsidR="00A51712" w:rsidRPr="00FF4AF4">
        <w:t>for</w:t>
      </w:r>
      <w:r w:rsidRPr="00FF4AF4">
        <w:t xml:space="preserve"> </w:t>
      </w:r>
      <w:proofErr w:type="spellStart"/>
      <w:r w:rsidRPr="00FF4AF4">
        <w:t>DoR</w:t>
      </w:r>
      <w:proofErr w:type="spellEnd"/>
      <w:r w:rsidRPr="00FF4AF4">
        <w:t xml:space="preserve"> from MAJIC</w:t>
      </w:r>
      <w:r w:rsidR="00335726" w:rsidRPr="00FF4AF4">
        <w:t xml:space="preserve"> </w:t>
      </w:r>
      <w:r w:rsidR="00A51712" w:rsidRPr="00FF4AF4">
        <w:t xml:space="preserve">were </w:t>
      </w:r>
      <w:r w:rsidR="00335726" w:rsidRPr="00FF4AF4">
        <w:t xml:space="preserve">unreliable due to the </w:t>
      </w:r>
      <w:r w:rsidR="00144267" w:rsidRPr="00FF4AF4">
        <w:t>significant loss</w:t>
      </w:r>
      <w:r w:rsidR="00335726" w:rsidRPr="00FF4AF4">
        <w:t xml:space="preserve"> to follow-up beyond two years</w:t>
      </w:r>
      <w:r w:rsidR="00C17CB7" w:rsidRPr="00FF4AF4">
        <w:t>.</w:t>
      </w:r>
      <w:r w:rsidR="00144267" w:rsidRPr="00FF4AF4">
        <w:t xml:space="preserve"> </w:t>
      </w:r>
      <w:r w:rsidR="00113BBB" w:rsidRPr="00FF4AF4">
        <w:t>For</w:t>
      </w:r>
      <w:r w:rsidR="00113BBB" w:rsidRPr="002B3792">
        <w:t xml:space="preserve"> example, the proportion of patients maintaining response was 62% at Year 2 and 61% at Year 5 in the ruxolitinib arm, but the number at risk decreased from 38 at Year 2 to 1 at Year 5.  </w:t>
      </w:r>
    </w:p>
    <w:p w:rsidR="003E5A32" w:rsidRPr="002B3792" w:rsidRDefault="00E11671" w:rsidP="003405EC">
      <w:pPr>
        <w:pStyle w:val="ListParagraph"/>
        <w:widowControl/>
        <w:numPr>
          <w:ilvl w:val="1"/>
          <w:numId w:val="2"/>
        </w:numPr>
        <w:spacing w:after="120"/>
      </w:pPr>
      <w:r w:rsidRPr="002B3792">
        <w:t xml:space="preserve">While it was not specified, given the shape of the Kaplan-Meier (KM) curve, it appears that a last observation carried forward (LOCF) imputation method was used to impute missing data in </w:t>
      </w:r>
      <w:proofErr w:type="spellStart"/>
      <w:r w:rsidRPr="002B3792">
        <w:t>DoR.</w:t>
      </w:r>
      <w:proofErr w:type="spellEnd"/>
      <w:r w:rsidRPr="002B3792">
        <w:t xml:space="preserve">  </w:t>
      </w:r>
      <w:r w:rsidR="00113BBB" w:rsidRPr="002B3792">
        <w:t xml:space="preserve">A more conservative approach, such as the missing equals failure (MEF) approach would have produced vastly different results due to the large proportion of missing data (estimated to be &gt;40% after </w:t>
      </w:r>
      <w:r w:rsidR="0079624F" w:rsidRPr="002B3792">
        <w:t>Year 2</w:t>
      </w:r>
      <w:r w:rsidR="00031784" w:rsidRPr="002B3792">
        <w:t xml:space="preserve">). The ESC considered that the apparent use of LOCF imputation likely further biased the results </w:t>
      </w:r>
      <w:r w:rsidR="00144267" w:rsidRPr="002B3792">
        <w:t xml:space="preserve">as it is the most optimistic outcome and </w:t>
      </w:r>
      <w:r w:rsidR="00031784" w:rsidRPr="002B3792">
        <w:t xml:space="preserve">results in a large number of patients remaining as a responder despite no longer being ‘at risk’. </w:t>
      </w:r>
      <w:r w:rsidR="00113BBB" w:rsidRPr="002B3792">
        <w:t xml:space="preserve"> </w:t>
      </w:r>
    </w:p>
    <w:p w:rsidR="00A55744" w:rsidRPr="00B05ECE" w:rsidRDefault="0079624F" w:rsidP="003405EC">
      <w:pPr>
        <w:pStyle w:val="ListParagraph"/>
        <w:widowControl/>
        <w:numPr>
          <w:ilvl w:val="1"/>
          <w:numId w:val="2"/>
        </w:numPr>
        <w:spacing w:after="120"/>
      </w:pPr>
      <w:r w:rsidRPr="00B05ECE">
        <w:lastRenderedPageBreak/>
        <w:t>The KM curve for transformation-</w:t>
      </w:r>
      <w:r w:rsidR="00706A80" w:rsidRPr="00B05ECE">
        <w:t xml:space="preserve">free survival and overall survival (OS) reported in MAJIC is presented in </w:t>
      </w:r>
      <w:r w:rsidRPr="00B05ECE">
        <w:t xml:space="preserve">Figure </w:t>
      </w:r>
      <w:r w:rsidRPr="00B05ECE">
        <w:rPr>
          <w:noProof/>
        </w:rPr>
        <w:t>3</w:t>
      </w:r>
      <w:r w:rsidR="00706A80" w:rsidRPr="00B05ECE">
        <w:t xml:space="preserve"> and </w:t>
      </w:r>
      <w:r w:rsidRPr="00B05ECE">
        <w:t xml:space="preserve">Figure </w:t>
      </w:r>
      <w:r w:rsidRPr="00B05ECE">
        <w:rPr>
          <w:noProof/>
        </w:rPr>
        <w:t>4</w:t>
      </w:r>
      <w:r w:rsidRPr="00B05ECE">
        <w:t>,</w:t>
      </w:r>
      <w:r w:rsidR="00706A80" w:rsidRPr="00B05ECE">
        <w:t xml:space="preserve"> respectively.</w:t>
      </w:r>
      <w:r w:rsidR="00E11671" w:rsidRPr="00B05ECE">
        <w:t xml:space="preserve">  It is important to note that MAJIC was not powered to detec</w:t>
      </w:r>
      <w:r w:rsidRPr="00B05ECE">
        <w:t>t differences in transformation-</w:t>
      </w:r>
      <w:r w:rsidR="00E11671" w:rsidRPr="00B05ECE">
        <w:t xml:space="preserve">free survival or OS.  </w:t>
      </w:r>
    </w:p>
    <w:p w:rsidR="00015145" w:rsidRPr="00015145" w:rsidRDefault="0079624F" w:rsidP="00FD497E">
      <w:pPr>
        <w:pStyle w:val="Caption"/>
        <w:keepNext/>
        <w:keepLines/>
        <w:widowControl/>
        <w:jc w:val="left"/>
        <w:rPr>
          <w:rStyle w:val="CommentReference"/>
          <w:b/>
        </w:rPr>
      </w:pPr>
      <w:bookmarkStart w:id="16" w:name="_Ref17147195"/>
      <w:r>
        <w:t xml:space="preserve">Figure </w:t>
      </w:r>
      <w:r w:rsidR="007233BE">
        <w:rPr>
          <w:noProof/>
        </w:rPr>
        <w:t>3</w:t>
      </w:r>
      <w:bookmarkEnd w:id="16"/>
      <w:r w:rsidR="008061D6">
        <w:rPr>
          <w:noProof/>
        </w:rPr>
        <w:t>, 4</w:t>
      </w:r>
      <w:r w:rsidR="00015145" w:rsidRPr="00015145">
        <w:rPr>
          <w:rStyle w:val="CommentReference"/>
          <w:b/>
        </w:rPr>
        <w:t xml:space="preserve">: Transformation free survival </w:t>
      </w:r>
      <w:r w:rsidR="001C2A93">
        <w:rPr>
          <w:rStyle w:val="CommentReference"/>
          <w:b/>
        </w:rPr>
        <w:t xml:space="preserve">(left) and Overall </w:t>
      </w:r>
      <w:r w:rsidR="001C2A93" w:rsidRPr="00015145">
        <w:rPr>
          <w:rStyle w:val="CommentReference"/>
          <w:b/>
        </w:rPr>
        <w:t xml:space="preserve">survival </w:t>
      </w:r>
      <w:r w:rsidR="001C2A93">
        <w:rPr>
          <w:rStyle w:val="CommentReference"/>
          <w:b/>
        </w:rPr>
        <w:t xml:space="preserve">(right) </w:t>
      </w:r>
      <w:r w:rsidR="00015145" w:rsidRPr="00015145">
        <w:rPr>
          <w:rStyle w:val="CommentReference"/>
          <w:b/>
        </w:rPr>
        <w:t xml:space="preserve">in MAJIC </w:t>
      </w:r>
    </w:p>
    <w:p w:rsidR="00706A80" w:rsidRDefault="00706A80" w:rsidP="00FD497E">
      <w:pPr>
        <w:pStyle w:val="ListParagraph"/>
        <w:keepNext/>
        <w:keepLines/>
        <w:widowControl/>
        <w:ind w:left="0"/>
        <w:jc w:val="center"/>
        <w:rPr>
          <w:i/>
        </w:rPr>
      </w:pPr>
      <w:r w:rsidRPr="00D14E88">
        <w:rPr>
          <w:rFonts w:ascii="Arial Narrow" w:hAnsi="Arial Narrow"/>
          <w:noProof/>
          <w:sz w:val="20"/>
          <w:szCs w:val="20"/>
          <w:lang w:eastAsia="en-AU"/>
        </w:rPr>
        <w:drawing>
          <wp:inline distT="0" distB="0" distL="0" distR="0" wp14:anchorId="2BC9D467" wp14:editId="347F7E37">
            <wp:extent cx="2572398" cy="1882775"/>
            <wp:effectExtent l="0" t="0" r="0" b="3175"/>
            <wp:docPr id="12" name="Picture 12" title="Figure 3: Transformation free survival (left) and Overall survival (right) in MAJ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24929" cy="1921223"/>
                    </a:xfrm>
                    <a:prstGeom prst="rect">
                      <a:avLst/>
                    </a:prstGeom>
                  </pic:spPr>
                </pic:pic>
              </a:graphicData>
            </a:graphic>
          </wp:inline>
        </w:drawing>
      </w:r>
      <w:r w:rsidR="001C2A93" w:rsidRPr="001C2A93">
        <w:rPr>
          <w:noProof/>
          <w:lang w:eastAsia="en-AU"/>
        </w:rPr>
        <w:t xml:space="preserve"> </w:t>
      </w:r>
      <w:r w:rsidR="001C2A93" w:rsidRPr="00E43AB4">
        <w:rPr>
          <w:noProof/>
          <w:lang w:eastAsia="en-AU"/>
        </w:rPr>
        <w:drawing>
          <wp:inline distT="0" distB="0" distL="0" distR="0" wp14:anchorId="7836F898" wp14:editId="74CCE37D">
            <wp:extent cx="2847975" cy="1994149"/>
            <wp:effectExtent l="0" t="0" r="0" b="6350"/>
            <wp:docPr id="17" name="Picture 17" title="Figure 4: Transformation free survival (left) and Overall survival (right) in MAJ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990"/>
                    <a:stretch/>
                  </pic:blipFill>
                  <pic:spPr bwMode="auto">
                    <a:xfrm>
                      <a:off x="0" y="0"/>
                      <a:ext cx="2923196" cy="2046819"/>
                    </a:xfrm>
                    <a:prstGeom prst="rect">
                      <a:avLst/>
                    </a:prstGeom>
                    <a:ln>
                      <a:noFill/>
                    </a:ln>
                    <a:extLst>
                      <a:ext uri="{53640926-AAD7-44D8-BBD7-CCE9431645EC}">
                        <a14:shadowObscured xmlns:a14="http://schemas.microsoft.com/office/drawing/2010/main"/>
                      </a:ext>
                    </a:extLst>
                  </pic:spPr>
                </pic:pic>
              </a:graphicData>
            </a:graphic>
          </wp:inline>
        </w:drawing>
      </w:r>
    </w:p>
    <w:p w:rsidR="00706A80" w:rsidRPr="00360FFB" w:rsidRDefault="00706A80" w:rsidP="00FD497E">
      <w:pPr>
        <w:keepNext/>
        <w:keepLines/>
        <w:widowControl/>
        <w:rPr>
          <w:rFonts w:ascii="Arial Narrow" w:hAnsi="Arial Narrow"/>
          <w:sz w:val="18"/>
          <w:szCs w:val="20"/>
        </w:rPr>
      </w:pPr>
      <w:r w:rsidRPr="00360FFB">
        <w:rPr>
          <w:rFonts w:ascii="Arial Narrow" w:hAnsi="Arial Narrow"/>
          <w:sz w:val="18"/>
          <w:szCs w:val="20"/>
        </w:rPr>
        <w:t>Abbreviations: BAT = best available therapy</w:t>
      </w:r>
    </w:p>
    <w:p w:rsidR="00706A80" w:rsidRPr="00360FFB" w:rsidRDefault="00706A80" w:rsidP="00FD497E">
      <w:pPr>
        <w:keepNext/>
        <w:keepLines/>
        <w:widowControl/>
        <w:rPr>
          <w:rFonts w:ascii="Arial Narrow" w:hAnsi="Arial Narrow"/>
          <w:sz w:val="18"/>
          <w:szCs w:val="20"/>
        </w:rPr>
      </w:pPr>
      <w:r w:rsidRPr="00360FFB">
        <w:rPr>
          <w:rFonts w:ascii="Arial Narrow" w:hAnsi="Arial Narrow"/>
          <w:sz w:val="18"/>
          <w:szCs w:val="20"/>
        </w:rPr>
        <w:t xml:space="preserve">Source: Figure 2.3-6, p95 </w:t>
      </w:r>
      <w:r w:rsidR="001C2A93">
        <w:rPr>
          <w:rFonts w:ascii="Arial Narrow" w:hAnsi="Arial Narrow"/>
          <w:sz w:val="18"/>
          <w:szCs w:val="20"/>
        </w:rPr>
        <w:t xml:space="preserve">and </w:t>
      </w:r>
      <w:r w:rsidR="001C2A93" w:rsidRPr="00360FFB">
        <w:rPr>
          <w:rFonts w:ascii="Arial Narrow" w:hAnsi="Arial Narrow"/>
          <w:sz w:val="18"/>
          <w:szCs w:val="20"/>
        </w:rPr>
        <w:t>Figure 2.3-7, p96</w:t>
      </w:r>
      <w:r w:rsidR="001C2A93">
        <w:rPr>
          <w:rFonts w:ascii="Arial Narrow" w:hAnsi="Arial Narrow"/>
          <w:sz w:val="18"/>
          <w:szCs w:val="20"/>
        </w:rPr>
        <w:t xml:space="preserve"> </w:t>
      </w:r>
      <w:r w:rsidRPr="00360FFB">
        <w:rPr>
          <w:rFonts w:ascii="Arial Narrow" w:hAnsi="Arial Narrow"/>
          <w:sz w:val="18"/>
          <w:szCs w:val="20"/>
        </w:rPr>
        <w:t xml:space="preserve">of the submission </w:t>
      </w:r>
    </w:p>
    <w:p w:rsidR="00706A80" w:rsidRPr="00DF6867" w:rsidRDefault="00706A80" w:rsidP="00DF6867">
      <w:pPr>
        <w:widowControl/>
        <w:rPr>
          <w:i/>
        </w:rPr>
      </w:pPr>
    </w:p>
    <w:p w:rsidR="00706A80" w:rsidRPr="00FF4AF4" w:rsidRDefault="004D51F6" w:rsidP="003405EC">
      <w:pPr>
        <w:pStyle w:val="ListParagraph"/>
        <w:widowControl/>
        <w:numPr>
          <w:ilvl w:val="1"/>
          <w:numId w:val="2"/>
        </w:numPr>
        <w:spacing w:after="120"/>
      </w:pPr>
      <w:r w:rsidRPr="00FF4AF4">
        <w:t>No</w:t>
      </w:r>
      <w:r w:rsidR="00015145" w:rsidRPr="00FF4AF4">
        <w:t xml:space="preserve"> statistically significant differences in t</w:t>
      </w:r>
      <w:r w:rsidR="0079624F" w:rsidRPr="00FF4AF4">
        <w:t>ransformation-</w:t>
      </w:r>
      <w:r w:rsidR="00015145" w:rsidRPr="00FF4AF4">
        <w:t>free survival or OS were observed between the treatment arms in</w:t>
      </w:r>
      <w:r w:rsidR="007315C8">
        <w:t xml:space="preserve"> MAJIC.</w:t>
      </w:r>
      <w:r w:rsidR="00015145" w:rsidRPr="00FF4AF4">
        <w:t xml:space="preserve"> </w:t>
      </w:r>
      <w:r w:rsidR="0079624F" w:rsidRPr="00FF4AF4">
        <w:t>Additionally, n</w:t>
      </w:r>
      <w:r w:rsidR="00F5084B" w:rsidRPr="00FF4AF4">
        <w:t xml:space="preserve">o deaths were reported in any patients randomised to ruxolitinib or BAT at week 32 in RESPONSE or at week 28 in RESPONSE-2.  </w:t>
      </w:r>
    </w:p>
    <w:p w:rsidR="00F5084B" w:rsidRPr="00FF4AF4" w:rsidRDefault="00F5084B" w:rsidP="003405EC">
      <w:pPr>
        <w:pStyle w:val="ListParagraph"/>
        <w:widowControl/>
        <w:numPr>
          <w:ilvl w:val="1"/>
          <w:numId w:val="2"/>
        </w:numPr>
        <w:spacing w:after="120"/>
      </w:pPr>
      <w:r w:rsidRPr="00FF4AF4">
        <w:t xml:space="preserve">Overall, there was no comparative evidence to suggest that patients treated with ruxolitinib had a difference in overall survival compared to patients treated with BAT.  </w:t>
      </w:r>
      <w:r w:rsidR="004D51F6" w:rsidRPr="00FF4AF4">
        <w:t>The ESC considered it was i</w:t>
      </w:r>
      <w:r w:rsidRPr="00FF4AF4">
        <w:t xml:space="preserve">nappropriate </w:t>
      </w:r>
      <w:r w:rsidR="004D51F6" w:rsidRPr="00FF4AF4">
        <w:t xml:space="preserve">that </w:t>
      </w:r>
      <w:r w:rsidRPr="00FF4AF4">
        <w:t>the submission assume</w:t>
      </w:r>
      <w:r w:rsidR="004D51F6" w:rsidRPr="00FF4AF4">
        <w:t>d</w:t>
      </w:r>
      <w:r w:rsidRPr="00FF4AF4">
        <w:t xml:space="preserve"> that there was a difference in overall survival in the economic model, and s</w:t>
      </w:r>
      <w:r w:rsidR="0079624F" w:rsidRPr="00FF4AF4">
        <w:t>ubsequently extrapolated</w:t>
      </w:r>
      <w:r w:rsidRPr="00FF4AF4">
        <w:t xml:space="preserve"> the </w:t>
      </w:r>
      <w:r w:rsidR="00E11671" w:rsidRPr="00FF4AF4">
        <w:t xml:space="preserve">observed OS </w:t>
      </w:r>
      <w:r w:rsidRPr="00FF4AF4">
        <w:t>from MAJIC to 20 years.</w:t>
      </w:r>
      <w:r w:rsidR="00E11671" w:rsidRPr="00FF4AF4">
        <w:t xml:space="preserve">  Similar to </w:t>
      </w:r>
      <w:proofErr w:type="spellStart"/>
      <w:r w:rsidR="00E11671" w:rsidRPr="00FF4AF4">
        <w:t>DoR</w:t>
      </w:r>
      <w:proofErr w:type="spellEnd"/>
      <w:r w:rsidR="00E11671" w:rsidRPr="00FF4AF4">
        <w:t>, there appears to have been significant loss</w:t>
      </w:r>
      <w:r w:rsidR="0079624F" w:rsidRPr="00FF4AF4">
        <w:t>es to follow-up for OS (e.g. &gt;56% by Y</w:t>
      </w:r>
      <w:r w:rsidR="00E11671" w:rsidRPr="00FF4AF4">
        <w:t xml:space="preserve">ear 4) and using LOCF to impute missing data instead of MEF may introduce significant bias.  </w:t>
      </w:r>
    </w:p>
    <w:p w:rsidR="00F5084B" w:rsidRPr="00FF4AF4" w:rsidRDefault="004D51F6" w:rsidP="003405EC">
      <w:pPr>
        <w:pStyle w:val="ListParagraph"/>
        <w:widowControl/>
        <w:numPr>
          <w:ilvl w:val="1"/>
          <w:numId w:val="2"/>
        </w:numPr>
        <w:spacing w:after="120"/>
      </w:pPr>
      <w:r w:rsidRPr="00FF4AF4">
        <w:t>There</w:t>
      </w:r>
      <w:r w:rsidR="00E57A9C" w:rsidRPr="00FF4AF4">
        <w:t xml:space="preserve"> was no evidence from MAJIC, RESPONSE or RESPONSE-2 that any statistically significant differences in the incidence of thrombotic or haemorrhagic events </w:t>
      </w:r>
      <w:r w:rsidR="00E11671" w:rsidRPr="00FF4AF4">
        <w:t>existed</w:t>
      </w:r>
      <w:r w:rsidR="00E57A9C" w:rsidRPr="00FF4AF4">
        <w:t xml:space="preserve"> between patients treated with ruxolitinib and patients treated with BAT, though the trials may not have been powered to detect any differences.  </w:t>
      </w:r>
    </w:p>
    <w:p w:rsidR="00E57A9C" w:rsidRPr="00B05ECE" w:rsidRDefault="00474771" w:rsidP="003405EC">
      <w:pPr>
        <w:pStyle w:val="ListParagraph"/>
        <w:widowControl/>
        <w:numPr>
          <w:ilvl w:val="1"/>
          <w:numId w:val="2"/>
        </w:numPr>
        <w:spacing w:after="120"/>
      </w:pPr>
      <w:r w:rsidRPr="002B3792">
        <w:t xml:space="preserve">Harrison et al </w:t>
      </w:r>
      <w:r w:rsidR="0079624F" w:rsidRPr="002B3792">
        <w:t xml:space="preserve">(2018) reported that in MAJIC, </w:t>
      </w:r>
      <w:r w:rsidRPr="002B3792">
        <w:t xml:space="preserve">the mean Myeloproliferative Neoplasm Symptom Assessment Form (MPN-SAF), 10 item version (MPN-10) score for itching, fatigue, night sweats, early satiety, weight loss, bone pain, inactivity and concentration during the first 12 months were all significantly lower for patients treated with ruxolitinib compared to patients treated with BAT (all p&lt;0.05).  </w:t>
      </w:r>
      <w:r w:rsidR="00E57A9C" w:rsidRPr="002B3792">
        <w:t xml:space="preserve">In RESPONSE and RESPONSE-2, a 14 item and 10 item MPN-SAF were used to assess the severity of the symptoms, respectively.  Patients treated with ruxolitinib had greater </w:t>
      </w:r>
      <w:r w:rsidR="00E57A9C" w:rsidRPr="00B05ECE">
        <w:t xml:space="preserve">reduction in all symptom clusters and reported a decrease in almost all individual symptoms compared to patients treated with BAT.  </w:t>
      </w:r>
    </w:p>
    <w:p w:rsidR="00E57A9C" w:rsidRPr="002B3792" w:rsidRDefault="00E57A9C" w:rsidP="003405EC">
      <w:pPr>
        <w:pStyle w:val="ListParagraph"/>
        <w:widowControl/>
        <w:numPr>
          <w:ilvl w:val="1"/>
          <w:numId w:val="2"/>
        </w:numPr>
        <w:spacing w:after="120"/>
      </w:pPr>
      <w:r w:rsidRPr="002B3792">
        <w:lastRenderedPageBreak/>
        <w:t>Health related quality of life (</w:t>
      </w:r>
      <w:proofErr w:type="spellStart"/>
      <w:r w:rsidRPr="002B3792">
        <w:t>HRQoL</w:t>
      </w:r>
      <w:proofErr w:type="spellEnd"/>
      <w:r w:rsidRPr="002B3792">
        <w:t xml:space="preserve">) </w:t>
      </w:r>
      <w:r w:rsidR="00474771" w:rsidRPr="002B3792">
        <w:t xml:space="preserve">from MAJIC </w:t>
      </w:r>
      <w:r w:rsidR="0002678C" w:rsidRPr="002B3792">
        <w:t>was</w:t>
      </w:r>
      <w:r w:rsidR="00FC5FCD" w:rsidRPr="002B3792">
        <w:t xml:space="preserve"> collected although no results were presented</w:t>
      </w:r>
      <w:r w:rsidRPr="002B3792">
        <w:t xml:space="preserve">.  However, RESPONSE collected </w:t>
      </w:r>
      <w:proofErr w:type="spellStart"/>
      <w:r w:rsidRPr="002B3792">
        <w:t>HRQoL</w:t>
      </w:r>
      <w:proofErr w:type="spellEnd"/>
      <w:r w:rsidRPr="002B3792">
        <w:t xml:space="preserve"> with the EORTC QLQ-C30 instrument, which the submission mapped to EQ-5D-5L using an algorithm derived from a UK patient population (McKenzie and van der Pol 2009), </w:t>
      </w:r>
      <w:r w:rsidR="00367B2A" w:rsidRPr="002B3792">
        <w:t xml:space="preserve">and </w:t>
      </w:r>
      <w:r w:rsidRPr="002B3792">
        <w:t>which the submission note</w:t>
      </w:r>
      <w:r w:rsidR="00367B2A" w:rsidRPr="002B3792">
        <w:t>d</w:t>
      </w:r>
      <w:r w:rsidRPr="002B3792">
        <w:t xml:space="preserve"> that the PBAC ha</w:t>
      </w:r>
      <w:r w:rsidR="00367B2A" w:rsidRPr="002B3792">
        <w:t>d</w:t>
      </w:r>
      <w:r w:rsidRPr="002B3792">
        <w:t xml:space="preserve"> previously considered in the ruxolitinib for </w:t>
      </w:r>
      <w:proofErr w:type="spellStart"/>
      <w:r w:rsidRPr="002B3792">
        <w:t>myelofibrosis</w:t>
      </w:r>
      <w:proofErr w:type="spellEnd"/>
      <w:r w:rsidRPr="002B3792">
        <w:t xml:space="preserve"> submission in July 2013.  RESPONSE-2 collected </w:t>
      </w:r>
      <w:proofErr w:type="spellStart"/>
      <w:r w:rsidRPr="002B3792">
        <w:t>HRQoL</w:t>
      </w:r>
      <w:proofErr w:type="spellEnd"/>
      <w:r w:rsidRPr="002B3792">
        <w:t xml:space="preserve"> data with the EQ-5D-5L directly, and the submission converted the two sets of EQ-5D-5L data into utilities to inform the economic model using UK tariffs</w:t>
      </w:r>
      <w:r w:rsidR="00474771" w:rsidRPr="002B3792">
        <w:t xml:space="preserve">.  The </w:t>
      </w:r>
      <w:r w:rsidRPr="002B3792">
        <w:t>utilities from RESPONSE applied to the proportion of patients assumed to have baseline splenomegaly (59.3%) and the utilities from RESPONSE-2 applied to</w:t>
      </w:r>
      <w:r w:rsidR="00AD4BE6" w:rsidRPr="002B3792">
        <w:t xml:space="preserve"> the</w:t>
      </w:r>
      <w:r w:rsidRPr="002B3792">
        <w:t xml:space="preserve"> proportion of patients assumed to have no baseline splenomegaly (40.7%). </w:t>
      </w:r>
      <w:r w:rsidR="00CB4BD9" w:rsidRPr="002B3792">
        <w:t xml:space="preserve">The ESC considered that </w:t>
      </w:r>
      <w:proofErr w:type="spellStart"/>
      <w:r w:rsidR="00CB4BD9" w:rsidRPr="002B3792">
        <w:t>HRQoL</w:t>
      </w:r>
      <w:proofErr w:type="spellEnd"/>
      <w:r w:rsidR="00CB4BD9" w:rsidRPr="002B3792">
        <w:t xml:space="preserve"> data from MAJIC </w:t>
      </w:r>
      <w:r w:rsidR="00AD1289" w:rsidRPr="002B3792">
        <w:t xml:space="preserve">may </w:t>
      </w:r>
      <w:r w:rsidR="00D55648" w:rsidRPr="002B3792">
        <w:t xml:space="preserve">be useful for validating the </w:t>
      </w:r>
      <w:proofErr w:type="spellStart"/>
      <w:r w:rsidR="00D55648" w:rsidRPr="002B3792">
        <w:t>HRQoL</w:t>
      </w:r>
      <w:proofErr w:type="spellEnd"/>
      <w:r w:rsidR="0076058F">
        <w:t xml:space="preserve"> data from the RESPONSE trials.</w:t>
      </w:r>
    </w:p>
    <w:p w:rsidR="00C6613B" w:rsidRPr="002B3792" w:rsidRDefault="0079624F" w:rsidP="003405EC">
      <w:pPr>
        <w:pStyle w:val="ListParagraph"/>
        <w:widowControl/>
        <w:numPr>
          <w:ilvl w:val="1"/>
          <w:numId w:val="2"/>
        </w:numPr>
        <w:spacing w:after="120"/>
      </w:pPr>
      <w:r w:rsidRPr="002B3792">
        <w:t>Additionally,</w:t>
      </w:r>
      <w:r w:rsidR="00C6613B" w:rsidRPr="002B3792">
        <w:t xml:space="preserve"> RESPONSE and RESPONSE-2 reported:</w:t>
      </w:r>
    </w:p>
    <w:p w:rsidR="00C6613B" w:rsidRPr="002B3792" w:rsidRDefault="00C6613B" w:rsidP="003405EC">
      <w:pPr>
        <w:pStyle w:val="ListParagraph"/>
        <w:numPr>
          <w:ilvl w:val="2"/>
          <w:numId w:val="14"/>
        </w:numPr>
        <w:spacing w:after="120"/>
        <w:ind w:left="993" w:hanging="294"/>
      </w:pPr>
      <w:r w:rsidRPr="002B3792">
        <w:t>Statistically significantly more patients treated with ruxolitinib achieved complete haematological remission (HCT &lt;45%, platelet count ≤400 × 10</w:t>
      </w:r>
      <w:r w:rsidRPr="002B3792">
        <w:rPr>
          <w:vertAlign w:val="superscript"/>
        </w:rPr>
        <w:t>9</w:t>
      </w:r>
      <w:r w:rsidRPr="002B3792">
        <w:t>/L and WBC count ≤100 × 10</w:t>
      </w:r>
      <w:r w:rsidRPr="002B3792">
        <w:rPr>
          <w:vertAlign w:val="superscript"/>
        </w:rPr>
        <w:t>9</w:t>
      </w:r>
      <w:r w:rsidRPr="002B3792">
        <w:t>/L) compared to patients treated with BAT in RESPONSE at week 32 (RD = 0.15; 95% CI: 0.06, 0.24, p152) and in RESPONSE-2 at week 28 (RD = 0.18; 95% CI: 0.07, 0.28, p162), and HC resistance was not a treatment effect modifier; and</w:t>
      </w:r>
    </w:p>
    <w:p w:rsidR="00C6613B" w:rsidRPr="002B3792" w:rsidRDefault="00C6613B" w:rsidP="003405EC">
      <w:pPr>
        <w:pStyle w:val="ListParagraph"/>
        <w:numPr>
          <w:ilvl w:val="2"/>
          <w:numId w:val="14"/>
        </w:numPr>
        <w:spacing w:after="120"/>
        <w:ind w:left="993" w:hanging="294"/>
      </w:pPr>
      <w:r w:rsidRPr="002B3792">
        <w:t>Statistically significantly fewer patients treated with ruxolitinib required phlebotomies compared to patients treated with BAT after Week 8 up to Week 32 in RESPONSE and up to Week 28 in RESPONSE-2.</w:t>
      </w:r>
    </w:p>
    <w:p w:rsidR="00B60939" w:rsidRPr="00C9624D" w:rsidRDefault="00B60939" w:rsidP="003405EC">
      <w:pPr>
        <w:pStyle w:val="Heading2"/>
        <w:spacing w:after="120"/>
      </w:pPr>
      <w:bookmarkStart w:id="17" w:name="_Toc19700360"/>
      <w:r w:rsidRPr="00C9624D">
        <w:t>Comparative harms</w:t>
      </w:r>
      <w:bookmarkEnd w:id="17"/>
    </w:p>
    <w:p w:rsidR="00870329" w:rsidRDefault="001E75E5" w:rsidP="003405EC">
      <w:pPr>
        <w:pStyle w:val="ListParagraph"/>
        <w:widowControl/>
        <w:numPr>
          <w:ilvl w:val="1"/>
          <w:numId w:val="2"/>
        </w:numPr>
        <w:spacing w:after="120"/>
      </w:pPr>
      <w:r>
        <w:t>O</w:t>
      </w:r>
      <w:r w:rsidR="00870329">
        <w:t xml:space="preserve">nly limited adverse event data </w:t>
      </w:r>
      <w:r w:rsidR="004F5FDE">
        <w:t xml:space="preserve">from MAJIC was reported in Harrison et al 2018.  A summary of what was reported, as well as the key drug related adverse events which were statistically significant different between treatment arms in RESPONSE and RESPONSE-2 are summarised in </w:t>
      </w:r>
      <w:r w:rsidR="0079624F">
        <w:t xml:space="preserve">Table </w:t>
      </w:r>
      <w:r w:rsidR="0079624F">
        <w:rPr>
          <w:noProof/>
        </w:rPr>
        <w:t>7</w:t>
      </w:r>
      <w:r w:rsidR="004F5FDE">
        <w:t xml:space="preserve">. </w:t>
      </w:r>
    </w:p>
    <w:p w:rsidR="004F5FDE" w:rsidRPr="00015145" w:rsidRDefault="0079624F" w:rsidP="00FD497E">
      <w:pPr>
        <w:pStyle w:val="Caption"/>
        <w:keepNext/>
        <w:keepLines/>
        <w:widowControl/>
        <w:jc w:val="left"/>
        <w:rPr>
          <w:rStyle w:val="CommentReference"/>
          <w:b/>
        </w:rPr>
      </w:pPr>
      <w:bookmarkStart w:id="18" w:name="_Ref17147378"/>
      <w:r>
        <w:lastRenderedPageBreak/>
        <w:t xml:space="preserve">Table </w:t>
      </w:r>
      <w:r w:rsidR="00CF6741">
        <w:rPr>
          <w:noProof/>
        </w:rPr>
        <w:t>7</w:t>
      </w:r>
      <w:bookmarkEnd w:id="18"/>
      <w:r w:rsidR="004F5FDE" w:rsidRPr="00015145">
        <w:rPr>
          <w:rStyle w:val="CommentReference"/>
          <w:b/>
        </w:rPr>
        <w:t xml:space="preserve">: </w:t>
      </w:r>
      <w:r w:rsidR="004F5FDE">
        <w:rPr>
          <w:rStyle w:val="CommentReference"/>
          <w:b/>
        </w:rPr>
        <w:t>Key Adverse events in MAJIC, RESPONSE and RESPONSE-2</w:t>
      </w:r>
    </w:p>
    <w:tbl>
      <w:tblPr>
        <w:tblStyle w:val="TableGrid"/>
        <w:tblW w:w="0" w:type="auto"/>
        <w:tblCellMar>
          <w:left w:w="28" w:type="dxa"/>
          <w:right w:w="28" w:type="dxa"/>
        </w:tblCellMar>
        <w:tblLook w:val="04A0" w:firstRow="1" w:lastRow="0" w:firstColumn="1" w:lastColumn="0" w:noHBand="0" w:noVBand="1"/>
        <w:tblCaption w:val="Table 7: Key Adverse events in MAJIC, RESPONSE and RESPONSE-2"/>
      </w:tblPr>
      <w:tblGrid>
        <w:gridCol w:w="1696"/>
        <w:gridCol w:w="1560"/>
        <w:gridCol w:w="1134"/>
        <w:gridCol w:w="1559"/>
        <w:gridCol w:w="1417"/>
        <w:gridCol w:w="1651"/>
      </w:tblGrid>
      <w:tr w:rsidR="004F5FDE" w:rsidRPr="008F3188" w:rsidTr="00DF6867">
        <w:trPr>
          <w:tblHeader/>
        </w:trPr>
        <w:tc>
          <w:tcPr>
            <w:tcW w:w="1696" w:type="dxa"/>
            <w:vAlign w:val="center"/>
          </w:tcPr>
          <w:p w:rsidR="004F5FDE" w:rsidRPr="006D7CB1" w:rsidRDefault="004F5FDE" w:rsidP="00FD497E">
            <w:pPr>
              <w:keepNext/>
              <w:keepLines/>
              <w:widowControl/>
              <w:jc w:val="left"/>
              <w:rPr>
                <w:rFonts w:ascii="Arial Narrow" w:hAnsi="Arial Narrow"/>
                <w:sz w:val="20"/>
                <w:szCs w:val="18"/>
              </w:rPr>
            </w:pPr>
          </w:p>
        </w:tc>
        <w:tc>
          <w:tcPr>
            <w:tcW w:w="1560"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Ruxolitinib, n/N</w:t>
            </w:r>
            <w:r w:rsidR="0079624F" w:rsidRPr="008F3188">
              <w:rPr>
                <w:rFonts w:ascii="Arial Narrow" w:hAnsi="Arial Narrow"/>
                <w:b/>
                <w:sz w:val="20"/>
                <w:szCs w:val="18"/>
              </w:rPr>
              <w:t xml:space="preserve"> </w:t>
            </w:r>
            <w:r w:rsidRPr="008F3188">
              <w:rPr>
                <w:rFonts w:ascii="Arial Narrow" w:hAnsi="Arial Narrow"/>
                <w:b/>
                <w:sz w:val="20"/>
                <w:szCs w:val="18"/>
              </w:rPr>
              <w:t>(%)</w:t>
            </w:r>
          </w:p>
        </w:tc>
        <w:tc>
          <w:tcPr>
            <w:tcW w:w="1134"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BAT, n/N</w:t>
            </w:r>
            <w:r w:rsidR="0079624F" w:rsidRPr="008F3188">
              <w:rPr>
                <w:rFonts w:ascii="Arial Narrow" w:hAnsi="Arial Narrow"/>
                <w:b/>
                <w:sz w:val="20"/>
                <w:szCs w:val="18"/>
              </w:rPr>
              <w:t xml:space="preserve"> </w:t>
            </w:r>
            <w:r w:rsidRPr="008F3188">
              <w:rPr>
                <w:rFonts w:ascii="Arial Narrow" w:hAnsi="Arial Narrow"/>
                <w:b/>
                <w:sz w:val="20"/>
                <w:szCs w:val="18"/>
              </w:rPr>
              <w:t>(%)</w:t>
            </w:r>
          </w:p>
        </w:tc>
        <w:tc>
          <w:tcPr>
            <w:tcW w:w="1559"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OR (95%CI)</w:t>
            </w:r>
          </w:p>
        </w:tc>
        <w:tc>
          <w:tcPr>
            <w:tcW w:w="1417"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RR (95%CI)</w:t>
            </w:r>
          </w:p>
        </w:tc>
        <w:tc>
          <w:tcPr>
            <w:tcW w:w="1651"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RD (95%CI)</w:t>
            </w:r>
          </w:p>
        </w:tc>
      </w:tr>
      <w:tr w:rsidR="004F5FDE" w:rsidRPr="008F3188" w:rsidTr="00BB1F0F">
        <w:tc>
          <w:tcPr>
            <w:tcW w:w="9017" w:type="dxa"/>
            <w:gridSpan w:val="6"/>
            <w:vAlign w:val="center"/>
          </w:tcPr>
          <w:p w:rsidR="004F5FDE" w:rsidRPr="008F3188" w:rsidRDefault="004F5FDE" w:rsidP="00FD497E">
            <w:pPr>
              <w:keepNext/>
              <w:keepLines/>
              <w:widowControl/>
              <w:jc w:val="left"/>
              <w:rPr>
                <w:rFonts w:ascii="Arial Narrow" w:hAnsi="Arial Narrow"/>
                <w:b/>
                <w:sz w:val="20"/>
                <w:szCs w:val="18"/>
              </w:rPr>
            </w:pPr>
            <w:r w:rsidRPr="008F3188">
              <w:rPr>
                <w:rFonts w:ascii="Arial Narrow" w:hAnsi="Arial Narrow"/>
                <w:b/>
                <w:sz w:val="20"/>
                <w:szCs w:val="18"/>
              </w:rPr>
              <w:t>MAJIC</w:t>
            </w:r>
          </w:p>
        </w:tc>
      </w:tr>
      <w:tr w:rsidR="004F5FDE" w:rsidRPr="008F3188" w:rsidTr="004F5FDE">
        <w:tc>
          <w:tcPr>
            <w:tcW w:w="1696" w:type="dxa"/>
            <w:vAlign w:val="center"/>
          </w:tcPr>
          <w:p w:rsidR="004F5FDE" w:rsidRPr="008F3188" w:rsidRDefault="004F5FDE" w:rsidP="00FD497E">
            <w:pPr>
              <w:keepNext/>
              <w:keepLines/>
              <w:widowControl/>
              <w:jc w:val="left"/>
              <w:rPr>
                <w:rFonts w:ascii="Arial Narrow" w:hAnsi="Arial Narrow"/>
                <w:sz w:val="20"/>
                <w:szCs w:val="18"/>
              </w:rPr>
            </w:pPr>
            <w:r w:rsidRPr="008F3188">
              <w:rPr>
                <w:rFonts w:ascii="Arial Narrow" w:hAnsi="Arial Narrow"/>
                <w:sz w:val="20"/>
                <w:szCs w:val="18"/>
              </w:rPr>
              <w:t xml:space="preserve">Grade 3 </w:t>
            </w:r>
            <w:proofErr w:type="spellStart"/>
            <w:r w:rsidRPr="008F3188">
              <w:rPr>
                <w:rFonts w:ascii="Arial Narrow" w:hAnsi="Arial Narrow"/>
                <w:sz w:val="20"/>
                <w:szCs w:val="18"/>
              </w:rPr>
              <w:t>Anaemia</w:t>
            </w:r>
            <w:r w:rsidR="00625E85">
              <w:rPr>
                <w:rFonts w:ascii="Arial Narrow" w:hAnsi="Arial Narrow"/>
                <w:sz w:val="18"/>
                <w:szCs w:val="20"/>
                <w:vertAlign w:val="superscript"/>
              </w:rPr>
              <w:t>a</w:t>
            </w:r>
            <w:proofErr w:type="spellEnd"/>
          </w:p>
        </w:tc>
        <w:tc>
          <w:tcPr>
            <w:tcW w:w="1560"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6/93 (6.5)</w:t>
            </w:r>
          </w:p>
        </w:tc>
        <w:tc>
          <w:tcPr>
            <w:tcW w:w="1134"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1/89 (1.1)</w:t>
            </w:r>
          </w:p>
        </w:tc>
        <w:tc>
          <w:tcPr>
            <w:tcW w:w="1559"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6.07 (0.71, 282)</w:t>
            </w:r>
          </w:p>
        </w:tc>
        <w:tc>
          <w:tcPr>
            <w:tcW w:w="1417"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5.74 (0.93, 36.0)</w:t>
            </w:r>
          </w:p>
        </w:tc>
        <w:tc>
          <w:tcPr>
            <w:tcW w:w="1651"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0.05 (-0.004, 0.12)</w:t>
            </w:r>
          </w:p>
        </w:tc>
      </w:tr>
      <w:tr w:rsidR="004F5FDE" w:rsidRPr="008F3188" w:rsidTr="004F5FDE">
        <w:tc>
          <w:tcPr>
            <w:tcW w:w="1696" w:type="dxa"/>
            <w:vAlign w:val="center"/>
          </w:tcPr>
          <w:p w:rsidR="004F5FDE" w:rsidRPr="008F3188" w:rsidRDefault="004F5FDE" w:rsidP="00FD497E">
            <w:pPr>
              <w:keepNext/>
              <w:keepLines/>
              <w:widowControl/>
              <w:jc w:val="left"/>
              <w:rPr>
                <w:rFonts w:ascii="Arial Narrow" w:hAnsi="Arial Narrow"/>
                <w:sz w:val="20"/>
                <w:szCs w:val="18"/>
              </w:rPr>
            </w:pPr>
            <w:r w:rsidRPr="008F3188">
              <w:rPr>
                <w:rFonts w:ascii="Arial Narrow" w:hAnsi="Arial Narrow"/>
                <w:sz w:val="20"/>
                <w:szCs w:val="18"/>
              </w:rPr>
              <w:t xml:space="preserve">Grade 4 </w:t>
            </w:r>
            <w:proofErr w:type="spellStart"/>
            <w:r w:rsidRPr="008F3188">
              <w:rPr>
                <w:rFonts w:ascii="Arial Narrow" w:hAnsi="Arial Narrow"/>
                <w:sz w:val="20"/>
                <w:szCs w:val="18"/>
              </w:rPr>
              <w:t>thrombocytopenia</w:t>
            </w:r>
            <w:r w:rsidR="00625E85">
              <w:rPr>
                <w:rFonts w:ascii="Arial Narrow" w:hAnsi="Arial Narrow"/>
                <w:sz w:val="18"/>
                <w:szCs w:val="20"/>
                <w:vertAlign w:val="superscript"/>
              </w:rPr>
              <w:t>a</w:t>
            </w:r>
            <w:proofErr w:type="spellEnd"/>
          </w:p>
        </w:tc>
        <w:tc>
          <w:tcPr>
            <w:tcW w:w="1560"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1/93 (1.1)</w:t>
            </w:r>
          </w:p>
        </w:tc>
        <w:tc>
          <w:tcPr>
            <w:tcW w:w="1134"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0/89 (0)</w:t>
            </w:r>
          </w:p>
        </w:tc>
        <w:tc>
          <w:tcPr>
            <w:tcW w:w="1559"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 xml:space="preserve">2.90 (0.18, </w:t>
            </w:r>
            <w:proofErr w:type="spellStart"/>
            <w:r w:rsidRPr="00625E85">
              <w:rPr>
                <w:rFonts w:ascii="Arial Narrow" w:hAnsi="Arial Narrow"/>
                <w:sz w:val="20"/>
                <w:szCs w:val="18"/>
              </w:rPr>
              <w:t>Inf</w:t>
            </w:r>
            <w:proofErr w:type="spellEnd"/>
            <w:r w:rsidRPr="00625E85">
              <w:rPr>
                <w:rFonts w:ascii="Arial Narrow" w:hAnsi="Arial Narrow"/>
                <w:sz w:val="20"/>
                <w:szCs w:val="18"/>
              </w:rPr>
              <w:t>)</w:t>
            </w:r>
          </w:p>
        </w:tc>
        <w:tc>
          <w:tcPr>
            <w:tcW w:w="1417" w:type="dxa"/>
            <w:vAlign w:val="center"/>
          </w:tcPr>
          <w:p w:rsidR="004F5FDE" w:rsidRPr="00625E85" w:rsidRDefault="009F5D1D" w:rsidP="00FD497E">
            <w:pPr>
              <w:keepNext/>
              <w:keepLines/>
              <w:widowControl/>
              <w:jc w:val="center"/>
              <w:rPr>
                <w:rFonts w:ascii="Arial Narrow" w:hAnsi="Arial Narrow"/>
                <w:sz w:val="20"/>
                <w:szCs w:val="18"/>
              </w:rPr>
            </w:pPr>
            <w:r w:rsidRPr="00625E85">
              <w:rPr>
                <w:rFonts w:ascii="Arial Narrow" w:hAnsi="Arial Narrow"/>
                <w:sz w:val="20"/>
                <w:szCs w:val="18"/>
              </w:rPr>
              <w:t xml:space="preserve">2.87 (0.25, </w:t>
            </w:r>
            <w:proofErr w:type="spellStart"/>
            <w:r w:rsidRPr="00625E85">
              <w:rPr>
                <w:rFonts w:ascii="Arial Narrow" w:hAnsi="Arial Narrow"/>
                <w:sz w:val="20"/>
                <w:szCs w:val="18"/>
              </w:rPr>
              <w:t>I</w:t>
            </w:r>
            <w:r w:rsidR="004F5FDE" w:rsidRPr="00625E85">
              <w:rPr>
                <w:rFonts w:ascii="Arial Narrow" w:hAnsi="Arial Narrow"/>
                <w:sz w:val="20"/>
                <w:szCs w:val="18"/>
              </w:rPr>
              <w:t>nf</w:t>
            </w:r>
            <w:proofErr w:type="spellEnd"/>
            <w:r w:rsidR="004F5FDE" w:rsidRPr="00625E85">
              <w:rPr>
                <w:rFonts w:ascii="Arial Narrow" w:hAnsi="Arial Narrow"/>
                <w:sz w:val="20"/>
                <w:szCs w:val="18"/>
              </w:rPr>
              <w:t>)</w:t>
            </w:r>
          </w:p>
        </w:tc>
        <w:tc>
          <w:tcPr>
            <w:tcW w:w="1651"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0.011 (-0.031, 0.059)</w:t>
            </w:r>
          </w:p>
        </w:tc>
      </w:tr>
      <w:tr w:rsidR="004F5FDE" w:rsidRPr="008F3188" w:rsidTr="004F5FDE">
        <w:tc>
          <w:tcPr>
            <w:tcW w:w="1696" w:type="dxa"/>
            <w:vAlign w:val="center"/>
          </w:tcPr>
          <w:p w:rsidR="004F5FDE" w:rsidRPr="008F3188" w:rsidRDefault="00625E85" w:rsidP="00FD497E">
            <w:pPr>
              <w:keepNext/>
              <w:keepLines/>
              <w:widowControl/>
              <w:jc w:val="left"/>
              <w:rPr>
                <w:rFonts w:ascii="Arial Narrow" w:hAnsi="Arial Narrow"/>
                <w:sz w:val="20"/>
                <w:szCs w:val="18"/>
              </w:rPr>
            </w:pPr>
            <w:r>
              <w:rPr>
                <w:rFonts w:ascii="Arial Narrow" w:hAnsi="Arial Narrow"/>
                <w:sz w:val="20"/>
                <w:szCs w:val="18"/>
              </w:rPr>
              <w:t xml:space="preserve">Grade 3 </w:t>
            </w:r>
            <w:proofErr w:type="spellStart"/>
            <w:r>
              <w:rPr>
                <w:rFonts w:ascii="Arial Narrow" w:hAnsi="Arial Narrow"/>
                <w:sz w:val="20"/>
                <w:szCs w:val="18"/>
              </w:rPr>
              <w:t>infection</w:t>
            </w:r>
            <w:r>
              <w:rPr>
                <w:rFonts w:ascii="Arial Narrow" w:hAnsi="Arial Narrow"/>
                <w:sz w:val="18"/>
                <w:szCs w:val="20"/>
                <w:vertAlign w:val="superscript"/>
              </w:rPr>
              <w:t>a</w:t>
            </w:r>
            <w:proofErr w:type="spellEnd"/>
          </w:p>
        </w:tc>
        <w:tc>
          <w:tcPr>
            <w:tcW w:w="1560"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8/93 (8.6)</w:t>
            </w:r>
          </w:p>
        </w:tc>
        <w:tc>
          <w:tcPr>
            <w:tcW w:w="1134"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2/89 (2.2)</w:t>
            </w:r>
          </w:p>
        </w:tc>
        <w:tc>
          <w:tcPr>
            <w:tcW w:w="1559"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4.09 (0.78, 40.4)</w:t>
            </w:r>
          </w:p>
        </w:tc>
        <w:tc>
          <w:tcPr>
            <w:tcW w:w="1417"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3.83 (0.95, 15.68)</w:t>
            </w:r>
          </w:p>
        </w:tc>
        <w:tc>
          <w:tcPr>
            <w:tcW w:w="1651"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0.064 (-0.003, 0.142)</w:t>
            </w:r>
          </w:p>
        </w:tc>
      </w:tr>
      <w:tr w:rsidR="004F5FDE" w:rsidRPr="008F3188" w:rsidTr="004F5FDE">
        <w:tc>
          <w:tcPr>
            <w:tcW w:w="1696" w:type="dxa"/>
            <w:vAlign w:val="center"/>
          </w:tcPr>
          <w:p w:rsidR="004F5FDE" w:rsidRPr="008F3188" w:rsidRDefault="004F5FDE" w:rsidP="00FD497E">
            <w:pPr>
              <w:keepNext/>
              <w:keepLines/>
              <w:widowControl/>
              <w:jc w:val="left"/>
              <w:rPr>
                <w:rFonts w:ascii="Arial Narrow" w:hAnsi="Arial Narrow"/>
                <w:sz w:val="20"/>
                <w:szCs w:val="18"/>
              </w:rPr>
            </w:pPr>
            <w:r w:rsidRPr="008F3188">
              <w:rPr>
                <w:rFonts w:ascii="Arial Narrow" w:hAnsi="Arial Narrow"/>
                <w:sz w:val="20"/>
                <w:szCs w:val="18"/>
              </w:rPr>
              <w:t xml:space="preserve">Grade 4 </w:t>
            </w:r>
            <w:proofErr w:type="spellStart"/>
            <w:r w:rsidRPr="008F3188">
              <w:rPr>
                <w:rFonts w:ascii="Arial Narrow" w:hAnsi="Arial Narrow"/>
                <w:sz w:val="20"/>
                <w:szCs w:val="18"/>
              </w:rPr>
              <w:t>infection</w:t>
            </w:r>
            <w:r w:rsidR="00625E85">
              <w:rPr>
                <w:rFonts w:ascii="Arial Narrow" w:hAnsi="Arial Narrow"/>
                <w:sz w:val="18"/>
                <w:szCs w:val="20"/>
                <w:vertAlign w:val="superscript"/>
              </w:rPr>
              <w:t>a</w:t>
            </w:r>
            <w:proofErr w:type="spellEnd"/>
          </w:p>
        </w:tc>
        <w:tc>
          <w:tcPr>
            <w:tcW w:w="1560"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2/93 (2.2)</w:t>
            </w:r>
          </w:p>
        </w:tc>
        <w:tc>
          <w:tcPr>
            <w:tcW w:w="1134"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3/89 (3.4)</w:t>
            </w:r>
          </w:p>
        </w:tc>
        <w:tc>
          <w:tcPr>
            <w:tcW w:w="1559"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0.63 (0.05, 5.65)</w:t>
            </w:r>
          </w:p>
        </w:tc>
        <w:tc>
          <w:tcPr>
            <w:tcW w:w="1417"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0.64 (0.13, 3.13)</w:t>
            </w:r>
          </w:p>
        </w:tc>
        <w:tc>
          <w:tcPr>
            <w:tcW w:w="1651" w:type="dxa"/>
            <w:vAlign w:val="center"/>
          </w:tcPr>
          <w:p w:rsidR="004F5FDE" w:rsidRPr="00625E85" w:rsidRDefault="004F5FDE" w:rsidP="00FD497E">
            <w:pPr>
              <w:keepNext/>
              <w:keepLines/>
              <w:widowControl/>
              <w:jc w:val="center"/>
              <w:rPr>
                <w:rFonts w:ascii="Arial Narrow" w:hAnsi="Arial Narrow"/>
                <w:sz w:val="20"/>
                <w:szCs w:val="18"/>
              </w:rPr>
            </w:pPr>
            <w:r w:rsidRPr="00625E85">
              <w:rPr>
                <w:rFonts w:ascii="Arial Narrow" w:hAnsi="Arial Narrow"/>
                <w:sz w:val="20"/>
                <w:szCs w:val="18"/>
              </w:rPr>
              <w:t>-0.012 (-0.076, 0.046)</w:t>
            </w:r>
          </w:p>
        </w:tc>
      </w:tr>
      <w:tr w:rsidR="004F5FDE" w:rsidRPr="008F3188" w:rsidTr="00BB1F0F">
        <w:tc>
          <w:tcPr>
            <w:tcW w:w="9017" w:type="dxa"/>
            <w:gridSpan w:val="6"/>
            <w:vAlign w:val="center"/>
          </w:tcPr>
          <w:p w:rsidR="004F5FDE" w:rsidRPr="008F3188" w:rsidRDefault="004F5FDE" w:rsidP="00FD497E">
            <w:pPr>
              <w:keepNext/>
              <w:keepLines/>
              <w:widowControl/>
              <w:jc w:val="left"/>
              <w:rPr>
                <w:rFonts w:ascii="Arial Narrow" w:hAnsi="Arial Narrow"/>
                <w:b/>
                <w:sz w:val="20"/>
                <w:szCs w:val="18"/>
              </w:rPr>
            </w:pPr>
            <w:r w:rsidRPr="008F3188">
              <w:rPr>
                <w:rFonts w:ascii="Arial Narrow" w:hAnsi="Arial Narrow"/>
                <w:b/>
                <w:sz w:val="20"/>
                <w:szCs w:val="18"/>
              </w:rPr>
              <w:t xml:space="preserve">RESPONSE </w:t>
            </w:r>
          </w:p>
        </w:tc>
      </w:tr>
      <w:tr w:rsidR="004F5FDE" w:rsidRPr="008F3188" w:rsidTr="004F5FDE">
        <w:tc>
          <w:tcPr>
            <w:tcW w:w="1696" w:type="dxa"/>
            <w:vAlign w:val="center"/>
          </w:tcPr>
          <w:p w:rsidR="004F5FDE" w:rsidRPr="008F3188" w:rsidRDefault="004F5FDE" w:rsidP="00FD497E">
            <w:pPr>
              <w:keepNext/>
              <w:keepLines/>
              <w:widowControl/>
              <w:jc w:val="left"/>
              <w:rPr>
                <w:rFonts w:ascii="Arial Narrow" w:hAnsi="Arial Narrow"/>
                <w:sz w:val="20"/>
                <w:szCs w:val="18"/>
              </w:rPr>
            </w:pPr>
            <w:r w:rsidRPr="008F3188">
              <w:rPr>
                <w:rFonts w:ascii="Arial Narrow" w:hAnsi="Arial Narrow"/>
                <w:sz w:val="20"/>
                <w:szCs w:val="18"/>
              </w:rPr>
              <w:t>Anaemia all grades</w:t>
            </w:r>
          </w:p>
        </w:tc>
        <w:tc>
          <w:tcPr>
            <w:tcW w:w="1560" w:type="dxa"/>
            <w:vAlign w:val="center"/>
          </w:tcPr>
          <w:p w:rsidR="004F5FDE" w:rsidRPr="008F3188" w:rsidRDefault="004F5FDE" w:rsidP="00FD497E">
            <w:pPr>
              <w:keepNext/>
              <w:keepLines/>
              <w:widowControl/>
              <w:jc w:val="center"/>
              <w:rPr>
                <w:rFonts w:ascii="Arial Narrow" w:hAnsi="Arial Narrow"/>
                <w:sz w:val="20"/>
                <w:szCs w:val="18"/>
              </w:rPr>
            </w:pPr>
            <w:r w:rsidRPr="008F3188">
              <w:rPr>
                <w:rFonts w:ascii="Arial Narrow" w:hAnsi="Arial Narrow"/>
                <w:sz w:val="20"/>
                <w:szCs w:val="18"/>
              </w:rPr>
              <w:t>19/110 (17.3)</w:t>
            </w:r>
          </w:p>
        </w:tc>
        <w:tc>
          <w:tcPr>
            <w:tcW w:w="1134" w:type="dxa"/>
            <w:vAlign w:val="center"/>
          </w:tcPr>
          <w:p w:rsidR="004F5FDE" w:rsidRPr="008F3188" w:rsidRDefault="004F5FDE" w:rsidP="00FD497E">
            <w:pPr>
              <w:keepNext/>
              <w:keepLines/>
              <w:widowControl/>
              <w:jc w:val="center"/>
              <w:rPr>
                <w:rFonts w:ascii="Arial Narrow" w:hAnsi="Arial Narrow"/>
                <w:sz w:val="20"/>
                <w:szCs w:val="18"/>
              </w:rPr>
            </w:pPr>
            <w:r w:rsidRPr="008F3188">
              <w:rPr>
                <w:rFonts w:ascii="Arial Narrow" w:hAnsi="Arial Narrow"/>
                <w:sz w:val="20"/>
                <w:szCs w:val="18"/>
              </w:rPr>
              <w:t>1/111 (0.9)</w:t>
            </w:r>
          </w:p>
        </w:tc>
        <w:tc>
          <w:tcPr>
            <w:tcW w:w="1559"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22.97 (3.48, 962)</w:t>
            </w:r>
          </w:p>
        </w:tc>
        <w:tc>
          <w:tcPr>
            <w:tcW w:w="1417"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19.17 (2.61, 141)</w:t>
            </w:r>
          </w:p>
        </w:tc>
        <w:tc>
          <w:tcPr>
            <w:tcW w:w="1651"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0.16 (0.09, 0.24)</w:t>
            </w:r>
          </w:p>
        </w:tc>
      </w:tr>
      <w:tr w:rsidR="004F5FDE" w:rsidRPr="008F3188" w:rsidTr="004F5FDE">
        <w:tc>
          <w:tcPr>
            <w:tcW w:w="1696" w:type="dxa"/>
            <w:vAlign w:val="center"/>
          </w:tcPr>
          <w:p w:rsidR="004F5FDE" w:rsidRPr="008F3188" w:rsidRDefault="004F5FDE" w:rsidP="00FD497E">
            <w:pPr>
              <w:keepNext/>
              <w:keepLines/>
              <w:widowControl/>
              <w:jc w:val="left"/>
              <w:rPr>
                <w:rFonts w:ascii="Arial Narrow" w:hAnsi="Arial Narrow"/>
                <w:sz w:val="20"/>
                <w:szCs w:val="18"/>
              </w:rPr>
            </w:pPr>
            <w:r w:rsidRPr="008F3188">
              <w:rPr>
                <w:rFonts w:ascii="Arial Narrow" w:hAnsi="Arial Narrow"/>
                <w:sz w:val="20"/>
                <w:szCs w:val="18"/>
              </w:rPr>
              <w:t>Dizziness all grades</w:t>
            </w:r>
          </w:p>
        </w:tc>
        <w:tc>
          <w:tcPr>
            <w:tcW w:w="1560" w:type="dxa"/>
            <w:vAlign w:val="center"/>
          </w:tcPr>
          <w:p w:rsidR="004F5FDE" w:rsidRPr="008F3188" w:rsidRDefault="004F5FDE" w:rsidP="00FD497E">
            <w:pPr>
              <w:keepNext/>
              <w:keepLines/>
              <w:widowControl/>
              <w:jc w:val="center"/>
              <w:rPr>
                <w:rFonts w:ascii="Arial Narrow" w:hAnsi="Arial Narrow"/>
                <w:sz w:val="20"/>
                <w:szCs w:val="18"/>
              </w:rPr>
            </w:pPr>
            <w:r w:rsidRPr="008F3188">
              <w:rPr>
                <w:rFonts w:ascii="Arial Narrow" w:hAnsi="Arial Narrow"/>
                <w:sz w:val="20"/>
                <w:szCs w:val="18"/>
              </w:rPr>
              <w:t>7/110 (6.4)</w:t>
            </w:r>
          </w:p>
        </w:tc>
        <w:tc>
          <w:tcPr>
            <w:tcW w:w="1134" w:type="dxa"/>
            <w:vAlign w:val="center"/>
          </w:tcPr>
          <w:p w:rsidR="004F5FDE" w:rsidRPr="008F3188" w:rsidRDefault="004F5FDE" w:rsidP="00FD497E">
            <w:pPr>
              <w:keepNext/>
              <w:keepLines/>
              <w:widowControl/>
              <w:jc w:val="center"/>
              <w:rPr>
                <w:rFonts w:ascii="Arial Narrow" w:hAnsi="Arial Narrow"/>
                <w:sz w:val="20"/>
                <w:szCs w:val="18"/>
              </w:rPr>
            </w:pPr>
            <w:r w:rsidRPr="008F3188">
              <w:rPr>
                <w:rFonts w:ascii="Arial Narrow" w:hAnsi="Arial Narrow"/>
                <w:sz w:val="20"/>
                <w:szCs w:val="18"/>
              </w:rPr>
              <w:t>0/111 (0)</w:t>
            </w:r>
          </w:p>
        </w:tc>
        <w:tc>
          <w:tcPr>
            <w:tcW w:w="1559"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 xml:space="preserve">16.16 (1.80, </w:t>
            </w:r>
            <w:proofErr w:type="spellStart"/>
            <w:r w:rsidR="009F5D1D" w:rsidRPr="008F3188">
              <w:rPr>
                <w:rFonts w:ascii="Arial Narrow" w:hAnsi="Arial Narrow"/>
                <w:b/>
                <w:sz w:val="20"/>
                <w:szCs w:val="18"/>
              </w:rPr>
              <w:t>Inf</w:t>
            </w:r>
            <w:proofErr w:type="spellEnd"/>
            <w:r w:rsidRPr="008F3188">
              <w:rPr>
                <w:rFonts w:ascii="Arial Narrow" w:hAnsi="Arial Narrow"/>
                <w:b/>
                <w:sz w:val="20"/>
                <w:szCs w:val="18"/>
              </w:rPr>
              <w:t>)</w:t>
            </w:r>
          </w:p>
        </w:tc>
        <w:tc>
          <w:tcPr>
            <w:tcW w:w="1417" w:type="dxa"/>
            <w:vAlign w:val="center"/>
          </w:tcPr>
          <w:p w:rsidR="004F5FDE" w:rsidRPr="008F3188" w:rsidRDefault="004F5FDE" w:rsidP="00FD497E">
            <w:pPr>
              <w:keepNext/>
              <w:keepLines/>
              <w:widowControl/>
              <w:jc w:val="center"/>
              <w:rPr>
                <w:rFonts w:ascii="Arial Narrow" w:hAnsi="Arial Narrow"/>
                <w:sz w:val="20"/>
                <w:szCs w:val="18"/>
              </w:rPr>
            </w:pPr>
            <w:r w:rsidRPr="008F3188">
              <w:rPr>
                <w:rFonts w:ascii="Arial Narrow" w:hAnsi="Arial Narrow"/>
                <w:sz w:val="20"/>
                <w:szCs w:val="18"/>
              </w:rPr>
              <w:t>15.14 (0.87, 262)</w:t>
            </w:r>
          </w:p>
        </w:tc>
        <w:tc>
          <w:tcPr>
            <w:tcW w:w="1651"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0.06 (.02, 0.11)</w:t>
            </w:r>
          </w:p>
        </w:tc>
      </w:tr>
      <w:tr w:rsidR="004F5FDE" w:rsidRPr="008F3188" w:rsidTr="004F5FDE">
        <w:tc>
          <w:tcPr>
            <w:tcW w:w="1696" w:type="dxa"/>
            <w:vAlign w:val="center"/>
          </w:tcPr>
          <w:p w:rsidR="004F5FDE" w:rsidRPr="008F3188" w:rsidRDefault="004F5FDE" w:rsidP="00FD497E">
            <w:pPr>
              <w:keepNext/>
              <w:keepLines/>
              <w:widowControl/>
              <w:jc w:val="left"/>
              <w:rPr>
                <w:rFonts w:ascii="Arial Narrow" w:hAnsi="Arial Narrow"/>
                <w:sz w:val="20"/>
                <w:szCs w:val="18"/>
              </w:rPr>
            </w:pPr>
            <w:r w:rsidRPr="008F3188">
              <w:rPr>
                <w:rFonts w:ascii="Arial Narrow" w:hAnsi="Arial Narrow"/>
                <w:sz w:val="20"/>
                <w:szCs w:val="18"/>
              </w:rPr>
              <w:t>Headache all grades</w:t>
            </w:r>
          </w:p>
        </w:tc>
        <w:tc>
          <w:tcPr>
            <w:tcW w:w="1560" w:type="dxa"/>
            <w:vAlign w:val="center"/>
          </w:tcPr>
          <w:p w:rsidR="004F5FDE" w:rsidRPr="008F3188" w:rsidRDefault="004F5FDE" w:rsidP="00FD497E">
            <w:pPr>
              <w:keepNext/>
              <w:keepLines/>
              <w:widowControl/>
              <w:jc w:val="center"/>
              <w:rPr>
                <w:rFonts w:ascii="Arial Narrow" w:hAnsi="Arial Narrow"/>
                <w:sz w:val="20"/>
                <w:szCs w:val="18"/>
              </w:rPr>
            </w:pPr>
            <w:r w:rsidRPr="008F3188">
              <w:rPr>
                <w:rFonts w:ascii="Arial Narrow" w:hAnsi="Arial Narrow"/>
                <w:sz w:val="20"/>
                <w:szCs w:val="18"/>
              </w:rPr>
              <w:t>7/110 (6.4)</w:t>
            </w:r>
          </w:p>
        </w:tc>
        <w:tc>
          <w:tcPr>
            <w:tcW w:w="1134" w:type="dxa"/>
            <w:vAlign w:val="center"/>
          </w:tcPr>
          <w:p w:rsidR="004F5FDE" w:rsidRPr="008F3188" w:rsidRDefault="004F5FDE" w:rsidP="00FD497E">
            <w:pPr>
              <w:keepNext/>
              <w:keepLines/>
              <w:widowControl/>
              <w:jc w:val="center"/>
              <w:rPr>
                <w:rFonts w:ascii="Arial Narrow" w:hAnsi="Arial Narrow"/>
                <w:sz w:val="20"/>
                <w:szCs w:val="18"/>
              </w:rPr>
            </w:pPr>
            <w:r w:rsidRPr="008F3188">
              <w:rPr>
                <w:rFonts w:ascii="Arial Narrow" w:hAnsi="Arial Narrow"/>
                <w:sz w:val="20"/>
                <w:szCs w:val="18"/>
              </w:rPr>
              <w:t>0/111 (0)</w:t>
            </w:r>
          </w:p>
        </w:tc>
        <w:tc>
          <w:tcPr>
            <w:tcW w:w="1559"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 xml:space="preserve">16.16 (1.80, </w:t>
            </w:r>
            <w:proofErr w:type="spellStart"/>
            <w:r w:rsidR="009F5D1D" w:rsidRPr="008F3188">
              <w:rPr>
                <w:rFonts w:ascii="Arial Narrow" w:hAnsi="Arial Narrow"/>
                <w:b/>
                <w:sz w:val="20"/>
                <w:szCs w:val="18"/>
              </w:rPr>
              <w:t>Inf</w:t>
            </w:r>
            <w:proofErr w:type="spellEnd"/>
            <w:r w:rsidRPr="008F3188">
              <w:rPr>
                <w:rFonts w:ascii="Arial Narrow" w:hAnsi="Arial Narrow"/>
                <w:b/>
                <w:sz w:val="20"/>
                <w:szCs w:val="18"/>
              </w:rPr>
              <w:t>)</w:t>
            </w:r>
          </w:p>
        </w:tc>
        <w:tc>
          <w:tcPr>
            <w:tcW w:w="1417" w:type="dxa"/>
            <w:vAlign w:val="center"/>
          </w:tcPr>
          <w:p w:rsidR="004F5FDE" w:rsidRPr="008F3188" w:rsidRDefault="004F5FDE" w:rsidP="00FD497E">
            <w:pPr>
              <w:keepNext/>
              <w:keepLines/>
              <w:widowControl/>
              <w:jc w:val="center"/>
              <w:rPr>
                <w:rFonts w:ascii="Arial Narrow" w:hAnsi="Arial Narrow"/>
                <w:sz w:val="20"/>
                <w:szCs w:val="18"/>
              </w:rPr>
            </w:pPr>
            <w:r w:rsidRPr="008F3188">
              <w:rPr>
                <w:rFonts w:ascii="Arial Narrow" w:hAnsi="Arial Narrow"/>
                <w:sz w:val="20"/>
                <w:szCs w:val="18"/>
              </w:rPr>
              <w:t>15.14 (0.87, 262)</w:t>
            </w:r>
          </w:p>
        </w:tc>
        <w:tc>
          <w:tcPr>
            <w:tcW w:w="1651"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0.06 (.02, 0.11)</w:t>
            </w:r>
          </w:p>
        </w:tc>
      </w:tr>
      <w:tr w:rsidR="004F5FDE" w:rsidRPr="008F3188" w:rsidTr="00BB1F0F">
        <w:tc>
          <w:tcPr>
            <w:tcW w:w="9017" w:type="dxa"/>
            <w:gridSpan w:val="6"/>
            <w:vAlign w:val="center"/>
          </w:tcPr>
          <w:p w:rsidR="004F5FDE" w:rsidRPr="008F3188" w:rsidRDefault="004F5FDE" w:rsidP="00FD497E">
            <w:pPr>
              <w:keepNext/>
              <w:keepLines/>
              <w:widowControl/>
              <w:jc w:val="left"/>
              <w:rPr>
                <w:rFonts w:ascii="Arial Narrow" w:hAnsi="Arial Narrow"/>
                <w:b/>
                <w:sz w:val="20"/>
                <w:szCs w:val="18"/>
              </w:rPr>
            </w:pPr>
            <w:r w:rsidRPr="008F3188">
              <w:rPr>
                <w:rFonts w:ascii="Arial Narrow" w:hAnsi="Arial Narrow"/>
                <w:b/>
                <w:sz w:val="20"/>
                <w:szCs w:val="18"/>
              </w:rPr>
              <w:t>RESPONSE-2</w:t>
            </w:r>
          </w:p>
        </w:tc>
      </w:tr>
      <w:tr w:rsidR="004F5FDE" w:rsidRPr="008F3188" w:rsidTr="004F5FDE">
        <w:tc>
          <w:tcPr>
            <w:tcW w:w="1696" w:type="dxa"/>
            <w:vAlign w:val="center"/>
          </w:tcPr>
          <w:p w:rsidR="004F5FDE" w:rsidRPr="008F3188" w:rsidRDefault="004F5FDE" w:rsidP="00FD497E">
            <w:pPr>
              <w:keepNext/>
              <w:keepLines/>
              <w:widowControl/>
              <w:jc w:val="left"/>
              <w:rPr>
                <w:rFonts w:ascii="Arial Narrow" w:hAnsi="Arial Narrow"/>
                <w:sz w:val="20"/>
                <w:szCs w:val="18"/>
              </w:rPr>
            </w:pPr>
            <w:r w:rsidRPr="008F3188">
              <w:rPr>
                <w:rFonts w:ascii="Arial Narrow" w:hAnsi="Arial Narrow"/>
                <w:sz w:val="20"/>
                <w:szCs w:val="18"/>
              </w:rPr>
              <w:t>Anaemia all grades</w:t>
            </w:r>
          </w:p>
        </w:tc>
        <w:tc>
          <w:tcPr>
            <w:tcW w:w="1560" w:type="dxa"/>
            <w:vAlign w:val="center"/>
          </w:tcPr>
          <w:p w:rsidR="004F5FDE" w:rsidRPr="008F3188" w:rsidRDefault="004F5FDE" w:rsidP="00FD497E">
            <w:pPr>
              <w:keepNext/>
              <w:keepLines/>
              <w:widowControl/>
              <w:jc w:val="center"/>
              <w:rPr>
                <w:rFonts w:ascii="Arial Narrow" w:hAnsi="Arial Narrow"/>
                <w:sz w:val="20"/>
                <w:szCs w:val="18"/>
              </w:rPr>
            </w:pPr>
            <w:r w:rsidRPr="008F3188">
              <w:rPr>
                <w:rFonts w:ascii="Arial Narrow" w:hAnsi="Arial Narrow"/>
                <w:sz w:val="20"/>
                <w:szCs w:val="18"/>
              </w:rPr>
              <w:t>11/74 (14.9)</w:t>
            </w:r>
          </w:p>
        </w:tc>
        <w:tc>
          <w:tcPr>
            <w:tcW w:w="1134" w:type="dxa"/>
            <w:vAlign w:val="center"/>
          </w:tcPr>
          <w:p w:rsidR="004F5FDE" w:rsidRPr="008F3188" w:rsidRDefault="004F5FDE" w:rsidP="00FD497E">
            <w:pPr>
              <w:keepNext/>
              <w:keepLines/>
              <w:widowControl/>
              <w:jc w:val="center"/>
              <w:rPr>
                <w:rFonts w:ascii="Arial Narrow" w:hAnsi="Arial Narrow"/>
                <w:sz w:val="20"/>
                <w:szCs w:val="18"/>
              </w:rPr>
            </w:pPr>
            <w:r w:rsidRPr="008F3188">
              <w:rPr>
                <w:rFonts w:ascii="Arial Narrow" w:hAnsi="Arial Narrow"/>
                <w:sz w:val="20"/>
                <w:szCs w:val="18"/>
              </w:rPr>
              <w:t>0/75 (0)</w:t>
            </w:r>
          </w:p>
        </w:tc>
        <w:tc>
          <w:tcPr>
            <w:tcW w:w="1559"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 xml:space="preserve">27.35 (3.17, </w:t>
            </w:r>
            <w:proofErr w:type="spellStart"/>
            <w:r w:rsidR="009F5D1D" w:rsidRPr="008F3188">
              <w:rPr>
                <w:rFonts w:ascii="Arial Narrow" w:hAnsi="Arial Narrow"/>
                <w:b/>
                <w:sz w:val="20"/>
                <w:szCs w:val="18"/>
              </w:rPr>
              <w:t>Inf</w:t>
            </w:r>
            <w:proofErr w:type="spellEnd"/>
            <w:r w:rsidRPr="008F3188">
              <w:rPr>
                <w:rFonts w:ascii="Arial Narrow" w:hAnsi="Arial Narrow"/>
                <w:b/>
                <w:sz w:val="20"/>
                <w:szCs w:val="18"/>
              </w:rPr>
              <w:t>)</w:t>
            </w:r>
          </w:p>
        </w:tc>
        <w:tc>
          <w:tcPr>
            <w:tcW w:w="1417"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23.31 (1.40, 388)</w:t>
            </w:r>
          </w:p>
        </w:tc>
        <w:tc>
          <w:tcPr>
            <w:tcW w:w="1651"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0.15 (0.07, 0.23)</w:t>
            </w:r>
          </w:p>
        </w:tc>
      </w:tr>
      <w:tr w:rsidR="004F5FDE" w:rsidRPr="006D7CB1" w:rsidTr="004F5FDE">
        <w:tc>
          <w:tcPr>
            <w:tcW w:w="1696" w:type="dxa"/>
            <w:vAlign w:val="center"/>
          </w:tcPr>
          <w:p w:rsidR="004F5FDE" w:rsidRPr="008F3188" w:rsidRDefault="004F5FDE" w:rsidP="00FD497E">
            <w:pPr>
              <w:keepNext/>
              <w:keepLines/>
              <w:widowControl/>
              <w:jc w:val="left"/>
              <w:rPr>
                <w:rFonts w:ascii="Arial Narrow" w:hAnsi="Arial Narrow"/>
                <w:sz w:val="20"/>
                <w:szCs w:val="18"/>
              </w:rPr>
            </w:pPr>
            <w:r w:rsidRPr="008F3188">
              <w:rPr>
                <w:rFonts w:ascii="Arial Narrow" w:hAnsi="Arial Narrow"/>
                <w:sz w:val="20"/>
                <w:szCs w:val="18"/>
              </w:rPr>
              <w:t>Weight increased</w:t>
            </w:r>
          </w:p>
        </w:tc>
        <w:tc>
          <w:tcPr>
            <w:tcW w:w="1560" w:type="dxa"/>
            <w:vAlign w:val="center"/>
          </w:tcPr>
          <w:p w:rsidR="004F5FDE" w:rsidRPr="008F3188" w:rsidRDefault="004F5FDE" w:rsidP="00FD497E">
            <w:pPr>
              <w:keepNext/>
              <w:keepLines/>
              <w:widowControl/>
              <w:jc w:val="center"/>
              <w:rPr>
                <w:rFonts w:ascii="Arial Narrow" w:hAnsi="Arial Narrow"/>
                <w:sz w:val="20"/>
                <w:szCs w:val="18"/>
              </w:rPr>
            </w:pPr>
            <w:r w:rsidRPr="008F3188">
              <w:rPr>
                <w:rFonts w:ascii="Arial Narrow" w:hAnsi="Arial Narrow"/>
                <w:sz w:val="20"/>
                <w:szCs w:val="18"/>
              </w:rPr>
              <w:t>8/74 (10.8)</w:t>
            </w:r>
          </w:p>
        </w:tc>
        <w:tc>
          <w:tcPr>
            <w:tcW w:w="1134" w:type="dxa"/>
            <w:vAlign w:val="center"/>
          </w:tcPr>
          <w:p w:rsidR="004F5FDE" w:rsidRPr="008F3188" w:rsidRDefault="004F5FDE" w:rsidP="00FD497E">
            <w:pPr>
              <w:keepNext/>
              <w:keepLines/>
              <w:widowControl/>
              <w:jc w:val="center"/>
              <w:rPr>
                <w:rFonts w:ascii="Arial Narrow" w:hAnsi="Arial Narrow"/>
                <w:sz w:val="20"/>
                <w:szCs w:val="18"/>
              </w:rPr>
            </w:pPr>
            <w:r w:rsidRPr="008F3188">
              <w:rPr>
                <w:rFonts w:ascii="Arial Narrow" w:hAnsi="Arial Narrow"/>
                <w:sz w:val="20"/>
                <w:szCs w:val="18"/>
              </w:rPr>
              <w:t>0/75 (0)</w:t>
            </w:r>
          </w:p>
        </w:tc>
        <w:tc>
          <w:tcPr>
            <w:tcW w:w="1559"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19.30 (1.14, 403)</w:t>
            </w:r>
          </w:p>
        </w:tc>
        <w:tc>
          <w:tcPr>
            <w:tcW w:w="1417" w:type="dxa"/>
            <w:vAlign w:val="center"/>
          </w:tcPr>
          <w:p w:rsidR="004F5FDE" w:rsidRPr="008F3188"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17.23 (1.01, 293)</w:t>
            </w:r>
          </w:p>
        </w:tc>
        <w:tc>
          <w:tcPr>
            <w:tcW w:w="1651" w:type="dxa"/>
            <w:vAlign w:val="center"/>
          </w:tcPr>
          <w:p w:rsidR="004F5FDE" w:rsidRPr="006D7CB1" w:rsidRDefault="004F5FDE" w:rsidP="00FD497E">
            <w:pPr>
              <w:keepNext/>
              <w:keepLines/>
              <w:widowControl/>
              <w:jc w:val="center"/>
              <w:rPr>
                <w:rFonts w:ascii="Arial Narrow" w:hAnsi="Arial Narrow"/>
                <w:b/>
                <w:sz w:val="20"/>
                <w:szCs w:val="18"/>
              </w:rPr>
            </w:pPr>
            <w:r w:rsidRPr="008F3188">
              <w:rPr>
                <w:rFonts w:ascii="Arial Narrow" w:hAnsi="Arial Narrow"/>
                <w:b/>
                <w:sz w:val="20"/>
                <w:szCs w:val="18"/>
              </w:rPr>
              <w:t>0.11 (0.03, 0.18)</w:t>
            </w:r>
          </w:p>
        </w:tc>
      </w:tr>
    </w:tbl>
    <w:p w:rsidR="004F5FDE" w:rsidRPr="006D7CB1" w:rsidRDefault="004F5FDE" w:rsidP="00FD497E">
      <w:pPr>
        <w:keepNext/>
        <w:keepLines/>
        <w:widowControl/>
        <w:rPr>
          <w:rFonts w:ascii="Arial Narrow" w:hAnsi="Arial Narrow"/>
          <w:sz w:val="18"/>
          <w:szCs w:val="20"/>
        </w:rPr>
      </w:pPr>
      <w:proofErr w:type="spellStart"/>
      <w:proofErr w:type="gramStart"/>
      <w:r w:rsidRPr="006D7CB1">
        <w:rPr>
          <w:rFonts w:ascii="Arial Narrow" w:hAnsi="Arial Narrow"/>
          <w:sz w:val="18"/>
          <w:szCs w:val="20"/>
        </w:rPr>
        <w:t>Inf</w:t>
      </w:r>
      <w:proofErr w:type="spellEnd"/>
      <w:proofErr w:type="gramEnd"/>
      <w:r w:rsidRPr="006D7CB1">
        <w:rPr>
          <w:rFonts w:ascii="Arial Narrow" w:hAnsi="Arial Narrow"/>
          <w:sz w:val="18"/>
          <w:szCs w:val="20"/>
        </w:rPr>
        <w:t xml:space="preserve"> = infinity </w:t>
      </w:r>
    </w:p>
    <w:p w:rsidR="00FD497E" w:rsidRDefault="00E22E3E" w:rsidP="00FD497E">
      <w:pPr>
        <w:keepNext/>
        <w:keepLines/>
        <w:widowControl/>
        <w:rPr>
          <w:rFonts w:ascii="Arial Narrow" w:hAnsi="Arial Narrow"/>
          <w:sz w:val="18"/>
          <w:szCs w:val="20"/>
        </w:rPr>
      </w:pPr>
      <w:proofErr w:type="gramStart"/>
      <w:r>
        <w:rPr>
          <w:rFonts w:ascii="Arial Narrow" w:hAnsi="Arial Narrow"/>
          <w:sz w:val="18"/>
          <w:szCs w:val="20"/>
          <w:vertAlign w:val="superscript"/>
        </w:rPr>
        <w:t>a</w:t>
      </w:r>
      <w:proofErr w:type="gramEnd"/>
      <w:r>
        <w:rPr>
          <w:rFonts w:ascii="Arial Narrow" w:hAnsi="Arial Narrow"/>
          <w:sz w:val="18"/>
          <w:szCs w:val="20"/>
          <w:vertAlign w:val="superscript"/>
        </w:rPr>
        <w:t xml:space="preserve"> </w:t>
      </w:r>
      <w:r>
        <w:rPr>
          <w:rFonts w:ascii="Arial Narrow" w:hAnsi="Arial Narrow"/>
          <w:sz w:val="18"/>
          <w:szCs w:val="20"/>
        </w:rPr>
        <w:t>Values</w:t>
      </w:r>
      <w:r w:rsidR="004F5FDE" w:rsidRPr="008F3188">
        <w:rPr>
          <w:rFonts w:ascii="Arial Narrow" w:hAnsi="Arial Narrow"/>
          <w:sz w:val="18"/>
          <w:szCs w:val="20"/>
        </w:rPr>
        <w:t xml:space="preserve"> calculated with </w:t>
      </w:r>
      <w:proofErr w:type="spellStart"/>
      <w:r w:rsidR="004F5FDE" w:rsidRPr="008F3188">
        <w:rPr>
          <w:rFonts w:ascii="Arial Narrow" w:hAnsi="Arial Narrow"/>
          <w:sz w:val="18"/>
          <w:szCs w:val="20"/>
        </w:rPr>
        <w:t>statsdirect</w:t>
      </w:r>
      <w:proofErr w:type="spellEnd"/>
      <w:r w:rsidR="007314D8">
        <w:rPr>
          <w:rFonts w:ascii="Arial Narrow" w:hAnsi="Arial Narrow"/>
          <w:sz w:val="18"/>
          <w:szCs w:val="20"/>
        </w:rPr>
        <w:t>.</w:t>
      </w:r>
    </w:p>
    <w:p w:rsidR="004F5FDE" w:rsidRPr="006D7CB1" w:rsidRDefault="00FD497E" w:rsidP="00FD497E">
      <w:pPr>
        <w:keepNext/>
        <w:keepLines/>
        <w:widowControl/>
        <w:rPr>
          <w:rFonts w:ascii="Arial Narrow" w:hAnsi="Arial Narrow"/>
          <w:sz w:val="18"/>
          <w:szCs w:val="20"/>
        </w:rPr>
      </w:pPr>
      <w:r>
        <w:rPr>
          <w:rFonts w:ascii="Arial Narrow" w:hAnsi="Arial Narrow"/>
          <w:sz w:val="18"/>
          <w:szCs w:val="18"/>
        </w:rPr>
        <w:t>Text in bold indicates statistically significant results</w:t>
      </w:r>
      <w:r w:rsidR="007314D8">
        <w:rPr>
          <w:rFonts w:ascii="Arial Narrow" w:hAnsi="Arial Narrow"/>
          <w:sz w:val="18"/>
          <w:szCs w:val="18"/>
        </w:rPr>
        <w:t>.</w:t>
      </w:r>
    </w:p>
    <w:p w:rsidR="004F5FDE" w:rsidRDefault="004F5FDE" w:rsidP="00FD497E">
      <w:pPr>
        <w:keepNext/>
        <w:keepLines/>
        <w:widowControl/>
        <w:rPr>
          <w:rFonts w:ascii="Arial Narrow" w:hAnsi="Arial Narrow"/>
          <w:sz w:val="18"/>
          <w:szCs w:val="20"/>
        </w:rPr>
      </w:pPr>
      <w:r w:rsidRPr="006D7CB1">
        <w:rPr>
          <w:rFonts w:ascii="Arial Narrow" w:hAnsi="Arial Narrow"/>
          <w:sz w:val="18"/>
          <w:szCs w:val="20"/>
        </w:rPr>
        <w:t>Source: p9</w:t>
      </w:r>
      <w:r w:rsidR="009F5D1D">
        <w:rPr>
          <w:rFonts w:ascii="Arial Narrow" w:hAnsi="Arial Narrow"/>
          <w:sz w:val="18"/>
          <w:szCs w:val="20"/>
        </w:rPr>
        <w:t>,</w:t>
      </w:r>
      <w:r w:rsidR="009F5D1D" w:rsidRPr="006D7CB1">
        <w:rPr>
          <w:rFonts w:ascii="Arial Narrow" w:hAnsi="Arial Narrow"/>
          <w:sz w:val="18"/>
          <w:szCs w:val="20"/>
        </w:rPr>
        <w:t xml:space="preserve"> 7</w:t>
      </w:r>
      <w:r w:rsidRPr="006D7CB1">
        <w:rPr>
          <w:rFonts w:ascii="Arial Narrow" w:hAnsi="Arial Narrow"/>
          <w:sz w:val="18"/>
          <w:szCs w:val="20"/>
        </w:rPr>
        <w:t xml:space="preserve"> Table 2</w:t>
      </w:r>
      <w:r w:rsidR="0079624F">
        <w:rPr>
          <w:rFonts w:ascii="Arial Narrow" w:hAnsi="Arial Narrow"/>
          <w:sz w:val="18"/>
          <w:szCs w:val="20"/>
        </w:rPr>
        <w:t>.3-54, p 173 and T</w:t>
      </w:r>
      <w:r w:rsidRPr="006D7CB1">
        <w:rPr>
          <w:rFonts w:ascii="Arial Narrow" w:hAnsi="Arial Narrow"/>
          <w:sz w:val="18"/>
          <w:szCs w:val="20"/>
        </w:rPr>
        <w:t>able 2.3-58, p 178 of the submission</w:t>
      </w:r>
    </w:p>
    <w:p w:rsidR="0053403F" w:rsidRPr="006D7CB1" w:rsidRDefault="0053403F" w:rsidP="004F5FDE">
      <w:pPr>
        <w:rPr>
          <w:rFonts w:ascii="Arial Narrow" w:hAnsi="Arial Narrow"/>
          <w:sz w:val="18"/>
          <w:szCs w:val="20"/>
        </w:rPr>
      </w:pPr>
    </w:p>
    <w:p w:rsidR="0029044C" w:rsidRPr="002B3792" w:rsidRDefault="0069177D" w:rsidP="002F64B8">
      <w:pPr>
        <w:pStyle w:val="ListParagraph"/>
        <w:widowControl/>
        <w:numPr>
          <w:ilvl w:val="1"/>
          <w:numId w:val="2"/>
        </w:numPr>
        <w:spacing w:after="120"/>
      </w:pPr>
      <w:r w:rsidRPr="002B3792">
        <w:t>There were statistically significantly more patients treated with ruxolitinib who experienced anaemia i</w:t>
      </w:r>
      <w:r w:rsidR="00613B2B">
        <w:t>n both RESPONSE and RESPONSE-2.</w:t>
      </w:r>
      <w:r w:rsidRPr="002B3792">
        <w:t xml:space="preserve"> Additionally, patients treated with ruxolitinib were also statistically significantly more likely to have a weight increase.  However, the submission does not include these adverse events in the economic evaluation.  Instead, the economic evaluation included adverse events of ≥Grade 3 severity that occurred at a rate of more than 5% per patient-year of exposure in either treatment arm in RESPONSE and RESPONSE-2, irrespective of whether the difference between ruxolitinib and BAT</w:t>
      </w:r>
      <w:r w:rsidR="00613B2B">
        <w:t xml:space="preserve"> was statistically significant. </w:t>
      </w:r>
      <w:r w:rsidR="00051833" w:rsidRPr="002B3792">
        <w:t>The ESC considered</w:t>
      </w:r>
      <w:r w:rsidR="001D01E6" w:rsidRPr="002B3792">
        <w:t xml:space="preserve"> not</w:t>
      </w:r>
      <w:r w:rsidR="00051833" w:rsidRPr="002B3792">
        <w:t xml:space="preserve"> m</w:t>
      </w:r>
      <w:r w:rsidR="00376460" w:rsidRPr="002B3792">
        <w:t xml:space="preserve">odelling statistically significant differences </w:t>
      </w:r>
      <w:r w:rsidR="0053403F" w:rsidRPr="002B3792">
        <w:t xml:space="preserve">was </w:t>
      </w:r>
      <w:r w:rsidR="00376460" w:rsidRPr="002B3792">
        <w:t xml:space="preserve">likely </w:t>
      </w:r>
      <w:r w:rsidR="0053403F" w:rsidRPr="002B3792">
        <w:t xml:space="preserve">inappropriate. </w:t>
      </w:r>
    </w:p>
    <w:p w:rsidR="0029044C" w:rsidRPr="002B3792" w:rsidRDefault="0029044C" w:rsidP="002F64B8">
      <w:pPr>
        <w:pStyle w:val="ListParagraph"/>
        <w:numPr>
          <w:ilvl w:val="1"/>
          <w:numId w:val="2"/>
        </w:numPr>
        <w:spacing w:after="120"/>
      </w:pPr>
      <w:r w:rsidRPr="002B3792">
        <w:t>In RESPONSE, the exposure-adjusted rate (AEs per 100 patient-years) for headache (13.5 vs 28.8), fatigue (11.2 vs 23.3), thrombocytopenia (7.6 vs 16.5), pruritus (11.2 vs 34.3) and dizziness (8.8 vs 15.1) were lower in ruxolitinib vs BAT arm, respectively.  Conversely, the exposure-adjusted rates were higher in</w:t>
      </w:r>
      <w:r w:rsidR="002D2C86" w:rsidRPr="002B3792">
        <w:t xml:space="preserve"> the</w:t>
      </w:r>
      <w:r w:rsidRPr="002B3792">
        <w:t xml:space="preserve"> ruxolitinib arm for anaemia (15.5 vs 5.5), dyspnoea (8.8 vs 2.7), weight increase (7.6 vs 1. 4), herpes zoster (6.5 vs 0) and hypertension (6.5 vs 4.1).</w:t>
      </w:r>
      <w:r w:rsidR="00376460" w:rsidRPr="002B3792">
        <w:t xml:space="preserve">  It was unclear if these differences were statistically significant.  </w:t>
      </w:r>
    </w:p>
    <w:p w:rsidR="0029044C" w:rsidRPr="002B3792" w:rsidRDefault="0029044C" w:rsidP="001C4D5C">
      <w:pPr>
        <w:pStyle w:val="ListParagraph"/>
        <w:numPr>
          <w:ilvl w:val="1"/>
          <w:numId w:val="2"/>
        </w:numPr>
        <w:spacing w:after="120"/>
      </w:pPr>
      <w:r w:rsidRPr="002B3792">
        <w:t>In RESPONSE-2, the exposure-adjusted rates were higher (difference ≥10) in the ruxolitinib group compared to BAT group for anaemia (19.2 vs 4.5) and weight increased (12.8</w:t>
      </w:r>
      <w:r w:rsidR="00613B2B">
        <w:t xml:space="preserve"> vs 2.3).</w:t>
      </w:r>
      <w:r w:rsidRPr="002B3792">
        <w:t xml:space="preserve"> The exposure-adjusted rates were lower (difference ≥10) in the ruxolitinib group compared to BAT group for thrombocytopenia (3.2 vs 13.6), upper respiratory tract infection (3.2 vs 15.9), and pruritus (12.8 vs 34.0).</w:t>
      </w:r>
      <w:r w:rsidR="00376460" w:rsidRPr="002B3792">
        <w:t xml:space="preserve">  It was unclear if these differences were statistically significant.  </w:t>
      </w:r>
    </w:p>
    <w:p w:rsidR="00B231D6" w:rsidRPr="002B3792" w:rsidRDefault="00B231D6" w:rsidP="002F64B8">
      <w:pPr>
        <w:pStyle w:val="ListParagraph"/>
        <w:numPr>
          <w:ilvl w:val="1"/>
          <w:numId w:val="2"/>
        </w:numPr>
        <w:spacing w:after="120"/>
      </w:pPr>
      <w:r w:rsidRPr="002B3792">
        <w:t>The ESC expressed conc</w:t>
      </w:r>
      <w:r w:rsidR="002F1DB5" w:rsidRPr="002B3792">
        <w:t xml:space="preserve">erns over </w:t>
      </w:r>
      <w:r w:rsidR="003427AC" w:rsidRPr="002B3792">
        <w:t>the</w:t>
      </w:r>
      <w:r w:rsidRPr="002B3792">
        <w:t xml:space="preserve"> safety profile</w:t>
      </w:r>
      <w:r w:rsidR="003427AC" w:rsidRPr="002B3792">
        <w:t xml:space="preserve"> of ruxolitinib</w:t>
      </w:r>
      <w:r w:rsidRPr="002B3792">
        <w:t>, with respect to</w:t>
      </w:r>
      <w:r w:rsidR="003427AC" w:rsidRPr="002B3792">
        <w:t xml:space="preserve"> the higher proportion of grade 3</w:t>
      </w:r>
      <w:r w:rsidRPr="002B3792">
        <w:t xml:space="preserve"> infections</w:t>
      </w:r>
      <w:r w:rsidR="003427AC" w:rsidRPr="002B3792">
        <w:t xml:space="preserve"> in the ruxolitinib arm of MAJIC, particularly given </w:t>
      </w:r>
      <w:r w:rsidRPr="002B3792">
        <w:t>the long-term toxicity of ruxolitinib is unknown</w:t>
      </w:r>
      <w:r w:rsidR="003427AC" w:rsidRPr="002B3792">
        <w:t xml:space="preserve">. </w:t>
      </w:r>
    </w:p>
    <w:p w:rsidR="007315C8" w:rsidRDefault="007315C8" w:rsidP="00AA55B8">
      <w:bookmarkStart w:id="19" w:name="_Toc19700361"/>
    </w:p>
    <w:p w:rsidR="007F1017" w:rsidRPr="00C9624D" w:rsidRDefault="007F1017" w:rsidP="002F64B8">
      <w:pPr>
        <w:pStyle w:val="Heading2"/>
        <w:spacing w:after="120"/>
      </w:pPr>
      <w:r w:rsidRPr="00C9624D">
        <w:lastRenderedPageBreak/>
        <w:t>Benefits/harms</w:t>
      </w:r>
      <w:bookmarkEnd w:id="19"/>
    </w:p>
    <w:p w:rsidR="00EC00C9" w:rsidRPr="00B05ECE" w:rsidRDefault="00BB1F0F" w:rsidP="002F64B8">
      <w:pPr>
        <w:pStyle w:val="ListParagraph"/>
        <w:widowControl/>
        <w:numPr>
          <w:ilvl w:val="1"/>
          <w:numId w:val="2"/>
        </w:numPr>
        <w:spacing w:after="120"/>
      </w:pPr>
      <w:r w:rsidRPr="00B05ECE">
        <w:t xml:space="preserve">There was insufficient detail </w:t>
      </w:r>
      <w:r w:rsidR="00294FF6" w:rsidRPr="00B05ECE">
        <w:t xml:space="preserve">for efficacy </w:t>
      </w:r>
      <w:r w:rsidRPr="00B05ECE">
        <w:t>from MAJIC to populate a benefit and harms table</w:t>
      </w:r>
      <w:r w:rsidR="00417FE5" w:rsidRPr="00B05ECE">
        <w:t xml:space="preserve"> or to provide a meaningful event per 100 patient</w:t>
      </w:r>
      <w:r w:rsidR="0079624F" w:rsidRPr="00B05ECE">
        <w:t>s</w:t>
      </w:r>
      <w:r w:rsidR="00417FE5" w:rsidRPr="00B05ECE">
        <w:t xml:space="preserve"> </w:t>
      </w:r>
      <w:r w:rsidR="0053403F" w:rsidRPr="00B05ECE">
        <w:t>statement</w:t>
      </w:r>
      <w:r w:rsidRPr="00B05ECE">
        <w:t>.  However</w:t>
      </w:r>
      <w:r w:rsidR="0079624F" w:rsidRPr="00B05ECE">
        <w:t>,</w:t>
      </w:r>
      <w:r w:rsidRPr="00B05ECE">
        <w:t xml:space="preserve"> in summary:</w:t>
      </w:r>
    </w:p>
    <w:p w:rsidR="00467C50" w:rsidRPr="00B05ECE" w:rsidRDefault="00467C50" w:rsidP="002F64B8">
      <w:pPr>
        <w:pStyle w:val="ListParagraph"/>
        <w:widowControl/>
        <w:numPr>
          <w:ilvl w:val="2"/>
          <w:numId w:val="2"/>
        </w:numPr>
        <w:spacing w:after="120"/>
        <w:ind w:left="1134" w:hanging="425"/>
      </w:pPr>
      <w:r w:rsidRPr="00B05ECE">
        <w:t>Harrison et al (2018) claimed that p</w:t>
      </w:r>
      <w:r w:rsidR="0079624F" w:rsidRPr="00B05ECE">
        <w:t>atients treated with ruxolitini</w:t>
      </w:r>
      <w:r w:rsidRPr="00B05ECE">
        <w:t xml:space="preserve">b had superior time to response (p=0.0061) and duration of response (p=0.0000) compared to patients treated with BAT.  </w:t>
      </w:r>
      <w:r w:rsidR="0053403F" w:rsidRPr="00B05ECE">
        <w:t>It was unclear what hypothese</w:t>
      </w:r>
      <w:r w:rsidRPr="00B05ECE">
        <w:t xml:space="preserve">s </w:t>
      </w:r>
      <w:r w:rsidR="0053403F" w:rsidRPr="00B05ECE">
        <w:t xml:space="preserve">were tested </w:t>
      </w:r>
      <w:r w:rsidRPr="00B05ECE">
        <w:t xml:space="preserve">or </w:t>
      </w:r>
      <w:r w:rsidR="0053403F" w:rsidRPr="00B05ECE">
        <w:t xml:space="preserve">which </w:t>
      </w:r>
      <w:r w:rsidRPr="00B05ECE">
        <w:t xml:space="preserve">statistical tests were conducted to </w:t>
      </w:r>
      <w:r w:rsidR="0053403F" w:rsidRPr="00B05ECE">
        <w:t>derive the p-</w:t>
      </w:r>
      <w:r w:rsidR="0079624F" w:rsidRPr="00B05ECE">
        <w:t>values</w:t>
      </w:r>
      <w:r w:rsidR="002C324D" w:rsidRPr="00B05ECE">
        <w:t xml:space="preserve"> which show statistically significant differences</w:t>
      </w:r>
      <w:r w:rsidR="0079624F" w:rsidRPr="00B05ECE">
        <w:t>.  No h</w:t>
      </w:r>
      <w:r w:rsidRPr="00B05ECE">
        <w:t xml:space="preserve">azard ratios were </w:t>
      </w:r>
      <w:r w:rsidR="00417FE5" w:rsidRPr="00B05ECE">
        <w:t>reported</w:t>
      </w:r>
      <w:r w:rsidRPr="00B05ECE">
        <w:t xml:space="preserve">; </w:t>
      </w:r>
    </w:p>
    <w:p w:rsidR="00467C50" w:rsidRPr="00B05ECE" w:rsidRDefault="0053403F" w:rsidP="002F64B8">
      <w:pPr>
        <w:pStyle w:val="ListParagraph"/>
        <w:widowControl/>
        <w:numPr>
          <w:ilvl w:val="2"/>
          <w:numId w:val="2"/>
        </w:numPr>
        <w:spacing w:after="120"/>
        <w:ind w:left="1134" w:hanging="425"/>
      </w:pPr>
      <w:r w:rsidRPr="00B05ECE">
        <w:t>There was</w:t>
      </w:r>
      <w:r w:rsidR="00467C50" w:rsidRPr="00B05ECE">
        <w:t xml:space="preserve"> no evidence for any difference in overall survival for up to six years (p=0.5550) or transf</w:t>
      </w:r>
      <w:r w:rsidR="0079624F" w:rsidRPr="00B05ECE">
        <w:t>ormation-</w:t>
      </w:r>
      <w:r w:rsidR="00467C50" w:rsidRPr="00B05ECE">
        <w:t xml:space="preserve">free </w:t>
      </w:r>
      <w:r w:rsidR="000E089E" w:rsidRPr="00B05ECE">
        <w:t xml:space="preserve">(i.e. not developing into </w:t>
      </w:r>
      <w:proofErr w:type="spellStart"/>
      <w:r w:rsidR="000E089E" w:rsidRPr="00B05ECE">
        <w:t>myelofibrosis</w:t>
      </w:r>
      <w:proofErr w:type="spellEnd"/>
      <w:r w:rsidR="000E089E" w:rsidRPr="00B05ECE">
        <w:t xml:space="preserve"> or acute myeloid leukaemia) </w:t>
      </w:r>
      <w:r w:rsidR="00467C50" w:rsidRPr="00B05ECE">
        <w:t xml:space="preserve">survival for up to five years (p=0.2290) between patients treated with ruxolitinib and patients treated with BAT.  </w:t>
      </w:r>
      <w:r w:rsidRPr="00B05ECE">
        <w:t>It was unclear what hypothese</w:t>
      </w:r>
      <w:r w:rsidR="00467C50" w:rsidRPr="00B05ECE">
        <w:t xml:space="preserve">s </w:t>
      </w:r>
      <w:r w:rsidRPr="00B05ECE">
        <w:t xml:space="preserve">were tested </w:t>
      </w:r>
      <w:r w:rsidR="00467C50" w:rsidRPr="00B05ECE">
        <w:t>or</w:t>
      </w:r>
      <w:r w:rsidRPr="00B05ECE">
        <w:t xml:space="preserve"> which </w:t>
      </w:r>
      <w:r w:rsidR="00467C50" w:rsidRPr="00B05ECE">
        <w:t>statistical test</w:t>
      </w:r>
      <w:r w:rsidRPr="00B05ECE">
        <w:t>s were conducted to derive the p-</w:t>
      </w:r>
      <w:r w:rsidR="0079624F" w:rsidRPr="00B05ECE">
        <w:t>values</w:t>
      </w:r>
      <w:r w:rsidR="002C324D" w:rsidRPr="00B05ECE">
        <w:t xml:space="preserve"> which show no statistically significant difference</w:t>
      </w:r>
      <w:r w:rsidR="0079624F" w:rsidRPr="00B05ECE">
        <w:t>.  No h</w:t>
      </w:r>
      <w:r w:rsidR="00467C50" w:rsidRPr="00B05ECE">
        <w:t xml:space="preserve">azard ratios were </w:t>
      </w:r>
      <w:r w:rsidR="00417FE5" w:rsidRPr="00B05ECE">
        <w:t>reported</w:t>
      </w:r>
      <w:r w:rsidR="00467C50" w:rsidRPr="00B05ECE">
        <w:t xml:space="preserve">; and  </w:t>
      </w:r>
    </w:p>
    <w:p w:rsidR="00467C50" w:rsidRPr="00B05ECE" w:rsidRDefault="00467C50" w:rsidP="002F64B8">
      <w:pPr>
        <w:pStyle w:val="ListParagraph"/>
        <w:widowControl/>
        <w:numPr>
          <w:ilvl w:val="2"/>
          <w:numId w:val="2"/>
        </w:numPr>
        <w:spacing w:after="120"/>
        <w:ind w:left="1134" w:hanging="425"/>
      </w:pPr>
      <w:r w:rsidRPr="00B05ECE">
        <w:t>There was no statistically significant differences in the incidence of adverse events in MAJIC</w:t>
      </w:r>
      <w:r w:rsidR="0053403F" w:rsidRPr="00B05ECE">
        <w:t xml:space="preserve"> at a median duration of follow up of 31.2 months.  </w:t>
      </w:r>
    </w:p>
    <w:p w:rsidR="00467C50" w:rsidRDefault="00467C50" w:rsidP="002F64B8">
      <w:pPr>
        <w:pStyle w:val="ListParagraph"/>
        <w:widowControl/>
        <w:numPr>
          <w:ilvl w:val="1"/>
          <w:numId w:val="2"/>
        </w:numPr>
        <w:spacing w:after="120"/>
      </w:pPr>
      <w:r w:rsidRPr="00B05ECE">
        <w:t xml:space="preserve">The adverse events which were statistically significantly different between treatments in RESPONSE and RESPONSE-2 are summarised in </w:t>
      </w:r>
      <w:r w:rsidR="0079624F" w:rsidRPr="00B05ECE">
        <w:t xml:space="preserve">Table </w:t>
      </w:r>
      <w:r w:rsidR="0079624F" w:rsidRPr="00B05ECE">
        <w:rPr>
          <w:noProof/>
        </w:rPr>
        <w:t>8</w:t>
      </w:r>
      <w:r w:rsidR="0079624F" w:rsidRPr="00B05ECE">
        <w:t>.</w:t>
      </w:r>
    </w:p>
    <w:p w:rsidR="00B62715" w:rsidRPr="0079624F" w:rsidRDefault="0079624F" w:rsidP="007314D8">
      <w:pPr>
        <w:pStyle w:val="Caption"/>
        <w:keepNext/>
        <w:keepLines/>
        <w:widowControl/>
        <w:rPr>
          <w:rStyle w:val="CommentReference"/>
          <w:b/>
        </w:rPr>
      </w:pPr>
      <w:bookmarkStart w:id="20" w:name="_Ref17147526"/>
      <w:r>
        <w:t xml:space="preserve">Table </w:t>
      </w:r>
      <w:r w:rsidR="00CF6741">
        <w:rPr>
          <w:noProof/>
        </w:rPr>
        <w:t>8</w:t>
      </w:r>
      <w:bookmarkEnd w:id="20"/>
      <w:r w:rsidR="00B62715" w:rsidRPr="0079624F">
        <w:rPr>
          <w:rStyle w:val="CommentReference"/>
          <w:b/>
        </w:rPr>
        <w:t xml:space="preserve">: Summary of comparative harms for </w:t>
      </w:r>
      <w:r w:rsidR="00467C50" w:rsidRPr="0079624F">
        <w:rPr>
          <w:rStyle w:val="CommentReference"/>
          <w:b/>
        </w:rPr>
        <w:t>Ruxolitinib</w:t>
      </w:r>
      <w:r w:rsidR="00B62715" w:rsidRPr="0079624F">
        <w:rPr>
          <w:rStyle w:val="CommentReference"/>
          <w:b/>
        </w:rPr>
        <w:t xml:space="preserve"> and </w:t>
      </w:r>
      <w:r w:rsidR="00467C50" w:rsidRPr="0079624F">
        <w:rPr>
          <w:rStyle w:val="CommentReference"/>
          <w:b/>
        </w:rPr>
        <w:t>BAT in supplementary evidence</w:t>
      </w:r>
    </w:p>
    <w:tbl>
      <w:tblPr>
        <w:tblW w:w="5000" w:type="pct"/>
        <w:tblLayout w:type="fixed"/>
        <w:tblCellMar>
          <w:left w:w="28" w:type="dxa"/>
          <w:right w:w="28" w:type="dxa"/>
        </w:tblCellMar>
        <w:tblLook w:val="04A0" w:firstRow="1" w:lastRow="0" w:firstColumn="1" w:lastColumn="0" w:noHBand="0" w:noVBand="1"/>
        <w:tblCaption w:val="Table 8: Summary of comparative harms for Ruxolitinib and BAT in supplementary evidence"/>
      </w:tblPr>
      <w:tblGrid>
        <w:gridCol w:w="1414"/>
        <w:gridCol w:w="1205"/>
        <w:gridCol w:w="1206"/>
        <w:gridCol w:w="1560"/>
        <w:gridCol w:w="1118"/>
        <w:gridCol w:w="1118"/>
        <w:gridCol w:w="1396"/>
      </w:tblGrid>
      <w:tr w:rsidR="00B62715" w:rsidRPr="00E2771E" w:rsidTr="0079624F">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62715" w:rsidRPr="00E2771E" w:rsidRDefault="00B62715" w:rsidP="007314D8">
            <w:pPr>
              <w:keepNext/>
              <w:keepLines/>
              <w:widowControl/>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7F4A61" w:rsidRPr="00E2771E" w:rsidTr="00CE1DBE">
        <w:trPr>
          <w:trHeight w:val="70"/>
        </w:trPr>
        <w:tc>
          <w:tcPr>
            <w:tcW w:w="7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E2771E" w:rsidRDefault="00B62715" w:rsidP="007314D8">
            <w:pPr>
              <w:keepNext/>
              <w:keepLines/>
              <w:widowControl/>
              <w:rPr>
                <w:rFonts w:ascii="Arial Narrow" w:hAnsi="Arial Narrow"/>
                <w:b/>
                <w:color w:val="000000"/>
                <w:sz w:val="20"/>
                <w:szCs w:val="18"/>
              </w:rPr>
            </w:pPr>
          </w:p>
        </w:tc>
        <w:tc>
          <w:tcPr>
            <w:tcW w:w="668" w:type="pct"/>
            <w:vMerge w:val="restart"/>
            <w:tcBorders>
              <w:top w:val="single" w:sz="4" w:space="0" w:color="auto"/>
              <w:left w:val="single" w:sz="4" w:space="0" w:color="auto"/>
              <w:bottom w:val="single" w:sz="4" w:space="0" w:color="auto"/>
              <w:right w:val="single" w:sz="4" w:space="0" w:color="auto"/>
            </w:tcBorders>
            <w:vAlign w:val="center"/>
          </w:tcPr>
          <w:p w:rsidR="00B62715" w:rsidRDefault="00467C50" w:rsidP="007314D8">
            <w:pPr>
              <w:keepNext/>
              <w:keepLines/>
              <w:widowControl/>
              <w:jc w:val="center"/>
              <w:rPr>
                <w:rFonts w:ascii="Arial Narrow" w:hAnsi="Arial Narrow"/>
                <w:b/>
                <w:color w:val="000000"/>
                <w:sz w:val="20"/>
                <w:szCs w:val="18"/>
              </w:rPr>
            </w:pPr>
            <w:r>
              <w:rPr>
                <w:rFonts w:ascii="Arial Narrow" w:hAnsi="Arial Narrow"/>
                <w:b/>
                <w:color w:val="000000"/>
                <w:sz w:val="20"/>
                <w:szCs w:val="18"/>
              </w:rPr>
              <w:t>Ruxolitinib</w:t>
            </w:r>
          </w:p>
          <w:p w:rsidR="00B24DF6" w:rsidRPr="00E2771E" w:rsidRDefault="00B24DF6" w:rsidP="007314D8">
            <w:pPr>
              <w:keepNext/>
              <w:keepLines/>
              <w:widowControl/>
              <w:jc w:val="center"/>
              <w:rPr>
                <w:rFonts w:ascii="Arial Narrow" w:hAnsi="Arial Narrow"/>
                <w:b/>
                <w:color w:val="000000"/>
                <w:sz w:val="20"/>
                <w:szCs w:val="18"/>
              </w:rPr>
            </w:pPr>
            <w:r>
              <w:rPr>
                <w:rFonts w:ascii="Arial Narrow" w:hAnsi="Arial Narrow"/>
                <w:b/>
                <w:color w:val="000000"/>
                <w:sz w:val="20"/>
                <w:szCs w:val="18"/>
              </w:rPr>
              <w:t>n/N</w:t>
            </w:r>
          </w:p>
        </w:tc>
        <w:tc>
          <w:tcPr>
            <w:tcW w:w="669" w:type="pct"/>
            <w:vMerge w:val="restart"/>
            <w:tcBorders>
              <w:top w:val="single" w:sz="4" w:space="0" w:color="auto"/>
              <w:left w:val="single" w:sz="4" w:space="0" w:color="auto"/>
              <w:bottom w:val="single" w:sz="4" w:space="0" w:color="auto"/>
              <w:right w:val="single" w:sz="4" w:space="0" w:color="auto"/>
            </w:tcBorders>
            <w:vAlign w:val="center"/>
          </w:tcPr>
          <w:p w:rsidR="00B62715" w:rsidRDefault="00467C50" w:rsidP="007314D8">
            <w:pPr>
              <w:keepNext/>
              <w:keepLines/>
              <w:widowControl/>
              <w:jc w:val="center"/>
              <w:rPr>
                <w:rFonts w:ascii="Arial Narrow" w:hAnsi="Arial Narrow"/>
                <w:b/>
                <w:color w:val="000000"/>
                <w:sz w:val="20"/>
                <w:szCs w:val="18"/>
              </w:rPr>
            </w:pPr>
            <w:r>
              <w:rPr>
                <w:rFonts w:ascii="Arial Narrow" w:hAnsi="Arial Narrow"/>
                <w:b/>
                <w:color w:val="000000"/>
                <w:sz w:val="20"/>
                <w:szCs w:val="18"/>
              </w:rPr>
              <w:t>BAT</w:t>
            </w:r>
          </w:p>
          <w:p w:rsidR="00B24DF6" w:rsidRPr="00E2771E" w:rsidRDefault="00B24DF6" w:rsidP="007314D8">
            <w:pPr>
              <w:keepNext/>
              <w:keepLines/>
              <w:widowControl/>
              <w:jc w:val="center"/>
              <w:rPr>
                <w:rFonts w:ascii="Arial Narrow" w:hAnsi="Arial Narrow"/>
                <w:b/>
                <w:color w:val="000000"/>
                <w:sz w:val="20"/>
                <w:szCs w:val="18"/>
              </w:rPr>
            </w:pPr>
            <w:r>
              <w:rPr>
                <w:rFonts w:ascii="Arial Narrow" w:hAnsi="Arial Narrow"/>
                <w:b/>
                <w:color w:val="000000"/>
                <w:sz w:val="20"/>
                <w:szCs w:val="18"/>
              </w:rPr>
              <w:t>n/N</w:t>
            </w:r>
          </w:p>
        </w:tc>
        <w:tc>
          <w:tcPr>
            <w:tcW w:w="865" w:type="pct"/>
            <w:vMerge w:val="restart"/>
            <w:tcBorders>
              <w:top w:val="single" w:sz="4" w:space="0" w:color="auto"/>
              <w:left w:val="single" w:sz="4" w:space="0" w:color="auto"/>
              <w:bottom w:val="single" w:sz="4" w:space="0" w:color="auto"/>
              <w:right w:val="single" w:sz="4" w:space="0" w:color="auto"/>
            </w:tcBorders>
            <w:vAlign w:val="center"/>
          </w:tcPr>
          <w:p w:rsidR="00B62715" w:rsidRPr="00E2771E" w:rsidRDefault="00B62715" w:rsidP="007314D8">
            <w:pPr>
              <w:keepNext/>
              <w:keepLines/>
              <w:widowControl/>
              <w:jc w:val="center"/>
              <w:rPr>
                <w:rFonts w:ascii="Arial Narrow" w:hAnsi="Arial Narrow"/>
                <w:b/>
                <w:color w:val="000000"/>
                <w:sz w:val="20"/>
                <w:szCs w:val="18"/>
              </w:rPr>
            </w:pPr>
            <w:r w:rsidRPr="00E2771E">
              <w:rPr>
                <w:rFonts w:ascii="Arial Narrow" w:hAnsi="Arial Narrow"/>
                <w:b/>
                <w:color w:val="000000"/>
                <w:sz w:val="20"/>
                <w:szCs w:val="18"/>
              </w:rPr>
              <w:t>RR</w:t>
            </w:r>
          </w:p>
          <w:p w:rsidR="00B62715" w:rsidRPr="00E2771E" w:rsidRDefault="00B62715" w:rsidP="007314D8">
            <w:pPr>
              <w:keepNext/>
              <w:keepLines/>
              <w:widowControl/>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240" w:type="pct"/>
            <w:gridSpan w:val="2"/>
            <w:tcBorders>
              <w:top w:val="single" w:sz="4" w:space="0" w:color="auto"/>
              <w:left w:val="single" w:sz="4" w:space="0" w:color="auto"/>
              <w:bottom w:val="single" w:sz="4" w:space="0" w:color="auto"/>
              <w:right w:val="single" w:sz="4" w:space="0" w:color="auto"/>
            </w:tcBorders>
            <w:vAlign w:val="center"/>
          </w:tcPr>
          <w:p w:rsidR="00B62715" w:rsidRPr="00E2771E" w:rsidRDefault="00B62715" w:rsidP="007314D8">
            <w:pPr>
              <w:keepNext/>
              <w:keepLines/>
              <w:widowControl/>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774" w:type="pct"/>
            <w:vMerge w:val="restart"/>
            <w:tcBorders>
              <w:top w:val="single" w:sz="4" w:space="0" w:color="auto"/>
              <w:left w:val="single" w:sz="4" w:space="0" w:color="auto"/>
              <w:bottom w:val="single" w:sz="4" w:space="0" w:color="auto"/>
              <w:right w:val="single" w:sz="4" w:space="0" w:color="auto"/>
            </w:tcBorders>
            <w:vAlign w:val="center"/>
          </w:tcPr>
          <w:p w:rsidR="00B62715" w:rsidRPr="00E2771E" w:rsidRDefault="00B62715" w:rsidP="007314D8">
            <w:pPr>
              <w:keepNext/>
              <w:keepLines/>
              <w:widowControl/>
              <w:jc w:val="center"/>
              <w:rPr>
                <w:rFonts w:ascii="Arial Narrow" w:hAnsi="Arial Narrow"/>
                <w:b/>
                <w:color w:val="000000"/>
                <w:sz w:val="20"/>
                <w:szCs w:val="18"/>
              </w:rPr>
            </w:pPr>
            <w:r w:rsidRPr="00E2771E">
              <w:rPr>
                <w:rFonts w:ascii="Arial Narrow" w:hAnsi="Arial Narrow"/>
                <w:b/>
                <w:color w:val="000000"/>
                <w:sz w:val="20"/>
                <w:szCs w:val="18"/>
              </w:rPr>
              <w:t>RD</w:t>
            </w:r>
          </w:p>
          <w:p w:rsidR="00B62715" w:rsidRPr="00E2771E" w:rsidRDefault="00B62715" w:rsidP="007314D8">
            <w:pPr>
              <w:keepNext/>
              <w:keepLines/>
              <w:widowControl/>
              <w:jc w:val="center"/>
              <w:rPr>
                <w:rFonts w:ascii="Arial Narrow" w:hAnsi="Arial Narrow"/>
                <w:b/>
                <w:color w:val="000000"/>
                <w:sz w:val="20"/>
                <w:szCs w:val="18"/>
              </w:rPr>
            </w:pPr>
            <w:r w:rsidRPr="00E2771E">
              <w:rPr>
                <w:rFonts w:ascii="Arial Narrow" w:hAnsi="Arial Narrow"/>
                <w:b/>
                <w:color w:val="000000"/>
                <w:sz w:val="20"/>
                <w:szCs w:val="18"/>
              </w:rPr>
              <w:t>(95% CI)</w:t>
            </w:r>
          </w:p>
        </w:tc>
      </w:tr>
      <w:tr w:rsidR="007F4A61" w:rsidRPr="00E2771E" w:rsidTr="00CE1DBE">
        <w:trPr>
          <w:trHeight w:val="70"/>
        </w:trPr>
        <w:tc>
          <w:tcPr>
            <w:tcW w:w="78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2715" w:rsidRPr="00E2771E" w:rsidRDefault="00B62715" w:rsidP="007314D8">
            <w:pPr>
              <w:keepNext/>
              <w:keepLines/>
              <w:widowControl/>
              <w:rPr>
                <w:rFonts w:ascii="Arial Narrow" w:hAnsi="Arial Narrow"/>
                <w:b/>
                <w:color w:val="000000"/>
                <w:sz w:val="20"/>
                <w:szCs w:val="18"/>
              </w:rPr>
            </w:pPr>
          </w:p>
        </w:tc>
        <w:tc>
          <w:tcPr>
            <w:tcW w:w="668" w:type="pct"/>
            <w:vMerge/>
            <w:tcBorders>
              <w:top w:val="single" w:sz="4" w:space="0" w:color="auto"/>
              <w:left w:val="single" w:sz="4" w:space="0" w:color="auto"/>
              <w:bottom w:val="single" w:sz="4" w:space="0" w:color="auto"/>
              <w:right w:val="single" w:sz="4" w:space="0" w:color="auto"/>
            </w:tcBorders>
            <w:vAlign w:val="center"/>
          </w:tcPr>
          <w:p w:rsidR="00B62715" w:rsidRPr="00E2771E" w:rsidRDefault="00B62715" w:rsidP="007314D8">
            <w:pPr>
              <w:keepNext/>
              <w:keepLines/>
              <w:widowControl/>
              <w:jc w:val="center"/>
              <w:rPr>
                <w:rFonts w:ascii="Arial Narrow" w:hAnsi="Arial Narrow"/>
                <w:b/>
                <w:color w:val="000000"/>
                <w:sz w:val="20"/>
                <w:szCs w:val="18"/>
              </w:rPr>
            </w:pPr>
          </w:p>
        </w:tc>
        <w:tc>
          <w:tcPr>
            <w:tcW w:w="669" w:type="pct"/>
            <w:vMerge/>
            <w:tcBorders>
              <w:top w:val="single" w:sz="4" w:space="0" w:color="auto"/>
              <w:left w:val="single" w:sz="4" w:space="0" w:color="auto"/>
              <w:bottom w:val="single" w:sz="4" w:space="0" w:color="auto"/>
              <w:right w:val="single" w:sz="4" w:space="0" w:color="auto"/>
            </w:tcBorders>
            <w:vAlign w:val="center"/>
          </w:tcPr>
          <w:p w:rsidR="00B62715" w:rsidRPr="00E2771E" w:rsidRDefault="00B62715" w:rsidP="007314D8">
            <w:pPr>
              <w:keepNext/>
              <w:keepLines/>
              <w:widowControl/>
              <w:jc w:val="center"/>
              <w:rPr>
                <w:rFonts w:ascii="Arial Narrow" w:hAnsi="Arial Narrow"/>
                <w:b/>
                <w:color w:val="000000"/>
                <w:sz w:val="20"/>
                <w:szCs w:val="18"/>
              </w:rPr>
            </w:pPr>
          </w:p>
        </w:tc>
        <w:tc>
          <w:tcPr>
            <w:tcW w:w="865" w:type="pct"/>
            <w:vMerge/>
            <w:tcBorders>
              <w:top w:val="single" w:sz="4" w:space="0" w:color="auto"/>
              <w:left w:val="single" w:sz="4" w:space="0" w:color="auto"/>
              <w:bottom w:val="single" w:sz="4" w:space="0" w:color="auto"/>
              <w:right w:val="single" w:sz="4" w:space="0" w:color="auto"/>
            </w:tcBorders>
            <w:vAlign w:val="center"/>
          </w:tcPr>
          <w:p w:rsidR="00B62715" w:rsidRPr="00E2771E" w:rsidRDefault="00B62715" w:rsidP="007314D8">
            <w:pPr>
              <w:keepNext/>
              <w:keepLines/>
              <w:widowControl/>
              <w:jc w:val="center"/>
              <w:rPr>
                <w:rFonts w:ascii="Arial Narrow" w:hAnsi="Arial Narrow"/>
                <w:b/>
                <w:color w:val="000000"/>
                <w:sz w:val="20"/>
                <w:szCs w:val="18"/>
              </w:rPr>
            </w:pPr>
          </w:p>
        </w:tc>
        <w:tc>
          <w:tcPr>
            <w:tcW w:w="620" w:type="pct"/>
            <w:tcBorders>
              <w:top w:val="single" w:sz="4" w:space="0" w:color="auto"/>
              <w:left w:val="single" w:sz="4" w:space="0" w:color="auto"/>
              <w:bottom w:val="single" w:sz="4" w:space="0" w:color="auto"/>
              <w:right w:val="single" w:sz="4" w:space="0" w:color="auto"/>
            </w:tcBorders>
            <w:vAlign w:val="center"/>
          </w:tcPr>
          <w:p w:rsidR="00B62715" w:rsidRPr="00E2771E" w:rsidRDefault="00B859DA" w:rsidP="007314D8">
            <w:pPr>
              <w:keepNext/>
              <w:keepLines/>
              <w:widowControl/>
              <w:jc w:val="center"/>
              <w:rPr>
                <w:rFonts w:ascii="Arial Narrow" w:hAnsi="Arial Narrow"/>
                <w:b/>
                <w:color w:val="000000"/>
                <w:sz w:val="20"/>
                <w:szCs w:val="18"/>
              </w:rPr>
            </w:pPr>
            <w:r>
              <w:rPr>
                <w:rFonts w:ascii="Arial Narrow" w:hAnsi="Arial Narrow"/>
                <w:b/>
                <w:color w:val="000000"/>
                <w:sz w:val="20"/>
                <w:szCs w:val="18"/>
              </w:rPr>
              <w:t>Ruxolitinib</w:t>
            </w:r>
          </w:p>
        </w:tc>
        <w:tc>
          <w:tcPr>
            <w:tcW w:w="620" w:type="pct"/>
            <w:tcBorders>
              <w:top w:val="single" w:sz="4" w:space="0" w:color="auto"/>
              <w:left w:val="single" w:sz="4" w:space="0" w:color="auto"/>
              <w:bottom w:val="single" w:sz="4" w:space="0" w:color="auto"/>
              <w:right w:val="single" w:sz="4" w:space="0" w:color="auto"/>
            </w:tcBorders>
            <w:vAlign w:val="center"/>
          </w:tcPr>
          <w:p w:rsidR="00B62715" w:rsidRPr="00E2771E" w:rsidRDefault="00B859DA" w:rsidP="007314D8">
            <w:pPr>
              <w:keepNext/>
              <w:keepLines/>
              <w:widowControl/>
              <w:jc w:val="center"/>
              <w:rPr>
                <w:rFonts w:ascii="Arial Narrow" w:hAnsi="Arial Narrow"/>
                <w:b/>
                <w:color w:val="000000"/>
                <w:sz w:val="20"/>
                <w:szCs w:val="18"/>
              </w:rPr>
            </w:pPr>
            <w:r>
              <w:rPr>
                <w:rFonts w:ascii="Arial Narrow" w:hAnsi="Arial Narrow"/>
                <w:b/>
                <w:color w:val="000000"/>
                <w:sz w:val="20"/>
                <w:szCs w:val="18"/>
              </w:rPr>
              <w:t>BAT</w:t>
            </w:r>
          </w:p>
        </w:tc>
        <w:tc>
          <w:tcPr>
            <w:tcW w:w="774" w:type="pct"/>
            <w:vMerge/>
            <w:tcBorders>
              <w:top w:val="single" w:sz="4" w:space="0" w:color="auto"/>
              <w:left w:val="single" w:sz="4" w:space="0" w:color="auto"/>
              <w:bottom w:val="single" w:sz="4" w:space="0" w:color="auto"/>
              <w:right w:val="single" w:sz="4" w:space="0" w:color="auto"/>
            </w:tcBorders>
            <w:vAlign w:val="center"/>
          </w:tcPr>
          <w:p w:rsidR="00B62715" w:rsidRPr="00E2771E" w:rsidRDefault="00B62715" w:rsidP="007314D8">
            <w:pPr>
              <w:keepNext/>
              <w:keepLines/>
              <w:widowControl/>
              <w:jc w:val="center"/>
              <w:rPr>
                <w:rFonts w:ascii="Arial Narrow" w:hAnsi="Arial Narrow"/>
                <w:b/>
                <w:color w:val="000000"/>
                <w:sz w:val="20"/>
                <w:szCs w:val="18"/>
              </w:rPr>
            </w:pPr>
          </w:p>
        </w:tc>
      </w:tr>
      <w:tr w:rsidR="00B62715" w:rsidRPr="00E2771E" w:rsidTr="003D1DE4">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62715" w:rsidRPr="00E2771E" w:rsidRDefault="00467C50" w:rsidP="007314D8">
            <w:pPr>
              <w:keepNext/>
              <w:keepLines/>
              <w:widowControl/>
              <w:rPr>
                <w:rFonts w:ascii="Arial Narrow" w:hAnsi="Arial Narrow"/>
                <w:b/>
                <w:color w:val="000000"/>
                <w:sz w:val="20"/>
                <w:szCs w:val="18"/>
              </w:rPr>
            </w:pPr>
            <w:r>
              <w:rPr>
                <w:rFonts w:ascii="Arial Narrow" w:hAnsi="Arial Narrow"/>
                <w:b/>
                <w:color w:val="000000"/>
                <w:sz w:val="20"/>
                <w:szCs w:val="18"/>
              </w:rPr>
              <w:t>Anaemia (all grades)</w:t>
            </w:r>
          </w:p>
        </w:tc>
      </w:tr>
      <w:tr w:rsidR="007F4A61" w:rsidRPr="00E2771E" w:rsidTr="00CE1DBE">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B62715" w:rsidRPr="00467C50" w:rsidRDefault="007314D8" w:rsidP="007314D8">
            <w:pPr>
              <w:keepNext/>
              <w:keepLines/>
              <w:widowControl/>
              <w:rPr>
                <w:rFonts w:ascii="Arial Narrow" w:hAnsi="Arial Narrow"/>
                <w:color w:val="000000"/>
                <w:sz w:val="20"/>
                <w:szCs w:val="18"/>
                <w:vertAlign w:val="superscript"/>
              </w:rPr>
            </w:pPr>
            <w:r>
              <w:rPr>
                <w:rFonts w:ascii="Arial Narrow" w:hAnsi="Arial Narrow"/>
                <w:color w:val="000000"/>
                <w:sz w:val="20"/>
                <w:szCs w:val="18"/>
              </w:rPr>
              <w:t>RESPONSE</w:t>
            </w:r>
            <w:r w:rsidR="00467C50">
              <w:rPr>
                <w:rFonts w:ascii="Arial Narrow" w:hAnsi="Arial Narrow"/>
                <w:color w:val="000000"/>
                <w:sz w:val="20"/>
                <w:szCs w:val="18"/>
                <w:vertAlign w:val="superscript"/>
              </w:rPr>
              <w:t>1</w:t>
            </w:r>
          </w:p>
        </w:tc>
        <w:tc>
          <w:tcPr>
            <w:tcW w:w="668" w:type="pct"/>
            <w:tcBorders>
              <w:top w:val="single" w:sz="4" w:space="0" w:color="auto"/>
              <w:left w:val="single" w:sz="4" w:space="0" w:color="auto"/>
              <w:bottom w:val="single" w:sz="4" w:space="0" w:color="auto"/>
              <w:right w:val="single" w:sz="4" w:space="0" w:color="auto"/>
            </w:tcBorders>
            <w:vAlign w:val="center"/>
          </w:tcPr>
          <w:p w:rsidR="00B62715"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19/110</w:t>
            </w:r>
          </w:p>
        </w:tc>
        <w:tc>
          <w:tcPr>
            <w:tcW w:w="669" w:type="pct"/>
            <w:tcBorders>
              <w:top w:val="single" w:sz="4" w:space="0" w:color="auto"/>
              <w:left w:val="single" w:sz="4" w:space="0" w:color="auto"/>
              <w:bottom w:val="single" w:sz="4" w:space="0" w:color="auto"/>
              <w:right w:val="single" w:sz="4" w:space="0" w:color="auto"/>
            </w:tcBorders>
            <w:vAlign w:val="center"/>
          </w:tcPr>
          <w:p w:rsidR="00B62715"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1/111</w:t>
            </w:r>
          </w:p>
        </w:tc>
        <w:tc>
          <w:tcPr>
            <w:tcW w:w="865" w:type="pct"/>
            <w:tcBorders>
              <w:top w:val="single" w:sz="4" w:space="0" w:color="auto"/>
              <w:left w:val="single" w:sz="4" w:space="0" w:color="auto"/>
              <w:bottom w:val="single" w:sz="4" w:space="0" w:color="auto"/>
              <w:right w:val="single" w:sz="4" w:space="0" w:color="auto"/>
            </w:tcBorders>
            <w:vAlign w:val="center"/>
          </w:tcPr>
          <w:p w:rsidR="00B62715"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19.17 (2.61,141)</w:t>
            </w:r>
          </w:p>
        </w:tc>
        <w:tc>
          <w:tcPr>
            <w:tcW w:w="620" w:type="pct"/>
            <w:tcBorders>
              <w:top w:val="single" w:sz="4" w:space="0" w:color="auto"/>
              <w:left w:val="single" w:sz="4" w:space="0" w:color="auto"/>
              <w:bottom w:val="single" w:sz="4" w:space="0" w:color="auto"/>
              <w:right w:val="single" w:sz="4" w:space="0" w:color="auto"/>
            </w:tcBorders>
            <w:vAlign w:val="center"/>
          </w:tcPr>
          <w:p w:rsidR="00B62715"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17.3</w:t>
            </w:r>
          </w:p>
        </w:tc>
        <w:tc>
          <w:tcPr>
            <w:tcW w:w="620" w:type="pct"/>
            <w:tcBorders>
              <w:top w:val="single" w:sz="4" w:space="0" w:color="auto"/>
              <w:left w:val="single" w:sz="4" w:space="0" w:color="auto"/>
              <w:bottom w:val="single" w:sz="4" w:space="0" w:color="auto"/>
              <w:right w:val="single" w:sz="4" w:space="0" w:color="auto"/>
            </w:tcBorders>
            <w:vAlign w:val="center"/>
          </w:tcPr>
          <w:p w:rsidR="00B62715"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0.09</w:t>
            </w:r>
          </w:p>
        </w:tc>
        <w:tc>
          <w:tcPr>
            <w:tcW w:w="774" w:type="pct"/>
            <w:tcBorders>
              <w:top w:val="single" w:sz="4" w:space="0" w:color="auto"/>
              <w:left w:val="single" w:sz="4" w:space="0" w:color="auto"/>
              <w:bottom w:val="single" w:sz="4" w:space="0" w:color="auto"/>
              <w:right w:val="single" w:sz="4" w:space="0" w:color="auto"/>
            </w:tcBorders>
            <w:vAlign w:val="center"/>
          </w:tcPr>
          <w:p w:rsidR="00B62715"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0.16 (0.09, 0.24)</w:t>
            </w:r>
          </w:p>
        </w:tc>
      </w:tr>
      <w:tr w:rsidR="00467C50" w:rsidRPr="00E2771E" w:rsidTr="00CE1DBE">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67C50" w:rsidRPr="00467C50" w:rsidRDefault="007314D8" w:rsidP="007314D8">
            <w:pPr>
              <w:keepNext/>
              <w:keepLines/>
              <w:widowControl/>
              <w:rPr>
                <w:rFonts w:ascii="Arial Narrow" w:hAnsi="Arial Narrow"/>
                <w:color w:val="000000"/>
                <w:sz w:val="20"/>
                <w:szCs w:val="18"/>
                <w:vertAlign w:val="superscript"/>
              </w:rPr>
            </w:pPr>
            <w:r>
              <w:rPr>
                <w:rFonts w:ascii="Arial Narrow" w:hAnsi="Arial Narrow"/>
                <w:color w:val="000000"/>
                <w:sz w:val="20"/>
                <w:szCs w:val="18"/>
              </w:rPr>
              <w:t>RESPONSE-2</w:t>
            </w:r>
            <w:r w:rsidR="00467C50">
              <w:rPr>
                <w:rFonts w:ascii="Arial Narrow" w:hAnsi="Arial Narrow"/>
                <w:color w:val="000000"/>
                <w:sz w:val="20"/>
                <w:szCs w:val="18"/>
                <w:vertAlign w:val="superscript"/>
              </w:rPr>
              <w:t>2</w:t>
            </w:r>
          </w:p>
        </w:tc>
        <w:tc>
          <w:tcPr>
            <w:tcW w:w="668"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11/74</w:t>
            </w:r>
          </w:p>
        </w:tc>
        <w:tc>
          <w:tcPr>
            <w:tcW w:w="669"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0/75</w:t>
            </w:r>
          </w:p>
        </w:tc>
        <w:tc>
          <w:tcPr>
            <w:tcW w:w="865"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23.31 (1.40, 388)</w:t>
            </w:r>
          </w:p>
        </w:tc>
        <w:tc>
          <w:tcPr>
            <w:tcW w:w="620"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14.9</w:t>
            </w:r>
          </w:p>
        </w:tc>
        <w:tc>
          <w:tcPr>
            <w:tcW w:w="620"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0</w:t>
            </w:r>
          </w:p>
        </w:tc>
        <w:tc>
          <w:tcPr>
            <w:tcW w:w="774"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0.15 (0.07, 0.23)</w:t>
            </w:r>
          </w:p>
        </w:tc>
      </w:tr>
      <w:tr w:rsidR="00B62715" w:rsidRPr="00E2771E" w:rsidTr="003D1DE4">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62715" w:rsidRPr="00E2771E" w:rsidRDefault="00467C50" w:rsidP="007314D8">
            <w:pPr>
              <w:keepNext/>
              <w:keepLines/>
              <w:widowControl/>
              <w:rPr>
                <w:rFonts w:ascii="Arial Narrow" w:hAnsi="Arial Narrow"/>
                <w:b/>
                <w:color w:val="000000"/>
                <w:sz w:val="20"/>
                <w:szCs w:val="18"/>
              </w:rPr>
            </w:pPr>
            <w:r>
              <w:rPr>
                <w:rFonts w:ascii="Arial Narrow" w:hAnsi="Arial Narrow"/>
                <w:b/>
                <w:color w:val="000000"/>
                <w:sz w:val="20"/>
                <w:szCs w:val="18"/>
              </w:rPr>
              <w:t>Dizziness (all grades)</w:t>
            </w:r>
          </w:p>
        </w:tc>
      </w:tr>
      <w:tr w:rsidR="007F4A61" w:rsidRPr="00E2771E" w:rsidTr="00CE1DBE">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B62715" w:rsidRPr="00E2771E" w:rsidRDefault="007314D8" w:rsidP="007314D8">
            <w:pPr>
              <w:keepNext/>
              <w:keepLines/>
              <w:widowControl/>
              <w:rPr>
                <w:rFonts w:ascii="Arial Narrow" w:hAnsi="Arial Narrow"/>
                <w:color w:val="000000"/>
                <w:sz w:val="20"/>
                <w:szCs w:val="18"/>
              </w:rPr>
            </w:pPr>
            <w:r>
              <w:rPr>
                <w:rFonts w:ascii="Arial Narrow" w:hAnsi="Arial Narrow"/>
                <w:color w:val="000000"/>
                <w:sz w:val="20"/>
                <w:szCs w:val="18"/>
              </w:rPr>
              <w:t>RESPONSE</w:t>
            </w:r>
            <w:r w:rsidR="00467C50">
              <w:rPr>
                <w:rFonts w:ascii="Arial Narrow" w:hAnsi="Arial Narrow"/>
                <w:color w:val="000000"/>
                <w:sz w:val="20"/>
                <w:szCs w:val="18"/>
                <w:vertAlign w:val="superscript"/>
              </w:rPr>
              <w:t>1</w:t>
            </w:r>
          </w:p>
        </w:tc>
        <w:tc>
          <w:tcPr>
            <w:tcW w:w="668" w:type="pct"/>
            <w:tcBorders>
              <w:top w:val="single" w:sz="4" w:space="0" w:color="auto"/>
              <w:left w:val="single" w:sz="4" w:space="0" w:color="auto"/>
              <w:bottom w:val="single" w:sz="4" w:space="0" w:color="auto"/>
              <w:right w:val="single" w:sz="4" w:space="0" w:color="auto"/>
            </w:tcBorders>
            <w:vAlign w:val="center"/>
          </w:tcPr>
          <w:p w:rsidR="00B62715"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7/110</w:t>
            </w:r>
          </w:p>
        </w:tc>
        <w:tc>
          <w:tcPr>
            <w:tcW w:w="669" w:type="pct"/>
            <w:tcBorders>
              <w:top w:val="single" w:sz="4" w:space="0" w:color="auto"/>
              <w:left w:val="single" w:sz="4" w:space="0" w:color="auto"/>
              <w:bottom w:val="single" w:sz="4" w:space="0" w:color="auto"/>
              <w:right w:val="single" w:sz="4" w:space="0" w:color="auto"/>
            </w:tcBorders>
            <w:vAlign w:val="center"/>
          </w:tcPr>
          <w:p w:rsidR="00B62715"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0/111</w:t>
            </w:r>
          </w:p>
        </w:tc>
        <w:tc>
          <w:tcPr>
            <w:tcW w:w="865" w:type="pct"/>
            <w:tcBorders>
              <w:top w:val="single" w:sz="4" w:space="0" w:color="auto"/>
              <w:left w:val="single" w:sz="4" w:space="0" w:color="auto"/>
              <w:bottom w:val="single" w:sz="4" w:space="0" w:color="auto"/>
              <w:right w:val="single" w:sz="4" w:space="0" w:color="auto"/>
            </w:tcBorders>
            <w:vAlign w:val="center"/>
          </w:tcPr>
          <w:p w:rsidR="00B62715"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15.14 (0.87, 262)</w:t>
            </w:r>
          </w:p>
        </w:tc>
        <w:tc>
          <w:tcPr>
            <w:tcW w:w="620" w:type="pct"/>
            <w:tcBorders>
              <w:top w:val="single" w:sz="4" w:space="0" w:color="auto"/>
              <w:left w:val="single" w:sz="4" w:space="0" w:color="auto"/>
              <w:bottom w:val="single" w:sz="4" w:space="0" w:color="auto"/>
              <w:right w:val="single" w:sz="4" w:space="0" w:color="auto"/>
            </w:tcBorders>
            <w:vAlign w:val="center"/>
          </w:tcPr>
          <w:p w:rsidR="00B62715"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6.4</w:t>
            </w:r>
          </w:p>
        </w:tc>
        <w:tc>
          <w:tcPr>
            <w:tcW w:w="620" w:type="pct"/>
            <w:tcBorders>
              <w:top w:val="single" w:sz="4" w:space="0" w:color="auto"/>
              <w:left w:val="single" w:sz="4" w:space="0" w:color="auto"/>
              <w:bottom w:val="single" w:sz="4" w:space="0" w:color="auto"/>
              <w:right w:val="single" w:sz="4" w:space="0" w:color="auto"/>
            </w:tcBorders>
            <w:vAlign w:val="center"/>
          </w:tcPr>
          <w:p w:rsidR="00B62715"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0</w:t>
            </w:r>
          </w:p>
        </w:tc>
        <w:tc>
          <w:tcPr>
            <w:tcW w:w="774" w:type="pct"/>
            <w:tcBorders>
              <w:top w:val="single" w:sz="4" w:space="0" w:color="auto"/>
              <w:left w:val="single" w:sz="4" w:space="0" w:color="auto"/>
              <w:bottom w:val="single" w:sz="4" w:space="0" w:color="auto"/>
              <w:right w:val="single" w:sz="4" w:space="0" w:color="auto"/>
            </w:tcBorders>
            <w:vAlign w:val="center"/>
          </w:tcPr>
          <w:p w:rsidR="00B62715"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0.06 (0.02, 0.11)</w:t>
            </w:r>
          </w:p>
        </w:tc>
      </w:tr>
      <w:tr w:rsidR="00B62715" w:rsidRPr="00E2771E" w:rsidTr="003D1DE4">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62715" w:rsidRPr="00E2771E" w:rsidRDefault="00467C50" w:rsidP="007314D8">
            <w:pPr>
              <w:keepNext/>
              <w:keepLines/>
              <w:widowControl/>
              <w:rPr>
                <w:rFonts w:ascii="Arial Narrow" w:hAnsi="Arial Narrow"/>
                <w:color w:val="000000"/>
                <w:sz w:val="20"/>
                <w:szCs w:val="18"/>
              </w:rPr>
            </w:pPr>
            <w:r>
              <w:rPr>
                <w:rFonts w:ascii="Arial Narrow" w:hAnsi="Arial Narrow"/>
                <w:b/>
                <w:color w:val="000000"/>
                <w:sz w:val="20"/>
                <w:szCs w:val="18"/>
              </w:rPr>
              <w:t>Headache (all grades)</w:t>
            </w:r>
          </w:p>
        </w:tc>
      </w:tr>
      <w:tr w:rsidR="00467C50" w:rsidRPr="00E2771E" w:rsidTr="00CE1DBE">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67C50" w:rsidRPr="00E2771E" w:rsidRDefault="007314D8" w:rsidP="007314D8">
            <w:pPr>
              <w:keepNext/>
              <w:keepLines/>
              <w:widowControl/>
              <w:rPr>
                <w:rFonts w:ascii="Arial Narrow" w:hAnsi="Arial Narrow"/>
                <w:color w:val="000000"/>
                <w:sz w:val="20"/>
                <w:szCs w:val="18"/>
              </w:rPr>
            </w:pPr>
            <w:r>
              <w:rPr>
                <w:rFonts w:ascii="Arial Narrow" w:hAnsi="Arial Narrow"/>
                <w:color w:val="000000"/>
                <w:sz w:val="20"/>
                <w:szCs w:val="18"/>
              </w:rPr>
              <w:t>RESPONSE</w:t>
            </w:r>
            <w:r w:rsidR="00467C50">
              <w:rPr>
                <w:rFonts w:ascii="Arial Narrow" w:hAnsi="Arial Narrow"/>
                <w:color w:val="000000"/>
                <w:sz w:val="20"/>
                <w:szCs w:val="18"/>
                <w:vertAlign w:val="superscript"/>
              </w:rPr>
              <w:t>1</w:t>
            </w:r>
          </w:p>
        </w:tc>
        <w:tc>
          <w:tcPr>
            <w:tcW w:w="668"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7/110</w:t>
            </w:r>
          </w:p>
        </w:tc>
        <w:tc>
          <w:tcPr>
            <w:tcW w:w="669"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0/111</w:t>
            </w:r>
          </w:p>
        </w:tc>
        <w:tc>
          <w:tcPr>
            <w:tcW w:w="865"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15.14 (0.87, 262)</w:t>
            </w:r>
          </w:p>
        </w:tc>
        <w:tc>
          <w:tcPr>
            <w:tcW w:w="620"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6.4</w:t>
            </w:r>
          </w:p>
        </w:tc>
        <w:tc>
          <w:tcPr>
            <w:tcW w:w="620"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0</w:t>
            </w:r>
          </w:p>
        </w:tc>
        <w:tc>
          <w:tcPr>
            <w:tcW w:w="774"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szCs w:val="18"/>
              </w:rPr>
            </w:pPr>
            <w:r>
              <w:rPr>
                <w:rFonts w:ascii="Arial Narrow" w:hAnsi="Arial Narrow"/>
                <w:color w:val="000000"/>
                <w:sz w:val="20"/>
                <w:szCs w:val="18"/>
              </w:rPr>
              <w:t>0.06 (0.02, 0.11)</w:t>
            </w:r>
          </w:p>
        </w:tc>
      </w:tr>
      <w:tr w:rsidR="00467C50" w:rsidRPr="00E2771E" w:rsidTr="00467C50">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67C50" w:rsidRPr="00467C50" w:rsidRDefault="00467C50" w:rsidP="007314D8">
            <w:pPr>
              <w:keepNext/>
              <w:keepLines/>
              <w:widowControl/>
              <w:jc w:val="left"/>
              <w:rPr>
                <w:rFonts w:ascii="Arial Narrow" w:hAnsi="Arial Narrow"/>
                <w:b/>
                <w:color w:val="000000"/>
                <w:sz w:val="20"/>
              </w:rPr>
            </w:pPr>
            <w:r w:rsidRPr="00467C50">
              <w:rPr>
                <w:rFonts w:ascii="Arial Narrow" w:hAnsi="Arial Narrow"/>
                <w:b/>
                <w:color w:val="000000"/>
                <w:sz w:val="20"/>
              </w:rPr>
              <w:t>Weight increased</w:t>
            </w:r>
          </w:p>
        </w:tc>
      </w:tr>
      <w:tr w:rsidR="00467C50" w:rsidRPr="00E2771E" w:rsidTr="00CE1DBE">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67C50" w:rsidRPr="00E2771E" w:rsidRDefault="007314D8" w:rsidP="007314D8">
            <w:pPr>
              <w:keepNext/>
              <w:keepLines/>
              <w:widowControl/>
              <w:rPr>
                <w:rFonts w:ascii="Arial Narrow" w:hAnsi="Arial Narrow"/>
                <w:color w:val="000000"/>
                <w:sz w:val="20"/>
                <w:szCs w:val="18"/>
              </w:rPr>
            </w:pPr>
            <w:r>
              <w:rPr>
                <w:rFonts w:ascii="Arial Narrow" w:hAnsi="Arial Narrow"/>
                <w:color w:val="000000"/>
                <w:sz w:val="20"/>
                <w:szCs w:val="18"/>
              </w:rPr>
              <w:t>RESPONSE-2</w:t>
            </w:r>
            <w:r w:rsidR="00467C50">
              <w:rPr>
                <w:rFonts w:ascii="Arial Narrow" w:hAnsi="Arial Narrow"/>
                <w:color w:val="000000"/>
                <w:sz w:val="20"/>
                <w:szCs w:val="18"/>
                <w:vertAlign w:val="superscript"/>
              </w:rPr>
              <w:t>2</w:t>
            </w:r>
          </w:p>
        </w:tc>
        <w:tc>
          <w:tcPr>
            <w:tcW w:w="668"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rPr>
            </w:pPr>
            <w:r>
              <w:rPr>
                <w:rFonts w:ascii="Arial Narrow" w:hAnsi="Arial Narrow"/>
                <w:color w:val="000000"/>
                <w:sz w:val="20"/>
              </w:rPr>
              <w:t>8/74</w:t>
            </w:r>
          </w:p>
        </w:tc>
        <w:tc>
          <w:tcPr>
            <w:tcW w:w="669"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rPr>
            </w:pPr>
            <w:r>
              <w:rPr>
                <w:rFonts w:ascii="Arial Narrow" w:hAnsi="Arial Narrow"/>
                <w:color w:val="000000"/>
                <w:sz w:val="20"/>
              </w:rPr>
              <w:t>0/75</w:t>
            </w:r>
          </w:p>
        </w:tc>
        <w:tc>
          <w:tcPr>
            <w:tcW w:w="865"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rPr>
            </w:pPr>
            <w:r>
              <w:rPr>
                <w:rFonts w:ascii="Arial Narrow" w:hAnsi="Arial Narrow"/>
                <w:color w:val="000000"/>
                <w:sz w:val="20"/>
              </w:rPr>
              <w:t>17.23 (1.01, 293)</w:t>
            </w:r>
          </w:p>
        </w:tc>
        <w:tc>
          <w:tcPr>
            <w:tcW w:w="620"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rPr>
            </w:pPr>
            <w:r>
              <w:rPr>
                <w:rFonts w:ascii="Arial Narrow" w:hAnsi="Arial Narrow"/>
                <w:color w:val="000000"/>
                <w:sz w:val="20"/>
              </w:rPr>
              <w:t>10.8</w:t>
            </w:r>
          </w:p>
        </w:tc>
        <w:tc>
          <w:tcPr>
            <w:tcW w:w="620"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rPr>
            </w:pPr>
            <w:r>
              <w:rPr>
                <w:rFonts w:ascii="Arial Narrow" w:hAnsi="Arial Narrow"/>
                <w:color w:val="000000"/>
                <w:sz w:val="20"/>
              </w:rPr>
              <w:t>0</w:t>
            </w:r>
          </w:p>
        </w:tc>
        <w:tc>
          <w:tcPr>
            <w:tcW w:w="774" w:type="pct"/>
            <w:tcBorders>
              <w:top w:val="single" w:sz="4" w:space="0" w:color="auto"/>
              <w:left w:val="single" w:sz="4" w:space="0" w:color="auto"/>
              <w:bottom w:val="single" w:sz="4" w:space="0" w:color="auto"/>
              <w:right w:val="single" w:sz="4" w:space="0" w:color="auto"/>
            </w:tcBorders>
            <w:vAlign w:val="center"/>
          </w:tcPr>
          <w:p w:rsidR="00467C50" w:rsidRPr="00E2771E" w:rsidRDefault="00467C50" w:rsidP="007314D8">
            <w:pPr>
              <w:keepNext/>
              <w:keepLines/>
              <w:widowControl/>
              <w:jc w:val="center"/>
              <w:rPr>
                <w:rFonts w:ascii="Arial Narrow" w:hAnsi="Arial Narrow"/>
                <w:color w:val="000000"/>
                <w:sz w:val="20"/>
              </w:rPr>
            </w:pPr>
            <w:r>
              <w:rPr>
                <w:rFonts w:ascii="Arial Narrow" w:hAnsi="Arial Narrow"/>
                <w:color w:val="000000"/>
                <w:sz w:val="20"/>
              </w:rPr>
              <w:t>0.11 (0.03, 0.18)</w:t>
            </w:r>
          </w:p>
        </w:tc>
      </w:tr>
    </w:tbl>
    <w:p w:rsidR="00467C50" w:rsidRDefault="00467C50" w:rsidP="007314D8">
      <w:pPr>
        <w:pStyle w:val="TableFooter"/>
        <w:keepNext/>
        <w:keepLines/>
        <w:widowControl/>
        <w:tabs>
          <w:tab w:val="left" w:pos="284"/>
        </w:tabs>
      </w:pPr>
      <w:r>
        <w:rPr>
          <w:vertAlign w:val="superscript"/>
        </w:rPr>
        <w:t>1</w:t>
      </w:r>
      <w:r w:rsidR="0079624F">
        <w:tab/>
      </w:r>
      <w:r>
        <w:t>at 32 weeks</w:t>
      </w:r>
    </w:p>
    <w:p w:rsidR="00467C50" w:rsidRPr="00467C50" w:rsidRDefault="00467C50" w:rsidP="007314D8">
      <w:pPr>
        <w:pStyle w:val="TableFooter"/>
        <w:keepNext/>
        <w:keepLines/>
        <w:widowControl/>
        <w:tabs>
          <w:tab w:val="left" w:pos="284"/>
        </w:tabs>
      </w:pPr>
      <w:r>
        <w:rPr>
          <w:vertAlign w:val="superscript"/>
        </w:rPr>
        <w:t>2</w:t>
      </w:r>
      <w:r w:rsidR="0079624F">
        <w:tab/>
      </w:r>
      <w:r>
        <w:t>at 28 weeks</w:t>
      </w:r>
    </w:p>
    <w:p w:rsidR="00B62715" w:rsidRPr="0072416F" w:rsidRDefault="00B24DF6" w:rsidP="007314D8">
      <w:pPr>
        <w:pStyle w:val="TableFooter"/>
        <w:keepNext/>
        <w:keepLines/>
        <w:widowControl/>
      </w:pPr>
      <w:r>
        <w:t xml:space="preserve">HR = hazard ratio; </w:t>
      </w:r>
      <w:r w:rsidR="00B62715" w:rsidRPr="0072416F">
        <w:t>PBO = placebo; RD = risk difference; RR = risk ratio</w:t>
      </w:r>
    </w:p>
    <w:p w:rsidR="00467C50" w:rsidRPr="006D7CB1" w:rsidRDefault="007F4A61" w:rsidP="007314D8">
      <w:pPr>
        <w:keepNext/>
        <w:keepLines/>
        <w:widowControl/>
        <w:rPr>
          <w:rFonts w:ascii="Arial Narrow" w:hAnsi="Arial Narrow"/>
          <w:sz w:val="18"/>
          <w:szCs w:val="20"/>
        </w:rPr>
      </w:pPr>
      <w:r w:rsidRPr="00467C50">
        <w:rPr>
          <w:rFonts w:ascii="Arial Narrow" w:hAnsi="Arial Narrow"/>
          <w:sz w:val="18"/>
          <w:szCs w:val="20"/>
        </w:rPr>
        <w:t>Source</w:t>
      </w:r>
      <w:r w:rsidR="00467C50">
        <w:rPr>
          <w:rFonts w:ascii="Arial Narrow" w:hAnsi="Arial Narrow"/>
          <w:sz w:val="18"/>
          <w:szCs w:val="20"/>
        </w:rPr>
        <w:t>:</w:t>
      </w:r>
      <w:r w:rsidR="00467C50" w:rsidRPr="00467C50">
        <w:rPr>
          <w:rFonts w:ascii="Arial Narrow" w:hAnsi="Arial Narrow"/>
          <w:sz w:val="18"/>
          <w:szCs w:val="20"/>
        </w:rPr>
        <w:t xml:space="preserve"> </w:t>
      </w:r>
      <w:r w:rsidR="00467C50" w:rsidRPr="006D7CB1">
        <w:rPr>
          <w:rFonts w:ascii="Arial Narrow" w:hAnsi="Arial Narrow"/>
          <w:sz w:val="18"/>
          <w:szCs w:val="20"/>
        </w:rPr>
        <w:t xml:space="preserve">Table 2.3-54, p 173 and table 2.3-58, p 178 of the submission </w:t>
      </w:r>
    </w:p>
    <w:p w:rsidR="00B62715" w:rsidRDefault="00B62715" w:rsidP="00467C50">
      <w:pPr>
        <w:pStyle w:val="TableFooter"/>
      </w:pPr>
    </w:p>
    <w:p w:rsidR="00CE1DBE" w:rsidRDefault="003909F2" w:rsidP="002F64B8">
      <w:pPr>
        <w:pStyle w:val="ListParagraph"/>
        <w:widowControl/>
        <w:numPr>
          <w:ilvl w:val="1"/>
          <w:numId w:val="2"/>
        </w:numPr>
        <w:spacing w:after="120"/>
      </w:pPr>
      <w:r>
        <w:t>O</w:t>
      </w:r>
      <w:r w:rsidR="00CE1DBE">
        <w:t>n the basis of direct</w:t>
      </w:r>
      <w:r w:rsidR="00CE1DBE" w:rsidRPr="00CF6EE4">
        <w:t xml:space="preserve"> evidence presented by the submission</w:t>
      </w:r>
      <w:r w:rsidR="008F3732">
        <w:t xml:space="preserve"> in the RESPONSE and REPOSNE-2 trials</w:t>
      </w:r>
      <w:r w:rsidR="00CE1DBE" w:rsidRPr="00CF6EE4">
        <w:t xml:space="preserve">, for every 100 patients treated with </w:t>
      </w:r>
      <w:r w:rsidR="00CE1DBE">
        <w:t>ruxolitinib</w:t>
      </w:r>
      <w:r w:rsidR="00CE1DBE" w:rsidRPr="00CF6EE4">
        <w:t xml:space="preserve"> in comparison to </w:t>
      </w:r>
      <w:r w:rsidR="00CE1DBE">
        <w:t>BAT and over 28-32 weeks:</w:t>
      </w:r>
    </w:p>
    <w:p w:rsidR="005C750E" w:rsidRPr="00B50DB8" w:rsidRDefault="005C750E" w:rsidP="005C750E">
      <w:pPr>
        <w:pStyle w:val="ListParagraph"/>
        <w:widowControl/>
        <w:spacing w:after="120"/>
      </w:pPr>
    </w:p>
    <w:p w:rsidR="00CE1DBE" w:rsidRPr="00CF6EE4" w:rsidRDefault="00CE1DBE" w:rsidP="002F64B8">
      <w:pPr>
        <w:pStyle w:val="ListParagraph"/>
        <w:widowControl/>
        <w:numPr>
          <w:ilvl w:val="0"/>
          <w:numId w:val="1"/>
        </w:numPr>
        <w:spacing w:after="120"/>
        <w:ind w:left="993" w:hanging="284"/>
      </w:pPr>
      <w:r w:rsidRPr="00CF6EE4">
        <w:t xml:space="preserve">Approximately </w:t>
      </w:r>
      <w:r>
        <w:t>15-</w:t>
      </w:r>
      <w:r w:rsidRPr="00CF6EE4">
        <w:t xml:space="preserve">16 additional patients would have </w:t>
      </w:r>
      <w:r>
        <w:t>anaemia (all grades).</w:t>
      </w:r>
    </w:p>
    <w:p w:rsidR="00CE1DBE" w:rsidRDefault="00CE1DBE" w:rsidP="002F64B8">
      <w:pPr>
        <w:pStyle w:val="ListParagraph"/>
        <w:widowControl/>
        <w:numPr>
          <w:ilvl w:val="0"/>
          <w:numId w:val="1"/>
        </w:numPr>
        <w:spacing w:after="120"/>
        <w:ind w:left="993" w:hanging="284"/>
      </w:pPr>
      <w:r w:rsidRPr="00CF6EE4">
        <w:lastRenderedPageBreak/>
        <w:t xml:space="preserve">Approximately </w:t>
      </w:r>
      <w:r>
        <w:t>6 additional</w:t>
      </w:r>
      <w:r w:rsidRPr="00CF6EE4">
        <w:t xml:space="preserve"> patients woul</w:t>
      </w:r>
      <w:r>
        <w:t>d have dizziness (all grades).</w:t>
      </w:r>
    </w:p>
    <w:p w:rsidR="00CE1DBE" w:rsidRPr="00CF6EE4" w:rsidRDefault="00CE1DBE" w:rsidP="002F64B8">
      <w:pPr>
        <w:pStyle w:val="ListParagraph"/>
        <w:widowControl/>
        <w:numPr>
          <w:ilvl w:val="0"/>
          <w:numId w:val="1"/>
        </w:numPr>
        <w:spacing w:after="120"/>
        <w:ind w:left="993" w:hanging="284"/>
      </w:pPr>
      <w:r w:rsidRPr="00CF6EE4">
        <w:t xml:space="preserve">Approximately </w:t>
      </w:r>
      <w:r>
        <w:t>6 additional</w:t>
      </w:r>
      <w:r w:rsidRPr="00CF6EE4">
        <w:t xml:space="preserve"> patients woul</w:t>
      </w:r>
      <w:r>
        <w:t>d have headache (all grades).</w:t>
      </w:r>
    </w:p>
    <w:p w:rsidR="0023209F" w:rsidRDefault="00CE1DBE" w:rsidP="002F64B8">
      <w:pPr>
        <w:pStyle w:val="ListParagraph"/>
        <w:widowControl/>
        <w:numPr>
          <w:ilvl w:val="0"/>
          <w:numId w:val="1"/>
        </w:numPr>
        <w:spacing w:after="120"/>
        <w:ind w:left="993" w:hanging="284"/>
        <w:rPr>
          <w:rStyle w:val="CommentReference"/>
        </w:rPr>
      </w:pPr>
      <w:r>
        <w:t>Approximately 11</w:t>
      </w:r>
      <w:r w:rsidRPr="00CF6EE4">
        <w:t xml:space="preserve"> additional </w:t>
      </w:r>
      <w:r>
        <w:t>patients would have experienced weight increases.</w:t>
      </w:r>
    </w:p>
    <w:p w:rsidR="00B60939" w:rsidRPr="00C9624D" w:rsidRDefault="00B60939" w:rsidP="002F64B8">
      <w:pPr>
        <w:pStyle w:val="Heading2"/>
        <w:spacing w:after="120"/>
      </w:pPr>
      <w:bookmarkStart w:id="21" w:name="_Toc19700362"/>
      <w:r w:rsidRPr="00C9624D">
        <w:t>Clinical claim</w:t>
      </w:r>
      <w:bookmarkEnd w:id="21"/>
    </w:p>
    <w:p w:rsidR="00417FE5" w:rsidRPr="002B3792" w:rsidRDefault="00417FE5" w:rsidP="002F64B8">
      <w:pPr>
        <w:pStyle w:val="ListParagraph"/>
        <w:widowControl/>
        <w:numPr>
          <w:ilvl w:val="1"/>
          <w:numId w:val="2"/>
        </w:numPr>
        <w:spacing w:after="120"/>
      </w:pPr>
      <w:r w:rsidRPr="002B3792">
        <w:t>The submission described ruxolitinib as superior in terms of effectiveness in terms of time to response (TTR) and duration of response (</w:t>
      </w:r>
      <w:proofErr w:type="spellStart"/>
      <w:r w:rsidRPr="002B3792">
        <w:t>DoR</w:t>
      </w:r>
      <w:proofErr w:type="spellEnd"/>
      <w:r w:rsidRPr="002B3792">
        <w:t xml:space="preserve">) compared with BAT and non-inferior in terms of safety compared to BAT.  </w:t>
      </w:r>
    </w:p>
    <w:p w:rsidR="00417FE5" w:rsidRPr="002B3792" w:rsidRDefault="00417FE5" w:rsidP="002F64B8">
      <w:pPr>
        <w:pStyle w:val="ListParagraph"/>
        <w:widowControl/>
        <w:numPr>
          <w:ilvl w:val="1"/>
          <w:numId w:val="2"/>
        </w:numPr>
        <w:spacing w:after="120"/>
      </w:pPr>
      <w:r w:rsidRPr="002B3792">
        <w:t xml:space="preserve">The </w:t>
      </w:r>
      <w:r w:rsidR="001D5F0D" w:rsidRPr="002B3792">
        <w:t>evaluation</w:t>
      </w:r>
      <w:r w:rsidR="00E533D7" w:rsidRPr="002B3792">
        <w:t xml:space="preserve"> considered the </w:t>
      </w:r>
      <w:r w:rsidRPr="002B3792">
        <w:t>therapeutic conclusion presented in the submission was partially supported by the evidence presented in Section 2 of the submission as:</w:t>
      </w:r>
    </w:p>
    <w:p w:rsidR="0053403F" w:rsidRPr="002B3792" w:rsidRDefault="00417FE5" w:rsidP="002F64B8">
      <w:pPr>
        <w:pStyle w:val="ListParagraph"/>
        <w:numPr>
          <w:ilvl w:val="2"/>
          <w:numId w:val="2"/>
        </w:numPr>
        <w:spacing w:after="120"/>
        <w:ind w:left="1134" w:hanging="425"/>
      </w:pPr>
      <w:r w:rsidRPr="002B3792">
        <w:t xml:space="preserve">While the included trials (MAJIC, RESPONSE and RESPONSE-2) may not have been powered to detect differences in TTR and </w:t>
      </w:r>
      <w:proofErr w:type="spellStart"/>
      <w:r w:rsidRPr="002B3792">
        <w:t>DoR</w:t>
      </w:r>
      <w:proofErr w:type="spellEnd"/>
      <w:r w:rsidRPr="002B3792">
        <w:t xml:space="preserve">, there was a consistent difference in the time to response favouring quicker TTR in patients treated with ruxolitinib compared to patients treated with BAT and longer </w:t>
      </w:r>
      <w:proofErr w:type="spellStart"/>
      <w:r w:rsidRPr="002B3792">
        <w:t>DoR</w:t>
      </w:r>
      <w:proofErr w:type="spellEnd"/>
      <w:r w:rsidRPr="002B3792">
        <w:t xml:space="preserve"> across all the included trials;</w:t>
      </w:r>
      <w:r w:rsidR="0053403F" w:rsidRPr="002B3792">
        <w:t xml:space="preserve"> and</w:t>
      </w:r>
    </w:p>
    <w:p w:rsidR="00417FE5" w:rsidRPr="002B3792" w:rsidRDefault="0053403F" w:rsidP="002F64B8">
      <w:pPr>
        <w:pStyle w:val="ListParagraph"/>
        <w:numPr>
          <w:ilvl w:val="2"/>
          <w:numId w:val="2"/>
        </w:numPr>
        <w:spacing w:after="120"/>
        <w:ind w:left="1134" w:hanging="425"/>
      </w:pPr>
      <w:r w:rsidRPr="002B3792">
        <w:t xml:space="preserve">It is likely that patients treated with ruxolitinib will experience better symptom improvement and </w:t>
      </w:r>
      <w:proofErr w:type="spellStart"/>
      <w:r w:rsidRPr="002B3792">
        <w:t>HRQoL</w:t>
      </w:r>
      <w:proofErr w:type="spellEnd"/>
      <w:r w:rsidRPr="002B3792">
        <w:t>, though this is not captured in the proposed response</w:t>
      </w:r>
      <w:r w:rsidR="00CE1DBE" w:rsidRPr="002B3792">
        <w:t xml:space="preserve"> criteria</w:t>
      </w:r>
      <w:r w:rsidRPr="002B3792">
        <w:t xml:space="preserve">; </w:t>
      </w:r>
      <w:r w:rsidR="00E618D6" w:rsidRPr="002B3792">
        <w:t>however</w:t>
      </w:r>
    </w:p>
    <w:p w:rsidR="004B69AD" w:rsidRPr="002B3792" w:rsidRDefault="00417FE5" w:rsidP="002F64B8">
      <w:pPr>
        <w:pStyle w:val="ListParagraph"/>
        <w:numPr>
          <w:ilvl w:val="2"/>
          <w:numId w:val="2"/>
        </w:numPr>
        <w:spacing w:after="120"/>
        <w:ind w:left="1134" w:hanging="425"/>
      </w:pPr>
      <w:r w:rsidRPr="002B3792">
        <w:t>There were statistically significantly more events of anaemia and weight gain in patients treated with ruxolitinib than in patients treated with BAT in RESPONSE-2.  The exposure adjusted rates of anaemia, dyspnoea, weight gain, herpes zoster and hypertension were higher in patients treated with ruxolitinib compared to patients treated with BAT in RESPONSE, though the inverse was true for headache, fatigue, thrombocytopenia and dizziness.  Therefore, rather than claiming non-inferiority on safety, it may be more appropriate to describe ruxolitinib as having a different safety profile to BAT.</w:t>
      </w:r>
    </w:p>
    <w:p w:rsidR="005C750E" w:rsidRPr="002B3792" w:rsidRDefault="00417FE5" w:rsidP="007315C8">
      <w:pPr>
        <w:pStyle w:val="ListParagraph"/>
        <w:widowControl/>
        <w:numPr>
          <w:ilvl w:val="1"/>
          <w:numId w:val="2"/>
        </w:numPr>
        <w:spacing w:after="120"/>
      </w:pPr>
      <w:r w:rsidRPr="002B3792">
        <w:t xml:space="preserve">However, the association between the proposed surrogate outcome (response based on HCT, platelet and WBC count and splenomegaly) and the relevant clinical outcomes for patients with PV (thrombosis, haemorrhage, transformation to </w:t>
      </w:r>
      <w:r w:rsidR="00D22CE6" w:rsidRPr="002B3792">
        <w:t>MF</w:t>
      </w:r>
      <w:r w:rsidRPr="002B3792">
        <w:t xml:space="preserve"> or </w:t>
      </w:r>
      <w:r w:rsidR="00D22CE6" w:rsidRPr="002B3792">
        <w:t>AML, and OS</w:t>
      </w:r>
      <w:r w:rsidRPr="002B3792">
        <w:t>) may not be supported.  While there is biological plausibility in associating the surrogate outcomes with clinical outcomes, the association does not appear to be sup</w:t>
      </w:r>
      <w:r w:rsidR="00D22CE6" w:rsidRPr="002B3792">
        <w:t xml:space="preserve">ported by available evidence.  </w:t>
      </w:r>
      <w:r w:rsidRPr="002B3792">
        <w:t xml:space="preserve">Therefore, it is possible that achieving the proposed response </w:t>
      </w:r>
      <w:r w:rsidR="00CE1DBE" w:rsidRPr="002B3792">
        <w:t xml:space="preserve">criteria </w:t>
      </w:r>
      <w:r w:rsidRPr="002B3792">
        <w:t xml:space="preserve">may not lead to improvement in the relevant clinical outcomes in patients with PV.  </w:t>
      </w:r>
    </w:p>
    <w:p w:rsidR="001D5F0D" w:rsidRPr="002B3792" w:rsidRDefault="004F6982" w:rsidP="002F64B8">
      <w:pPr>
        <w:pStyle w:val="ListParagraph"/>
        <w:numPr>
          <w:ilvl w:val="1"/>
          <w:numId w:val="2"/>
        </w:numPr>
        <w:spacing w:after="120"/>
      </w:pPr>
      <w:r w:rsidRPr="002B3792">
        <w:t xml:space="preserve">The ESC considered </w:t>
      </w:r>
      <w:r w:rsidR="001D5F0D" w:rsidRPr="002B3792">
        <w:t xml:space="preserve">that overall </w:t>
      </w:r>
      <w:r w:rsidRPr="002B3792">
        <w:t>the superiority claim was not adequately supported</w:t>
      </w:r>
      <w:r w:rsidR="001D5F0D" w:rsidRPr="002B3792">
        <w:t>.</w:t>
      </w:r>
      <w:r w:rsidRPr="002B3792">
        <w:t xml:space="preserve"> </w:t>
      </w:r>
      <w:r w:rsidR="001D5F0D" w:rsidRPr="002B3792">
        <w:t>T</w:t>
      </w:r>
      <w:r w:rsidRPr="002B3792">
        <w:t xml:space="preserve">he pivotal trial evidence (MAJIC) was highly biased, the supporting RESPONSE and RESPONSE 2 trials relied on post-hoc analyses, </w:t>
      </w:r>
      <w:r w:rsidR="001D5F0D" w:rsidRPr="002B3792">
        <w:t>there</w:t>
      </w:r>
      <w:r w:rsidRPr="002B3792">
        <w:t xml:space="preserve"> </w:t>
      </w:r>
      <w:r w:rsidR="001D5F0D" w:rsidRPr="002B3792">
        <w:t xml:space="preserve">were no statistically significant differences overall in the proportion of partial or complete responders at 12 months and more partial responders in the BAT treatment arm at 12 months. </w:t>
      </w:r>
    </w:p>
    <w:p w:rsidR="004F6982" w:rsidRPr="002B3792" w:rsidRDefault="004F6982" w:rsidP="002F64B8">
      <w:pPr>
        <w:pStyle w:val="ListParagraph"/>
        <w:widowControl/>
        <w:numPr>
          <w:ilvl w:val="1"/>
          <w:numId w:val="2"/>
        </w:numPr>
        <w:spacing w:after="120"/>
      </w:pPr>
      <w:r w:rsidRPr="002B3792">
        <w:lastRenderedPageBreak/>
        <w:t xml:space="preserve">The ESC noted that while there was some evidence of improvement in disease related symptoms, the magnitude of improvement was not reported and it was unclear what the MCID for these outcomes would be.  </w:t>
      </w:r>
    </w:p>
    <w:p w:rsidR="00C92494" w:rsidRPr="00BF4441" w:rsidRDefault="004F6982" w:rsidP="002F64B8">
      <w:pPr>
        <w:pStyle w:val="ListParagraph"/>
        <w:widowControl/>
        <w:numPr>
          <w:ilvl w:val="1"/>
          <w:numId w:val="2"/>
        </w:numPr>
        <w:spacing w:after="120"/>
      </w:pPr>
      <w:r w:rsidRPr="002B3792">
        <w:t>The</w:t>
      </w:r>
      <w:r w:rsidR="00E200AF">
        <w:t xml:space="preserve"> PBAC agreed with the</w:t>
      </w:r>
      <w:r w:rsidRPr="002B3792">
        <w:t xml:space="preserve"> ESC</w:t>
      </w:r>
      <w:r w:rsidR="00E200AF">
        <w:t xml:space="preserve"> and</w:t>
      </w:r>
      <w:r w:rsidRPr="002B3792">
        <w:t xml:space="preserve"> considered that the clinical importance of the difference in safety profiles between ruxolitinib and BAT was unclear given the lack of long-term safety data.</w:t>
      </w:r>
      <w:r w:rsidR="00C92494">
        <w:t xml:space="preserve"> The PBAC considered the non-inferior safety claim was not adequately supported.</w:t>
      </w:r>
    </w:p>
    <w:p w:rsidR="00E200AF" w:rsidRDefault="00E200AF" w:rsidP="002F64B8">
      <w:pPr>
        <w:pStyle w:val="ListParagraph"/>
        <w:widowControl/>
        <w:numPr>
          <w:ilvl w:val="1"/>
          <w:numId w:val="2"/>
        </w:numPr>
        <w:spacing w:after="120"/>
      </w:pPr>
      <w:r>
        <w:t>The</w:t>
      </w:r>
      <w:r w:rsidR="001837CB" w:rsidRPr="00E200AF">
        <w:t xml:space="preserve"> </w:t>
      </w:r>
      <w:r>
        <w:t xml:space="preserve">PBAC considered that the claim of superior comparative effectiveness was not adequately supported by the data. </w:t>
      </w:r>
    </w:p>
    <w:p w:rsidR="00B60939" w:rsidRPr="00C9624D" w:rsidRDefault="00B60939" w:rsidP="002F64B8">
      <w:pPr>
        <w:pStyle w:val="Heading2"/>
        <w:spacing w:after="120"/>
      </w:pPr>
      <w:bookmarkStart w:id="22" w:name="_Toc19700363"/>
      <w:r w:rsidRPr="00C9624D">
        <w:t>Economic analysis</w:t>
      </w:r>
      <w:bookmarkEnd w:id="22"/>
      <w:r w:rsidR="00491B3A" w:rsidRPr="00C9624D">
        <w:t xml:space="preserve"> </w:t>
      </w:r>
    </w:p>
    <w:p w:rsidR="005405AC" w:rsidRPr="002B3792" w:rsidRDefault="006D07F8" w:rsidP="002F64B8">
      <w:pPr>
        <w:pStyle w:val="ListParagraph"/>
        <w:numPr>
          <w:ilvl w:val="1"/>
          <w:numId w:val="2"/>
        </w:numPr>
        <w:spacing w:after="120"/>
      </w:pPr>
      <w:r w:rsidRPr="002B3792">
        <w:t xml:space="preserve">The ESC considered it was </w:t>
      </w:r>
      <w:r w:rsidR="005405AC" w:rsidRPr="002B3792">
        <w:t>uncertain whether the ‘responder’ and ‘non-responder’ health states included in the model accurately capture the clinical and patient-reported outcomes of interest from treatment with ruxolitinib and BAT, given there was no difference in quality of life (</w:t>
      </w:r>
      <w:proofErr w:type="spellStart"/>
      <w:r w:rsidR="005405AC" w:rsidRPr="002B3792">
        <w:t>QoL</w:t>
      </w:r>
      <w:proofErr w:type="spellEnd"/>
      <w:r w:rsidR="005405AC" w:rsidRPr="002B3792">
        <w:t xml:space="preserve">) between these groups and no evidence of OS gains. This places uncertainty over the entire model structure, assumptions and thus results. </w:t>
      </w:r>
      <w:r w:rsidR="002F131E" w:rsidRPr="002B3792">
        <w:t xml:space="preserve">Overall, the economic model does not form a reliable basis for decision making. </w:t>
      </w:r>
    </w:p>
    <w:p w:rsidR="00CD7709" w:rsidRPr="002B3792" w:rsidRDefault="00CD7709" w:rsidP="002F64B8">
      <w:pPr>
        <w:pStyle w:val="ListParagraph"/>
        <w:numPr>
          <w:ilvl w:val="1"/>
          <w:numId w:val="2"/>
        </w:numPr>
        <w:spacing w:after="120"/>
      </w:pPr>
      <w:r w:rsidRPr="002B3792">
        <w:t xml:space="preserve">The ESC considered it was unclear which outcomes in PV treatment are most patient-relevant and whether quality of life differences could be captured with this condition. The clinical benefit may be associated with overall survival, for which there is no evidence of significant improvement with ruxolitinib. </w:t>
      </w:r>
    </w:p>
    <w:p w:rsidR="00A55C0A" w:rsidRPr="002B3792" w:rsidRDefault="00A55C0A" w:rsidP="002F64B8">
      <w:pPr>
        <w:pStyle w:val="ListParagraph"/>
        <w:widowControl/>
        <w:numPr>
          <w:ilvl w:val="1"/>
          <w:numId w:val="2"/>
        </w:numPr>
        <w:spacing w:after="120"/>
      </w:pPr>
      <w:r w:rsidRPr="002B3792">
        <w:t xml:space="preserve">A stepped economic evaluation based on direct randomised trials (MAJIC, RESPONSE and RESPONSE-2) and implementing a modelled evaluation was presented.  A summary of the model structure is presented in </w:t>
      </w:r>
      <w:r w:rsidR="007233BE" w:rsidRPr="002B3792">
        <w:t xml:space="preserve">Table </w:t>
      </w:r>
      <w:r w:rsidR="007233BE" w:rsidRPr="002B3792">
        <w:rPr>
          <w:noProof/>
        </w:rPr>
        <w:t>9</w:t>
      </w:r>
      <w:r w:rsidRPr="002B3792">
        <w:t>.</w:t>
      </w:r>
    </w:p>
    <w:p w:rsidR="00275C5A" w:rsidRDefault="007233BE" w:rsidP="007233BE">
      <w:pPr>
        <w:pStyle w:val="Caption"/>
        <w:keepNext/>
        <w:rPr>
          <w:rStyle w:val="CommentReference"/>
        </w:rPr>
      </w:pPr>
      <w:bookmarkStart w:id="23" w:name="_Ref17148521"/>
      <w:r>
        <w:t xml:space="preserve">Table </w:t>
      </w:r>
      <w:r w:rsidR="00CF6741">
        <w:rPr>
          <w:noProof/>
        </w:rPr>
        <w:t>9</w:t>
      </w:r>
      <w:bookmarkEnd w:id="23"/>
      <w:r w:rsidR="00275C5A" w:rsidRPr="007233BE">
        <w:rPr>
          <w:rStyle w:val="CommentReference"/>
          <w:b/>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9: Summary of model structure and rationale"/>
      </w:tblPr>
      <w:tblGrid>
        <w:gridCol w:w="1961"/>
        <w:gridCol w:w="3253"/>
        <w:gridCol w:w="3803"/>
      </w:tblGrid>
      <w:tr w:rsidR="00A55C0A" w:rsidRPr="00E05630" w:rsidTr="00B15FAF">
        <w:trPr>
          <w:cantSplit/>
          <w:tblHeader/>
        </w:trPr>
        <w:tc>
          <w:tcPr>
            <w:tcW w:w="1087" w:type="pct"/>
            <w:vAlign w:val="center"/>
          </w:tcPr>
          <w:p w:rsidR="00A55C0A" w:rsidRPr="00E05630" w:rsidRDefault="00A55C0A" w:rsidP="00343405">
            <w:pPr>
              <w:pStyle w:val="Tabletext"/>
              <w:rPr>
                <w:b/>
              </w:rPr>
            </w:pPr>
            <w:r w:rsidRPr="00E05630">
              <w:rPr>
                <w:b/>
              </w:rPr>
              <w:t>Component</w:t>
            </w:r>
          </w:p>
        </w:tc>
        <w:tc>
          <w:tcPr>
            <w:tcW w:w="1804" w:type="pct"/>
          </w:tcPr>
          <w:p w:rsidR="00A55C0A" w:rsidRPr="00E05630" w:rsidRDefault="00A55C0A" w:rsidP="00343405">
            <w:pPr>
              <w:pStyle w:val="Tabletext"/>
              <w:jc w:val="center"/>
              <w:rPr>
                <w:b/>
              </w:rPr>
            </w:pPr>
            <w:r w:rsidRPr="00E05630">
              <w:rPr>
                <w:b/>
              </w:rPr>
              <w:t>Description</w:t>
            </w:r>
          </w:p>
        </w:tc>
        <w:tc>
          <w:tcPr>
            <w:tcW w:w="2109" w:type="pct"/>
            <w:vAlign w:val="center"/>
          </w:tcPr>
          <w:p w:rsidR="00A55C0A" w:rsidRPr="00E05630" w:rsidRDefault="00A55C0A" w:rsidP="00343405">
            <w:pPr>
              <w:pStyle w:val="Tabletext"/>
              <w:jc w:val="center"/>
              <w:rPr>
                <w:b/>
              </w:rPr>
            </w:pPr>
            <w:r w:rsidRPr="00E05630">
              <w:rPr>
                <w:b/>
              </w:rPr>
              <w:t>Justification/comments</w:t>
            </w:r>
          </w:p>
        </w:tc>
      </w:tr>
      <w:tr w:rsidR="00A55C0A" w:rsidRPr="004E2ADC" w:rsidTr="00B15FAF">
        <w:trPr>
          <w:cantSplit/>
        </w:trPr>
        <w:tc>
          <w:tcPr>
            <w:tcW w:w="1087" w:type="pct"/>
            <w:vAlign w:val="center"/>
          </w:tcPr>
          <w:p w:rsidR="00A55C0A" w:rsidRPr="004E2ADC" w:rsidRDefault="00A55C0A" w:rsidP="00343405">
            <w:pPr>
              <w:pStyle w:val="Tabletext"/>
            </w:pPr>
            <w:r>
              <w:t>Type of analysis</w:t>
            </w:r>
          </w:p>
        </w:tc>
        <w:tc>
          <w:tcPr>
            <w:tcW w:w="1804" w:type="pct"/>
            <w:vAlign w:val="center"/>
          </w:tcPr>
          <w:p w:rsidR="00A55C0A" w:rsidRPr="002A3E18" w:rsidRDefault="00A55C0A" w:rsidP="00343405">
            <w:pPr>
              <w:pStyle w:val="Tabletext"/>
            </w:pPr>
            <w:r w:rsidRPr="002A3E18">
              <w:t>Cost-utility analysis</w:t>
            </w:r>
          </w:p>
        </w:tc>
        <w:tc>
          <w:tcPr>
            <w:tcW w:w="2109" w:type="pct"/>
            <w:vAlign w:val="center"/>
          </w:tcPr>
          <w:p w:rsidR="00A55C0A" w:rsidRPr="00A74F05" w:rsidRDefault="00A55C0A" w:rsidP="00343405">
            <w:pPr>
              <w:pStyle w:val="Tabletext"/>
            </w:pPr>
            <w:r w:rsidRPr="00A74F05">
              <w:t>Trial evidence showed that ruxolitinib was superior to Best Available Therapy (BAT) in Time To Response (TTR) and Duration of Response (</w:t>
            </w:r>
            <w:proofErr w:type="spellStart"/>
            <w:r w:rsidRPr="00A74F05">
              <w:t>DoR</w:t>
            </w:r>
            <w:proofErr w:type="spellEnd"/>
            <w:r w:rsidRPr="00A74F05">
              <w:t xml:space="preserve">).  Reasonable only if surrogate outcome is accepted.  </w:t>
            </w:r>
            <w:r w:rsidR="00202920" w:rsidRPr="00A74F05">
              <w:t>The ESC noted that</w:t>
            </w:r>
            <w:r w:rsidR="00DB540A" w:rsidRPr="00A74F05">
              <w:t xml:space="preserve"> </w:t>
            </w:r>
            <w:r w:rsidR="00202920" w:rsidRPr="00A74F05">
              <w:t>r</w:t>
            </w:r>
            <w:r w:rsidR="005C0225" w:rsidRPr="00A74F05">
              <w:t>esponse was not associated with quality of life</w:t>
            </w:r>
            <w:r w:rsidR="00202920" w:rsidRPr="00A74F05">
              <w:t xml:space="preserve"> (</w:t>
            </w:r>
            <w:proofErr w:type="spellStart"/>
            <w:r w:rsidR="00202920" w:rsidRPr="00A74F05">
              <w:t>QoL</w:t>
            </w:r>
            <w:proofErr w:type="spellEnd"/>
            <w:r w:rsidR="00202920" w:rsidRPr="00A74F05">
              <w:t>)</w:t>
            </w:r>
            <w:r w:rsidR="005C0225" w:rsidRPr="00A74F05">
              <w:t xml:space="preserve"> in the presented trial evidence</w:t>
            </w:r>
            <w:r w:rsidR="00DB540A" w:rsidRPr="00A74F05">
              <w:t xml:space="preserve">, </w:t>
            </w:r>
            <w:r w:rsidR="00202920" w:rsidRPr="00A74F05">
              <w:t>a</w:t>
            </w:r>
            <w:r w:rsidR="005C0225" w:rsidRPr="00A74F05">
              <w:t>nd</w:t>
            </w:r>
            <w:r w:rsidR="00202920" w:rsidRPr="00A74F05">
              <w:t xml:space="preserve"> considered it</w:t>
            </w:r>
            <w:r w:rsidR="005C0225" w:rsidRPr="00A74F05">
              <w:t xml:space="preserve"> may not be in practice either. </w:t>
            </w:r>
            <w:r w:rsidR="00202920" w:rsidRPr="00A74F05">
              <w:t>The ESC noted that there was n</w:t>
            </w:r>
            <w:r w:rsidR="005C0225" w:rsidRPr="00A74F05">
              <w:t>o significant difference in OS demonstrated between ruxolitinib and BAT</w:t>
            </w:r>
            <w:r w:rsidR="00C17CB7" w:rsidRPr="00A74F05">
              <w:t xml:space="preserve"> in the MAJIC trial</w:t>
            </w:r>
            <w:r w:rsidR="005C0225" w:rsidRPr="00A74F05">
              <w:t xml:space="preserve">. </w:t>
            </w:r>
            <w:r w:rsidR="00202920" w:rsidRPr="00A74F05">
              <w:t>The ESC therefore considered that, c</w:t>
            </w:r>
            <w:r w:rsidR="005C0225" w:rsidRPr="00A74F05">
              <w:t>urrently, the appropriateness of cost-utility is questionable.</w:t>
            </w:r>
          </w:p>
        </w:tc>
      </w:tr>
      <w:tr w:rsidR="00A55C0A" w:rsidRPr="004E2ADC" w:rsidTr="00B15FAF">
        <w:trPr>
          <w:cantSplit/>
        </w:trPr>
        <w:tc>
          <w:tcPr>
            <w:tcW w:w="1087" w:type="pct"/>
            <w:vAlign w:val="center"/>
          </w:tcPr>
          <w:p w:rsidR="00A55C0A" w:rsidRPr="004E2ADC" w:rsidRDefault="00A55C0A" w:rsidP="00343405">
            <w:pPr>
              <w:pStyle w:val="Tabletext"/>
            </w:pPr>
            <w:r>
              <w:lastRenderedPageBreak/>
              <w:t>Outcomes</w:t>
            </w:r>
          </w:p>
        </w:tc>
        <w:tc>
          <w:tcPr>
            <w:tcW w:w="1804" w:type="pct"/>
            <w:vAlign w:val="center"/>
          </w:tcPr>
          <w:p w:rsidR="00A55C0A" w:rsidRPr="002A3E18" w:rsidRDefault="00A55C0A" w:rsidP="00343405">
            <w:pPr>
              <w:pStyle w:val="Tabletext"/>
            </w:pPr>
            <w:r w:rsidRPr="002A3E18">
              <w:t>Life years (LY) and Quality Adjusted Life Years (QALY)</w:t>
            </w:r>
          </w:p>
        </w:tc>
        <w:tc>
          <w:tcPr>
            <w:tcW w:w="2109" w:type="pct"/>
            <w:vAlign w:val="center"/>
          </w:tcPr>
          <w:p w:rsidR="00A55C0A" w:rsidRPr="00A74F05" w:rsidRDefault="00A55C0A" w:rsidP="0010036A">
            <w:pPr>
              <w:pStyle w:val="Tabletext"/>
            </w:pPr>
            <w:r w:rsidRPr="00A74F05">
              <w:t>Quality of life data reported in RESPONSE and RESPONSE-2 used to inform model</w:t>
            </w:r>
            <w:r w:rsidR="004737E3" w:rsidRPr="00A74F05">
              <w:t>. The ESC noted that</w:t>
            </w:r>
            <w:r w:rsidR="00335FAF" w:rsidRPr="00A74F05">
              <w:t xml:space="preserve"> </w:t>
            </w:r>
            <w:proofErr w:type="spellStart"/>
            <w:r w:rsidR="00335FAF" w:rsidRPr="00A74F05">
              <w:t>QoL</w:t>
            </w:r>
            <w:proofErr w:type="spellEnd"/>
            <w:r w:rsidR="00335FAF" w:rsidRPr="00A74F05">
              <w:t xml:space="preserve"> </w:t>
            </w:r>
            <w:r w:rsidR="005C0225" w:rsidRPr="00A74F05">
              <w:t>data was collected in MAJIC but</w:t>
            </w:r>
            <w:r w:rsidR="004737E3" w:rsidRPr="00A74F05">
              <w:t xml:space="preserve"> it was</w:t>
            </w:r>
            <w:r w:rsidR="005C0225" w:rsidRPr="00A74F05">
              <w:t xml:space="preserve"> not presented</w:t>
            </w:r>
            <w:r w:rsidRPr="00A74F05">
              <w:t xml:space="preserve">.  </w:t>
            </w:r>
            <w:r w:rsidR="004737E3" w:rsidRPr="00A74F05">
              <w:t>The ESC also noted there was n</w:t>
            </w:r>
            <w:r w:rsidR="005C0225" w:rsidRPr="00A74F05">
              <w:t xml:space="preserve">o difference in </w:t>
            </w:r>
            <w:proofErr w:type="spellStart"/>
            <w:r w:rsidR="005C0225" w:rsidRPr="00A74F05">
              <w:t>QoL</w:t>
            </w:r>
            <w:proofErr w:type="spellEnd"/>
            <w:r w:rsidR="005C0225" w:rsidRPr="00A74F05">
              <w:t xml:space="preserve"> between responder and non-responders</w:t>
            </w:r>
            <w:r w:rsidR="009E01F2" w:rsidRPr="00A74F05">
              <w:t xml:space="preserve">, </w:t>
            </w:r>
            <w:r w:rsidR="005C0225" w:rsidRPr="00A74F05">
              <w:t>but</w:t>
            </w:r>
            <w:r w:rsidR="004737E3" w:rsidRPr="00A74F05">
              <w:t xml:space="preserve"> that a</w:t>
            </w:r>
            <w:r w:rsidR="005C0225" w:rsidRPr="00A74F05">
              <w:t xml:space="preserve"> </w:t>
            </w:r>
            <w:proofErr w:type="spellStart"/>
            <w:r w:rsidR="005C0225" w:rsidRPr="00A74F05">
              <w:t>QoL</w:t>
            </w:r>
            <w:proofErr w:type="spellEnd"/>
            <w:r w:rsidR="005C0225" w:rsidRPr="00A74F05">
              <w:t xml:space="preserve"> </w:t>
            </w:r>
            <w:r w:rsidR="0010036A" w:rsidRPr="00A74F05">
              <w:t xml:space="preserve">gain </w:t>
            </w:r>
            <w:r w:rsidR="005C0225" w:rsidRPr="00A74F05">
              <w:t xml:space="preserve">for </w:t>
            </w:r>
            <w:r w:rsidR="004737E3" w:rsidRPr="00A74F05">
              <w:t>r</w:t>
            </w:r>
            <w:r w:rsidR="005C0225" w:rsidRPr="00A74F05">
              <w:t>uxolitinib responders</w:t>
            </w:r>
            <w:r w:rsidR="004737E3" w:rsidRPr="00A74F05">
              <w:t xml:space="preserve"> was</w:t>
            </w:r>
            <w:r w:rsidR="005C0225" w:rsidRPr="00A74F05">
              <w:t xml:space="preserve"> assumed</w:t>
            </w:r>
            <w:r w:rsidR="008A5424" w:rsidRPr="00A74F05">
              <w:t xml:space="preserve"> based on</w:t>
            </w:r>
            <w:r w:rsidR="0010036A" w:rsidRPr="00A74F05">
              <w:t xml:space="preserve"> correlation between </w:t>
            </w:r>
            <w:proofErr w:type="spellStart"/>
            <w:r w:rsidR="0010036A" w:rsidRPr="00A74F05">
              <w:t>QoL</w:t>
            </w:r>
            <w:proofErr w:type="spellEnd"/>
            <w:r w:rsidR="0010036A" w:rsidRPr="00A74F05">
              <w:t xml:space="preserve"> and treatment </w:t>
            </w:r>
            <w:r w:rsidR="005E5ABB" w:rsidRPr="00A74F05">
              <w:t xml:space="preserve">received. </w:t>
            </w:r>
            <w:r w:rsidR="004737E3" w:rsidRPr="00A74F05">
              <w:t xml:space="preserve">The ESC considered </w:t>
            </w:r>
            <w:r w:rsidR="005C0225" w:rsidRPr="00A74F05">
              <w:t xml:space="preserve">this may not have been appropriate. </w:t>
            </w:r>
            <w:r w:rsidR="004737E3" w:rsidRPr="00A74F05">
              <w:t>The ESC also considered i</w:t>
            </w:r>
            <w:r w:rsidR="005C0225" w:rsidRPr="00A74F05">
              <w:t>t was not</w:t>
            </w:r>
            <w:r w:rsidRPr="00A74F05">
              <w:t xml:space="preserve"> appropriate to model any </w:t>
            </w:r>
            <w:r w:rsidR="007233BE" w:rsidRPr="00A74F05">
              <w:t>OS</w:t>
            </w:r>
            <w:r w:rsidRPr="00A74F05">
              <w:t xml:space="preserve"> differences as there is no evidence that treatment with ruxolitinib or maintaining surrogate response improves survival.</w:t>
            </w:r>
            <w:r w:rsidR="0064337A" w:rsidRPr="00A74F05">
              <w:t xml:space="preserve"> </w:t>
            </w:r>
          </w:p>
        </w:tc>
      </w:tr>
      <w:tr w:rsidR="00A55C0A" w:rsidRPr="004E2ADC" w:rsidTr="00B15FAF">
        <w:trPr>
          <w:cantSplit/>
        </w:trPr>
        <w:tc>
          <w:tcPr>
            <w:tcW w:w="1087" w:type="pct"/>
            <w:vAlign w:val="center"/>
          </w:tcPr>
          <w:p w:rsidR="00A55C0A" w:rsidRPr="004E2ADC" w:rsidRDefault="00A55C0A" w:rsidP="00343405">
            <w:pPr>
              <w:pStyle w:val="Tabletext"/>
            </w:pPr>
            <w:r>
              <w:t>Time horizon</w:t>
            </w:r>
          </w:p>
        </w:tc>
        <w:tc>
          <w:tcPr>
            <w:tcW w:w="1804" w:type="pct"/>
            <w:vAlign w:val="center"/>
          </w:tcPr>
          <w:p w:rsidR="00A55C0A" w:rsidRPr="002A3E18" w:rsidRDefault="00A55C0A" w:rsidP="00343405">
            <w:pPr>
              <w:pStyle w:val="Tabletext"/>
            </w:pPr>
            <w:r w:rsidRPr="002A3E18">
              <w:t>20 years in base case, 5 years in MAJIC trial</w:t>
            </w:r>
          </w:p>
        </w:tc>
        <w:tc>
          <w:tcPr>
            <w:tcW w:w="2109" w:type="pct"/>
            <w:vAlign w:val="center"/>
          </w:tcPr>
          <w:p w:rsidR="00A55C0A" w:rsidRPr="00A74F05" w:rsidRDefault="00DB540A" w:rsidP="00343405">
            <w:pPr>
              <w:pStyle w:val="Tabletext"/>
            </w:pPr>
            <w:r w:rsidRPr="00A74F05">
              <w:t>Published long-</w:t>
            </w:r>
            <w:r w:rsidR="00A55C0A" w:rsidRPr="00A74F05">
              <w:t xml:space="preserve">term survival studies show that long term survival in PV at 20 years is 57%.  Time horizon is longer than Canadian and Irish models (15 years).  Extrapolation of data may be unreliable and </w:t>
            </w:r>
            <w:r w:rsidR="005C0225" w:rsidRPr="00A74F05">
              <w:t xml:space="preserve">was </w:t>
            </w:r>
            <w:r w:rsidR="00A55C0A" w:rsidRPr="00A74F05">
              <w:t>inappropriate</w:t>
            </w:r>
            <w:r w:rsidR="005C0225" w:rsidRPr="00A74F05">
              <w:t xml:space="preserve"> due to non-significant OS results</w:t>
            </w:r>
            <w:r w:rsidR="00A55C0A" w:rsidRPr="00A74F05">
              <w:t xml:space="preserve">. </w:t>
            </w:r>
          </w:p>
        </w:tc>
      </w:tr>
      <w:tr w:rsidR="00A55C0A" w:rsidRPr="004E2ADC" w:rsidTr="00B15FAF">
        <w:trPr>
          <w:cantSplit/>
        </w:trPr>
        <w:tc>
          <w:tcPr>
            <w:tcW w:w="1087" w:type="pct"/>
            <w:vAlign w:val="center"/>
          </w:tcPr>
          <w:p w:rsidR="00A55C0A" w:rsidRPr="004E2ADC" w:rsidRDefault="00A55C0A" w:rsidP="00343405">
            <w:pPr>
              <w:pStyle w:val="Tabletext"/>
            </w:pPr>
            <w:r>
              <w:t>Methods used to generate results</w:t>
            </w:r>
          </w:p>
        </w:tc>
        <w:tc>
          <w:tcPr>
            <w:tcW w:w="1804" w:type="pct"/>
            <w:vAlign w:val="center"/>
          </w:tcPr>
          <w:p w:rsidR="00A55C0A" w:rsidRPr="002A3E18" w:rsidRDefault="00A55C0A" w:rsidP="00343405">
            <w:pPr>
              <w:pStyle w:val="Tabletext"/>
            </w:pPr>
            <w:r w:rsidRPr="002A3E18">
              <w:t>Markov model</w:t>
            </w:r>
          </w:p>
        </w:tc>
        <w:tc>
          <w:tcPr>
            <w:tcW w:w="2109" w:type="pct"/>
            <w:vAlign w:val="center"/>
          </w:tcPr>
          <w:p w:rsidR="00A55C0A" w:rsidRPr="00A74F05" w:rsidRDefault="00A55C0A" w:rsidP="00343405">
            <w:pPr>
              <w:pStyle w:val="Tabletext"/>
            </w:pPr>
            <w:r w:rsidRPr="00A74F05">
              <w:t>Reasonable</w:t>
            </w:r>
          </w:p>
        </w:tc>
      </w:tr>
      <w:tr w:rsidR="00A55C0A" w:rsidRPr="004E2ADC" w:rsidTr="00B15FAF">
        <w:trPr>
          <w:cantSplit/>
        </w:trPr>
        <w:tc>
          <w:tcPr>
            <w:tcW w:w="1087" w:type="pct"/>
            <w:vAlign w:val="center"/>
          </w:tcPr>
          <w:p w:rsidR="00A55C0A" w:rsidRPr="004E2ADC" w:rsidRDefault="00A55C0A" w:rsidP="00343405">
            <w:pPr>
              <w:pStyle w:val="Tabletext"/>
            </w:pPr>
            <w:r>
              <w:t>Health states</w:t>
            </w:r>
          </w:p>
        </w:tc>
        <w:tc>
          <w:tcPr>
            <w:tcW w:w="1804" w:type="pct"/>
            <w:vAlign w:val="center"/>
          </w:tcPr>
          <w:p w:rsidR="00A55C0A" w:rsidRPr="002A3E18" w:rsidRDefault="00A55C0A" w:rsidP="00343405">
            <w:pPr>
              <w:pStyle w:val="Tabletext"/>
            </w:pPr>
            <w:r w:rsidRPr="002A3E18">
              <w:t>Non-responder (initial), responder, second time non-responder and death</w:t>
            </w:r>
          </w:p>
        </w:tc>
        <w:tc>
          <w:tcPr>
            <w:tcW w:w="2109" w:type="pct"/>
            <w:vAlign w:val="center"/>
          </w:tcPr>
          <w:p w:rsidR="00A55C0A" w:rsidRPr="00A74F05" w:rsidRDefault="004737E3" w:rsidP="00F13C06">
            <w:pPr>
              <w:pStyle w:val="Tabletext"/>
            </w:pPr>
            <w:r w:rsidRPr="00A74F05">
              <w:t xml:space="preserve">The ESC </w:t>
            </w:r>
            <w:r w:rsidR="00F13C06" w:rsidRPr="00A74F05">
              <w:t xml:space="preserve">considered the </w:t>
            </w:r>
            <w:r w:rsidR="005C0225" w:rsidRPr="00A74F05">
              <w:t>relationship between responder states and clinical and patient outcomes</w:t>
            </w:r>
            <w:r w:rsidR="00F13C06" w:rsidRPr="00A74F05">
              <w:t xml:space="preserve"> was </w:t>
            </w:r>
            <w:r w:rsidR="00773A6F" w:rsidRPr="00A74F05">
              <w:t>uncertain</w:t>
            </w:r>
            <w:r w:rsidR="005C0225" w:rsidRPr="00A74F05">
              <w:t>.</w:t>
            </w:r>
          </w:p>
        </w:tc>
      </w:tr>
      <w:tr w:rsidR="00A55C0A" w:rsidRPr="004E2ADC" w:rsidTr="00B15FAF">
        <w:trPr>
          <w:cantSplit/>
        </w:trPr>
        <w:tc>
          <w:tcPr>
            <w:tcW w:w="1087" w:type="pct"/>
            <w:vAlign w:val="center"/>
          </w:tcPr>
          <w:p w:rsidR="00A55C0A" w:rsidRPr="004E2ADC" w:rsidRDefault="00A55C0A" w:rsidP="00343405">
            <w:pPr>
              <w:pStyle w:val="Tabletext"/>
            </w:pPr>
            <w:r>
              <w:t>Cycle length</w:t>
            </w:r>
          </w:p>
        </w:tc>
        <w:tc>
          <w:tcPr>
            <w:tcW w:w="1804" w:type="pct"/>
            <w:vAlign w:val="center"/>
          </w:tcPr>
          <w:p w:rsidR="00A55C0A" w:rsidRPr="002A3E18" w:rsidRDefault="00A55C0A" w:rsidP="00343405">
            <w:pPr>
              <w:pStyle w:val="Tabletext"/>
            </w:pPr>
            <w:r w:rsidRPr="002A3E18">
              <w:t>28 days</w:t>
            </w:r>
          </w:p>
        </w:tc>
        <w:tc>
          <w:tcPr>
            <w:tcW w:w="2109" w:type="pct"/>
            <w:vAlign w:val="center"/>
          </w:tcPr>
          <w:p w:rsidR="00A55C0A" w:rsidRPr="00A74F05" w:rsidRDefault="00A55C0A" w:rsidP="00343405">
            <w:pPr>
              <w:pStyle w:val="Tabletext"/>
            </w:pPr>
            <w:r w:rsidRPr="00A74F05">
              <w:t xml:space="preserve">Consistent with monthly follow-up in MAJIC, but may be inconsistent </w:t>
            </w:r>
            <w:r w:rsidR="005C750E">
              <w:t>with real world follow-up. The submission assumes</w:t>
            </w:r>
            <w:r w:rsidRPr="00A74F05">
              <w:t xml:space="preserve"> quarterly visits</w:t>
            </w:r>
            <w:r w:rsidR="0087640F">
              <w:t>.</w:t>
            </w:r>
            <w:r w:rsidRPr="00A74F05">
              <w:t xml:space="preserve"> </w:t>
            </w:r>
          </w:p>
        </w:tc>
      </w:tr>
      <w:tr w:rsidR="00A55C0A" w:rsidRPr="004E2ADC" w:rsidTr="00B15FAF">
        <w:trPr>
          <w:cantSplit/>
        </w:trPr>
        <w:tc>
          <w:tcPr>
            <w:tcW w:w="1087" w:type="pct"/>
            <w:vAlign w:val="center"/>
          </w:tcPr>
          <w:p w:rsidR="00A55C0A" w:rsidRPr="004E2ADC" w:rsidRDefault="00A55C0A" w:rsidP="00343405">
            <w:pPr>
              <w:pStyle w:val="Tabletext"/>
            </w:pPr>
            <w:r>
              <w:t>Transition probabilities</w:t>
            </w:r>
          </w:p>
        </w:tc>
        <w:tc>
          <w:tcPr>
            <w:tcW w:w="1804" w:type="pct"/>
            <w:vAlign w:val="center"/>
          </w:tcPr>
          <w:p w:rsidR="00A55C0A" w:rsidRPr="002A3E18" w:rsidRDefault="00A55C0A" w:rsidP="00343405">
            <w:pPr>
              <w:pStyle w:val="Tabletext"/>
            </w:pPr>
            <w:r w:rsidRPr="002A3E18">
              <w:rPr>
                <w:rFonts w:cs="Calibri"/>
                <w:color w:val="000000"/>
                <w:szCs w:val="20"/>
              </w:rPr>
              <w:t xml:space="preserve">The Kaplan-Meier estimates for TTR, </w:t>
            </w:r>
            <w:proofErr w:type="spellStart"/>
            <w:r w:rsidRPr="002A3E18">
              <w:rPr>
                <w:rFonts w:cs="Calibri"/>
                <w:color w:val="000000"/>
                <w:szCs w:val="20"/>
              </w:rPr>
              <w:t>DoR</w:t>
            </w:r>
            <w:proofErr w:type="spellEnd"/>
            <w:r w:rsidRPr="002A3E18">
              <w:rPr>
                <w:rFonts w:cs="Calibri"/>
                <w:color w:val="000000"/>
                <w:szCs w:val="20"/>
              </w:rPr>
              <w:t xml:space="preserve"> and overall survival (OS) are derived directly from the MAJIC trial.  Parametric distributions are fitted to the observed Kaplan-Meier survival estimates to derive time-dependent transition probabilities to enable extrapolation beyond the follow-up of MAJIC to the time horizon of the economic evaluation.  Select adverse events from RESPONSE and RESPONSE-2 were included. </w:t>
            </w:r>
          </w:p>
        </w:tc>
        <w:tc>
          <w:tcPr>
            <w:tcW w:w="2109" w:type="pct"/>
            <w:vAlign w:val="center"/>
          </w:tcPr>
          <w:p w:rsidR="00A55C0A" w:rsidRPr="00A74F05" w:rsidRDefault="00A55C0A" w:rsidP="00343405">
            <w:pPr>
              <w:pStyle w:val="Tabletext"/>
            </w:pPr>
            <w:r w:rsidRPr="00A74F05">
              <w:t xml:space="preserve">There was no statistically significant difference in OS, therefore it was inappropriate to model any differences.  Selection of adverse events were not based on statistically significant differences, so it was also likely inappropriate to include in the model.  </w:t>
            </w:r>
          </w:p>
        </w:tc>
      </w:tr>
      <w:tr w:rsidR="00A55C0A" w:rsidRPr="004E2ADC" w:rsidTr="00B15FAF">
        <w:trPr>
          <w:cantSplit/>
        </w:trPr>
        <w:tc>
          <w:tcPr>
            <w:tcW w:w="1087" w:type="pct"/>
            <w:vAlign w:val="center"/>
          </w:tcPr>
          <w:p w:rsidR="00A55C0A" w:rsidRPr="004E2ADC" w:rsidRDefault="00A55C0A" w:rsidP="00343405">
            <w:pPr>
              <w:pStyle w:val="Tabletext"/>
            </w:pPr>
            <w:r>
              <w:t>Software package</w:t>
            </w:r>
          </w:p>
        </w:tc>
        <w:tc>
          <w:tcPr>
            <w:tcW w:w="1804" w:type="pct"/>
            <w:vAlign w:val="center"/>
          </w:tcPr>
          <w:p w:rsidR="00A55C0A" w:rsidRPr="002A3E18" w:rsidRDefault="00A55C0A" w:rsidP="00343405">
            <w:pPr>
              <w:pStyle w:val="Tabletext"/>
            </w:pPr>
            <w:r w:rsidRPr="002A3E18">
              <w:t>Microsoft Excel</w:t>
            </w:r>
          </w:p>
        </w:tc>
        <w:tc>
          <w:tcPr>
            <w:tcW w:w="2109" w:type="pct"/>
            <w:vAlign w:val="center"/>
          </w:tcPr>
          <w:p w:rsidR="00A55C0A" w:rsidRPr="002A3E18" w:rsidRDefault="00A55C0A" w:rsidP="00343405">
            <w:pPr>
              <w:pStyle w:val="Tabletext"/>
            </w:pPr>
            <w:r w:rsidRPr="002A3E18">
              <w:t>Appropriate</w:t>
            </w:r>
          </w:p>
        </w:tc>
      </w:tr>
    </w:tbl>
    <w:p w:rsidR="003270E4" w:rsidRPr="0072416F" w:rsidRDefault="00A55C0A" w:rsidP="003270E4">
      <w:pPr>
        <w:pStyle w:val="TableFooter"/>
      </w:pPr>
      <w:r>
        <w:t>Source: Table 3.1-1, p205 of the Submission</w:t>
      </w:r>
    </w:p>
    <w:p w:rsidR="002A3E18" w:rsidRDefault="009E01F2" w:rsidP="00417E69">
      <w:pPr>
        <w:pStyle w:val="ListParagraph"/>
        <w:widowControl/>
        <w:numPr>
          <w:ilvl w:val="1"/>
          <w:numId w:val="2"/>
        </w:numPr>
        <w:spacing w:after="120"/>
      </w:pPr>
      <w:r>
        <w:t xml:space="preserve">The </w:t>
      </w:r>
      <w:r w:rsidR="00A55C0A">
        <w:t>submission presented a Markov model with four health states: non-responder (initial), responder, second time non-responder and death</w:t>
      </w:r>
      <w:r w:rsidR="00A10507">
        <w:t xml:space="preserve"> (</w:t>
      </w:r>
      <w:r w:rsidR="007233BE">
        <w:t xml:space="preserve">Figure </w:t>
      </w:r>
      <w:r w:rsidR="007233BE" w:rsidRPr="007233BE">
        <w:rPr>
          <w:noProof/>
        </w:rPr>
        <w:t>5</w:t>
      </w:r>
      <w:r w:rsidR="00A10507">
        <w:t>)</w:t>
      </w:r>
      <w:r w:rsidR="00A55C0A">
        <w:t xml:space="preserve">.  All patients start in the non-responder (initial) state, and in each cycle a proportion of the cohort move into the responder state based on the treatment dependent TTR estimates from MAJIC.  Patients were only able to move into the responder state within the first six cycles when treated with ruxolitinib (consistent with requested restriction) and in the first 13 cycles when treated with BAT </w:t>
      </w:r>
      <w:r w:rsidR="00A55C0A" w:rsidRPr="00127DD9">
        <w:t>(consistent with MAJIC)</w:t>
      </w:r>
      <w:r w:rsidR="00A55C0A">
        <w:t xml:space="preserve">.  At the end of six cycles in the ruxolitinib arm and 13 cycles in the BAT arm, any patients remaining in the non-responder (initial) are assumed to be treated with BAT (subsequent) until death.  </w:t>
      </w:r>
      <w:bookmarkStart w:id="24" w:name="_Ref17148648"/>
    </w:p>
    <w:p w:rsidR="00A10507" w:rsidRDefault="007233BE" w:rsidP="0087640F">
      <w:pPr>
        <w:pStyle w:val="Caption"/>
        <w:keepNext/>
        <w:keepLines/>
        <w:widowControl/>
        <w:rPr>
          <w:szCs w:val="20"/>
        </w:rPr>
      </w:pPr>
      <w:r>
        <w:lastRenderedPageBreak/>
        <w:t xml:space="preserve">Figure </w:t>
      </w:r>
      <w:r>
        <w:rPr>
          <w:noProof/>
        </w:rPr>
        <w:t>5</w:t>
      </w:r>
      <w:bookmarkEnd w:id="24"/>
      <w:r w:rsidR="00A10507" w:rsidRPr="007233BE">
        <w:rPr>
          <w:szCs w:val="20"/>
        </w:rPr>
        <w:t>: Structure of economic model</w:t>
      </w:r>
    </w:p>
    <w:p w:rsidR="001C2A93" w:rsidRDefault="00A10507" w:rsidP="0087640F">
      <w:pPr>
        <w:pStyle w:val="ListParagraph"/>
        <w:keepNext/>
        <w:keepLines/>
        <w:widowControl/>
        <w:spacing w:after="0"/>
        <w:ind w:left="0"/>
        <w:jc w:val="left"/>
        <w:rPr>
          <w:rFonts w:ascii="Arial Narrow" w:hAnsi="Arial Narrow"/>
          <w:sz w:val="18"/>
          <w:szCs w:val="20"/>
        </w:rPr>
      </w:pPr>
      <w:r>
        <w:rPr>
          <w:rFonts w:ascii="Arial Narrow" w:hAnsi="Arial Narrow"/>
          <w:noProof/>
          <w:sz w:val="20"/>
          <w:szCs w:val="20"/>
          <w:lang w:eastAsia="en-AU"/>
        </w:rPr>
        <w:drawing>
          <wp:inline distT="0" distB="0" distL="0" distR="0" wp14:anchorId="3EB42430" wp14:editId="2358CC22">
            <wp:extent cx="4305300" cy="2450966"/>
            <wp:effectExtent l="0" t="0" r="0" b="6985"/>
            <wp:docPr id="6" name="Picture 6" title="Figure 5: Structure of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1411" cy="2477216"/>
                    </a:xfrm>
                    <a:prstGeom prst="rect">
                      <a:avLst/>
                    </a:prstGeom>
                    <a:noFill/>
                    <a:ln>
                      <a:noFill/>
                    </a:ln>
                  </pic:spPr>
                </pic:pic>
              </a:graphicData>
            </a:graphic>
          </wp:inline>
        </w:drawing>
      </w:r>
    </w:p>
    <w:p w:rsidR="00A10507" w:rsidRDefault="00A10507" w:rsidP="0087640F">
      <w:pPr>
        <w:pStyle w:val="ListParagraph"/>
        <w:keepNext/>
        <w:keepLines/>
        <w:widowControl/>
        <w:ind w:left="0"/>
        <w:rPr>
          <w:rFonts w:ascii="Arial Narrow" w:hAnsi="Arial Narrow"/>
          <w:sz w:val="18"/>
          <w:szCs w:val="20"/>
        </w:rPr>
      </w:pPr>
      <w:r w:rsidRPr="00D92938">
        <w:rPr>
          <w:rFonts w:ascii="Arial Narrow" w:hAnsi="Arial Narrow"/>
          <w:sz w:val="18"/>
          <w:szCs w:val="20"/>
        </w:rPr>
        <w:t xml:space="preserve">Source: created during evaluation using </w:t>
      </w:r>
      <w:proofErr w:type="spellStart"/>
      <w:r w:rsidRPr="00D92938">
        <w:rPr>
          <w:rFonts w:ascii="Arial Narrow" w:hAnsi="Arial Narrow"/>
          <w:sz w:val="18"/>
          <w:szCs w:val="20"/>
        </w:rPr>
        <w:t>Jakavi</w:t>
      </w:r>
      <w:proofErr w:type="spellEnd"/>
      <w:r w:rsidRPr="00D92938">
        <w:rPr>
          <w:rFonts w:ascii="Arial Narrow" w:hAnsi="Arial Narrow"/>
          <w:sz w:val="18"/>
          <w:szCs w:val="20"/>
        </w:rPr>
        <w:t xml:space="preserve"> (ruxolitinib) Economic Evaluation – Base case.xlsx</w:t>
      </w:r>
    </w:p>
    <w:p w:rsidR="00A55C0A" w:rsidRPr="00A55C0A" w:rsidRDefault="00A55C0A" w:rsidP="00417E69">
      <w:pPr>
        <w:pStyle w:val="ListParagraph"/>
        <w:numPr>
          <w:ilvl w:val="1"/>
          <w:numId w:val="2"/>
        </w:numPr>
        <w:spacing w:after="120"/>
      </w:pPr>
      <w:r w:rsidRPr="00A55C0A">
        <w:t xml:space="preserve">A proportion of patients in the responder state move to the second time non-responder state each cycle based on the treatment dependent </w:t>
      </w:r>
      <w:proofErr w:type="spellStart"/>
      <w:r w:rsidRPr="00A55C0A">
        <w:t>DoR</w:t>
      </w:r>
      <w:proofErr w:type="spellEnd"/>
      <w:r w:rsidRPr="00A55C0A">
        <w:t xml:space="preserve"> estimates from MAJIC. Second time non-responders are assumed to be treated with BAT (subsequent) and cannot move back into the responder state.  Patients remaining in the responder state are assumed to remain on treatment with the same drug as they were randomised to.  In each cycle, patients may die in any of the health states, with the same risk of mortality irrespective of response, but dependent on the treatment they were randomised to.  </w:t>
      </w:r>
    </w:p>
    <w:p w:rsidR="00A55C0A" w:rsidRPr="00B05ECE" w:rsidRDefault="00A55C0A" w:rsidP="00417E69">
      <w:pPr>
        <w:pStyle w:val="ListParagraph"/>
        <w:widowControl/>
        <w:numPr>
          <w:ilvl w:val="1"/>
          <w:numId w:val="2"/>
        </w:numPr>
        <w:spacing w:after="120"/>
      </w:pPr>
      <w:r w:rsidRPr="00A55C0A">
        <w:t xml:space="preserve">Additionally, the submission </w:t>
      </w:r>
      <w:r w:rsidR="000A2A7C">
        <w:t>claimed</w:t>
      </w:r>
      <w:r w:rsidRPr="00A55C0A">
        <w:t xml:space="preserve"> that transformation to MF or AML was not included </w:t>
      </w:r>
      <w:r w:rsidR="000A2A7C">
        <w:t xml:space="preserve">as a health state as there was </w:t>
      </w:r>
      <w:r w:rsidRPr="00A55C0A">
        <w:t>no information on how many responder and non-responders experienced disease transform</w:t>
      </w:r>
      <w:r w:rsidR="000A2A7C">
        <w:t>ation</w:t>
      </w:r>
      <w:r w:rsidR="007315C8">
        <w:t>.</w:t>
      </w:r>
      <w:r w:rsidRPr="00A55C0A">
        <w:t xml:space="preserve"> However, the submission</w:t>
      </w:r>
      <w:r w:rsidR="000A2A7C">
        <w:t xml:space="preserve"> subsequently assumed that 10% </w:t>
      </w:r>
      <w:r w:rsidRPr="00A55C0A">
        <w:t xml:space="preserve">of all patients in non-responder (initial) and second </w:t>
      </w:r>
      <w:r w:rsidRPr="00B05ECE">
        <w:t xml:space="preserve">time non-responder would transform to MF and require treatment with ruxolitinib until they die.  </w:t>
      </w:r>
    </w:p>
    <w:p w:rsidR="00325F1D" w:rsidRPr="002B3792" w:rsidRDefault="00325F1D" w:rsidP="00417E69">
      <w:pPr>
        <w:pStyle w:val="ListParagraph"/>
        <w:widowControl/>
        <w:numPr>
          <w:ilvl w:val="1"/>
          <w:numId w:val="2"/>
        </w:numPr>
        <w:spacing w:after="120"/>
      </w:pPr>
      <w:r w:rsidRPr="002B3792">
        <w:t xml:space="preserve">Response in the model was not associated with improved utility. </w:t>
      </w:r>
      <w:r w:rsidR="009E01F2" w:rsidRPr="002B3792">
        <w:t>The ESC noted that, i</w:t>
      </w:r>
      <w:r w:rsidRPr="002B3792">
        <w:t xml:space="preserve">nstead, patients treated with ruxolitinib (utility = </w:t>
      </w:r>
      <w:r w:rsidR="004A4EFC">
        <w:rPr>
          <w:noProof/>
          <w:color w:val="000000"/>
          <w:highlight w:val="black"/>
        </w:rPr>
        <w:t>'''''''''''</w:t>
      </w:r>
      <w:r w:rsidRPr="002B3792">
        <w:t xml:space="preserve">) were assumed to have a higher utility than patients treated with BAT (utility = </w:t>
      </w:r>
      <w:r w:rsidR="004A4EFC">
        <w:rPr>
          <w:noProof/>
          <w:color w:val="000000"/>
          <w:highlight w:val="black"/>
        </w:rPr>
        <w:t>''''''''''''</w:t>
      </w:r>
      <w:r w:rsidRPr="002B3792">
        <w:t xml:space="preserve">), which included all non-responders and patients who respond to BAT.  This was supported by the results of RESPONSE and RESPONSE-2, as patients treated with ruxolitinib on average reported improvement in almost all symptom scores whereas patients treated with BAT on average reported no change or slight worsening in all symptom scores.  Additionally, patients treated with ruxolitinib had better </w:t>
      </w:r>
      <w:proofErr w:type="spellStart"/>
      <w:r w:rsidRPr="002B3792">
        <w:t>HRQoL</w:t>
      </w:r>
      <w:proofErr w:type="spellEnd"/>
      <w:r w:rsidRPr="002B3792">
        <w:t xml:space="preserve"> and fewer phlebotomies on average compared to patients treated with BAT.</w:t>
      </w:r>
      <w:r w:rsidR="00727E4F" w:rsidRPr="002B3792">
        <w:t xml:space="preserve"> The ESC noted there </w:t>
      </w:r>
      <w:r w:rsidR="00051498" w:rsidRPr="002B3792">
        <w:t>appeared to be</w:t>
      </w:r>
      <w:r w:rsidR="00051498">
        <w:rPr>
          <w:i/>
        </w:rPr>
        <w:t xml:space="preserve"> </w:t>
      </w:r>
      <w:r w:rsidR="00051498" w:rsidRPr="002B3792">
        <w:t xml:space="preserve">larger </w:t>
      </w:r>
      <w:r w:rsidR="00727E4F" w:rsidRPr="002B3792">
        <w:t>differences</w:t>
      </w:r>
      <w:r w:rsidR="00846A59" w:rsidRPr="002B3792">
        <w:t xml:space="preserve"> in</w:t>
      </w:r>
      <w:r w:rsidR="00FC7C22" w:rsidRPr="002B3792">
        <w:t xml:space="preserve"> utility values</w:t>
      </w:r>
      <w:r w:rsidR="00727E4F" w:rsidRPr="002B3792">
        <w:t xml:space="preserve"> between</w:t>
      </w:r>
      <w:r w:rsidR="00846A59" w:rsidRPr="002B3792">
        <w:t xml:space="preserve"> </w:t>
      </w:r>
      <w:r w:rsidR="00051498" w:rsidRPr="002B3792">
        <w:t xml:space="preserve">ruxolitinib and BAT </w:t>
      </w:r>
      <w:r w:rsidR="00032B8B" w:rsidRPr="002B3792">
        <w:t xml:space="preserve">treatment </w:t>
      </w:r>
      <w:r w:rsidR="00051498" w:rsidRPr="002B3792">
        <w:t>arms</w:t>
      </w:r>
      <w:r w:rsidR="00846A59" w:rsidRPr="002B3792">
        <w:t xml:space="preserve"> in RESPONSE</w:t>
      </w:r>
      <w:r w:rsidR="00FC7C22" w:rsidRPr="002B3792">
        <w:t xml:space="preserve"> </w:t>
      </w:r>
      <w:r w:rsidR="00846A59" w:rsidRPr="002B3792">
        <w:t>compared</w:t>
      </w:r>
      <w:r w:rsidR="00051498" w:rsidRPr="002B3792">
        <w:t xml:space="preserve"> to</w:t>
      </w:r>
      <w:r w:rsidR="00846A59" w:rsidRPr="002B3792">
        <w:t xml:space="preserve"> </w:t>
      </w:r>
      <w:r w:rsidR="00727E4F" w:rsidRPr="002B3792">
        <w:t>RESPONSE-2</w:t>
      </w:r>
      <w:r w:rsidR="00FC7C22" w:rsidRPr="002B3792">
        <w:t xml:space="preserve">. The ESC </w:t>
      </w:r>
      <w:r w:rsidR="00727E4F" w:rsidRPr="002B3792">
        <w:t xml:space="preserve">considered that, while </w:t>
      </w:r>
      <w:r w:rsidR="00051498" w:rsidRPr="002B3792">
        <w:t>this</w:t>
      </w:r>
      <w:r w:rsidR="00727E4F" w:rsidRPr="002B3792">
        <w:t xml:space="preserve"> could be attributed to</w:t>
      </w:r>
      <w:r w:rsidR="00FC7C22" w:rsidRPr="002B3792">
        <w:t xml:space="preserve"> differences </w:t>
      </w:r>
      <w:r w:rsidR="005E5ABB" w:rsidRPr="002B3792">
        <w:t>between</w:t>
      </w:r>
      <w:r w:rsidR="00FC7C22" w:rsidRPr="002B3792">
        <w:t xml:space="preserve"> the trial</w:t>
      </w:r>
      <w:r w:rsidR="00727E4F" w:rsidRPr="002B3792">
        <w:t xml:space="preserve"> population</w:t>
      </w:r>
      <w:r w:rsidR="00051498" w:rsidRPr="002B3792">
        <w:t>s</w:t>
      </w:r>
      <w:r w:rsidR="00FC7C22" w:rsidRPr="002B3792">
        <w:t xml:space="preserve"> (for e.g. </w:t>
      </w:r>
      <w:r w:rsidR="004E07D1" w:rsidRPr="002B3792">
        <w:t>baseline</w:t>
      </w:r>
      <w:r w:rsidR="00FC7C22" w:rsidRPr="002B3792">
        <w:t xml:space="preserve"> splenomegaly)</w:t>
      </w:r>
      <w:r w:rsidR="00727E4F" w:rsidRPr="002B3792">
        <w:t xml:space="preserve">, it was uncertain if </w:t>
      </w:r>
      <w:r w:rsidR="00051498" w:rsidRPr="002B3792">
        <w:t xml:space="preserve">any differences in utilities between </w:t>
      </w:r>
      <w:r w:rsidR="005F625A" w:rsidRPr="002B3792">
        <w:t xml:space="preserve">ruxolitinib and </w:t>
      </w:r>
      <w:r w:rsidR="005F625A" w:rsidRPr="002B3792">
        <w:lastRenderedPageBreak/>
        <w:t>BAT</w:t>
      </w:r>
      <w:r w:rsidR="00FE7BD0" w:rsidRPr="002B3792">
        <w:t xml:space="preserve"> arms</w:t>
      </w:r>
      <w:r w:rsidR="00051498" w:rsidRPr="002B3792">
        <w:t xml:space="preserve"> </w:t>
      </w:r>
      <w:r w:rsidR="00032B8B" w:rsidRPr="002B3792">
        <w:t>are attributable</w:t>
      </w:r>
      <w:r w:rsidR="00051498" w:rsidRPr="002B3792">
        <w:t xml:space="preserve"> </w:t>
      </w:r>
      <w:r w:rsidR="00727E4F" w:rsidRPr="002B3792">
        <w:t>to</w:t>
      </w:r>
      <w:r w:rsidR="00051498" w:rsidRPr="002B3792">
        <w:t xml:space="preserve"> treatment with</w:t>
      </w:r>
      <w:r w:rsidR="00727E4F" w:rsidRPr="002B3792">
        <w:t xml:space="preserve"> ruxolitinib (particularly given th</w:t>
      </w:r>
      <w:r w:rsidR="00FE7BD0" w:rsidRPr="002B3792">
        <w:t>is</w:t>
      </w:r>
      <w:r w:rsidR="00727E4F" w:rsidRPr="002B3792">
        <w:t xml:space="preserve"> cannot be explained by ‘responder’ health state differences</w:t>
      </w:r>
      <w:r w:rsidR="00646422" w:rsidRPr="002B3792">
        <w:t>)</w:t>
      </w:r>
      <w:r w:rsidR="00727E4F" w:rsidRPr="002B3792">
        <w:t>.</w:t>
      </w:r>
      <w:r w:rsidRPr="002B3792">
        <w:t xml:space="preserve"> </w:t>
      </w:r>
      <w:r w:rsidR="005C0225" w:rsidRPr="002B3792">
        <w:rPr>
          <w:iCs/>
        </w:rPr>
        <w:t xml:space="preserve"> </w:t>
      </w:r>
      <w:r w:rsidR="004737E3" w:rsidRPr="002B3792">
        <w:rPr>
          <w:iCs/>
        </w:rPr>
        <w:t>The ESC considered i</w:t>
      </w:r>
      <w:r w:rsidR="005C0225" w:rsidRPr="002B3792">
        <w:rPr>
          <w:iCs/>
        </w:rPr>
        <w:t>t</w:t>
      </w:r>
      <w:r w:rsidR="00E06B91" w:rsidRPr="002B3792">
        <w:rPr>
          <w:iCs/>
        </w:rPr>
        <w:t xml:space="preserve"> was</w:t>
      </w:r>
      <w:r w:rsidR="00032B8B" w:rsidRPr="002B3792">
        <w:rPr>
          <w:iCs/>
        </w:rPr>
        <w:t xml:space="preserve"> </w:t>
      </w:r>
      <w:r w:rsidR="005C0225" w:rsidRPr="002B3792">
        <w:rPr>
          <w:iCs/>
        </w:rPr>
        <w:t xml:space="preserve">unclear why ruxolitinib responders would have an improvement in </w:t>
      </w:r>
      <w:proofErr w:type="spellStart"/>
      <w:r w:rsidR="004737E3" w:rsidRPr="002B3792">
        <w:rPr>
          <w:iCs/>
        </w:rPr>
        <w:t>Qo</w:t>
      </w:r>
      <w:r w:rsidR="00B927D8" w:rsidRPr="002B3792">
        <w:rPr>
          <w:iCs/>
        </w:rPr>
        <w:t>L</w:t>
      </w:r>
      <w:proofErr w:type="spellEnd"/>
      <w:r w:rsidR="008F2056" w:rsidRPr="002B3792">
        <w:rPr>
          <w:iCs/>
        </w:rPr>
        <w:t xml:space="preserve"> over BAT responders</w:t>
      </w:r>
      <w:r w:rsidR="00FE7BD0" w:rsidRPr="002B3792">
        <w:rPr>
          <w:iCs/>
        </w:rPr>
        <w:t xml:space="preserve"> and</w:t>
      </w:r>
      <w:r w:rsidR="0039096A" w:rsidRPr="002B3792">
        <w:rPr>
          <w:iCs/>
        </w:rPr>
        <w:t xml:space="preserve"> considered</w:t>
      </w:r>
      <w:r w:rsidR="00FE7BD0" w:rsidRPr="002B3792">
        <w:rPr>
          <w:iCs/>
        </w:rPr>
        <w:t xml:space="preserve"> the application of this assumption in the model to be poorly justified</w:t>
      </w:r>
      <w:r w:rsidR="00B927D8" w:rsidRPr="002B3792">
        <w:rPr>
          <w:iCs/>
        </w:rPr>
        <w:t xml:space="preserve">. </w:t>
      </w:r>
    </w:p>
    <w:p w:rsidR="00DB5F7F" w:rsidRPr="002B3792" w:rsidRDefault="00DB5F7F" w:rsidP="00417E69">
      <w:pPr>
        <w:pStyle w:val="ListParagraph"/>
        <w:widowControl/>
        <w:numPr>
          <w:ilvl w:val="1"/>
          <w:numId w:val="2"/>
        </w:numPr>
        <w:spacing w:after="120"/>
      </w:pPr>
      <w:r w:rsidRPr="002B3792">
        <w:t xml:space="preserve">The ESC </w:t>
      </w:r>
      <w:r w:rsidRPr="002B3792">
        <w:rPr>
          <w:iCs/>
        </w:rPr>
        <w:t xml:space="preserve">considered that </w:t>
      </w:r>
      <w:proofErr w:type="spellStart"/>
      <w:r w:rsidRPr="002B3792">
        <w:rPr>
          <w:iCs/>
        </w:rPr>
        <w:t>QoL</w:t>
      </w:r>
      <w:proofErr w:type="spellEnd"/>
      <w:r w:rsidRPr="002B3792">
        <w:rPr>
          <w:iCs/>
        </w:rPr>
        <w:t xml:space="preserve"> </w:t>
      </w:r>
      <w:r w:rsidR="00442A4B" w:rsidRPr="002B3792">
        <w:rPr>
          <w:iCs/>
        </w:rPr>
        <w:t>may not</w:t>
      </w:r>
      <w:r w:rsidRPr="002B3792">
        <w:rPr>
          <w:iCs/>
        </w:rPr>
        <w:t xml:space="preserve"> differ significantly between</w:t>
      </w:r>
      <w:r w:rsidR="00442A4B" w:rsidRPr="002B3792">
        <w:rPr>
          <w:iCs/>
        </w:rPr>
        <w:t xml:space="preserve"> patients who do and no not</w:t>
      </w:r>
      <w:r w:rsidRPr="002B3792">
        <w:rPr>
          <w:iCs/>
        </w:rPr>
        <w:t xml:space="preserve"> </w:t>
      </w:r>
      <w:r w:rsidR="00442A4B" w:rsidRPr="002B3792">
        <w:rPr>
          <w:iCs/>
        </w:rPr>
        <w:t>respond to treatment in</w:t>
      </w:r>
      <w:r w:rsidRPr="002B3792">
        <w:rPr>
          <w:iCs/>
        </w:rPr>
        <w:t xml:space="preserve"> clinical practice as in general, only more serious disease related symptoms such as severe splenomegaly</w:t>
      </w:r>
      <w:r w:rsidR="00715A6E" w:rsidRPr="002B3792">
        <w:rPr>
          <w:iCs/>
        </w:rPr>
        <w:t>, thrombosis</w:t>
      </w:r>
      <w:r w:rsidRPr="002B3792">
        <w:rPr>
          <w:iCs/>
        </w:rPr>
        <w:t xml:space="preserve"> and haemorrhage (which are rare events) would have a noticeable impact on </w:t>
      </w:r>
      <w:proofErr w:type="spellStart"/>
      <w:r w:rsidRPr="002B3792">
        <w:rPr>
          <w:iCs/>
        </w:rPr>
        <w:t>QoL</w:t>
      </w:r>
      <w:proofErr w:type="spellEnd"/>
      <w:r w:rsidRPr="002B3792">
        <w:rPr>
          <w:iCs/>
        </w:rPr>
        <w:t>.</w:t>
      </w:r>
    </w:p>
    <w:p w:rsidR="00325F1D" w:rsidRPr="002B3792" w:rsidRDefault="00325F1D" w:rsidP="00417E69">
      <w:pPr>
        <w:pStyle w:val="ListParagraph"/>
        <w:widowControl/>
        <w:numPr>
          <w:ilvl w:val="1"/>
          <w:numId w:val="2"/>
        </w:numPr>
        <w:spacing w:after="120"/>
      </w:pPr>
      <w:r w:rsidRPr="002B3792">
        <w:t>The only function of the responder health state was to determine what treatments were used in the cohort and associated costs.  In the ruxolitinib responders, they continue to use ruxolitinib ($</w:t>
      </w:r>
      <w:r w:rsidR="004A4EFC">
        <w:rPr>
          <w:noProof/>
          <w:color w:val="000000"/>
          <w:highlight w:val="black"/>
        </w:rPr>
        <w:t>''''''''''</w:t>
      </w:r>
      <w:r w:rsidRPr="002B3792">
        <w:t>/cycle) and in the BAT responders, they continue to use BAT ($</w:t>
      </w:r>
      <w:r w:rsidR="004A4EFC">
        <w:rPr>
          <w:noProof/>
          <w:color w:val="000000"/>
          <w:highlight w:val="black"/>
        </w:rPr>
        <w:t>''''''''''''</w:t>
      </w:r>
      <w:r w:rsidRPr="002B3792">
        <w:t>/cycle).  All non-responders (initial and second time) are assumed to be treated with BAT (subsequent), which incorporates 10% ruxolitinib for MF due to the assumed transformation, and have a cost of $</w:t>
      </w:r>
      <w:r w:rsidR="004A4EFC">
        <w:rPr>
          <w:noProof/>
          <w:color w:val="000000"/>
          <w:highlight w:val="black"/>
        </w:rPr>
        <w:t>''''''''''''''</w:t>
      </w:r>
      <w:r w:rsidRPr="002B3792">
        <w:t xml:space="preserve">/cycle. </w:t>
      </w:r>
      <w:r w:rsidR="006E7353" w:rsidRPr="002B3792">
        <w:t>The ESC considered that the inclusion of transformation to MF in the model was inappropriate noting the no evidence was provided to support the assumption of 10% transformation to MF and there were no changes in OS or QALY for patients who experience transformation to MF. The ESC noted that incorp</w:t>
      </w:r>
      <w:r w:rsidR="002F363F" w:rsidRPr="002B3792">
        <w:t>oration of ruxolitinib costs for transformation to MF favours ruxolitinib as it increases the cost of treatment in non-responders and the submission modelled a larger proportion of non-responders in BAT compared to ruxolitinib.</w:t>
      </w:r>
    </w:p>
    <w:p w:rsidR="00275C5A" w:rsidRPr="00B05ECE" w:rsidRDefault="00A55C0A" w:rsidP="00417E69">
      <w:pPr>
        <w:pStyle w:val="ListParagraph"/>
        <w:widowControl/>
        <w:numPr>
          <w:ilvl w:val="1"/>
          <w:numId w:val="2"/>
        </w:numPr>
        <w:spacing w:after="120"/>
      </w:pPr>
      <w:r w:rsidRPr="00B05ECE">
        <w:t xml:space="preserve">A summary of the key drivers of the model is presented in </w:t>
      </w:r>
      <w:r w:rsidR="007233BE" w:rsidRPr="00B05ECE">
        <w:t xml:space="preserve">Table </w:t>
      </w:r>
      <w:r w:rsidR="007233BE" w:rsidRPr="00B05ECE">
        <w:rPr>
          <w:noProof/>
        </w:rPr>
        <w:t>10</w:t>
      </w:r>
      <w:r w:rsidRPr="00B05ECE">
        <w:t xml:space="preserve">. </w:t>
      </w:r>
    </w:p>
    <w:p w:rsidR="00D110BD" w:rsidRDefault="007233BE" w:rsidP="0087640F">
      <w:pPr>
        <w:pStyle w:val="Caption"/>
        <w:keepNext/>
        <w:keepLines/>
        <w:widowControl/>
        <w:suppressLineNumbers/>
        <w:suppressAutoHyphens/>
        <w:rPr>
          <w:rStyle w:val="CommentReference"/>
        </w:rPr>
      </w:pPr>
      <w:bookmarkStart w:id="25" w:name="_Ref17148774"/>
      <w:r>
        <w:lastRenderedPageBreak/>
        <w:t xml:space="preserve">Table </w:t>
      </w:r>
      <w:r w:rsidR="00CF6741">
        <w:rPr>
          <w:noProof/>
        </w:rPr>
        <w:t>10</w:t>
      </w:r>
      <w:bookmarkEnd w:id="25"/>
      <w:r>
        <w:t>:</w:t>
      </w:r>
      <w:r w:rsidR="00D110BD" w:rsidRPr="007233BE">
        <w:rPr>
          <w:rStyle w:val="CommentReference"/>
          <w:b/>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drivers of the model"/>
      </w:tblPr>
      <w:tblGrid>
        <w:gridCol w:w="1714"/>
        <w:gridCol w:w="4802"/>
        <w:gridCol w:w="2501"/>
      </w:tblGrid>
      <w:tr w:rsidR="00537182" w:rsidRPr="003D1DE4" w:rsidTr="00B15FAF">
        <w:trPr>
          <w:cantSplit/>
          <w:tblHeader/>
        </w:trPr>
        <w:tc>
          <w:tcPr>
            <w:tcW w:w="950" w:type="pct"/>
            <w:shd w:val="clear" w:color="auto" w:fill="auto"/>
            <w:vAlign w:val="center"/>
          </w:tcPr>
          <w:p w:rsidR="00D110BD" w:rsidRPr="003D1DE4" w:rsidRDefault="00D110BD" w:rsidP="0087640F">
            <w:pPr>
              <w:pStyle w:val="Tabletext"/>
              <w:keepNext/>
              <w:keepLines/>
              <w:suppressLineNumbers/>
              <w:suppressAutoHyphens/>
              <w:rPr>
                <w:b/>
                <w:lang w:val="en-US"/>
              </w:rPr>
            </w:pPr>
            <w:r w:rsidRPr="003D1DE4">
              <w:rPr>
                <w:b/>
                <w:lang w:val="en-US"/>
              </w:rPr>
              <w:t>Description</w:t>
            </w:r>
          </w:p>
        </w:tc>
        <w:tc>
          <w:tcPr>
            <w:tcW w:w="2663" w:type="pct"/>
            <w:shd w:val="clear" w:color="auto" w:fill="auto"/>
            <w:vAlign w:val="center"/>
          </w:tcPr>
          <w:p w:rsidR="00D110BD" w:rsidRPr="003D1DE4" w:rsidRDefault="00D110BD" w:rsidP="0087640F">
            <w:pPr>
              <w:pStyle w:val="Tabletext"/>
              <w:keepNext/>
              <w:keepLines/>
              <w:suppressLineNumbers/>
              <w:suppressAutoHyphens/>
              <w:jc w:val="center"/>
              <w:rPr>
                <w:b/>
                <w:lang w:val="en-US"/>
              </w:rPr>
            </w:pPr>
            <w:r w:rsidRPr="003D1DE4">
              <w:rPr>
                <w:b/>
                <w:lang w:val="en-US"/>
              </w:rPr>
              <w:t>Method/Value</w:t>
            </w:r>
          </w:p>
        </w:tc>
        <w:tc>
          <w:tcPr>
            <w:tcW w:w="1387" w:type="pct"/>
            <w:shd w:val="clear" w:color="auto" w:fill="auto"/>
            <w:vAlign w:val="center"/>
          </w:tcPr>
          <w:p w:rsidR="00D110BD" w:rsidRPr="003D1DE4" w:rsidRDefault="00D110BD" w:rsidP="0087640F">
            <w:pPr>
              <w:pStyle w:val="Tabletext"/>
              <w:keepNext/>
              <w:keepLines/>
              <w:suppressLineNumbers/>
              <w:suppressAutoHyphens/>
              <w:jc w:val="center"/>
              <w:rPr>
                <w:b/>
                <w:lang w:val="en-US"/>
              </w:rPr>
            </w:pPr>
            <w:r w:rsidRPr="003D1DE4">
              <w:rPr>
                <w:b/>
                <w:lang w:val="en-US"/>
              </w:rPr>
              <w:t>Impact</w:t>
            </w:r>
          </w:p>
        </w:tc>
      </w:tr>
      <w:tr w:rsidR="00537182" w:rsidRPr="00E2771E" w:rsidTr="00B15FAF">
        <w:trPr>
          <w:cantSplit/>
        </w:trPr>
        <w:tc>
          <w:tcPr>
            <w:tcW w:w="950" w:type="pct"/>
            <w:shd w:val="clear" w:color="auto" w:fill="auto"/>
            <w:vAlign w:val="center"/>
          </w:tcPr>
          <w:p w:rsidR="00D110BD" w:rsidRPr="00E87A0D" w:rsidRDefault="000A2A7C" w:rsidP="0087640F">
            <w:pPr>
              <w:pStyle w:val="Tabletext"/>
              <w:keepNext/>
              <w:keepLines/>
              <w:suppressLineNumbers/>
              <w:suppressAutoHyphens/>
              <w:rPr>
                <w:lang w:val="en-US"/>
              </w:rPr>
            </w:pPr>
            <w:r w:rsidRPr="00E87A0D">
              <w:rPr>
                <w:lang w:val="en-US"/>
              </w:rPr>
              <w:t>Difference in OS</w:t>
            </w:r>
          </w:p>
        </w:tc>
        <w:tc>
          <w:tcPr>
            <w:tcW w:w="2663" w:type="pct"/>
            <w:shd w:val="clear" w:color="auto" w:fill="auto"/>
            <w:vAlign w:val="center"/>
          </w:tcPr>
          <w:p w:rsidR="00106B80" w:rsidRPr="00E87A0D" w:rsidRDefault="000A2A7C" w:rsidP="0087640F">
            <w:pPr>
              <w:pStyle w:val="Tabletext"/>
              <w:keepNext/>
              <w:keepLines/>
              <w:suppressLineNumbers/>
              <w:suppressAutoHyphens/>
              <w:rPr>
                <w:lang w:val="en-US"/>
              </w:rPr>
            </w:pPr>
            <w:r w:rsidRPr="00E87A0D">
              <w:rPr>
                <w:lang w:val="en-US"/>
              </w:rPr>
              <w:t>S</w:t>
            </w:r>
            <w:r w:rsidR="00110870" w:rsidRPr="00E87A0D">
              <w:rPr>
                <w:lang w:val="en-US"/>
              </w:rPr>
              <w:t>ubmission assumes that there wa</w:t>
            </w:r>
            <w:r w:rsidRPr="00E87A0D">
              <w:rPr>
                <w:lang w:val="en-US"/>
              </w:rPr>
              <w:t xml:space="preserve">s a difference in the </w:t>
            </w:r>
            <w:r w:rsidR="00110870" w:rsidRPr="00E87A0D">
              <w:rPr>
                <w:lang w:val="en-US"/>
              </w:rPr>
              <w:t>OS in patients treated with ruxolitinib and BAT at 6 years which is extrapolated to 20 years. This is despite:</w:t>
            </w:r>
          </w:p>
          <w:p w:rsidR="00110870" w:rsidRPr="00E87A0D" w:rsidRDefault="00110870" w:rsidP="0087640F">
            <w:pPr>
              <w:pStyle w:val="Tabletext"/>
              <w:keepNext/>
              <w:keepLines/>
              <w:suppressLineNumbers/>
              <w:suppressAutoHyphens/>
              <w:ind w:left="246" w:hanging="246"/>
              <w:rPr>
                <w:lang w:val="en-US"/>
              </w:rPr>
            </w:pPr>
            <w:r w:rsidRPr="00E87A0D">
              <w:rPr>
                <w:lang w:val="en-US"/>
              </w:rPr>
              <w:t>•</w:t>
            </w:r>
            <w:r w:rsidRPr="00E87A0D">
              <w:rPr>
                <w:lang w:val="en-US"/>
              </w:rPr>
              <w:tab/>
              <w:t>MAJIC not being designed to detect differences in OS;</w:t>
            </w:r>
          </w:p>
          <w:p w:rsidR="00110870" w:rsidRPr="00E87A0D" w:rsidRDefault="00110870" w:rsidP="0087640F">
            <w:pPr>
              <w:pStyle w:val="Tabletext"/>
              <w:keepNext/>
              <w:keepLines/>
              <w:suppressLineNumbers/>
              <w:suppressAutoHyphens/>
              <w:ind w:left="246" w:hanging="246"/>
              <w:rPr>
                <w:lang w:val="en-US"/>
              </w:rPr>
            </w:pPr>
            <w:r w:rsidRPr="00E87A0D">
              <w:rPr>
                <w:lang w:val="en-US"/>
              </w:rPr>
              <w:t>•</w:t>
            </w:r>
            <w:r w:rsidRPr="00E87A0D">
              <w:rPr>
                <w:lang w:val="en-US"/>
              </w:rPr>
              <w:tab/>
              <w:t xml:space="preserve">There was no statistically significant differences between patients treated with ruxolitinib and patients treated with BAT (p=0.5550); and </w:t>
            </w:r>
          </w:p>
          <w:p w:rsidR="00110870" w:rsidRPr="00E87A0D" w:rsidRDefault="00110870" w:rsidP="0087640F">
            <w:pPr>
              <w:pStyle w:val="Tabletext"/>
              <w:keepNext/>
              <w:keepLines/>
              <w:suppressLineNumbers/>
              <w:suppressAutoHyphens/>
              <w:ind w:left="246" w:hanging="246"/>
              <w:rPr>
                <w:lang w:val="en-US"/>
              </w:rPr>
            </w:pPr>
            <w:r w:rsidRPr="00E87A0D">
              <w:rPr>
                <w:lang w:val="en-US"/>
              </w:rPr>
              <w:t>•</w:t>
            </w:r>
            <w:r w:rsidRPr="00E87A0D">
              <w:rPr>
                <w:lang w:val="en-US"/>
              </w:rPr>
              <w:tab/>
              <w:t xml:space="preserve">There is no evidence that the response </w:t>
            </w:r>
            <w:r w:rsidR="007233BE" w:rsidRPr="00E87A0D">
              <w:rPr>
                <w:lang w:val="en-US"/>
              </w:rPr>
              <w:t xml:space="preserve">criteria </w:t>
            </w:r>
            <w:r w:rsidRPr="00E87A0D">
              <w:rPr>
                <w:lang w:val="en-US"/>
              </w:rPr>
              <w:t>in MAJIC (or ELN response) is correlated with improved OS</w:t>
            </w:r>
            <w:r w:rsidR="007233BE" w:rsidRPr="00E87A0D">
              <w:rPr>
                <w:lang w:val="en-US"/>
              </w:rPr>
              <w:t>.</w:t>
            </w:r>
          </w:p>
          <w:p w:rsidR="00110870" w:rsidRPr="00E87A0D" w:rsidRDefault="00110870" w:rsidP="0087640F">
            <w:pPr>
              <w:pStyle w:val="Tabletext"/>
              <w:keepNext/>
              <w:keepLines/>
              <w:suppressLineNumbers/>
              <w:suppressAutoHyphens/>
              <w:rPr>
                <w:lang w:val="en-US"/>
              </w:rPr>
            </w:pPr>
            <w:r w:rsidRPr="00E87A0D">
              <w:rPr>
                <w:lang w:val="en-US"/>
              </w:rPr>
              <w:t>It was inappropriate to have modelled any difference in OS between treatment arms.</w:t>
            </w:r>
          </w:p>
        </w:tc>
        <w:tc>
          <w:tcPr>
            <w:tcW w:w="1387" w:type="pct"/>
            <w:shd w:val="clear" w:color="auto" w:fill="auto"/>
            <w:vAlign w:val="center"/>
          </w:tcPr>
          <w:p w:rsidR="00D110BD" w:rsidRPr="00E87A0D" w:rsidRDefault="00D110BD" w:rsidP="0087640F">
            <w:pPr>
              <w:pStyle w:val="Tabletext"/>
              <w:keepNext/>
              <w:keepLines/>
              <w:suppressLineNumbers/>
              <w:suppressAutoHyphens/>
              <w:rPr>
                <w:lang w:val="en-US"/>
              </w:rPr>
            </w:pPr>
            <w:r w:rsidRPr="00E87A0D">
              <w:rPr>
                <w:lang w:val="en-US"/>
              </w:rPr>
              <w:t xml:space="preserve">High, </w:t>
            </w:r>
            <w:proofErr w:type="spellStart"/>
            <w:r w:rsidRPr="00E87A0D">
              <w:rPr>
                <w:lang w:val="en-US"/>
              </w:rPr>
              <w:t>favours</w:t>
            </w:r>
            <w:proofErr w:type="spellEnd"/>
            <w:r w:rsidRPr="00E87A0D">
              <w:rPr>
                <w:lang w:val="en-US"/>
              </w:rPr>
              <w:t xml:space="preserve"> </w:t>
            </w:r>
            <w:r w:rsidR="00110870" w:rsidRPr="00E87A0D">
              <w:rPr>
                <w:lang w:val="en-US"/>
              </w:rPr>
              <w:t>ruxolitinib.  Assuming no difference in OS increases ICER by 88-89%.</w:t>
            </w:r>
          </w:p>
        </w:tc>
      </w:tr>
      <w:tr w:rsidR="00DC2D44" w:rsidRPr="00E2771E" w:rsidTr="00B15FAF">
        <w:trPr>
          <w:cantSplit/>
        </w:trPr>
        <w:tc>
          <w:tcPr>
            <w:tcW w:w="950" w:type="pct"/>
            <w:shd w:val="clear" w:color="auto" w:fill="auto"/>
            <w:vAlign w:val="center"/>
          </w:tcPr>
          <w:p w:rsidR="00DC2D44" w:rsidRPr="00E87A0D" w:rsidRDefault="00DC2D44" w:rsidP="0087640F">
            <w:pPr>
              <w:pStyle w:val="Tabletext"/>
              <w:keepNext/>
              <w:keepLines/>
              <w:suppressLineNumbers/>
              <w:suppressAutoHyphens/>
              <w:rPr>
                <w:lang w:val="en-US"/>
              </w:rPr>
            </w:pPr>
            <w:r w:rsidRPr="00E87A0D">
              <w:rPr>
                <w:lang w:val="en-US"/>
              </w:rPr>
              <w:t>Proportion of patients receiving peginterferon α-2a</w:t>
            </w:r>
          </w:p>
        </w:tc>
        <w:tc>
          <w:tcPr>
            <w:tcW w:w="2663" w:type="pct"/>
            <w:shd w:val="clear" w:color="auto" w:fill="auto"/>
            <w:vAlign w:val="center"/>
          </w:tcPr>
          <w:p w:rsidR="00DC2D44" w:rsidRPr="00E87A0D" w:rsidRDefault="00DC2D44" w:rsidP="0087640F">
            <w:pPr>
              <w:pStyle w:val="Tabletext"/>
              <w:keepNext/>
              <w:keepLines/>
              <w:suppressLineNumbers/>
              <w:suppressAutoHyphens/>
              <w:rPr>
                <w:lang w:val="en-US"/>
              </w:rPr>
            </w:pPr>
            <w:r w:rsidRPr="00E87A0D">
              <w:rPr>
                <w:lang w:val="en-US"/>
              </w:rPr>
              <w:t>In the base case, the submission assumed that patients treated with BAT were treated 50:50 with peginterferon α-2a</w:t>
            </w:r>
            <w:r w:rsidR="00C17C16" w:rsidRPr="00E87A0D">
              <w:rPr>
                <w:lang w:val="en-US"/>
              </w:rPr>
              <w:t xml:space="preserve"> to HC</w:t>
            </w:r>
            <w:r w:rsidRPr="00E87A0D">
              <w:rPr>
                <w:lang w:val="en-US"/>
              </w:rPr>
              <w:t>.  This was likely an overestimate, as the ratio for HC to peginterferon in MAJIC, RESPONSE and RESPONSE-2 were 61:39, 16:84 and 21:79, respectively.</w:t>
            </w:r>
          </w:p>
        </w:tc>
        <w:tc>
          <w:tcPr>
            <w:tcW w:w="1387" w:type="pct"/>
            <w:shd w:val="clear" w:color="auto" w:fill="auto"/>
            <w:vAlign w:val="center"/>
          </w:tcPr>
          <w:p w:rsidR="00DC2D44" w:rsidRPr="00E87A0D" w:rsidRDefault="00DC2D44" w:rsidP="0087640F">
            <w:pPr>
              <w:pStyle w:val="Tabletext"/>
              <w:keepNext/>
              <w:keepLines/>
              <w:suppressLineNumbers/>
              <w:suppressAutoHyphens/>
              <w:rPr>
                <w:lang w:val="en-US"/>
              </w:rPr>
            </w:pPr>
            <w:r w:rsidRPr="00E87A0D">
              <w:rPr>
                <w:lang w:val="en-US"/>
              </w:rPr>
              <w:t xml:space="preserve">High, </w:t>
            </w:r>
            <w:proofErr w:type="spellStart"/>
            <w:r w:rsidRPr="00E87A0D">
              <w:rPr>
                <w:lang w:val="en-US"/>
              </w:rPr>
              <w:t>favours</w:t>
            </w:r>
            <w:proofErr w:type="spellEnd"/>
            <w:r w:rsidRPr="00E87A0D">
              <w:rPr>
                <w:lang w:val="en-US"/>
              </w:rPr>
              <w:t xml:space="preserve"> ruxolitinib.  Assuming 39:61, 16:84 and 21:79 ratio of peginterferon</w:t>
            </w:r>
            <w:r w:rsidR="00C17C16" w:rsidRPr="00E87A0D">
              <w:rPr>
                <w:lang w:val="en-US"/>
              </w:rPr>
              <w:t xml:space="preserve"> to HC</w:t>
            </w:r>
            <w:r w:rsidRPr="00E87A0D">
              <w:rPr>
                <w:lang w:val="en-US"/>
              </w:rPr>
              <w:t xml:space="preserve">, the ICER increases by 13%, 40% and 34% respectively.  </w:t>
            </w:r>
          </w:p>
        </w:tc>
      </w:tr>
      <w:tr w:rsidR="00DC2D44" w:rsidRPr="00E2771E" w:rsidTr="00B15FAF">
        <w:trPr>
          <w:cantSplit/>
        </w:trPr>
        <w:tc>
          <w:tcPr>
            <w:tcW w:w="950" w:type="pct"/>
            <w:shd w:val="clear" w:color="auto" w:fill="auto"/>
            <w:vAlign w:val="center"/>
          </w:tcPr>
          <w:p w:rsidR="00DC2D44" w:rsidRPr="00E87A0D" w:rsidRDefault="00DC2D44" w:rsidP="0087640F">
            <w:pPr>
              <w:pStyle w:val="Tabletext"/>
              <w:keepNext/>
              <w:keepLines/>
              <w:suppressLineNumbers/>
              <w:suppressAutoHyphens/>
              <w:rPr>
                <w:lang w:val="en-US"/>
              </w:rPr>
            </w:pPr>
            <w:r w:rsidRPr="00E87A0D">
              <w:rPr>
                <w:lang w:val="en-US"/>
              </w:rPr>
              <w:t>OS extrapolation</w:t>
            </w:r>
          </w:p>
        </w:tc>
        <w:tc>
          <w:tcPr>
            <w:tcW w:w="2663" w:type="pct"/>
            <w:shd w:val="clear" w:color="auto" w:fill="auto"/>
            <w:vAlign w:val="center"/>
          </w:tcPr>
          <w:p w:rsidR="00DC2D44" w:rsidRPr="00E87A0D" w:rsidRDefault="00DC2D44" w:rsidP="0087640F">
            <w:pPr>
              <w:pStyle w:val="Tabletext"/>
              <w:keepNext/>
              <w:keepLines/>
              <w:suppressLineNumbers/>
              <w:suppressAutoHyphens/>
              <w:rPr>
                <w:lang w:val="en-US"/>
              </w:rPr>
            </w:pPr>
            <w:r w:rsidRPr="00E87A0D">
              <w:rPr>
                <w:lang w:val="en-US"/>
              </w:rPr>
              <w:t>The submission assumed that the Weibull parametric function was the best fit for the extrapolation for OS, based on visual inspection against published OS curves.  However, three different OS curves from the literature w</w:t>
            </w:r>
            <w:r w:rsidR="007233BE" w:rsidRPr="00E87A0D">
              <w:rPr>
                <w:lang w:val="en-US"/>
              </w:rPr>
              <w:t>ere</w:t>
            </w:r>
            <w:r w:rsidRPr="00E87A0D">
              <w:rPr>
                <w:lang w:val="en-US"/>
              </w:rPr>
              <w:t xml:space="preserve"> sourced, and it c</w:t>
            </w:r>
            <w:r w:rsidR="007233BE" w:rsidRPr="00E87A0D">
              <w:rPr>
                <w:lang w:val="en-US"/>
              </w:rPr>
              <w:t>ould</w:t>
            </w:r>
            <w:r w:rsidRPr="00E87A0D">
              <w:rPr>
                <w:lang w:val="en-US"/>
              </w:rPr>
              <w:t xml:space="preserve"> be argued that all the extrapolations except for E</w:t>
            </w:r>
            <w:r w:rsidR="007233BE" w:rsidRPr="00E87A0D">
              <w:rPr>
                <w:lang w:val="en-US"/>
              </w:rPr>
              <w:t xml:space="preserve">xponential and </w:t>
            </w:r>
            <w:proofErr w:type="spellStart"/>
            <w:r w:rsidR="007233BE" w:rsidRPr="00E87A0D">
              <w:rPr>
                <w:lang w:val="en-US"/>
              </w:rPr>
              <w:t>G</w:t>
            </w:r>
            <w:r w:rsidRPr="00E87A0D">
              <w:rPr>
                <w:lang w:val="en-US"/>
              </w:rPr>
              <w:t>ompertz</w:t>
            </w:r>
            <w:proofErr w:type="spellEnd"/>
            <w:r w:rsidRPr="00E87A0D">
              <w:rPr>
                <w:lang w:val="en-US"/>
              </w:rPr>
              <w:t xml:space="preserve"> fit visually (</w:t>
            </w:r>
            <w:r w:rsidR="007233BE" w:rsidRPr="00E87A0D">
              <w:t xml:space="preserve">Figure </w:t>
            </w:r>
            <w:r w:rsidR="007233BE" w:rsidRPr="00E87A0D">
              <w:rPr>
                <w:noProof/>
              </w:rPr>
              <w:t>6</w:t>
            </w:r>
            <w:r w:rsidRPr="00E87A0D">
              <w:rPr>
                <w:lang w:val="en-US"/>
              </w:rPr>
              <w:t>).  However this will be an issue only if it was deemed appropriate to model OS differences.</w:t>
            </w:r>
          </w:p>
        </w:tc>
        <w:tc>
          <w:tcPr>
            <w:tcW w:w="1387" w:type="pct"/>
            <w:shd w:val="clear" w:color="auto" w:fill="auto"/>
            <w:vAlign w:val="center"/>
          </w:tcPr>
          <w:p w:rsidR="00DC2D44" w:rsidRPr="00E87A0D" w:rsidRDefault="00DC2D44" w:rsidP="0087640F">
            <w:pPr>
              <w:pStyle w:val="Tabletext"/>
              <w:keepNext/>
              <w:keepLines/>
              <w:suppressLineNumbers/>
              <w:suppressAutoHyphens/>
              <w:rPr>
                <w:lang w:val="en-US"/>
              </w:rPr>
            </w:pPr>
            <w:r w:rsidRPr="00E87A0D">
              <w:rPr>
                <w:lang w:val="en-US"/>
              </w:rPr>
              <w:t xml:space="preserve">Moderate. The Weibull functional form has the lowest ICER of all the functions. </w:t>
            </w:r>
            <w:r w:rsidR="007233BE" w:rsidRPr="00E87A0D">
              <w:rPr>
                <w:lang w:val="en-US"/>
              </w:rPr>
              <w:t xml:space="preserve"> </w:t>
            </w:r>
            <w:r w:rsidRPr="00E87A0D">
              <w:rPr>
                <w:lang w:val="en-US"/>
              </w:rPr>
              <w:t xml:space="preserve">The ICER increases by 6% with </w:t>
            </w:r>
            <w:proofErr w:type="spellStart"/>
            <w:r w:rsidRPr="00E87A0D">
              <w:rPr>
                <w:lang w:val="en-US"/>
              </w:rPr>
              <w:t>Gompertz</w:t>
            </w:r>
            <w:proofErr w:type="spellEnd"/>
            <w:r w:rsidR="007233BE" w:rsidRPr="00E87A0D">
              <w:rPr>
                <w:lang w:val="en-US"/>
              </w:rPr>
              <w:t>,</w:t>
            </w:r>
            <w:r w:rsidRPr="00E87A0D">
              <w:rPr>
                <w:lang w:val="en-US"/>
              </w:rPr>
              <w:t xml:space="preserve"> up to 38% with Gamma.  </w:t>
            </w:r>
          </w:p>
        </w:tc>
      </w:tr>
      <w:tr w:rsidR="00DC2D44" w:rsidRPr="00E2771E" w:rsidTr="00B15FAF">
        <w:trPr>
          <w:cantSplit/>
        </w:trPr>
        <w:tc>
          <w:tcPr>
            <w:tcW w:w="950" w:type="pct"/>
            <w:shd w:val="clear" w:color="auto" w:fill="auto"/>
            <w:vAlign w:val="center"/>
          </w:tcPr>
          <w:p w:rsidR="00DC2D44" w:rsidRPr="00E87A0D" w:rsidRDefault="00DC2D44" w:rsidP="0087640F">
            <w:pPr>
              <w:pStyle w:val="Tabletext"/>
              <w:keepNext/>
              <w:keepLines/>
              <w:suppressLineNumbers/>
              <w:suppressAutoHyphens/>
              <w:rPr>
                <w:lang w:val="en-US"/>
              </w:rPr>
            </w:pPr>
            <w:r w:rsidRPr="00E87A0D">
              <w:rPr>
                <w:lang w:val="en-US"/>
              </w:rPr>
              <w:t>OS not associated with response</w:t>
            </w:r>
          </w:p>
        </w:tc>
        <w:tc>
          <w:tcPr>
            <w:tcW w:w="2663" w:type="pct"/>
            <w:shd w:val="clear" w:color="auto" w:fill="auto"/>
            <w:vAlign w:val="center"/>
          </w:tcPr>
          <w:p w:rsidR="00DC2D44" w:rsidRPr="00E87A0D" w:rsidRDefault="00DC2D44" w:rsidP="0087640F">
            <w:pPr>
              <w:pStyle w:val="Tabletext"/>
              <w:keepNext/>
              <w:keepLines/>
              <w:suppressLineNumbers/>
              <w:suppressAutoHyphens/>
              <w:rPr>
                <w:lang w:val="en-US"/>
              </w:rPr>
            </w:pPr>
            <w:r w:rsidRPr="00E87A0D">
              <w:rPr>
                <w:lang w:val="en-US"/>
              </w:rPr>
              <w:t xml:space="preserve">The submission assumed that the survival of patient is dependent only on the treatment they were </w:t>
            </w:r>
            <w:proofErr w:type="spellStart"/>
            <w:r w:rsidRPr="00E87A0D">
              <w:rPr>
                <w:lang w:val="en-US"/>
              </w:rPr>
              <w:t>randomised</w:t>
            </w:r>
            <w:proofErr w:type="spellEnd"/>
            <w:r w:rsidRPr="00E87A0D">
              <w:rPr>
                <w:lang w:val="en-US"/>
              </w:rPr>
              <w:t xml:space="preserve"> to and is independent on the actual treatment received.  That is, patients who started on ruxolitinib but became a non-responder and assumed to be treated with BAT will still have the same OS as patients who did respond to ruxolitinib.  This is implausible</w:t>
            </w:r>
            <w:r w:rsidR="0082680B" w:rsidRPr="00E87A0D">
              <w:rPr>
                <w:lang w:val="en-US"/>
              </w:rPr>
              <w:t xml:space="preserve">, and is a result of the model assuming a difference in OS when there was no statistical significance as well as being a structural issue. </w:t>
            </w:r>
          </w:p>
        </w:tc>
        <w:tc>
          <w:tcPr>
            <w:tcW w:w="1387" w:type="pct"/>
            <w:shd w:val="clear" w:color="auto" w:fill="auto"/>
            <w:vAlign w:val="center"/>
          </w:tcPr>
          <w:p w:rsidR="00DC2D44" w:rsidRPr="00E87A0D" w:rsidRDefault="00DC2D44" w:rsidP="0087640F">
            <w:pPr>
              <w:pStyle w:val="Tabletext"/>
              <w:keepNext/>
              <w:keepLines/>
              <w:suppressLineNumbers/>
              <w:suppressAutoHyphens/>
              <w:rPr>
                <w:lang w:val="en-US"/>
              </w:rPr>
            </w:pPr>
            <w:r w:rsidRPr="00E87A0D">
              <w:rPr>
                <w:lang w:val="en-US"/>
              </w:rPr>
              <w:t>Moderate.  Assuming that patients who were treated with ruxolitinib who did not respond had the same OS as patients treated with BAT increases ICER by 22%</w:t>
            </w:r>
            <w:r w:rsidR="0087640F">
              <w:rPr>
                <w:lang w:val="en-US"/>
              </w:rPr>
              <w:t>.</w:t>
            </w:r>
          </w:p>
        </w:tc>
      </w:tr>
      <w:tr w:rsidR="00DC2D44" w:rsidRPr="00E2771E" w:rsidTr="00B15FAF">
        <w:trPr>
          <w:cantSplit/>
        </w:trPr>
        <w:tc>
          <w:tcPr>
            <w:tcW w:w="950" w:type="pct"/>
            <w:shd w:val="clear" w:color="auto" w:fill="auto"/>
            <w:vAlign w:val="center"/>
          </w:tcPr>
          <w:p w:rsidR="00DC2D44" w:rsidRPr="00E87A0D" w:rsidRDefault="00DC2D44" w:rsidP="0087640F">
            <w:pPr>
              <w:pStyle w:val="Tabletext"/>
              <w:keepNext/>
              <w:keepLines/>
              <w:suppressLineNumbers/>
              <w:suppressAutoHyphens/>
              <w:rPr>
                <w:lang w:val="en-US"/>
              </w:rPr>
            </w:pPr>
            <w:r w:rsidRPr="00E87A0D">
              <w:rPr>
                <w:lang w:val="en-US"/>
              </w:rPr>
              <w:t>Cost of ruxolitinib</w:t>
            </w:r>
          </w:p>
        </w:tc>
        <w:tc>
          <w:tcPr>
            <w:tcW w:w="2663" w:type="pct"/>
            <w:shd w:val="clear" w:color="auto" w:fill="auto"/>
            <w:vAlign w:val="center"/>
          </w:tcPr>
          <w:p w:rsidR="00DC2D44" w:rsidRPr="00E87A0D" w:rsidRDefault="00DC2D44" w:rsidP="0087640F">
            <w:pPr>
              <w:pStyle w:val="Tabletext"/>
              <w:keepNext/>
              <w:keepLines/>
              <w:suppressLineNumbers/>
              <w:suppressAutoHyphens/>
              <w:rPr>
                <w:lang w:val="en-US"/>
              </w:rPr>
            </w:pPr>
            <w:r w:rsidRPr="00E87A0D">
              <w:rPr>
                <w:lang w:val="en-US"/>
              </w:rPr>
              <w:t xml:space="preserve">The submission assumed that the cost of ruxolitinib was </w:t>
            </w:r>
            <w:r w:rsidR="000F4C21" w:rsidRPr="00E87A0D">
              <w:rPr>
                <w:lang w:val="en-US"/>
              </w:rPr>
              <w:t>$</w:t>
            </w:r>
            <w:r w:rsidR="004A4EFC">
              <w:rPr>
                <w:noProof/>
                <w:color w:val="000000"/>
                <w:highlight w:val="black"/>
                <w:lang w:val="en-US"/>
              </w:rPr>
              <w:t>'''''''''''''</w:t>
            </w:r>
            <w:r w:rsidR="000F4C21" w:rsidRPr="00E87A0D">
              <w:rPr>
                <w:lang w:val="en-US"/>
              </w:rPr>
              <w:t xml:space="preserve"> </w:t>
            </w:r>
            <w:r w:rsidRPr="00E87A0D">
              <w:rPr>
                <w:lang w:val="en-US"/>
              </w:rPr>
              <w:t>per 28 days, irrespective of dose.  However, there are several reasons why this may be an underestimate:</w:t>
            </w:r>
          </w:p>
          <w:p w:rsidR="0085771D" w:rsidRPr="00E87A0D" w:rsidRDefault="00DC2D44" w:rsidP="0087640F">
            <w:pPr>
              <w:pStyle w:val="Tabletext"/>
              <w:keepNext/>
              <w:keepLines/>
              <w:suppressLineNumbers/>
              <w:suppressAutoHyphens/>
              <w:ind w:left="246" w:hanging="246"/>
              <w:rPr>
                <w:lang w:val="en-US"/>
              </w:rPr>
            </w:pPr>
            <w:r w:rsidRPr="00E87A0D">
              <w:rPr>
                <w:lang w:val="en-US"/>
              </w:rPr>
              <w:t>•</w:t>
            </w:r>
            <w:r w:rsidRPr="00E87A0D">
              <w:rPr>
                <w:lang w:val="en-US"/>
              </w:rPr>
              <w:tab/>
            </w:r>
            <w:r w:rsidR="0085771D" w:rsidRPr="00E87A0D">
              <w:rPr>
                <w:lang w:val="en-US"/>
              </w:rPr>
              <w:t xml:space="preserve">More than one pack/tablet form may be required to deliver a dose.  The recommended dose of ruxolitinib for PV is 5-25mg twice daily, but only tablets of 5mg, 10mg, 15mg and 20mg are available.  Therefore, at </w:t>
            </w:r>
            <w:r w:rsidR="007233BE" w:rsidRPr="00E87A0D">
              <w:rPr>
                <w:lang w:val="en-US"/>
              </w:rPr>
              <w:t xml:space="preserve">a </w:t>
            </w:r>
            <w:r w:rsidR="0085771D" w:rsidRPr="00E87A0D">
              <w:rPr>
                <w:lang w:val="en-US"/>
              </w:rPr>
              <w:t>minimum, a patient on 25mg will need 5mg + 20mg tablets.  Additionally, given that patients are expected to titrate their doses, a dose of 15mg may be given as 5mg + 10mg.  These combinations will increase the price per 28 days of treatment;</w:t>
            </w:r>
          </w:p>
          <w:p w:rsidR="0085771D" w:rsidRPr="00E87A0D" w:rsidRDefault="0085771D" w:rsidP="0087640F">
            <w:pPr>
              <w:pStyle w:val="Tabletext"/>
              <w:keepNext/>
              <w:keepLines/>
              <w:suppressLineNumbers/>
              <w:suppressAutoHyphens/>
              <w:ind w:left="246" w:hanging="246"/>
              <w:rPr>
                <w:lang w:val="en-US"/>
              </w:rPr>
            </w:pPr>
            <w:r w:rsidRPr="00E87A0D">
              <w:rPr>
                <w:lang w:val="en-US"/>
              </w:rPr>
              <w:t>•</w:t>
            </w:r>
            <w:r w:rsidRPr="00E87A0D">
              <w:rPr>
                <w:lang w:val="en-US"/>
              </w:rPr>
              <w:tab/>
              <w:t xml:space="preserve">The model assumes that patients will discontinue every cycle.  However patients will not visit doctors for a response assessment every month, leading to an underestimate of the duration of treatment; and </w:t>
            </w:r>
          </w:p>
          <w:p w:rsidR="0085771D" w:rsidRPr="00E87A0D" w:rsidRDefault="0085771D" w:rsidP="0087640F">
            <w:pPr>
              <w:pStyle w:val="Tabletext"/>
              <w:keepNext/>
              <w:keepLines/>
              <w:suppressLineNumbers/>
              <w:suppressAutoHyphens/>
              <w:ind w:left="246" w:hanging="246"/>
              <w:rPr>
                <w:lang w:val="en-US"/>
              </w:rPr>
            </w:pPr>
            <w:r w:rsidRPr="00E87A0D">
              <w:rPr>
                <w:lang w:val="en-US"/>
              </w:rPr>
              <w:t>•</w:t>
            </w:r>
            <w:r w:rsidRPr="00E87A0D">
              <w:rPr>
                <w:lang w:val="en-US"/>
              </w:rPr>
              <w:tab/>
              <w:t>It is recommended that the dose of ruxolitinib be tapered down if discontinuing, but the submission does not account for the cost of the tapering dose.</w:t>
            </w:r>
          </w:p>
          <w:p w:rsidR="00DC2D44" w:rsidRPr="00E87A0D" w:rsidRDefault="0085771D" w:rsidP="0087640F">
            <w:pPr>
              <w:pStyle w:val="Tabletext"/>
              <w:keepNext/>
              <w:keepLines/>
              <w:suppressLineNumbers/>
              <w:suppressAutoHyphens/>
              <w:rPr>
                <w:lang w:val="en-US"/>
              </w:rPr>
            </w:pPr>
            <w:r w:rsidRPr="00E87A0D">
              <w:rPr>
                <w:lang w:val="en-US"/>
              </w:rPr>
              <w:t>Therefore it is possible that the cost of ruxolitinib per 28 days will exceed $</w:t>
            </w:r>
            <w:r w:rsidR="004A4EFC">
              <w:rPr>
                <w:noProof/>
                <w:color w:val="000000"/>
                <w:highlight w:val="black"/>
                <w:lang w:val="en-US"/>
              </w:rPr>
              <w:t>'''''''''''''</w:t>
            </w:r>
            <w:r w:rsidR="00A552E3" w:rsidRPr="00E87A0D">
              <w:rPr>
                <w:lang w:val="en-US"/>
              </w:rPr>
              <w:t>.</w:t>
            </w:r>
          </w:p>
        </w:tc>
        <w:tc>
          <w:tcPr>
            <w:tcW w:w="1387" w:type="pct"/>
            <w:shd w:val="clear" w:color="auto" w:fill="auto"/>
            <w:vAlign w:val="center"/>
          </w:tcPr>
          <w:p w:rsidR="00DC2D44" w:rsidRPr="00E87A0D" w:rsidRDefault="0085771D" w:rsidP="0087640F">
            <w:pPr>
              <w:pStyle w:val="Tabletext"/>
              <w:keepNext/>
              <w:keepLines/>
              <w:suppressLineNumbers/>
              <w:suppressAutoHyphens/>
              <w:rPr>
                <w:lang w:val="en-US"/>
              </w:rPr>
            </w:pPr>
            <w:r w:rsidRPr="00E87A0D">
              <w:rPr>
                <w:lang w:val="en-US"/>
              </w:rPr>
              <w:t xml:space="preserve">Moderate. Assuming that the cost of ruxolitinib per 28 days to be </w:t>
            </w:r>
            <w:r w:rsidR="00D076B5">
              <w:rPr>
                <w:lang w:val="en-US"/>
              </w:rPr>
              <w:t>$</w:t>
            </w:r>
            <w:r w:rsidR="004A4EFC">
              <w:rPr>
                <w:noProof/>
                <w:color w:val="000000"/>
                <w:highlight w:val="black"/>
                <w:lang w:val="en-US"/>
              </w:rPr>
              <w:t>'''''''''''''</w:t>
            </w:r>
            <w:r w:rsidR="00D076B5" w:rsidRPr="00E87A0D">
              <w:rPr>
                <w:lang w:val="en-US"/>
              </w:rPr>
              <w:t xml:space="preserve"> instead of $</w:t>
            </w:r>
            <w:r w:rsidR="004A4EFC">
              <w:rPr>
                <w:noProof/>
                <w:color w:val="000000"/>
                <w:highlight w:val="black"/>
                <w:lang w:val="en-US"/>
              </w:rPr>
              <w:t>''''''''''''''</w:t>
            </w:r>
            <w:r w:rsidR="00D076B5" w:rsidRPr="00E87A0D">
              <w:rPr>
                <w:lang w:val="en-US"/>
              </w:rPr>
              <w:t xml:space="preserve"> </w:t>
            </w:r>
            <w:r w:rsidRPr="00E87A0D">
              <w:rPr>
                <w:lang w:val="en-US"/>
              </w:rPr>
              <w:t xml:space="preserve">increases the ICER by 24%. </w:t>
            </w:r>
          </w:p>
        </w:tc>
      </w:tr>
    </w:tbl>
    <w:p w:rsidR="00D110BD" w:rsidRDefault="00DC2D44" w:rsidP="0087640F">
      <w:pPr>
        <w:pStyle w:val="TableFooter"/>
        <w:keepNext/>
        <w:keepLines/>
        <w:widowControl/>
        <w:suppressLineNumbers/>
        <w:suppressAutoHyphens/>
      </w:pPr>
      <w:r>
        <w:t>Source: Constructed during evaluation</w:t>
      </w:r>
    </w:p>
    <w:p w:rsidR="00110870" w:rsidRDefault="007233BE" w:rsidP="0087640F">
      <w:pPr>
        <w:pStyle w:val="Caption"/>
        <w:keepNext/>
        <w:keepLines/>
        <w:widowControl/>
        <w:suppressLineNumbers/>
        <w:suppressAutoHyphens/>
      </w:pPr>
      <w:bookmarkStart w:id="26" w:name="_Ref17148919"/>
      <w:r>
        <w:t xml:space="preserve">Figure </w:t>
      </w:r>
      <w:r>
        <w:rPr>
          <w:noProof/>
        </w:rPr>
        <w:t>6</w:t>
      </w:r>
      <w:bookmarkEnd w:id="26"/>
      <w:r w:rsidR="00110870" w:rsidRPr="007233BE">
        <w:rPr>
          <w:szCs w:val="20"/>
        </w:rPr>
        <w:t>:</w:t>
      </w:r>
      <w:r w:rsidR="00110870" w:rsidRPr="007233BE">
        <w:t xml:space="preserve"> </w:t>
      </w:r>
      <w:r w:rsidR="00110870" w:rsidRPr="007233BE">
        <w:rPr>
          <w:szCs w:val="20"/>
        </w:rPr>
        <w:t>Comparison of extrapolated OS from MAGIC with published OS curves from literature</w:t>
      </w:r>
    </w:p>
    <w:p w:rsidR="00110870" w:rsidRDefault="00110870" w:rsidP="0087640F">
      <w:pPr>
        <w:pStyle w:val="ListParagraph"/>
        <w:keepNext/>
        <w:keepLines/>
        <w:widowControl/>
        <w:suppressLineNumbers/>
        <w:suppressAutoHyphens/>
        <w:spacing w:after="0"/>
        <w:ind w:left="0"/>
      </w:pPr>
      <w:r>
        <w:rPr>
          <w:rFonts w:ascii="Arial Narrow" w:hAnsi="Arial Narrow"/>
          <w:noProof/>
          <w:sz w:val="20"/>
          <w:szCs w:val="20"/>
          <w:lang w:eastAsia="en-AU"/>
        </w:rPr>
        <w:lastRenderedPageBreak/>
        <w:drawing>
          <wp:inline distT="0" distB="0" distL="0" distR="0" wp14:anchorId="5F88727E" wp14:editId="40349378">
            <wp:extent cx="5730240" cy="3558540"/>
            <wp:effectExtent l="0" t="0" r="3810" b="3810"/>
            <wp:docPr id="7" name="Picture 7" title="Figure 6: Comparison of extrapolated OS from MAGIC with published OS curves from lit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240" cy="3558540"/>
                    </a:xfrm>
                    <a:prstGeom prst="rect">
                      <a:avLst/>
                    </a:prstGeom>
                    <a:noFill/>
                  </pic:spPr>
                </pic:pic>
              </a:graphicData>
            </a:graphic>
          </wp:inline>
        </w:drawing>
      </w:r>
    </w:p>
    <w:p w:rsidR="00110870" w:rsidRDefault="00110870" w:rsidP="0087640F">
      <w:pPr>
        <w:keepNext/>
        <w:keepLines/>
        <w:widowControl/>
        <w:suppressLineNumbers/>
        <w:suppressAutoHyphens/>
        <w:rPr>
          <w:rFonts w:ascii="Arial Narrow" w:hAnsi="Arial Narrow"/>
          <w:sz w:val="18"/>
          <w:szCs w:val="20"/>
        </w:rPr>
      </w:pPr>
      <w:r w:rsidRPr="00DF76F7">
        <w:rPr>
          <w:rFonts w:ascii="Arial Narrow" w:hAnsi="Arial Narrow"/>
          <w:sz w:val="18"/>
          <w:szCs w:val="20"/>
        </w:rPr>
        <w:t xml:space="preserve">Source: constructed during evaluation using information from </w:t>
      </w:r>
      <w:proofErr w:type="spellStart"/>
      <w:r w:rsidRPr="00DF76F7">
        <w:rPr>
          <w:rFonts w:ascii="Arial Narrow" w:hAnsi="Arial Narrow"/>
          <w:sz w:val="18"/>
          <w:szCs w:val="20"/>
        </w:rPr>
        <w:t>Jakavi</w:t>
      </w:r>
      <w:proofErr w:type="spellEnd"/>
      <w:r w:rsidRPr="00DF76F7">
        <w:rPr>
          <w:rFonts w:ascii="Arial Narrow" w:hAnsi="Arial Narrow"/>
          <w:sz w:val="18"/>
          <w:szCs w:val="20"/>
        </w:rPr>
        <w:t xml:space="preserve"> (ruxolitinib) Economic Evaluation – Base case.xlsx</w:t>
      </w:r>
    </w:p>
    <w:p w:rsidR="00417E69" w:rsidRPr="00DF76F7" w:rsidRDefault="00417E69" w:rsidP="00B15FAF">
      <w:pPr>
        <w:keepNext/>
        <w:keepLines/>
        <w:rPr>
          <w:rFonts w:ascii="Arial Narrow" w:hAnsi="Arial Narrow"/>
          <w:sz w:val="18"/>
          <w:szCs w:val="20"/>
        </w:rPr>
      </w:pPr>
    </w:p>
    <w:p w:rsidR="0085771D" w:rsidRPr="00B05ECE" w:rsidRDefault="0085771D" w:rsidP="00417E69">
      <w:pPr>
        <w:pStyle w:val="ListParagraph"/>
        <w:widowControl/>
        <w:numPr>
          <w:ilvl w:val="1"/>
          <w:numId w:val="2"/>
        </w:numPr>
        <w:spacing w:after="120"/>
      </w:pPr>
      <w:r w:rsidRPr="00B05ECE">
        <w:t>While it may have been inappropriate to model adverse events which were not statistically significant, this had minimal impact on the model (+2% on ICER).  Similarly, changing the time horizon led to relatively small changes in the ICER (increasing to 30 years led to 2% decrease and decreasing to 15 years led to 6% increase)</w:t>
      </w:r>
      <w:r w:rsidR="007233BE" w:rsidRPr="00B05ECE">
        <w:t>.</w:t>
      </w:r>
      <w:r w:rsidRPr="00B05ECE">
        <w:t xml:space="preserve"> </w:t>
      </w:r>
    </w:p>
    <w:p w:rsidR="00275C5A" w:rsidRPr="00B50DB8" w:rsidRDefault="0085771D" w:rsidP="00417E69">
      <w:pPr>
        <w:pStyle w:val="ListParagraph"/>
        <w:widowControl/>
        <w:numPr>
          <w:ilvl w:val="1"/>
          <w:numId w:val="2"/>
        </w:numPr>
        <w:spacing w:after="120"/>
      </w:pPr>
      <w:r w:rsidRPr="0085771D">
        <w:t xml:space="preserve">The results of the stepped economic evaluation is presented in </w:t>
      </w:r>
      <w:r w:rsidR="007233BE">
        <w:t xml:space="preserve">Table </w:t>
      </w:r>
      <w:r w:rsidR="007233BE">
        <w:rPr>
          <w:noProof/>
        </w:rPr>
        <w:t>11</w:t>
      </w:r>
      <w:r w:rsidRPr="0085771D">
        <w:t xml:space="preserve">. </w:t>
      </w:r>
    </w:p>
    <w:p w:rsidR="00D110BD" w:rsidRPr="00FA53D9" w:rsidRDefault="007233BE" w:rsidP="0087640F">
      <w:pPr>
        <w:pStyle w:val="Caption"/>
        <w:keepNext/>
        <w:keepLines/>
        <w:widowControl/>
      </w:pPr>
      <w:bookmarkStart w:id="27" w:name="_Ref17149082"/>
      <w:r w:rsidRPr="00FA53D9">
        <w:t xml:space="preserve">Table </w:t>
      </w:r>
      <w:r w:rsidR="00CF6741" w:rsidRPr="00FA53D9">
        <w:rPr>
          <w:noProof/>
        </w:rPr>
        <w:t>11</w:t>
      </w:r>
      <w:bookmarkEnd w:id="27"/>
      <w:r w:rsidR="005A373D" w:rsidRPr="00FA53D9">
        <w:rPr>
          <w:rStyle w:val="CommentReference"/>
          <w:b/>
        </w:rPr>
        <w:t>: Results of the stepped economic evaluation</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Caption w:val="Table 11: Results of the stepped economic evaluation"/>
      </w:tblPr>
      <w:tblGrid>
        <w:gridCol w:w="2547"/>
        <w:gridCol w:w="945"/>
        <w:gridCol w:w="946"/>
        <w:gridCol w:w="946"/>
        <w:gridCol w:w="946"/>
        <w:gridCol w:w="946"/>
        <w:gridCol w:w="947"/>
        <w:gridCol w:w="1270"/>
      </w:tblGrid>
      <w:tr w:rsidR="0085771D" w:rsidRPr="00FA53D9" w:rsidTr="007C7AFD">
        <w:trPr>
          <w:cantSplit/>
          <w:tblHeader/>
        </w:trPr>
        <w:tc>
          <w:tcPr>
            <w:tcW w:w="1342" w:type="pct"/>
            <w:vMerge w:val="restart"/>
            <w:shd w:val="clear" w:color="auto" w:fill="FFFFFF" w:themeFill="background1"/>
            <w:vAlign w:val="center"/>
          </w:tcPr>
          <w:p w:rsidR="0085771D" w:rsidRPr="00FA53D9" w:rsidRDefault="0085771D" w:rsidP="0087640F">
            <w:pPr>
              <w:pStyle w:val="Tabletext"/>
              <w:keepNext/>
              <w:keepLines/>
              <w:rPr>
                <w:b/>
                <w:szCs w:val="20"/>
              </w:rPr>
            </w:pPr>
            <w:r w:rsidRPr="00FA53D9">
              <w:rPr>
                <w:b/>
                <w:szCs w:val="20"/>
              </w:rPr>
              <w:t>Data</w:t>
            </w:r>
          </w:p>
        </w:tc>
        <w:tc>
          <w:tcPr>
            <w:tcW w:w="1493" w:type="pct"/>
            <w:gridSpan w:val="3"/>
            <w:shd w:val="clear" w:color="auto" w:fill="FFFFFF" w:themeFill="background1"/>
            <w:vAlign w:val="center"/>
          </w:tcPr>
          <w:p w:rsidR="0085771D" w:rsidRPr="00FA53D9" w:rsidRDefault="0085771D" w:rsidP="0087640F">
            <w:pPr>
              <w:pStyle w:val="Tabletext"/>
              <w:keepNext/>
              <w:keepLines/>
              <w:jc w:val="center"/>
              <w:rPr>
                <w:b/>
                <w:szCs w:val="20"/>
              </w:rPr>
            </w:pPr>
            <w:r w:rsidRPr="00FA53D9">
              <w:rPr>
                <w:b/>
                <w:szCs w:val="20"/>
              </w:rPr>
              <w:t>Costs</w:t>
            </w:r>
          </w:p>
        </w:tc>
        <w:tc>
          <w:tcPr>
            <w:tcW w:w="1494" w:type="pct"/>
            <w:gridSpan w:val="3"/>
            <w:shd w:val="clear" w:color="auto" w:fill="FFFFFF" w:themeFill="background1"/>
            <w:vAlign w:val="center"/>
          </w:tcPr>
          <w:p w:rsidR="0085771D" w:rsidRPr="00FA53D9" w:rsidRDefault="003A0D84" w:rsidP="0087640F">
            <w:pPr>
              <w:pStyle w:val="Tabletext"/>
              <w:keepNext/>
              <w:keepLines/>
              <w:jc w:val="center"/>
              <w:rPr>
                <w:b/>
                <w:szCs w:val="20"/>
              </w:rPr>
            </w:pPr>
            <w:r w:rsidRPr="00FA53D9">
              <w:rPr>
                <w:b/>
                <w:szCs w:val="20"/>
              </w:rPr>
              <w:t>Health outcomes</w:t>
            </w:r>
          </w:p>
        </w:tc>
        <w:tc>
          <w:tcPr>
            <w:tcW w:w="671" w:type="pct"/>
            <w:vMerge w:val="restart"/>
            <w:shd w:val="clear" w:color="auto" w:fill="FFFFFF" w:themeFill="background1"/>
            <w:vAlign w:val="center"/>
          </w:tcPr>
          <w:p w:rsidR="0085771D" w:rsidRPr="00FA53D9" w:rsidRDefault="0085771D" w:rsidP="0087640F">
            <w:pPr>
              <w:pStyle w:val="Tabletext"/>
              <w:keepNext/>
              <w:keepLines/>
              <w:jc w:val="center"/>
              <w:rPr>
                <w:b/>
                <w:szCs w:val="20"/>
              </w:rPr>
            </w:pPr>
            <w:r w:rsidRPr="00FA53D9">
              <w:rPr>
                <w:b/>
                <w:szCs w:val="20"/>
              </w:rPr>
              <w:t>Incremental cost-effectiveness ratio</w:t>
            </w:r>
          </w:p>
        </w:tc>
      </w:tr>
      <w:tr w:rsidR="0085771D" w:rsidRPr="00FA53D9" w:rsidTr="007C7AFD">
        <w:trPr>
          <w:cantSplit/>
          <w:tblHeader/>
        </w:trPr>
        <w:tc>
          <w:tcPr>
            <w:tcW w:w="1342" w:type="pct"/>
            <w:vMerge/>
            <w:shd w:val="clear" w:color="auto" w:fill="FFFFFF" w:themeFill="background1"/>
            <w:vAlign w:val="center"/>
          </w:tcPr>
          <w:p w:rsidR="0085771D" w:rsidRPr="00FA53D9" w:rsidRDefault="0085771D" w:rsidP="0087640F">
            <w:pPr>
              <w:pStyle w:val="Tabletext"/>
              <w:keepNext/>
              <w:keepLines/>
              <w:rPr>
                <w:szCs w:val="20"/>
              </w:rPr>
            </w:pPr>
          </w:p>
        </w:tc>
        <w:tc>
          <w:tcPr>
            <w:tcW w:w="498" w:type="pct"/>
            <w:shd w:val="clear" w:color="auto" w:fill="FFFFFF" w:themeFill="background1"/>
            <w:vAlign w:val="center"/>
          </w:tcPr>
          <w:p w:rsidR="0085771D" w:rsidRPr="00FA53D9" w:rsidRDefault="0085771D" w:rsidP="0087640F">
            <w:pPr>
              <w:pStyle w:val="Tabletext"/>
              <w:keepNext/>
              <w:keepLines/>
              <w:jc w:val="center"/>
              <w:rPr>
                <w:rFonts w:ascii="Times" w:hAnsi="Times"/>
                <w:b/>
                <w:szCs w:val="20"/>
              </w:rPr>
            </w:pPr>
            <w:r w:rsidRPr="00FA53D9">
              <w:rPr>
                <w:b/>
                <w:szCs w:val="20"/>
              </w:rPr>
              <w:t>Ruxolitinib</w:t>
            </w:r>
          </w:p>
        </w:tc>
        <w:tc>
          <w:tcPr>
            <w:tcW w:w="498" w:type="pct"/>
            <w:shd w:val="clear" w:color="auto" w:fill="FFFFFF" w:themeFill="background1"/>
            <w:vAlign w:val="center"/>
          </w:tcPr>
          <w:p w:rsidR="0085771D" w:rsidRPr="00FA53D9" w:rsidRDefault="0085771D" w:rsidP="0087640F">
            <w:pPr>
              <w:pStyle w:val="Tabletext"/>
              <w:keepNext/>
              <w:keepLines/>
              <w:jc w:val="center"/>
              <w:rPr>
                <w:rFonts w:ascii="Times" w:hAnsi="Times"/>
                <w:b/>
                <w:szCs w:val="20"/>
              </w:rPr>
            </w:pPr>
            <w:r w:rsidRPr="00FA53D9">
              <w:rPr>
                <w:b/>
                <w:szCs w:val="20"/>
              </w:rPr>
              <w:t>BAT</w:t>
            </w:r>
          </w:p>
        </w:tc>
        <w:tc>
          <w:tcPr>
            <w:tcW w:w="498" w:type="pct"/>
            <w:shd w:val="clear" w:color="auto" w:fill="FFFFFF" w:themeFill="background1"/>
            <w:vAlign w:val="center"/>
          </w:tcPr>
          <w:p w:rsidR="0085771D" w:rsidRPr="00FA53D9" w:rsidRDefault="0085771D" w:rsidP="0087640F">
            <w:pPr>
              <w:pStyle w:val="Tabletext"/>
              <w:keepNext/>
              <w:keepLines/>
              <w:jc w:val="center"/>
              <w:rPr>
                <w:rFonts w:ascii="Times" w:hAnsi="Times"/>
                <w:b/>
                <w:szCs w:val="20"/>
              </w:rPr>
            </w:pPr>
            <w:r w:rsidRPr="00FA53D9">
              <w:rPr>
                <w:b/>
                <w:szCs w:val="20"/>
              </w:rPr>
              <w:t>Increment</w:t>
            </w:r>
          </w:p>
        </w:tc>
        <w:tc>
          <w:tcPr>
            <w:tcW w:w="498" w:type="pct"/>
            <w:shd w:val="clear" w:color="auto" w:fill="FFFFFF" w:themeFill="background1"/>
            <w:vAlign w:val="center"/>
          </w:tcPr>
          <w:p w:rsidR="0085771D" w:rsidRPr="00FA53D9" w:rsidRDefault="0085771D" w:rsidP="0087640F">
            <w:pPr>
              <w:pStyle w:val="Tabletext"/>
              <w:keepNext/>
              <w:keepLines/>
              <w:jc w:val="center"/>
              <w:rPr>
                <w:rFonts w:ascii="Times" w:hAnsi="Times"/>
                <w:b/>
                <w:szCs w:val="20"/>
              </w:rPr>
            </w:pPr>
            <w:r w:rsidRPr="00FA53D9">
              <w:rPr>
                <w:b/>
                <w:szCs w:val="20"/>
              </w:rPr>
              <w:t>Ruxolitinib</w:t>
            </w:r>
          </w:p>
        </w:tc>
        <w:tc>
          <w:tcPr>
            <w:tcW w:w="498" w:type="pct"/>
            <w:shd w:val="clear" w:color="auto" w:fill="FFFFFF" w:themeFill="background1"/>
            <w:vAlign w:val="center"/>
          </w:tcPr>
          <w:p w:rsidR="0085771D" w:rsidRPr="00FA53D9" w:rsidRDefault="0085771D" w:rsidP="0087640F">
            <w:pPr>
              <w:pStyle w:val="Tabletext"/>
              <w:keepNext/>
              <w:keepLines/>
              <w:jc w:val="center"/>
              <w:rPr>
                <w:b/>
                <w:szCs w:val="20"/>
              </w:rPr>
            </w:pPr>
            <w:r w:rsidRPr="00FA53D9">
              <w:rPr>
                <w:b/>
                <w:szCs w:val="20"/>
              </w:rPr>
              <w:t>BAT</w:t>
            </w:r>
          </w:p>
        </w:tc>
        <w:tc>
          <w:tcPr>
            <w:tcW w:w="499" w:type="pct"/>
            <w:shd w:val="clear" w:color="auto" w:fill="FFFFFF" w:themeFill="background1"/>
            <w:vAlign w:val="center"/>
          </w:tcPr>
          <w:p w:rsidR="0085771D" w:rsidRPr="00FA53D9" w:rsidRDefault="0085771D" w:rsidP="0087640F">
            <w:pPr>
              <w:pStyle w:val="Tabletext"/>
              <w:keepNext/>
              <w:keepLines/>
              <w:jc w:val="center"/>
              <w:rPr>
                <w:b/>
                <w:szCs w:val="20"/>
              </w:rPr>
            </w:pPr>
            <w:r w:rsidRPr="00FA53D9">
              <w:rPr>
                <w:b/>
                <w:szCs w:val="20"/>
              </w:rPr>
              <w:t>Increment</w:t>
            </w:r>
          </w:p>
        </w:tc>
        <w:tc>
          <w:tcPr>
            <w:tcW w:w="671" w:type="pct"/>
            <w:vMerge/>
            <w:shd w:val="clear" w:color="auto" w:fill="FFFFFF" w:themeFill="background1"/>
            <w:vAlign w:val="center"/>
          </w:tcPr>
          <w:p w:rsidR="0085771D" w:rsidRPr="00FA53D9" w:rsidRDefault="0085771D" w:rsidP="0087640F">
            <w:pPr>
              <w:pStyle w:val="Tabletext"/>
              <w:keepNext/>
              <w:keepLines/>
              <w:jc w:val="center"/>
              <w:rPr>
                <w:szCs w:val="20"/>
              </w:rPr>
            </w:pPr>
          </w:p>
        </w:tc>
      </w:tr>
      <w:tr w:rsidR="0085771D" w:rsidRPr="00FA53D9" w:rsidTr="007C7AFD">
        <w:trPr>
          <w:cantSplit/>
        </w:trPr>
        <w:tc>
          <w:tcPr>
            <w:tcW w:w="1342" w:type="pct"/>
            <w:vMerge w:val="restart"/>
            <w:shd w:val="clear" w:color="auto" w:fill="FFFFFF" w:themeFill="background1"/>
            <w:vAlign w:val="center"/>
          </w:tcPr>
          <w:p w:rsidR="0085771D" w:rsidRPr="00FA53D9" w:rsidRDefault="0085771D" w:rsidP="0087640F">
            <w:pPr>
              <w:pStyle w:val="Tabletext"/>
              <w:keepNext/>
              <w:keepLines/>
              <w:rPr>
                <w:szCs w:val="20"/>
              </w:rPr>
            </w:pPr>
            <w:r w:rsidRPr="00FA53D9">
              <w:rPr>
                <w:rFonts w:cs="Calibri"/>
                <w:szCs w:val="20"/>
              </w:rPr>
              <w:t>Step 1: MAJIC (time horizon 5 years)</w:t>
            </w:r>
            <w:r w:rsidR="006552A6">
              <w:rPr>
                <w:vertAlign w:val="superscript"/>
              </w:rPr>
              <w:t>a</w:t>
            </w:r>
          </w:p>
        </w:tc>
        <w:tc>
          <w:tcPr>
            <w:tcW w:w="498" w:type="pct"/>
            <w:vMerge w:val="restart"/>
            <w:shd w:val="clear" w:color="auto" w:fill="FFFFFF" w:themeFill="background1"/>
            <w:vAlign w:val="center"/>
          </w:tcPr>
          <w:p w:rsidR="0085771D" w:rsidRPr="004A4EFC" w:rsidRDefault="004A4EFC" w:rsidP="0087640F">
            <w:pPr>
              <w:pStyle w:val="Tabletext"/>
              <w:keepNext/>
              <w:keepLines/>
              <w:jc w:val="center"/>
              <w:rPr>
                <w:rFonts w:ascii="Times" w:hAnsi="Times"/>
                <w:szCs w:val="20"/>
                <w:highlight w:val="black"/>
              </w:rPr>
            </w:pPr>
            <w:r>
              <w:rPr>
                <w:rFonts w:cs="Calibri"/>
                <w:noProof/>
                <w:color w:val="000000"/>
                <w:szCs w:val="20"/>
                <w:highlight w:val="black"/>
              </w:rPr>
              <w:t>'''''''''''''''''</w:t>
            </w:r>
          </w:p>
        </w:tc>
        <w:tc>
          <w:tcPr>
            <w:tcW w:w="498" w:type="pct"/>
            <w:vMerge w:val="restart"/>
            <w:shd w:val="clear" w:color="auto" w:fill="FFFFFF" w:themeFill="background1"/>
            <w:vAlign w:val="center"/>
          </w:tcPr>
          <w:p w:rsidR="0085771D" w:rsidRPr="004A4EFC" w:rsidRDefault="004A4EFC" w:rsidP="0087640F">
            <w:pPr>
              <w:pStyle w:val="Tabletext"/>
              <w:keepNext/>
              <w:keepLines/>
              <w:jc w:val="center"/>
              <w:rPr>
                <w:rFonts w:ascii="Times" w:hAnsi="Times"/>
                <w:szCs w:val="20"/>
                <w:highlight w:val="black"/>
              </w:rPr>
            </w:pPr>
            <w:r>
              <w:rPr>
                <w:rFonts w:cs="Calibri"/>
                <w:noProof/>
                <w:color w:val="000000"/>
                <w:szCs w:val="20"/>
                <w:highlight w:val="black"/>
              </w:rPr>
              <w:t>'''''''''''''''''</w:t>
            </w:r>
          </w:p>
        </w:tc>
        <w:tc>
          <w:tcPr>
            <w:tcW w:w="498" w:type="pct"/>
            <w:vMerge w:val="restart"/>
            <w:shd w:val="clear" w:color="auto" w:fill="FFFFFF" w:themeFill="background1"/>
            <w:vAlign w:val="center"/>
          </w:tcPr>
          <w:p w:rsidR="0085771D" w:rsidRPr="004A4EFC" w:rsidRDefault="004A4EFC" w:rsidP="0087640F">
            <w:pPr>
              <w:pStyle w:val="Tabletext"/>
              <w:keepNext/>
              <w:keepLines/>
              <w:jc w:val="center"/>
              <w:rPr>
                <w:rFonts w:ascii="Times" w:hAnsi="Times"/>
                <w:szCs w:val="20"/>
                <w:highlight w:val="black"/>
              </w:rPr>
            </w:pPr>
            <w:r>
              <w:rPr>
                <w:rFonts w:cs="Calibri"/>
                <w:noProof/>
                <w:color w:val="000000"/>
                <w:szCs w:val="20"/>
                <w:highlight w:val="black"/>
              </w:rPr>
              <w:t>''''''''''''''''''</w:t>
            </w:r>
          </w:p>
        </w:tc>
        <w:tc>
          <w:tcPr>
            <w:tcW w:w="498" w:type="pct"/>
            <w:shd w:val="clear" w:color="auto" w:fill="FFFFFF" w:themeFill="background1"/>
            <w:vAlign w:val="center"/>
          </w:tcPr>
          <w:p w:rsidR="0085771D" w:rsidRPr="006552A6" w:rsidRDefault="004A4EFC" w:rsidP="0087640F">
            <w:pPr>
              <w:pStyle w:val="Tabletext"/>
              <w:keepNext/>
              <w:keepLines/>
              <w:jc w:val="center"/>
              <w:rPr>
                <w:szCs w:val="20"/>
              </w:rPr>
            </w:pPr>
            <w:r>
              <w:rPr>
                <w:rFonts w:cs="Calibri"/>
                <w:noProof/>
                <w:color w:val="000000"/>
                <w:szCs w:val="20"/>
                <w:highlight w:val="black"/>
              </w:rPr>
              <w:t>'''''''''''</w:t>
            </w:r>
            <w:r w:rsidR="0085771D" w:rsidRPr="006552A6">
              <w:rPr>
                <w:rFonts w:cs="Calibri"/>
                <w:szCs w:val="20"/>
              </w:rPr>
              <w:t xml:space="preserve"> LY</w:t>
            </w:r>
          </w:p>
        </w:tc>
        <w:tc>
          <w:tcPr>
            <w:tcW w:w="498" w:type="pct"/>
            <w:shd w:val="clear" w:color="auto" w:fill="FFFFFF" w:themeFill="background1"/>
            <w:vAlign w:val="center"/>
          </w:tcPr>
          <w:p w:rsidR="0085771D" w:rsidRPr="006552A6" w:rsidRDefault="004A4EFC" w:rsidP="0087640F">
            <w:pPr>
              <w:pStyle w:val="Tabletext"/>
              <w:keepNext/>
              <w:keepLines/>
              <w:jc w:val="center"/>
              <w:rPr>
                <w:szCs w:val="20"/>
              </w:rPr>
            </w:pPr>
            <w:r>
              <w:rPr>
                <w:rFonts w:cs="Calibri"/>
                <w:noProof/>
                <w:color w:val="000000"/>
                <w:szCs w:val="20"/>
                <w:highlight w:val="black"/>
              </w:rPr>
              <w:t>''''''''''</w:t>
            </w:r>
            <w:r w:rsidR="0085771D" w:rsidRPr="006552A6">
              <w:rPr>
                <w:rFonts w:cs="Calibri"/>
                <w:szCs w:val="20"/>
              </w:rPr>
              <w:t xml:space="preserve"> LY</w:t>
            </w:r>
          </w:p>
        </w:tc>
        <w:tc>
          <w:tcPr>
            <w:tcW w:w="499" w:type="pct"/>
            <w:shd w:val="clear" w:color="auto" w:fill="FFFFFF" w:themeFill="background1"/>
            <w:vAlign w:val="center"/>
          </w:tcPr>
          <w:p w:rsidR="0085771D" w:rsidRPr="006552A6" w:rsidRDefault="004A4EFC" w:rsidP="0087640F">
            <w:pPr>
              <w:pStyle w:val="Tabletext"/>
              <w:keepNext/>
              <w:keepLines/>
              <w:jc w:val="center"/>
              <w:rPr>
                <w:rFonts w:ascii="Times" w:hAnsi="Times"/>
                <w:szCs w:val="20"/>
              </w:rPr>
            </w:pPr>
            <w:r>
              <w:rPr>
                <w:rFonts w:cs="Calibri"/>
                <w:noProof/>
                <w:color w:val="000000"/>
                <w:szCs w:val="20"/>
                <w:highlight w:val="black"/>
              </w:rPr>
              <w:t>''''''''''</w:t>
            </w:r>
            <w:r w:rsidR="0085771D" w:rsidRPr="006552A6">
              <w:rPr>
                <w:rFonts w:cs="Calibri"/>
                <w:szCs w:val="20"/>
              </w:rPr>
              <w:t xml:space="preserve"> LY</w:t>
            </w:r>
          </w:p>
        </w:tc>
        <w:tc>
          <w:tcPr>
            <w:tcW w:w="671" w:type="pct"/>
            <w:shd w:val="clear" w:color="auto" w:fill="FFFFFF" w:themeFill="background1"/>
            <w:vAlign w:val="center"/>
          </w:tcPr>
          <w:p w:rsidR="0085771D" w:rsidRPr="006552A6" w:rsidRDefault="0085771D" w:rsidP="0087640F">
            <w:pPr>
              <w:pStyle w:val="Tabletext"/>
              <w:keepNext/>
              <w:keepLines/>
              <w:jc w:val="center"/>
              <w:rPr>
                <w:rFonts w:ascii="Times" w:hAnsi="Times"/>
                <w:szCs w:val="20"/>
              </w:rPr>
            </w:pPr>
            <w:r w:rsidRPr="006552A6">
              <w:rPr>
                <w:rFonts w:cs="Calibri"/>
                <w:szCs w:val="20"/>
              </w:rPr>
              <w:t>$</w:t>
            </w:r>
            <w:r w:rsidR="004A4EFC">
              <w:rPr>
                <w:rFonts w:cs="Calibri"/>
                <w:noProof/>
                <w:color w:val="000000"/>
                <w:szCs w:val="20"/>
                <w:highlight w:val="black"/>
              </w:rPr>
              <w:t>''''''''''''''''''''</w:t>
            </w:r>
            <w:r w:rsidRPr="006552A6">
              <w:rPr>
                <w:rFonts w:cs="Calibri"/>
                <w:szCs w:val="20"/>
              </w:rPr>
              <w:t>/LYG</w:t>
            </w:r>
          </w:p>
        </w:tc>
      </w:tr>
      <w:tr w:rsidR="0085771D" w:rsidRPr="00FA53D9" w:rsidTr="007C7AFD">
        <w:trPr>
          <w:cantSplit/>
        </w:trPr>
        <w:tc>
          <w:tcPr>
            <w:tcW w:w="1342" w:type="pct"/>
            <w:vMerge/>
            <w:shd w:val="clear" w:color="auto" w:fill="FFFFFF" w:themeFill="background1"/>
            <w:vAlign w:val="center"/>
          </w:tcPr>
          <w:p w:rsidR="0085771D" w:rsidRPr="00FA53D9" w:rsidRDefault="0085771D" w:rsidP="0087640F">
            <w:pPr>
              <w:pStyle w:val="Tabletext"/>
              <w:keepNext/>
              <w:keepLines/>
              <w:rPr>
                <w:rFonts w:cs="Calibri"/>
                <w:szCs w:val="20"/>
              </w:rPr>
            </w:pPr>
          </w:p>
        </w:tc>
        <w:tc>
          <w:tcPr>
            <w:tcW w:w="498" w:type="pct"/>
            <w:vMerge/>
            <w:shd w:val="clear" w:color="auto" w:fill="FFFFFF" w:themeFill="background1"/>
            <w:vAlign w:val="center"/>
          </w:tcPr>
          <w:p w:rsidR="0085771D" w:rsidRPr="004A4EFC" w:rsidRDefault="0085771D" w:rsidP="0087640F">
            <w:pPr>
              <w:pStyle w:val="Tabletext"/>
              <w:keepNext/>
              <w:keepLines/>
              <w:jc w:val="center"/>
              <w:rPr>
                <w:rFonts w:cs="Calibri"/>
                <w:szCs w:val="20"/>
              </w:rPr>
            </w:pPr>
          </w:p>
        </w:tc>
        <w:tc>
          <w:tcPr>
            <w:tcW w:w="498" w:type="pct"/>
            <w:vMerge/>
            <w:shd w:val="clear" w:color="auto" w:fill="FFFFFF" w:themeFill="background1"/>
            <w:vAlign w:val="center"/>
          </w:tcPr>
          <w:p w:rsidR="0085771D" w:rsidRPr="004A4EFC" w:rsidRDefault="0085771D" w:rsidP="0087640F">
            <w:pPr>
              <w:pStyle w:val="Tabletext"/>
              <w:keepNext/>
              <w:keepLines/>
              <w:jc w:val="center"/>
              <w:rPr>
                <w:rFonts w:cs="Calibri"/>
                <w:szCs w:val="20"/>
              </w:rPr>
            </w:pPr>
          </w:p>
        </w:tc>
        <w:tc>
          <w:tcPr>
            <w:tcW w:w="498" w:type="pct"/>
            <w:vMerge/>
            <w:shd w:val="clear" w:color="auto" w:fill="FFFFFF" w:themeFill="background1"/>
            <w:vAlign w:val="center"/>
          </w:tcPr>
          <w:p w:rsidR="0085771D" w:rsidRPr="004A4EFC" w:rsidRDefault="0085771D" w:rsidP="0087640F">
            <w:pPr>
              <w:pStyle w:val="Tabletext"/>
              <w:keepNext/>
              <w:keepLines/>
              <w:jc w:val="center"/>
              <w:rPr>
                <w:rFonts w:cs="Calibri"/>
                <w:szCs w:val="20"/>
              </w:rPr>
            </w:pPr>
          </w:p>
        </w:tc>
        <w:tc>
          <w:tcPr>
            <w:tcW w:w="498" w:type="pct"/>
            <w:shd w:val="clear" w:color="auto" w:fill="FFFFFF" w:themeFill="background1"/>
            <w:vAlign w:val="center"/>
          </w:tcPr>
          <w:p w:rsidR="0085771D" w:rsidRPr="006552A6" w:rsidRDefault="004A4EFC" w:rsidP="0087640F">
            <w:pPr>
              <w:pStyle w:val="Tabletext"/>
              <w:keepNext/>
              <w:keepLines/>
              <w:jc w:val="center"/>
              <w:rPr>
                <w:rFonts w:cs="Calibri"/>
                <w:szCs w:val="20"/>
              </w:rPr>
            </w:pPr>
            <w:r>
              <w:rPr>
                <w:rFonts w:cs="Calibri"/>
                <w:noProof/>
                <w:color w:val="000000"/>
                <w:szCs w:val="20"/>
                <w:highlight w:val="black"/>
              </w:rPr>
              <w:t>''''''''''</w:t>
            </w:r>
            <w:r w:rsidR="0085771D" w:rsidRPr="006552A6">
              <w:rPr>
                <w:rFonts w:cs="Calibri"/>
                <w:szCs w:val="20"/>
              </w:rPr>
              <w:t xml:space="preserve"> QALY</w:t>
            </w:r>
          </w:p>
        </w:tc>
        <w:tc>
          <w:tcPr>
            <w:tcW w:w="498" w:type="pct"/>
            <w:shd w:val="clear" w:color="auto" w:fill="FFFFFF" w:themeFill="background1"/>
            <w:vAlign w:val="center"/>
          </w:tcPr>
          <w:p w:rsidR="0085771D" w:rsidRPr="006552A6" w:rsidRDefault="004A4EFC" w:rsidP="0087640F">
            <w:pPr>
              <w:pStyle w:val="Tabletext"/>
              <w:keepNext/>
              <w:keepLines/>
              <w:jc w:val="center"/>
              <w:rPr>
                <w:rFonts w:cs="Calibri"/>
                <w:szCs w:val="20"/>
              </w:rPr>
            </w:pPr>
            <w:r>
              <w:rPr>
                <w:rFonts w:cs="Calibri"/>
                <w:noProof/>
                <w:color w:val="000000"/>
                <w:szCs w:val="20"/>
                <w:highlight w:val="black"/>
              </w:rPr>
              <w:t>''''''''''''</w:t>
            </w:r>
            <w:r w:rsidR="0085771D" w:rsidRPr="006552A6">
              <w:rPr>
                <w:rFonts w:cs="Calibri"/>
                <w:szCs w:val="20"/>
              </w:rPr>
              <w:t xml:space="preserve"> QALY</w:t>
            </w:r>
          </w:p>
        </w:tc>
        <w:tc>
          <w:tcPr>
            <w:tcW w:w="499" w:type="pct"/>
            <w:shd w:val="clear" w:color="auto" w:fill="FFFFFF" w:themeFill="background1"/>
            <w:vAlign w:val="center"/>
          </w:tcPr>
          <w:p w:rsidR="0085771D" w:rsidRPr="006552A6" w:rsidRDefault="004A4EFC" w:rsidP="0087640F">
            <w:pPr>
              <w:pStyle w:val="Tabletext"/>
              <w:keepNext/>
              <w:keepLines/>
              <w:jc w:val="center"/>
              <w:rPr>
                <w:rFonts w:cs="Calibri"/>
                <w:szCs w:val="20"/>
              </w:rPr>
            </w:pPr>
            <w:r>
              <w:rPr>
                <w:rFonts w:cs="Calibri"/>
                <w:noProof/>
                <w:color w:val="000000"/>
                <w:szCs w:val="20"/>
                <w:highlight w:val="black"/>
              </w:rPr>
              <w:t xml:space="preserve">''''''''''' </w:t>
            </w:r>
            <w:r w:rsidR="0085771D" w:rsidRPr="006552A6">
              <w:rPr>
                <w:rFonts w:cs="Calibri"/>
                <w:szCs w:val="20"/>
              </w:rPr>
              <w:t>QALY</w:t>
            </w:r>
          </w:p>
        </w:tc>
        <w:tc>
          <w:tcPr>
            <w:tcW w:w="671" w:type="pct"/>
            <w:shd w:val="clear" w:color="auto" w:fill="FFFFFF" w:themeFill="background1"/>
            <w:vAlign w:val="center"/>
          </w:tcPr>
          <w:p w:rsidR="0085771D" w:rsidRPr="006552A6" w:rsidRDefault="0085771D" w:rsidP="0087640F">
            <w:pPr>
              <w:pStyle w:val="Tabletext"/>
              <w:keepNext/>
              <w:keepLines/>
              <w:jc w:val="center"/>
              <w:rPr>
                <w:rFonts w:cs="Calibri"/>
                <w:szCs w:val="20"/>
              </w:rPr>
            </w:pPr>
            <w:r w:rsidRPr="006552A6">
              <w:rPr>
                <w:rFonts w:cs="Calibri"/>
                <w:szCs w:val="20"/>
              </w:rPr>
              <w:t>$</w:t>
            </w:r>
            <w:r w:rsidR="004A4EFC">
              <w:rPr>
                <w:rFonts w:cs="Calibri"/>
                <w:noProof/>
                <w:color w:val="000000"/>
                <w:szCs w:val="20"/>
                <w:highlight w:val="black"/>
              </w:rPr>
              <w:t>'''''''''''''''''</w:t>
            </w:r>
            <w:r w:rsidRPr="006552A6">
              <w:rPr>
                <w:rFonts w:cs="Calibri"/>
                <w:szCs w:val="20"/>
              </w:rPr>
              <w:t>/QALY</w:t>
            </w:r>
          </w:p>
        </w:tc>
      </w:tr>
      <w:tr w:rsidR="0085771D" w:rsidRPr="00FA53D9" w:rsidTr="007C7AFD">
        <w:trPr>
          <w:cantSplit/>
          <w:trHeight w:val="304"/>
        </w:trPr>
        <w:tc>
          <w:tcPr>
            <w:tcW w:w="1342" w:type="pct"/>
            <w:vMerge w:val="restart"/>
            <w:shd w:val="clear" w:color="auto" w:fill="FFFFFF" w:themeFill="background1"/>
            <w:vAlign w:val="center"/>
          </w:tcPr>
          <w:p w:rsidR="0085771D" w:rsidRPr="00FA53D9" w:rsidRDefault="0085771D" w:rsidP="0087640F">
            <w:pPr>
              <w:pStyle w:val="Tabletext"/>
              <w:keepNext/>
              <w:keepLines/>
              <w:rPr>
                <w:szCs w:val="20"/>
              </w:rPr>
            </w:pPr>
            <w:r w:rsidRPr="00FA53D9">
              <w:rPr>
                <w:rFonts w:cs="Calibri"/>
                <w:szCs w:val="20"/>
              </w:rPr>
              <w:t xml:space="preserve">Step 2: MAJIC extrapolated to 20 years, background mortality and ruxolitinib continuation criteria </w:t>
            </w:r>
          </w:p>
        </w:tc>
        <w:tc>
          <w:tcPr>
            <w:tcW w:w="498" w:type="pct"/>
            <w:vMerge w:val="restart"/>
            <w:shd w:val="clear" w:color="auto" w:fill="FFFFFF" w:themeFill="background1"/>
            <w:vAlign w:val="center"/>
          </w:tcPr>
          <w:p w:rsidR="0085771D" w:rsidRPr="004A4EFC" w:rsidRDefault="004A4EFC" w:rsidP="0087640F">
            <w:pPr>
              <w:pStyle w:val="Tabletext"/>
              <w:keepNext/>
              <w:keepLines/>
              <w:jc w:val="center"/>
              <w:rPr>
                <w:rFonts w:ascii="Times" w:hAnsi="Times"/>
                <w:szCs w:val="20"/>
                <w:highlight w:val="black"/>
              </w:rPr>
            </w:pPr>
            <w:r>
              <w:rPr>
                <w:rFonts w:cs="Calibri"/>
                <w:noProof/>
                <w:color w:val="000000"/>
                <w:szCs w:val="20"/>
                <w:highlight w:val="black"/>
              </w:rPr>
              <w:t>'''''''''''''''''''''</w:t>
            </w:r>
          </w:p>
        </w:tc>
        <w:tc>
          <w:tcPr>
            <w:tcW w:w="498" w:type="pct"/>
            <w:vMerge w:val="restart"/>
            <w:shd w:val="clear" w:color="auto" w:fill="FFFFFF" w:themeFill="background1"/>
            <w:vAlign w:val="center"/>
          </w:tcPr>
          <w:p w:rsidR="0085771D" w:rsidRPr="004A4EFC" w:rsidRDefault="004A4EFC" w:rsidP="0087640F">
            <w:pPr>
              <w:pStyle w:val="Tabletext"/>
              <w:keepNext/>
              <w:keepLines/>
              <w:jc w:val="center"/>
              <w:rPr>
                <w:rFonts w:ascii="Times" w:hAnsi="Times"/>
                <w:szCs w:val="20"/>
                <w:highlight w:val="black"/>
              </w:rPr>
            </w:pPr>
            <w:r>
              <w:rPr>
                <w:rFonts w:cs="Calibri"/>
                <w:noProof/>
                <w:color w:val="000000"/>
                <w:szCs w:val="20"/>
                <w:highlight w:val="black"/>
              </w:rPr>
              <w:t>''''''''''''''''''</w:t>
            </w:r>
          </w:p>
        </w:tc>
        <w:tc>
          <w:tcPr>
            <w:tcW w:w="498" w:type="pct"/>
            <w:vMerge w:val="restart"/>
            <w:shd w:val="clear" w:color="auto" w:fill="FFFFFF" w:themeFill="background1"/>
            <w:vAlign w:val="center"/>
          </w:tcPr>
          <w:p w:rsidR="0085771D" w:rsidRPr="004A4EFC" w:rsidRDefault="004A4EFC" w:rsidP="0087640F">
            <w:pPr>
              <w:pStyle w:val="Tabletext"/>
              <w:keepNext/>
              <w:keepLines/>
              <w:jc w:val="center"/>
              <w:rPr>
                <w:rFonts w:ascii="Times" w:hAnsi="Times"/>
                <w:szCs w:val="20"/>
                <w:highlight w:val="black"/>
              </w:rPr>
            </w:pPr>
            <w:r>
              <w:rPr>
                <w:rFonts w:cs="Calibri"/>
                <w:noProof/>
                <w:color w:val="000000"/>
                <w:szCs w:val="20"/>
                <w:highlight w:val="black"/>
              </w:rPr>
              <w:t>''''''''''''''''''</w:t>
            </w:r>
          </w:p>
        </w:tc>
        <w:tc>
          <w:tcPr>
            <w:tcW w:w="498" w:type="pct"/>
            <w:shd w:val="clear" w:color="auto" w:fill="FFFFFF" w:themeFill="background1"/>
            <w:vAlign w:val="center"/>
          </w:tcPr>
          <w:p w:rsidR="0085771D" w:rsidRPr="00FA53D9" w:rsidRDefault="004A4EFC" w:rsidP="0087640F">
            <w:pPr>
              <w:pStyle w:val="Tabletext"/>
              <w:keepNext/>
              <w:keepLines/>
              <w:jc w:val="center"/>
              <w:rPr>
                <w:rFonts w:ascii="Times" w:hAnsi="Times"/>
                <w:szCs w:val="20"/>
              </w:rPr>
            </w:pPr>
            <w:r>
              <w:rPr>
                <w:rFonts w:cs="Calibri"/>
                <w:noProof/>
                <w:color w:val="000000"/>
                <w:szCs w:val="20"/>
                <w:highlight w:val="black"/>
              </w:rPr>
              <w:t>''''''''''</w:t>
            </w:r>
            <w:r w:rsidR="0085771D" w:rsidRPr="00FA53D9">
              <w:rPr>
                <w:rFonts w:cs="Calibri"/>
                <w:szCs w:val="20"/>
              </w:rPr>
              <w:t xml:space="preserve"> LY</w:t>
            </w:r>
          </w:p>
        </w:tc>
        <w:tc>
          <w:tcPr>
            <w:tcW w:w="498" w:type="pct"/>
            <w:shd w:val="clear" w:color="auto" w:fill="FFFFFF" w:themeFill="background1"/>
            <w:vAlign w:val="center"/>
          </w:tcPr>
          <w:p w:rsidR="0085771D" w:rsidRPr="00FA53D9" w:rsidRDefault="004A4EFC" w:rsidP="0087640F">
            <w:pPr>
              <w:pStyle w:val="Tabletext"/>
              <w:keepNext/>
              <w:keepLines/>
              <w:jc w:val="center"/>
              <w:rPr>
                <w:rFonts w:ascii="Times" w:hAnsi="Times"/>
                <w:szCs w:val="20"/>
              </w:rPr>
            </w:pPr>
            <w:r>
              <w:rPr>
                <w:rFonts w:cs="Calibri"/>
                <w:noProof/>
                <w:color w:val="000000"/>
                <w:szCs w:val="20"/>
                <w:highlight w:val="black"/>
              </w:rPr>
              <w:t>''''''''''</w:t>
            </w:r>
            <w:r w:rsidR="0085771D" w:rsidRPr="00FA53D9">
              <w:rPr>
                <w:rFonts w:cs="Calibri"/>
                <w:szCs w:val="20"/>
              </w:rPr>
              <w:t xml:space="preserve"> LY</w:t>
            </w:r>
          </w:p>
        </w:tc>
        <w:tc>
          <w:tcPr>
            <w:tcW w:w="499" w:type="pct"/>
            <w:shd w:val="clear" w:color="auto" w:fill="FFFFFF" w:themeFill="background1"/>
            <w:vAlign w:val="center"/>
          </w:tcPr>
          <w:p w:rsidR="0085771D" w:rsidRPr="00FA53D9" w:rsidRDefault="004A4EFC" w:rsidP="0087640F">
            <w:pPr>
              <w:pStyle w:val="Tabletext"/>
              <w:keepNext/>
              <w:keepLines/>
              <w:jc w:val="center"/>
              <w:rPr>
                <w:rFonts w:ascii="Times" w:hAnsi="Times"/>
                <w:szCs w:val="20"/>
              </w:rPr>
            </w:pPr>
            <w:r>
              <w:rPr>
                <w:rFonts w:cs="Calibri"/>
                <w:noProof/>
                <w:color w:val="000000"/>
                <w:szCs w:val="20"/>
                <w:highlight w:val="black"/>
              </w:rPr>
              <w:t>'''''''''''</w:t>
            </w:r>
            <w:r w:rsidR="0085771D" w:rsidRPr="00FA53D9">
              <w:rPr>
                <w:rFonts w:cs="Calibri"/>
                <w:szCs w:val="20"/>
              </w:rPr>
              <w:t xml:space="preserve"> LY</w:t>
            </w:r>
          </w:p>
        </w:tc>
        <w:tc>
          <w:tcPr>
            <w:tcW w:w="671" w:type="pct"/>
            <w:shd w:val="clear" w:color="auto" w:fill="FFFFFF" w:themeFill="background1"/>
            <w:vAlign w:val="center"/>
          </w:tcPr>
          <w:p w:rsidR="0085771D" w:rsidRPr="00FA53D9" w:rsidRDefault="0085771D" w:rsidP="0087640F">
            <w:pPr>
              <w:pStyle w:val="Tabletext"/>
              <w:keepNext/>
              <w:keepLines/>
              <w:jc w:val="center"/>
              <w:rPr>
                <w:rFonts w:ascii="Times" w:hAnsi="Times"/>
                <w:szCs w:val="20"/>
              </w:rPr>
            </w:pPr>
            <w:r w:rsidRPr="00FA53D9">
              <w:rPr>
                <w:rFonts w:cs="Calibri"/>
                <w:szCs w:val="20"/>
              </w:rPr>
              <w:t>$</w:t>
            </w:r>
            <w:r w:rsidR="004A4EFC">
              <w:rPr>
                <w:rFonts w:cs="Calibri"/>
                <w:noProof/>
                <w:color w:val="000000"/>
                <w:szCs w:val="20"/>
                <w:highlight w:val="black"/>
              </w:rPr>
              <w:t>''''''''''''''''''''</w:t>
            </w:r>
            <w:r w:rsidRPr="00FA53D9">
              <w:rPr>
                <w:rFonts w:cs="Calibri"/>
                <w:szCs w:val="20"/>
              </w:rPr>
              <w:t>/LYG</w:t>
            </w:r>
          </w:p>
        </w:tc>
      </w:tr>
      <w:tr w:rsidR="0085771D" w:rsidRPr="00FA53D9" w:rsidTr="007C7AFD">
        <w:trPr>
          <w:cantSplit/>
          <w:trHeight w:val="305"/>
        </w:trPr>
        <w:tc>
          <w:tcPr>
            <w:tcW w:w="1342" w:type="pct"/>
            <w:vMerge/>
            <w:shd w:val="clear" w:color="auto" w:fill="FFFFFF" w:themeFill="background1"/>
            <w:vAlign w:val="center"/>
          </w:tcPr>
          <w:p w:rsidR="0085771D" w:rsidRPr="00FA53D9" w:rsidRDefault="0085771D" w:rsidP="0087640F">
            <w:pPr>
              <w:pStyle w:val="Tabletext"/>
              <w:keepNext/>
              <w:keepLines/>
              <w:rPr>
                <w:rFonts w:cs="Calibri"/>
                <w:szCs w:val="20"/>
              </w:rPr>
            </w:pPr>
          </w:p>
        </w:tc>
        <w:tc>
          <w:tcPr>
            <w:tcW w:w="498" w:type="pct"/>
            <w:vMerge/>
            <w:shd w:val="clear" w:color="auto" w:fill="FFFFFF" w:themeFill="background1"/>
            <w:vAlign w:val="center"/>
          </w:tcPr>
          <w:p w:rsidR="0085771D" w:rsidRPr="004A4EFC" w:rsidRDefault="0085771D" w:rsidP="0087640F">
            <w:pPr>
              <w:pStyle w:val="Tabletext"/>
              <w:keepNext/>
              <w:keepLines/>
              <w:jc w:val="center"/>
              <w:rPr>
                <w:rFonts w:cs="Calibri"/>
                <w:szCs w:val="20"/>
              </w:rPr>
            </w:pPr>
          </w:p>
        </w:tc>
        <w:tc>
          <w:tcPr>
            <w:tcW w:w="498" w:type="pct"/>
            <w:vMerge/>
            <w:shd w:val="clear" w:color="auto" w:fill="FFFFFF" w:themeFill="background1"/>
            <w:vAlign w:val="center"/>
          </w:tcPr>
          <w:p w:rsidR="0085771D" w:rsidRPr="004A4EFC" w:rsidRDefault="0085771D" w:rsidP="0087640F">
            <w:pPr>
              <w:pStyle w:val="Tabletext"/>
              <w:keepNext/>
              <w:keepLines/>
              <w:jc w:val="center"/>
              <w:rPr>
                <w:rFonts w:cs="Calibri"/>
                <w:szCs w:val="20"/>
              </w:rPr>
            </w:pPr>
          </w:p>
        </w:tc>
        <w:tc>
          <w:tcPr>
            <w:tcW w:w="498" w:type="pct"/>
            <w:vMerge/>
            <w:shd w:val="clear" w:color="auto" w:fill="FFFFFF" w:themeFill="background1"/>
            <w:vAlign w:val="center"/>
          </w:tcPr>
          <w:p w:rsidR="0085771D" w:rsidRPr="004A4EFC" w:rsidRDefault="0085771D" w:rsidP="0087640F">
            <w:pPr>
              <w:pStyle w:val="Tabletext"/>
              <w:keepNext/>
              <w:keepLines/>
              <w:jc w:val="center"/>
              <w:rPr>
                <w:rFonts w:cs="Calibri"/>
                <w:szCs w:val="20"/>
              </w:rPr>
            </w:pPr>
          </w:p>
        </w:tc>
        <w:tc>
          <w:tcPr>
            <w:tcW w:w="498" w:type="pct"/>
            <w:shd w:val="clear" w:color="auto" w:fill="FFFFFF" w:themeFill="background1"/>
            <w:vAlign w:val="center"/>
          </w:tcPr>
          <w:p w:rsidR="0085771D" w:rsidRPr="00FA53D9" w:rsidRDefault="004A4EFC" w:rsidP="0087640F">
            <w:pPr>
              <w:pStyle w:val="Tabletext"/>
              <w:keepNext/>
              <w:keepLines/>
              <w:jc w:val="center"/>
              <w:rPr>
                <w:rFonts w:cs="Calibri"/>
                <w:szCs w:val="20"/>
              </w:rPr>
            </w:pPr>
            <w:r>
              <w:rPr>
                <w:rFonts w:cs="Calibri"/>
                <w:noProof/>
                <w:color w:val="000000"/>
                <w:szCs w:val="20"/>
                <w:highlight w:val="black"/>
              </w:rPr>
              <w:t>''''''''''</w:t>
            </w:r>
            <w:r w:rsidR="0085771D" w:rsidRPr="00FA53D9">
              <w:rPr>
                <w:rFonts w:cs="Calibri"/>
                <w:szCs w:val="20"/>
              </w:rPr>
              <w:t xml:space="preserve"> QALY</w:t>
            </w:r>
          </w:p>
        </w:tc>
        <w:tc>
          <w:tcPr>
            <w:tcW w:w="498" w:type="pct"/>
            <w:shd w:val="clear" w:color="auto" w:fill="FFFFFF" w:themeFill="background1"/>
            <w:vAlign w:val="center"/>
          </w:tcPr>
          <w:p w:rsidR="0085771D" w:rsidRPr="00FA53D9" w:rsidRDefault="004A4EFC" w:rsidP="0087640F">
            <w:pPr>
              <w:pStyle w:val="Tabletext"/>
              <w:keepNext/>
              <w:keepLines/>
              <w:jc w:val="center"/>
              <w:rPr>
                <w:rFonts w:cs="Calibri"/>
                <w:szCs w:val="20"/>
              </w:rPr>
            </w:pPr>
            <w:r>
              <w:rPr>
                <w:rFonts w:cs="Calibri"/>
                <w:noProof/>
                <w:color w:val="000000"/>
                <w:szCs w:val="20"/>
                <w:highlight w:val="black"/>
              </w:rPr>
              <w:t>''''''''''</w:t>
            </w:r>
            <w:r w:rsidR="0085771D" w:rsidRPr="00FA53D9">
              <w:rPr>
                <w:rFonts w:cs="Calibri"/>
                <w:szCs w:val="20"/>
              </w:rPr>
              <w:t xml:space="preserve"> QALY</w:t>
            </w:r>
          </w:p>
        </w:tc>
        <w:tc>
          <w:tcPr>
            <w:tcW w:w="499" w:type="pct"/>
            <w:shd w:val="clear" w:color="auto" w:fill="FFFFFF" w:themeFill="background1"/>
            <w:vAlign w:val="center"/>
          </w:tcPr>
          <w:p w:rsidR="0085771D" w:rsidRPr="00FA53D9" w:rsidRDefault="004A4EFC" w:rsidP="0087640F">
            <w:pPr>
              <w:pStyle w:val="Tabletext"/>
              <w:keepNext/>
              <w:keepLines/>
              <w:jc w:val="center"/>
              <w:rPr>
                <w:rFonts w:cs="Calibri"/>
                <w:szCs w:val="20"/>
              </w:rPr>
            </w:pPr>
            <w:r>
              <w:rPr>
                <w:rFonts w:cs="Calibri"/>
                <w:noProof/>
                <w:color w:val="000000"/>
                <w:szCs w:val="20"/>
                <w:highlight w:val="black"/>
              </w:rPr>
              <w:t>''''''''''</w:t>
            </w:r>
            <w:r w:rsidR="0085771D" w:rsidRPr="00FA53D9">
              <w:rPr>
                <w:rFonts w:cs="Calibri"/>
                <w:szCs w:val="20"/>
              </w:rPr>
              <w:t xml:space="preserve"> QALY</w:t>
            </w:r>
          </w:p>
        </w:tc>
        <w:tc>
          <w:tcPr>
            <w:tcW w:w="671" w:type="pct"/>
            <w:shd w:val="clear" w:color="auto" w:fill="FFFFFF" w:themeFill="background1"/>
            <w:vAlign w:val="center"/>
          </w:tcPr>
          <w:p w:rsidR="0085771D" w:rsidRPr="00FA53D9" w:rsidRDefault="0085771D" w:rsidP="0087640F">
            <w:pPr>
              <w:pStyle w:val="Tabletext"/>
              <w:keepNext/>
              <w:keepLines/>
              <w:jc w:val="center"/>
              <w:rPr>
                <w:rFonts w:cs="Calibri"/>
                <w:szCs w:val="20"/>
              </w:rPr>
            </w:pPr>
            <w:r w:rsidRPr="00FA53D9">
              <w:rPr>
                <w:rFonts w:cs="Calibri"/>
                <w:szCs w:val="20"/>
              </w:rPr>
              <w:t>$</w:t>
            </w:r>
            <w:r w:rsidR="004A4EFC">
              <w:rPr>
                <w:rFonts w:cs="Calibri"/>
                <w:noProof/>
                <w:color w:val="000000"/>
                <w:szCs w:val="20"/>
                <w:highlight w:val="black"/>
              </w:rPr>
              <w:t>'''''''''''''''''</w:t>
            </w:r>
            <w:r w:rsidRPr="00FA53D9">
              <w:rPr>
                <w:rFonts w:cs="Calibri"/>
                <w:szCs w:val="20"/>
              </w:rPr>
              <w:t>/QALY</w:t>
            </w:r>
          </w:p>
        </w:tc>
      </w:tr>
      <w:tr w:rsidR="0085771D" w:rsidRPr="00FA53D9" w:rsidTr="007C7AFD">
        <w:trPr>
          <w:cantSplit/>
          <w:trHeight w:val="305"/>
        </w:trPr>
        <w:tc>
          <w:tcPr>
            <w:tcW w:w="1342" w:type="pct"/>
            <w:vMerge w:val="restart"/>
            <w:shd w:val="clear" w:color="auto" w:fill="FFFFFF" w:themeFill="background1"/>
            <w:vAlign w:val="center"/>
          </w:tcPr>
          <w:p w:rsidR="0085771D" w:rsidRPr="00FA53D9" w:rsidRDefault="0085771D" w:rsidP="0087640F">
            <w:pPr>
              <w:pStyle w:val="Tabletext"/>
              <w:keepNext/>
              <w:keepLines/>
              <w:rPr>
                <w:szCs w:val="20"/>
              </w:rPr>
            </w:pPr>
            <w:r w:rsidRPr="00FA53D9">
              <w:rPr>
                <w:rFonts w:cs="Calibri"/>
                <w:szCs w:val="20"/>
              </w:rPr>
              <w:t>Step 3: MAJIC extrapolated to 20 years, background mortality, ruxolitinib continuation criteria and all resource use</w:t>
            </w:r>
          </w:p>
        </w:tc>
        <w:tc>
          <w:tcPr>
            <w:tcW w:w="498" w:type="pct"/>
            <w:vMerge w:val="restart"/>
            <w:shd w:val="clear" w:color="auto" w:fill="FFFFFF" w:themeFill="background1"/>
            <w:vAlign w:val="center"/>
          </w:tcPr>
          <w:p w:rsidR="0085771D" w:rsidRPr="004A4EFC" w:rsidRDefault="004A4EFC" w:rsidP="0087640F">
            <w:pPr>
              <w:pStyle w:val="Tabletext"/>
              <w:keepNext/>
              <w:keepLines/>
              <w:jc w:val="center"/>
              <w:rPr>
                <w:rFonts w:ascii="Times" w:hAnsi="Times"/>
                <w:szCs w:val="20"/>
                <w:highlight w:val="black"/>
              </w:rPr>
            </w:pPr>
            <w:r>
              <w:rPr>
                <w:rFonts w:cs="Calibri"/>
                <w:noProof/>
                <w:color w:val="000000"/>
                <w:szCs w:val="20"/>
                <w:highlight w:val="black"/>
              </w:rPr>
              <w:t>''''''''''''''''''''''''</w:t>
            </w:r>
          </w:p>
        </w:tc>
        <w:tc>
          <w:tcPr>
            <w:tcW w:w="498" w:type="pct"/>
            <w:vMerge w:val="restart"/>
            <w:shd w:val="clear" w:color="auto" w:fill="FFFFFF" w:themeFill="background1"/>
            <w:vAlign w:val="center"/>
          </w:tcPr>
          <w:p w:rsidR="0085771D" w:rsidRPr="004A4EFC" w:rsidRDefault="004A4EFC" w:rsidP="0087640F">
            <w:pPr>
              <w:pStyle w:val="Tabletext"/>
              <w:keepNext/>
              <w:keepLines/>
              <w:jc w:val="center"/>
              <w:rPr>
                <w:rFonts w:ascii="Times" w:hAnsi="Times"/>
                <w:szCs w:val="20"/>
                <w:highlight w:val="black"/>
              </w:rPr>
            </w:pPr>
            <w:r>
              <w:rPr>
                <w:rFonts w:cs="Calibri"/>
                <w:noProof/>
                <w:color w:val="000000"/>
                <w:szCs w:val="20"/>
                <w:highlight w:val="black"/>
              </w:rPr>
              <w:t>'''''''''''''''''</w:t>
            </w:r>
          </w:p>
        </w:tc>
        <w:tc>
          <w:tcPr>
            <w:tcW w:w="498" w:type="pct"/>
            <w:vMerge w:val="restart"/>
            <w:shd w:val="clear" w:color="auto" w:fill="FFFFFF" w:themeFill="background1"/>
            <w:vAlign w:val="center"/>
          </w:tcPr>
          <w:p w:rsidR="0085771D" w:rsidRPr="004A4EFC" w:rsidRDefault="004A4EFC" w:rsidP="0087640F">
            <w:pPr>
              <w:pStyle w:val="Tabletext"/>
              <w:keepNext/>
              <w:keepLines/>
              <w:jc w:val="center"/>
              <w:rPr>
                <w:rFonts w:ascii="Times" w:hAnsi="Times"/>
                <w:szCs w:val="20"/>
                <w:highlight w:val="black"/>
              </w:rPr>
            </w:pPr>
            <w:r>
              <w:rPr>
                <w:rFonts w:cs="Calibri"/>
                <w:noProof/>
                <w:color w:val="000000"/>
                <w:szCs w:val="20"/>
                <w:highlight w:val="black"/>
              </w:rPr>
              <w:t>'''''''''''''''''''</w:t>
            </w:r>
          </w:p>
        </w:tc>
        <w:tc>
          <w:tcPr>
            <w:tcW w:w="498" w:type="pct"/>
            <w:shd w:val="clear" w:color="auto" w:fill="FFFFFF" w:themeFill="background1"/>
            <w:vAlign w:val="center"/>
          </w:tcPr>
          <w:p w:rsidR="0085771D" w:rsidRPr="00FA53D9" w:rsidRDefault="004A4EFC" w:rsidP="0087640F">
            <w:pPr>
              <w:pStyle w:val="Tabletext"/>
              <w:keepNext/>
              <w:keepLines/>
              <w:jc w:val="center"/>
              <w:rPr>
                <w:rFonts w:ascii="Times" w:hAnsi="Times"/>
                <w:szCs w:val="20"/>
              </w:rPr>
            </w:pPr>
            <w:r>
              <w:rPr>
                <w:rFonts w:cs="Calibri"/>
                <w:noProof/>
                <w:color w:val="000000"/>
                <w:szCs w:val="20"/>
                <w:highlight w:val="black"/>
              </w:rPr>
              <w:t>'''''''''''</w:t>
            </w:r>
            <w:r w:rsidR="0085771D" w:rsidRPr="00FA53D9">
              <w:rPr>
                <w:rFonts w:cs="Calibri"/>
                <w:szCs w:val="20"/>
              </w:rPr>
              <w:t xml:space="preserve"> LY</w:t>
            </w:r>
          </w:p>
        </w:tc>
        <w:tc>
          <w:tcPr>
            <w:tcW w:w="498" w:type="pct"/>
            <w:shd w:val="clear" w:color="auto" w:fill="FFFFFF" w:themeFill="background1"/>
            <w:vAlign w:val="center"/>
          </w:tcPr>
          <w:p w:rsidR="0085771D" w:rsidRPr="00FA53D9" w:rsidRDefault="004A4EFC" w:rsidP="0087640F">
            <w:pPr>
              <w:pStyle w:val="Tabletext"/>
              <w:keepNext/>
              <w:keepLines/>
              <w:jc w:val="center"/>
              <w:rPr>
                <w:rFonts w:ascii="Times" w:hAnsi="Times"/>
                <w:szCs w:val="20"/>
              </w:rPr>
            </w:pPr>
            <w:r>
              <w:rPr>
                <w:rFonts w:cs="Calibri"/>
                <w:noProof/>
                <w:color w:val="000000"/>
                <w:szCs w:val="20"/>
                <w:highlight w:val="black"/>
              </w:rPr>
              <w:t>'''''''''''</w:t>
            </w:r>
            <w:r w:rsidR="0085771D" w:rsidRPr="00FA53D9">
              <w:rPr>
                <w:rFonts w:cs="Calibri"/>
                <w:szCs w:val="20"/>
              </w:rPr>
              <w:t xml:space="preserve"> LY</w:t>
            </w:r>
          </w:p>
        </w:tc>
        <w:tc>
          <w:tcPr>
            <w:tcW w:w="499" w:type="pct"/>
            <w:shd w:val="clear" w:color="auto" w:fill="FFFFFF" w:themeFill="background1"/>
            <w:vAlign w:val="center"/>
          </w:tcPr>
          <w:p w:rsidR="0085771D" w:rsidRPr="00FA53D9" w:rsidRDefault="004A4EFC" w:rsidP="0087640F">
            <w:pPr>
              <w:pStyle w:val="Tabletext"/>
              <w:keepNext/>
              <w:keepLines/>
              <w:jc w:val="center"/>
              <w:rPr>
                <w:rFonts w:ascii="Times" w:hAnsi="Times"/>
                <w:szCs w:val="20"/>
              </w:rPr>
            </w:pPr>
            <w:r>
              <w:rPr>
                <w:rFonts w:cs="Calibri"/>
                <w:noProof/>
                <w:color w:val="000000"/>
                <w:szCs w:val="20"/>
                <w:highlight w:val="black"/>
              </w:rPr>
              <w:t>''''''''''''</w:t>
            </w:r>
            <w:r w:rsidR="0085771D" w:rsidRPr="00FA53D9">
              <w:rPr>
                <w:rFonts w:cs="Calibri"/>
                <w:szCs w:val="20"/>
              </w:rPr>
              <w:t xml:space="preserve"> LY</w:t>
            </w:r>
          </w:p>
        </w:tc>
        <w:tc>
          <w:tcPr>
            <w:tcW w:w="671" w:type="pct"/>
            <w:shd w:val="clear" w:color="auto" w:fill="FFFFFF" w:themeFill="background1"/>
            <w:vAlign w:val="center"/>
          </w:tcPr>
          <w:p w:rsidR="0085771D" w:rsidRPr="00FA53D9" w:rsidRDefault="0085771D" w:rsidP="0087640F">
            <w:pPr>
              <w:pStyle w:val="Tabletext"/>
              <w:keepNext/>
              <w:keepLines/>
              <w:jc w:val="center"/>
              <w:rPr>
                <w:rFonts w:ascii="Times" w:hAnsi="Times"/>
                <w:szCs w:val="20"/>
              </w:rPr>
            </w:pPr>
            <w:r w:rsidRPr="00FA53D9">
              <w:rPr>
                <w:rFonts w:cs="Calibri"/>
                <w:szCs w:val="20"/>
              </w:rPr>
              <w:t>$</w:t>
            </w:r>
            <w:r w:rsidR="004A4EFC">
              <w:rPr>
                <w:rFonts w:cs="Calibri"/>
                <w:noProof/>
                <w:color w:val="000000"/>
                <w:szCs w:val="20"/>
                <w:highlight w:val="black"/>
              </w:rPr>
              <w:t>''''''''''''''''</w:t>
            </w:r>
            <w:r w:rsidRPr="00FA53D9">
              <w:rPr>
                <w:rFonts w:cs="Calibri"/>
                <w:szCs w:val="20"/>
              </w:rPr>
              <w:t>/LYG</w:t>
            </w:r>
          </w:p>
        </w:tc>
      </w:tr>
      <w:tr w:rsidR="0085771D" w:rsidRPr="00FA53D9" w:rsidTr="007C7AFD">
        <w:trPr>
          <w:cantSplit/>
          <w:trHeight w:val="305"/>
        </w:trPr>
        <w:tc>
          <w:tcPr>
            <w:tcW w:w="1342" w:type="pct"/>
            <w:vMerge/>
            <w:shd w:val="clear" w:color="auto" w:fill="FFFFFF" w:themeFill="background1"/>
            <w:vAlign w:val="center"/>
          </w:tcPr>
          <w:p w:rsidR="0085771D" w:rsidRPr="00FA53D9" w:rsidRDefault="0085771D" w:rsidP="0087640F">
            <w:pPr>
              <w:pStyle w:val="Tabletext"/>
              <w:keepNext/>
              <w:keepLines/>
              <w:rPr>
                <w:szCs w:val="20"/>
              </w:rPr>
            </w:pPr>
          </w:p>
        </w:tc>
        <w:tc>
          <w:tcPr>
            <w:tcW w:w="498" w:type="pct"/>
            <w:vMerge/>
            <w:shd w:val="clear" w:color="auto" w:fill="FFFFFF" w:themeFill="background1"/>
            <w:vAlign w:val="center"/>
          </w:tcPr>
          <w:p w:rsidR="0085771D" w:rsidRPr="00FA53D9" w:rsidRDefault="0085771D" w:rsidP="0087640F">
            <w:pPr>
              <w:pStyle w:val="Tabletext"/>
              <w:keepNext/>
              <w:keepLines/>
              <w:jc w:val="center"/>
              <w:rPr>
                <w:rFonts w:ascii="Times" w:hAnsi="Times"/>
                <w:szCs w:val="20"/>
              </w:rPr>
            </w:pPr>
          </w:p>
        </w:tc>
        <w:tc>
          <w:tcPr>
            <w:tcW w:w="498" w:type="pct"/>
            <w:vMerge/>
            <w:shd w:val="clear" w:color="auto" w:fill="FFFFFF" w:themeFill="background1"/>
            <w:vAlign w:val="center"/>
          </w:tcPr>
          <w:p w:rsidR="0085771D" w:rsidRPr="00FA53D9" w:rsidRDefault="0085771D" w:rsidP="0087640F">
            <w:pPr>
              <w:pStyle w:val="Tabletext"/>
              <w:keepNext/>
              <w:keepLines/>
              <w:jc w:val="center"/>
              <w:rPr>
                <w:rFonts w:ascii="Times" w:hAnsi="Times"/>
                <w:szCs w:val="20"/>
              </w:rPr>
            </w:pPr>
          </w:p>
        </w:tc>
        <w:tc>
          <w:tcPr>
            <w:tcW w:w="498" w:type="pct"/>
            <w:vMerge/>
            <w:shd w:val="clear" w:color="auto" w:fill="FFFFFF" w:themeFill="background1"/>
            <w:vAlign w:val="center"/>
          </w:tcPr>
          <w:p w:rsidR="0085771D" w:rsidRPr="00FA53D9" w:rsidRDefault="0085771D" w:rsidP="0087640F">
            <w:pPr>
              <w:pStyle w:val="Tabletext"/>
              <w:keepNext/>
              <w:keepLines/>
              <w:jc w:val="center"/>
              <w:rPr>
                <w:rFonts w:ascii="Times" w:hAnsi="Times"/>
                <w:szCs w:val="20"/>
              </w:rPr>
            </w:pPr>
          </w:p>
        </w:tc>
        <w:tc>
          <w:tcPr>
            <w:tcW w:w="498" w:type="pct"/>
            <w:shd w:val="clear" w:color="auto" w:fill="FFFFFF" w:themeFill="background1"/>
            <w:vAlign w:val="center"/>
          </w:tcPr>
          <w:p w:rsidR="0085771D" w:rsidRPr="00FA53D9" w:rsidRDefault="004A4EFC" w:rsidP="0087640F">
            <w:pPr>
              <w:pStyle w:val="Tabletext"/>
              <w:keepNext/>
              <w:keepLines/>
              <w:jc w:val="center"/>
              <w:rPr>
                <w:rFonts w:ascii="Times" w:hAnsi="Times"/>
                <w:szCs w:val="20"/>
              </w:rPr>
            </w:pPr>
            <w:r>
              <w:rPr>
                <w:rFonts w:cs="Calibri"/>
                <w:noProof/>
                <w:color w:val="000000"/>
                <w:szCs w:val="20"/>
                <w:highlight w:val="black"/>
              </w:rPr>
              <w:t>'''''''''''</w:t>
            </w:r>
            <w:r w:rsidR="0085771D" w:rsidRPr="00FA53D9">
              <w:rPr>
                <w:rFonts w:cs="Calibri"/>
                <w:szCs w:val="20"/>
              </w:rPr>
              <w:t xml:space="preserve"> QALY</w:t>
            </w:r>
          </w:p>
        </w:tc>
        <w:tc>
          <w:tcPr>
            <w:tcW w:w="498" w:type="pct"/>
            <w:shd w:val="clear" w:color="auto" w:fill="FFFFFF" w:themeFill="background1"/>
            <w:vAlign w:val="center"/>
          </w:tcPr>
          <w:p w:rsidR="0085771D" w:rsidRPr="00FA53D9" w:rsidRDefault="004A4EFC" w:rsidP="0087640F">
            <w:pPr>
              <w:pStyle w:val="Tabletext"/>
              <w:keepNext/>
              <w:keepLines/>
              <w:jc w:val="center"/>
              <w:rPr>
                <w:szCs w:val="20"/>
              </w:rPr>
            </w:pPr>
            <w:r>
              <w:rPr>
                <w:rFonts w:cs="Calibri"/>
                <w:noProof/>
                <w:color w:val="000000"/>
                <w:szCs w:val="20"/>
                <w:highlight w:val="black"/>
              </w:rPr>
              <w:t>''''''''''</w:t>
            </w:r>
            <w:r w:rsidR="0085771D" w:rsidRPr="00FA53D9">
              <w:rPr>
                <w:rFonts w:cs="Calibri"/>
                <w:szCs w:val="20"/>
              </w:rPr>
              <w:t xml:space="preserve"> QALY</w:t>
            </w:r>
          </w:p>
        </w:tc>
        <w:tc>
          <w:tcPr>
            <w:tcW w:w="499" w:type="pct"/>
            <w:shd w:val="clear" w:color="auto" w:fill="FFFFFF" w:themeFill="background1"/>
            <w:vAlign w:val="center"/>
          </w:tcPr>
          <w:p w:rsidR="0085771D" w:rsidRPr="00FA53D9" w:rsidRDefault="004A4EFC" w:rsidP="0087640F">
            <w:pPr>
              <w:pStyle w:val="Tabletext"/>
              <w:keepNext/>
              <w:keepLines/>
              <w:jc w:val="center"/>
              <w:rPr>
                <w:rFonts w:ascii="Times" w:hAnsi="Times"/>
                <w:szCs w:val="20"/>
              </w:rPr>
            </w:pPr>
            <w:r>
              <w:rPr>
                <w:rFonts w:cs="Calibri"/>
                <w:noProof/>
                <w:color w:val="000000"/>
                <w:szCs w:val="20"/>
                <w:highlight w:val="black"/>
              </w:rPr>
              <w:t>'''''''''''</w:t>
            </w:r>
            <w:r w:rsidR="0085771D" w:rsidRPr="00FA53D9">
              <w:rPr>
                <w:rFonts w:cs="Calibri"/>
                <w:szCs w:val="20"/>
              </w:rPr>
              <w:t xml:space="preserve"> QALY</w:t>
            </w:r>
          </w:p>
        </w:tc>
        <w:tc>
          <w:tcPr>
            <w:tcW w:w="671" w:type="pct"/>
            <w:shd w:val="clear" w:color="auto" w:fill="FFFFFF" w:themeFill="background1"/>
            <w:vAlign w:val="center"/>
          </w:tcPr>
          <w:p w:rsidR="0085771D" w:rsidRPr="00FA53D9" w:rsidRDefault="0085771D" w:rsidP="0087640F">
            <w:pPr>
              <w:pStyle w:val="Tabletext"/>
              <w:keepNext/>
              <w:keepLines/>
              <w:jc w:val="center"/>
              <w:rPr>
                <w:rFonts w:ascii="Times" w:hAnsi="Times"/>
                <w:szCs w:val="20"/>
              </w:rPr>
            </w:pPr>
            <w:r w:rsidRPr="00FA53D9">
              <w:rPr>
                <w:rFonts w:cs="Calibri"/>
                <w:szCs w:val="20"/>
              </w:rPr>
              <w:t>$</w:t>
            </w:r>
            <w:r w:rsidR="004A4EFC">
              <w:rPr>
                <w:rFonts w:cs="Calibri"/>
                <w:noProof/>
                <w:color w:val="000000"/>
                <w:szCs w:val="20"/>
                <w:highlight w:val="black"/>
              </w:rPr>
              <w:t>'''''''''''''''</w:t>
            </w:r>
            <w:r w:rsidRPr="00FA53D9">
              <w:rPr>
                <w:rFonts w:cs="Calibri"/>
                <w:szCs w:val="20"/>
              </w:rPr>
              <w:t>/QALY</w:t>
            </w:r>
          </w:p>
        </w:tc>
      </w:tr>
    </w:tbl>
    <w:p w:rsidR="0085771D" w:rsidRPr="00FA53D9" w:rsidRDefault="006552A6" w:rsidP="0087640F">
      <w:pPr>
        <w:pStyle w:val="TableFooter"/>
        <w:keepNext/>
        <w:keepLines/>
        <w:widowControl/>
      </w:pPr>
      <w:proofErr w:type="gramStart"/>
      <w:r>
        <w:rPr>
          <w:vertAlign w:val="superscript"/>
        </w:rPr>
        <w:t>a</w:t>
      </w:r>
      <w:proofErr w:type="gramEnd"/>
      <w:r>
        <w:rPr>
          <w:vertAlign w:val="superscript"/>
        </w:rPr>
        <w:t xml:space="preserve"> </w:t>
      </w:r>
      <w:r w:rsidR="0085771D" w:rsidRPr="006552A6">
        <w:t>values</w:t>
      </w:r>
      <w:r w:rsidR="0085771D" w:rsidRPr="00FA53D9">
        <w:t xml:space="preserve"> extracted during evaluation. </w:t>
      </w:r>
    </w:p>
    <w:p w:rsidR="0085771D" w:rsidRPr="00B1011F" w:rsidRDefault="00B15FAF" w:rsidP="0087640F">
      <w:pPr>
        <w:pStyle w:val="TableFooter"/>
        <w:keepNext/>
        <w:keepLines/>
        <w:widowControl/>
        <w:rPr>
          <w:sz w:val="20"/>
        </w:rPr>
      </w:pPr>
      <w:r w:rsidRPr="00FA53D9">
        <w:t>Source: Table 3.</w:t>
      </w:r>
      <w:r w:rsidR="0085771D" w:rsidRPr="00FA53D9">
        <w:t xml:space="preserve">8-1, p 246 of the submission and ‘results’ sheet in </w:t>
      </w:r>
      <w:proofErr w:type="spellStart"/>
      <w:r w:rsidR="0085771D" w:rsidRPr="00FA53D9">
        <w:t>Jakavi</w:t>
      </w:r>
      <w:proofErr w:type="spellEnd"/>
      <w:r w:rsidR="0085771D" w:rsidRPr="00AD0803">
        <w:t xml:space="preserve"> (ruxolitinib) Economic Evaluation – Base case.xlsx</w:t>
      </w:r>
    </w:p>
    <w:p w:rsidR="00D110BD" w:rsidRPr="00D110BD" w:rsidRDefault="00D110BD" w:rsidP="00E723BA"/>
    <w:p w:rsidR="00524F02" w:rsidRPr="00A74F05" w:rsidRDefault="00524F02" w:rsidP="00417E69">
      <w:pPr>
        <w:pStyle w:val="ListParagraph"/>
        <w:widowControl/>
        <w:numPr>
          <w:ilvl w:val="1"/>
          <w:numId w:val="2"/>
        </w:numPr>
        <w:spacing w:after="120"/>
      </w:pPr>
      <w:r w:rsidRPr="00A74F05">
        <w:t xml:space="preserve">It should be noted that the results in Step 1 were dependent on modelling a non-statistically significant difference in OS between patients treated with ruxolitinib and BAT and is likely inaccurate. </w:t>
      </w:r>
      <w:r w:rsidR="00AF76AD" w:rsidRPr="00A74F05">
        <w:t xml:space="preserve">The ESC considered that the available data does not </w:t>
      </w:r>
      <w:r w:rsidR="00AF76AD" w:rsidRPr="00A74F05">
        <w:lastRenderedPageBreak/>
        <w:t>adequately support the modelled OS difference between the ruxolitinib and BAT arms.</w:t>
      </w:r>
      <w:r w:rsidR="0017242B">
        <w:t xml:space="preserve"> The PSCR </w:t>
      </w:r>
      <w:r w:rsidR="001A243B" w:rsidRPr="00A74F05">
        <w:t xml:space="preserve">argued that while MAJIC was not powered to detect a difference in OS, a randomised clinical trial that is sufficiently powered to detect a difference in OS may not be feasible given the rarity of the condition. The PSCR argued that it is reasonable </w:t>
      </w:r>
      <w:r w:rsidR="00C86846" w:rsidRPr="00A74F05">
        <w:t xml:space="preserve">and clinically plausible </w:t>
      </w:r>
      <w:r w:rsidR="001A243B" w:rsidRPr="00A74F05">
        <w:t>to conclude treatment with ruxolitinib is associated with a small survival benefit compared to BAT as there was a trend towards improvement in</w:t>
      </w:r>
      <w:r w:rsidR="00C86846" w:rsidRPr="00A74F05">
        <w:t xml:space="preserve"> OS in the later part of the OS curve in MAJIC. </w:t>
      </w:r>
      <w:r w:rsidR="00434E52" w:rsidRPr="00A74F05">
        <w:t xml:space="preserve">The ESC maintained </w:t>
      </w:r>
      <w:r w:rsidR="00903208" w:rsidRPr="00A74F05">
        <w:t xml:space="preserve">that the extrapolation of OS from </w:t>
      </w:r>
      <w:r w:rsidR="00B31C7F" w:rsidRPr="00A74F05">
        <w:t>MAJIC</w:t>
      </w:r>
      <w:r w:rsidR="00903208" w:rsidRPr="00A74F05">
        <w:t xml:space="preserve"> was highly uncertain particularly </w:t>
      </w:r>
      <w:r w:rsidR="00B31C7F" w:rsidRPr="00A74F05">
        <w:t xml:space="preserve">given the limited </w:t>
      </w:r>
      <w:r w:rsidR="008F6D5E" w:rsidRPr="00A74F05">
        <w:t xml:space="preserve">long-term comparative </w:t>
      </w:r>
      <w:r w:rsidR="00B31C7F" w:rsidRPr="00A74F05">
        <w:t>data available on the trial.</w:t>
      </w:r>
      <w:r w:rsidR="00EC0296" w:rsidRPr="00A74F05">
        <w:t xml:space="preserve"> </w:t>
      </w:r>
    </w:p>
    <w:p w:rsidR="00524F02" w:rsidRPr="00A74F05" w:rsidRDefault="00524F02" w:rsidP="00417E69">
      <w:pPr>
        <w:pStyle w:val="ListParagraph"/>
        <w:widowControl/>
        <w:numPr>
          <w:ilvl w:val="1"/>
          <w:numId w:val="2"/>
        </w:numPr>
        <w:spacing w:after="120"/>
      </w:pPr>
      <w:r w:rsidRPr="00A74F05">
        <w:t xml:space="preserve">Extrapolating from 5 years (Step 1) to 20 years (Step 2) reduced the cost per LY gain by more than 70% and cost per QALY gain by 38%, indicating that the extrapolation had a significant effect on ICER.  The extrapolation relied on some potentially inappropriate assumptions (e.g. patients treated with ruxolitinib </w:t>
      </w:r>
      <w:r w:rsidR="005C428C" w:rsidRPr="00A74F05">
        <w:t xml:space="preserve">that </w:t>
      </w:r>
      <w:r w:rsidRPr="00A74F05">
        <w:t xml:space="preserve">did not respond after 6 months are still considered to have better OS than patients who responded but treated with BAT) and uncertain extrapolations from MAJIC (e.g. </w:t>
      </w:r>
      <w:proofErr w:type="spellStart"/>
      <w:r w:rsidRPr="00A74F05">
        <w:t>DoR</w:t>
      </w:r>
      <w:proofErr w:type="spellEnd"/>
      <w:r w:rsidRPr="00A74F05">
        <w:t xml:space="preserve"> extrapolated with high loss to follow-up, OS extrapolated with high loss to follow-up and no statis</w:t>
      </w:r>
      <w:r w:rsidR="00B85E86" w:rsidRPr="00A74F05">
        <w:t xml:space="preserve">tically significant difference). </w:t>
      </w:r>
      <w:r w:rsidRPr="00A74F05">
        <w:t xml:space="preserve"> </w:t>
      </w:r>
      <w:r w:rsidR="00B85E86" w:rsidRPr="00A74F05">
        <w:t xml:space="preserve">This </w:t>
      </w:r>
      <w:r w:rsidR="005C428C" w:rsidRPr="00A74F05">
        <w:t>contributes to the</w:t>
      </w:r>
      <w:r w:rsidRPr="00A74F05">
        <w:t xml:space="preserve"> uncertain</w:t>
      </w:r>
      <w:r w:rsidR="005C428C" w:rsidRPr="00A74F05">
        <w:t>ty in the</w:t>
      </w:r>
      <w:r w:rsidRPr="00A74F05">
        <w:t xml:space="preserve"> ICERs</w:t>
      </w:r>
      <w:r w:rsidR="005C428C" w:rsidRPr="00A74F05">
        <w:t xml:space="preserve"> calculated</w:t>
      </w:r>
      <w:r w:rsidRPr="00A74F05">
        <w:t>.</w:t>
      </w:r>
    </w:p>
    <w:p w:rsidR="00524F02" w:rsidRPr="00A74F05" w:rsidRDefault="00524F02" w:rsidP="00417E69">
      <w:pPr>
        <w:pStyle w:val="ListParagraph"/>
        <w:widowControl/>
        <w:numPr>
          <w:ilvl w:val="1"/>
          <w:numId w:val="2"/>
        </w:numPr>
        <w:spacing w:after="120"/>
      </w:pPr>
      <w:r w:rsidRPr="00A74F05">
        <w:t>Adding resource use costs such as MBS costs and subsequent treatment costs from Step 2 to Step 3 led to a decrease in the incremental costs and hence a lower ICER.  The utilisation of treatments (particularly peginterferon) and transformation to MF in non-responders were not informed by any evidence and were likely inappropriate and/or overestimated.  Overall, there appears to be a lot of uncertainty around the Step 3 ICER and it is likely that the Step 3 ICER is underestimated, favouring ruxolitinib.</w:t>
      </w:r>
    </w:p>
    <w:p w:rsidR="005C0225" w:rsidRDefault="005C428C" w:rsidP="00417E69">
      <w:pPr>
        <w:pStyle w:val="ListParagraph"/>
        <w:numPr>
          <w:ilvl w:val="1"/>
          <w:numId w:val="2"/>
        </w:numPr>
        <w:spacing w:after="120"/>
      </w:pPr>
      <w:r w:rsidRPr="00A74F05">
        <w:t xml:space="preserve">The ESC noted the results were highly sensitive to the assumption of 50% of patient in BAT receiving peginterferon (see multivariate sensitivity analyses in Table 12). This was much higher than in the MAJIC (39%), RESPONSE (16%) and RESPONSE-2 (21%) trials, and may be much higher than in clinical practice (~5-10%). </w:t>
      </w:r>
      <w:r w:rsidR="00E40BE2" w:rsidRPr="00A74F05">
        <w:t xml:space="preserve">The PSCR  argued that the ratio of peginterferon use would likely increase in the future given the recent unrestricted benefit listing of peginterferon and noting that </w:t>
      </w:r>
      <w:r w:rsidR="00B15FAF" w:rsidRPr="00A74F05">
        <w:t>peginterferon</w:t>
      </w:r>
      <w:r w:rsidR="00E40BE2" w:rsidRPr="00A74F05">
        <w:t xml:space="preserve"> is </w:t>
      </w:r>
      <w:r w:rsidRPr="00A74F05">
        <w:t xml:space="preserve">a </w:t>
      </w:r>
      <w:r w:rsidR="00E40BE2" w:rsidRPr="00A74F05">
        <w:t xml:space="preserve">recommended first-line </w:t>
      </w:r>
      <w:proofErr w:type="spellStart"/>
      <w:r w:rsidR="00E40BE2" w:rsidRPr="00A74F05">
        <w:t>cytoreductive</w:t>
      </w:r>
      <w:proofErr w:type="spellEnd"/>
      <w:r w:rsidR="00E40BE2" w:rsidRPr="00A74F05">
        <w:t xml:space="preserve"> treatment in treatment guidelines.</w:t>
      </w:r>
      <w:r w:rsidR="006B6026" w:rsidRPr="00A74F05">
        <w:t xml:space="preserve"> The ESC noted that </w:t>
      </w:r>
      <w:r w:rsidR="00DF765B" w:rsidRPr="00A74F05">
        <w:t xml:space="preserve">in clinical practice, </w:t>
      </w:r>
      <w:r w:rsidRPr="00A74F05">
        <w:t xml:space="preserve">given it is not well tolerated, </w:t>
      </w:r>
      <w:r w:rsidR="00DF765B" w:rsidRPr="00A74F05">
        <w:t>peginterferon would only be used for a small subset of patie</w:t>
      </w:r>
      <w:r w:rsidR="00DA3054" w:rsidRPr="00A74F05">
        <w:t xml:space="preserve">nts who are younger or </w:t>
      </w:r>
      <w:r w:rsidR="002755FD" w:rsidRPr="00A74F05">
        <w:t>pregnant and</w:t>
      </w:r>
      <w:r w:rsidR="006B6026" w:rsidRPr="00A74F05">
        <w:t xml:space="preserve"> considered </w:t>
      </w:r>
      <w:r w:rsidR="00DF765B" w:rsidRPr="00A74F05">
        <w:t>this use</w:t>
      </w:r>
      <w:r w:rsidR="006B6026" w:rsidRPr="00A74F05">
        <w:t xml:space="preserve"> </w:t>
      </w:r>
      <w:r w:rsidR="00DF765B" w:rsidRPr="00A74F05">
        <w:t>more likely represents</w:t>
      </w:r>
      <w:r w:rsidR="006B6026" w:rsidRPr="00A74F05">
        <w:t xml:space="preserve"> </w:t>
      </w:r>
      <w:r w:rsidRPr="00A74F05">
        <w:t xml:space="preserve">less than </w:t>
      </w:r>
      <w:r w:rsidR="006B6026" w:rsidRPr="00A74F05">
        <w:t xml:space="preserve">10% of </w:t>
      </w:r>
      <w:r w:rsidR="00DF765B" w:rsidRPr="00A74F05">
        <w:t>BAT</w:t>
      </w:r>
      <w:r w:rsidR="006B6026" w:rsidRPr="00A74F05">
        <w:t xml:space="preserve"> in clinical </w:t>
      </w:r>
      <w:r w:rsidR="00DA3054" w:rsidRPr="00A74F05">
        <w:t xml:space="preserve">practice. </w:t>
      </w:r>
      <w:r w:rsidR="00C45D74">
        <w:t>The PBAC considered the range of 16–39% of peg-interferon use from the clinical trials may be reasonable.</w:t>
      </w:r>
    </w:p>
    <w:p w:rsidR="00384E42" w:rsidRPr="00A74F05" w:rsidRDefault="00384E42" w:rsidP="00384E42">
      <w:pPr>
        <w:pStyle w:val="ListParagraph"/>
        <w:spacing w:after="120"/>
      </w:pPr>
    </w:p>
    <w:p w:rsidR="002F363F" w:rsidRPr="00A74F05" w:rsidRDefault="002F363F" w:rsidP="00417E69">
      <w:pPr>
        <w:pStyle w:val="ListParagraph"/>
        <w:widowControl/>
        <w:numPr>
          <w:ilvl w:val="1"/>
          <w:numId w:val="2"/>
        </w:numPr>
        <w:spacing w:after="120"/>
      </w:pPr>
      <w:r w:rsidRPr="00A74F05">
        <w:t>Overall,</w:t>
      </w:r>
      <w:r w:rsidR="00B465C8" w:rsidRPr="00A74F05">
        <w:t xml:space="preserve"> the ESC considered </w:t>
      </w:r>
      <w:r w:rsidR="007F05E8" w:rsidRPr="00A74F05">
        <w:t xml:space="preserve">that the economic model did not form a reliable basis for </w:t>
      </w:r>
      <w:r w:rsidR="00E544AF" w:rsidRPr="00A74F05">
        <w:t>decision making</w:t>
      </w:r>
      <w:r w:rsidR="007F05E8" w:rsidRPr="00A74F05">
        <w:t xml:space="preserve"> </w:t>
      </w:r>
      <w:r w:rsidR="00455E68" w:rsidRPr="00A74F05">
        <w:t xml:space="preserve">as it </w:t>
      </w:r>
      <w:r w:rsidR="006B52C7" w:rsidRPr="00A74F05">
        <w:t>incorporated</w:t>
      </w:r>
      <w:r w:rsidR="00455E68" w:rsidRPr="00A74F05">
        <w:t xml:space="preserve"> </w:t>
      </w:r>
      <w:r w:rsidR="00995E54" w:rsidRPr="00A74F05">
        <w:t xml:space="preserve">responder </w:t>
      </w:r>
      <w:r w:rsidR="007F05E8" w:rsidRPr="00A74F05">
        <w:t xml:space="preserve">health </w:t>
      </w:r>
      <w:r w:rsidR="00E544AF" w:rsidRPr="00A74F05">
        <w:t>states that</w:t>
      </w:r>
      <w:r w:rsidR="007F05E8" w:rsidRPr="00A74F05">
        <w:t xml:space="preserve"> do not correlate to </w:t>
      </w:r>
      <w:r w:rsidR="006B52C7" w:rsidRPr="00A74F05">
        <w:t>clinical</w:t>
      </w:r>
      <w:r w:rsidR="007F05E8" w:rsidRPr="00A74F05">
        <w:t xml:space="preserve"> outcomes</w:t>
      </w:r>
      <w:r w:rsidR="00E544AF" w:rsidRPr="00A74F05">
        <w:t xml:space="preserve"> and therefore, do not adequately capture the benefits, if any, of</w:t>
      </w:r>
      <w:r w:rsidR="00E544AF">
        <w:rPr>
          <w:i/>
        </w:rPr>
        <w:t xml:space="preserve"> </w:t>
      </w:r>
      <w:r w:rsidR="00E544AF" w:rsidRPr="00A74F05">
        <w:t xml:space="preserve">treatment. </w:t>
      </w:r>
      <w:r w:rsidR="006B52C7" w:rsidRPr="00A74F05">
        <w:t xml:space="preserve">The ESC considered a </w:t>
      </w:r>
      <w:r w:rsidR="00A864C7" w:rsidRPr="00A74F05">
        <w:t>model that more re</w:t>
      </w:r>
      <w:r w:rsidR="00025466" w:rsidRPr="00A74F05">
        <w:t>liably estimates cost-</w:t>
      </w:r>
      <w:r w:rsidR="00025466" w:rsidRPr="00A74F05">
        <w:lastRenderedPageBreak/>
        <w:t>effectiveness</w:t>
      </w:r>
      <w:r w:rsidR="00A864C7" w:rsidRPr="00A74F05">
        <w:t xml:space="preserve"> </w:t>
      </w:r>
      <w:r w:rsidR="00370FB0" w:rsidRPr="00A74F05">
        <w:t xml:space="preserve">could </w:t>
      </w:r>
      <w:r w:rsidR="006B52C7" w:rsidRPr="00A74F05">
        <w:t xml:space="preserve">incorporate </w:t>
      </w:r>
      <w:r w:rsidR="00370FB0" w:rsidRPr="00A74F05">
        <w:t xml:space="preserve">responder </w:t>
      </w:r>
      <w:r w:rsidR="006B52C7" w:rsidRPr="00A74F05">
        <w:t xml:space="preserve">health states </w:t>
      </w:r>
      <w:r w:rsidR="00370FB0" w:rsidRPr="00A74F05">
        <w:t xml:space="preserve">defined by </w:t>
      </w:r>
      <w:r w:rsidR="006B52C7" w:rsidRPr="00A74F05">
        <w:t>patient relevant outcomes</w:t>
      </w:r>
      <w:r w:rsidR="00370FB0" w:rsidRPr="00A74F05">
        <w:t>.</w:t>
      </w:r>
      <w:r w:rsidR="00025466" w:rsidRPr="00A74F05">
        <w:t xml:space="preserve"> </w:t>
      </w:r>
      <w:r w:rsidR="00457715" w:rsidRPr="00A74F05">
        <w:t>While</w:t>
      </w:r>
      <w:r w:rsidR="00025466" w:rsidRPr="00A74F05">
        <w:t xml:space="preserve"> t</w:t>
      </w:r>
      <w:r w:rsidR="00641C0C" w:rsidRPr="00A74F05">
        <w:t>he ESC noted that the current clinical evidence as presented by the submission</w:t>
      </w:r>
      <w:r w:rsidR="00457715" w:rsidRPr="00A74F05">
        <w:t>,</w:t>
      </w:r>
      <w:r w:rsidR="00F203CA" w:rsidRPr="00A74F05">
        <w:t xml:space="preserve"> </w:t>
      </w:r>
      <w:r w:rsidR="00025466" w:rsidRPr="00A74F05">
        <w:t xml:space="preserve">does not </w:t>
      </w:r>
      <w:r w:rsidR="00457715" w:rsidRPr="00A74F05">
        <w:t>adequately support a</w:t>
      </w:r>
      <w:r w:rsidR="00024736" w:rsidRPr="00A74F05">
        <w:t>n improvement</w:t>
      </w:r>
      <w:r w:rsidR="00025466" w:rsidRPr="00A74F05">
        <w:t xml:space="preserve"> with ruxolitinib </w:t>
      </w:r>
      <w:r w:rsidR="00457715" w:rsidRPr="00A74F05">
        <w:t xml:space="preserve">treatment </w:t>
      </w:r>
      <w:r w:rsidR="00025466" w:rsidRPr="00A74F05">
        <w:t xml:space="preserve">over </w:t>
      </w:r>
      <w:r w:rsidR="00964C6C" w:rsidRPr="00A74F05">
        <w:t xml:space="preserve">treatment with </w:t>
      </w:r>
      <w:r w:rsidR="00025466" w:rsidRPr="00A74F05">
        <w:t xml:space="preserve">BAT for </w:t>
      </w:r>
      <w:r w:rsidR="00E40A55" w:rsidRPr="00A74F05">
        <w:t>k</w:t>
      </w:r>
      <w:r w:rsidR="00457715" w:rsidRPr="00A74F05">
        <w:t>ey clinical outcomes (</w:t>
      </w:r>
      <w:r w:rsidR="00E40A55" w:rsidRPr="00A74F05">
        <w:t>thrombosis, haemorrhage, transformation to MF or AML, and OS</w:t>
      </w:r>
      <w:r w:rsidR="00457715" w:rsidRPr="00A74F05">
        <w:t>),</w:t>
      </w:r>
      <w:r w:rsidR="00E40A55" w:rsidRPr="00A74F05">
        <w:t xml:space="preserve"> </w:t>
      </w:r>
      <w:r w:rsidR="00457715" w:rsidRPr="00A74F05">
        <w:t>identifying</w:t>
      </w:r>
      <w:r w:rsidR="00964C6C" w:rsidRPr="00A74F05">
        <w:t xml:space="preserve"> alternative clinical outcomes</w:t>
      </w:r>
      <w:r w:rsidR="00E40A55" w:rsidRPr="00A74F05">
        <w:t xml:space="preserve"> from the available evidence</w:t>
      </w:r>
      <w:r w:rsidR="00457715" w:rsidRPr="00A74F05">
        <w:t xml:space="preserve"> may address this issue</w:t>
      </w:r>
      <w:r w:rsidR="00E40A55" w:rsidRPr="00A74F05">
        <w:t>.</w:t>
      </w:r>
      <w:r w:rsidR="00964C6C" w:rsidRPr="00A74F05">
        <w:t xml:space="preserve">  </w:t>
      </w:r>
      <w:r w:rsidR="00370FB0" w:rsidRPr="00A74F05">
        <w:t>The ESC</w:t>
      </w:r>
      <w:r w:rsidR="00EF6471" w:rsidRPr="00A74F05">
        <w:t xml:space="preserve"> also</w:t>
      </w:r>
      <w:r w:rsidR="00370FB0" w:rsidRPr="00A74F05">
        <w:t xml:space="preserve"> considered that as most PV patients </w:t>
      </w:r>
      <w:r w:rsidR="00EF6471" w:rsidRPr="00A74F05">
        <w:t xml:space="preserve">who respond to treatment </w:t>
      </w:r>
      <w:r w:rsidR="00370FB0" w:rsidRPr="00A74F05">
        <w:t xml:space="preserve">may not experience significant </w:t>
      </w:r>
      <w:proofErr w:type="spellStart"/>
      <w:r w:rsidR="00370FB0" w:rsidRPr="00A74F05">
        <w:t>QoL</w:t>
      </w:r>
      <w:proofErr w:type="spellEnd"/>
      <w:r w:rsidR="00370FB0" w:rsidRPr="00A74F05">
        <w:t xml:space="preserve"> changes, </w:t>
      </w:r>
      <w:r w:rsidR="00180F32" w:rsidRPr="00A74F05">
        <w:t xml:space="preserve">an </w:t>
      </w:r>
      <w:r w:rsidR="00EF6471" w:rsidRPr="00A74F05">
        <w:t xml:space="preserve">alternative </w:t>
      </w:r>
      <w:r w:rsidR="00180F32" w:rsidRPr="00A74F05">
        <w:t>model structure would</w:t>
      </w:r>
      <w:r w:rsidR="00EF6471" w:rsidRPr="00A74F05">
        <w:t xml:space="preserve"> be</w:t>
      </w:r>
      <w:r w:rsidR="00D81EC3" w:rsidRPr="00A74F05">
        <w:t xml:space="preserve"> more</w:t>
      </w:r>
      <w:r w:rsidR="00EF6471" w:rsidRPr="00A74F05">
        <w:t xml:space="preserve"> appropriate. </w:t>
      </w:r>
    </w:p>
    <w:p w:rsidR="00D81EC3" w:rsidRPr="00A74F05" w:rsidRDefault="00D81EC3" w:rsidP="00417E69">
      <w:pPr>
        <w:pStyle w:val="ListParagraph"/>
        <w:widowControl/>
        <w:numPr>
          <w:ilvl w:val="1"/>
          <w:numId w:val="2"/>
        </w:numPr>
        <w:spacing w:after="120"/>
      </w:pPr>
      <w:r w:rsidRPr="00A74F05">
        <w:t xml:space="preserve">The ESC noted the ‘scenario analysis’ presented by the submission where patients were assumed to be treated with ruxolitinib even if there is no response. The PSCR (p1) stated that the intent of the submission in proposing continuation criteria was to ensure use of ruxolitinib is maintained only in patients who continue to benefit. The PSCR stated that, if there is no clear relationship between ‘response’ and improvement in </w:t>
      </w:r>
      <w:proofErr w:type="spellStart"/>
      <w:r w:rsidRPr="00A74F05">
        <w:t>QoL</w:t>
      </w:r>
      <w:proofErr w:type="spellEnd"/>
      <w:r w:rsidRPr="00A74F05">
        <w:t xml:space="preserve">, then patients may be required to discontinue treatment prematurely, thus prompting the submission’s alternative scenario where the discontinuation criteria were removed. The ESC considered that the removal of continuation treatment criteria and thus allowing patients to continue treatment without response was not clinically appropriate especially considering the potentially long duration of therapy.  The ESC considered that the lack of correlation between a response and improvement in patient relevant outcomes may have been due to the use of response criteria from MAJIC. </w:t>
      </w:r>
    </w:p>
    <w:p w:rsidR="00524F02" w:rsidRPr="00A74F05" w:rsidRDefault="00524F02" w:rsidP="00417E69">
      <w:pPr>
        <w:pStyle w:val="ListParagraph"/>
        <w:widowControl/>
        <w:numPr>
          <w:ilvl w:val="1"/>
          <w:numId w:val="2"/>
        </w:numPr>
        <w:spacing w:after="120"/>
      </w:pPr>
      <w:r w:rsidRPr="00A74F05">
        <w:t xml:space="preserve">A range of univariate sensitivity analyses were presented by the submission around extrapolation of </w:t>
      </w:r>
      <w:proofErr w:type="spellStart"/>
      <w:r w:rsidRPr="00A74F05">
        <w:t>DoR</w:t>
      </w:r>
      <w:proofErr w:type="spellEnd"/>
      <w:r w:rsidRPr="00A74F05">
        <w:t xml:space="preserve"> and OS, utilities, time horizon and discount rates.  </w:t>
      </w:r>
      <w:r w:rsidR="00993AF5" w:rsidRPr="00A74F05">
        <w:t xml:space="preserve">As discussed, the OS extrapolation was a driver of the model, and using other parametric functions can increase the ICER by 6-38%.  Using other parametric functions for </w:t>
      </w:r>
      <w:proofErr w:type="spellStart"/>
      <w:r w:rsidR="00993AF5" w:rsidRPr="00A74F05">
        <w:t>DoR</w:t>
      </w:r>
      <w:proofErr w:type="spellEnd"/>
      <w:r w:rsidR="00993AF5" w:rsidRPr="00A74F05">
        <w:t xml:space="preserve"> extrapolation led to a decrease in ICER by 7-15%, but this was a result of the assumptions and structure of the model.  </w:t>
      </w:r>
      <w:r w:rsidR="00CF6741" w:rsidRPr="00A74F05">
        <w:t>For example,</w:t>
      </w:r>
      <w:r w:rsidR="00993AF5" w:rsidRPr="00A74F05">
        <w:t xml:space="preserve"> patients in the ruxol</w:t>
      </w:r>
      <w:r w:rsidR="00CF6741" w:rsidRPr="00A74F05">
        <w:t>itinib cohort, even if they lost</w:t>
      </w:r>
      <w:r w:rsidR="00993AF5" w:rsidRPr="00A74F05">
        <w:t xml:space="preserve"> response quicker and discontinue</w:t>
      </w:r>
      <w:r w:rsidR="00CF6741" w:rsidRPr="00A74F05">
        <w:t>d</w:t>
      </w:r>
      <w:r w:rsidR="00993AF5" w:rsidRPr="00A74F05">
        <w:t xml:space="preserve"> treatment from ruxolitinib earlier (therefore incurring fewer costs) and have a shorter period of utility benefit, were still assumed to have an OS benefit compared to patients in the BAT cohort.  This is implausible and indicates potential issues with the model structure.  Using only RESPONSE utilities lowered the ICER by 8% and using only RESPONSE-2 utilities increased the ICER by 15%.  </w:t>
      </w:r>
    </w:p>
    <w:p w:rsidR="0088557B" w:rsidRPr="00A74F05" w:rsidRDefault="00993AF5" w:rsidP="00417E69">
      <w:pPr>
        <w:pStyle w:val="ListParagraph"/>
        <w:widowControl/>
        <w:numPr>
          <w:ilvl w:val="1"/>
          <w:numId w:val="2"/>
        </w:numPr>
        <w:spacing w:after="120"/>
      </w:pPr>
      <w:r w:rsidRPr="00A74F05">
        <w:t xml:space="preserve">Additional univariate and multivariate sensitivity analyses were conducted during the evaluation.  These included sensitivity around assumptions behind the OS, proportion of HC to peginterferon α-2a and testing the cost of ruxolitinib.  The results of these analyses were discussed in </w:t>
      </w:r>
      <w:r w:rsidR="002B6868" w:rsidRPr="00A74F05">
        <w:t xml:space="preserve">Table </w:t>
      </w:r>
      <w:r w:rsidR="002B6868" w:rsidRPr="00A74F05">
        <w:rPr>
          <w:noProof/>
        </w:rPr>
        <w:t>10</w:t>
      </w:r>
      <w:r w:rsidRPr="00A74F05">
        <w:t xml:space="preserve">.  </w:t>
      </w:r>
      <w:r w:rsidR="00FF3CA6" w:rsidRPr="00A74F05">
        <w:t xml:space="preserve">Additionally, a scenario where transformation to MF was removed was tested and led to a +7% in ICER.  </w:t>
      </w:r>
      <w:r w:rsidRPr="00A74F05">
        <w:t xml:space="preserve">Multivariate sensitivity analyses </w:t>
      </w:r>
      <w:r w:rsidR="00FF3CA6" w:rsidRPr="00A74F05">
        <w:t xml:space="preserve">conducted during the evaluation are presented in </w:t>
      </w:r>
      <w:r w:rsidR="00CF6741" w:rsidRPr="00A74F05">
        <w:t xml:space="preserve">Table </w:t>
      </w:r>
      <w:r w:rsidR="00CF6741" w:rsidRPr="00A74F05">
        <w:rPr>
          <w:noProof/>
        </w:rPr>
        <w:t>12</w:t>
      </w:r>
      <w:r w:rsidR="00FF3CA6" w:rsidRPr="00A74F05">
        <w:t>.</w:t>
      </w:r>
      <w:r w:rsidR="0088557B" w:rsidRPr="00A74F05">
        <w:t xml:space="preserve"> </w:t>
      </w:r>
    </w:p>
    <w:p w:rsidR="00FF3CA6" w:rsidRPr="002A3E18" w:rsidRDefault="00CF6741" w:rsidP="0087640F">
      <w:pPr>
        <w:pStyle w:val="Caption"/>
        <w:keepNext/>
        <w:keepLines/>
        <w:widowControl/>
        <w:rPr>
          <w:rStyle w:val="CommentReference"/>
        </w:rPr>
      </w:pPr>
      <w:bookmarkStart w:id="28" w:name="_Ref17149624"/>
      <w:r w:rsidRPr="002A3E18">
        <w:lastRenderedPageBreak/>
        <w:t xml:space="preserve">Table </w:t>
      </w:r>
      <w:r w:rsidRPr="002A3E18">
        <w:rPr>
          <w:noProof/>
        </w:rPr>
        <w:t>12</w:t>
      </w:r>
      <w:bookmarkEnd w:id="28"/>
      <w:r w:rsidRPr="002A3E18">
        <w:t xml:space="preserve">: </w:t>
      </w:r>
      <w:r w:rsidR="00FF3CA6" w:rsidRPr="002A3E18">
        <w:rPr>
          <w:rStyle w:val="CommentReference"/>
          <w:b/>
        </w:rPr>
        <w:t>Multivariate sensitivity analyses conducted during evaluation</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Caption w:val="Table 12: Multivariate sensitivity analyses conducted during evaluation"/>
      </w:tblPr>
      <w:tblGrid>
        <w:gridCol w:w="2123"/>
        <w:gridCol w:w="873"/>
        <w:gridCol w:w="874"/>
        <w:gridCol w:w="873"/>
        <w:gridCol w:w="874"/>
        <w:gridCol w:w="873"/>
        <w:gridCol w:w="874"/>
        <w:gridCol w:w="1132"/>
        <w:gridCol w:w="709"/>
      </w:tblGrid>
      <w:tr w:rsidR="00FF3CA6" w:rsidRPr="002A3E18" w:rsidTr="00CF6741">
        <w:trPr>
          <w:cantSplit/>
          <w:trHeight w:val="20"/>
          <w:tblHeader/>
        </w:trPr>
        <w:tc>
          <w:tcPr>
            <w:tcW w:w="1153" w:type="pct"/>
            <w:vMerge w:val="restart"/>
            <w:shd w:val="clear" w:color="auto" w:fill="FFFFFF" w:themeFill="background1"/>
            <w:vAlign w:val="bottom"/>
          </w:tcPr>
          <w:p w:rsidR="00FF3CA6" w:rsidRPr="002A3E18" w:rsidRDefault="00FF3CA6" w:rsidP="0087640F">
            <w:pPr>
              <w:pStyle w:val="Tabletext"/>
              <w:keepNext/>
              <w:keepLines/>
              <w:rPr>
                <w:b/>
                <w:szCs w:val="20"/>
              </w:rPr>
            </w:pPr>
            <w:r w:rsidRPr="002A3E18">
              <w:rPr>
                <w:b/>
                <w:szCs w:val="20"/>
              </w:rPr>
              <w:t>Data</w:t>
            </w:r>
          </w:p>
        </w:tc>
        <w:tc>
          <w:tcPr>
            <w:tcW w:w="1423" w:type="pct"/>
            <w:gridSpan w:val="3"/>
            <w:shd w:val="clear" w:color="auto" w:fill="FFFFFF" w:themeFill="background1"/>
            <w:vAlign w:val="center"/>
          </w:tcPr>
          <w:p w:rsidR="00FF3CA6" w:rsidRPr="002A3E18" w:rsidRDefault="00FF3CA6" w:rsidP="0087640F">
            <w:pPr>
              <w:pStyle w:val="Tabletext"/>
              <w:keepNext/>
              <w:keepLines/>
              <w:jc w:val="center"/>
              <w:rPr>
                <w:b/>
                <w:szCs w:val="20"/>
              </w:rPr>
            </w:pPr>
            <w:r w:rsidRPr="002A3E18">
              <w:rPr>
                <w:b/>
                <w:szCs w:val="20"/>
              </w:rPr>
              <w:t>Costs</w:t>
            </w:r>
          </w:p>
        </w:tc>
        <w:tc>
          <w:tcPr>
            <w:tcW w:w="1424" w:type="pct"/>
            <w:gridSpan w:val="3"/>
            <w:shd w:val="clear" w:color="auto" w:fill="FFFFFF" w:themeFill="background1"/>
            <w:vAlign w:val="center"/>
          </w:tcPr>
          <w:p w:rsidR="00FF3CA6" w:rsidRPr="002A3E18" w:rsidRDefault="00E345EC" w:rsidP="0087640F">
            <w:pPr>
              <w:pStyle w:val="Tabletext"/>
              <w:keepNext/>
              <w:keepLines/>
              <w:jc w:val="center"/>
              <w:rPr>
                <w:b/>
                <w:szCs w:val="20"/>
              </w:rPr>
            </w:pPr>
            <w:r w:rsidRPr="002A3E18">
              <w:rPr>
                <w:b/>
                <w:szCs w:val="20"/>
              </w:rPr>
              <w:t>Health outcomes</w:t>
            </w:r>
          </w:p>
        </w:tc>
        <w:tc>
          <w:tcPr>
            <w:tcW w:w="615" w:type="pct"/>
            <w:vMerge w:val="restart"/>
            <w:shd w:val="clear" w:color="auto" w:fill="FFFFFF" w:themeFill="background1"/>
            <w:vAlign w:val="center"/>
          </w:tcPr>
          <w:p w:rsidR="00FF3CA6" w:rsidRPr="002A3E18" w:rsidRDefault="00FF3CA6" w:rsidP="0087640F">
            <w:pPr>
              <w:pStyle w:val="Tabletext"/>
              <w:keepNext/>
              <w:keepLines/>
              <w:jc w:val="center"/>
              <w:rPr>
                <w:b/>
                <w:szCs w:val="20"/>
              </w:rPr>
            </w:pPr>
            <w:r w:rsidRPr="002A3E18">
              <w:rPr>
                <w:b/>
                <w:szCs w:val="20"/>
              </w:rPr>
              <w:t>Incremental cost-effectiveness ratio</w:t>
            </w:r>
          </w:p>
        </w:tc>
        <w:tc>
          <w:tcPr>
            <w:tcW w:w="385" w:type="pct"/>
            <w:vMerge w:val="restart"/>
            <w:shd w:val="clear" w:color="auto" w:fill="FFFFFF" w:themeFill="background1"/>
            <w:vAlign w:val="center"/>
          </w:tcPr>
          <w:p w:rsidR="00FF3CA6" w:rsidRPr="002A3E18" w:rsidRDefault="00FF3CA6" w:rsidP="0087640F">
            <w:pPr>
              <w:pStyle w:val="Tabletext"/>
              <w:keepNext/>
              <w:keepLines/>
              <w:jc w:val="center"/>
              <w:rPr>
                <w:b/>
                <w:szCs w:val="20"/>
              </w:rPr>
            </w:pPr>
            <w:r w:rsidRPr="002A3E18">
              <w:rPr>
                <w:b/>
                <w:szCs w:val="20"/>
              </w:rPr>
              <w:t>Diff</w:t>
            </w:r>
          </w:p>
        </w:tc>
      </w:tr>
      <w:tr w:rsidR="00FF3CA6" w:rsidRPr="002A3E18" w:rsidTr="00CF6741">
        <w:trPr>
          <w:cantSplit/>
          <w:trHeight w:val="20"/>
          <w:tblHeader/>
        </w:trPr>
        <w:tc>
          <w:tcPr>
            <w:tcW w:w="1153" w:type="pct"/>
            <w:vMerge/>
            <w:shd w:val="clear" w:color="auto" w:fill="FFFFFF" w:themeFill="background1"/>
            <w:vAlign w:val="center"/>
          </w:tcPr>
          <w:p w:rsidR="00FF3CA6" w:rsidRPr="002A3E18" w:rsidRDefault="00FF3CA6" w:rsidP="0087640F">
            <w:pPr>
              <w:pStyle w:val="Tabletext"/>
              <w:keepNext/>
              <w:keepLines/>
              <w:jc w:val="center"/>
              <w:rPr>
                <w:szCs w:val="20"/>
              </w:rPr>
            </w:pPr>
          </w:p>
        </w:tc>
        <w:tc>
          <w:tcPr>
            <w:tcW w:w="474" w:type="pct"/>
            <w:shd w:val="clear" w:color="auto" w:fill="FFFFFF" w:themeFill="background1"/>
            <w:vAlign w:val="center"/>
          </w:tcPr>
          <w:p w:rsidR="00FF3CA6" w:rsidRPr="002A3E18" w:rsidRDefault="00FF3CA6" w:rsidP="0087640F">
            <w:pPr>
              <w:pStyle w:val="Tabletext"/>
              <w:keepNext/>
              <w:keepLines/>
              <w:jc w:val="center"/>
              <w:rPr>
                <w:b/>
                <w:sz w:val="19"/>
                <w:szCs w:val="19"/>
              </w:rPr>
            </w:pPr>
            <w:r w:rsidRPr="002A3E18">
              <w:rPr>
                <w:b/>
                <w:sz w:val="19"/>
                <w:szCs w:val="19"/>
              </w:rPr>
              <w:t>Ruxolitinib</w:t>
            </w:r>
          </w:p>
        </w:tc>
        <w:tc>
          <w:tcPr>
            <w:tcW w:w="475" w:type="pct"/>
            <w:shd w:val="clear" w:color="auto" w:fill="FFFFFF" w:themeFill="background1"/>
            <w:vAlign w:val="center"/>
          </w:tcPr>
          <w:p w:rsidR="00FF3CA6" w:rsidRPr="002A3E18" w:rsidRDefault="007F017E" w:rsidP="0087640F">
            <w:pPr>
              <w:pStyle w:val="Tabletext"/>
              <w:keepNext/>
              <w:keepLines/>
              <w:jc w:val="center"/>
              <w:rPr>
                <w:b/>
                <w:szCs w:val="20"/>
              </w:rPr>
            </w:pPr>
            <w:r w:rsidRPr="002A3E18">
              <w:rPr>
                <w:b/>
                <w:szCs w:val="20"/>
              </w:rPr>
              <w:t>BAT</w:t>
            </w:r>
          </w:p>
        </w:tc>
        <w:tc>
          <w:tcPr>
            <w:tcW w:w="474" w:type="pct"/>
            <w:shd w:val="clear" w:color="auto" w:fill="FFFFFF" w:themeFill="background1"/>
            <w:vAlign w:val="center"/>
          </w:tcPr>
          <w:p w:rsidR="00FF3CA6" w:rsidRPr="002A3E18" w:rsidRDefault="00FF3CA6" w:rsidP="0087640F">
            <w:pPr>
              <w:pStyle w:val="Tabletext"/>
              <w:keepNext/>
              <w:keepLines/>
              <w:jc w:val="center"/>
              <w:rPr>
                <w:b/>
                <w:szCs w:val="20"/>
              </w:rPr>
            </w:pPr>
            <w:r w:rsidRPr="002A3E18">
              <w:rPr>
                <w:b/>
                <w:szCs w:val="20"/>
              </w:rPr>
              <w:t>Increment</w:t>
            </w:r>
          </w:p>
        </w:tc>
        <w:tc>
          <w:tcPr>
            <w:tcW w:w="475" w:type="pct"/>
            <w:shd w:val="clear" w:color="auto" w:fill="FFFFFF" w:themeFill="background1"/>
            <w:vAlign w:val="center"/>
          </w:tcPr>
          <w:p w:rsidR="00FF3CA6" w:rsidRPr="002A3E18" w:rsidRDefault="00FF3CA6" w:rsidP="0087640F">
            <w:pPr>
              <w:pStyle w:val="Tabletext"/>
              <w:keepNext/>
              <w:keepLines/>
              <w:jc w:val="center"/>
              <w:rPr>
                <w:b/>
                <w:sz w:val="19"/>
                <w:szCs w:val="19"/>
              </w:rPr>
            </w:pPr>
            <w:r w:rsidRPr="002A3E18">
              <w:rPr>
                <w:b/>
                <w:sz w:val="19"/>
                <w:szCs w:val="19"/>
              </w:rPr>
              <w:t>Ruxolitinib</w:t>
            </w:r>
          </w:p>
        </w:tc>
        <w:tc>
          <w:tcPr>
            <w:tcW w:w="474" w:type="pct"/>
            <w:shd w:val="clear" w:color="auto" w:fill="FFFFFF" w:themeFill="background1"/>
            <w:vAlign w:val="center"/>
          </w:tcPr>
          <w:p w:rsidR="00FF3CA6" w:rsidRPr="002A3E18" w:rsidRDefault="00FF3CA6" w:rsidP="0087640F">
            <w:pPr>
              <w:pStyle w:val="Tabletext"/>
              <w:keepNext/>
              <w:keepLines/>
              <w:jc w:val="center"/>
              <w:rPr>
                <w:b/>
                <w:szCs w:val="20"/>
              </w:rPr>
            </w:pPr>
            <w:r w:rsidRPr="002A3E18">
              <w:rPr>
                <w:b/>
                <w:szCs w:val="20"/>
              </w:rPr>
              <w:t>BAT</w:t>
            </w:r>
          </w:p>
        </w:tc>
        <w:tc>
          <w:tcPr>
            <w:tcW w:w="475" w:type="pct"/>
            <w:shd w:val="clear" w:color="auto" w:fill="FFFFFF" w:themeFill="background1"/>
            <w:vAlign w:val="center"/>
          </w:tcPr>
          <w:p w:rsidR="00FF3CA6" w:rsidRPr="002A3E18" w:rsidRDefault="00FF3CA6" w:rsidP="0087640F">
            <w:pPr>
              <w:pStyle w:val="Tabletext"/>
              <w:keepNext/>
              <w:keepLines/>
              <w:jc w:val="center"/>
              <w:rPr>
                <w:b/>
                <w:szCs w:val="20"/>
              </w:rPr>
            </w:pPr>
            <w:r w:rsidRPr="002A3E18">
              <w:rPr>
                <w:b/>
                <w:szCs w:val="20"/>
              </w:rPr>
              <w:t>Increment</w:t>
            </w:r>
          </w:p>
        </w:tc>
        <w:tc>
          <w:tcPr>
            <w:tcW w:w="615" w:type="pct"/>
            <w:vMerge/>
            <w:shd w:val="clear" w:color="auto" w:fill="FFFFFF" w:themeFill="background1"/>
            <w:vAlign w:val="center"/>
          </w:tcPr>
          <w:p w:rsidR="00FF3CA6" w:rsidRPr="002A3E18" w:rsidRDefault="00FF3CA6" w:rsidP="0087640F">
            <w:pPr>
              <w:pStyle w:val="Tabletext"/>
              <w:keepNext/>
              <w:keepLines/>
              <w:jc w:val="center"/>
              <w:rPr>
                <w:szCs w:val="20"/>
              </w:rPr>
            </w:pPr>
          </w:p>
        </w:tc>
        <w:tc>
          <w:tcPr>
            <w:tcW w:w="385" w:type="pct"/>
            <w:vMerge/>
            <w:shd w:val="clear" w:color="auto" w:fill="FFFFFF" w:themeFill="background1"/>
            <w:vAlign w:val="center"/>
          </w:tcPr>
          <w:p w:rsidR="00FF3CA6" w:rsidRPr="002A3E18" w:rsidRDefault="00FF3CA6" w:rsidP="0087640F">
            <w:pPr>
              <w:pStyle w:val="Tabletext"/>
              <w:keepNext/>
              <w:keepLines/>
              <w:jc w:val="center"/>
              <w:rPr>
                <w:szCs w:val="20"/>
              </w:rPr>
            </w:pPr>
          </w:p>
        </w:tc>
      </w:tr>
      <w:tr w:rsidR="00FF3CA6" w:rsidRPr="002A3E18" w:rsidTr="00CF6741">
        <w:trPr>
          <w:cantSplit/>
          <w:trHeight w:val="227"/>
        </w:trPr>
        <w:tc>
          <w:tcPr>
            <w:tcW w:w="1153" w:type="pct"/>
            <w:vMerge w:val="restart"/>
            <w:shd w:val="clear" w:color="auto" w:fill="FFFFFF" w:themeFill="background1"/>
            <w:vAlign w:val="center"/>
          </w:tcPr>
          <w:p w:rsidR="00FF3CA6" w:rsidRPr="002A3E18" w:rsidRDefault="00FF3CA6" w:rsidP="0087640F">
            <w:pPr>
              <w:pStyle w:val="Tabletext"/>
              <w:keepNext/>
              <w:keepLines/>
              <w:rPr>
                <w:szCs w:val="20"/>
              </w:rPr>
            </w:pPr>
            <w:r w:rsidRPr="002A3E18">
              <w:rPr>
                <w:rFonts w:cs="Calibri"/>
                <w:szCs w:val="20"/>
              </w:rPr>
              <w:t>Base case</w:t>
            </w:r>
          </w:p>
        </w:tc>
        <w:tc>
          <w:tcPr>
            <w:tcW w:w="474" w:type="pct"/>
            <w:vMerge w:val="restart"/>
            <w:shd w:val="clear" w:color="auto" w:fill="FFFFFF" w:themeFill="background1"/>
            <w:vAlign w:val="center"/>
          </w:tcPr>
          <w:p w:rsidR="00FF3CA6" w:rsidRPr="004A4EFC" w:rsidRDefault="004A4EFC" w:rsidP="0087640F">
            <w:pPr>
              <w:pStyle w:val="Tabletext"/>
              <w:keepNext/>
              <w:keepLines/>
              <w:jc w:val="center"/>
              <w:rPr>
                <w:szCs w:val="20"/>
                <w:highlight w:val="black"/>
              </w:rPr>
            </w:pPr>
            <w:r>
              <w:rPr>
                <w:rFonts w:cs="Calibri"/>
                <w:noProof/>
                <w:color w:val="000000"/>
                <w:szCs w:val="20"/>
                <w:highlight w:val="black"/>
              </w:rPr>
              <w:t>''''''''''''''''''''</w:t>
            </w:r>
          </w:p>
        </w:tc>
        <w:tc>
          <w:tcPr>
            <w:tcW w:w="475" w:type="pct"/>
            <w:vMerge w:val="restart"/>
            <w:shd w:val="clear" w:color="auto" w:fill="FFFFFF" w:themeFill="background1"/>
            <w:vAlign w:val="center"/>
          </w:tcPr>
          <w:p w:rsidR="00FF3CA6" w:rsidRPr="002A3E18" w:rsidRDefault="00FF3CA6" w:rsidP="0087640F">
            <w:pPr>
              <w:pStyle w:val="Tabletext"/>
              <w:keepNext/>
              <w:keepLines/>
              <w:jc w:val="center"/>
              <w:rPr>
                <w:szCs w:val="20"/>
              </w:rPr>
            </w:pPr>
            <w:r w:rsidRPr="002A3E18">
              <w:rPr>
                <w:rFonts w:cs="Calibri"/>
                <w:szCs w:val="20"/>
              </w:rPr>
              <w:t>$</w:t>
            </w:r>
            <w:r w:rsidR="004A4EFC">
              <w:rPr>
                <w:rFonts w:cs="Calibri"/>
                <w:noProof/>
                <w:color w:val="000000"/>
                <w:szCs w:val="20"/>
                <w:highlight w:val="black"/>
              </w:rPr>
              <w:t>''''''''''''''''</w:t>
            </w:r>
          </w:p>
        </w:tc>
        <w:tc>
          <w:tcPr>
            <w:tcW w:w="474" w:type="pct"/>
            <w:vMerge w:val="restart"/>
            <w:shd w:val="clear" w:color="auto" w:fill="FFFFFF" w:themeFill="background1"/>
            <w:vAlign w:val="center"/>
          </w:tcPr>
          <w:p w:rsidR="00FF3CA6" w:rsidRPr="004A4EFC" w:rsidRDefault="004A4EFC" w:rsidP="0087640F">
            <w:pPr>
              <w:pStyle w:val="Tabletext"/>
              <w:keepNext/>
              <w:keepLines/>
              <w:jc w:val="center"/>
              <w:rPr>
                <w:szCs w:val="20"/>
                <w:highlight w:val="black"/>
              </w:rPr>
            </w:pPr>
            <w:r>
              <w:rPr>
                <w:rFonts w:cs="Calibri"/>
                <w:noProof/>
                <w:color w:val="000000"/>
                <w:szCs w:val="20"/>
                <w:highlight w:val="black"/>
              </w:rPr>
              <w:t>''''''''''''''''''''</w:t>
            </w:r>
          </w:p>
        </w:tc>
        <w:tc>
          <w:tcPr>
            <w:tcW w:w="475" w:type="pct"/>
            <w:shd w:val="clear" w:color="auto" w:fill="FFFFFF" w:themeFill="background1"/>
            <w:vAlign w:val="center"/>
          </w:tcPr>
          <w:p w:rsidR="00FF3CA6" w:rsidRPr="002A3E18" w:rsidRDefault="004A4EFC" w:rsidP="0087640F">
            <w:pPr>
              <w:pStyle w:val="Tabletext"/>
              <w:keepNext/>
              <w:keepLines/>
              <w:jc w:val="center"/>
              <w:rPr>
                <w:szCs w:val="20"/>
              </w:rPr>
            </w:pPr>
            <w:r>
              <w:rPr>
                <w:rFonts w:cs="Calibri"/>
                <w:noProof/>
                <w:color w:val="000000"/>
                <w:szCs w:val="20"/>
                <w:highlight w:val="black"/>
              </w:rPr>
              <w:t>''''''''''''</w:t>
            </w:r>
            <w:r w:rsidR="00FF3CA6" w:rsidRPr="002A3E18">
              <w:rPr>
                <w:rFonts w:cs="Calibri"/>
                <w:szCs w:val="20"/>
              </w:rPr>
              <w:t xml:space="preserve"> LY</w:t>
            </w:r>
          </w:p>
        </w:tc>
        <w:tc>
          <w:tcPr>
            <w:tcW w:w="474" w:type="pct"/>
            <w:shd w:val="clear" w:color="auto" w:fill="FFFFFF" w:themeFill="background1"/>
            <w:vAlign w:val="center"/>
          </w:tcPr>
          <w:p w:rsidR="00FF3CA6" w:rsidRPr="002A3E18" w:rsidRDefault="004A4EFC" w:rsidP="0087640F">
            <w:pPr>
              <w:pStyle w:val="Tabletext"/>
              <w:keepNext/>
              <w:keepLines/>
              <w:jc w:val="center"/>
              <w:rPr>
                <w:szCs w:val="20"/>
              </w:rPr>
            </w:pPr>
            <w:r>
              <w:rPr>
                <w:rFonts w:cs="Calibri"/>
                <w:noProof/>
                <w:color w:val="000000"/>
                <w:szCs w:val="20"/>
                <w:highlight w:val="black"/>
              </w:rPr>
              <w:t>''''''''''</w:t>
            </w:r>
            <w:r w:rsidR="00FF3CA6" w:rsidRPr="002A3E18">
              <w:rPr>
                <w:rFonts w:cs="Calibri"/>
                <w:szCs w:val="20"/>
              </w:rPr>
              <w:t xml:space="preserve"> LY</w:t>
            </w:r>
          </w:p>
        </w:tc>
        <w:tc>
          <w:tcPr>
            <w:tcW w:w="475" w:type="pct"/>
            <w:shd w:val="clear" w:color="auto" w:fill="FFFFFF" w:themeFill="background1"/>
            <w:vAlign w:val="center"/>
          </w:tcPr>
          <w:p w:rsidR="00FF3CA6" w:rsidRPr="002A3E18" w:rsidRDefault="004A4EFC" w:rsidP="0087640F">
            <w:pPr>
              <w:pStyle w:val="Tabletext"/>
              <w:keepNext/>
              <w:keepLines/>
              <w:jc w:val="center"/>
              <w:rPr>
                <w:szCs w:val="20"/>
              </w:rPr>
            </w:pPr>
            <w:r>
              <w:rPr>
                <w:rFonts w:cs="Calibri"/>
                <w:noProof/>
                <w:color w:val="000000"/>
                <w:szCs w:val="20"/>
                <w:highlight w:val="black"/>
              </w:rPr>
              <w:t>'''''''''''</w:t>
            </w:r>
            <w:r w:rsidR="00FF3CA6" w:rsidRPr="002A3E18">
              <w:rPr>
                <w:rFonts w:cs="Calibri"/>
                <w:szCs w:val="20"/>
              </w:rPr>
              <w:t xml:space="preserve"> LY</w:t>
            </w:r>
          </w:p>
        </w:tc>
        <w:tc>
          <w:tcPr>
            <w:tcW w:w="615" w:type="pct"/>
            <w:shd w:val="clear" w:color="auto" w:fill="FFFFFF" w:themeFill="background1"/>
            <w:vAlign w:val="center"/>
          </w:tcPr>
          <w:p w:rsidR="00FF3CA6" w:rsidRPr="002A3E18" w:rsidRDefault="00FF3CA6" w:rsidP="0087640F">
            <w:pPr>
              <w:pStyle w:val="Tabletext"/>
              <w:keepNext/>
              <w:keepLines/>
              <w:jc w:val="center"/>
              <w:rPr>
                <w:szCs w:val="20"/>
              </w:rPr>
            </w:pPr>
            <w:r w:rsidRPr="002A3E18">
              <w:rPr>
                <w:rFonts w:cs="Calibri"/>
                <w:szCs w:val="20"/>
              </w:rPr>
              <w:t>$</w:t>
            </w:r>
            <w:r w:rsidR="004A4EFC">
              <w:rPr>
                <w:rFonts w:cs="Calibri"/>
                <w:noProof/>
                <w:color w:val="000000"/>
                <w:szCs w:val="20"/>
                <w:highlight w:val="black"/>
              </w:rPr>
              <w:t>''''''''''''''''</w:t>
            </w:r>
            <w:r w:rsidRPr="002A3E18">
              <w:rPr>
                <w:rFonts w:cs="Calibri"/>
                <w:szCs w:val="20"/>
              </w:rPr>
              <w:t>/LY</w:t>
            </w:r>
          </w:p>
        </w:tc>
        <w:tc>
          <w:tcPr>
            <w:tcW w:w="385" w:type="pct"/>
            <w:shd w:val="clear" w:color="auto" w:fill="FFFFFF" w:themeFill="background1"/>
            <w:vAlign w:val="center"/>
          </w:tcPr>
          <w:p w:rsidR="00FF3CA6" w:rsidRPr="002A3E18" w:rsidRDefault="00FF3CA6" w:rsidP="0087640F">
            <w:pPr>
              <w:pStyle w:val="Tabletext"/>
              <w:keepNext/>
              <w:keepLines/>
              <w:jc w:val="center"/>
              <w:rPr>
                <w:rFonts w:cs="Calibri"/>
                <w:szCs w:val="20"/>
              </w:rPr>
            </w:pPr>
            <w:r w:rsidRPr="002A3E18">
              <w:rPr>
                <w:rFonts w:cs="Calibri"/>
                <w:szCs w:val="20"/>
              </w:rPr>
              <w:t>0%</w:t>
            </w:r>
          </w:p>
        </w:tc>
      </w:tr>
      <w:tr w:rsidR="00FF3CA6" w:rsidRPr="002A3E18" w:rsidTr="00CF6741">
        <w:trPr>
          <w:cantSplit/>
          <w:trHeight w:val="227"/>
        </w:trPr>
        <w:tc>
          <w:tcPr>
            <w:tcW w:w="1153" w:type="pct"/>
            <w:vMerge/>
            <w:shd w:val="clear" w:color="auto" w:fill="FFFFFF" w:themeFill="background1"/>
          </w:tcPr>
          <w:p w:rsidR="00FF3CA6" w:rsidRPr="002A3E18" w:rsidRDefault="00FF3CA6" w:rsidP="0087640F">
            <w:pPr>
              <w:pStyle w:val="Tabletext"/>
              <w:keepNext/>
              <w:keepLines/>
              <w:rPr>
                <w:rFonts w:cs="Calibri"/>
                <w:szCs w:val="20"/>
              </w:rPr>
            </w:pPr>
          </w:p>
        </w:tc>
        <w:tc>
          <w:tcPr>
            <w:tcW w:w="474" w:type="pct"/>
            <w:vMerge/>
            <w:shd w:val="clear" w:color="auto" w:fill="FFFFFF" w:themeFill="background1"/>
            <w:vAlign w:val="center"/>
          </w:tcPr>
          <w:p w:rsidR="00FF3CA6" w:rsidRPr="004A4EFC" w:rsidRDefault="00FF3CA6" w:rsidP="0087640F">
            <w:pPr>
              <w:pStyle w:val="Tabletext"/>
              <w:keepNext/>
              <w:keepLines/>
              <w:jc w:val="center"/>
              <w:rPr>
                <w:rFonts w:cs="Calibri"/>
                <w:szCs w:val="20"/>
              </w:rPr>
            </w:pPr>
          </w:p>
        </w:tc>
        <w:tc>
          <w:tcPr>
            <w:tcW w:w="475" w:type="pct"/>
            <w:vMerge/>
            <w:shd w:val="clear" w:color="auto" w:fill="FFFFFF" w:themeFill="background1"/>
            <w:vAlign w:val="center"/>
          </w:tcPr>
          <w:p w:rsidR="00FF3CA6" w:rsidRPr="002A3E18" w:rsidRDefault="00FF3CA6" w:rsidP="0087640F">
            <w:pPr>
              <w:pStyle w:val="Tabletext"/>
              <w:keepNext/>
              <w:keepLines/>
              <w:jc w:val="center"/>
              <w:rPr>
                <w:rFonts w:cs="Calibri"/>
                <w:szCs w:val="20"/>
              </w:rPr>
            </w:pPr>
          </w:p>
        </w:tc>
        <w:tc>
          <w:tcPr>
            <w:tcW w:w="474" w:type="pct"/>
            <w:vMerge/>
            <w:shd w:val="clear" w:color="auto" w:fill="FFFFFF" w:themeFill="background1"/>
            <w:vAlign w:val="center"/>
          </w:tcPr>
          <w:p w:rsidR="00FF3CA6" w:rsidRPr="004A4EFC" w:rsidRDefault="00FF3CA6" w:rsidP="0087640F">
            <w:pPr>
              <w:pStyle w:val="Tabletext"/>
              <w:keepNext/>
              <w:keepLines/>
              <w:jc w:val="center"/>
              <w:rPr>
                <w:rFonts w:cs="Calibri"/>
                <w:szCs w:val="20"/>
              </w:rPr>
            </w:pP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QALY</w:t>
            </w:r>
          </w:p>
        </w:tc>
        <w:tc>
          <w:tcPr>
            <w:tcW w:w="474"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QALY</w:t>
            </w: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QALY</w:t>
            </w:r>
          </w:p>
        </w:tc>
        <w:tc>
          <w:tcPr>
            <w:tcW w:w="615" w:type="pct"/>
            <w:shd w:val="clear" w:color="auto" w:fill="FFFFFF" w:themeFill="background1"/>
            <w:vAlign w:val="center"/>
          </w:tcPr>
          <w:p w:rsidR="00FF3CA6" w:rsidRPr="002A3E18" w:rsidRDefault="00FF3CA6" w:rsidP="0087640F">
            <w:pPr>
              <w:pStyle w:val="Tabletext"/>
              <w:keepNext/>
              <w:keepLines/>
              <w:jc w:val="center"/>
              <w:rPr>
                <w:rFonts w:cs="Calibri"/>
                <w:szCs w:val="20"/>
              </w:rPr>
            </w:pPr>
            <w:r w:rsidRPr="002A3E18">
              <w:rPr>
                <w:rFonts w:cs="Calibri"/>
                <w:szCs w:val="20"/>
              </w:rPr>
              <w:t>$</w:t>
            </w:r>
            <w:r w:rsidR="004A4EFC">
              <w:rPr>
                <w:rFonts w:cs="Calibri"/>
                <w:noProof/>
                <w:color w:val="000000"/>
                <w:szCs w:val="20"/>
                <w:highlight w:val="black"/>
              </w:rPr>
              <w:t>'''''''''''''''</w:t>
            </w:r>
            <w:r w:rsidRPr="002A3E18">
              <w:rPr>
                <w:rFonts w:cs="Calibri"/>
                <w:szCs w:val="20"/>
              </w:rPr>
              <w:t>/</w:t>
            </w:r>
            <w:r w:rsidR="00CF6741" w:rsidRPr="002A3E18">
              <w:rPr>
                <w:rFonts w:cs="Calibri"/>
                <w:szCs w:val="20"/>
              </w:rPr>
              <w:t xml:space="preserve"> </w:t>
            </w:r>
            <w:r w:rsidRPr="002A3E18">
              <w:rPr>
                <w:rFonts w:cs="Calibri"/>
                <w:szCs w:val="20"/>
              </w:rPr>
              <w:t>QALY</w:t>
            </w:r>
          </w:p>
        </w:tc>
        <w:tc>
          <w:tcPr>
            <w:tcW w:w="385" w:type="pct"/>
            <w:shd w:val="clear" w:color="auto" w:fill="FFFFFF" w:themeFill="background1"/>
            <w:vAlign w:val="center"/>
          </w:tcPr>
          <w:p w:rsidR="00FF3CA6" w:rsidRPr="002A3E18" w:rsidRDefault="00FF3CA6" w:rsidP="0087640F">
            <w:pPr>
              <w:pStyle w:val="Tabletext"/>
              <w:keepNext/>
              <w:keepLines/>
              <w:jc w:val="center"/>
              <w:rPr>
                <w:rFonts w:cs="Calibri"/>
                <w:szCs w:val="20"/>
              </w:rPr>
            </w:pPr>
            <w:r w:rsidRPr="002A3E18">
              <w:rPr>
                <w:rFonts w:cs="Calibri"/>
                <w:szCs w:val="20"/>
              </w:rPr>
              <w:t>0%</w:t>
            </w:r>
          </w:p>
        </w:tc>
      </w:tr>
      <w:tr w:rsidR="00FF3CA6" w:rsidRPr="002A3E18" w:rsidTr="00CF6741">
        <w:trPr>
          <w:cantSplit/>
          <w:trHeight w:val="305"/>
        </w:trPr>
        <w:tc>
          <w:tcPr>
            <w:tcW w:w="1153" w:type="pct"/>
            <w:vMerge w:val="restart"/>
            <w:shd w:val="clear" w:color="auto" w:fill="FFFFFF" w:themeFill="background1"/>
            <w:vAlign w:val="center"/>
          </w:tcPr>
          <w:p w:rsidR="00FF3CA6" w:rsidRPr="002A3E18" w:rsidRDefault="00FF3CA6" w:rsidP="0087640F">
            <w:pPr>
              <w:pStyle w:val="Tabletext"/>
              <w:keepNext/>
              <w:keepLines/>
              <w:rPr>
                <w:szCs w:val="20"/>
              </w:rPr>
            </w:pPr>
            <w:r w:rsidRPr="002A3E18">
              <w:rPr>
                <w:szCs w:val="20"/>
              </w:rPr>
              <w:t>Assume 39% peginterferon in BAT and BAT (subsequent), no OS difference (apply BAT OS to both)</w:t>
            </w:r>
          </w:p>
        </w:tc>
        <w:tc>
          <w:tcPr>
            <w:tcW w:w="474" w:type="pct"/>
            <w:vMerge w:val="restart"/>
            <w:shd w:val="clear" w:color="auto" w:fill="FFFFFF" w:themeFill="background1"/>
            <w:vAlign w:val="center"/>
          </w:tcPr>
          <w:p w:rsidR="00FF3CA6" w:rsidRPr="004A4EFC" w:rsidRDefault="004A4EFC" w:rsidP="0087640F">
            <w:pPr>
              <w:pStyle w:val="Tabletext"/>
              <w:keepNext/>
              <w:keepLines/>
              <w:jc w:val="center"/>
              <w:rPr>
                <w:szCs w:val="20"/>
                <w:highlight w:val="black"/>
              </w:rPr>
            </w:pPr>
            <w:r>
              <w:rPr>
                <w:noProof/>
                <w:color w:val="000000"/>
                <w:szCs w:val="20"/>
                <w:highlight w:val="black"/>
              </w:rPr>
              <w:t>'''''''''''''''''''''</w:t>
            </w:r>
          </w:p>
        </w:tc>
        <w:tc>
          <w:tcPr>
            <w:tcW w:w="475" w:type="pct"/>
            <w:vMerge w:val="restar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w:t>
            </w:r>
            <w:r w:rsidR="004A4EFC">
              <w:rPr>
                <w:noProof/>
                <w:color w:val="000000"/>
                <w:szCs w:val="20"/>
                <w:highlight w:val="black"/>
              </w:rPr>
              <w:t>'''''''''''''''</w:t>
            </w:r>
          </w:p>
        </w:tc>
        <w:tc>
          <w:tcPr>
            <w:tcW w:w="474" w:type="pct"/>
            <w:vMerge w:val="restart"/>
            <w:shd w:val="clear" w:color="auto" w:fill="FFFFFF" w:themeFill="background1"/>
            <w:vAlign w:val="center"/>
          </w:tcPr>
          <w:p w:rsidR="00FF3CA6" w:rsidRPr="004A4EFC" w:rsidRDefault="004A4EFC" w:rsidP="0087640F">
            <w:pPr>
              <w:pStyle w:val="Tabletext"/>
              <w:keepNext/>
              <w:keepLines/>
              <w:jc w:val="center"/>
              <w:rPr>
                <w:szCs w:val="20"/>
                <w:highlight w:val="black"/>
              </w:rPr>
            </w:pPr>
            <w:r>
              <w:rPr>
                <w:noProof/>
                <w:color w:val="000000"/>
                <w:szCs w:val="20"/>
                <w:highlight w:val="black"/>
              </w:rPr>
              <w:t>''''''''''''''''''</w:t>
            </w: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LY</w:t>
            </w:r>
          </w:p>
        </w:tc>
        <w:tc>
          <w:tcPr>
            <w:tcW w:w="474"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LY</w:t>
            </w: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LY</w:t>
            </w:r>
          </w:p>
        </w:tc>
        <w:tc>
          <w:tcPr>
            <w:tcW w:w="615" w:type="pc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NA</w:t>
            </w:r>
          </w:p>
        </w:tc>
        <w:tc>
          <w:tcPr>
            <w:tcW w:w="385" w:type="pc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NA</w:t>
            </w:r>
          </w:p>
        </w:tc>
      </w:tr>
      <w:tr w:rsidR="00FF3CA6" w:rsidRPr="002A3E18" w:rsidTr="00CF6741">
        <w:trPr>
          <w:cantSplit/>
          <w:trHeight w:val="305"/>
        </w:trPr>
        <w:tc>
          <w:tcPr>
            <w:tcW w:w="1153" w:type="pct"/>
            <w:vMerge/>
            <w:shd w:val="clear" w:color="auto" w:fill="FFFFFF" w:themeFill="background1"/>
            <w:vAlign w:val="center"/>
          </w:tcPr>
          <w:p w:rsidR="00FF3CA6" w:rsidRPr="002A3E18" w:rsidRDefault="00FF3CA6" w:rsidP="0087640F">
            <w:pPr>
              <w:pStyle w:val="Tabletext"/>
              <w:keepNext/>
              <w:keepLines/>
              <w:rPr>
                <w:szCs w:val="20"/>
              </w:rPr>
            </w:pPr>
          </w:p>
        </w:tc>
        <w:tc>
          <w:tcPr>
            <w:tcW w:w="474" w:type="pct"/>
            <w:vMerge/>
            <w:shd w:val="clear" w:color="auto" w:fill="FFFFFF" w:themeFill="background1"/>
            <w:vAlign w:val="center"/>
          </w:tcPr>
          <w:p w:rsidR="00FF3CA6" w:rsidRPr="004A4EFC" w:rsidRDefault="00FF3CA6" w:rsidP="0087640F">
            <w:pPr>
              <w:pStyle w:val="Tabletext"/>
              <w:keepNext/>
              <w:keepLines/>
              <w:jc w:val="center"/>
              <w:rPr>
                <w:szCs w:val="20"/>
              </w:rPr>
            </w:pPr>
          </w:p>
        </w:tc>
        <w:tc>
          <w:tcPr>
            <w:tcW w:w="475" w:type="pct"/>
            <w:vMerge/>
            <w:shd w:val="clear" w:color="auto" w:fill="FFFFFF" w:themeFill="background1"/>
            <w:vAlign w:val="center"/>
          </w:tcPr>
          <w:p w:rsidR="00FF3CA6" w:rsidRPr="002A3E18" w:rsidRDefault="00FF3CA6" w:rsidP="0087640F">
            <w:pPr>
              <w:pStyle w:val="Tabletext"/>
              <w:keepNext/>
              <w:keepLines/>
              <w:jc w:val="center"/>
              <w:rPr>
                <w:szCs w:val="20"/>
              </w:rPr>
            </w:pPr>
          </w:p>
        </w:tc>
        <w:tc>
          <w:tcPr>
            <w:tcW w:w="474" w:type="pct"/>
            <w:vMerge/>
            <w:shd w:val="clear" w:color="auto" w:fill="FFFFFF" w:themeFill="background1"/>
            <w:vAlign w:val="center"/>
          </w:tcPr>
          <w:p w:rsidR="00FF3CA6" w:rsidRPr="004A4EFC" w:rsidRDefault="00FF3CA6" w:rsidP="0087640F">
            <w:pPr>
              <w:pStyle w:val="Tabletext"/>
              <w:keepNext/>
              <w:keepLines/>
              <w:jc w:val="center"/>
              <w:rPr>
                <w:szCs w:val="20"/>
              </w:rPr>
            </w:pP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QALY</w:t>
            </w:r>
          </w:p>
        </w:tc>
        <w:tc>
          <w:tcPr>
            <w:tcW w:w="474"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QALY</w:t>
            </w: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QALY</w:t>
            </w:r>
          </w:p>
        </w:tc>
        <w:tc>
          <w:tcPr>
            <w:tcW w:w="615" w:type="pc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w:t>
            </w:r>
            <w:r w:rsidR="004A4EFC">
              <w:rPr>
                <w:noProof/>
                <w:color w:val="000000"/>
                <w:szCs w:val="20"/>
                <w:highlight w:val="black"/>
              </w:rPr>
              <w:t>'''''''''''''''''''</w:t>
            </w:r>
            <w:r w:rsidRPr="002A3E18">
              <w:rPr>
                <w:szCs w:val="20"/>
              </w:rPr>
              <w:t>/</w:t>
            </w:r>
            <w:r w:rsidR="00CF6741" w:rsidRPr="002A3E18">
              <w:rPr>
                <w:szCs w:val="20"/>
              </w:rPr>
              <w:t xml:space="preserve"> </w:t>
            </w:r>
            <w:r w:rsidRPr="002A3E18">
              <w:rPr>
                <w:szCs w:val="20"/>
              </w:rPr>
              <w:t>QALY</w:t>
            </w:r>
          </w:p>
        </w:tc>
        <w:tc>
          <w:tcPr>
            <w:tcW w:w="385" w:type="pc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+122%</w:t>
            </w:r>
          </w:p>
        </w:tc>
      </w:tr>
      <w:tr w:rsidR="00FF3CA6" w:rsidRPr="002A3E18" w:rsidTr="00CF6741">
        <w:trPr>
          <w:cantSplit/>
          <w:trHeight w:val="511"/>
        </w:trPr>
        <w:tc>
          <w:tcPr>
            <w:tcW w:w="1153" w:type="pct"/>
            <w:vMerge w:val="restart"/>
            <w:shd w:val="clear" w:color="auto" w:fill="FFFFFF" w:themeFill="background1"/>
            <w:vAlign w:val="center"/>
          </w:tcPr>
          <w:p w:rsidR="00FF3CA6" w:rsidRPr="002A3E18" w:rsidRDefault="00FF3CA6" w:rsidP="0087640F">
            <w:pPr>
              <w:pStyle w:val="Tabletext"/>
              <w:keepNext/>
              <w:keepLines/>
              <w:rPr>
                <w:szCs w:val="20"/>
              </w:rPr>
            </w:pPr>
            <w:r w:rsidRPr="002A3E18">
              <w:rPr>
                <w:szCs w:val="20"/>
              </w:rPr>
              <w:t>Assume 39% peginterferon in BAT and BAT (subsequent), BAT OS applied to all non-responders, remove ruxolitinib for MF</w:t>
            </w:r>
          </w:p>
        </w:tc>
        <w:tc>
          <w:tcPr>
            <w:tcW w:w="474" w:type="pct"/>
            <w:vMerge w:val="restart"/>
            <w:shd w:val="clear" w:color="auto" w:fill="FFFFFF" w:themeFill="background1"/>
            <w:vAlign w:val="center"/>
          </w:tcPr>
          <w:p w:rsidR="00FF3CA6" w:rsidRPr="004A4EFC" w:rsidRDefault="004A4EFC" w:rsidP="0087640F">
            <w:pPr>
              <w:pStyle w:val="Tabletext"/>
              <w:keepNext/>
              <w:keepLines/>
              <w:jc w:val="center"/>
              <w:rPr>
                <w:szCs w:val="20"/>
                <w:highlight w:val="black"/>
              </w:rPr>
            </w:pPr>
            <w:r>
              <w:rPr>
                <w:noProof/>
                <w:color w:val="000000"/>
                <w:szCs w:val="20"/>
                <w:highlight w:val="black"/>
              </w:rPr>
              <w:t>'''''''''''''''''''''</w:t>
            </w:r>
          </w:p>
        </w:tc>
        <w:tc>
          <w:tcPr>
            <w:tcW w:w="475" w:type="pct"/>
            <w:vMerge w:val="restar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w:t>
            </w:r>
            <w:r w:rsidR="004A4EFC">
              <w:rPr>
                <w:noProof/>
                <w:color w:val="000000"/>
                <w:szCs w:val="20"/>
                <w:highlight w:val="black"/>
              </w:rPr>
              <w:t>''''''''''''''''</w:t>
            </w:r>
          </w:p>
        </w:tc>
        <w:tc>
          <w:tcPr>
            <w:tcW w:w="474" w:type="pct"/>
            <w:vMerge w:val="restart"/>
            <w:shd w:val="clear" w:color="auto" w:fill="FFFFFF" w:themeFill="background1"/>
            <w:vAlign w:val="center"/>
          </w:tcPr>
          <w:p w:rsidR="00FF3CA6" w:rsidRPr="004A4EFC" w:rsidRDefault="004A4EFC" w:rsidP="0087640F">
            <w:pPr>
              <w:pStyle w:val="Tabletext"/>
              <w:keepNext/>
              <w:keepLines/>
              <w:jc w:val="center"/>
              <w:rPr>
                <w:szCs w:val="20"/>
                <w:highlight w:val="black"/>
              </w:rPr>
            </w:pPr>
            <w:r>
              <w:rPr>
                <w:noProof/>
                <w:color w:val="000000"/>
                <w:szCs w:val="20"/>
                <w:highlight w:val="black"/>
              </w:rPr>
              <w:t>'''''''''''''''''''</w:t>
            </w: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LY</w:t>
            </w:r>
          </w:p>
        </w:tc>
        <w:tc>
          <w:tcPr>
            <w:tcW w:w="474"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LY</w:t>
            </w: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LY</w:t>
            </w:r>
          </w:p>
        </w:tc>
        <w:tc>
          <w:tcPr>
            <w:tcW w:w="615" w:type="pc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w:t>
            </w:r>
            <w:r w:rsidR="004A4EFC">
              <w:rPr>
                <w:noProof/>
                <w:color w:val="000000"/>
                <w:szCs w:val="20"/>
                <w:highlight w:val="black"/>
              </w:rPr>
              <w:t>''''''''''''''''''''''</w:t>
            </w:r>
            <w:r w:rsidRPr="002A3E18">
              <w:rPr>
                <w:szCs w:val="20"/>
              </w:rPr>
              <w:t>/LY</w:t>
            </w:r>
          </w:p>
        </w:tc>
        <w:tc>
          <w:tcPr>
            <w:tcW w:w="385" w:type="pc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+106%</w:t>
            </w:r>
          </w:p>
        </w:tc>
      </w:tr>
      <w:tr w:rsidR="00FF3CA6" w:rsidRPr="002A3E18" w:rsidTr="00CF6741">
        <w:trPr>
          <w:cantSplit/>
          <w:trHeight w:val="512"/>
        </w:trPr>
        <w:tc>
          <w:tcPr>
            <w:tcW w:w="1153" w:type="pct"/>
            <w:vMerge/>
            <w:shd w:val="clear" w:color="auto" w:fill="FFFFFF" w:themeFill="background1"/>
            <w:vAlign w:val="center"/>
          </w:tcPr>
          <w:p w:rsidR="00FF3CA6" w:rsidRPr="002A3E18" w:rsidRDefault="00FF3CA6" w:rsidP="0087640F">
            <w:pPr>
              <w:pStyle w:val="Tabletext"/>
              <w:keepNext/>
              <w:keepLines/>
              <w:rPr>
                <w:szCs w:val="20"/>
              </w:rPr>
            </w:pPr>
          </w:p>
        </w:tc>
        <w:tc>
          <w:tcPr>
            <w:tcW w:w="474" w:type="pct"/>
            <w:vMerge/>
            <w:shd w:val="clear" w:color="auto" w:fill="FFFFFF" w:themeFill="background1"/>
            <w:vAlign w:val="center"/>
          </w:tcPr>
          <w:p w:rsidR="00FF3CA6" w:rsidRPr="004A4EFC" w:rsidRDefault="00FF3CA6" w:rsidP="0087640F">
            <w:pPr>
              <w:pStyle w:val="Tabletext"/>
              <w:keepNext/>
              <w:keepLines/>
              <w:jc w:val="center"/>
              <w:rPr>
                <w:szCs w:val="20"/>
              </w:rPr>
            </w:pPr>
          </w:p>
        </w:tc>
        <w:tc>
          <w:tcPr>
            <w:tcW w:w="475" w:type="pct"/>
            <w:vMerge/>
            <w:shd w:val="clear" w:color="auto" w:fill="FFFFFF" w:themeFill="background1"/>
            <w:vAlign w:val="center"/>
          </w:tcPr>
          <w:p w:rsidR="00FF3CA6" w:rsidRPr="002A3E18" w:rsidRDefault="00FF3CA6" w:rsidP="0087640F">
            <w:pPr>
              <w:pStyle w:val="Tabletext"/>
              <w:keepNext/>
              <w:keepLines/>
              <w:jc w:val="center"/>
              <w:rPr>
                <w:szCs w:val="20"/>
              </w:rPr>
            </w:pPr>
          </w:p>
        </w:tc>
        <w:tc>
          <w:tcPr>
            <w:tcW w:w="474" w:type="pct"/>
            <w:vMerge/>
            <w:shd w:val="clear" w:color="auto" w:fill="FFFFFF" w:themeFill="background1"/>
            <w:vAlign w:val="center"/>
          </w:tcPr>
          <w:p w:rsidR="00FF3CA6" w:rsidRPr="004A4EFC" w:rsidRDefault="00FF3CA6" w:rsidP="0087640F">
            <w:pPr>
              <w:pStyle w:val="Tabletext"/>
              <w:keepNext/>
              <w:keepLines/>
              <w:jc w:val="center"/>
              <w:rPr>
                <w:szCs w:val="20"/>
              </w:rPr>
            </w:pP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QALY</w:t>
            </w:r>
          </w:p>
        </w:tc>
        <w:tc>
          <w:tcPr>
            <w:tcW w:w="474"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QALY</w:t>
            </w: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QALY</w:t>
            </w:r>
          </w:p>
        </w:tc>
        <w:tc>
          <w:tcPr>
            <w:tcW w:w="615" w:type="pc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w:t>
            </w:r>
            <w:r w:rsidR="004A4EFC">
              <w:rPr>
                <w:noProof/>
                <w:color w:val="000000"/>
                <w:szCs w:val="20"/>
                <w:highlight w:val="black"/>
              </w:rPr>
              <w:t>''''''''''''''''</w:t>
            </w:r>
            <w:r w:rsidRPr="002A3E18">
              <w:rPr>
                <w:szCs w:val="20"/>
              </w:rPr>
              <w:t>/</w:t>
            </w:r>
            <w:r w:rsidR="00CF6741" w:rsidRPr="002A3E18">
              <w:rPr>
                <w:szCs w:val="20"/>
              </w:rPr>
              <w:t xml:space="preserve"> </w:t>
            </w:r>
            <w:r w:rsidRPr="002A3E18">
              <w:rPr>
                <w:szCs w:val="20"/>
              </w:rPr>
              <w:t>QALY</w:t>
            </w:r>
          </w:p>
        </w:tc>
        <w:tc>
          <w:tcPr>
            <w:tcW w:w="385" w:type="pc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+53%</w:t>
            </w:r>
          </w:p>
        </w:tc>
      </w:tr>
      <w:tr w:rsidR="00FF3CA6" w:rsidRPr="002A3E18" w:rsidTr="00CF6741">
        <w:trPr>
          <w:cantSplit/>
          <w:trHeight w:val="614"/>
        </w:trPr>
        <w:tc>
          <w:tcPr>
            <w:tcW w:w="1153" w:type="pct"/>
            <w:vMerge w:val="restart"/>
            <w:shd w:val="clear" w:color="auto" w:fill="FFFFFF" w:themeFill="background1"/>
            <w:vAlign w:val="center"/>
          </w:tcPr>
          <w:p w:rsidR="00FF3CA6" w:rsidRPr="002A3E18" w:rsidRDefault="00FF3CA6" w:rsidP="0087640F">
            <w:pPr>
              <w:pStyle w:val="Tabletext"/>
              <w:keepNext/>
              <w:keepLines/>
              <w:rPr>
                <w:szCs w:val="20"/>
              </w:rPr>
            </w:pPr>
            <w:r w:rsidRPr="002A3E18">
              <w:rPr>
                <w:szCs w:val="20"/>
              </w:rPr>
              <w:t>Assume 16% peginterferon  in BAT and BAT (subsequent), No OS difference (both use BAT OS), remove ruxolitinib for MF and no adverse event modelling</w:t>
            </w:r>
          </w:p>
        </w:tc>
        <w:tc>
          <w:tcPr>
            <w:tcW w:w="474" w:type="pct"/>
            <w:vMerge w:val="restart"/>
            <w:shd w:val="clear" w:color="auto" w:fill="FFFFFF" w:themeFill="background1"/>
            <w:vAlign w:val="center"/>
          </w:tcPr>
          <w:p w:rsidR="00FF3CA6" w:rsidRPr="004A4EFC" w:rsidRDefault="004A4EFC" w:rsidP="0087640F">
            <w:pPr>
              <w:pStyle w:val="Tabletext"/>
              <w:keepNext/>
              <w:keepLines/>
              <w:jc w:val="center"/>
              <w:rPr>
                <w:szCs w:val="20"/>
                <w:highlight w:val="black"/>
              </w:rPr>
            </w:pPr>
            <w:r>
              <w:rPr>
                <w:noProof/>
                <w:color w:val="000000"/>
                <w:szCs w:val="20"/>
                <w:highlight w:val="black"/>
              </w:rPr>
              <w:t>'''''''''''''''''</w:t>
            </w:r>
          </w:p>
        </w:tc>
        <w:tc>
          <w:tcPr>
            <w:tcW w:w="475" w:type="pct"/>
            <w:vMerge w:val="restar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w:t>
            </w:r>
            <w:r w:rsidR="004A4EFC">
              <w:rPr>
                <w:noProof/>
                <w:color w:val="000000"/>
                <w:szCs w:val="20"/>
                <w:highlight w:val="black"/>
              </w:rPr>
              <w:t>''''''''''''''''''</w:t>
            </w:r>
          </w:p>
        </w:tc>
        <w:tc>
          <w:tcPr>
            <w:tcW w:w="474" w:type="pct"/>
            <w:vMerge w:val="restart"/>
            <w:shd w:val="clear" w:color="auto" w:fill="FFFFFF" w:themeFill="background1"/>
            <w:vAlign w:val="center"/>
          </w:tcPr>
          <w:p w:rsidR="00FF3CA6" w:rsidRPr="004A4EFC" w:rsidRDefault="004A4EFC" w:rsidP="0087640F">
            <w:pPr>
              <w:pStyle w:val="Tabletext"/>
              <w:keepNext/>
              <w:keepLines/>
              <w:jc w:val="center"/>
              <w:rPr>
                <w:szCs w:val="20"/>
                <w:highlight w:val="black"/>
              </w:rPr>
            </w:pPr>
            <w:r>
              <w:rPr>
                <w:noProof/>
                <w:color w:val="000000"/>
                <w:szCs w:val="20"/>
                <w:highlight w:val="black"/>
              </w:rPr>
              <w:t>'''''''''''''''''''''</w:t>
            </w: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99 LY</w:t>
            </w:r>
          </w:p>
        </w:tc>
        <w:tc>
          <w:tcPr>
            <w:tcW w:w="474"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LY</w:t>
            </w: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LY</w:t>
            </w:r>
          </w:p>
        </w:tc>
        <w:tc>
          <w:tcPr>
            <w:tcW w:w="615" w:type="pc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NA</w:t>
            </w:r>
          </w:p>
        </w:tc>
        <w:tc>
          <w:tcPr>
            <w:tcW w:w="385" w:type="pc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NA</w:t>
            </w:r>
          </w:p>
        </w:tc>
      </w:tr>
      <w:tr w:rsidR="00FF3CA6" w:rsidRPr="002A3E18" w:rsidTr="00CF6741">
        <w:trPr>
          <w:cantSplit/>
          <w:trHeight w:val="615"/>
        </w:trPr>
        <w:tc>
          <w:tcPr>
            <w:tcW w:w="1153" w:type="pct"/>
            <w:vMerge/>
            <w:shd w:val="clear" w:color="auto" w:fill="FFFFFF" w:themeFill="background1"/>
            <w:vAlign w:val="center"/>
          </w:tcPr>
          <w:p w:rsidR="00FF3CA6" w:rsidRPr="002A3E18" w:rsidRDefault="00FF3CA6" w:rsidP="0087640F">
            <w:pPr>
              <w:pStyle w:val="Tabletext"/>
              <w:keepNext/>
              <w:keepLines/>
              <w:rPr>
                <w:szCs w:val="20"/>
              </w:rPr>
            </w:pPr>
          </w:p>
        </w:tc>
        <w:tc>
          <w:tcPr>
            <w:tcW w:w="474" w:type="pct"/>
            <w:vMerge/>
            <w:shd w:val="clear" w:color="auto" w:fill="FFFFFF" w:themeFill="background1"/>
            <w:vAlign w:val="center"/>
          </w:tcPr>
          <w:p w:rsidR="00FF3CA6" w:rsidRPr="002A3E18" w:rsidRDefault="00FF3CA6" w:rsidP="0087640F">
            <w:pPr>
              <w:pStyle w:val="Tabletext"/>
              <w:keepNext/>
              <w:keepLines/>
              <w:jc w:val="center"/>
              <w:rPr>
                <w:szCs w:val="20"/>
              </w:rPr>
            </w:pPr>
          </w:p>
        </w:tc>
        <w:tc>
          <w:tcPr>
            <w:tcW w:w="475" w:type="pct"/>
            <w:vMerge/>
            <w:shd w:val="clear" w:color="auto" w:fill="FFFFFF" w:themeFill="background1"/>
            <w:vAlign w:val="center"/>
          </w:tcPr>
          <w:p w:rsidR="00FF3CA6" w:rsidRPr="002A3E18" w:rsidRDefault="00FF3CA6" w:rsidP="0087640F">
            <w:pPr>
              <w:pStyle w:val="Tabletext"/>
              <w:keepNext/>
              <w:keepLines/>
              <w:jc w:val="center"/>
              <w:rPr>
                <w:szCs w:val="20"/>
              </w:rPr>
            </w:pPr>
          </w:p>
        </w:tc>
        <w:tc>
          <w:tcPr>
            <w:tcW w:w="474" w:type="pct"/>
            <w:vMerge/>
            <w:shd w:val="clear" w:color="auto" w:fill="FFFFFF" w:themeFill="background1"/>
            <w:vAlign w:val="center"/>
          </w:tcPr>
          <w:p w:rsidR="00FF3CA6" w:rsidRPr="002A3E18" w:rsidRDefault="00FF3CA6" w:rsidP="0087640F">
            <w:pPr>
              <w:pStyle w:val="Tabletext"/>
              <w:keepNext/>
              <w:keepLines/>
              <w:jc w:val="center"/>
              <w:rPr>
                <w:szCs w:val="20"/>
              </w:rPr>
            </w:pP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QALY</w:t>
            </w:r>
          </w:p>
        </w:tc>
        <w:tc>
          <w:tcPr>
            <w:tcW w:w="474"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QALY</w:t>
            </w:r>
          </w:p>
        </w:tc>
        <w:tc>
          <w:tcPr>
            <w:tcW w:w="475" w:type="pct"/>
            <w:shd w:val="clear" w:color="auto" w:fill="FFFFFF" w:themeFill="background1"/>
            <w:vAlign w:val="center"/>
          </w:tcPr>
          <w:p w:rsidR="00FF3CA6" w:rsidRPr="002A3E18" w:rsidRDefault="004A4EFC" w:rsidP="0087640F">
            <w:pPr>
              <w:pStyle w:val="Tabletext"/>
              <w:keepNext/>
              <w:keepLines/>
              <w:jc w:val="center"/>
              <w:rPr>
                <w:rFonts w:cs="Calibri"/>
                <w:szCs w:val="20"/>
              </w:rPr>
            </w:pPr>
            <w:r>
              <w:rPr>
                <w:rFonts w:cs="Calibri"/>
                <w:noProof/>
                <w:color w:val="000000"/>
                <w:szCs w:val="20"/>
                <w:highlight w:val="black"/>
              </w:rPr>
              <w:t>''''''''''</w:t>
            </w:r>
            <w:r w:rsidR="00FF3CA6" w:rsidRPr="002A3E18">
              <w:rPr>
                <w:rFonts w:cs="Calibri"/>
                <w:szCs w:val="20"/>
              </w:rPr>
              <w:t xml:space="preserve"> QALY</w:t>
            </w:r>
          </w:p>
        </w:tc>
        <w:tc>
          <w:tcPr>
            <w:tcW w:w="615" w:type="pc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w:t>
            </w:r>
            <w:r w:rsidR="004A4EFC">
              <w:rPr>
                <w:noProof/>
                <w:color w:val="000000"/>
                <w:szCs w:val="20"/>
                <w:highlight w:val="black"/>
              </w:rPr>
              <w:t>'''''''''''''''''''</w:t>
            </w:r>
            <w:r w:rsidRPr="002A3E18">
              <w:rPr>
                <w:szCs w:val="20"/>
              </w:rPr>
              <w:t>/</w:t>
            </w:r>
            <w:r w:rsidR="00CF6741" w:rsidRPr="002A3E18">
              <w:rPr>
                <w:szCs w:val="20"/>
              </w:rPr>
              <w:t xml:space="preserve"> </w:t>
            </w:r>
            <w:r w:rsidRPr="002A3E18">
              <w:rPr>
                <w:szCs w:val="20"/>
              </w:rPr>
              <w:t>QALY</w:t>
            </w:r>
          </w:p>
        </w:tc>
        <w:tc>
          <w:tcPr>
            <w:tcW w:w="385" w:type="pct"/>
            <w:shd w:val="clear" w:color="auto" w:fill="FFFFFF" w:themeFill="background1"/>
            <w:vAlign w:val="center"/>
          </w:tcPr>
          <w:p w:rsidR="00FF3CA6" w:rsidRPr="002A3E18" w:rsidRDefault="00FF3CA6" w:rsidP="0087640F">
            <w:pPr>
              <w:pStyle w:val="Tabletext"/>
              <w:keepNext/>
              <w:keepLines/>
              <w:jc w:val="center"/>
              <w:rPr>
                <w:szCs w:val="20"/>
              </w:rPr>
            </w:pPr>
            <w:r w:rsidRPr="002A3E18">
              <w:rPr>
                <w:szCs w:val="20"/>
              </w:rPr>
              <w:t>+223%</w:t>
            </w:r>
          </w:p>
        </w:tc>
      </w:tr>
    </w:tbl>
    <w:p w:rsidR="00CF6741" w:rsidRPr="002A3E18" w:rsidRDefault="00CF6741" w:rsidP="0087640F">
      <w:pPr>
        <w:keepNext/>
        <w:keepLines/>
        <w:widowControl/>
        <w:rPr>
          <w:rStyle w:val="CommentReference"/>
          <w:b w:val="0"/>
          <w:sz w:val="18"/>
        </w:rPr>
      </w:pPr>
      <w:r w:rsidRPr="002A3E18">
        <w:rPr>
          <w:rStyle w:val="CommentReference"/>
          <w:b w:val="0"/>
          <w:sz w:val="18"/>
        </w:rPr>
        <w:t>Diff=difference</w:t>
      </w:r>
    </w:p>
    <w:p w:rsidR="00FF3CA6" w:rsidRPr="002A3E18" w:rsidRDefault="00FF3CA6" w:rsidP="0087640F">
      <w:pPr>
        <w:keepNext/>
        <w:keepLines/>
        <w:widowControl/>
        <w:rPr>
          <w:rStyle w:val="CommentReference"/>
          <w:b w:val="0"/>
          <w:sz w:val="18"/>
        </w:rPr>
      </w:pPr>
      <w:r w:rsidRPr="002A3E18">
        <w:rPr>
          <w:rStyle w:val="CommentReference"/>
          <w:b w:val="0"/>
          <w:sz w:val="18"/>
        </w:rPr>
        <w:t>Source: Constructed during evaluation</w:t>
      </w:r>
    </w:p>
    <w:p w:rsidR="00DB540A" w:rsidRDefault="00DB540A" w:rsidP="00CF6741">
      <w:pPr>
        <w:rPr>
          <w:rStyle w:val="CommentReference"/>
          <w:b w:val="0"/>
        </w:rPr>
      </w:pPr>
    </w:p>
    <w:p w:rsidR="00981F0A" w:rsidRDefault="00981F0A" w:rsidP="00981F0A">
      <w:pPr>
        <w:widowControl/>
        <w:spacing w:after="120"/>
      </w:pPr>
      <w:r>
        <w:t xml:space="preserve">The redacted table shows ICERs in the range of $45,000/QALY - $200,000/QALY. </w:t>
      </w:r>
    </w:p>
    <w:p w:rsidR="00FF3CA6" w:rsidRPr="00A74F05" w:rsidRDefault="00FF3CA6" w:rsidP="00E356F4">
      <w:pPr>
        <w:pStyle w:val="ListParagraph"/>
        <w:widowControl/>
        <w:numPr>
          <w:ilvl w:val="1"/>
          <w:numId w:val="2"/>
        </w:numPr>
        <w:spacing w:after="120"/>
      </w:pPr>
      <w:r w:rsidRPr="00A74F05">
        <w:t>Peginterferon discontinuation was not estimated during the evaluation as data about a reasonable duration of use in PV was unavailable.  However</w:t>
      </w:r>
      <w:r w:rsidR="00CF6741" w:rsidRPr="00A74F05">
        <w:t>,</w:t>
      </w:r>
      <w:r w:rsidRPr="00A74F05">
        <w:t xml:space="preserve"> as the result is likely to be a reduction in peginterferon use, the effect on ICER should be similar </w:t>
      </w:r>
      <w:r w:rsidR="00DC78C6" w:rsidRPr="00A74F05">
        <w:t xml:space="preserve">to changing the proportion of </w:t>
      </w:r>
      <w:r w:rsidRPr="00A74F05">
        <w:t xml:space="preserve">peginterferon </w:t>
      </w:r>
      <w:r w:rsidR="00DC78C6" w:rsidRPr="00A74F05">
        <w:t xml:space="preserve">to HC </w:t>
      </w:r>
      <w:r w:rsidRPr="00A74F05">
        <w:t xml:space="preserve">as above.  </w:t>
      </w:r>
    </w:p>
    <w:p w:rsidR="00D81EC3" w:rsidRPr="00A74F05" w:rsidRDefault="00D81EC3" w:rsidP="00E356F4">
      <w:pPr>
        <w:pStyle w:val="ListParagraph"/>
        <w:numPr>
          <w:ilvl w:val="1"/>
          <w:numId w:val="2"/>
        </w:numPr>
        <w:spacing w:after="120"/>
      </w:pPr>
      <w:r w:rsidRPr="00A74F05">
        <w:t xml:space="preserve">Overall, the ESC considered the economic model does not form a reliable basis for decision making. </w:t>
      </w:r>
    </w:p>
    <w:p w:rsidR="00C25D9C" w:rsidRPr="002C2775" w:rsidRDefault="00C25D9C" w:rsidP="00E356F4">
      <w:pPr>
        <w:pStyle w:val="Heading2"/>
        <w:spacing w:after="120"/>
      </w:pPr>
      <w:bookmarkStart w:id="29" w:name="_Toc19700364"/>
      <w:r w:rsidRPr="002C2775">
        <w:t>Drug cost/patient/</w:t>
      </w:r>
      <w:r w:rsidR="009F4935">
        <w:t>year: $</w:t>
      </w:r>
      <w:bookmarkEnd w:id="29"/>
      <w:r w:rsidR="004A4EFC">
        <w:rPr>
          <w:noProof/>
          <w:color w:val="000000"/>
          <w:highlight w:val="black"/>
        </w:rPr>
        <w:t>''''''''''''</w:t>
      </w:r>
    </w:p>
    <w:p w:rsidR="00384E42" w:rsidRPr="00CE7F0C" w:rsidRDefault="009F4935" w:rsidP="00CE7F0C">
      <w:pPr>
        <w:pStyle w:val="ListParagraph"/>
        <w:widowControl/>
        <w:numPr>
          <w:ilvl w:val="1"/>
          <w:numId w:val="2"/>
        </w:numPr>
        <w:spacing w:after="120"/>
        <w:rPr>
          <w:rFonts w:asciiTheme="minorHAnsi" w:hAnsiTheme="minorHAnsi" w:cstheme="minorHAnsi"/>
          <w:szCs w:val="24"/>
          <w:lang w:eastAsia="en-AU"/>
        </w:rPr>
      </w:pPr>
      <w:r w:rsidRPr="00B05ECE">
        <w:rPr>
          <w:rFonts w:asciiTheme="minorHAnsi" w:hAnsiTheme="minorHAnsi" w:cstheme="minorHAnsi"/>
          <w:szCs w:val="24"/>
          <w:lang w:eastAsia="en-AU"/>
        </w:rPr>
        <w:t>At the proposed effective DPMQ of $</w:t>
      </w:r>
      <w:r w:rsidR="004A4EFC">
        <w:rPr>
          <w:rFonts w:asciiTheme="minorHAnsi" w:hAnsiTheme="minorHAnsi" w:cstheme="minorHAnsi"/>
          <w:noProof/>
          <w:color w:val="000000"/>
          <w:szCs w:val="24"/>
          <w:highlight w:val="black"/>
          <w:lang w:eastAsia="en-AU"/>
        </w:rPr>
        <w:t>'''''''''</w:t>
      </w:r>
      <w:r w:rsidRPr="00B05ECE">
        <w:rPr>
          <w:rFonts w:asciiTheme="minorHAnsi" w:hAnsiTheme="minorHAnsi" w:cstheme="minorHAnsi"/>
          <w:szCs w:val="24"/>
          <w:lang w:eastAsia="en-AU"/>
        </w:rPr>
        <w:t xml:space="preserve"> for 56 x 10 mg ruxolitinib capsules, the total cost of treatment per patient per year is $</w:t>
      </w:r>
      <w:r w:rsidR="004A4EFC">
        <w:rPr>
          <w:rFonts w:asciiTheme="minorHAnsi" w:hAnsiTheme="minorHAnsi" w:cstheme="minorHAnsi"/>
          <w:noProof/>
          <w:color w:val="000000"/>
          <w:szCs w:val="24"/>
          <w:highlight w:val="black"/>
          <w:lang w:eastAsia="en-AU"/>
        </w:rPr>
        <w:t>'''''''''''''</w:t>
      </w:r>
      <w:r w:rsidR="00343405" w:rsidRPr="00B05ECE">
        <w:rPr>
          <w:rFonts w:asciiTheme="minorHAnsi" w:hAnsiTheme="minorHAnsi" w:cstheme="minorHAnsi"/>
          <w:szCs w:val="24"/>
          <w:lang w:eastAsia="en-AU"/>
        </w:rPr>
        <w:t xml:space="preserve"> ($</w:t>
      </w:r>
      <w:r w:rsidR="004A4EFC">
        <w:rPr>
          <w:rFonts w:asciiTheme="minorHAnsi" w:hAnsiTheme="minorHAnsi" w:cstheme="minorHAnsi"/>
          <w:noProof/>
          <w:color w:val="000000"/>
          <w:szCs w:val="24"/>
          <w:highlight w:val="black"/>
          <w:lang w:eastAsia="en-AU"/>
        </w:rPr>
        <w:t>''''''''''</w:t>
      </w:r>
      <w:r w:rsidR="00343405" w:rsidRPr="00B05ECE">
        <w:rPr>
          <w:rFonts w:asciiTheme="minorHAnsi" w:hAnsiTheme="minorHAnsi" w:cstheme="minorHAnsi"/>
          <w:szCs w:val="24"/>
          <w:lang w:eastAsia="en-AU"/>
        </w:rPr>
        <w:t xml:space="preserve"> x [365.25/28]).  The drug cost per patient for ruxolitinib and BAT are presented in </w:t>
      </w:r>
      <w:r w:rsidR="00CF6741" w:rsidRPr="00B05ECE">
        <w:t xml:space="preserve">Table </w:t>
      </w:r>
      <w:r w:rsidR="00CF6741" w:rsidRPr="00B05ECE">
        <w:rPr>
          <w:noProof/>
        </w:rPr>
        <w:t>13</w:t>
      </w:r>
      <w:r w:rsidR="00CF6741" w:rsidRPr="00B05ECE">
        <w:rPr>
          <w:rFonts w:asciiTheme="minorHAnsi" w:hAnsiTheme="minorHAnsi" w:cstheme="minorHAnsi"/>
          <w:szCs w:val="24"/>
          <w:lang w:eastAsia="en-AU"/>
        </w:rPr>
        <w:t xml:space="preserve">. </w:t>
      </w:r>
      <w:r w:rsidR="00CF6741" w:rsidRPr="00B05ECE">
        <w:t>Despite the likely intention of the submission to make the cost of ruxolitinib consistent across all doses, the cost per 28 days for each recommended dose is actually variable (from $</w:t>
      </w:r>
      <w:r w:rsidR="004A4EFC">
        <w:rPr>
          <w:noProof/>
          <w:color w:val="000000"/>
          <w:highlight w:val="black"/>
        </w:rPr>
        <w:t>'''''''</w:t>
      </w:r>
      <w:r w:rsidR="00CF6741" w:rsidRPr="00B05ECE">
        <w:t>/28days up to $</w:t>
      </w:r>
      <w:r w:rsidR="004A4EFC">
        <w:rPr>
          <w:noProof/>
          <w:color w:val="000000"/>
          <w:highlight w:val="black"/>
        </w:rPr>
        <w:t>'''''''''</w:t>
      </w:r>
      <w:r w:rsidR="00CF6741" w:rsidRPr="00B05ECE">
        <w:t>/28 days).</w:t>
      </w:r>
    </w:p>
    <w:p w:rsidR="00343405" w:rsidRPr="00B05ECE" w:rsidRDefault="00343405" w:rsidP="00E356F4">
      <w:pPr>
        <w:pStyle w:val="ListParagraph"/>
        <w:widowControl/>
        <w:numPr>
          <w:ilvl w:val="1"/>
          <w:numId w:val="2"/>
        </w:numPr>
        <w:spacing w:after="120"/>
        <w:rPr>
          <w:rFonts w:asciiTheme="minorHAnsi" w:hAnsiTheme="minorHAnsi" w:cstheme="minorHAnsi"/>
          <w:szCs w:val="24"/>
          <w:lang w:eastAsia="en-AU"/>
        </w:rPr>
      </w:pPr>
      <w:r w:rsidRPr="00B05ECE">
        <w:rPr>
          <w:rFonts w:asciiTheme="minorHAnsi" w:hAnsiTheme="minorHAnsi" w:cstheme="minorHAnsi"/>
          <w:szCs w:val="24"/>
          <w:lang w:eastAsia="en-AU"/>
        </w:rPr>
        <w:t>For HC, at the recommended daily dose of 30mg/kg/day and an average of 77.6kg body weight, an average daily dose of 2,327 mg per day was estimated.  Using the DPMQ of $63.20 for 100 × 500mg capsules, the cost of treatment per patient year was $1047.77.  It was assumed that 50% of all BAT patients use HC.</w:t>
      </w:r>
    </w:p>
    <w:p w:rsidR="00343405" w:rsidRPr="00A74F05" w:rsidRDefault="00343405" w:rsidP="00E356F4">
      <w:pPr>
        <w:pStyle w:val="ListParagraph"/>
        <w:numPr>
          <w:ilvl w:val="1"/>
          <w:numId w:val="2"/>
        </w:numPr>
        <w:spacing w:after="120"/>
        <w:rPr>
          <w:rFonts w:asciiTheme="minorHAnsi" w:hAnsiTheme="minorHAnsi" w:cstheme="minorHAnsi"/>
          <w:szCs w:val="24"/>
          <w:lang w:eastAsia="en-AU"/>
        </w:rPr>
      </w:pPr>
      <w:r w:rsidRPr="00B05ECE">
        <w:rPr>
          <w:rFonts w:asciiTheme="minorHAnsi" w:hAnsiTheme="minorHAnsi" w:cstheme="minorHAnsi"/>
          <w:szCs w:val="24"/>
          <w:lang w:eastAsia="en-AU"/>
        </w:rPr>
        <w:lastRenderedPageBreak/>
        <w:t xml:space="preserve">For </w:t>
      </w:r>
      <w:r w:rsidR="00CF6741" w:rsidRPr="00B05ECE">
        <w:t>p</w:t>
      </w:r>
      <w:r w:rsidRPr="00B05ECE">
        <w:t xml:space="preserve">eginterferon </w:t>
      </w:r>
      <w:r w:rsidRPr="00B05ECE">
        <w:rPr>
          <w:rFonts w:cs="Calibri"/>
        </w:rPr>
        <w:t>α</w:t>
      </w:r>
      <w:r w:rsidRPr="00B05ECE">
        <w:t>-2a</w:t>
      </w:r>
      <w:r w:rsidRPr="00B05ECE">
        <w:rPr>
          <w:rFonts w:asciiTheme="minorHAnsi" w:hAnsiTheme="minorHAnsi" w:cstheme="minorHAnsi"/>
          <w:szCs w:val="24"/>
          <w:lang w:eastAsia="en-AU"/>
        </w:rPr>
        <w:t>, at the recommended daily dose of 180 mcg/week, using the DPMQ of $1272.42 for 4 ×180mcg/0.5mL injections, the cost per patient year was estimated to be $16,541.  It was assumed that 50% of all BAT patients use</w:t>
      </w:r>
      <w:r w:rsidRPr="00343405">
        <w:rPr>
          <w:rFonts w:asciiTheme="minorHAnsi" w:hAnsiTheme="minorHAnsi" w:cstheme="minorHAnsi"/>
          <w:szCs w:val="24"/>
          <w:lang w:eastAsia="en-AU"/>
        </w:rPr>
        <w:t xml:space="preserve"> </w:t>
      </w:r>
      <w:r w:rsidRPr="00A74F05">
        <w:rPr>
          <w:rFonts w:asciiTheme="minorHAnsi" w:hAnsiTheme="minorHAnsi" w:cstheme="minorHAnsi"/>
          <w:szCs w:val="24"/>
          <w:lang w:eastAsia="en-AU"/>
        </w:rPr>
        <w:t xml:space="preserve">peginterferon α-2a.  </w:t>
      </w:r>
    </w:p>
    <w:p w:rsidR="00CC05FC" w:rsidRPr="00A74F05" w:rsidRDefault="00CC05FC" w:rsidP="00E356F4">
      <w:pPr>
        <w:pStyle w:val="ListParagraph"/>
        <w:numPr>
          <w:ilvl w:val="1"/>
          <w:numId w:val="2"/>
        </w:numPr>
        <w:spacing w:after="120"/>
        <w:rPr>
          <w:rFonts w:asciiTheme="minorHAnsi" w:hAnsiTheme="minorHAnsi" w:cstheme="minorHAnsi"/>
          <w:szCs w:val="24"/>
          <w:lang w:eastAsia="en-AU"/>
        </w:rPr>
      </w:pPr>
      <w:r w:rsidRPr="00A74F05">
        <w:rPr>
          <w:rFonts w:asciiTheme="minorHAnsi" w:hAnsiTheme="minorHAnsi" w:cstheme="minorHAnsi"/>
          <w:szCs w:val="24"/>
          <w:lang w:eastAsia="en-AU"/>
        </w:rPr>
        <w:t>As noted above, the ESC did not consider the 50:50 split between HC and peginterferon was a valid assumption. The use of peginterferon is likely to be less than 10% in clinical practice.</w:t>
      </w:r>
    </w:p>
    <w:p w:rsidR="00F07B7E" w:rsidRDefault="00CF6741" w:rsidP="0087640F">
      <w:pPr>
        <w:pStyle w:val="Caption"/>
        <w:keepNext/>
        <w:keepLines/>
        <w:widowControl/>
        <w:rPr>
          <w:rStyle w:val="CommentReference"/>
        </w:rPr>
      </w:pPr>
      <w:bookmarkStart w:id="30" w:name="_Ref17149823"/>
      <w:r>
        <w:t xml:space="preserve">Table </w:t>
      </w:r>
      <w:r>
        <w:rPr>
          <w:noProof/>
        </w:rPr>
        <w:t>13</w:t>
      </w:r>
      <w:bookmarkEnd w:id="30"/>
      <w:r w:rsidR="00F07B7E" w:rsidRPr="00CF6741">
        <w:rPr>
          <w:rStyle w:val="CommentReference"/>
          <w:b/>
        </w:rPr>
        <w:t>: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Drug cost per patient for proposed and comparator drugs"/>
      </w:tblPr>
      <w:tblGrid>
        <w:gridCol w:w="1555"/>
        <w:gridCol w:w="1172"/>
        <w:gridCol w:w="1255"/>
        <w:gridCol w:w="1259"/>
        <w:gridCol w:w="1134"/>
        <w:gridCol w:w="1381"/>
        <w:gridCol w:w="1261"/>
      </w:tblGrid>
      <w:tr w:rsidR="00F07B7E" w:rsidRPr="00E2771E" w:rsidTr="00343405">
        <w:trPr>
          <w:jc w:val="center"/>
        </w:trPr>
        <w:tc>
          <w:tcPr>
            <w:tcW w:w="862" w:type="pct"/>
            <w:shd w:val="clear" w:color="auto" w:fill="auto"/>
            <w:vAlign w:val="center"/>
          </w:tcPr>
          <w:p w:rsidR="00F07B7E" w:rsidRPr="00E2771E" w:rsidRDefault="00F07B7E" w:rsidP="0087640F">
            <w:pPr>
              <w:keepNext/>
              <w:keepLines/>
              <w:widowControl/>
              <w:jc w:val="left"/>
              <w:rPr>
                <w:rFonts w:ascii="Arial Narrow" w:hAnsi="Arial Narrow"/>
                <w:b/>
                <w:sz w:val="20"/>
                <w:lang w:val="en-US"/>
              </w:rPr>
            </w:pPr>
          </w:p>
        </w:tc>
        <w:tc>
          <w:tcPr>
            <w:tcW w:w="650" w:type="pct"/>
            <w:shd w:val="clear" w:color="auto" w:fill="auto"/>
            <w:vAlign w:val="center"/>
          </w:tcPr>
          <w:p w:rsidR="00F07B7E" w:rsidRPr="00E2771E" w:rsidRDefault="009F4935" w:rsidP="0087640F">
            <w:pPr>
              <w:keepNext/>
              <w:keepLines/>
              <w:widowControl/>
              <w:jc w:val="center"/>
              <w:rPr>
                <w:rFonts w:ascii="Arial Narrow" w:hAnsi="Arial Narrow"/>
                <w:b/>
                <w:sz w:val="20"/>
                <w:lang w:val="en-US"/>
              </w:rPr>
            </w:pPr>
            <w:r>
              <w:rPr>
                <w:rFonts w:ascii="Arial Narrow" w:hAnsi="Arial Narrow"/>
                <w:b/>
                <w:sz w:val="20"/>
                <w:lang w:val="en-US"/>
              </w:rPr>
              <w:t>Ruxolitinib</w:t>
            </w:r>
          </w:p>
          <w:p w:rsidR="00F07B7E" w:rsidRPr="00F65EAA" w:rsidRDefault="00F07B7E" w:rsidP="0087640F">
            <w:pPr>
              <w:keepNext/>
              <w:keepLines/>
              <w:widowControl/>
              <w:jc w:val="center"/>
              <w:rPr>
                <w:rFonts w:ascii="Arial Narrow" w:hAnsi="Arial Narrow"/>
                <w:b/>
                <w:sz w:val="20"/>
                <w:lang w:val="en-US"/>
              </w:rPr>
            </w:pPr>
            <w:r w:rsidRPr="00F65EAA">
              <w:rPr>
                <w:rFonts w:ascii="Arial Narrow" w:hAnsi="Arial Narrow"/>
                <w:b/>
                <w:sz w:val="20"/>
                <w:lang w:val="en-US"/>
              </w:rPr>
              <w:t>Trial</w:t>
            </w:r>
            <w:r>
              <w:rPr>
                <w:rFonts w:ascii="Arial Narrow" w:hAnsi="Arial Narrow"/>
                <w:b/>
                <w:sz w:val="20"/>
                <w:lang w:val="en-US"/>
              </w:rPr>
              <w:t xml:space="preserve"> </w:t>
            </w:r>
            <w:r w:rsidRPr="00F65EAA">
              <w:rPr>
                <w:rFonts w:ascii="Arial Narrow" w:hAnsi="Arial Narrow"/>
                <w:b/>
                <w:sz w:val="20"/>
                <w:lang w:val="en-US"/>
              </w:rPr>
              <w:t>dos</w:t>
            </w:r>
            <w:r>
              <w:rPr>
                <w:rFonts w:ascii="Arial Narrow" w:hAnsi="Arial Narrow"/>
                <w:b/>
                <w:sz w:val="20"/>
                <w:lang w:val="en-US"/>
              </w:rPr>
              <w:t>e</w:t>
            </w:r>
            <w:r w:rsidRPr="00F65EAA">
              <w:rPr>
                <w:rFonts w:ascii="Arial Narrow" w:hAnsi="Arial Narrow"/>
                <w:b/>
                <w:sz w:val="20"/>
                <w:lang w:val="en-US"/>
              </w:rPr>
              <w:t xml:space="preserve"> and duration</w:t>
            </w:r>
          </w:p>
        </w:tc>
        <w:tc>
          <w:tcPr>
            <w:tcW w:w="696" w:type="pct"/>
            <w:shd w:val="clear" w:color="auto" w:fill="auto"/>
            <w:vAlign w:val="center"/>
          </w:tcPr>
          <w:p w:rsidR="00F07B7E" w:rsidRDefault="009F4935" w:rsidP="0087640F">
            <w:pPr>
              <w:keepNext/>
              <w:keepLines/>
              <w:widowControl/>
              <w:jc w:val="center"/>
              <w:rPr>
                <w:rFonts w:ascii="Arial Narrow" w:hAnsi="Arial Narrow"/>
                <w:b/>
                <w:sz w:val="20"/>
                <w:lang w:val="en-US"/>
              </w:rPr>
            </w:pPr>
            <w:r>
              <w:rPr>
                <w:rFonts w:ascii="Arial Narrow" w:hAnsi="Arial Narrow"/>
                <w:b/>
                <w:sz w:val="20"/>
                <w:lang w:val="en-US"/>
              </w:rPr>
              <w:t>Ruxolitinib</w:t>
            </w:r>
          </w:p>
          <w:p w:rsidR="00F07B7E" w:rsidRPr="00E2771E" w:rsidRDefault="00F07B7E" w:rsidP="0087640F">
            <w:pPr>
              <w:keepNext/>
              <w:keepLines/>
              <w:widowControl/>
              <w:jc w:val="center"/>
              <w:rPr>
                <w:rFonts w:ascii="Arial Narrow" w:hAnsi="Arial Narrow"/>
                <w:b/>
                <w:sz w:val="20"/>
                <w:lang w:val="en-US"/>
              </w:rPr>
            </w:pPr>
            <w:r>
              <w:rPr>
                <w:rFonts w:ascii="Arial Narrow" w:hAnsi="Arial Narrow"/>
                <w:b/>
                <w:sz w:val="20"/>
                <w:lang w:val="en-US"/>
              </w:rPr>
              <w:t>Model</w:t>
            </w:r>
          </w:p>
        </w:tc>
        <w:tc>
          <w:tcPr>
            <w:tcW w:w="698" w:type="pct"/>
            <w:shd w:val="clear" w:color="auto" w:fill="auto"/>
            <w:vAlign w:val="center"/>
          </w:tcPr>
          <w:p w:rsidR="00F07B7E" w:rsidRDefault="009F4935" w:rsidP="0087640F">
            <w:pPr>
              <w:keepNext/>
              <w:keepLines/>
              <w:widowControl/>
              <w:jc w:val="center"/>
              <w:rPr>
                <w:rFonts w:ascii="Arial Narrow" w:hAnsi="Arial Narrow"/>
                <w:b/>
                <w:sz w:val="20"/>
                <w:lang w:val="en-US"/>
              </w:rPr>
            </w:pPr>
            <w:r>
              <w:rPr>
                <w:rFonts w:ascii="Arial Narrow" w:hAnsi="Arial Narrow"/>
                <w:b/>
                <w:sz w:val="20"/>
                <w:lang w:val="en-US"/>
              </w:rPr>
              <w:t>Ruxolitinib</w:t>
            </w:r>
          </w:p>
          <w:p w:rsidR="00F07B7E" w:rsidRPr="00E2771E" w:rsidRDefault="00F07B7E" w:rsidP="0087640F">
            <w:pPr>
              <w:keepNext/>
              <w:keepLines/>
              <w:widowControl/>
              <w:jc w:val="center"/>
              <w:rPr>
                <w:rFonts w:ascii="Arial Narrow" w:hAnsi="Arial Narrow"/>
                <w:b/>
                <w:sz w:val="20"/>
                <w:lang w:val="en-US"/>
              </w:rPr>
            </w:pPr>
            <w:r>
              <w:rPr>
                <w:rFonts w:ascii="Arial Narrow" w:hAnsi="Arial Narrow"/>
                <w:b/>
                <w:sz w:val="20"/>
                <w:lang w:val="en-US"/>
              </w:rPr>
              <w:t>Financial estimates</w:t>
            </w:r>
          </w:p>
        </w:tc>
        <w:tc>
          <w:tcPr>
            <w:tcW w:w="629" w:type="pct"/>
            <w:shd w:val="clear" w:color="auto" w:fill="auto"/>
            <w:vAlign w:val="center"/>
          </w:tcPr>
          <w:p w:rsidR="00F07B7E" w:rsidRDefault="009F4935" w:rsidP="0087640F">
            <w:pPr>
              <w:keepNext/>
              <w:keepLines/>
              <w:widowControl/>
              <w:jc w:val="center"/>
              <w:rPr>
                <w:rFonts w:ascii="Arial Narrow" w:hAnsi="Arial Narrow"/>
                <w:b/>
                <w:sz w:val="20"/>
                <w:lang w:val="en-US"/>
              </w:rPr>
            </w:pPr>
            <w:r>
              <w:rPr>
                <w:rFonts w:ascii="Arial Narrow" w:hAnsi="Arial Narrow"/>
                <w:b/>
                <w:sz w:val="20"/>
                <w:lang w:val="en-US"/>
              </w:rPr>
              <w:t>BAT</w:t>
            </w:r>
          </w:p>
          <w:p w:rsidR="00F07B7E" w:rsidRPr="00E2771E" w:rsidRDefault="00F07B7E" w:rsidP="0087640F">
            <w:pPr>
              <w:keepNext/>
              <w:keepLines/>
              <w:widowControl/>
              <w:jc w:val="center"/>
              <w:rPr>
                <w:rFonts w:ascii="Arial Narrow" w:hAnsi="Arial Narrow"/>
                <w:b/>
                <w:sz w:val="20"/>
                <w:lang w:val="en-US"/>
              </w:rPr>
            </w:pPr>
            <w:r>
              <w:rPr>
                <w:rFonts w:ascii="Arial Narrow" w:hAnsi="Arial Narrow"/>
                <w:b/>
                <w:sz w:val="20"/>
                <w:lang w:val="en-US"/>
              </w:rPr>
              <w:t>Trial dose and duration</w:t>
            </w:r>
          </w:p>
        </w:tc>
        <w:tc>
          <w:tcPr>
            <w:tcW w:w="766" w:type="pct"/>
            <w:shd w:val="clear" w:color="auto" w:fill="auto"/>
            <w:vAlign w:val="center"/>
          </w:tcPr>
          <w:p w:rsidR="00F07B7E" w:rsidRDefault="009F4935" w:rsidP="0087640F">
            <w:pPr>
              <w:keepNext/>
              <w:keepLines/>
              <w:widowControl/>
              <w:jc w:val="center"/>
              <w:rPr>
                <w:rFonts w:ascii="Arial Narrow" w:hAnsi="Arial Narrow"/>
                <w:b/>
                <w:sz w:val="20"/>
                <w:lang w:val="en-US"/>
              </w:rPr>
            </w:pPr>
            <w:r>
              <w:rPr>
                <w:rFonts w:ascii="Arial Narrow" w:hAnsi="Arial Narrow"/>
                <w:b/>
                <w:sz w:val="20"/>
                <w:lang w:val="en-US"/>
              </w:rPr>
              <w:t>BAT</w:t>
            </w:r>
          </w:p>
          <w:p w:rsidR="00F07B7E" w:rsidRPr="00E2771E" w:rsidRDefault="00F07B7E" w:rsidP="0087640F">
            <w:pPr>
              <w:keepNext/>
              <w:keepLines/>
              <w:widowControl/>
              <w:jc w:val="center"/>
              <w:rPr>
                <w:rFonts w:ascii="Arial Narrow" w:hAnsi="Arial Narrow"/>
                <w:b/>
                <w:sz w:val="20"/>
                <w:lang w:val="en-US"/>
              </w:rPr>
            </w:pPr>
            <w:r>
              <w:rPr>
                <w:rFonts w:ascii="Arial Narrow" w:hAnsi="Arial Narrow"/>
                <w:b/>
                <w:sz w:val="20"/>
                <w:lang w:val="en-US"/>
              </w:rPr>
              <w:t xml:space="preserve">Model </w:t>
            </w:r>
          </w:p>
        </w:tc>
        <w:tc>
          <w:tcPr>
            <w:tcW w:w="699" w:type="pct"/>
          </w:tcPr>
          <w:p w:rsidR="00F07B7E" w:rsidRDefault="009F4935" w:rsidP="0087640F">
            <w:pPr>
              <w:keepNext/>
              <w:keepLines/>
              <w:widowControl/>
              <w:jc w:val="center"/>
              <w:rPr>
                <w:rFonts w:ascii="Arial Narrow" w:hAnsi="Arial Narrow"/>
                <w:b/>
                <w:sz w:val="20"/>
                <w:lang w:val="en-US"/>
              </w:rPr>
            </w:pPr>
            <w:r>
              <w:rPr>
                <w:rFonts w:ascii="Arial Narrow" w:hAnsi="Arial Narrow"/>
                <w:b/>
                <w:sz w:val="20"/>
                <w:lang w:val="en-US"/>
              </w:rPr>
              <w:t>BAT</w:t>
            </w:r>
          </w:p>
          <w:p w:rsidR="00F07B7E" w:rsidRDefault="00F07B7E" w:rsidP="0087640F">
            <w:pPr>
              <w:keepNext/>
              <w:keepLines/>
              <w:widowControl/>
              <w:jc w:val="center"/>
              <w:rPr>
                <w:rFonts w:ascii="Arial Narrow" w:hAnsi="Arial Narrow"/>
                <w:b/>
                <w:sz w:val="20"/>
                <w:lang w:val="en-US"/>
              </w:rPr>
            </w:pPr>
            <w:r>
              <w:rPr>
                <w:rFonts w:ascii="Arial Narrow" w:hAnsi="Arial Narrow"/>
                <w:b/>
                <w:sz w:val="20"/>
                <w:lang w:val="en-US"/>
              </w:rPr>
              <w:t>Financial estimates</w:t>
            </w:r>
          </w:p>
        </w:tc>
      </w:tr>
      <w:tr w:rsidR="00343405" w:rsidRPr="00E2771E" w:rsidTr="00343405">
        <w:trPr>
          <w:jc w:val="center"/>
        </w:trPr>
        <w:tc>
          <w:tcPr>
            <w:tcW w:w="862" w:type="pct"/>
            <w:shd w:val="clear" w:color="auto" w:fill="auto"/>
            <w:vAlign w:val="center"/>
          </w:tcPr>
          <w:p w:rsidR="00343405" w:rsidRPr="001F5BDA" w:rsidRDefault="00343405" w:rsidP="0087640F">
            <w:pPr>
              <w:keepNext/>
              <w:keepLines/>
              <w:widowControl/>
              <w:jc w:val="left"/>
              <w:rPr>
                <w:rFonts w:ascii="Arial Narrow" w:hAnsi="Arial Narrow"/>
                <w:sz w:val="20"/>
                <w:lang w:val="en-US"/>
              </w:rPr>
            </w:pPr>
            <w:r w:rsidRPr="001F5BDA">
              <w:rPr>
                <w:rFonts w:ascii="Arial Narrow" w:hAnsi="Arial Narrow"/>
                <w:sz w:val="20"/>
                <w:lang w:val="en-US"/>
              </w:rPr>
              <w:t>Me</w:t>
            </w:r>
            <w:r>
              <w:rPr>
                <w:rFonts w:ascii="Arial Narrow" w:hAnsi="Arial Narrow"/>
                <w:sz w:val="20"/>
                <w:lang w:val="en-US"/>
              </w:rPr>
              <w:t>di</w:t>
            </w:r>
            <w:r w:rsidRPr="001F5BDA">
              <w:rPr>
                <w:rFonts w:ascii="Arial Narrow" w:hAnsi="Arial Narrow"/>
                <w:sz w:val="20"/>
                <w:lang w:val="en-US"/>
              </w:rPr>
              <w:t>an dose</w:t>
            </w:r>
          </w:p>
        </w:tc>
        <w:tc>
          <w:tcPr>
            <w:tcW w:w="650" w:type="pct"/>
            <w:shd w:val="clear" w:color="auto" w:fill="auto"/>
            <w:vAlign w:val="center"/>
          </w:tcPr>
          <w:p w:rsidR="00343405" w:rsidRPr="009F4935" w:rsidRDefault="00343405" w:rsidP="0087640F">
            <w:pPr>
              <w:keepNext/>
              <w:keepLines/>
              <w:widowControl/>
              <w:jc w:val="center"/>
              <w:rPr>
                <w:rFonts w:ascii="Arial Narrow" w:hAnsi="Arial Narrow"/>
                <w:sz w:val="20"/>
                <w:lang w:val="en-US"/>
              </w:rPr>
            </w:pPr>
            <w:r>
              <w:rPr>
                <w:rFonts w:ascii="Arial Narrow" w:hAnsi="Arial Narrow"/>
                <w:sz w:val="20"/>
                <w:lang w:val="en-US"/>
              </w:rPr>
              <w:t>10mg BD</w:t>
            </w:r>
          </w:p>
        </w:tc>
        <w:tc>
          <w:tcPr>
            <w:tcW w:w="696" w:type="pct"/>
            <w:shd w:val="clear" w:color="auto" w:fill="auto"/>
            <w:vAlign w:val="center"/>
          </w:tcPr>
          <w:p w:rsidR="00343405" w:rsidRPr="009F4935" w:rsidRDefault="00343405" w:rsidP="0087640F">
            <w:pPr>
              <w:keepNext/>
              <w:keepLines/>
              <w:widowControl/>
              <w:jc w:val="center"/>
              <w:rPr>
                <w:rFonts w:ascii="Arial Narrow" w:hAnsi="Arial Narrow"/>
                <w:sz w:val="20"/>
                <w:lang w:val="en-US"/>
              </w:rPr>
            </w:pPr>
            <w:r>
              <w:rPr>
                <w:rFonts w:ascii="Arial Narrow" w:hAnsi="Arial Narrow"/>
                <w:sz w:val="20"/>
                <w:lang w:val="en-US"/>
              </w:rPr>
              <w:t>10mg BD</w:t>
            </w:r>
          </w:p>
        </w:tc>
        <w:tc>
          <w:tcPr>
            <w:tcW w:w="698" w:type="pct"/>
            <w:shd w:val="clear" w:color="auto" w:fill="auto"/>
            <w:vAlign w:val="center"/>
          </w:tcPr>
          <w:p w:rsidR="00343405" w:rsidRPr="009F4935" w:rsidRDefault="00343405" w:rsidP="0087640F">
            <w:pPr>
              <w:keepNext/>
              <w:keepLines/>
              <w:widowControl/>
              <w:jc w:val="center"/>
              <w:rPr>
                <w:rFonts w:ascii="Arial Narrow" w:hAnsi="Arial Narrow"/>
                <w:sz w:val="20"/>
                <w:lang w:val="en-US"/>
              </w:rPr>
            </w:pPr>
            <w:r w:rsidRPr="009F4935">
              <w:rPr>
                <w:rFonts w:ascii="Arial Narrow" w:hAnsi="Arial Narrow"/>
                <w:sz w:val="20"/>
                <w:lang w:val="en-US"/>
              </w:rPr>
              <w:t>NR</w:t>
            </w:r>
          </w:p>
        </w:tc>
        <w:tc>
          <w:tcPr>
            <w:tcW w:w="629" w:type="pct"/>
            <w:shd w:val="clear" w:color="auto" w:fill="auto"/>
            <w:vAlign w:val="center"/>
          </w:tcPr>
          <w:p w:rsidR="00343405" w:rsidRPr="009F4935" w:rsidRDefault="00343405" w:rsidP="0087640F">
            <w:pPr>
              <w:keepNext/>
              <w:keepLines/>
              <w:widowControl/>
              <w:jc w:val="center"/>
              <w:rPr>
                <w:rFonts w:ascii="Arial Narrow" w:hAnsi="Arial Narrow"/>
                <w:sz w:val="20"/>
                <w:lang w:val="en-US"/>
              </w:rPr>
            </w:pPr>
            <w:r w:rsidRPr="009F4935">
              <w:rPr>
                <w:rFonts w:ascii="Arial Narrow" w:hAnsi="Arial Narrow"/>
                <w:sz w:val="20"/>
                <w:lang w:val="en-US"/>
              </w:rPr>
              <w:t>NR</w:t>
            </w:r>
          </w:p>
        </w:tc>
        <w:tc>
          <w:tcPr>
            <w:tcW w:w="1465" w:type="pct"/>
            <w:gridSpan w:val="2"/>
            <w:shd w:val="clear" w:color="auto" w:fill="auto"/>
            <w:vAlign w:val="center"/>
          </w:tcPr>
          <w:p w:rsidR="00343405" w:rsidRDefault="00343405" w:rsidP="0087640F">
            <w:pPr>
              <w:keepNext/>
              <w:keepLines/>
              <w:widowControl/>
              <w:jc w:val="center"/>
              <w:rPr>
                <w:rFonts w:ascii="Arial Narrow" w:hAnsi="Arial Narrow"/>
                <w:sz w:val="20"/>
                <w:lang w:val="en-US"/>
              </w:rPr>
            </w:pPr>
            <w:r>
              <w:rPr>
                <w:rFonts w:ascii="Arial Narrow" w:hAnsi="Arial Narrow"/>
                <w:sz w:val="20"/>
                <w:lang w:val="en-US"/>
              </w:rPr>
              <w:t xml:space="preserve">HC: 2,327 mg daily </w:t>
            </w:r>
          </w:p>
          <w:p w:rsidR="00343405" w:rsidRPr="009F4935" w:rsidRDefault="00343405" w:rsidP="0087640F">
            <w:pPr>
              <w:keepNext/>
              <w:keepLines/>
              <w:widowControl/>
              <w:jc w:val="center"/>
              <w:rPr>
                <w:rFonts w:ascii="Arial Narrow" w:hAnsi="Arial Narrow"/>
                <w:sz w:val="20"/>
                <w:lang w:val="en-US"/>
              </w:rPr>
            </w:pPr>
            <w:r>
              <w:rPr>
                <w:rFonts w:ascii="Arial Narrow" w:hAnsi="Arial Narrow"/>
                <w:sz w:val="20"/>
                <w:lang w:val="en-US"/>
              </w:rPr>
              <w:t xml:space="preserve">Peginterferon α-2a: 180mcg/week </w:t>
            </w:r>
          </w:p>
        </w:tc>
      </w:tr>
      <w:tr w:rsidR="00F07B7E" w:rsidRPr="00E2771E" w:rsidTr="00343405">
        <w:trPr>
          <w:jc w:val="center"/>
        </w:trPr>
        <w:tc>
          <w:tcPr>
            <w:tcW w:w="862" w:type="pct"/>
            <w:shd w:val="clear" w:color="auto" w:fill="auto"/>
            <w:vAlign w:val="center"/>
          </w:tcPr>
          <w:p w:rsidR="00F07B7E" w:rsidRPr="001F5BDA" w:rsidRDefault="00F07B7E" w:rsidP="0087640F">
            <w:pPr>
              <w:keepNext/>
              <w:keepLines/>
              <w:widowControl/>
              <w:jc w:val="left"/>
              <w:rPr>
                <w:rFonts w:ascii="Arial Narrow" w:hAnsi="Arial Narrow"/>
                <w:sz w:val="20"/>
                <w:lang w:val="en-US"/>
              </w:rPr>
            </w:pPr>
            <w:r w:rsidRPr="001F5BDA">
              <w:rPr>
                <w:rFonts w:ascii="Arial Narrow" w:hAnsi="Arial Narrow"/>
                <w:sz w:val="20"/>
                <w:lang w:val="en-US"/>
              </w:rPr>
              <w:t>Mean duration</w:t>
            </w:r>
          </w:p>
        </w:tc>
        <w:tc>
          <w:tcPr>
            <w:tcW w:w="650" w:type="pct"/>
            <w:shd w:val="clear" w:color="auto" w:fill="auto"/>
            <w:vAlign w:val="center"/>
          </w:tcPr>
          <w:p w:rsidR="00F07B7E" w:rsidRPr="00343405" w:rsidRDefault="00343405" w:rsidP="0087640F">
            <w:pPr>
              <w:keepNext/>
              <w:keepLines/>
              <w:widowControl/>
              <w:jc w:val="center"/>
              <w:rPr>
                <w:rFonts w:ascii="Arial Narrow" w:hAnsi="Arial Narrow"/>
                <w:sz w:val="20"/>
                <w:lang w:val="en-US"/>
              </w:rPr>
            </w:pPr>
            <w:r w:rsidRPr="00343405">
              <w:rPr>
                <w:rFonts w:ascii="Arial Narrow" w:hAnsi="Arial Narrow"/>
                <w:sz w:val="20"/>
                <w:lang w:val="en-US"/>
              </w:rPr>
              <w:t>NR</w:t>
            </w:r>
          </w:p>
        </w:tc>
        <w:tc>
          <w:tcPr>
            <w:tcW w:w="696" w:type="pct"/>
            <w:shd w:val="clear" w:color="auto" w:fill="auto"/>
            <w:vAlign w:val="center"/>
          </w:tcPr>
          <w:p w:rsidR="00F07B7E" w:rsidRPr="00343405" w:rsidRDefault="00343405" w:rsidP="0087640F">
            <w:pPr>
              <w:keepNext/>
              <w:keepLines/>
              <w:widowControl/>
              <w:jc w:val="center"/>
              <w:rPr>
                <w:rFonts w:ascii="Arial Narrow" w:hAnsi="Arial Narrow"/>
                <w:sz w:val="20"/>
                <w:lang w:val="en-US"/>
              </w:rPr>
            </w:pPr>
            <w:r w:rsidRPr="00343405">
              <w:rPr>
                <w:rFonts w:ascii="Arial Narrow" w:hAnsi="Arial Narrow"/>
                <w:sz w:val="20"/>
                <w:lang w:val="en-US"/>
              </w:rPr>
              <w:t>NR</w:t>
            </w:r>
          </w:p>
        </w:tc>
        <w:tc>
          <w:tcPr>
            <w:tcW w:w="698" w:type="pct"/>
            <w:shd w:val="clear" w:color="auto" w:fill="auto"/>
            <w:vAlign w:val="center"/>
          </w:tcPr>
          <w:p w:rsidR="00F07B7E" w:rsidRPr="00343405" w:rsidRDefault="00343405" w:rsidP="0087640F">
            <w:pPr>
              <w:keepNext/>
              <w:keepLines/>
              <w:widowControl/>
              <w:jc w:val="center"/>
              <w:rPr>
                <w:rFonts w:ascii="Arial Narrow" w:hAnsi="Arial Narrow"/>
                <w:sz w:val="20"/>
                <w:lang w:val="en-US"/>
              </w:rPr>
            </w:pPr>
            <w:r w:rsidRPr="00343405">
              <w:rPr>
                <w:rFonts w:ascii="Arial Narrow" w:hAnsi="Arial Narrow"/>
                <w:sz w:val="20"/>
                <w:lang w:val="en-US"/>
              </w:rPr>
              <w:t>NR</w:t>
            </w:r>
          </w:p>
        </w:tc>
        <w:tc>
          <w:tcPr>
            <w:tcW w:w="629" w:type="pct"/>
            <w:shd w:val="clear" w:color="auto" w:fill="auto"/>
            <w:vAlign w:val="center"/>
          </w:tcPr>
          <w:p w:rsidR="00F07B7E" w:rsidRPr="00343405" w:rsidRDefault="00343405" w:rsidP="0087640F">
            <w:pPr>
              <w:keepNext/>
              <w:keepLines/>
              <w:widowControl/>
              <w:jc w:val="center"/>
              <w:rPr>
                <w:rFonts w:ascii="Arial Narrow" w:hAnsi="Arial Narrow"/>
                <w:sz w:val="20"/>
                <w:lang w:val="en-US"/>
              </w:rPr>
            </w:pPr>
            <w:r w:rsidRPr="00343405">
              <w:rPr>
                <w:rFonts w:ascii="Arial Narrow" w:hAnsi="Arial Narrow"/>
                <w:sz w:val="20"/>
                <w:lang w:val="en-US"/>
              </w:rPr>
              <w:t>NR</w:t>
            </w:r>
          </w:p>
        </w:tc>
        <w:tc>
          <w:tcPr>
            <w:tcW w:w="766" w:type="pct"/>
            <w:shd w:val="clear" w:color="auto" w:fill="auto"/>
            <w:vAlign w:val="center"/>
          </w:tcPr>
          <w:p w:rsidR="00F07B7E" w:rsidRPr="00343405" w:rsidRDefault="00343405" w:rsidP="0087640F">
            <w:pPr>
              <w:keepNext/>
              <w:keepLines/>
              <w:widowControl/>
              <w:jc w:val="center"/>
              <w:rPr>
                <w:rFonts w:ascii="Arial Narrow" w:hAnsi="Arial Narrow"/>
                <w:sz w:val="20"/>
                <w:lang w:val="en-US"/>
              </w:rPr>
            </w:pPr>
            <w:r w:rsidRPr="00343405">
              <w:rPr>
                <w:rFonts w:ascii="Arial Narrow" w:hAnsi="Arial Narrow"/>
                <w:sz w:val="20"/>
                <w:lang w:val="en-US"/>
              </w:rPr>
              <w:t>NR</w:t>
            </w:r>
          </w:p>
        </w:tc>
        <w:tc>
          <w:tcPr>
            <w:tcW w:w="699" w:type="pct"/>
          </w:tcPr>
          <w:p w:rsidR="00F07B7E" w:rsidRPr="00343405" w:rsidRDefault="00343405" w:rsidP="0087640F">
            <w:pPr>
              <w:keepNext/>
              <w:keepLines/>
              <w:widowControl/>
              <w:jc w:val="center"/>
              <w:rPr>
                <w:rFonts w:ascii="Arial Narrow" w:hAnsi="Arial Narrow"/>
                <w:sz w:val="20"/>
                <w:lang w:val="en-US"/>
              </w:rPr>
            </w:pPr>
            <w:r w:rsidRPr="00343405">
              <w:rPr>
                <w:rFonts w:ascii="Arial Narrow" w:hAnsi="Arial Narrow"/>
                <w:sz w:val="20"/>
                <w:lang w:val="en-US"/>
              </w:rPr>
              <w:t>NR</w:t>
            </w:r>
          </w:p>
        </w:tc>
      </w:tr>
      <w:tr w:rsidR="00F07B7E" w:rsidRPr="00E2771E" w:rsidTr="00343405">
        <w:trPr>
          <w:jc w:val="center"/>
        </w:trPr>
        <w:tc>
          <w:tcPr>
            <w:tcW w:w="862" w:type="pct"/>
            <w:shd w:val="clear" w:color="auto" w:fill="auto"/>
            <w:vAlign w:val="center"/>
          </w:tcPr>
          <w:p w:rsidR="00F07B7E" w:rsidRPr="00E2771E" w:rsidRDefault="00F07B7E" w:rsidP="0087640F">
            <w:pPr>
              <w:keepNext/>
              <w:keepLines/>
              <w:widowControl/>
              <w:jc w:val="left"/>
              <w:rPr>
                <w:rFonts w:ascii="Arial Narrow" w:hAnsi="Arial Narrow"/>
                <w:sz w:val="20"/>
                <w:lang w:val="en-US"/>
              </w:rPr>
            </w:pPr>
            <w:r>
              <w:rPr>
                <w:rFonts w:ascii="Arial Narrow" w:hAnsi="Arial Narrow"/>
                <w:sz w:val="20"/>
                <w:lang w:val="en-US"/>
              </w:rPr>
              <w:t>Cost/patient/</w:t>
            </w:r>
            <w:r w:rsidR="00343405">
              <w:rPr>
                <w:rFonts w:ascii="Arial Narrow" w:hAnsi="Arial Narrow"/>
                <w:sz w:val="20"/>
                <w:lang w:val="en-US"/>
              </w:rPr>
              <w:t>28 days</w:t>
            </w:r>
          </w:p>
        </w:tc>
        <w:tc>
          <w:tcPr>
            <w:tcW w:w="650" w:type="pct"/>
            <w:shd w:val="clear" w:color="auto" w:fill="auto"/>
            <w:vAlign w:val="center"/>
          </w:tcPr>
          <w:p w:rsidR="00F07B7E" w:rsidRPr="004A4EFC" w:rsidRDefault="004A4EFC" w:rsidP="0087640F">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96" w:type="pct"/>
            <w:shd w:val="clear" w:color="auto" w:fill="auto"/>
            <w:vAlign w:val="center"/>
          </w:tcPr>
          <w:p w:rsidR="00F07B7E" w:rsidRPr="004A4EFC" w:rsidRDefault="004A4EFC" w:rsidP="0087640F">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98" w:type="pct"/>
            <w:shd w:val="clear" w:color="auto" w:fill="auto"/>
            <w:vAlign w:val="center"/>
          </w:tcPr>
          <w:p w:rsidR="00F07B7E" w:rsidRPr="004A4EFC" w:rsidRDefault="004A4EFC" w:rsidP="0087640F">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29" w:type="pct"/>
            <w:shd w:val="clear" w:color="auto" w:fill="auto"/>
            <w:vAlign w:val="center"/>
          </w:tcPr>
          <w:p w:rsidR="00F07B7E" w:rsidRPr="00E2771E" w:rsidRDefault="00343405" w:rsidP="0087640F">
            <w:pPr>
              <w:keepNext/>
              <w:keepLines/>
              <w:widowControl/>
              <w:jc w:val="center"/>
              <w:rPr>
                <w:rFonts w:ascii="Arial Narrow" w:hAnsi="Arial Narrow"/>
                <w:sz w:val="20"/>
                <w:lang w:val="en-US"/>
              </w:rPr>
            </w:pPr>
            <w:r>
              <w:rPr>
                <w:rFonts w:ascii="Arial Narrow" w:hAnsi="Arial Narrow"/>
                <w:sz w:val="20"/>
                <w:lang w:val="en-US"/>
              </w:rPr>
              <w:t>NR</w:t>
            </w:r>
          </w:p>
        </w:tc>
        <w:tc>
          <w:tcPr>
            <w:tcW w:w="766" w:type="pct"/>
            <w:shd w:val="clear" w:color="auto" w:fill="auto"/>
            <w:vAlign w:val="center"/>
          </w:tcPr>
          <w:p w:rsidR="00F07B7E" w:rsidRPr="00343405" w:rsidRDefault="0087640F" w:rsidP="0087640F">
            <w:pPr>
              <w:keepNext/>
              <w:keepLines/>
              <w:widowControl/>
              <w:jc w:val="center"/>
              <w:rPr>
                <w:rFonts w:ascii="Arial Narrow" w:hAnsi="Arial Narrow"/>
                <w:sz w:val="20"/>
                <w:vertAlign w:val="superscript"/>
                <w:lang w:val="en-US"/>
              </w:rPr>
            </w:pPr>
            <w:r>
              <w:rPr>
                <w:rFonts w:ascii="Arial Narrow" w:hAnsi="Arial Narrow"/>
                <w:sz w:val="20"/>
                <w:lang w:val="en-US"/>
              </w:rPr>
              <w:t>$675.23</w:t>
            </w:r>
            <w:r w:rsidR="00343405">
              <w:rPr>
                <w:rFonts w:ascii="Arial Narrow" w:hAnsi="Arial Narrow"/>
                <w:sz w:val="20"/>
                <w:vertAlign w:val="superscript"/>
                <w:lang w:val="en-US"/>
              </w:rPr>
              <w:t>1</w:t>
            </w:r>
          </w:p>
        </w:tc>
        <w:tc>
          <w:tcPr>
            <w:tcW w:w="699" w:type="pct"/>
          </w:tcPr>
          <w:p w:rsidR="00F07B7E" w:rsidRPr="00E2771E" w:rsidRDefault="00343405" w:rsidP="0087640F">
            <w:pPr>
              <w:keepNext/>
              <w:keepLines/>
              <w:widowControl/>
              <w:jc w:val="center"/>
              <w:rPr>
                <w:rFonts w:ascii="Arial Narrow" w:hAnsi="Arial Narrow"/>
                <w:sz w:val="20"/>
                <w:lang w:val="en-US"/>
              </w:rPr>
            </w:pPr>
            <w:r>
              <w:rPr>
                <w:rFonts w:ascii="Arial Narrow" w:hAnsi="Arial Narrow"/>
                <w:sz w:val="20"/>
                <w:lang w:val="en-US"/>
              </w:rPr>
              <w:t>$675.23</w:t>
            </w:r>
          </w:p>
        </w:tc>
      </w:tr>
      <w:tr w:rsidR="00343405" w:rsidRPr="00E2771E" w:rsidTr="00343405">
        <w:trPr>
          <w:jc w:val="center"/>
        </w:trPr>
        <w:tc>
          <w:tcPr>
            <w:tcW w:w="862" w:type="pct"/>
            <w:shd w:val="clear" w:color="auto" w:fill="auto"/>
            <w:vAlign w:val="center"/>
          </w:tcPr>
          <w:p w:rsidR="00343405" w:rsidRPr="00E2771E" w:rsidRDefault="00343405" w:rsidP="0087640F">
            <w:pPr>
              <w:keepNext/>
              <w:keepLines/>
              <w:widowControl/>
              <w:jc w:val="left"/>
              <w:rPr>
                <w:rFonts w:ascii="Arial Narrow" w:hAnsi="Arial Narrow"/>
                <w:sz w:val="20"/>
                <w:lang w:val="en-US"/>
              </w:rPr>
            </w:pPr>
            <w:r>
              <w:rPr>
                <w:rFonts w:ascii="Arial Narrow" w:hAnsi="Arial Narrow"/>
                <w:sz w:val="20"/>
                <w:lang w:val="en-US"/>
              </w:rPr>
              <w:t xml:space="preserve">Cost/patient/year </w:t>
            </w:r>
          </w:p>
        </w:tc>
        <w:tc>
          <w:tcPr>
            <w:tcW w:w="650" w:type="pct"/>
            <w:shd w:val="clear" w:color="auto" w:fill="auto"/>
            <w:vAlign w:val="center"/>
          </w:tcPr>
          <w:p w:rsidR="00343405" w:rsidRPr="004A4EFC" w:rsidRDefault="004A4EFC" w:rsidP="0087640F">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96" w:type="pct"/>
            <w:shd w:val="clear" w:color="auto" w:fill="auto"/>
            <w:vAlign w:val="center"/>
          </w:tcPr>
          <w:p w:rsidR="00343405" w:rsidRPr="004A4EFC" w:rsidRDefault="004A4EFC" w:rsidP="0087640F">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98" w:type="pct"/>
            <w:shd w:val="clear" w:color="auto" w:fill="auto"/>
            <w:vAlign w:val="center"/>
          </w:tcPr>
          <w:p w:rsidR="00343405" w:rsidRPr="004A4EFC" w:rsidRDefault="004A4EFC" w:rsidP="0087640F">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29" w:type="pct"/>
            <w:shd w:val="clear" w:color="auto" w:fill="auto"/>
            <w:vAlign w:val="center"/>
          </w:tcPr>
          <w:p w:rsidR="00343405" w:rsidRPr="00E2771E" w:rsidRDefault="00343405" w:rsidP="0087640F">
            <w:pPr>
              <w:keepNext/>
              <w:keepLines/>
              <w:widowControl/>
              <w:jc w:val="center"/>
              <w:rPr>
                <w:rFonts w:ascii="Arial Narrow" w:hAnsi="Arial Narrow"/>
                <w:sz w:val="20"/>
                <w:lang w:val="en-US"/>
              </w:rPr>
            </w:pPr>
            <w:r>
              <w:rPr>
                <w:rFonts w:ascii="Arial Narrow" w:hAnsi="Arial Narrow"/>
                <w:sz w:val="20"/>
                <w:lang w:val="en-US"/>
              </w:rPr>
              <w:t>NR</w:t>
            </w:r>
          </w:p>
        </w:tc>
        <w:tc>
          <w:tcPr>
            <w:tcW w:w="1465" w:type="pct"/>
            <w:gridSpan w:val="2"/>
            <w:shd w:val="clear" w:color="auto" w:fill="auto"/>
            <w:vAlign w:val="center"/>
          </w:tcPr>
          <w:p w:rsidR="00343405" w:rsidRDefault="00343405" w:rsidP="0087640F">
            <w:pPr>
              <w:keepNext/>
              <w:keepLines/>
              <w:widowControl/>
              <w:jc w:val="center"/>
              <w:rPr>
                <w:rFonts w:ascii="Arial Narrow" w:hAnsi="Arial Narrow"/>
                <w:sz w:val="20"/>
                <w:lang w:val="en-US"/>
              </w:rPr>
            </w:pPr>
            <w:r>
              <w:rPr>
                <w:rFonts w:ascii="Arial Narrow" w:hAnsi="Arial Narrow"/>
                <w:sz w:val="20"/>
                <w:lang w:val="en-US"/>
              </w:rPr>
              <w:t>HC: $1047.77</w:t>
            </w:r>
          </w:p>
          <w:p w:rsidR="00343405" w:rsidRPr="00343405" w:rsidRDefault="0087640F" w:rsidP="0087640F">
            <w:pPr>
              <w:keepNext/>
              <w:keepLines/>
              <w:widowControl/>
              <w:jc w:val="center"/>
              <w:rPr>
                <w:rFonts w:ascii="Arial Narrow" w:hAnsi="Arial Narrow"/>
                <w:sz w:val="20"/>
                <w:vertAlign w:val="superscript"/>
                <w:lang w:val="en-US"/>
              </w:rPr>
            </w:pPr>
            <w:r>
              <w:rPr>
                <w:rFonts w:ascii="Arial Narrow" w:hAnsi="Arial Narrow"/>
                <w:sz w:val="20"/>
                <w:lang w:val="en-US"/>
              </w:rPr>
              <w:t>Peginterferon α-2a: $16,541</w:t>
            </w:r>
            <w:r w:rsidR="00343405">
              <w:rPr>
                <w:rFonts w:ascii="Arial Narrow" w:hAnsi="Arial Narrow"/>
                <w:sz w:val="20"/>
                <w:vertAlign w:val="superscript"/>
                <w:lang w:val="en-US"/>
              </w:rPr>
              <w:t>1</w:t>
            </w:r>
          </w:p>
        </w:tc>
      </w:tr>
    </w:tbl>
    <w:p w:rsidR="00343405" w:rsidRPr="00343405" w:rsidRDefault="00343405" w:rsidP="0087640F">
      <w:pPr>
        <w:pStyle w:val="TableFooter"/>
        <w:keepNext/>
        <w:keepLines/>
        <w:widowControl/>
        <w:tabs>
          <w:tab w:val="left" w:pos="284"/>
        </w:tabs>
        <w:ind w:left="284" w:hanging="284"/>
      </w:pPr>
      <w:r>
        <w:rPr>
          <w:vertAlign w:val="superscript"/>
        </w:rPr>
        <w:t>1</w:t>
      </w:r>
      <w:r w:rsidR="00CF6741">
        <w:tab/>
      </w:r>
      <w:r>
        <w:t>There was a slight discrepancy between the 28 day cost of BAT and the total cost of BAT per year, as the submission assumed that the cost of 4 weeks of peginterferon α-2a in the model to be $1,268.07 instead of $1,272.42.</w:t>
      </w:r>
    </w:p>
    <w:p w:rsidR="009F4935" w:rsidRDefault="009F4935" w:rsidP="0087640F">
      <w:pPr>
        <w:pStyle w:val="TableFooter"/>
        <w:keepNext/>
        <w:keepLines/>
        <w:widowControl/>
      </w:pPr>
      <w:r>
        <w:t>BD = twice daily, NR = not reported</w:t>
      </w:r>
    </w:p>
    <w:p w:rsidR="00F07B7E" w:rsidRDefault="00F07B7E" w:rsidP="0087640F">
      <w:pPr>
        <w:pStyle w:val="TableFooter"/>
        <w:keepNext/>
        <w:keepLines/>
        <w:widowControl/>
      </w:pPr>
      <w:r w:rsidRPr="007F1017">
        <w:t xml:space="preserve">Source: </w:t>
      </w:r>
      <w:r w:rsidR="00343405">
        <w:t>constructed during evaluation</w:t>
      </w:r>
    </w:p>
    <w:p w:rsidR="00F07B7E" w:rsidRDefault="00F07B7E" w:rsidP="00F07B7E">
      <w:pPr>
        <w:pStyle w:val="TableFooter"/>
        <w:widowControl/>
      </w:pPr>
    </w:p>
    <w:p w:rsidR="00B60939" w:rsidRPr="00C9624D" w:rsidRDefault="00B60939" w:rsidP="00E356F4">
      <w:pPr>
        <w:pStyle w:val="Heading2"/>
        <w:spacing w:after="120"/>
      </w:pPr>
      <w:bookmarkStart w:id="31" w:name="_Toc19700365"/>
      <w:r w:rsidRPr="00C9624D">
        <w:t>Estimated PBS usage &amp; financial implications</w:t>
      </w:r>
      <w:bookmarkEnd w:id="31"/>
    </w:p>
    <w:p w:rsidR="00A77D40" w:rsidRPr="00B201A4" w:rsidRDefault="00A77D40" w:rsidP="00E356F4">
      <w:pPr>
        <w:pStyle w:val="ListParagraph"/>
        <w:widowControl/>
        <w:numPr>
          <w:ilvl w:val="1"/>
          <w:numId w:val="2"/>
        </w:numPr>
        <w:spacing w:after="120"/>
      </w:pPr>
      <w:bookmarkStart w:id="32" w:name="_Toc19700366"/>
      <w:r>
        <w:t xml:space="preserve">This submission was </w:t>
      </w:r>
      <w:r w:rsidRPr="00343405">
        <w:t xml:space="preserve">considered by DUSC.  </w:t>
      </w:r>
    </w:p>
    <w:p w:rsidR="00A77D40" w:rsidRPr="00343405" w:rsidRDefault="00A77D40" w:rsidP="00E356F4">
      <w:pPr>
        <w:pStyle w:val="ListParagraph"/>
        <w:widowControl/>
        <w:numPr>
          <w:ilvl w:val="1"/>
          <w:numId w:val="2"/>
        </w:numPr>
        <w:spacing w:after="120"/>
      </w:pPr>
      <w:r w:rsidRPr="00343405">
        <w:t xml:space="preserve">The estimated financial </w:t>
      </w:r>
      <w:r>
        <w:t xml:space="preserve">implications for listing ruxolitinib for patients with PV who are resistant or intolerant to HC is presented in Table </w:t>
      </w:r>
      <w:r>
        <w:rPr>
          <w:noProof/>
        </w:rPr>
        <w:t>14</w:t>
      </w:r>
      <w:r>
        <w:t xml:space="preserve">.  </w:t>
      </w:r>
    </w:p>
    <w:p w:rsidR="00A77D40" w:rsidRPr="00C25D9C" w:rsidRDefault="00A77D40" w:rsidP="00A77D40">
      <w:pPr>
        <w:pStyle w:val="Caption"/>
        <w:keepNext/>
      </w:pPr>
      <w:bookmarkStart w:id="33" w:name="_Ref17149993"/>
      <w:r>
        <w:t xml:space="preserve">Table </w:t>
      </w:r>
      <w:r>
        <w:rPr>
          <w:noProof/>
        </w:rPr>
        <w:t>14</w:t>
      </w:r>
      <w:bookmarkEnd w:id="33"/>
      <w:r w:rsidRPr="00CF6741">
        <w:rPr>
          <w:rStyle w:val="CommentReference"/>
          <w:b/>
        </w:rPr>
        <w:t>: Estimated use and financial implications</w:t>
      </w:r>
    </w:p>
    <w:tbl>
      <w:tblPr>
        <w:tblStyle w:val="TableGrid"/>
        <w:tblW w:w="0" w:type="auto"/>
        <w:tblCellMar>
          <w:left w:w="28" w:type="dxa"/>
          <w:right w:w="28" w:type="dxa"/>
        </w:tblCellMar>
        <w:tblLook w:val="04A0" w:firstRow="1" w:lastRow="0" w:firstColumn="1" w:lastColumn="0" w:noHBand="0" w:noVBand="1"/>
        <w:tblCaption w:val="Table 14: Estimated use and financial implications"/>
      </w:tblPr>
      <w:tblGrid>
        <w:gridCol w:w="2789"/>
        <w:gridCol w:w="992"/>
        <w:gridCol w:w="1032"/>
        <w:gridCol w:w="1071"/>
        <w:gridCol w:w="1070"/>
        <w:gridCol w:w="1031"/>
        <w:gridCol w:w="1032"/>
      </w:tblGrid>
      <w:tr w:rsidR="00A77D40" w:rsidRPr="00E22A64" w:rsidTr="00A77D40">
        <w:trPr>
          <w:tblHeader/>
        </w:trPr>
        <w:tc>
          <w:tcPr>
            <w:tcW w:w="2845" w:type="dxa"/>
            <w:vAlign w:val="center"/>
          </w:tcPr>
          <w:p w:rsidR="00A77D40" w:rsidRPr="00E22A64" w:rsidRDefault="00A77D40" w:rsidP="00A77D40">
            <w:pPr>
              <w:jc w:val="left"/>
              <w:rPr>
                <w:rFonts w:ascii="Arial Narrow" w:hAnsi="Arial Narrow"/>
                <w:sz w:val="20"/>
                <w:szCs w:val="20"/>
              </w:rPr>
            </w:pPr>
          </w:p>
        </w:tc>
        <w:tc>
          <w:tcPr>
            <w:tcW w:w="970" w:type="dxa"/>
            <w:vAlign w:val="center"/>
          </w:tcPr>
          <w:p w:rsidR="00A77D40" w:rsidRPr="00E22A64" w:rsidRDefault="00A77D40" w:rsidP="00A77D40">
            <w:pPr>
              <w:jc w:val="center"/>
              <w:rPr>
                <w:rFonts w:ascii="Arial Narrow" w:hAnsi="Arial Narrow"/>
                <w:b/>
                <w:sz w:val="20"/>
                <w:szCs w:val="20"/>
              </w:rPr>
            </w:pPr>
            <w:r w:rsidRPr="00E22A64">
              <w:rPr>
                <w:rFonts w:ascii="Arial Narrow" w:hAnsi="Arial Narrow"/>
                <w:b/>
                <w:sz w:val="20"/>
                <w:szCs w:val="20"/>
              </w:rPr>
              <w:t>2020</w:t>
            </w:r>
          </w:p>
        </w:tc>
        <w:tc>
          <w:tcPr>
            <w:tcW w:w="1032" w:type="dxa"/>
            <w:vAlign w:val="center"/>
          </w:tcPr>
          <w:p w:rsidR="00A77D40" w:rsidRPr="00E22A64" w:rsidRDefault="00A77D40" w:rsidP="00A77D40">
            <w:pPr>
              <w:jc w:val="center"/>
              <w:rPr>
                <w:rFonts w:ascii="Arial Narrow" w:hAnsi="Arial Narrow"/>
                <w:b/>
                <w:sz w:val="20"/>
                <w:szCs w:val="20"/>
              </w:rPr>
            </w:pPr>
            <w:r w:rsidRPr="00E22A64">
              <w:rPr>
                <w:rFonts w:ascii="Arial Narrow" w:hAnsi="Arial Narrow"/>
                <w:b/>
                <w:sz w:val="20"/>
                <w:szCs w:val="20"/>
              </w:rPr>
              <w:t>2021</w:t>
            </w:r>
          </w:p>
        </w:tc>
        <w:tc>
          <w:tcPr>
            <w:tcW w:w="1074" w:type="dxa"/>
            <w:vAlign w:val="center"/>
          </w:tcPr>
          <w:p w:rsidR="00A77D40" w:rsidRPr="00E22A64" w:rsidRDefault="00A77D40" w:rsidP="00A77D40">
            <w:pPr>
              <w:jc w:val="center"/>
              <w:rPr>
                <w:rFonts w:ascii="Arial Narrow" w:hAnsi="Arial Narrow"/>
                <w:b/>
                <w:sz w:val="20"/>
                <w:szCs w:val="20"/>
              </w:rPr>
            </w:pPr>
            <w:r w:rsidRPr="00E22A64">
              <w:rPr>
                <w:rFonts w:ascii="Arial Narrow" w:hAnsi="Arial Narrow"/>
                <w:b/>
                <w:sz w:val="20"/>
                <w:szCs w:val="20"/>
              </w:rPr>
              <w:t>2022</w:t>
            </w:r>
          </w:p>
        </w:tc>
        <w:tc>
          <w:tcPr>
            <w:tcW w:w="1032" w:type="dxa"/>
            <w:vAlign w:val="center"/>
          </w:tcPr>
          <w:p w:rsidR="00A77D40" w:rsidRPr="00E22A64" w:rsidRDefault="00A77D40" w:rsidP="00A77D40">
            <w:pPr>
              <w:jc w:val="center"/>
              <w:rPr>
                <w:rFonts w:ascii="Arial Narrow" w:hAnsi="Arial Narrow"/>
                <w:b/>
                <w:sz w:val="20"/>
                <w:szCs w:val="20"/>
              </w:rPr>
            </w:pPr>
            <w:r w:rsidRPr="00E22A64">
              <w:rPr>
                <w:rFonts w:ascii="Arial Narrow" w:hAnsi="Arial Narrow"/>
                <w:b/>
                <w:sz w:val="20"/>
                <w:szCs w:val="20"/>
              </w:rPr>
              <w:t>2023</w:t>
            </w:r>
          </w:p>
        </w:tc>
        <w:tc>
          <w:tcPr>
            <w:tcW w:w="1032" w:type="dxa"/>
            <w:vAlign w:val="center"/>
          </w:tcPr>
          <w:p w:rsidR="00A77D40" w:rsidRPr="00E22A64" w:rsidRDefault="00A77D40" w:rsidP="00A77D40">
            <w:pPr>
              <w:jc w:val="center"/>
              <w:rPr>
                <w:rFonts w:ascii="Arial Narrow" w:hAnsi="Arial Narrow"/>
                <w:b/>
                <w:sz w:val="20"/>
                <w:szCs w:val="20"/>
              </w:rPr>
            </w:pPr>
            <w:r w:rsidRPr="00E22A64">
              <w:rPr>
                <w:rFonts w:ascii="Arial Narrow" w:hAnsi="Arial Narrow"/>
                <w:b/>
                <w:sz w:val="20"/>
                <w:szCs w:val="20"/>
              </w:rPr>
              <w:t>2024</w:t>
            </w:r>
          </w:p>
        </w:tc>
        <w:tc>
          <w:tcPr>
            <w:tcW w:w="1032" w:type="dxa"/>
            <w:vAlign w:val="center"/>
          </w:tcPr>
          <w:p w:rsidR="00A77D40" w:rsidRPr="00E22A64" w:rsidRDefault="00A77D40" w:rsidP="00A77D40">
            <w:pPr>
              <w:jc w:val="center"/>
              <w:rPr>
                <w:rFonts w:ascii="Arial Narrow" w:hAnsi="Arial Narrow"/>
                <w:b/>
                <w:sz w:val="20"/>
                <w:szCs w:val="20"/>
              </w:rPr>
            </w:pPr>
            <w:r w:rsidRPr="00E22A64">
              <w:rPr>
                <w:rFonts w:ascii="Arial Narrow" w:hAnsi="Arial Narrow"/>
                <w:b/>
                <w:sz w:val="20"/>
                <w:szCs w:val="20"/>
              </w:rPr>
              <w:t>2025</w:t>
            </w:r>
          </w:p>
        </w:tc>
      </w:tr>
      <w:tr w:rsidR="00A77D40" w:rsidRPr="00E22A64" w:rsidTr="00A77D40">
        <w:tc>
          <w:tcPr>
            <w:tcW w:w="9017" w:type="dxa"/>
            <w:gridSpan w:val="7"/>
            <w:vAlign w:val="center"/>
          </w:tcPr>
          <w:p w:rsidR="00A77D40" w:rsidRPr="00E22A64" w:rsidRDefault="00A77D40" w:rsidP="00A77D40">
            <w:pPr>
              <w:jc w:val="left"/>
              <w:rPr>
                <w:rFonts w:ascii="Arial Narrow" w:hAnsi="Arial Narrow"/>
                <w:b/>
                <w:sz w:val="20"/>
                <w:szCs w:val="20"/>
              </w:rPr>
            </w:pPr>
            <w:r w:rsidRPr="00E22A64">
              <w:rPr>
                <w:rFonts w:ascii="Arial Narrow" w:hAnsi="Arial Narrow"/>
                <w:b/>
                <w:sz w:val="20"/>
                <w:szCs w:val="20"/>
              </w:rPr>
              <w:t xml:space="preserve">Estimated used and financial impact of ruxolitinib </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Prevalent eligible population</w:t>
            </w:r>
            <w:r w:rsidRPr="00E22A64">
              <w:rPr>
                <w:rFonts w:ascii="Arial Narrow" w:hAnsi="Arial Narrow"/>
                <w:sz w:val="20"/>
                <w:szCs w:val="20"/>
                <w:vertAlign w:val="superscript"/>
              </w:rPr>
              <w:t>1</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E22A64" w:rsidRDefault="00A77D40" w:rsidP="00A77D40">
            <w:pPr>
              <w:jc w:val="center"/>
              <w:rPr>
                <w:rFonts w:ascii="Arial Narrow" w:hAnsi="Arial Narrow"/>
                <w:sz w:val="20"/>
                <w:szCs w:val="20"/>
              </w:rPr>
            </w:pPr>
            <w:r w:rsidRPr="00E22A64">
              <w:rPr>
                <w:rFonts w:ascii="Arial Narrow" w:hAnsi="Arial Narrow"/>
                <w:sz w:val="20"/>
                <w:szCs w:val="20"/>
              </w:rPr>
              <w:t>-</w:t>
            </w:r>
          </w:p>
        </w:tc>
        <w:tc>
          <w:tcPr>
            <w:tcW w:w="1074" w:type="dxa"/>
            <w:vAlign w:val="center"/>
          </w:tcPr>
          <w:p w:rsidR="00A77D40" w:rsidRPr="00E22A64" w:rsidRDefault="00A77D40" w:rsidP="00A77D40">
            <w:pPr>
              <w:jc w:val="center"/>
              <w:rPr>
                <w:rFonts w:ascii="Arial Narrow" w:hAnsi="Arial Narrow"/>
                <w:sz w:val="20"/>
                <w:szCs w:val="20"/>
              </w:rPr>
            </w:pPr>
            <w:r w:rsidRPr="00E22A64">
              <w:rPr>
                <w:rFonts w:ascii="Arial Narrow" w:hAnsi="Arial Narrow"/>
                <w:sz w:val="20"/>
                <w:szCs w:val="20"/>
              </w:rPr>
              <w:t>-</w:t>
            </w:r>
          </w:p>
        </w:tc>
        <w:tc>
          <w:tcPr>
            <w:tcW w:w="1032" w:type="dxa"/>
            <w:vAlign w:val="center"/>
          </w:tcPr>
          <w:p w:rsidR="00A77D40" w:rsidRPr="00E22A64" w:rsidRDefault="00A77D40" w:rsidP="00A77D40">
            <w:pPr>
              <w:jc w:val="center"/>
              <w:rPr>
                <w:rFonts w:ascii="Arial Narrow" w:hAnsi="Arial Narrow"/>
                <w:sz w:val="20"/>
                <w:szCs w:val="20"/>
              </w:rPr>
            </w:pPr>
            <w:r w:rsidRPr="00E22A64">
              <w:rPr>
                <w:rFonts w:ascii="Arial Narrow" w:hAnsi="Arial Narrow"/>
                <w:sz w:val="20"/>
                <w:szCs w:val="20"/>
              </w:rPr>
              <w:t>-</w:t>
            </w:r>
          </w:p>
        </w:tc>
        <w:tc>
          <w:tcPr>
            <w:tcW w:w="1032" w:type="dxa"/>
            <w:vAlign w:val="center"/>
          </w:tcPr>
          <w:p w:rsidR="00A77D40" w:rsidRPr="00E22A64" w:rsidRDefault="00A77D40" w:rsidP="00A77D40">
            <w:pPr>
              <w:jc w:val="center"/>
              <w:rPr>
                <w:rFonts w:ascii="Arial Narrow" w:hAnsi="Arial Narrow"/>
                <w:sz w:val="20"/>
                <w:szCs w:val="20"/>
              </w:rPr>
            </w:pPr>
            <w:r w:rsidRPr="00E22A64">
              <w:rPr>
                <w:rFonts w:ascii="Arial Narrow" w:hAnsi="Arial Narrow"/>
                <w:sz w:val="20"/>
                <w:szCs w:val="20"/>
              </w:rPr>
              <w:t>-</w:t>
            </w:r>
          </w:p>
        </w:tc>
        <w:tc>
          <w:tcPr>
            <w:tcW w:w="1032" w:type="dxa"/>
            <w:vAlign w:val="center"/>
          </w:tcPr>
          <w:p w:rsidR="00A77D40" w:rsidRPr="00E22A64" w:rsidRDefault="00A77D40" w:rsidP="00A77D40">
            <w:pPr>
              <w:jc w:val="center"/>
              <w:rPr>
                <w:rFonts w:ascii="Arial Narrow" w:hAnsi="Arial Narrow"/>
                <w:sz w:val="20"/>
                <w:szCs w:val="20"/>
              </w:rPr>
            </w:pPr>
            <w:r w:rsidRPr="00E22A64">
              <w:rPr>
                <w:rFonts w:ascii="Arial Narrow" w:hAnsi="Arial Narrow"/>
                <w:sz w:val="20"/>
                <w:szCs w:val="20"/>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 xml:space="preserve">Incident eligible population </w:t>
            </w:r>
            <w:r w:rsidRPr="00E22A64">
              <w:rPr>
                <w:rFonts w:ascii="Arial Narrow" w:hAnsi="Arial Narrow"/>
                <w:sz w:val="20"/>
                <w:szCs w:val="20"/>
                <w:vertAlign w:val="superscript"/>
              </w:rPr>
              <w:t>2</w:t>
            </w:r>
          </w:p>
        </w:tc>
        <w:tc>
          <w:tcPr>
            <w:tcW w:w="970" w:type="dxa"/>
            <w:vAlign w:val="center"/>
          </w:tcPr>
          <w:p w:rsidR="00A77D40" w:rsidRPr="00E22A64" w:rsidRDefault="00A77D40" w:rsidP="00A77D40">
            <w:pPr>
              <w:jc w:val="center"/>
              <w:rPr>
                <w:rFonts w:ascii="Arial Narrow" w:hAnsi="Arial Narrow"/>
                <w:sz w:val="20"/>
                <w:szCs w:val="20"/>
              </w:rPr>
            </w:pPr>
            <w:r w:rsidRPr="00E22A64">
              <w:rPr>
                <w:rFonts w:ascii="Arial Narrow" w:hAnsi="Arial Narrow"/>
                <w:sz w:val="20"/>
                <w:szCs w:val="20"/>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 xml:space="preserve">Estimated prevalent patient commencing treatment </w:t>
            </w:r>
            <w:r w:rsidRPr="00E22A64">
              <w:rPr>
                <w:rFonts w:ascii="Arial Narrow" w:hAnsi="Arial Narrow"/>
                <w:sz w:val="20"/>
                <w:szCs w:val="20"/>
                <w:vertAlign w:val="superscript"/>
              </w:rPr>
              <w:t>3</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 xml:space="preserve">Estimated incidence patients commencing treatment </w:t>
            </w:r>
            <w:r w:rsidRPr="00E22A64">
              <w:rPr>
                <w:rFonts w:ascii="Arial Narrow" w:hAnsi="Arial Narrow"/>
                <w:sz w:val="20"/>
                <w:szCs w:val="20"/>
                <w:vertAlign w:val="superscript"/>
              </w:rPr>
              <w:t>4</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 xml:space="preserve">Grandfathered patients </w:t>
            </w:r>
            <w:r w:rsidRPr="00E22A64">
              <w:rPr>
                <w:rFonts w:ascii="Arial Narrow" w:hAnsi="Arial Narrow"/>
                <w:sz w:val="20"/>
                <w:szCs w:val="20"/>
                <w:vertAlign w:val="superscript"/>
              </w:rPr>
              <w:t>5</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E22A64" w:rsidRDefault="00A77D40" w:rsidP="00A77D40">
            <w:pPr>
              <w:jc w:val="center"/>
              <w:rPr>
                <w:rFonts w:ascii="Arial Narrow" w:hAnsi="Arial Narrow"/>
                <w:sz w:val="20"/>
                <w:szCs w:val="20"/>
              </w:rPr>
            </w:pPr>
            <w:r w:rsidRPr="00E22A64">
              <w:rPr>
                <w:rFonts w:ascii="Arial Narrow" w:hAnsi="Arial Narrow"/>
                <w:sz w:val="20"/>
                <w:szCs w:val="20"/>
              </w:rPr>
              <w:t>-</w:t>
            </w:r>
          </w:p>
        </w:tc>
        <w:tc>
          <w:tcPr>
            <w:tcW w:w="1074" w:type="dxa"/>
            <w:vAlign w:val="center"/>
          </w:tcPr>
          <w:p w:rsidR="00A77D40" w:rsidRPr="00E22A64" w:rsidRDefault="00A77D40" w:rsidP="00A77D40">
            <w:pPr>
              <w:jc w:val="center"/>
              <w:rPr>
                <w:rFonts w:ascii="Arial Narrow" w:hAnsi="Arial Narrow"/>
                <w:sz w:val="20"/>
                <w:szCs w:val="20"/>
              </w:rPr>
            </w:pPr>
            <w:r w:rsidRPr="00E22A64">
              <w:rPr>
                <w:rFonts w:ascii="Arial Narrow" w:hAnsi="Arial Narrow"/>
                <w:sz w:val="20"/>
                <w:szCs w:val="20"/>
              </w:rPr>
              <w:t>-</w:t>
            </w:r>
          </w:p>
        </w:tc>
        <w:tc>
          <w:tcPr>
            <w:tcW w:w="1032" w:type="dxa"/>
            <w:vAlign w:val="center"/>
          </w:tcPr>
          <w:p w:rsidR="00A77D40" w:rsidRPr="00E22A64" w:rsidRDefault="00A77D40" w:rsidP="00A77D40">
            <w:pPr>
              <w:jc w:val="center"/>
              <w:rPr>
                <w:rFonts w:ascii="Arial Narrow" w:hAnsi="Arial Narrow"/>
                <w:sz w:val="20"/>
                <w:szCs w:val="20"/>
              </w:rPr>
            </w:pPr>
            <w:r w:rsidRPr="00E22A64">
              <w:rPr>
                <w:rFonts w:ascii="Arial Narrow" w:hAnsi="Arial Narrow"/>
                <w:sz w:val="20"/>
                <w:szCs w:val="20"/>
              </w:rPr>
              <w:t>-</w:t>
            </w:r>
          </w:p>
        </w:tc>
        <w:tc>
          <w:tcPr>
            <w:tcW w:w="1032" w:type="dxa"/>
            <w:vAlign w:val="center"/>
          </w:tcPr>
          <w:p w:rsidR="00A77D40" w:rsidRPr="00E22A64" w:rsidRDefault="00A77D40" w:rsidP="00A77D40">
            <w:pPr>
              <w:jc w:val="center"/>
              <w:rPr>
                <w:rFonts w:ascii="Arial Narrow" w:hAnsi="Arial Narrow"/>
                <w:sz w:val="20"/>
                <w:szCs w:val="20"/>
              </w:rPr>
            </w:pPr>
            <w:r w:rsidRPr="00E22A64">
              <w:rPr>
                <w:rFonts w:ascii="Arial Narrow" w:hAnsi="Arial Narrow"/>
                <w:sz w:val="20"/>
                <w:szCs w:val="20"/>
              </w:rPr>
              <w:t>-</w:t>
            </w:r>
          </w:p>
        </w:tc>
        <w:tc>
          <w:tcPr>
            <w:tcW w:w="1032" w:type="dxa"/>
            <w:vAlign w:val="center"/>
          </w:tcPr>
          <w:p w:rsidR="00A77D40" w:rsidRPr="00E22A64" w:rsidRDefault="00A77D40" w:rsidP="00A77D40">
            <w:pPr>
              <w:jc w:val="center"/>
              <w:rPr>
                <w:rFonts w:ascii="Arial Narrow" w:hAnsi="Arial Narrow"/>
                <w:sz w:val="20"/>
                <w:szCs w:val="20"/>
              </w:rPr>
            </w:pPr>
            <w:r w:rsidRPr="00E22A64">
              <w:rPr>
                <w:rFonts w:ascii="Arial Narrow" w:hAnsi="Arial Narrow"/>
                <w:sz w:val="20"/>
                <w:szCs w:val="20"/>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rPr>
            </w:pPr>
            <w:r w:rsidRPr="00E22A64">
              <w:rPr>
                <w:rFonts w:ascii="Arial Narrow" w:hAnsi="Arial Narrow"/>
                <w:sz w:val="20"/>
                <w:szCs w:val="20"/>
              </w:rPr>
              <w:t>Total commencing patients</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Total ruxolitinib (PV) PBS scripts</w:t>
            </w:r>
            <w:r w:rsidRPr="00E22A64">
              <w:rPr>
                <w:rFonts w:ascii="Arial Narrow" w:hAnsi="Arial Narrow"/>
                <w:sz w:val="20"/>
                <w:szCs w:val="20"/>
                <w:vertAlign w:val="superscript"/>
              </w:rPr>
              <w:t xml:space="preserve"> 6</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Total ruxolitinib (PV) RPBS scripts</w:t>
            </w:r>
            <w:r w:rsidRPr="00E22A64">
              <w:rPr>
                <w:rFonts w:ascii="Arial Narrow" w:hAnsi="Arial Narrow"/>
                <w:sz w:val="20"/>
                <w:szCs w:val="20"/>
                <w:vertAlign w:val="superscript"/>
              </w:rPr>
              <w:t>6</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rPr>
            </w:pPr>
            <w:r w:rsidRPr="00E22A64">
              <w:rPr>
                <w:rFonts w:ascii="Arial Narrow" w:hAnsi="Arial Narrow"/>
                <w:sz w:val="20"/>
                <w:szCs w:val="20"/>
              </w:rPr>
              <w:t>Total ruxolitinib (PV) scripts</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 xml:space="preserve">Total PBS cost (effective) minus </w:t>
            </w:r>
            <w:proofErr w:type="spellStart"/>
            <w:r w:rsidRPr="00E22A64">
              <w:rPr>
                <w:rFonts w:ascii="Arial Narrow" w:hAnsi="Arial Narrow"/>
                <w:sz w:val="20"/>
                <w:szCs w:val="20"/>
              </w:rPr>
              <w:t>copayment</w:t>
            </w:r>
            <w:proofErr w:type="spellEnd"/>
            <w:r w:rsidRPr="00E22A64">
              <w:rPr>
                <w:rFonts w:ascii="Arial Narrow" w:hAnsi="Arial Narrow"/>
                <w:sz w:val="20"/>
                <w:szCs w:val="20"/>
              </w:rPr>
              <w:t xml:space="preserve"> </w:t>
            </w:r>
            <w:r w:rsidRPr="00E22A64">
              <w:rPr>
                <w:rFonts w:ascii="Arial Narrow" w:hAnsi="Arial Narrow"/>
                <w:sz w:val="20"/>
                <w:szCs w:val="20"/>
                <w:vertAlign w:val="superscript"/>
              </w:rPr>
              <w:t>7</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 xml:space="preserve">Total RPBS cost (effective) minus </w:t>
            </w:r>
            <w:proofErr w:type="spellStart"/>
            <w:r w:rsidRPr="00E22A64">
              <w:rPr>
                <w:rFonts w:ascii="Arial Narrow" w:hAnsi="Arial Narrow"/>
                <w:sz w:val="20"/>
                <w:szCs w:val="20"/>
              </w:rPr>
              <w:t>copayment</w:t>
            </w:r>
            <w:proofErr w:type="spellEnd"/>
            <w:r w:rsidRPr="00E22A64">
              <w:rPr>
                <w:rFonts w:ascii="Arial Narrow" w:hAnsi="Arial Narrow"/>
                <w:sz w:val="20"/>
                <w:szCs w:val="20"/>
              </w:rPr>
              <w:t xml:space="preserve"> </w:t>
            </w:r>
            <w:r w:rsidRPr="00E22A64">
              <w:rPr>
                <w:rFonts w:ascii="Arial Narrow" w:hAnsi="Arial Narrow"/>
                <w:sz w:val="20"/>
                <w:szCs w:val="20"/>
                <w:vertAlign w:val="superscript"/>
              </w:rPr>
              <w:t>7</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b/>
                <w:sz w:val="20"/>
                <w:szCs w:val="20"/>
              </w:rPr>
            </w:pPr>
            <w:r w:rsidRPr="00E22A64">
              <w:rPr>
                <w:rFonts w:ascii="Arial Narrow" w:hAnsi="Arial Narrow"/>
                <w:b/>
                <w:sz w:val="20"/>
                <w:szCs w:val="20"/>
              </w:rPr>
              <w:t xml:space="preserve">Total cost (effective) minus </w:t>
            </w:r>
            <w:proofErr w:type="spellStart"/>
            <w:r w:rsidRPr="00E22A64">
              <w:rPr>
                <w:rFonts w:ascii="Arial Narrow" w:hAnsi="Arial Narrow"/>
                <w:b/>
                <w:sz w:val="20"/>
                <w:szCs w:val="20"/>
              </w:rPr>
              <w:t>copayment</w:t>
            </w:r>
            <w:proofErr w:type="spellEnd"/>
            <w:r w:rsidRPr="00E22A64">
              <w:rPr>
                <w:rFonts w:ascii="Arial Narrow" w:hAnsi="Arial Narrow"/>
                <w:b/>
                <w:sz w:val="20"/>
                <w:szCs w:val="20"/>
              </w:rPr>
              <w:t xml:space="preserve"> </w:t>
            </w:r>
          </w:p>
        </w:tc>
        <w:tc>
          <w:tcPr>
            <w:tcW w:w="970"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A77D40" w:rsidRPr="00E22A64" w:rsidTr="00A77D40">
        <w:tc>
          <w:tcPr>
            <w:tcW w:w="9017" w:type="dxa"/>
            <w:gridSpan w:val="7"/>
            <w:vAlign w:val="center"/>
          </w:tcPr>
          <w:p w:rsidR="00A77D40" w:rsidRPr="00E22A64" w:rsidRDefault="00A77D40" w:rsidP="00A77D40">
            <w:pPr>
              <w:jc w:val="left"/>
              <w:rPr>
                <w:rFonts w:ascii="Arial Narrow" w:hAnsi="Arial Narrow"/>
                <w:b/>
                <w:sz w:val="20"/>
                <w:szCs w:val="20"/>
              </w:rPr>
            </w:pPr>
            <w:r w:rsidRPr="00E22A64">
              <w:rPr>
                <w:rFonts w:ascii="Arial Narrow" w:hAnsi="Arial Narrow"/>
                <w:b/>
                <w:sz w:val="20"/>
                <w:szCs w:val="20"/>
              </w:rPr>
              <w:t>Estimation of change in use and financial impact of other medicines</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 xml:space="preserve">HC packs offset </w:t>
            </w:r>
            <w:r w:rsidRPr="00E22A64">
              <w:rPr>
                <w:rFonts w:ascii="Arial Narrow" w:hAnsi="Arial Narrow"/>
                <w:sz w:val="20"/>
                <w:szCs w:val="20"/>
                <w:vertAlign w:val="superscript"/>
              </w:rPr>
              <w:t>8</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 xml:space="preserve">Peginterferon α-2a packs offset </w:t>
            </w:r>
            <w:r w:rsidRPr="00E22A64">
              <w:rPr>
                <w:rFonts w:ascii="Arial Narrow" w:hAnsi="Arial Narrow"/>
                <w:sz w:val="20"/>
                <w:szCs w:val="20"/>
                <w:vertAlign w:val="superscript"/>
              </w:rPr>
              <w:t>8</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lastRenderedPageBreak/>
              <w:t xml:space="preserve">Ruxolitinib (MF) packs offset </w:t>
            </w:r>
            <w:r w:rsidRPr="00E22A64">
              <w:rPr>
                <w:rFonts w:ascii="Arial Narrow" w:hAnsi="Arial Narrow"/>
                <w:sz w:val="20"/>
                <w:szCs w:val="20"/>
                <w:vertAlign w:val="superscript"/>
              </w:rPr>
              <w:t>8</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rPr>
            </w:pPr>
            <w:r w:rsidRPr="00E22A64">
              <w:rPr>
                <w:rFonts w:ascii="Arial Narrow" w:hAnsi="Arial Narrow"/>
                <w:sz w:val="20"/>
                <w:szCs w:val="20"/>
              </w:rPr>
              <w:t>Total packs offset</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 xml:space="preserve">Total cost HC offset minus </w:t>
            </w:r>
            <w:proofErr w:type="spellStart"/>
            <w:r w:rsidRPr="00E22A64">
              <w:rPr>
                <w:rFonts w:ascii="Arial Narrow" w:hAnsi="Arial Narrow"/>
                <w:sz w:val="20"/>
                <w:szCs w:val="20"/>
              </w:rPr>
              <w:t>copayments</w:t>
            </w:r>
            <w:proofErr w:type="spellEnd"/>
            <w:r w:rsidRPr="00E22A64">
              <w:rPr>
                <w:rFonts w:ascii="Arial Narrow" w:hAnsi="Arial Narrow"/>
                <w:sz w:val="20"/>
                <w:szCs w:val="20"/>
              </w:rPr>
              <w:t xml:space="preserve"> </w:t>
            </w:r>
            <w:r w:rsidRPr="00E22A64">
              <w:rPr>
                <w:rFonts w:ascii="Arial Narrow" w:hAnsi="Arial Narrow"/>
                <w:sz w:val="20"/>
                <w:szCs w:val="20"/>
                <w:vertAlign w:val="superscript"/>
              </w:rPr>
              <w:t>9</w:t>
            </w:r>
          </w:p>
        </w:tc>
        <w:tc>
          <w:tcPr>
            <w:tcW w:w="970"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rPr>
            </w:pPr>
            <w:r w:rsidRPr="00E22A64">
              <w:rPr>
                <w:rFonts w:ascii="Arial Narrow" w:hAnsi="Arial Narrow"/>
                <w:sz w:val="20"/>
                <w:szCs w:val="20"/>
              </w:rPr>
              <w:t xml:space="preserve">Total cost peginterferon (published) offset minus </w:t>
            </w:r>
            <w:proofErr w:type="spellStart"/>
            <w:r w:rsidRPr="00E22A64">
              <w:rPr>
                <w:rFonts w:ascii="Arial Narrow" w:hAnsi="Arial Narrow"/>
                <w:sz w:val="20"/>
                <w:szCs w:val="20"/>
              </w:rPr>
              <w:t>copayments</w:t>
            </w:r>
            <w:proofErr w:type="spellEnd"/>
            <w:r w:rsidRPr="00E22A64">
              <w:rPr>
                <w:rFonts w:ascii="Arial Narrow" w:hAnsi="Arial Narrow"/>
                <w:sz w:val="20"/>
                <w:szCs w:val="20"/>
              </w:rPr>
              <w:t xml:space="preserve"> </w:t>
            </w:r>
            <w:r w:rsidRPr="00E22A64">
              <w:rPr>
                <w:rFonts w:ascii="Arial Narrow" w:hAnsi="Arial Narrow"/>
                <w:sz w:val="20"/>
                <w:szCs w:val="20"/>
                <w:vertAlign w:val="superscript"/>
              </w:rPr>
              <w:t>10</w:t>
            </w:r>
          </w:p>
        </w:tc>
        <w:tc>
          <w:tcPr>
            <w:tcW w:w="970"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rPr>
            </w:pPr>
            <w:r w:rsidRPr="00E22A64">
              <w:rPr>
                <w:rFonts w:ascii="Arial Narrow" w:hAnsi="Arial Narrow"/>
                <w:sz w:val="20"/>
                <w:szCs w:val="20"/>
              </w:rPr>
              <w:t xml:space="preserve">Total cost ruxolitinib (MF) (effective) offset minus </w:t>
            </w:r>
            <w:proofErr w:type="spellStart"/>
            <w:r w:rsidRPr="00E22A64">
              <w:rPr>
                <w:rFonts w:ascii="Arial Narrow" w:hAnsi="Arial Narrow"/>
                <w:sz w:val="20"/>
                <w:szCs w:val="20"/>
              </w:rPr>
              <w:t>copayments</w:t>
            </w:r>
            <w:proofErr w:type="spellEnd"/>
            <w:r w:rsidRPr="00E22A64">
              <w:rPr>
                <w:rFonts w:ascii="Arial Narrow" w:hAnsi="Arial Narrow"/>
                <w:sz w:val="20"/>
                <w:szCs w:val="20"/>
              </w:rPr>
              <w:t xml:space="preserve"> </w:t>
            </w:r>
            <w:r w:rsidRPr="00E22A64">
              <w:rPr>
                <w:rFonts w:ascii="Arial Narrow" w:hAnsi="Arial Narrow"/>
                <w:sz w:val="20"/>
                <w:szCs w:val="20"/>
                <w:vertAlign w:val="superscript"/>
              </w:rPr>
              <w:t>11</w:t>
            </w:r>
          </w:p>
        </w:tc>
        <w:tc>
          <w:tcPr>
            <w:tcW w:w="970"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b/>
                <w:sz w:val="20"/>
                <w:szCs w:val="20"/>
              </w:rPr>
            </w:pPr>
            <w:r w:rsidRPr="00E22A64">
              <w:rPr>
                <w:rFonts w:ascii="Arial Narrow" w:hAnsi="Arial Narrow"/>
                <w:b/>
                <w:sz w:val="20"/>
                <w:szCs w:val="20"/>
              </w:rPr>
              <w:t>Total cost of medicines offset (published)</w:t>
            </w:r>
          </w:p>
        </w:tc>
        <w:tc>
          <w:tcPr>
            <w:tcW w:w="970" w:type="dxa"/>
            <w:vAlign w:val="center"/>
          </w:tcPr>
          <w:p w:rsidR="00A77D40" w:rsidRPr="004A4EFC" w:rsidRDefault="004A4EFC" w:rsidP="00A77D40">
            <w:pPr>
              <w:jc w:val="center"/>
              <w:rPr>
                <w:rFonts w:ascii="Arial Narrow" w:hAnsi="Arial Narrow" w:cstheme="minorBidi"/>
                <w:b/>
                <w:sz w:val="20"/>
                <w:szCs w:val="20"/>
                <w:highlight w:val="black"/>
              </w:rPr>
            </w:pPr>
            <w:r>
              <w:rPr>
                <w:rFonts w:ascii="Arial Narrow" w:hAnsi="Arial Narrow" w:cstheme="minorBidi"/>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b/>
                <w:sz w:val="20"/>
                <w:szCs w:val="20"/>
                <w:highlight w:val="black"/>
              </w:rPr>
            </w:pPr>
            <w:r>
              <w:rPr>
                <w:rFonts w:ascii="Arial Narrow" w:hAnsi="Arial Narrow" w:cstheme="minorBidi"/>
                <w:b/>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cstheme="minorBidi"/>
                <w:b/>
                <w:sz w:val="20"/>
                <w:szCs w:val="20"/>
                <w:highlight w:val="black"/>
              </w:rPr>
            </w:pPr>
            <w:r>
              <w:rPr>
                <w:rFonts w:ascii="Arial Narrow" w:hAnsi="Arial Narrow" w:cstheme="minorBidi"/>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b/>
                <w:sz w:val="20"/>
                <w:szCs w:val="20"/>
                <w:highlight w:val="black"/>
              </w:rPr>
            </w:pPr>
            <w:r>
              <w:rPr>
                <w:rFonts w:ascii="Arial Narrow" w:hAnsi="Arial Narrow" w:cstheme="minorBidi"/>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b/>
                <w:sz w:val="20"/>
                <w:szCs w:val="20"/>
                <w:highlight w:val="black"/>
              </w:rPr>
            </w:pPr>
            <w:r>
              <w:rPr>
                <w:rFonts w:ascii="Arial Narrow" w:hAnsi="Arial Narrow" w:cstheme="minorBidi"/>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b/>
                <w:sz w:val="20"/>
                <w:szCs w:val="20"/>
                <w:highlight w:val="black"/>
              </w:rPr>
            </w:pPr>
            <w:r>
              <w:rPr>
                <w:rFonts w:ascii="Arial Narrow" w:hAnsi="Arial Narrow" w:cstheme="minorBidi"/>
                <w:b/>
                <w:noProof/>
                <w:color w:val="000000"/>
                <w:sz w:val="20"/>
                <w:szCs w:val="20"/>
                <w:highlight w:val="black"/>
              </w:rPr>
              <w:t>'''''''''''''''''''''''''</w:t>
            </w:r>
          </w:p>
        </w:tc>
      </w:tr>
      <w:tr w:rsidR="00A77D40" w:rsidRPr="00E22A64" w:rsidTr="00A77D40">
        <w:tc>
          <w:tcPr>
            <w:tcW w:w="9017" w:type="dxa"/>
            <w:gridSpan w:val="7"/>
            <w:vAlign w:val="center"/>
          </w:tcPr>
          <w:p w:rsidR="00A77D40" w:rsidRPr="00E22A64" w:rsidRDefault="00A77D40" w:rsidP="00A77D40">
            <w:pPr>
              <w:jc w:val="left"/>
              <w:rPr>
                <w:rFonts w:ascii="Arial Narrow" w:hAnsi="Arial Narrow"/>
                <w:b/>
                <w:sz w:val="20"/>
                <w:szCs w:val="20"/>
              </w:rPr>
            </w:pPr>
            <w:r w:rsidRPr="00E22A64">
              <w:rPr>
                <w:rFonts w:ascii="Arial Narrow" w:hAnsi="Arial Narrow"/>
                <w:b/>
                <w:sz w:val="20"/>
                <w:szCs w:val="20"/>
              </w:rPr>
              <w:t>Estimated financial impact for PBS/RPBS</w:t>
            </w:r>
          </w:p>
        </w:tc>
      </w:tr>
      <w:tr w:rsidR="00A77D40" w:rsidRPr="00E22A64" w:rsidTr="00A77D40">
        <w:tc>
          <w:tcPr>
            <w:tcW w:w="2845" w:type="dxa"/>
            <w:vAlign w:val="center"/>
          </w:tcPr>
          <w:p w:rsidR="00A77D40" w:rsidRPr="00E22A64" w:rsidRDefault="00A77D40" w:rsidP="00A77D40">
            <w:pPr>
              <w:jc w:val="left"/>
              <w:rPr>
                <w:rFonts w:ascii="Arial Narrow" w:hAnsi="Arial Narrow"/>
                <w:b/>
                <w:sz w:val="20"/>
                <w:szCs w:val="20"/>
              </w:rPr>
            </w:pPr>
            <w:r w:rsidRPr="00E22A64">
              <w:rPr>
                <w:rFonts w:ascii="Arial Narrow" w:hAnsi="Arial Narrow"/>
                <w:b/>
                <w:sz w:val="20"/>
                <w:szCs w:val="20"/>
              </w:rPr>
              <w:t>Net impact on PBS/RPBS (effective ruxolitinib, published interferon)</w:t>
            </w:r>
          </w:p>
        </w:tc>
        <w:tc>
          <w:tcPr>
            <w:tcW w:w="970"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A77D40" w:rsidRPr="00E22A64" w:rsidTr="00A77D40">
        <w:tc>
          <w:tcPr>
            <w:tcW w:w="9017" w:type="dxa"/>
            <w:gridSpan w:val="7"/>
            <w:vAlign w:val="center"/>
          </w:tcPr>
          <w:p w:rsidR="00A77D40" w:rsidRPr="00E22A64" w:rsidRDefault="00A77D40" w:rsidP="00A77D40">
            <w:pPr>
              <w:jc w:val="left"/>
              <w:rPr>
                <w:rFonts w:ascii="Arial Narrow" w:hAnsi="Arial Narrow"/>
                <w:b/>
                <w:sz w:val="20"/>
                <w:szCs w:val="20"/>
              </w:rPr>
            </w:pPr>
            <w:r w:rsidRPr="00E22A64">
              <w:rPr>
                <w:rFonts w:ascii="Arial Narrow" w:hAnsi="Arial Narrow"/>
                <w:b/>
                <w:sz w:val="20"/>
                <w:szCs w:val="20"/>
              </w:rPr>
              <w:t>Estimated financial impact for the health budget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rPr>
            </w:pPr>
            <w:r w:rsidRPr="00E22A64">
              <w:rPr>
                <w:rFonts w:ascii="Arial Narrow" w:hAnsi="Arial Narrow"/>
                <w:sz w:val="20"/>
                <w:szCs w:val="20"/>
              </w:rPr>
              <w:t>Total ruxolitinib (PV) scripts</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rPr>
            </w:pPr>
            <w:r w:rsidRPr="00E22A64">
              <w:rPr>
                <w:rFonts w:ascii="Arial Narrow" w:hAnsi="Arial Narrow"/>
                <w:sz w:val="20"/>
                <w:szCs w:val="20"/>
              </w:rPr>
              <w:t>Total BAT scripts</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rPr>
            </w:pPr>
            <w:r w:rsidRPr="00E22A64">
              <w:rPr>
                <w:rFonts w:ascii="Arial Narrow" w:hAnsi="Arial Narrow"/>
                <w:sz w:val="20"/>
                <w:szCs w:val="20"/>
              </w:rPr>
              <w:t>Net change</w:t>
            </w:r>
          </w:p>
        </w:tc>
        <w:tc>
          <w:tcPr>
            <w:tcW w:w="970"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 xml:space="preserve">Change in follow up, FBC, LFT and iron study </w:t>
            </w:r>
            <w:r w:rsidRPr="00E22A64">
              <w:rPr>
                <w:rFonts w:ascii="Arial Narrow" w:hAnsi="Arial Narrow"/>
                <w:sz w:val="20"/>
                <w:szCs w:val="20"/>
                <w:vertAlign w:val="superscript"/>
              </w:rPr>
              <w:t xml:space="preserve"> 12</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vertAlign w:val="superscript"/>
              </w:rPr>
            </w:pPr>
            <w:r w:rsidRPr="00E22A64">
              <w:rPr>
                <w:rFonts w:ascii="Arial Narrow" w:hAnsi="Arial Narrow"/>
                <w:sz w:val="20"/>
                <w:szCs w:val="20"/>
              </w:rPr>
              <w:t xml:space="preserve">Change in phlebotomy </w:t>
            </w:r>
            <w:r w:rsidRPr="00E22A64">
              <w:rPr>
                <w:rFonts w:ascii="Arial Narrow" w:hAnsi="Arial Narrow"/>
                <w:sz w:val="20"/>
                <w:szCs w:val="20"/>
                <w:vertAlign w:val="superscript"/>
              </w:rPr>
              <w:t>13</w:t>
            </w:r>
          </w:p>
        </w:tc>
        <w:tc>
          <w:tcPr>
            <w:tcW w:w="970"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sz w:val="20"/>
                <w:szCs w:val="20"/>
                <w:highlight w:val="black"/>
              </w:rPr>
            </w:pPr>
            <w:r>
              <w:rPr>
                <w:rFonts w:ascii="Arial Narrow" w:hAnsi="Arial Narrow" w:cstheme="minorBidi"/>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rPr>
            </w:pPr>
            <w:r w:rsidRPr="00E22A64">
              <w:rPr>
                <w:rFonts w:ascii="Arial Narrow" w:hAnsi="Arial Narrow"/>
                <w:sz w:val="20"/>
                <w:szCs w:val="20"/>
              </w:rPr>
              <w:t>Change in follow up, FBC, LFT and iron study costs</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rPr>
            </w:pPr>
            <w:r w:rsidRPr="00E22A64">
              <w:rPr>
                <w:rFonts w:ascii="Arial Narrow" w:hAnsi="Arial Narrow"/>
                <w:sz w:val="20"/>
                <w:szCs w:val="20"/>
              </w:rPr>
              <w:t>Change in phlebotomy costs</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b/>
                <w:sz w:val="20"/>
                <w:szCs w:val="20"/>
              </w:rPr>
            </w:pPr>
            <w:r w:rsidRPr="00E22A64">
              <w:rPr>
                <w:rFonts w:ascii="Arial Narrow" w:hAnsi="Arial Narrow"/>
                <w:b/>
                <w:sz w:val="20"/>
                <w:szCs w:val="20"/>
              </w:rPr>
              <w:t>Total change MBS costs</w:t>
            </w:r>
          </w:p>
        </w:tc>
        <w:tc>
          <w:tcPr>
            <w:tcW w:w="970"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sz w:val="20"/>
                <w:szCs w:val="20"/>
              </w:rPr>
            </w:pPr>
            <w:r w:rsidRPr="00E22A64">
              <w:rPr>
                <w:rFonts w:ascii="Arial Narrow" w:hAnsi="Arial Narrow"/>
                <w:sz w:val="20"/>
                <w:szCs w:val="20"/>
              </w:rPr>
              <w:t>Total change on PBS/RPBS costs(effective ruxolitinib, published interferon)</w:t>
            </w:r>
          </w:p>
        </w:tc>
        <w:tc>
          <w:tcPr>
            <w:tcW w:w="970"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77D40" w:rsidRPr="00E22A64" w:rsidTr="00A77D40">
        <w:tc>
          <w:tcPr>
            <w:tcW w:w="2845" w:type="dxa"/>
            <w:vAlign w:val="center"/>
          </w:tcPr>
          <w:p w:rsidR="00A77D40" w:rsidRPr="00E22A64" w:rsidRDefault="00A77D40" w:rsidP="00A77D40">
            <w:pPr>
              <w:jc w:val="left"/>
              <w:rPr>
                <w:rFonts w:ascii="Arial Narrow" w:hAnsi="Arial Narrow"/>
                <w:b/>
                <w:sz w:val="20"/>
                <w:szCs w:val="20"/>
              </w:rPr>
            </w:pPr>
            <w:r w:rsidRPr="00E22A64">
              <w:rPr>
                <w:rFonts w:ascii="Arial Narrow" w:hAnsi="Arial Narrow"/>
                <w:b/>
                <w:sz w:val="20"/>
                <w:szCs w:val="20"/>
              </w:rPr>
              <w:t>Net health budget costs</w:t>
            </w:r>
          </w:p>
        </w:tc>
        <w:tc>
          <w:tcPr>
            <w:tcW w:w="970" w:type="dxa"/>
            <w:vAlign w:val="center"/>
          </w:tcPr>
          <w:p w:rsidR="00A77D40" w:rsidRPr="004A4EFC" w:rsidRDefault="004A4EFC" w:rsidP="00A77D40">
            <w:pPr>
              <w:jc w:val="center"/>
              <w:rPr>
                <w:rFonts w:ascii="Arial Narrow" w:hAnsi="Arial Narrow" w:cstheme="minorBidi"/>
                <w:b/>
                <w:sz w:val="20"/>
                <w:szCs w:val="20"/>
                <w:highlight w:val="black"/>
              </w:rPr>
            </w:pPr>
            <w:r>
              <w:rPr>
                <w:rFonts w:ascii="Arial Narrow" w:hAnsi="Arial Narrow" w:cstheme="minorBidi"/>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b/>
                <w:sz w:val="20"/>
                <w:szCs w:val="20"/>
                <w:highlight w:val="black"/>
              </w:rPr>
            </w:pPr>
            <w:r>
              <w:rPr>
                <w:rFonts w:ascii="Arial Narrow" w:hAnsi="Arial Narrow" w:cstheme="minorBidi"/>
                <w:b/>
                <w:noProof/>
                <w:color w:val="000000"/>
                <w:sz w:val="20"/>
                <w:szCs w:val="20"/>
                <w:highlight w:val="black"/>
              </w:rPr>
              <w:t>''''''''''''''''''''</w:t>
            </w:r>
          </w:p>
        </w:tc>
        <w:tc>
          <w:tcPr>
            <w:tcW w:w="1074" w:type="dxa"/>
            <w:vAlign w:val="center"/>
          </w:tcPr>
          <w:p w:rsidR="00A77D40" w:rsidRPr="004A4EFC" w:rsidRDefault="004A4EFC" w:rsidP="00A77D40">
            <w:pPr>
              <w:jc w:val="center"/>
              <w:rPr>
                <w:rFonts w:ascii="Arial Narrow" w:hAnsi="Arial Narrow" w:cstheme="minorBidi"/>
                <w:b/>
                <w:sz w:val="20"/>
                <w:szCs w:val="20"/>
                <w:highlight w:val="black"/>
              </w:rPr>
            </w:pPr>
            <w:r>
              <w:rPr>
                <w:rFonts w:ascii="Arial Narrow" w:hAnsi="Arial Narrow" w:cstheme="minorBidi"/>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b/>
                <w:sz w:val="20"/>
                <w:szCs w:val="20"/>
                <w:highlight w:val="black"/>
              </w:rPr>
            </w:pPr>
            <w:r>
              <w:rPr>
                <w:rFonts w:ascii="Arial Narrow" w:hAnsi="Arial Narrow" w:cstheme="minorBidi"/>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b/>
                <w:sz w:val="20"/>
                <w:szCs w:val="20"/>
                <w:highlight w:val="black"/>
              </w:rPr>
            </w:pPr>
            <w:r>
              <w:rPr>
                <w:rFonts w:ascii="Arial Narrow" w:hAnsi="Arial Narrow" w:cstheme="minorBidi"/>
                <w:b/>
                <w:noProof/>
                <w:color w:val="000000"/>
                <w:sz w:val="20"/>
                <w:szCs w:val="20"/>
                <w:highlight w:val="black"/>
              </w:rPr>
              <w:t>''''''''''''''''''''</w:t>
            </w:r>
          </w:p>
        </w:tc>
        <w:tc>
          <w:tcPr>
            <w:tcW w:w="1032" w:type="dxa"/>
            <w:vAlign w:val="center"/>
          </w:tcPr>
          <w:p w:rsidR="00A77D40" w:rsidRPr="004A4EFC" w:rsidRDefault="004A4EFC" w:rsidP="00A77D40">
            <w:pPr>
              <w:jc w:val="center"/>
              <w:rPr>
                <w:rFonts w:ascii="Arial Narrow" w:hAnsi="Arial Narrow" w:cstheme="minorBidi"/>
                <w:b/>
                <w:sz w:val="20"/>
                <w:szCs w:val="20"/>
                <w:highlight w:val="black"/>
              </w:rPr>
            </w:pPr>
            <w:r>
              <w:rPr>
                <w:rFonts w:ascii="Arial Narrow" w:hAnsi="Arial Narrow"/>
                <w:b/>
                <w:noProof/>
                <w:color w:val="000000"/>
                <w:sz w:val="20"/>
                <w:szCs w:val="20"/>
                <w:highlight w:val="black"/>
              </w:rPr>
              <w:t>''''''''''''''''''''</w:t>
            </w:r>
          </w:p>
        </w:tc>
      </w:tr>
    </w:tbl>
    <w:p w:rsidR="00A77D40" w:rsidRPr="00DB3519" w:rsidRDefault="00A77D40" w:rsidP="00A77D40">
      <w:pPr>
        <w:ind w:left="284" w:hanging="284"/>
        <w:rPr>
          <w:rFonts w:ascii="Arial Narrow" w:hAnsi="Arial Narrow"/>
          <w:sz w:val="18"/>
          <w:szCs w:val="18"/>
        </w:rPr>
      </w:pPr>
      <w:r w:rsidRPr="00DB3519">
        <w:rPr>
          <w:rFonts w:ascii="Arial Narrow" w:hAnsi="Arial Narrow"/>
          <w:sz w:val="18"/>
          <w:szCs w:val="18"/>
          <w:vertAlign w:val="superscript"/>
        </w:rPr>
        <w:t>1</w:t>
      </w:r>
      <w:r w:rsidRPr="00DB3519">
        <w:rPr>
          <w:rFonts w:ascii="Arial Narrow" w:hAnsi="Arial Narrow"/>
          <w:sz w:val="18"/>
          <w:szCs w:val="18"/>
        </w:rPr>
        <w:t xml:space="preserve"> </w:t>
      </w:r>
      <w:r>
        <w:rPr>
          <w:rFonts w:ascii="Arial Narrow" w:hAnsi="Arial Narrow"/>
          <w:sz w:val="18"/>
          <w:szCs w:val="18"/>
        </w:rPr>
        <w:tab/>
      </w:r>
      <w:r w:rsidRPr="00DB3519">
        <w:rPr>
          <w:rFonts w:ascii="Arial Narrow" w:hAnsi="Arial Narrow"/>
          <w:sz w:val="18"/>
          <w:szCs w:val="18"/>
        </w:rPr>
        <w:t xml:space="preserve">Estimated current year population multiplied by prevalence of PV (30/100,000), proportion treated with HC (77.3%) and proportion intolerant/resistant to HC (24.0%).  </w:t>
      </w:r>
    </w:p>
    <w:p w:rsidR="00A77D40" w:rsidRPr="00DB3519" w:rsidRDefault="00A77D40" w:rsidP="00A77D40">
      <w:pPr>
        <w:ind w:left="284" w:hanging="284"/>
        <w:rPr>
          <w:rFonts w:ascii="Arial Narrow" w:hAnsi="Arial Narrow"/>
          <w:sz w:val="18"/>
          <w:szCs w:val="18"/>
        </w:rPr>
      </w:pPr>
      <w:r w:rsidRPr="00DB3519">
        <w:rPr>
          <w:rFonts w:ascii="Arial Narrow" w:hAnsi="Arial Narrow"/>
          <w:sz w:val="18"/>
          <w:szCs w:val="18"/>
          <w:vertAlign w:val="superscript"/>
        </w:rPr>
        <w:t>2</w:t>
      </w:r>
      <w:r w:rsidRPr="00DB3519">
        <w:rPr>
          <w:rFonts w:ascii="Arial Narrow" w:hAnsi="Arial Narrow"/>
          <w:sz w:val="18"/>
          <w:szCs w:val="18"/>
        </w:rPr>
        <w:t xml:space="preserve"> </w:t>
      </w:r>
      <w:r>
        <w:rPr>
          <w:rFonts w:ascii="Arial Narrow" w:hAnsi="Arial Narrow"/>
          <w:sz w:val="18"/>
          <w:szCs w:val="18"/>
        </w:rPr>
        <w:tab/>
      </w:r>
      <w:r w:rsidRPr="00DB3519">
        <w:rPr>
          <w:rFonts w:ascii="Arial Narrow" w:hAnsi="Arial Narrow"/>
          <w:sz w:val="18"/>
          <w:szCs w:val="18"/>
        </w:rPr>
        <w:t xml:space="preserve">Estimated current year population multiplied by incidence of PV (1.36/100,000), proportion treated with HC (77.3%) and proportion intolerant/resistant to HC (24.0%).  </w:t>
      </w:r>
    </w:p>
    <w:p w:rsidR="00A77D40" w:rsidRPr="00DB3519" w:rsidRDefault="00A77D40" w:rsidP="00A77D40">
      <w:pPr>
        <w:ind w:left="284" w:hanging="284"/>
        <w:rPr>
          <w:rFonts w:ascii="Arial Narrow" w:hAnsi="Arial Narrow"/>
          <w:sz w:val="18"/>
          <w:szCs w:val="18"/>
        </w:rPr>
      </w:pPr>
      <w:r w:rsidRPr="00DB3519">
        <w:rPr>
          <w:rFonts w:ascii="Arial Narrow" w:hAnsi="Arial Narrow"/>
          <w:sz w:val="18"/>
          <w:szCs w:val="18"/>
          <w:vertAlign w:val="superscript"/>
        </w:rPr>
        <w:t>3</w:t>
      </w:r>
      <w:r>
        <w:rPr>
          <w:rFonts w:ascii="Arial Narrow" w:hAnsi="Arial Narrow"/>
          <w:sz w:val="18"/>
          <w:szCs w:val="18"/>
          <w:vertAlign w:val="superscript"/>
        </w:rPr>
        <w:tab/>
      </w:r>
      <w:r w:rsidRPr="00DB3519">
        <w:rPr>
          <w:rFonts w:ascii="Arial Narrow" w:hAnsi="Arial Narrow"/>
          <w:sz w:val="18"/>
          <w:szCs w:val="18"/>
          <w:vertAlign w:val="superscript"/>
        </w:rPr>
        <w:t xml:space="preserve"> </w:t>
      </w:r>
      <w:r w:rsidRPr="00DB3519">
        <w:rPr>
          <w:rFonts w:ascii="Arial Narrow" w:hAnsi="Arial Narrow"/>
          <w:sz w:val="18"/>
          <w:szCs w:val="18"/>
        </w:rPr>
        <w:t xml:space="preserve">Estimated prevalent patient multiplied by additional prevalent patients treated each year, starting at an additional </w:t>
      </w:r>
      <w:r w:rsidR="004A4EFC">
        <w:rPr>
          <w:rFonts w:ascii="Arial Narrow" w:hAnsi="Arial Narrow"/>
          <w:noProof/>
          <w:color w:val="000000"/>
          <w:sz w:val="18"/>
          <w:szCs w:val="18"/>
          <w:highlight w:val="black"/>
        </w:rPr>
        <w:t>'''''''</w:t>
      </w:r>
      <w:r w:rsidR="0032679E" w:rsidRPr="0032679E">
        <w:rPr>
          <w:rFonts w:ascii="Arial Narrow" w:hAnsi="Arial Narrow"/>
          <w:sz w:val="18"/>
          <w:szCs w:val="18"/>
        </w:rPr>
        <w:t xml:space="preserve">% </w:t>
      </w:r>
      <w:r w:rsidRPr="0032679E">
        <w:rPr>
          <w:rFonts w:ascii="Arial Narrow" w:hAnsi="Arial Narrow"/>
          <w:sz w:val="18"/>
          <w:szCs w:val="18"/>
        </w:rPr>
        <w:t>in year</w:t>
      </w:r>
      <w:r w:rsidRPr="00DB3519">
        <w:rPr>
          <w:rFonts w:ascii="Arial Narrow" w:hAnsi="Arial Narrow"/>
          <w:sz w:val="18"/>
          <w:szCs w:val="18"/>
        </w:rPr>
        <w:t xml:space="preserve"> 1 decreasing to </w:t>
      </w:r>
      <w:r w:rsidR="004A4EFC">
        <w:rPr>
          <w:rFonts w:ascii="Arial Narrow" w:hAnsi="Arial Narrow"/>
          <w:noProof/>
          <w:color w:val="000000"/>
          <w:sz w:val="18"/>
          <w:szCs w:val="18"/>
          <w:highlight w:val="black"/>
        </w:rPr>
        <w:t>'''''''</w:t>
      </w:r>
      <w:r w:rsidRPr="00DB3519">
        <w:rPr>
          <w:rFonts w:ascii="Arial Narrow" w:hAnsi="Arial Narrow"/>
          <w:sz w:val="18"/>
          <w:szCs w:val="18"/>
        </w:rPr>
        <w:t xml:space="preserve">% by year 6. </w:t>
      </w:r>
    </w:p>
    <w:p w:rsidR="00A77D40" w:rsidRPr="00DB3519" w:rsidRDefault="00A77D40" w:rsidP="00A77D40">
      <w:pPr>
        <w:ind w:left="284" w:hanging="284"/>
        <w:rPr>
          <w:rFonts w:ascii="Arial Narrow" w:hAnsi="Arial Narrow"/>
          <w:sz w:val="18"/>
          <w:szCs w:val="18"/>
        </w:rPr>
      </w:pPr>
      <w:r w:rsidRPr="00DB3519">
        <w:rPr>
          <w:rFonts w:ascii="Arial Narrow" w:hAnsi="Arial Narrow"/>
          <w:sz w:val="18"/>
          <w:szCs w:val="18"/>
          <w:vertAlign w:val="superscript"/>
        </w:rPr>
        <w:t>4</w:t>
      </w:r>
      <w:r w:rsidRPr="00DB3519">
        <w:rPr>
          <w:rFonts w:ascii="Arial Narrow" w:hAnsi="Arial Narrow"/>
          <w:sz w:val="18"/>
          <w:szCs w:val="18"/>
        </w:rPr>
        <w:t xml:space="preserve"> </w:t>
      </w:r>
      <w:r>
        <w:rPr>
          <w:rFonts w:ascii="Arial Narrow" w:hAnsi="Arial Narrow"/>
          <w:sz w:val="18"/>
          <w:szCs w:val="18"/>
        </w:rPr>
        <w:tab/>
      </w:r>
      <w:r w:rsidRPr="00DB3519">
        <w:rPr>
          <w:rFonts w:ascii="Arial Narrow" w:hAnsi="Arial Narrow"/>
          <w:sz w:val="18"/>
          <w:szCs w:val="18"/>
        </w:rPr>
        <w:t>Estimated incident patients multiplied by uptake rate for incident patients (85%)</w:t>
      </w:r>
    </w:p>
    <w:p w:rsidR="00A77D40" w:rsidRPr="00DB3519" w:rsidRDefault="00A77D40" w:rsidP="00A77D40">
      <w:pPr>
        <w:ind w:left="284" w:hanging="284"/>
        <w:rPr>
          <w:rFonts w:ascii="Arial Narrow" w:hAnsi="Arial Narrow"/>
          <w:sz w:val="18"/>
          <w:szCs w:val="18"/>
        </w:rPr>
      </w:pPr>
      <w:r w:rsidRPr="00DB3519">
        <w:rPr>
          <w:rFonts w:ascii="Arial Narrow" w:hAnsi="Arial Narrow"/>
          <w:sz w:val="18"/>
          <w:szCs w:val="18"/>
          <w:vertAlign w:val="superscript"/>
        </w:rPr>
        <w:t>5</w:t>
      </w:r>
      <w:r w:rsidRPr="00DB3519">
        <w:rPr>
          <w:rFonts w:ascii="Arial Narrow" w:hAnsi="Arial Narrow"/>
          <w:sz w:val="18"/>
          <w:szCs w:val="18"/>
        </w:rPr>
        <w:t xml:space="preserve"> </w:t>
      </w:r>
      <w:r>
        <w:rPr>
          <w:rFonts w:ascii="Arial Narrow" w:hAnsi="Arial Narrow"/>
          <w:sz w:val="18"/>
          <w:szCs w:val="18"/>
        </w:rPr>
        <w:tab/>
      </w:r>
      <w:r w:rsidRPr="00DB3519">
        <w:rPr>
          <w:rFonts w:ascii="Arial Narrow" w:hAnsi="Arial Narrow"/>
          <w:sz w:val="18"/>
          <w:szCs w:val="18"/>
        </w:rPr>
        <w:t>Assumption</w:t>
      </w:r>
    </w:p>
    <w:p w:rsidR="00A77D40" w:rsidRPr="00DB3519" w:rsidRDefault="00A77D40" w:rsidP="00A77D40">
      <w:pPr>
        <w:ind w:left="284" w:hanging="284"/>
        <w:rPr>
          <w:rFonts w:ascii="Arial Narrow" w:hAnsi="Arial Narrow"/>
          <w:sz w:val="18"/>
          <w:szCs w:val="18"/>
        </w:rPr>
      </w:pPr>
      <w:r w:rsidRPr="00DB3519">
        <w:rPr>
          <w:rFonts w:ascii="Arial Narrow" w:hAnsi="Arial Narrow"/>
          <w:sz w:val="18"/>
          <w:szCs w:val="18"/>
          <w:vertAlign w:val="superscript"/>
        </w:rPr>
        <w:t>6</w:t>
      </w:r>
      <w:r w:rsidRPr="00DB3519">
        <w:rPr>
          <w:rFonts w:ascii="Arial Narrow" w:hAnsi="Arial Narrow"/>
          <w:sz w:val="18"/>
          <w:szCs w:val="18"/>
        </w:rPr>
        <w:t xml:space="preserve"> </w:t>
      </w:r>
      <w:r>
        <w:rPr>
          <w:rFonts w:ascii="Arial Narrow" w:hAnsi="Arial Narrow"/>
          <w:sz w:val="18"/>
          <w:szCs w:val="18"/>
        </w:rPr>
        <w:tab/>
      </w:r>
      <w:r w:rsidRPr="00DB3519">
        <w:rPr>
          <w:rFonts w:ascii="Arial Narrow" w:hAnsi="Arial Narrow"/>
          <w:sz w:val="18"/>
          <w:szCs w:val="18"/>
        </w:rPr>
        <w:t>Estimated total commencing patients in each year multiplied by expected number of packs</w:t>
      </w:r>
      <w:r>
        <w:rPr>
          <w:rFonts w:ascii="Arial Narrow" w:hAnsi="Arial Narrow"/>
          <w:sz w:val="18"/>
          <w:szCs w:val="18"/>
        </w:rPr>
        <w:t xml:space="preserve"> of ruxolitinib (PV) derived from the economic model </w:t>
      </w:r>
      <w:r w:rsidRPr="00DB3519">
        <w:rPr>
          <w:rFonts w:ascii="Arial Narrow" w:hAnsi="Arial Narrow"/>
          <w:sz w:val="18"/>
          <w:szCs w:val="18"/>
        </w:rPr>
        <w:t>in year 1, then added to expected number of packs used by patients who commenced in previous years, then multiplied by proportion of ruxolitinib (PV) PBS scripts (97.5%) or RPBS scripts (2.5%)</w:t>
      </w:r>
    </w:p>
    <w:p w:rsidR="00A77D40" w:rsidRPr="00DB3519" w:rsidRDefault="00A77D40" w:rsidP="00A77D40">
      <w:pPr>
        <w:ind w:left="284" w:hanging="284"/>
        <w:rPr>
          <w:rFonts w:ascii="Arial Narrow" w:hAnsi="Arial Narrow"/>
          <w:sz w:val="18"/>
          <w:szCs w:val="18"/>
        </w:rPr>
      </w:pPr>
      <w:r w:rsidRPr="00DB3519">
        <w:rPr>
          <w:rFonts w:ascii="Arial Narrow" w:hAnsi="Arial Narrow"/>
          <w:sz w:val="18"/>
          <w:szCs w:val="18"/>
          <w:vertAlign w:val="superscript"/>
        </w:rPr>
        <w:t>7</w:t>
      </w:r>
      <w:r w:rsidRPr="00DB3519">
        <w:rPr>
          <w:rFonts w:ascii="Arial Narrow" w:hAnsi="Arial Narrow"/>
          <w:sz w:val="18"/>
          <w:szCs w:val="18"/>
        </w:rPr>
        <w:t xml:space="preserve"> </w:t>
      </w:r>
      <w:r>
        <w:rPr>
          <w:rFonts w:ascii="Arial Narrow" w:hAnsi="Arial Narrow"/>
          <w:sz w:val="18"/>
          <w:szCs w:val="18"/>
        </w:rPr>
        <w:tab/>
      </w:r>
      <w:r w:rsidRPr="00DB3519">
        <w:rPr>
          <w:rFonts w:ascii="Arial Narrow" w:hAnsi="Arial Narrow"/>
          <w:sz w:val="18"/>
          <w:szCs w:val="18"/>
        </w:rPr>
        <w:t>Assume each ruxolitinib (PV) script costs $</w:t>
      </w:r>
      <w:r w:rsidR="004A4EFC">
        <w:rPr>
          <w:rFonts w:ascii="Arial Narrow" w:hAnsi="Arial Narrow"/>
          <w:noProof/>
          <w:color w:val="000000"/>
          <w:sz w:val="18"/>
          <w:szCs w:val="18"/>
          <w:highlight w:val="black"/>
        </w:rPr>
        <w:t>''''''''''''''</w:t>
      </w:r>
      <w:r w:rsidRPr="00DB3519">
        <w:rPr>
          <w:rFonts w:ascii="Arial Narrow" w:hAnsi="Arial Narrow"/>
          <w:sz w:val="18"/>
          <w:szCs w:val="18"/>
        </w:rPr>
        <w:t xml:space="preserve">, minus average </w:t>
      </w:r>
      <w:r>
        <w:rPr>
          <w:rFonts w:ascii="Arial Narrow" w:hAnsi="Arial Narrow"/>
          <w:sz w:val="18"/>
          <w:szCs w:val="18"/>
        </w:rPr>
        <w:t xml:space="preserve">PBS </w:t>
      </w:r>
      <w:proofErr w:type="spellStart"/>
      <w:r w:rsidRPr="00DB3519">
        <w:rPr>
          <w:rFonts w:ascii="Arial Narrow" w:hAnsi="Arial Narrow"/>
          <w:sz w:val="18"/>
          <w:szCs w:val="18"/>
        </w:rPr>
        <w:t>copayment</w:t>
      </w:r>
      <w:proofErr w:type="spellEnd"/>
      <w:r w:rsidRPr="00DB3519">
        <w:rPr>
          <w:rFonts w:ascii="Arial Narrow" w:hAnsi="Arial Narrow"/>
          <w:sz w:val="18"/>
          <w:szCs w:val="18"/>
        </w:rPr>
        <w:t xml:space="preserve"> of $15.51</w:t>
      </w:r>
      <w:r>
        <w:rPr>
          <w:rFonts w:ascii="Arial Narrow" w:hAnsi="Arial Narrow"/>
          <w:sz w:val="18"/>
          <w:szCs w:val="18"/>
        </w:rPr>
        <w:t xml:space="preserve"> (97.5%) and RPBS </w:t>
      </w:r>
      <w:proofErr w:type="spellStart"/>
      <w:r>
        <w:rPr>
          <w:rFonts w:ascii="Arial Narrow" w:hAnsi="Arial Narrow"/>
          <w:sz w:val="18"/>
          <w:szCs w:val="18"/>
        </w:rPr>
        <w:t>copayment</w:t>
      </w:r>
      <w:proofErr w:type="spellEnd"/>
      <w:r>
        <w:rPr>
          <w:rFonts w:ascii="Arial Narrow" w:hAnsi="Arial Narrow"/>
          <w:sz w:val="18"/>
          <w:szCs w:val="18"/>
        </w:rPr>
        <w:t xml:space="preserve"> of $5.34 (2.5%)</w:t>
      </w:r>
    </w:p>
    <w:p w:rsidR="00A77D40" w:rsidRDefault="00A77D40" w:rsidP="00A77D40">
      <w:pPr>
        <w:ind w:left="284" w:hanging="284"/>
        <w:rPr>
          <w:rFonts w:ascii="Arial Narrow" w:hAnsi="Arial Narrow"/>
          <w:sz w:val="18"/>
          <w:szCs w:val="18"/>
        </w:rPr>
      </w:pPr>
      <w:r w:rsidRPr="00DB3519">
        <w:rPr>
          <w:rFonts w:ascii="Arial Narrow" w:hAnsi="Arial Narrow"/>
          <w:sz w:val="18"/>
          <w:szCs w:val="18"/>
          <w:vertAlign w:val="superscript"/>
        </w:rPr>
        <w:t xml:space="preserve">8 </w:t>
      </w:r>
      <w:r>
        <w:rPr>
          <w:rFonts w:ascii="Arial Narrow" w:hAnsi="Arial Narrow"/>
          <w:sz w:val="18"/>
          <w:szCs w:val="18"/>
          <w:vertAlign w:val="superscript"/>
        </w:rPr>
        <w:tab/>
      </w:r>
      <w:r w:rsidRPr="00DB3519">
        <w:rPr>
          <w:rFonts w:ascii="Arial Narrow" w:hAnsi="Arial Narrow"/>
          <w:sz w:val="18"/>
          <w:szCs w:val="18"/>
        </w:rPr>
        <w:t>Estimated total commencing patients in each year multiplied by expected number of packs of HC</w:t>
      </w:r>
      <w:r>
        <w:rPr>
          <w:rFonts w:ascii="Arial Narrow" w:hAnsi="Arial Narrow"/>
          <w:sz w:val="18"/>
          <w:szCs w:val="18"/>
        </w:rPr>
        <w:t>, peginterferon or ruxolitinib (MF)</w:t>
      </w:r>
      <w:r w:rsidRPr="00DB3519">
        <w:rPr>
          <w:rFonts w:ascii="Arial Narrow" w:hAnsi="Arial Narrow"/>
          <w:sz w:val="18"/>
          <w:szCs w:val="18"/>
        </w:rPr>
        <w:t xml:space="preserve"> not used </w:t>
      </w:r>
      <w:r>
        <w:rPr>
          <w:rFonts w:ascii="Arial Narrow" w:hAnsi="Arial Narrow"/>
          <w:sz w:val="18"/>
          <w:szCs w:val="18"/>
        </w:rPr>
        <w:t xml:space="preserve">derived from the economic model </w:t>
      </w:r>
      <w:r w:rsidRPr="00DB3519">
        <w:rPr>
          <w:rFonts w:ascii="Arial Narrow" w:hAnsi="Arial Narrow"/>
          <w:sz w:val="18"/>
          <w:szCs w:val="18"/>
        </w:rPr>
        <w:t>in year 1, then added to expected number of HC</w:t>
      </w:r>
      <w:r>
        <w:rPr>
          <w:rFonts w:ascii="Arial Narrow" w:hAnsi="Arial Narrow"/>
          <w:sz w:val="18"/>
          <w:szCs w:val="18"/>
        </w:rPr>
        <w:t xml:space="preserve">, interferon or ruxolitinib (MF) </w:t>
      </w:r>
      <w:r w:rsidRPr="00DB3519">
        <w:rPr>
          <w:rFonts w:ascii="Arial Narrow" w:hAnsi="Arial Narrow"/>
          <w:sz w:val="18"/>
          <w:szCs w:val="18"/>
        </w:rPr>
        <w:t xml:space="preserve"> packs not used by patients who commenced in previous years</w:t>
      </w:r>
    </w:p>
    <w:p w:rsidR="00A77D40" w:rsidRDefault="00A77D40" w:rsidP="00A77D40">
      <w:pPr>
        <w:ind w:left="284" w:hanging="284"/>
        <w:rPr>
          <w:rFonts w:ascii="Arial Narrow" w:hAnsi="Arial Narrow"/>
          <w:sz w:val="18"/>
          <w:szCs w:val="18"/>
        </w:rPr>
      </w:pPr>
      <w:r>
        <w:rPr>
          <w:rFonts w:ascii="Arial Narrow" w:hAnsi="Arial Narrow"/>
          <w:sz w:val="18"/>
          <w:szCs w:val="18"/>
          <w:vertAlign w:val="superscript"/>
        </w:rPr>
        <w:t>9</w:t>
      </w:r>
      <w:r>
        <w:rPr>
          <w:rFonts w:ascii="Arial Narrow" w:hAnsi="Arial Narrow"/>
          <w:sz w:val="18"/>
          <w:szCs w:val="18"/>
        </w:rPr>
        <w:t xml:space="preserve"> </w:t>
      </w:r>
      <w:r>
        <w:rPr>
          <w:rFonts w:ascii="Arial Narrow" w:hAnsi="Arial Narrow"/>
          <w:sz w:val="18"/>
          <w:szCs w:val="18"/>
        </w:rPr>
        <w:tab/>
      </w:r>
      <w:r w:rsidRPr="00DB3519">
        <w:rPr>
          <w:rFonts w:ascii="Arial Narrow" w:hAnsi="Arial Narrow"/>
          <w:sz w:val="18"/>
          <w:szCs w:val="18"/>
        </w:rPr>
        <w:t xml:space="preserve">Assume each </w:t>
      </w:r>
      <w:r w:rsidR="000E46ED">
        <w:rPr>
          <w:rFonts w:ascii="Arial Narrow" w:hAnsi="Arial Narrow"/>
          <w:sz w:val="18"/>
          <w:szCs w:val="18"/>
        </w:rPr>
        <w:t xml:space="preserve">HC </w:t>
      </w:r>
      <w:r w:rsidR="000E46ED" w:rsidRPr="00DB3519">
        <w:rPr>
          <w:rFonts w:ascii="Arial Narrow" w:hAnsi="Arial Narrow"/>
          <w:sz w:val="18"/>
          <w:szCs w:val="18"/>
        </w:rPr>
        <w:t>script</w:t>
      </w:r>
      <w:r w:rsidRPr="00DB3519">
        <w:rPr>
          <w:rFonts w:ascii="Arial Narrow" w:hAnsi="Arial Narrow"/>
          <w:sz w:val="18"/>
          <w:szCs w:val="18"/>
        </w:rPr>
        <w:t xml:space="preserve"> costs $</w:t>
      </w:r>
      <w:r>
        <w:rPr>
          <w:rFonts w:ascii="Arial Narrow" w:hAnsi="Arial Narrow"/>
          <w:sz w:val="18"/>
          <w:szCs w:val="18"/>
        </w:rPr>
        <w:t>63.20</w:t>
      </w:r>
      <w:r w:rsidRPr="00DB3519">
        <w:rPr>
          <w:rFonts w:ascii="Arial Narrow" w:hAnsi="Arial Narrow"/>
          <w:sz w:val="18"/>
          <w:szCs w:val="18"/>
        </w:rPr>
        <w:t xml:space="preserve">, minus average </w:t>
      </w:r>
      <w:r>
        <w:rPr>
          <w:rFonts w:ascii="Arial Narrow" w:hAnsi="Arial Narrow"/>
          <w:sz w:val="18"/>
          <w:szCs w:val="18"/>
        </w:rPr>
        <w:t xml:space="preserve">PBS </w:t>
      </w:r>
      <w:proofErr w:type="spellStart"/>
      <w:r>
        <w:rPr>
          <w:rFonts w:ascii="Arial Narrow" w:hAnsi="Arial Narrow"/>
          <w:sz w:val="18"/>
          <w:szCs w:val="18"/>
        </w:rPr>
        <w:t>copayment</w:t>
      </w:r>
      <w:proofErr w:type="spellEnd"/>
      <w:r>
        <w:rPr>
          <w:rFonts w:ascii="Arial Narrow" w:hAnsi="Arial Narrow"/>
          <w:sz w:val="18"/>
          <w:szCs w:val="18"/>
        </w:rPr>
        <w:t xml:space="preserve"> of $16.45 (97.4%</w:t>
      </w:r>
      <w:r w:rsidR="000E46ED">
        <w:rPr>
          <w:rFonts w:ascii="Arial Narrow" w:hAnsi="Arial Narrow"/>
          <w:sz w:val="18"/>
          <w:szCs w:val="18"/>
        </w:rPr>
        <w:t>) and</w:t>
      </w:r>
      <w:r>
        <w:rPr>
          <w:rFonts w:ascii="Arial Narrow" w:hAnsi="Arial Narrow"/>
          <w:sz w:val="18"/>
          <w:szCs w:val="18"/>
        </w:rPr>
        <w:t xml:space="preserve"> RPBS </w:t>
      </w:r>
      <w:proofErr w:type="spellStart"/>
      <w:r>
        <w:rPr>
          <w:rFonts w:ascii="Arial Narrow" w:hAnsi="Arial Narrow"/>
          <w:sz w:val="18"/>
          <w:szCs w:val="18"/>
        </w:rPr>
        <w:t>copayment</w:t>
      </w:r>
      <w:proofErr w:type="spellEnd"/>
      <w:r>
        <w:rPr>
          <w:rFonts w:ascii="Arial Narrow" w:hAnsi="Arial Narrow"/>
          <w:sz w:val="18"/>
          <w:szCs w:val="18"/>
        </w:rPr>
        <w:t xml:space="preserve"> of $5.38 (2.6%)</w:t>
      </w:r>
    </w:p>
    <w:p w:rsidR="00A77D40" w:rsidRPr="00446C7B" w:rsidRDefault="00A77D40" w:rsidP="00A77D40">
      <w:pPr>
        <w:ind w:left="284" w:hanging="284"/>
        <w:rPr>
          <w:rFonts w:ascii="Arial Narrow" w:hAnsi="Arial Narrow"/>
          <w:sz w:val="18"/>
          <w:szCs w:val="18"/>
        </w:rPr>
      </w:pPr>
      <w:r>
        <w:rPr>
          <w:rFonts w:ascii="Arial Narrow" w:hAnsi="Arial Narrow"/>
          <w:sz w:val="18"/>
          <w:szCs w:val="18"/>
          <w:vertAlign w:val="superscript"/>
        </w:rPr>
        <w:t>10</w:t>
      </w:r>
      <w:r>
        <w:rPr>
          <w:rFonts w:ascii="Arial Narrow" w:hAnsi="Arial Narrow"/>
          <w:sz w:val="18"/>
          <w:szCs w:val="18"/>
        </w:rPr>
        <w:t xml:space="preserve"> </w:t>
      </w:r>
      <w:r>
        <w:rPr>
          <w:rFonts w:ascii="Arial Narrow" w:hAnsi="Arial Narrow"/>
          <w:sz w:val="18"/>
          <w:szCs w:val="18"/>
        </w:rPr>
        <w:tab/>
      </w:r>
      <w:r w:rsidRPr="00DB3519">
        <w:rPr>
          <w:rFonts w:ascii="Arial Narrow" w:hAnsi="Arial Narrow"/>
          <w:sz w:val="18"/>
          <w:szCs w:val="18"/>
        </w:rPr>
        <w:t xml:space="preserve">Assume each </w:t>
      </w:r>
      <w:r>
        <w:rPr>
          <w:rFonts w:ascii="Arial Narrow" w:hAnsi="Arial Narrow"/>
          <w:sz w:val="18"/>
          <w:szCs w:val="18"/>
        </w:rPr>
        <w:t>peginterferon</w:t>
      </w:r>
      <w:r w:rsidRPr="00DB3519">
        <w:rPr>
          <w:rFonts w:ascii="Arial Narrow" w:hAnsi="Arial Narrow"/>
          <w:sz w:val="18"/>
          <w:szCs w:val="18"/>
        </w:rPr>
        <w:t xml:space="preserve"> script costs $</w:t>
      </w:r>
      <w:r>
        <w:rPr>
          <w:rFonts w:ascii="Arial Narrow" w:hAnsi="Arial Narrow"/>
          <w:sz w:val="18"/>
          <w:szCs w:val="18"/>
        </w:rPr>
        <w:t>1,272.42</w:t>
      </w:r>
      <w:r w:rsidRPr="00DB3519">
        <w:rPr>
          <w:rFonts w:ascii="Arial Narrow" w:hAnsi="Arial Narrow"/>
          <w:sz w:val="18"/>
          <w:szCs w:val="18"/>
        </w:rPr>
        <w:t xml:space="preserve"> minus average </w:t>
      </w:r>
      <w:r>
        <w:rPr>
          <w:rFonts w:ascii="Arial Narrow" w:hAnsi="Arial Narrow"/>
          <w:sz w:val="18"/>
          <w:szCs w:val="18"/>
        </w:rPr>
        <w:t xml:space="preserve">PBS </w:t>
      </w:r>
      <w:proofErr w:type="spellStart"/>
      <w:r>
        <w:rPr>
          <w:rFonts w:ascii="Arial Narrow" w:hAnsi="Arial Narrow"/>
          <w:sz w:val="18"/>
          <w:szCs w:val="18"/>
        </w:rPr>
        <w:t>copayment</w:t>
      </w:r>
      <w:proofErr w:type="spellEnd"/>
      <w:r>
        <w:rPr>
          <w:rFonts w:ascii="Arial Narrow" w:hAnsi="Arial Narrow"/>
          <w:sz w:val="18"/>
          <w:szCs w:val="18"/>
        </w:rPr>
        <w:t xml:space="preserve"> of $25.49 (97.4%) and RPBS </w:t>
      </w:r>
      <w:proofErr w:type="spellStart"/>
      <w:r>
        <w:rPr>
          <w:rFonts w:ascii="Arial Narrow" w:hAnsi="Arial Narrow"/>
          <w:sz w:val="18"/>
          <w:szCs w:val="18"/>
        </w:rPr>
        <w:t>copayment</w:t>
      </w:r>
      <w:proofErr w:type="spellEnd"/>
      <w:r>
        <w:rPr>
          <w:rFonts w:ascii="Arial Narrow" w:hAnsi="Arial Narrow"/>
          <w:sz w:val="18"/>
          <w:szCs w:val="18"/>
        </w:rPr>
        <w:t xml:space="preserve"> of $5.38 (2.6%)</w:t>
      </w:r>
    </w:p>
    <w:p w:rsidR="00A77D40" w:rsidRPr="006E303E" w:rsidRDefault="00A77D40" w:rsidP="00A77D40">
      <w:pPr>
        <w:ind w:left="284" w:hanging="284"/>
        <w:rPr>
          <w:rFonts w:ascii="Arial Narrow" w:hAnsi="Arial Narrow"/>
          <w:sz w:val="18"/>
          <w:szCs w:val="18"/>
        </w:rPr>
      </w:pPr>
      <w:r>
        <w:rPr>
          <w:rFonts w:ascii="Arial Narrow" w:hAnsi="Arial Narrow"/>
          <w:sz w:val="18"/>
          <w:szCs w:val="18"/>
          <w:vertAlign w:val="superscript"/>
        </w:rPr>
        <w:t>11</w:t>
      </w:r>
      <w:r>
        <w:rPr>
          <w:rFonts w:ascii="Arial Narrow" w:hAnsi="Arial Narrow"/>
          <w:sz w:val="18"/>
          <w:szCs w:val="18"/>
        </w:rPr>
        <w:t xml:space="preserve"> </w:t>
      </w:r>
      <w:r>
        <w:rPr>
          <w:rFonts w:ascii="Arial Narrow" w:hAnsi="Arial Narrow"/>
          <w:sz w:val="18"/>
          <w:szCs w:val="18"/>
        </w:rPr>
        <w:tab/>
      </w:r>
      <w:r w:rsidRPr="00DB3519">
        <w:rPr>
          <w:rFonts w:ascii="Arial Narrow" w:hAnsi="Arial Narrow"/>
          <w:sz w:val="18"/>
          <w:szCs w:val="18"/>
        </w:rPr>
        <w:t xml:space="preserve">Assume each ruxolitinib (PV) script </w:t>
      </w:r>
      <w:r>
        <w:rPr>
          <w:rFonts w:ascii="Arial Narrow" w:hAnsi="Arial Narrow"/>
          <w:sz w:val="18"/>
          <w:szCs w:val="18"/>
        </w:rPr>
        <w:t>costs $</w:t>
      </w:r>
      <w:r w:rsidR="004A4EFC">
        <w:rPr>
          <w:rFonts w:ascii="Arial Narrow" w:hAnsi="Arial Narrow"/>
          <w:noProof/>
          <w:color w:val="000000"/>
          <w:sz w:val="18"/>
          <w:szCs w:val="18"/>
          <w:highlight w:val="black"/>
        </w:rPr>
        <w:t>'''''''''''''''''''''</w:t>
      </w:r>
      <w:r w:rsidRPr="00DB3519">
        <w:rPr>
          <w:rFonts w:ascii="Arial Narrow" w:hAnsi="Arial Narrow"/>
          <w:sz w:val="18"/>
          <w:szCs w:val="18"/>
        </w:rPr>
        <w:t xml:space="preserve">, minus average </w:t>
      </w:r>
      <w:r>
        <w:rPr>
          <w:rFonts w:ascii="Arial Narrow" w:hAnsi="Arial Narrow"/>
          <w:sz w:val="18"/>
          <w:szCs w:val="18"/>
        </w:rPr>
        <w:t xml:space="preserve">PBS </w:t>
      </w:r>
      <w:proofErr w:type="spellStart"/>
      <w:r w:rsidRPr="00DB3519">
        <w:rPr>
          <w:rFonts w:ascii="Arial Narrow" w:hAnsi="Arial Narrow"/>
          <w:sz w:val="18"/>
          <w:szCs w:val="18"/>
        </w:rPr>
        <w:t>copayment</w:t>
      </w:r>
      <w:proofErr w:type="spellEnd"/>
      <w:r w:rsidRPr="00DB3519">
        <w:rPr>
          <w:rFonts w:ascii="Arial Narrow" w:hAnsi="Arial Narrow"/>
          <w:sz w:val="18"/>
          <w:szCs w:val="18"/>
        </w:rPr>
        <w:t xml:space="preserve"> of $15.51</w:t>
      </w:r>
      <w:r>
        <w:rPr>
          <w:rFonts w:ascii="Arial Narrow" w:hAnsi="Arial Narrow"/>
          <w:sz w:val="18"/>
          <w:szCs w:val="18"/>
        </w:rPr>
        <w:t xml:space="preserve"> (97.48%) and RPBS </w:t>
      </w:r>
      <w:proofErr w:type="spellStart"/>
      <w:r>
        <w:rPr>
          <w:rFonts w:ascii="Arial Narrow" w:hAnsi="Arial Narrow"/>
          <w:sz w:val="18"/>
          <w:szCs w:val="18"/>
        </w:rPr>
        <w:t>copayment</w:t>
      </w:r>
      <w:proofErr w:type="spellEnd"/>
      <w:r>
        <w:rPr>
          <w:rFonts w:ascii="Arial Narrow" w:hAnsi="Arial Narrow"/>
          <w:sz w:val="18"/>
          <w:szCs w:val="18"/>
        </w:rPr>
        <w:t xml:space="preserve"> of $5.34 (2.52%)</w:t>
      </w:r>
    </w:p>
    <w:p w:rsidR="00A77D40" w:rsidRDefault="00A77D40" w:rsidP="00A77D40">
      <w:pPr>
        <w:ind w:left="284" w:hanging="284"/>
        <w:rPr>
          <w:rFonts w:ascii="Arial Narrow" w:hAnsi="Arial Narrow"/>
          <w:sz w:val="18"/>
          <w:szCs w:val="18"/>
        </w:rPr>
      </w:pPr>
      <w:r w:rsidRPr="005D3459">
        <w:rPr>
          <w:rFonts w:ascii="Arial Narrow" w:hAnsi="Arial Narrow"/>
          <w:sz w:val="18"/>
          <w:szCs w:val="18"/>
          <w:vertAlign w:val="superscript"/>
        </w:rPr>
        <w:t>12</w:t>
      </w:r>
      <w:r>
        <w:rPr>
          <w:vertAlign w:val="superscript"/>
        </w:rPr>
        <w:t xml:space="preserve"> </w:t>
      </w:r>
      <w:r>
        <w:rPr>
          <w:vertAlign w:val="superscript"/>
        </w:rPr>
        <w:tab/>
      </w:r>
      <w:r w:rsidRPr="000400C4">
        <w:rPr>
          <w:rFonts w:ascii="Arial Narrow" w:hAnsi="Arial Narrow"/>
          <w:sz w:val="18"/>
          <w:szCs w:val="18"/>
        </w:rPr>
        <w:t xml:space="preserve">Combination of </w:t>
      </w:r>
      <w:r>
        <w:rPr>
          <w:rFonts w:ascii="Arial Narrow" w:hAnsi="Arial Narrow"/>
          <w:sz w:val="18"/>
          <w:szCs w:val="18"/>
        </w:rPr>
        <w:t>e</w:t>
      </w:r>
      <w:r w:rsidRPr="00DB3519">
        <w:rPr>
          <w:rFonts w:ascii="Arial Narrow" w:hAnsi="Arial Narrow"/>
          <w:sz w:val="18"/>
          <w:szCs w:val="18"/>
        </w:rPr>
        <w:t xml:space="preserve">stimated total commencing patients in each year multiplied by expected number </w:t>
      </w:r>
      <w:r>
        <w:rPr>
          <w:rFonts w:ascii="Arial Narrow" w:hAnsi="Arial Narrow"/>
          <w:sz w:val="18"/>
          <w:szCs w:val="18"/>
        </w:rPr>
        <w:t xml:space="preserve">each service(oncologist follow  up, FBC, LFT, iron study) </w:t>
      </w:r>
      <w:r w:rsidRPr="00DB3519">
        <w:rPr>
          <w:rFonts w:ascii="Arial Narrow" w:hAnsi="Arial Narrow"/>
          <w:sz w:val="18"/>
          <w:szCs w:val="18"/>
        </w:rPr>
        <w:t xml:space="preserve"> in year 1</w:t>
      </w:r>
      <w:r>
        <w:rPr>
          <w:rFonts w:ascii="Arial Narrow" w:hAnsi="Arial Narrow"/>
          <w:sz w:val="18"/>
          <w:szCs w:val="18"/>
        </w:rPr>
        <w:t xml:space="preserve"> derived from the economic model</w:t>
      </w:r>
      <w:r w:rsidRPr="00DB3519">
        <w:rPr>
          <w:rFonts w:ascii="Arial Narrow" w:hAnsi="Arial Narrow"/>
          <w:sz w:val="18"/>
          <w:szCs w:val="18"/>
        </w:rPr>
        <w:t xml:space="preserve">, then added to expected number of </w:t>
      </w:r>
      <w:r>
        <w:rPr>
          <w:rFonts w:ascii="Arial Narrow" w:hAnsi="Arial Narrow"/>
          <w:sz w:val="18"/>
          <w:szCs w:val="18"/>
        </w:rPr>
        <w:t>services</w:t>
      </w:r>
      <w:r w:rsidRPr="00DB3519">
        <w:rPr>
          <w:rFonts w:ascii="Arial Narrow" w:hAnsi="Arial Narrow"/>
          <w:sz w:val="18"/>
          <w:szCs w:val="18"/>
        </w:rPr>
        <w:t xml:space="preserve"> used by patients who commenced in previous years</w:t>
      </w:r>
    </w:p>
    <w:p w:rsidR="00A77D40" w:rsidRDefault="00A77D40" w:rsidP="00A77D40">
      <w:pPr>
        <w:ind w:left="284" w:hanging="284"/>
        <w:rPr>
          <w:rFonts w:ascii="Arial Narrow" w:hAnsi="Arial Narrow"/>
          <w:sz w:val="18"/>
          <w:szCs w:val="18"/>
        </w:rPr>
      </w:pPr>
      <w:r>
        <w:rPr>
          <w:rFonts w:ascii="Arial Narrow" w:hAnsi="Arial Narrow"/>
          <w:sz w:val="18"/>
          <w:szCs w:val="18"/>
          <w:vertAlign w:val="superscript"/>
        </w:rPr>
        <w:t>13</w:t>
      </w:r>
      <w:r>
        <w:rPr>
          <w:rFonts w:ascii="Arial Narrow" w:hAnsi="Arial Narrow"/>
          <w:sz w:val="18"/>
          <w:szCs w:val="18"/>
        </w:rPr>
        <w:t xml:space="preserve"> </w:t>
      </w:r>
      <w:r>
        <w:rPr>
          <w:rFonts w:ascii="Arial Narrow" w:hAnsi="Arial Narrow"/>
          <w:sz w:val="18"/>
          <w:szCs w:val="18"/>
        </w:rPr>
        <w:tab/>
        <w:t>E</w:t>
      </w:r>
      <w:r w:rsidRPr="00DB3519">
        <w:rPr>
          <w:rFonts w:ascii="Arial Narrow" w:hAnsi="Arial Narrow"/>
          <w:sz w:val="18"/>
          <w:szCs w:val="18"/>
        </w:rPr>
        <w:t xml:space="preserve">stimated total commencing patients in each year multiplied by expected number </w:t>
      </w:r>
      <w:r>
        <w:rPr>
          <w:rFonts w:ascii="Arial Narrow" w:hAnsi="Arial Narrow"/>
          <w:sz w:val="18"/>
          <w:szCs w:val="18"/>
        </w:rPr>
        <w:t xml:space="preserve">of phlebotomy avoided </w:t>
      </w:r>
      <w:r w:rsidRPr="00DB3519">
        <w:rPr>
          <w:rFonts w:ascii="Arial Narrow" w:hAnsi="Arial Narrow"/>
          <w:sz w:val="18"/>
          <w:szCs w:val="18"/>
        </w:rPr>
        <w:t>in year 1</w:t>
      </w:r>
      <w:r>
        <w:rPr>
          <w:rFonts w:ascii="Arial Narrow" w:hAnsi="Arial Narrow"/>
          <w:sz w:val="18"/>
          <w:szCs w:val="18"/>
        </w:rPr>
        <w:t xml:space="preserve"> derived from the economic model</w:t>
      </w:r>
      <w:r w:rsidRPr="00DB3519">
        <w:rPr>
          <w:rFonts w:ascii="Arial Narrow" w:hAnsi="Arial Narrow"/>
          <w:sz w:val="18"/>
          <w:szCs w:val="18"/>
        </w:rPr>
        <w:t xml:space="preserve">, then added to expected number of </w:t>
      </w:r>
      <w:r>
        <w:rPr>
          <w:rFonts w:ascii="Arial Narrow" w:hAnsi="Arial Narrow"/>
          <w:sz w:val="18"/>
          <w:szCs w:val="18"/>
        </w:rPr>
        <w:t xml:space="preserve">phlebotomy avoided </w:t>
      </w:r>
      <w:r w:rsidRPr="00DB3519">
        <w:rPr>
          <w:rFonts w:ascii="Arial Narrow" w:hAnsi="Arial Narrow"/>
          <w:sz w:val="18"/>
          <w:szCs w:val="18"/>
        </w:rPr>
        <w:t>by patients who commenced in previous years</w:t>
      </w:r>
    </w:p>
    <w:p w:rsidR="00A77D40" w:rsidRDefault="00A77D40" w:rsidP="00A77D40">
      <w:pPr>
        <w:spacing w:after="160"/>
        <w:rPr>
          <w:rFonts w:ascii="Arial Narrow" w:hAnsi="Arial Narrow"/>
          <w:sz w:val="18"/>
          <w:szCs w:val="20"/>
        </w:rPr>
      </w:pPr>
      <w:r w:rsidRPr="00543A1A">
        <w:rPr>
          <w:rFonts w:ascii="Arial Narrow" w:hAnsi="Arial Narrow"/>
          <w:sz w:val="18"/>
          <w:szCs w:val="20"/>
        </w:rPr>
        <w:t>Source: Constructed during evaluation</w:t>
      </w:r>
    </w:p>
    <w:p w:rsidR="004679D1" w:rsidRDefault="004679D1" w:rsidP="004679D1">
      <w:pPr>
        <w:rPr>
          <w:rFonts w:asciiTheme="minorHAnsi" w:hAnsiTheme="minorHAnsi"/>
          <w:szCs w:val="24"/>
        </w:rPr>
      </w:pPr>
      <w:r w:rsidRPr="004C0A6D">
        <w:rPr>
          <w:rFonts w:asciiTheme="minorHAnsi" w:hAnsiTheme="minorHAnsi"/>
          <w:szCs w:val="24"/>
        </w:rPr>
        <w:lastRenderedPageBreak/>
        <w:t>The red</w:t>
      </w:r>
      <w:r>
        <w:rPr>
          <w:rFonts w:asciiTheme="minorHAnsi" w:hAnsiTheme="minorHAnsi"/>
          <w:szCs w:val="24"/>
        </w:rPr>
        <w:t>acted table shows that at Year 6</w:t>
      </w:r>
      <w:r w:rsidRPr="004C0A6D">
        <w:rPr>
          <w:rFonts w:asciiTheme="minorHAnsi" w:hAnsiTheme="minorHAnsi"/>
          <w:szCs w:val="24"/>
        </w:rPr>
        <w:t xml:space="preserve">, the estimated number of patients was </w:t>
      </w:r>
      <w:r w:rsidR="003A7586">
        <w:rPr>
          <w:rFonts w:asciiTheme="minorHAnsi" w:hAnsiTheme="minorHAnsi"/>
          <w:szCs w:val="24"/>
        </w:rPr>
        <w:t>less than 10,000</w:t>
      </w:r>
      <w:r w:rsidRPr="004C0A6D">
        <w:rPr>
          <w:rFonts w:asciiTheme="minorHAnsi" w:hAnsiTheme="minorHAnsi"/>
          <w:szCs w:val="24"/>
        </w:rPr>
        <w:t xml:space="preserve"> and the net cost to the PBS would be </w:t>
      </w:r>
      <w:r w:rsidR="003A7586">
        <w:rPr>
          <w:rFonts w:asciiTheme="minorHAnsi" w:hAnsiTheme="minorHAnsi"/>
          <w:szCs w:val="24"/>
        </w:rPr>
        <w:t>less than</w:t>
      </w:r>
      <w:r>
        <w:rPr>
          <w:rFonts w:asciiTheme="minorHAnsi" w:hAnsiTheme="minorHAnsi"/>
          <w:szCs w:val="24"/>
        </w:rPr>
        <w:t xml:space="preserve"> 10 million per year.</w:t>
      </w:r>
    </w:p>
    <w:p w:rsidR="004679D1" w:rsidRPr="00543A1A" w:rsidRDefault="004679D1" w:rsidP="00A77D40">
      <w:pPr>
        <w:spacing w:after="160"/>
        <w:rPr>
          <w:rFonts w:ascii="Arial Narrow" w:hAnsi="Arial Narrow"/>
          <w:sz w:val="18"/>
          <w:szCs w:val="20"/>
        </w:rPr>
      </w:pPr>
    </w:p>
    <w:p w:rsidR="00A77D40" w:rsidRPr="00A77D40" w:rsidRDefault="00A77D40" w:rsidP="00E356F4">
      <w:pPr>
        <w:pStyle w:val="ListParagraph"/>
        <w:widowControl/>
        <w:numPr>
          <w:ilvl w:val="1"/>
          <w:numId w:val="2"/>
        </w:numPr>
        <w:spacing w:after="120"/>
      </w:pPr>
      <w:r w:rsidRPr="00A77D40">
        <w:t>No just</w:t>
      </w:r>
      <w:r w:rsidR="004D1AB8">
        <w:t>ification for the assumption of less than 10,000</w:t>
      </w:r>
      <w:r w:rsidRPr="00A77D40">
        <w:t xml:space="preserve"> grandfathered patients in Year 1 of listing was provided.  </w:t>
      </w:r>
    </w:p>
    <w:p w:rsidR="00A77D40" w:rsidRPr="00A77D40" w:rsidRDefault="00A77D40" w:rsidP="00E356F4">
      <w:pPr>
        <w:pStyle w:val="ListParagraph"/>
        <w:widowControl/>
        <w:numPr>
          <w:ilvl w:val="1"/>
          <w:numId w:val="2"/>
        </w:numPr>
        <w:spacing w:after="120"/>
      </w:pPr>
      <w:r w:rsidRPr="00A77D40">
        <w:t>There were uncertainties around the prevalence and incidence of PV as well as the proportion of patients treated with, resistant to or intolerant to HC as:</w:t>
      </w:r>
    </w:p>
    <w:p w:rsidR="00A77D40" w:rsidRPr="00A77D40" w:rsidRDefault="00A77D40" w:rsidP="00E356F4">
      <w:pPr>
        <w:pStyle w:val="ListParagraph"/>
        <w:widowControl/>
        <w:numPr>
          <w:ilvl w:val="0"/>
          <w:numId w:val="23"/>
        </w:numPr>
        <w:spacing w:after="120"/>
      </w:pPr>
      <w:r w:rsidRPr="00A77D40">
        <w:t>Prevalence rate was based on Orpha.net, an online portal for rare diseases and orphan drugs. As Orpha.net includes mainly data from Europeans, it may not be applicable to Australia.</w:t>
      </w:r>
    </w:p>
    <w:p w:rsidR="00A77D40" w:rsidRPr="00A77D40" w:rsidRDefault="00A77D40" w:rsidP="00E356F4">
      <w:pPr>
        <w:pStyle w:val="ListParagraph"/>
        <w:widowControl/>
        <w:numPr>
          <w:ilvl w:val="0"/>
          <w:numId w:val="23"/>
        </w:numPr>
        <w:spacing w:after="120"/>
      </w:pPr>
      <w:r w:rsidRPr="00A77D40">
        <w:t>The incidence of PV was based on the average incidence between 2003-2014 from AIHW 2014 Australian Cancer Database and Australian Population. While this source is appropriate, Baade et al 2019 calculated an age-adjusted incidence rate of 0.9/100,000 using the same data.</w:t>
      </w:r>
    </w:p>
    <w:p w:rsidR="00A77D40" w:rsidRPr="00A77D40" w:rsidRDefault="00A77D40" w:rsidP="00E356F4">
      <w:pPr>
        <w:pStyle w:val="ListParagraph"/>
        <w:widowControl/>
        <w:numPr>
          <w:ilvl w:val="0"/>
          <w:numId w:val="23"/>
        </w:numPr>
        <w:spacing w:after="120"/>
      </w:pPr>
      <w:r w:rsidRPr="00A77D40">
        <w:t>The proportion of patients treated with HC (77.3%) was based on Alvarez-</w:t>
      </w:r>
      <w:proofErr w:type="spellStart"/>
      <w:r w:rsidRPr="00A77D40">
        <w:t>Larran</w:t>
      </w:r>
      <w:proofErr w:type="spellEnd"/>
      <w:r w:rsidRPr="00A77D40">
        <w:t xml:space="preserve"> et al 2016, from a retrospective Spanish registry </w:t>
      </w:r>
      <w:proofErr w:type="gramStart"/>
      <w:r w:rsidRPr="00A77D40">
        <w:t>between July 2011 to June 2015</w:t>
      </w:r>
      <w:proofErr w:type="gramEnd"/>
      <w:r w:rsidRPr="00A77D40">
        <w:t xml:space="preserve">. Values identified in the literature ranged from 31.4% to 88%. </w:t>
      </w:r>
    </w:p>
    <w:p w:rsidR="00A77D40" w:rsidRPr="00A77D40" w:rsidRDefault="00A77D40" w:rsidP="00E356F4">
      <w:pPr>
        <w:pStyle w:val="ListParagraph"/>
        <w:numPr>
          <w:ilvl w:val="0"/>
          <w:numId w:val="23"/>
        </w:numPr>
        <w:spacing w:after="120"/>
      </w:pPr>
      <w:r w:rsidRPr="00A77D40">
        <w:t>The proportion of patients resistant or intolerant to HC (24%) was based on Alvarez-</w:t>
      </w:r>
      <w:proofErr w:type="spellStart"/>
      <w:r w:rsidRPr="00A77D40">
        <w:t>Larran</w:t>
      </w:r>
      <w:proofErr w:type="spellEnd"/>
      <w:r w:rsidRPr="00A77D40">
        <w:t xml:space="preserve"> et al 2012, data from 5 institutes in Spain.  </w:t>
      </w:r>
      <w:proofErr w:type="spellStart"/>
      <w:r w:rsidRPr="00A77D40">
        <w:t>Parasuraman</w:t>
      </w:r>
      <w:proofErr w:type="spellEnd"/>
      <w:r w:rsidRPr="00A77D40">
        <w:t xml:space="preserve"> et al 2016, a US study, that had the largest sample size (N=1,309) reported 27.5% of patients as intolerant to HC, and a further 29.3% discontinued due to inadequate response, representing a total of 56.8% intolerant or resistant to HC. </w:t>
      </w:r>
      <w:r w:rsidR="009C5358">
        <w:t xml:space="preserve">The DUSC noted that the evaluation had incorrectly reflected the numbers from </w:t>
      </w:r>
      <w:proofErr w:type="spellStart"/>
      <w:r w:rsidR="009C5358" w:rsidRPr="009C5358">
        <w:t>Parasuraman</w:t>
      </w:r>
      <w:proofErr w:type="spellEnd"/>
      <w:r w:rsidR="009C5358" w:rsidRPr="009C5358">
        <w:t xml:space="preserve"> et al 2016. The 27.5% of patients reported as intolerant to HC and the 29.3% who discontinued due to inadequate response should have been applied to the group of patients who discontinued (n=229; 17.5% of total population), not the overall population (N=1,309). Therefore, the proportion reported as intolerant or resistant to HC in </w:t>
      </w:r>
      <w:proofErr w:type="spellStart"/>
      <w:r w:rsidR="009C5358" w:rsidRPr="009C5358">
        <w:t>Parasuraman</w:t>
      </w:r>
      <w:proofErr w:type="spellEnd"/>
      <w:r w:rsidR="009C5358" w:rsidRPr="009C5358">
        <w:t xml:space="preserve"> et al 2016 was approximately 10%.</w:t>
      </w:r>
    </w:p>
    <w:p w:rsidR="00A77D40" w:rsidRPr="00A77D40" w:rsidRDefault="00A77D40" w:rsidP="00E356F4">
      <w:pPr>
        <w:pStyle w:val="ListParagraph"/>
        <w:widowControl/>
        <w:numPr>
          <w:ilvl w:val="1"/>
          <w:numId w:val="2"/>
        </w:numPr>
        <w:spacing w:after="120"/>
      </w:pPr>
      <w:r w:rsidRPr="00A77D40">
        <w:t xml:space="preserve">The submission utilises the number of prescriptions used/offset and services used/offset predicted by the economic model to inform the financial estimates.  The assumed number of additional prescriptions and MBS services used and offset is presented in Table </w:t>
      </w:r>
      <w:r w:rsidRPr="00A77D40">
        <w:rPr>
          <w:noProof/>
        </w:rPr>
        <w:t>15</w:t>
      </w:r>
      <w:r w:rsidRPr="00A77D40">
        <w:t>.  As discussed, the proportion of patients using peginterferon was overestimated in the economic model, and there was no evidence to support differential transformation to MF depending on surrogate response.  This will lead to an overestimated cost offset for BAT in the financial impact estimates</w:t>
      </w:r>
    </w:p>
    <w:p w:rsidR="00EF20DF" w:rsidRPr="00CF6741" w:rsidRDefault="00EF20DF" w:rsidP="00EF20DF">
      <w:pPr>
        <w:pStyle w:val="Caption"/>
        <w:keepNext/>
        <w:keepLines/>
        <w:widowControl/>
        <w:rPr>
          <w:rStyle w:val="CommentReference"/>
          <w:b/>
        </w:rPr>
      </w:pPr>
      <w:bookmarkStart w:id="34" w:name="_Ref17150055"/>
      <w:r>
        <w:lastRenderedPageBreak/>
        <w:t xml:space="preserve">Table </w:t>
      </w:r>
      <w:r>
        <w:rPr>
          <w:noProof/>
        </w:rPr>
        <w:t>15</w:t>
      </w:r>
      <w:bookmarkEnd w:id="34"/>
      <w:r>
        <w:rPr>
          <w:rStyle w:val="CommentReference"/>
        </w:rPr>
        <w:t xml:space="preserve">: </w:t>
      </w:r>
      <w:r w:rsidRPr="00CF6741">
        <w:rPr>
          <w:rStyle w:val="CommentReference"/>
          <w:b/>
        </w:rPr>
        <w:t>Expected change in prescriptions and MBS services per year</w:t>
      </w:r>
    </w:p>
    <w:tbl>
      <w:tblPr>
        <w:tblStyle w:val="TableGrid"/>
        <w:tblW w:w="8926" w:type="dxa"/>
        <w:tblCellMar>
          <w:left w:w="28" w:type="dxa"/>
          <w:right w:w="28" w:type="dxa"/>
        </w:tblCellMar>
        <w:tblLook w:val="04A0" w:firstRow="1" w:lastRow="0" w:firstColumn="1" w:lastColumn="0" w:noHBand="0" w:noVBand="1"/>
        <w:tblCaption w:val="Table 15: Expected change in prescriptions and MBS services per year"/>
      </w:tblPr>
      <w:tblGrid>
        <w:gridCol w:w="704"/>
        <w:gridCol w:w="992"/>
        <w:gridCol w:w="993"/>
        <w:gridCol w:w="1275"/>
        <w:gridCol w:w="1418"/>
        <w:gridCol w:w="2268"/>
        <w:gridCol w:w="1276"/>
      </w:tblGrid>
      <w:tr w:rsidR="00A77D40" w:rsidRPr="00E22A64" w:rsidTr="0076058F">
        <w:trPr>
          <w:tblHeader/>
        </w:trPr>
        <w:tc>
          <w:tcPr>
            <w:tcW w:w="704" w:type="dxa"/>
            <w:shd w:val="clear" w:color="auto" w:fill="auto"/>
          </w:tcPr>
          <w:p w:rsidR="00A77D40" w:rsidRPr="00E22A64" w:rsidRDefault="00A77D40" w:rsidP="00F532C5">
            <w:pPr>
              <w:pStyle w:val="SyneviNormal"/>
              <w:keepNext/>
              <w:keepLines/>
              <w:spacing w:line="276" w:lineRule="auto"/>
              <w:rPr>
                <w:rFonts w:ascii="Arial Narrow" w:hAnsi="Arial Narrow"/>
                <w:b/>
                <w:bCs/>
                <w:sz w:val="20"/>
                <w:lang w:val="en-AU"/>
              </w:rPr>
            </w:pPr>
          </w:p>
        </w:tc>
        <w:tc>
          <w:tcPr>
            <w:tcW w:w="992" w:type="dxa"/>
            <w:shd w:val="clear" w:color="auto" w:fill="auto"/>
          </w:tcPr>
          <w:p w:rsidR="00A77D40" w:rsidRPr="00E22A64" w:rsidRDefault="00A77D40" w:rsidP="00F532C5">
            <w:pPr>
              <w:pStyle w:val="SyneviNormal"/>
              <w:keepNext/>
              <w:keepLines/>
              <w:spacing w:line="276" w:lineRule="auto"/>
              <w:jc w:val="center"/>
              <w:rPr>
                <w:rFonts w:ascii="Arial Narrow" w:hAnsi="Arial Narrow"/>
                <w:b/>
                <w:bCs/>
                <w:sz w:val="20"/>
                <w:lang w:val="en-AU"/>
              </w:rPr>
            </w:pPr>
            <w:r w:rsidRPr="00E22A64">
              <w:rPr>
                <w:rFonts w:ascii="Arial Narrow" w:hAnsi="Arial Narrow"/>
                <w:b/>
                <w:bCs/>
                <w:sz w:val="20"/>
                <w:lang w:val="en-AU"/>
              </w:rPr>
              <w:t>Ruxo</w:t>
            </w:r>
            <w:r>
              <w:rPr>
                <w:rFonts w:ascii="Arial Narrow" w:hAnsi="Arial Narrow"/>
                <w:b/>
                <w:bCs/>
                <w:sz w:val="20"/>
                <w:lang w:val="en-AU"/>
              </w:rPr>
              <w:t xml:space="preserve">litinib </w:t>
            </w:r>
            <w:r w:rsidRPr="00E22A64">
              <w:rPr>
                <w:rFonts w:ascii="Arial Narrow" w:hAnsi="Arial Narrow"/>
                <w:b/>
                <w:bCs/>
                <w:sz w:val="20"/>
                <w:lang w:val="en-AU"/>
              </w:rPr>
              <w:t xml:space="preserve"> (PV)</w:t>
            </w:r>
          </w:p>
        </w:tc>
        <w:tc>
          <w:tcPr>
            <w:tcW w:w="993" w:type="dxa"/>
            <w:shd w:val="clear" w:color="auto" w:fill="auto"/>
          </w:tcPr>
          <w:p w:rsidR="00A77D40" w:rsidRPr="00E22A64" w:rsidRDefault="00A77D40" w:rsidP="00F532C5">
            <w:pPr>
              <w:pStyle w:val="SyneviNormal"/>
              <w:keepNext/>
              <w:keepLines/>
              <w:spacing w:line="276" w:lineRule="auto"/>
              <w:jc w:val="center"/>
              <w:rPr>
                <w:rFonts w:ascii="Arial Narrow" w:hAnsi="Arial Narrow"/>
                <w:b/>
                <w:bCs/>
                <w:sz w:val="20"/>
                <w:lang w:val="en-AU"/>
              </w:rPr>
            </w:pPr>
            <w:r w:rsidRPr="00E22A64">
              <w:rPr>
                <w:rFonts w:ascii="Arial Narrow" w:hAnsi="Arial Narrow"/>
                <w:b/>
                <w:bCs/>
                <w:sz w:val="20"/>
                <w:lang w:val="en-AU"/>
              </w:rPr>
              <w:t>HC</w:t>
            </w:r>
          </w:p>
        </w:tc>
        <w:tc>
          <w:tcPr>
            <w:tcW w:w="1275" w:type="dxa"/>
            <w:shd w:val="clear" w:color="auto" w:fill="auto"/>
          </w:tcPr>
          <w:p w:rsidR="00A77D40" w:rsidRPr="00E22A64" w:rsidRDefault="00A77D40" w:rsidP="00F532C5">
            <w:pPr>
              <w:pStyle w:val="SyneviNormal"/>
              <w:keepNext/>
              <w:keepLines/>
              <w:spacing w:line="276" w:lineRule="auto"/>
              <w:jc w:val="center"/>
              <w:rPr>
                <w:rFonts w:ascii="Arial Narrow" w:hAnsi="Arial Narrow"/>
                <w:b/>
                <w:bCs/>
                <w:sz w:val="20"/>
                <w:lang w:val="en-AU"/>
              </w:rPr>
            </w:pPr>
            <w:r>
              <w:rPr>
                <w:rFonts w:ascii="Arial Narrow" w:hAnsi="Arial Narrow"/>
                <w:b/>
                <w:bCs/>
                <w:sz w:val="20"/>
                <w:lang w:val="en-AU"/>
              </w:rPr>
              <w:t>Peg</w:t>
            </w:r>
            <w:r w:rsidRPr="00E22A64">
              <w:rPr>
                <w:rFonts w:ascii="Arial Narrow" w:hAnsi="Arial Narrow"/>
                <w:b/>
                <w:bCs/>
                <w:sz w:val="20"/>
                <w:lang w:val="en-AU"/>
              </w:rPr>
              <w:t>interferon</w:t>
            </w:r>
          </w:p>
        </w:tc>
        <w:tc>
          <w:tcPr>
            <w:tcW w:w="1418" w:type="dxa"/>
            <w:shd w:val="clear" w:color="auto" w:fill="auto"/>
          </w:tcPr>
          <w:p w:rsidR="00A77D40" w:rsidRPr="00E22A64" w:rsidRDefault="00A77D40" w:rsidP="00F532C5">
            <w:pPr>
              <w:pStyle w:val="SyneviNormal"/>
              <w:keepNext/>
              <w:keepLines/>
              <w:spacing w:line="276" w:lineRule="auto"/>
              <w:jc w:val="center"/>
              <w:rPr>
                <w:rFonts w:ascii="Arial Narrow" w:hAnsi="Arial Narrow"/>
                <w:b/>
                <w:bCs/>
                <w:sz w:val="20"/>
                <w:lang w:val="en-AU"/>
              </w:rPr>
            </w:pPr>
            <w:r w:rsidRPr="00E22A64">
              <w:rPr>
                <w:rFonts w:ascii="Arial Narrow" w:hAnsi="Arial Narrow"/>
                <w:b/>
                <w:bCs/>
                <w:sz w:val="20"/>
                <w:lang w:val="en-AU"/>
              </w:rPr>
              <w:t>Ruxo</w:t>
            </w:r>
            <w:r>
              <w:rPr>
                <w:rFonts w:ascii="Arial Narrow" w:hAnsi="Arial Narrow"/>
                <w:b/>
                <w:bCs/>
                <w:sz w:val="20"/>
                <w:lang w:val="en-AU"/>
              </w:rPr>
              <w:t>litinib</w:t>
            </w:r>
            <w:r w:rsidRPr="00E22A64">
              <w:rPr>
                <w:rFonts w:ascii="Arial Narrow" w:hAnsi="Arial Narrow"/>
                <w:b/>
                <w:bCs/>
                <w:sz w:val="20"/>
                <w:lang w:val="en-AU"/>
              </w:rPr>
              <w:t xml:space="preserve"> (MF)</w:t>
            </w:r>
          </w:p>
        </w:tc>
        <w:tc>
          <w:tcPr>
            <w:tcW w:w="2268" w:type="dxa"/>
          </w:tcPr>
          <w:p w:rsidR="00A77D40" w:rsidRPr="00E22A64" w:rsidRDefault="00A77D40" w:rsidP="00F532C5">
            <w:pPr>
              <w:pStyle w:val="SyneviNormal"/>
              <w:keepNext/>
              <w:keepLines/>
              <w:spacing w:line="276" w:lineRule="auto"/>
              <w:jc w:val="center"/>
              <w:rPr>
                <w:rFonts w:ascii="Arial Narrow" w:hAnsi="Arial Narrow"/>
                <w:b/>
                <w:bCs/>
                <w:sz w:val="20"/>
                <w:lang w:val="en-AU"/>
              </w:rPr>
            </w:pPr>
            <w:r w:rsidRPr="00E22A64">
              <w:rPr>
                <w:rFonts w:ascii="Arial Narrow" w:hAnsi="Arial Narrow"/>
                <w:b/>
                <w:bCs/>
                <w:sz w:val="20"/>
                <w:lang w:val="en-AU"/>
              </w:rPr>
              <w:t>Follow up visit, FBC, LFT, Iron study</w:t>
            </w:r>
          </w:p>
        </w:tc>
        <w:tc>
          <w:tcPr>
            <w:tcW w:w="1276" w:type="dxa"/>
          </w:tcPr>
          <w:p w:rsidR="00A77D40" w:rsidRPr="00E22A64" w:rsidRDefault="00A77D40" w:rsidP="00F532C5">
            <w:pPr>
              <w:pStyle w:val="SyneviNormal"/>
              <w:keepNext/>
              <w:keepLines/>
              <w:spacing w:line="276" w:lineRule="auto"/>
              <w:jc w:val="center"/>
              <w:rPr>
                <w:rFonts w:ascii="Arial Narrow" w:hAnsi="Arial Narrow"/>
                <w:b/>
                <w:bCs/>
                <w:sz w:val="20"/>
                <w:lang w:val="en-AU"/>
              </w:rPr>
            </w:pPr>
            <w:r w:rsidRPr="00E22A64">
              <w:rPr>
                <w:rFonts w:ascii="Arial Narrow" w:hAnsi="Arial Narrow"/>
                <w:b/>
                <w:bCs/>
                <w:sz w:val="20"/>
                <w:lang w:val="en-AU"/>
              </w:rPr>
              <w:t>Phlebotomy</w:t>
            </w:r>
          </w:p>
        </w:tc>
      </w:tr>
      <w:tr w:rsidR="00A77D40" w:rsidRPr="00E22A64" w:rsidTr="00A77D40">
        <w:tc>
          <w:tcPr>
            <w:tcW w:w="704" w:type="dxa"/>
            <w:shd w:val="clear" w:color="auto" w:fill="auto"/>
          </w:tcPr>
          <w:p w:rsidR="00A77D40" w:rsidRPr="00E22A64" w:rsidRDefault="00A77D40" w:rsidP="00F532C5">
            <w:pPr>
              <w:pStyle w:val="SyneviNormal"/>
              <w:keepNext/>
              <w:keepLines/>
              <w:spacing w:line="276" w:lineRule="auto"/>
              <w:rPr>
                <w:rFonts w:ascii="Arial Narrow" w:hAnsi="Arial Narrow"/>
                <w:sz w:val="20"/>
                <w:lang w:val="en-AU"/>
              </w:rPr>
            </w:pPr>
            <w:r>
              <w:rPr>
                <w:rFonts w:ascii="Arial Narrow" w:hAnsi="Arial Narrow"/>
                <w:sz w:val="20"/>
                <w:lang w:val="en-AU"/>
              </w:rPr>
              <w:t>Year 1</w:t>
            </w:r>
          </w:p>
        </w:tc>
        <w:tc>
          <w:tcPr>
            <w:tcW w:w="992"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993"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1275"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1418"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2268" w:type="dxa"/>
          </w:tcPr>
          <w:p w:rsidR="00A77D40" w:rsidRPr="004A4EFC" w:rsidRDefault="004A4EFC" w:rsidP="00F532C5">
            <w:pPr>
              <w:pStyle w:val="SyneviNormal"/>
              <w:keepNext/>
              <w:keepLines/>
              <w:spacing w:line="276" w:lineRule="auto"/>
              <w:jc w:val="center"/>
              <w:rPr>
                <w:rFonts w:ascii="Arial Narrow" w:hAnsi="Arial Narrow" w:cs="Calibri"/>
                <w:color w:val="000000"/>
                <w:sz w:val="20"/>
                <w:highlight w:val="black"/>
              </w:rPr>
            </w:pPr>
            <w:r>
              <w:rPr>
                <w:rFonts w:ascii="Arial Narrow" w:hAnsi="Arial Narrow" w:cstheme="minorHAnsi"/>
                <w:noProof/>
                <w:color w:val="000000"/>
                <w:sz w:val="20"/>
                <w:highlight w:val="black"/>
                <w:lang w:val="en-AU"/>
              </w:rPr>
              <w:t>'''''''''''</w:t>
            </w:r>
          </w:p>
        </w:tc>
        <w:tc>
          <w:tcPr>
            <w:tcW w:w="1276" w:type="dxa"/>
          </w:tcPr>
          <w:p w:rsidR="00A77D40" w:rsidRPr="004A4EFC" w:rsidRDefault="004A4EFC" w:rsidP="00F532C5">
            <w:pPr>
              <w:pStyle w:val="SyneviNormal"/>
              <w:keepNext/>
              <w:keepLines/>
              <w:spacing w:line="276" w:lineRule="auto"/>
              <w:jc w:val="center"/>
              <w:rPr>
                <w:rFonts w:ascii="Arial Narrow" w:hAnsi="Arial Narrow" w:cs="Calibri"/>
                <w:color w:val="000000"/>
                <w:sz w:val="20"/>
                <w:highlight w:val="black"/>
              </w:rPr>
            </w:pPr>
            <w:r>
              <w:rPr>
                <w:rFonts w:ascii="Arial Narrow" w:hAnsi="Arial Narrow" w:cstheme="minorHAnsi"/>
                <w:noProof/>
                <w:color w:val="000000"/>
                <w:sz w:val="20"/>
                <w:highlight w:val="black"/>
                <w:lang w:val="en-AU"/>
              </w:rPr>
              <w:t>'''''''''''''</w:t>
            </w:r>
          </w:p>
        </w:tc>
      </w:tr>
      <w:tr w:rsidR="00A77D40" w:rsidRPr="00E22A64" w:rsidTr="00A77D40">
        <w:tc>
          <w:tcPr>
            <w:tcW w:w="704" w:type="dxa"/>
            <w:shd w:val="clear" w:color="auto" w:fill="auto"/>
          </w:tcPr>
          <w:p w:rsidR="00A77D40" w:rsidRPr="00E22A64" w:rsidRDefault="00A77D40" w:rsidP="00F532C5">
            <w:pPr>
              <w:pStyle w:val="SyneviNormal"/>
              <w:keepNext/>
              <w:keepLines/>
              <w:spacing w:line="276" w:lineRule="auto"/>
              <w:rPr>
                <w:rFonts w:ascii="Arial Narrow" w:hAnsi="Arial Narrow"/>
                <w:sz w:val="20"/>
                <w:lang w:val="en-AU"/>
              </w:rPr>
            </w:pPr>
            <w:r>
              <w:rPr>
                <w:rFonts w:ascii="Arial Narrow" w:hAnsi="Arial Narrow"/>
                <w:sz w:val="20"/>
                <w:lang w:val="en-AU"/>
              </w:rPr>
              <w:t>Year 2</w:t>
            </w:r>
          </w:p>
        </w:tc>
        <w:tc>
          <w:tcPr>
            <w:tcW w:w="992"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993"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1275"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1418"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2268" w:type="dxa"/>
          </w:tcPr>
          <w:p w:rsidR="00A77D40" w:rsidRPr="004A4EFC" w:rsidRDefault="004A4EFC" w:rsidP="00F532C5">
            <w:pPr>
              <w:pStyle w:val="SyneviNormal"/>
              <w:keepNext/>
              <w:keepLines/>
              <w:spacing w:line="276" w:lineRule="auto"/>
              <w:jc w:val="center"/>
              <w:rPr>
                <w:rFonts w:ascii="Arial Narrow" w:hAnsi="Arial Narrow" w:cs="Calibri"/>
                <w:color w:val="000000"/>
                <w:sz w:val="20"/>
                <w:highlight w:val="black"/>
              </w:rPr>
            </w:pPr>
            <w:r>
              <w:rPr>
                <w:rFonts w:ascii="Arial Narrow" w:hAnsi="Arial Narrow" w:cstheme="minorHAnsi"/>
                <w:noProof/>
                <w:color w:val="000000"/>
                <w:sz w:val="20"/>
                <w:highlight w:val="black"/>
                <w:lang w:val="en-AU"/>
              </w:rPr>
              <w:t>''''''''''</w:t>
            </w:r>
          </w:p>
        </w:tc>
        <w:tc>
          <w:tcPr>
            <w:tcW w:w="1276" w:type="dxa"/>
          </w:tcPr>
          <w:p w:rsidR="00A77D40" w:rsidRPr="004A4EFC" w:rsidRDefault="004A4EFC" w:rsidP="00F532C5">
            <w:pPr>
              <w:pStyle w:val="SyneviNormal"/>
              <w:keepNext/>
              <w:keepLines/>
              <w:spacing w:line="276" w:lineRule="auto"/>
              <w:jc w:val="center"/>
              <w:rPr>
                <w:rFonts w:ascii="Arial Narrow" w:hAnsi="Arial Narrow" w:cs="Calibri"/>
                <w:color w:val="000000"/>
                <w:sz w:val="20"/>
                <w:highlight w:val="black"/>
              </w:rPr>
            </w:pPr>
            <w:r>
              <w:rPr>
                <w:rFonts w:ascii="Arial Narrow" w:hAnsi="Arial Narrow" w:cstheme="minorHAnsi"/>
                <w:noProof/>
                <w:color w:val="000000"/>
                <w:sz w:val="20"/>
                <w:highlight w:val="black"/>
                <w:lang w:val="en-AU"/>
              </w:rPr>
              <w:t>''''''''''''</w:t>
            </w:r>
          </w:p>
        </w:tc>
      </w:tr>
      <w:tr w:rsidR="00A77D40" w:rsidRPr="00E22A64" w:rsidTr="00A77D40">
        <w:tc>
          <w:tcPr>
            <w:tcW w:w="704" w:type="dxa"/>
            <w:shd w:val="clear" w:color="auto" w:fill="auto"/>
          </w:tcPr>
          <w:p w:rsidR="00A77D40" w:rsidRPr="00E22A64" w:rsidRDefault="00A77D40" w:rsidP="00F532C5">
            <w:pPr>
              <w:pStyle w:val="SyneviNormal"/>
              <w:keepNext/>
              <w:keepLines/>
              <w:spacing w:line="276" w:lineRule="auto"/>
              <w:rPr>
                <w:rFonts w:ascii="Arial Narrow" w:hAnsi="Arial Narrow"/>
                <w:sz w:val="20"/>
                <w:lang w:val="en-AU"/>
              </w:rPr>
            </w:pPr>
            <w:r>
              <w:rPr>
                <w:rFonts w:ascii="Arial Narrow" w:hAnsi="Arial Narrow"/>
                <w:sz w:val="20"/>
                <w:lang w:val="en-AU"/>
              </w:rPr>
              <w:t>Year 3</w:t>
            </w:r>
          </w:p>
        </w:tc>
        <w:tc>
          <w:tcPr>
            <w:tcW w:w="992"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993"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1275"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1418"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2268" w:type="dxa"/>
          </w:tcPr>
          <w:p w:rsidR="00A77D40" w:rsidRPr="004A4EFC" w:rsidRDefault="004A4EFC" w:rsidP="00F532C5">
            <w:pPr>
              <w:pStyle w:val="SyneviNormal"/>
              <w:keepNext/>
              <w:keepLines/>
              <w:spacing w:line="276" w:lineRule="auto"/>
              <w:jc w:val="center"/>
              <w:rPr>
                <w:rFonts w:ascii="Arial Narrow" w:hAnsi="Arial Narrow" w:cs="Calibri"/>
                <w:color w:val="000000"/>
                <w:sz w:val="20"/>
                <w:highlight w:val="black"/>
              </w:rPr>
            </w:pPr>
            <w:r>
              <w:rPr>
                <w:rFonts w:ascii="Arial Narrow" w:hAnsi="Arial Narrow" w:cstheme="minorHAnsi"/>
                <w:noProof/>
                <w:color w:val="000000"/>
                <w:sz w:val="20"/>
                <w:highlight w:val="black"/>
                <w:lang w:val="en-AU"/>
              </w:rPr>
              <w:t>'''''''''''</w:t>
            </w:r>
          </w:p>
        </w:tc>
        <w:tc>
          <w:tcPr>
            <w:tcW w:w="1276" w:type="dxa"/>
          </w:tcPr>
          <w:p w:rsidR="00A77D40" w:rsidRPr="004A4EFC" w:rsidRDefault="004A4EFC" w:rsidP="00F532C5">
            <w:pPr>
              <w:pStyle w:val="SyneviNormal"/>
              <w:keepNext/>
              <w:keepLines/>
              <w:spacing w:line="276" w:lineRule="auto"/>
              <w:jc w:val="center"/>
              <w:rPr>
                <w:rFonts w:ascii="Arial Narrow" w:hAnsi="Arial Narrow" w:cs="Calibri"/>
                <w:color w:val="000000"/>
                <w:sz w:val="20"/>
                <w:highlight w:val="black"/>
              </w:rPr>
            </w:pPr>
            <w:r>
              <w:rPr>
                <w:rFonts w:ascii="Arial Narrow" w:hAnsi="Arial Narrow" w:cstheme="minorHAnsi"/>
                <w:noProof/>
                <w:color w:val="000000"/>
                <w:sz w:val="20"/>
                <w:highlight w:val="black"/>
                <w:lang w:val="en-AU"/>
              </w:rPr>
              <w:t>'''''''''''''</w:t>
            </w:r>
          </w:p>
        </w:tc>
      </w:tr>
      <w:tr w:rsidR="00A77D40" w:rsidRPr="00E22A64" w:rsidTr="00A77D40">
        <w:tc>
          <w:tcPr>
            <w:tcW w:w="704" w:type="dxa"/>
            <w:shd w:val="clear" w:color="auto" w:fill="auto"/>
          </w:tcPr>
          <w:p w:rsidR="00A77D40" w:rsidRPr="00E22A64" w:rsidRDefault="00A77D40" w:rsidP="00F532C5">
            <w:pPr>
              <w:pStyle w:val="SyneviNormal"/>
              <w:keepNext/>
              <w:keepLines/>
              <w:spacing w:line="276" w:lineRule="auto"/>
              <w:rPr>
                <w:rFonts w:ascii="Arial Narrow" w:hAnsi="Arial Narrow"/>
                <w:sz w:val="20"/>
                <w:lang w:val="en-AU"/>
              </w:rPr>
            </w:pPr>
            <w:r>
              <w:rPr>
                <w:rFonts w:ascii="Arial Narrow" w:hAnsi="Arial Narrow"/>
                <w:sz w:val="20"/>
                <w:lang w:val="en-AU"/>
              </w:rPr>
              <w:t>Year 4</w:t>
            </w:r>
          </w:p>
        </w:tc>
        <w:tc>
          <w:tcPr>
            <w:tcW w:w="992"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993"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1275"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1418"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2268" w:type="dxa"/>
          </w:tcPr>
          <w:p w:rsidR="00A77D40" w:rsidRPr="004A4EFC" w:rsidRDefault="004A4EFC" w:rsidP="00F532C5">
            <w:pPr>
              <w:pStyle w:val="SyneviNormal"/>
              <w:keepNext/>
              <w:keepLines/>
              <w:spacing w:line="276" w:lineRule="auto"/>
              <w:jc w:val="center"/>
              <w:rPr>
                <w:rFonts w:ascii="Arial Narrow" w:hAnsi="Arial Narrow" w:cs="Calibri"/>
                <w:color w:val="000000"/>
                <w:sz w:val="20"/>
                <w:highlight w:val="black"/>
              </w:rPr>
            </w:pPr>
            <w:r>
              <w:rPr>
                <w:rFonts w:ascii="Arial Narrow" w:hAnsi="Arial Narrow" w:cstheme="minorHAnsi"/>
                <w:noProof/>
                <w:color w:val="000000"/>
                <w:sz w:val="20"/>
                <w:highlight w:val="black"/>
                <w:lang w:val="en-AU"/>
              </w:rPr>
              <w:t>''''''''''''</w:t>
            </w:r>
          </w:p>
        </w:tc>
        <w:tc>
          <w:tcPr>
            <w:tcW w:w="1276" w:type="dxa"/>
          </w:tcPr>
          <w:p w:rsidR="00A77D40" w:rsidRPr="004A4EFC" w:rsidRDefault="004A4EFC" w:rsidP="00F532C5">
            <w:pPr>
              <w:pStyle w:val="SyneviNormal"/>
              <w:keepNext/>
              <w:keepLines/>
              <w:spacing w:line="276" w:lineRule="auto"/>
              <w:jc w:val="center"/>
              <w:rPr>
                <w:rFonts w:ascii="Arial Narrow" w:hAnsi="Arial Narrow" w:cs="Calibri"/>
                <w:color w:val="000000"/>
                <w:sz w:val="20"/>
                <w:highlight w:val="black"/>
              </w:rPr>
            </w:pPr>
            <w:r>
              <w:rPr>
                <w:rFonts w:ascii="Arial Narrow" w:hAnsi="Arial Narrow" w:cstheme="minorHAnsi"/>
                <w:noProof/>
                <w:color w:val="000000"/>
                <w:sz w:val="20"/>
                <w:highlight w:val="black"/>
                <w:lang w:val="en-AU"/>
              </w:rPr>
              <w:t>'''''''''''''</w:t>
            </w:r>
          </w:p>
        </w:tc>
      </w:tr>
      <w:tr w:rsidR="00A77D40" w:rsidRPr="00E22A64" w:rsidTr="00A77D40">
        <w:tc>
          <w:tcPr>
            <w:tcW w:w="704" w:type="dxa"/>
            <w:shd w:val="clear" w:color="auto" w:fill="auto"/>
          </w:tcPr>
          <w:p w:rsidR="00A77D40" w:rsidRPr="00E22A64" w:rsidRDefault="00A77D40" w:rsidP="00F532C5">
            <w:pPr>
              <w:pStyle w:val="SyneviNormal"/>
              <w:keepNext/>
              <w:keepLines/>
              <w:spacing w:line="276" w:lineRule="auto"/>
              <w:rPr>
                <w:rFonts w:ascii="Arial Narrow" w:hAnsi="Arial Narrow"/>
                <w:sz w:val="20"/>
                <w:lang w:val="en-AU"/>
              </w:rPr>
            </w:pPr>
            <w:r>
              <w:rPr>
                <w:rFonts w:ascii="Arial Narrow" w:hAnsi="Arial Narrow"/>
                <w:sz w:val="20"/>
                <w:lang w:val="en-AU"/>
              </w:rPr>
              <w:t>Year 5</w:t>
            </w:r>
          </w:p>
        </w:tc>
        <w:tc>
          <w:tcPr>
            <w:tcW w:w="992"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993"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1275"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1418"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2268" w:type="dxa"/>
          </w:tcPr>
          <w:p w:rsidR="00A77D40" w:rsidRPr="004A4EFC" w:rsidRDefault="004A4EFC" w:rsidP="00F532C5">
            <w:pPr>
              <w:pStyle w:val="SyneviNormal"/>
              <w:keepNext/>
              <w:keepLines/>
              <w:spacing w:line="276" w:lineRule="auto"/>
              <w:jc w:val="center"/>
              <w:rPr>
                <w:rFonts w:ascii="Arial Narrow" w:hAnsi="Arial Narrow" w:cs="Calibri"/>
                <w:color w:val="000000"/>
                <w:sz w:val="20"/>
                <w:highlight w:val="black"/>
              </w:rPr>
            </w:pPr>
            <w:r>
              <w:rPr>
                <w:rFonts w:ascii="Arial Narrow" w:hAnsi="Arial Narrow" w:cstheme="minorHAnsi"/>
                <w:noProof/>
                <w:color w:val="000000"/>
                <w:sz w:val="20"/>
                <w:highlight w:val="black"/>
                <w:lang w:val="en-AU"/>
              </w:rPr>
              <w:t>'''''''''''</w:t>
            </w:r>
          </w:p>
        </w:tc>
        <w:tc>
          <w:tcPr>
            <w:tcW w:w="1276" w:type="dxa"/>
          </w:tcPr>
          <w:p w:rsidR="00A77D40" w:rsidRPr="004A4EFC" w:rsidRDefault="004A4EFC" w:rsidP="00F532C5">
            <w:pPr>
              <w:pStyle w:val="SyneviNormal"/>
              <w:keepNext/>
              <w:keepLines/>
              <w:spacing w:line="276" w:lineRule="auto"/>
              <w:jc w:val="center"/>
              <w:rPr>
                <w:rFonts w:ascii="Arial Narrow" w:hAnsi="Arial Narrow" w:cs="Calibri"/>
                <w:color w:val="000000"/>
                <w:sz w:val="20"/>
                <w:highlight w:val="black"/>
              </w:rPr>
            </w:pPr>
            <w:r>
              <w:rPr>
                <w:rFonts w:ascii="Arial Narrow" w:hAnsi="Arial Narrow" w:cstheme="minorHAnsi"/>
                <w:noProof/>
                <w:color w:val="000000"/>
                <w:sz w:val="20"/>
                <w:highlight w:val="black"/>
                <w:lang w:val="en-AU"/>
              </w:rPr>
              <w:t>''''''''''''''</w:t>
            </w:r>
          </w:p>
        </w:tc>
      </w:tr>
      <w:tr w:rsidR="00A77D40" w:rsidRPr="00E22A64" w:rsidTr="00A77D40">
        <w:tc>
          <w:tcPr>
            <w:tcW w:w="704" w:type="dxa"/>
            <w:shd w:val="clear" w:color="auto" w:fill="auto"/>
          </w:tcPr>
          <w:p w:rsidR="00A77D40" w:rsidRPr="00E22A64" w:rsidRDefault="00A77D40" w:rsidP="00F532C5">
            <w:pPr>
              <w:pStyle w:val="SyneviNormal"/>
              <w:keepNext/>
              <w:keepLines/>
              <w:spacing w:line="276" w:lineRule="auto"/>
              <w:rPr>
                <w:rFonts w:ascii="Arial Narrow" w:hAnsi="Arial Narrow"/>
                <w:sz w:val="20"/>
                <w:lang w:val="en-AU"/>
              </w:rPr>
            </w:pPr>
            <w:r>
              <w:rPr>
                <w:rFonts w:ascii="Arial Narrow" w:hAnsi="Arial Narrow"/>
                <w:sz w:val="20"/>
                <w:lang w:val="en-AU"/>
              </w:rPr>
              <w:t>Year 5</w:t>
            </w:r>
          </w:p>
        </w:tc>
        <w:tc>
          <w:tcPr>
            <w:tcW w:w="992"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993"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1275"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1418" w:type="dxa"/>
            <w:shd w:val="clear" w:color="auto" w:fill="auto"/>
            <w:vAlign w:val="center"/>
          </w:tcPr>
          <w:p w:rsidR="00A77D40" w:rsidRPr="004A4EFC" w:rsidRDefault="004A4EFC" w:rsidP="00F532C5">
            <w:pPr>
              <w:pStyle w:val="SyneviNormal"/>
              <w:keepNext/>
              <w:keepLines/>
              <w:spacing w:line="276" w:lineRule="auto"/>
              <w:jc w:val="center"/>
              <w:rPr>
                <w:rFonts w:ascii="Arial Narrow" w:hAnsi="Arial Narrow"/>
                <w:sz w:val="20"/>
                <w:highlight w:val="black"/>
                <w:lang w:val="en-AU"/>
              </w:rPr>
            </w:pPr>
            <w:r>
              <w:rPr>
                <w:rFonts w:ascii="Arial Narrow" w:hAnsi="Arial Narrow" w:cs="Calibri"/>
                <w:noProof/>
                <w:color w:val="000000"/>
                <w:sz w:val="20"/>
                <w:highlight w:val="black"/>
              </w:rPr>
              <w:t>''''''''''''''</w:t>
            </w:r>
          </w:p>
        </w:tc>
        <w:tc>
          <w:tcPr>
            <w:tcW w:w="2268" w:type="dxa"/>
          </w:tcPr>
          <w:p w:rsidR="00A77D40" w:rsidRPr="004A4EFC" w:rsidRDefault="004A4EFC" w:rsidP="00F532C5">
            <w:pPr>
              <w:pStyle w:val="SyneviNormal"/>
              <w:keepNext/>
              <w:keepLines/>
              <w:spacing w:line="276" w:lineRule="auto"/>
              <w:jc w:val="center"/>
              <w:rPr>
                <w:rFonts w:ascii="Arial Narrow" w:hAnsi="Arial Narrow" w:cs="Calibri"/>
                <w:color w:val="000000"/>
                <w:sz w:val="20"/>
                <w:highlight w:val="black"/>
              </w:rPr>
            </w:pPr>
            <w:r>
              <w:rPr>
                <w:rFonts w:ascii="Arial Narrow" w:hAnsi="Arial Narrow" w:cstheme="minorHAnsi"/>
                <w:noProof/>
                <w:color w:val="000000"/>
                <w:sz w:val="20"/>
                <w:highlight w:val="black"/>
                <w:lang w:val="en-AU"/>
              </w:rPr>
              <w:t>''''''''''</w:t>
            </w:r>
          </w:p>
        </w:tc>
        <w:tc>
          <w:tcPr>
            <w:tcW w:w="1276" w:type="dxa"/>
          </w:tcPr>
          <w:p w:rsidR="00A77D40" w:rsidRPr="004A4EFC" w:rsidRDefault="004A4EFC" w:rsidP="00F532C5">
            <w:pPr>
              <w:pStyle w:val="SyneviNormal"/>
              <w:keepNext/>
              <w:keepLines/>
              <w:spacing w:line="276" w:lineRule="auto"/>
              <w:jc w:val="center"/>
              <w:rPr>
                <w:rFonts w:ascii="Arial Narrow" w:hAnsi="Arial Narrow" w:cs="Calibri"/>
                <w:color w:val="000000"/>
                <w:sz w:val="20"/>
                <w:highlight w:val="black"/>
              </w:rPr>
            </w:pPr>
            <w:r>
              <w:rPr>
                <w:rFonts w:ascii="Arial Narrow" w:hAnsi="Arial Narrow" w:cstheme="minorHAnsi"/>
                <w:noProof/>
                <w:color w:val="000000"/>
                <w:sz w:val="20"/>
                <w:highlight w:val="black"/>
                <w:lang w:val="en-AU"/>
              </w:rPr>
              <w:t>'''''''''''''</w:t>
            </w:r>
          </w:p>
        </w:tc>
      </w:tr>
    </w:tbl>
    <w:p w:rsidR="00A77D40" w:rsidRPr="00E22A64" w:rsidRDefault="00A77D40" w:rsidP="00F532C5">
      <w:pPr>
        <w:keepNext/>
        <w:keepLines/>
        <w:widowControl/>
        <w:rPr>
          <w:rFonts w:ascii="Arial Narrow" w:hAnsi="Arial Narrow"/>
          <w:sz w:val="18"/>
          <w:szCs w:val="20"/>
        </w:rPr>
      </w:pPr>
      <w:r>
        <w:rPr>
          <w:rFonts w:ascii="Arial Narrow" w:hAnsi="Arial Narrow"/>
          <w:sz w:val="18"/>
          <w:szCs w:val="20"/>
        </w:rPr>
        <w:t xml:space="preserve">HC = </w:t>
      </w:r>
      <w:proofErr w:type="spellStart"/>
      <w:r>
        <w:rPr>
          <w:rFonts w:ascii="Arial Narrow" w:hAnsi="Arial Narrow"/>
          <w:sz w:val="18"/>
          <w:szCs w:val="20"/>
        </w:rPr>
        <w:t>hydroxycarbamide</w:t>
      </w:r>
      <w:proofErr w:type="spellEnd"/>
      <w:r>
        <w:rPr>
          <w:rFonts w:ascii="Arial Narrow" w:hAnsi="Arial Narrow"/>
          <w:sz w:val="18"/>
          <w:szCs w:val="20"/>
        </w:rPr>
        <w:t>/</w:t>
      </w:r>
      <w:proofErr w:type="spellStart"/>
      <w:r>
        <w:rPr>
          <w:rFonts w:ascii="Arial Narrow" w:hAnsi="Arial Narrow"/>
          <w:sz w:val="18"/>
          <w:szCs w:val="20"/>
        </w:rPr>
        <w:t>hydroxyurea</w:t>
      </w:r>
      <w:proofErr w:type="spellEnd"/>
      <w:r>
        <w:rPr>
          <w:rFonts w:ascii="Arial Narrow" w:hAnsi="Arial Narrow"/>
          <w:sz w:val="18"/>
          <w:szCs w:val="20"/>
        </w:rPr>
        <w:t xml:space="preserve"> </w:t>
      </w:r>
      <w:r w:rsidRPr="00E22A64">
        <w:rPr>
          <w:rFonts w:ascii="Arial Narrow" w:hAnsi="Arial Narrow"/>
          <w:sz w:val="18"/>
          <w:szCs w:val="20"/>
        </w:rPr>
        <w:t>FBC = full blood count, LFT = liver function test</w:t>
      </w:r>
    </w:p>
    <w:p w:rsidR="004679D1" w:rsidRPr="004679D1" w:rsidRDefault="00A77D40" w:rsidP="004679D1">
      <w:pPr>
        <w:keepNext/>
        <w:keepLines/>
        <w:widowControl/>
        <w:spacing w:after="160"/>
        <w:rPr>
          <w:rFonts w:ascii="Arial Narrow" w:hAnsi="Arial Narrow"/>
          <w:sz w:val="18"/>
          <w:szCs w:val="20"/>
        </w:rPr>
      </w:pPr>
      <w:r w:rsidRPr="00E22A64">
        <w:rPr>
          <w:rFonts w:ascii="Arial Narrow" w:hAnsi="Arial Narrow"/>
          <w:sz w:val="18"/>
          <w:szCs w:val="20"/>
        </w:rPr>
        <w:t>Source: Table 4.1-7, p261</w:t>
      </w:r>
      <w:r>
        <w:rPr>
          <w:rFonts w:ascii="Arial Narrow" w:hAnsi="Arial Narrow"/>
          <w:sz w:val="18"/>
          <w:szCs w:val="20"/>
        </w:rPr>
        <w:t xml:space="preserve"> and</w:t>
      </w:r>
      <w:r w:rsidRPr="00E22A64">
        <w:rPr>
          <w:rFonts w:ascii="Arial Narrow" w:hAnsi="Arial Narrow"/>
          <w:sz w:val="18"/>
          <w:szCs w:val="20"/>
        </w:rPr>
        <w:t xml:space="preserve"> Table 4.1-8, p262 of the submission.</w:t>
      </w:r>
    </w:p>
    <w:p w:rsidR="00A77D40" w:rsidRPr="00A77D40" w:rsidRDefault="00A77D40" w:rsidP="00E356F4">
      <w:pPr>
        <w:pStyle w:val="ListParagraph"/>
        <w:widowControl/>
        <w:numPr>
          <w:ilvl w:val="1"/>
          <w:numId w:val="2"/>
        </w:numPr>
        <w:spacing w:after="120"/>
      </w:pPr>
      <w:r w:rsidRPr="00A77D40">
        <w:t xml:space="preserve">The submission estimated that the cost of listing ruxolitinib for patients with PV who are intolerant or resistant to HC will have a net cost of </w:t>
      </w:r>
      <w:r w:rsidR="00981F0A">
        <w:t>less than</w:t>
      </w:r>
      <w:r w:rsidRPr="00A77D40">
        <w:t>$</w:t>
      </w:r>
      <w:r w:rsidR="00441A17">
        <w:t>10</w:t>
      </w:r>
      <w:r w:rsidRPr="00A77D40">
        <w:t xml:space="preserve"> million in Year 1 of listing and up to</w:t>
      </w:r>
      <w:r w:rsidR="00981F0A">
        <w:t xml:space="preserve"> less than</w:t>
      </w:r>
      <w:r w:rsidRPr="00A77D40">
        <w:t xml:space="preserve"> $</w:t>
      </w:r>
      <w:r w:rsidR="00441A17">
        <w:t>10</w:t>
      </w:r>
      <w:r w:rsidRPr="00A77D40">
        <w:t xml:space="preserve"> million by Year 6 of listing.  </w:t>
      </w:r>
    </w:p>
    <w:p w:rsidR="00A77D40" w:rsidRPr="00A77D40" w:rsidRDefault="00A77D40" w:rsidP="00E356F4">
      <w:pPr>
        <w:pStyle w:val="ListParagraph"/>
        <w:widowControl/>
        <w:numPr>
          <w:ilvl w:val="1"/>
          <w:numId w:val="2"/>
        </w:numPr>
        <w:spacing w:after="120"/>
      </w:pPr>
      <w:r w:rsidRPr="00A77D40">
        <w:t xml:space="preserve">The overall financial estimate was likely to be underestimated as the number of packs of peginterferon α-2a offset was likely vastly overestimated.  </w:t>
      </w:r>
      <w:proofErr w:type="gramStart"/>
      <w:r w:rsidRPr="00A77D40">
        <w:t>Between July 2018 –</w:t>
      </w:r>
      <w:proofErr w:type="gramEnd"/>
      <w:r w:rsidRPr="00A77D40">
        <w:t xml:space="preserve"> June 2019, only 654 items of peginterferon α-2a (11037X) were processed on the PBS, whereas the submission assumed that 3,864 packs would be offset in Year 1 of listing (2020).  This seems implausible and leads to an overestimated offset for BAT and lower overall impact on the health budget.  Assuming a ratio of 16:84 peginterferon to HC (as observed in RESPONSE), the overall financial impact increases to</w:t>
      </w:r>
      <w:r w:rsidR="00981F0A">
        <w:t xml:space="preserve"> less than</w:t>
      </w:r>
      <w:r w:rsidRPr="00A77D40">
        <w:t xml:space="preserve"> $</w:t>
      </w:r>
      <w:r w:rsidR="00441A17">
        <w:t>10</w:t>
      </w:r>
      <w:r w:rsidRPr="00A77D40">
        <w:t xml:space="preserve"> million in Year 1 increasing to $</w:t>
      </w:r>
      <w:r w:rsidR="00441A17">
        <w:t>10 - $20</w:t>
      </w:r>
      <w:r w:rsidRPr="00A77D40">
        <w:t xml:space="preserve"> million in Year 6, an increase of more than 40% each year.  </w:t>
      </w:r>
    </w:p>
    <w:p w:rsidR="00336F2D" w:rsidRDefault="00A77D40" w:rsidP="00E356F4">
      <w:pPr>
        <w:pStyle w:val="ListParagraph"/>
        <w:numPr>
          <w:ilvl w:val="1"/>
          <w:numId w:val="2"/>
        </w:numPr>
        <w:spacing w:after="120"/>
      </w:pPr>
      <w:r w:rsidRPr="00A77D40">
        <w:t>Additionally, peginter</w:t>
      </w:r>
      <w:r w:rsidR="005D023C">
        <w:t>fer</w:t>
      </w:r>
      <w:r w:rsidRPr="00A77D40">
        <w:t>on α-2a has a special pricing arrangement which was not available to the sponsor, therefore the cost of BAT offset is overestimated.</w:t>
      </w:r>
    </w:p>
    <w:p w:rsidR="00E204B7" w:rsidRPr="00E204B7" w:rsidRDefault="00E204B7" w:rsidP="00E356F4">
      <w:pPr>
        <w:pStyle w:val="ListParagraph"/>
        <w:numPr>
          <w:ilvl w:val="1"/>
          <w:numId w:val="2"/>
        </w:numPr>
        <w:spacing w:after="120"/>
      </w:pPr>
      <w:r w:rsidRPr="00E204B7">
        <w:t>DUSC considered the eligible population presented in the submission to be overestimated, but the overall costs to be underestimated. The main issues are:</w:t>
      </w:r>
    </w:p>
    <w:p w:rsidR="00E204B7" w:rsidRPr="00E204B7" w:rsidRDefault="00E204B7" w:rsidP="00E356F4">
      <w:pPr>
        <w:pStyle w:val="ListParagraph"/>
        <w:numPr>
          <w:ilvl w:val="0"/>
          <w:numId w:val="27"/>
        </w:numPr>
        <w:spacing w:after="120"/>
      </w:pPr>
      <w:r w:rsidRPr="00E204B7">
        <w:rPr>
          <w:lang w:val="en-US"/>
        </w:rPr>
        <w:t>The assumptions used to derive eligible patient numbers (prevalence rate, incidence rate, proportion treated with HC and proportion intolerant or resistant to HC) were all likely overestimated, leading to an overestimated number of eligible patients. This was exacerbated in Year 1 by the additional</w:t>
      </w:r>
      <w:r w:rsidR="00981F0A">
        <w:rPr>
          <w:lang w:val="en-US"/>
        </w:rPr>
        <w:t xml:space="preserve"> less than 10,000 </w:t>
      </w:r>
      <w:r w:rsidRPr="00E204B7">
        <w:rPr>
          <w:lang w:val="en-US"/>
        </w:rPr>
        <w:t>grandfathered patients, for which no justification was provided.</w:t>
      </w:r>
    </w:p>
    <w:p w:rsidR="00E204B7" w:rsidRPr="00E204B7" w:rsidRDefault="00E204B7" w:rsidP="00E356F4">
      <w:pPr>
        <w:pStyle w:val="ListParagraph"/>
        <w:numPr>
          <w:ilvl w:val="0"/>
          <w:numId w:val="27"/>
        </w:numPr>
        <w:spacing w:after="120"/>
      </w:pPr>
      <w:r w:rsidRPr="00E204B7">
        <w:t xml:space="preserve">It was unclear why uptake in prevalent patients </w:t>
      </w:r>
      <w:r w:rsidRPr="0034755B">
        <w:t>(</w:t>
      </w:r>
      <w:r w:rsidR="004A4EFC">
        <w:rPr>
          <w:noProof/>
          <w:color w:val="000000"/>
          <w:highlight w:val="black"/>
        </w:rPr>
        <w:t>'''''</w:t>
      </w:r>
      <w:r w:rsidR="0034755B" w:rsidRPr="0034755B">
        <w:t xml:space="preserve">% in Year 1; cumulative uptake of </w:t>
      </w:r>
      <w:r w:rsidR="004A4EFC">
        <w:rPr>
          <w:noProof/>
          <w:color w:val="000000"/>
          <w:highlight w:val="black"/>
        </w:rPr>
        <w:t>'''''</w:t>
      </w:r>
      <w:r w:rsidR="0034755B" w:rsidRPr="0034755B">
        <w:t>% by Year 6</w:t>
      </w:r>
      <w:r w:rsidRPr="0034755B">
        <w:t>) would require such a long time to ramp up to the same level as incident</w:t>
      </w:r>
      <w:r w:rsidRPr="00E204B7">
        <w:t xml:space="preserve"> patients (</w:t>
      </w:r>
      <w:r w:rsidR="004A4EFC">
        <w:rPr>
          <w:noProof/>
          <w:color w:val="000000"/>
          <w:highlight w:val="black"/>
        </w:rPr>
        <w:t>'''''</w:t>
      </w:r>
      <w:r w:rsidRPr="00E204B7">
        <w:t xml:space="preserve">% in each of Years 2-6). DUSC considered </w:t>
      </w:r>
      <w:r w:rsidR="004A4EFC">
        <w:rPr>
          <w:noProof/>
          <w:color w:val="000000"/>
          <w:highlight w:val="black"/>
        </w:rPr>
        <w:t>'''''</w:t>
      </w:r>
      <w:r w:rsidRPr="00E204B7">
        <w:t>% uptake from the prevalent pool in Year 1 was too low, considering these patients are resistant or intolerant to HC. However, the unclear therapeutic</w:t>
      </w:r>
      <w:r w:rsidRPr="00E204B7">
        <w:rPr>
          <w:lang w:val="en-US"/>
        </w:rPr>
        <w:t xml:space="preserve"> advantage, with no impact on survival or transformation, but some risks, may limit uptake.  </w:t>
      </w:r>
    </w:p>
    <w:p w:rsidR="00E204B7" w:rsidRPr="00E204B7" w:rsidRDefault="00E204B7" w:rsidP="00E356F4">
      <w:pPr>
        <w:pStyle w:val="ListParagraph"/>
        <w:numPr>
          <w:ilvl w:val="0"/>
          <w:numId w:val="27"/>
        </w:numPr>
        <w:spacing w:after="120"/>
      </w:pPr>
      <w:r w:rsidRPr="00E204B7">
        <w:t>The estimated prescription and MBS offsets relied on an economic model with little face validity (i.e. the economic model relies on an overall survival benefit, which was not supported by the MAJIC trial).</w:t>
      </w:r>
    </w:p>
    <w:p w:rsidR="00E204B7" w:rsidRPr="00E204B7" w:rsidRDefault="00E204B7" w:rsidP="00E356F4">
      <w:pPr>
        <w:pStyle w:val="ListParagraph"/>
        <w:numPr>
          <w:ilvl w:val="0"/>
          <w:numId w:val="27"/>
        </w:numPr>
        <w:spacing w:after="120"/>
        <w:rPr>
          <w:i/>
        </w:rPr>
      </w:pPr>
      <w:r w:rsidRPr="00E204B7">
        <w:lastRenderedPageBreak/>
        <w:t>The number of packs of peginterferon α-2a offset was likely vastly overestimated.</w:t>
      </w:r>
      <w:r w:rsidRPr="00E204B7">
        <w:rPr>
          <w:i/>
        </w:rPr>
        <w:t xml:space="preserve"> </w:t>
      </w:r>
      <w:r w:rsidRPr="00E204B7">
        <w:t xml:space="preserve">An overestimate of the number of peginterferon </w:t>
      </w:r>
      <w:r w:rsidRPr="00E204B7">
        <w:rPr>
          <w:rFonts w:cs="Calibri"/>
        </w:rPr>
        <w:t>α</w:t>
      </w:r>
      <w:r w:rsidRPr="00E204B7">
        <w:t xml:space="preserve">-2a offsets will lead to an underestimated overall cost of listing ruxolitinib. </w:t>
      </w:r>
    </w:p>
    <w:p w:rsidR="00E204B7" w:rsidRPr="00E204B7" w:rsidRDefault="00E204B7" w:rsidP="00E356F4">
      <w:pPr>
        <w:pStyle w:val="ListParagraph"/>
        <w:numPr>
          <w:ilvl w:val="0"/>
          <w:numId w:val="27"/>
        </w:numPr>
        <w:spacing w:after="120"/>
      </w:pPr>
      <w:r w:rsidRPr="00E204B7">
        <w:rPr>
          <w:lang w:val="en-US"/>
        </w:rPr>
        <w:t xml:space="preserve">Offsets for ruxolitinib in </w:t>
      </w:r>
      <w:proofErr w:type="spellStart"/>
      <w:r w:rsidRPr="00E204B7">
        <w:t>myelofibrosis</w:t>
      </w:r>
      <w:proofErr w:type="spellEnd"/>
      <w:r w:rsidRPr="00E204B7" w:rsidDel="00642920">
        <w:rPr>
          <w:lang w:val="en-US"/>
        </w:rPr>
        <w:t xml:space="preserve"> </w:t>
      </w:r>
      <w:r w:rsidRPr="00E204B7">
        <w:rPr>
          <w:lang w:val="en-US"/>
        </w:rPr>
        <w:t xml:space="preserve">are unlikely to be </w:t>
      </w:r>
      <w:proofErr w:type="spellStart"/>
      <w:r w:rsidRPr="00E204B7">
        <w:rPr>
          <w:lang w:val="en-US"/>
        </w:rPr>
        <w:t>realised</w:t>
      </w:r>
      <w:proofErr w:type="spellEnd"/>
      <w:r w:rsidRPr="00E204B7">
        <w:rPr>
          <w:lang w:val="en-US"/>
        </w:rPr>
        <w:t xml:space="preserve"> if ruxolitinib has no impact on survival or transformation in PV.</w:t>
      </w:r>
    </w:p>
    <w:p w:rsidR="00E204B7" w:rsidRDefault="00E204B7" w:rsidP="00E356F4">
      <w:pPr>
        <w:pStyle w:val="ListParagraph"/>
        <w:numPr>
          <w:ilvl w:val="0"/>
          <w:numId w:val="27"/>
        </w:numPr>
        <w:spacing w:after="120"/>
      </w:pPr>
      <w:r w:rsidRPr="00E204B7">
        <w:rPr>
          <w:lang w:val="en-US"/>
        </w:rPr>
        <w:t xml:space="preserve">There was no link between continuation criteria and outcomes, which would likely lead to long-term use in the eligible population with up to 30-year survival. </w:t>
      </w:r>
    </w:p>
    <w:p w:rsidR="00576972" w:rsidRPr="00C9624D" w:rsidRDefault="00576972" w:rsidP="00E356F4">
      <w:pPr>
        <w:pStyle w:val="Heading2"/>
        <w:spacing w:after="120"/>
      </w:pPr>
      <w:r w:rsidRPr="00C9624D">
        <w:t>Quality Use of Medicines</w:t>
      </w:r>
      <w:bookmarkEnd w:id="32"/>
    </w:p>
    <w:p w:rsidR="00576972" w:rsidRPr="00B05ECE" w:rsidRDefault="00C736CF" w:rsidP="00E356F4">
      <w:pPr>
        <w:pStyle w:val="ListParagraph"/>
        <w:widowControl/>
        <w:numPr>
          <w:ilvl w:val="1"/>
          <w:numId w:val="2"/>
        </w:numPr>
        <w:spacing w:after="120"/>
      </w:pPr>
      <w:r w:rsidRPr="00B05ECE">
        <w:t>No information around quality use of medicines (QUM) was included in the submission.  However, there may be QUM issues around the titration of the dose from 5mg to 25mg twice daily, as well as the possible combination of tablets used to achieve the desired dose.  Additionally, it is recommended that ruxolitinib be tapered down gradually in the event of a discontinuation.  However</w:t>
      </w:r>
      <w:r w:rsidR="00D165A3" w:rsidRPr="00B05ECE">
        <w:t>,</w:t>
      </w:r>
      <w:r w:rsidRPr="00B05ECE">
        <w:t xml:space="preserve"> provision for this tapering dose has not been provided in the requested restriction.</w:t>
      </w:r>
    </w:p>
    <w:p w:rsidR="00576972" w:rsidRPr="00C9624D" w:rsidRDefault="00576972" w:rsidP="00E356F4">
      <w:pPr>
        <w:pStyle w:val="Heading2"/>
        <w:spacing w:after="120"/>
      </w:pPr>
      <w:bookmarkStart w:id="35" w:name="_Toc19700367"/>
      <w:r w:rsidRPr="00C9624D">
        <w:t>Financial Management – Risk Sharing Arrangements</w:t>
      </w:r>
      <w:bookmarkEnd w:id="35"/>
    </w:p>
    <w:p w:rsidR="00000D73" w:rsidRDefault="00C736CF" w:rsidP="00E356F4">
      <w:pPr>
        <w:pStyle w:val="ListParagraph"/>
        <w:widowControl/>
        <w:numPr>
          <w:ilvl w:val="1"/>
          <w:numId w:val="2"/>
        </w:numPr>
        <w:spacing w:after="120"/>
      </w:pPr>
      <w:r>
        <w:t>No risk sharing arrangements were proposed.  However a special pricing arrangement, with a rebate of $</w:t>
      </w:r>
      <w:r w:rsidR="004A4EFC">
        <w:rPr>
          <w:noProof/>
          <w:color w:val="000000"/>
          <w:highlight w:val="black"/>
        </w:rPr>
        <w:t>'''''''''''''''''</w:t>
      </w:r>
      <w:r>
        <w:t xml:space="preserve"> per pack, was proposed (Published DPMQ = $</w:t>
      </w:r>
      <w:r w:rsidR="004A4EFC">
        <w:rPr>
          <w:noProof/>
          <w:color w:val="000000"/>
          <w:highlight w:val="black"/>
        </w:rPr>
        <w:t>''''''''''''''''</w:t>
      </w:r>
      <w:r>
        <w:t>, effective DPMQ = $</w:t>
      </w:r>
      <w:r w:rsidR="004A4EFC">
        <w:rPr>
          <w:noProof/>
          <w:color w:val="000000"/>
          <w:highlight w:val="black"/>
        </w:rPr>
        <w:t>''''''''''''</w:t>
      </w:r>
      <w:r>
        <w:t>)</w:t>
      </w:r>
      <w:r w:rsidR="00D165A3">
        <w:t>.</w:t>
      </w:r>
      <w:r>
        <w:t xml:space="preserve"> </w:t>
      </w:r>
    </w:p>
    <w:p w:rsidR="005209F0" w:rsidRDefault="005209F0" w:rsidP="00E356F4">
      <w:pPr>
        <w:spacing w:after="120"/>
        <w:ind w:firstLine="709"/>
        <w:rPr>
          <w:i/>
        </w:rPr>
      </w:pPr>
      <w:r w:rsidRPr="005209F0">
        <w:rPr>
          <w:i/>
        </w:rPr>
        <w:t xml:space="preserve">For more detail on PBAC’s view, see section 7 PBAC outcome. </w:t>
      </w:r>
    </w:p>
    <w:p w:rsidR="001837CB" w:rsidRDefault="001837CB" w:rsidP="00E356F4">
      <w:pPr>
        <w:pStyle w:val="Heading1"/>
        <w:keepNext/>
        <w:keepLines/>
        <w:widowControl/>
        <w:numPr>
          <w:ilvl w:val="0"/>
          <w:numId w:val="2"/>
        </w:numPr>
        <w:spacing w:after="120"/>
        <w:ind w:left="709" w:hanging="709"/>
        <w:rPr>
          <w:rFonts w:asciiTheme="minorHAnsi" w:eastAsiaTheme="majorEastAsia" w:hAnsiTheme="minorHAnsi" w:cstheme="majorBidi"/>
          <w:caps w:val="0"/>
          <w:snapToGrid/>
          <w:szCs w:val="28"/>
        </w:rPr>
      </w:pPr>
      <w:r w:rsidRPr="00124B28">
        <w:rPr>
          <w:rFonts w:asciiTheme="minorHAnsi" w:eastAsiaTheme="majorEastAsia" w:hAnsiTheme="minorHAnsi" w:cstheme="majorBidi"/>
          <w:caps w:val="0"/>
          <w:snapToGrid/>
          <w:szCs w:val="28"/>
        </w:rPr>
        <w:t>PBAC Outcome</w:t>
      </w:r>
    </w:p>
    <w:p w:rsidR="003136BE" w:rsidRPr="003A3990" w:rsidRDefault="003136BE" w:rsidP="00E356F4">
      <w:pPr>
        <w:pStyle w:val="ListParagraph"/>
        <w:widowControl/>
        <w:numPr>
          <w:ilvl w:val="1"/>
          <w:numId w:val="2"/>
        </w:numPr>
        <w:spacing w:after="120"/>
        <w:rPr>
          <w:rFonts w:asciiTheme="minorHAnsi" w:hAnsiTheme="minorHAnsi"/>
          <w:bCs/>
          <w:lang w:val="en-GB"/>
        </w:rPr>
      </w:pPr>
      <w:r w:rsidRPr="003A3990">
        <w:rPr>
          <w:rFonts w:asciiTheme="minorHAnsi" w:hAnsiTheme="minorHAnsi"/>
          <w:bCs/>
          <w:lang w:val="en-GB"/>
        </w:rPr>
        <w:t xml:space="preserve">The PBAC did not recommend the listing of ruxolitinib for the treatment of patients with </w:t>
      </w:r>
      <w:proofErr w:type="spellStart"/>
      <w:r w:rsidRPr="003A3990">
        <w:rPr>
          <w:rFonts w:asciiTheme="minorHAnsi" w:hAnsiTheme="minorHAnsi"/>
          <w:bCs/>
          <w:lang w:val="en-GB"/>
        </w:rPr>
        <w:t>polycythemia</w:t>
      </w:r>
      <w:proofErr w:type="spellEnd"/>
      <w:r w:rsidRPr="003A3990">
        <w:rPr>
          <w:rFonts w:asciiTheme="minorHAnsi" w:hAnsiTheme="minorHAnsi"/>
          <w:bCs/>
          <w:lang w:val="en-GB"/>
        </w:rPr>
        <w:t xml:space="preserve"> </w:t>
      </w:r>
      <w:proofErr w:type="spellStart"/>
      <w:proofErr w:type="gramStart"/>
      <w:r w:rsidRPr="003A3990">
        <w:rPr>
          <w:rFonts w:asciiTheme="minorHAnsi" w:hAnsiTheme="minorHAnsi"/>
          <w:bCs/>
          <w:lang w:val="en-GB"/>
        </w:rPr>
        <w:t>vera</w:t>
      </w:r>
      <w:proofErr w:type="spellEnd"/>
      <w:proofErr w:type="gramEnd"/>
      <w:r w:rsidRPr="003A3990">
        <w:rPr>
          <w:rFonts w:asciiTheme="minorHAnsi" w:hAnsiTheme="minorHAnsi"/>
          <w:bCs/>
          <w:lang w:val="en-GB"/>
        </w:rPr>
        <w:t xml:space="preserve"> (PV) who are resistant to, or intolerant of, </w:t>
      </w:r>
      <w:proofErr w:type="spellStart"/>
      <w:r w:rsidRPr="003A3990">
        <w:rPr>
          <w:rFonts w:asciiTheme="minorHAnsi" w:hAnsiTheme="minorHAnsi"/>
          <w:bCs/>
          <w:lang w:val="en-GB"/>
        </w:rPr>
        <w:t>hydroxyurea</w:t>
      </w:r>
      <w:proofErr w:type="spellEnd"/>
      <w:r w:rsidRPr="003A3990">
        <w:rPr>
          <w:rFonts w:asciiTheme="minorHAnsi" w:hAnsiTheme="minorHAnsi"/>
          <w:bCs/>
          <w:lang w:val="en-GB"/>
        </w:rPr>
        <w:t xml:space="preserve">. The PBAC considered that the evidence from the key trial did not clearly support a benefit in terms of </w:t>
      </w:r>
      <w:r w:rsidR="003A3990" w:rsidRPr="003A3990">
        <w:rPr>
          <w:rFonts w:asciiTheme="minorHAnsi" w:hAnsiTheme="minorHAnsi"/>
          <w:bCs/>
          <w:lang w:val="en-GB"/>
        </w:rPr>
        <w:t xml:space="preserve">clinically </w:t>
      </w:r>
      <w:r w:rsidRPr="003A3990">
        <w:rPr>
          <w:rFonts w:asciiTheme="minorHAnsi" w:hAnsiTheme="minorHAnsi"/>
          <w:bCs/>
          <w:lang w:val="en-GB"/>
        </w:rPr>
        <w:t xml:space="preserve">relevant outcomes or overall survival. Further, the PBAC considered that the economic model did not provide a reliable basis for assessing the cost-effectiveness of ruxolitinib as the clinical </w:t>
      </w:r>
      <w:r w:rsidR="00AD683B" w:rsidRPr="003A3990">
        <w:rPr>
          <w:rFonts w:asciiTheme="minorHAnsi" w:hAnsiTheme="minorHAnsi"/>
          <w:bCs/>
          <w:lang w:val="en-GB"/>
        </w:rPr>
        <w:t xml:space="preserve">benefits </w:t>
      </w:r>
      <w:r w:rsidRPr="003A3990">
        <w:rPr>
          <w:rFonts w:asciiTheme="minorHAnsi" w:hAnsiTheme="minorHAnsi"/>
          <w:bCs/>
          <w:lang w:val="en-GB"/>
        </w:rPr>
        <w:t xml:space="preserve">modelled were </w:t>
      </w:r>
      <w:r w:rsidR="00AD683B" w:rsidRPr="003A3990">
        <w:rPr>
          <w:rFonts w:asciiTheme="minorHAnsi" w:hAnsiTheme="minorHAnsi"/>
          <w:bCs/>
          <w:lang w:val="en-GB"/>
        </w:rPr>
        <w:t>not supported by evidence</w:t>
      </w:r>
      <w:r w:rsidRPr="003A3990">
        <w:rPr>
          <w:rFonts w:asciiTheme="minorHAnsi" w:hAnsiTheme="minorHAnsi"/>
          <w:bCs/>
          <w:lang w:val="en-GB"/>
        </w:rPr>
        <w:t xml:space="preserve">. </w:t>
      </w:r>
    </w:p>
    <w:p w:rsidR="00C22F2E" w:rsidRDefault="00C22F2E" w:rsidP="00E356F4">
      <w:pPr>
        <w:numPr>
          <w:ilvl w:val="1"/>
          <w:numId w:val="2"/>
        </w:numPr>
        <w:spacing w:after="120"/>
        <w:rPr>
          <w:rFonts w:asciiTheme="minorHAnsi" w:hAnsiTheme="minorHAnsi"/>
          <w:bCs/>
          <w:lang w:val="en-GB"/>
        </w:rPr>
      </w:pPr>
      <w:r>
        <w:t>The PBAC</w:t>
      </w:r>
      <w:r w:rsidRPr="002B3792">
        <w:t xml:space="preserve"> noted </w:t>
      </w:r>
      <w:r w:rsidRPr="00E16D41">
        <w:t>that the</w:t>
      </w:r>
      <w:r w:rsidR="00E16D41" w:rsidRPr="00E16D41">
        <w:t xml:space="preserve"> European </w:t>
      </w:r>
      <w:proofErr w:type="spellStart"/>
      <w:r w:rsidR="00E16D41" w:rsidRPr="00E16D41">
        <w:t>LeukemiaNet</w:t>
      </w:r>
      <w:proofErr w:type="spellEnd"/>
      <w:r w:rsidR="00E16D41" w:rsidRPr="00E16D41">
        <w:t xml:space="preserve"> (ELN) </w:t>
      </w:r>
      <w:r w:rsidRPr="002B3792">
        <w:t>criteria for response in PV was updated in 2013 to include more clinically relevant response definitions and</w:t>
      </w:r>
      <w:r w:rsidR="00B1100A">
        <w:t>,</w:t>
      </w:r>
      <w:r w:rsidRPr="002B3792">
        <w:t xml:space="preserve"> as a result, are more focused on improvement in disease related symptoms and reduction in hepatosplenomegaly.</w:t>
      </w:r>
      <w:r>
        <w:t xml:space="preserve"> </w:t>
      </w:r>
      <w:r w:rsidR="002923BE">
        <w:t>T</w:t>
      </w:r>
      <w:r>
        <w:t xml:space="preserve">he PBAC agreed with </w:t>
      </w:r>
      <w:r w:rsidRPr="00C22F2E">
        <w:t>the ESC</w:t>
      </w:r>
      <w:r>
        <w:t xml:space="preserve"> and</w:t>
      </w:r>
      <w:r w:rsidRPr="00C22F2E">
        <w:t xml:space="preserve"> considered that the exclusion of requirement for no disease related symptoms from the response criteria in the MAJIC trial (and consequently, the proposed continuation criteria) may not be in line with the direction of current clinical practice.</w:t>
      </w:r>
      <w:r w:rsidR="002923BE">
        <w:t xml:space="preserve"> However, the PBAC also considered that the impact of treatment on symptoms can be su</w:t>
      </w:r>
      <w:r w:rsidR="009B1FD6">
        <w:t>bjective. The pre-PBAC response</w:t>
      </w:r>
      <w:r w:rsidR="002923BE">
        <w:t xml:space="preserve"> argued that ruxolitinib improves quality of life (</w:t>
      </w:r>
      <w:proofErr w:type="spellStart"/>
      <w:r w:rsidR="002923BE">
        <w:t>QoL</w:t>
      </w:r>
      <w:proofErr w:type="spellEnd"/>
      <w:r w:rsidR="002923BE">
        <w:t xml:space="preserve">) by improved symptom control but acknowledged that this is not captured by the response criteria. </w:t>
      </w:r>
      <w:r>
        <w:t xml:space="preserve">The PBAC advised that a requested listing and restriction in this setting </w:t>
      </w:r>
      <w:r w:rsidR="002A62A5">
        <w:t xml:space="preserve">with </w:t>
      </w:r>
      <w:r w:rsidR="002A62A5">
        <w:lastRenderedPageBreak/>
        <w:t>continuation criteria in line with modified ELN criteria was acceptable</w:t>
      </w:r>
      <w:r>
        <w:t xml:space="preserve">. </w:t>
      </w:r>
    </w:p>
    <w:p w:rsidR="001837CB" w:rsidRPr="00C22F2E" w:rsidRDefault="00F97BA1" w:rsidP="00E356F4">
      <w:pPr>
        <w:numPr>
          <w:ilvl w:val="1"/>
          <w:numId w:val="2"/>
        </w:numPr>
        <w:spacing w:after="120"/>
        <w:rPr>
          <w:rFonts w:asciiTheme="minorHAnsi" w:hAnsiTheme="minorHAnsi"/>
          <w:bCs/>
          <w:lang w:val="en-GB"/>
        </w:rPr>
      </w:pPr>
      <w:r w:rsidRPr="00C22F2E">
        <w:rPr>
          <w:rFonts w:asciiTheme="minorHAnsi" w:hAnsiTheme="minorHAnsi"/>
          <w:bCs/>
          <w:lang w:val="en-GB"/>
        </w:rPr>
        <w:t>In accordance with treatment guidelines, the PBAC considered that</w:t>
      </w:r>
      <w:r w:rsidR="0028532E" w:rsidRPr="00C22F2E">
        <w:rPr>
          <w:rFonts w:asciiTheme="minorHAnsi" w:hAnsiTheme="minorHAnsi"/>
          <w:bCs/>
          <w:lang w:val="en-GB"/>
        </w:rPr>
        <w:t xml:space="preserve"> the clinical place of ruxolitinib</w:t>
      </w:r>
      <w:r w:rsidRPr="00C22F2E">
        <w:rPr>
          <w:rFonts w:asciiTheme="minorHAnsi" w:hAnsiTheme="minorHAnsi"/>
          <w:bCs/>
          <w:lang w:val="en-GB"/>
        </w:rPr>
        <w:t xml:space="preserve"> </w:t>
      </w:r>
      <w:r w:rsidR="0028532E" w:rsidRPr="00C22F2E">
        <w:rPr>
          <w:rFonts w:asciiTheme="minorHAnsi" w:hAnsiTheme="minorHAnsi"/>
          <w:bCs/>
          <w:lang w:val="en-GB"/>
        </w:rPr>
        <w:t xml:space="preserve">in therapy should be </w:t>
      </w:r>
      <w:r w:rsidRPr="00C22F2E">
        <w:rPr>
          <w:rFonts w:asciiTheme="minorHAnsi" w:hAnsiTheme="minorHAnsi"/>
          <w:bCs/>
          <w:lang w:val="en-GB"/>
        </w:rPr>
        <w:t>for patients who have failed treatment with other available therapies and/or for those with extreme pruritus or symptoms of splenomegaly</w:t>
      </w:r>
      <w:r w:rsidR="009D4EBD" w:rsidRPr="00C22F2E">
        <w:rPr>
          <w:rFonts w:asciiTheme="minorHAnsi" w:hAnsiTheme="minorHAnsi"/>
          <w:bCs/>
          <w:lang w:val="en-GB"/>
        </w:rPr>
        <w:t xml:space="preserve">. </w:t>
      </w:r>
    </w:p>
    <w:p w:rsidR="00F97BA1" w:rsidRPr="005209F0" w:rsidRDefault="00F97BA1" w:rsidP="00E356F4">
      <w:pPr>
        <w:pStyle w:val="ListParagraph"/>
        <w:widowControl/>
        <w:numPr>
          <w:ilvl w:val="1"/>
          <w:numId w:val="2"/>
        </w:numPr>
        <w:spacing w:after="120"/>
        <w:rPr>
          <w:color w:val="3366FF"/>
        </w:rPr>
      </w:pPr>
      <w:r>
        <w:t>The PBAC</w:t>
      </w:r>
      <w:r w:rsidR="0028532E">
        <w:t xml:space="preserve"> considered</w:t>
      </w:r>
      <w:r w:rsidRPr="002B3792">
        <w:t xml:space="preserve"> </w:t>
      </w:r>
      <w:r w:rsidR="0028532E">
        <w:t xml:space="preserve">the </w:t>
      </w:r>
      <w:r w:rsidRPr="002B3792">
        <w:t xml:space="preserve">nominated </w:t>
      </w:r>
      <w:r w:rsidR="0028532E">
        <w:t xml:space="preserve">main </w:t>
      </w:r>
      <w:r w:rsidRPr="002B3792">
        <w:t xml:space="preserve">comparator </w:t>
      </w:r>
      <w:r w:rsidR="0028532E">
        <w:t>of best available therapy (BAT) to be</w:t>
      </w:r>
      <w:r w:rsidRPr="002B3792">
        <w:t xml:space="preserve"> appropriate, </w:t>
      </w:r>
      <w:r>
        <w:t xml:space="preserve">noting that </w:t>
      </w:r>
      <w:r w:rsidRPr="002B3792">
        <w:t>peginterferon α-2a use was like</w:t>
      </w:r>
      <w:r w:rsidR="0043065C">
        <w:t>ly to</w:t>
      </w:r>
      <w:r w:rsidR="0028532E">
        <w:t xml:space="preserve"> be considerably lower than </w:t>
      </w:r>
      <w:proofErr w:type="spellStart"/>
      <w:r w:rsidR="0028532E">
        <w:t>hydroxyurea</w:t>
      </w:r>
      <w:proofErr w:type="spellEnd"/>
      <w:r w:rsidR="0028532E">
        <w:t>, i.e. less than 50%</w:t>
      </w:r>
      <w:r w:rsidR="00C22F2E">
        <w:t>.</w:t>
      </w:r>
    </w:p>
    <w:p w:rsidR="009B3652" w:rsidRPr="009B3652" w:rsidRDefault="0001672B" w:rsidP="00E356F4">
      <w:pPr>
        <w:numPr>
          <w:ilvl w:val="1"/>
          <w:numId w:val="2"/>
        </w:numPr>
        <w:spacing w:after="120"/>
        <w:rPr>
          <w:rFonts w:asciiTheme="minorHAnsi" w:hAnsiTheme="minorHAnsi"/>
          <w:bCs/>
          <w:lang w:val="en-GB"/>
        </w:rPr>
      </w:pPr>
      <w:r>
        <w:rPr>
          <w:rFonts w:asciiTheme="minorHAnsi" w:hAnsiTheme="minorHAnsi"/>
          <w:bCs/>
          <w:lang w:val="en-GB"/>
        </w:rPr>
        <w:t xml:space="preserve">The PBAC </w:t>
      </w:r>
      <w:r w:rsidR="0065635E">
        <w:rPr>
          <w:rFonts w:asciiTheme="minorHAnsi" w:hAnsiTheme="minorHAnsi"/>
          <w:bCs/>
          <w:lang w:val="en-GB"/>
        </w:rPr>
        <w:t>consider</w:t>
      </w:r>
      <w:r>
        <w:rPr>
          <w:rFonts w:asciiTheme="minorHAnsi" w:hAnsiTheme="minorHAnsi"/>
          <w:bCs/>
          <w:lang w:val="en-GB"/>
        </w:rPr>
        <w:t xml:space="preserve">ed the </w:t>
      </w:r>
      <w:r w:rsidR="009B3652">
        <w:rPr>
          <w:rFonts w:asciiTheme="minorHAnsi" w:hAnsiTheme="minorHAnsi"/>
          <w:bCs/>
          <w:lang w:val="en-GB"/>
        </w:rPr>
        <w:t>pivotal trial (MAJIC) supporting the proposed listing to be unreliable given</w:t>
      </w:r>
      <w:r w:rsidR="006C5D14">
        <w:rPr>
          <w:rFonts w:asciiTheme="minorHAnsi" w:hAnsiTheme="minorHAnsi"/>
          <w:bCs/>
          <w:lang w:val="en-GB"/>
        </w:rPr>
        <w:t xml:space="preserve"> the high risk of bias. </w:t>
      </w:r>
      <w:r w:rsidR="009B3652">
        <w:rPr>
          <w:rFonts w:asciiTheme="minorHAnsi" w:hAnsiTheme="minorHAnsi"/>
          <w:bCs/>
          <w:lang w:val="en-GB"/>
        </w:rPr>
        <w:t>The PBAC agreed with the ESC that there was potential for selective reporting bias given the trial data was only available as conference abstracts from poste</w:t>
      </w:r>
      <w:r w:rsidR="00B87741">
        <w:rPr>
          <w:rFonts w:asciiTheme="minorHAnsi" w:hAnsiTheme="minorHAnsi"/>
          <w:bCs/>
          <w:lang w:val="en-GB"/>
        </w:rPr>
        <w:t xml:space="preserve">r and PowerPoint </w:t>
      </w:r>
      <w:r w:rsidR="00454F0B">
        <w:rPr>
          <w:rFonts w:asciiTheme="minorHAnsi" w:hAnsiTheme="minorHAnsi"/>
          <w:bCs/>
          <w:lang w:val="en-GB"/>
        </w:rPr>
        <w:t xml:space="preserve">presentations, noting that </w:t>
      </w:r>
      <w:proofErr w:type="spellStart"/>
      <w:r w:rsidR="00454F0B">
        <w:rPr>
          <w:rFonts w:asciiTheme="minorHAnsi" w:hAnsiTheme="minorHAnsi"/>
          <w:bCs/>
          <w:lang w:val="en-GB"/>
        </w:rPr>
        <w:t>QoL</w:t>
      </w:r>
      <w:proofErr w:type="spellEnd"/>
      <w:r w:rsidR="00454F0B">
        <w:rPr>
          <w:rFonts w:asciiTheme="minorHAnsi" w:hAnsiTheme="minorHAnsi"/>
          <w:bCs/>
          <w:lang w:val="en-GB"/>
        </w:rPr>
        <w:t xml:space="preserve"> </w:t>
      </w:r>
      <w:r w:rsidR="00B87741">
        <w:rPr>
          <w:rFonts w:asciiTheme="minorHAnsi" w:hAnsiTheme="minorHAnsi"/>
          <w:bCs/>
          <w:lang w:val="en-GB"/>
        </w:rPr>
        <w:t>data was collected but not presented. The PBAC was also concerned</w:t>
      </w:r>
      <w:r w:rsidR="002333EC">
        <w:rPr>
          <w:rFonts w:asciiTheme="minorHAnsi" w:hAnsiTheme="minorHAnsi"/>
          <w:bCs/>
          <w:lang w:val="en-GB"/>
        </w:rPr>
        <w:t xml:space="preserve"> with</w:t>
      </w:r>
      <w:r w:rsidR="00AB6CBD">
        <w:rPr>
          <w:rFonts w:asciiTheme="minorHAnsi" w:hAnsiTheme="minorHAnsi"/>
          <w:bCs/>
          <w:lang w:val="en-GB"/>
        </w:rPr>
        <w:t xml:space="preserve"> its open label design, </w:t>
      </w:r>
      <w:r w:rsidR="00B87741">
        <w:rPr>
          <w:rFonts w:asciiTheme="minorHAnsi" w:hAnsiTheme="minorHAnsi"/>
          <w:bCs/>
          <w:lang w:val="en-GB"/>
        </w:rPr>
        <w:t xml:space="preserve">the </w:t>
      </w:r>
      <w:r w:rsidR="0065635E">
        <w:rPr>
          <w:rFonts w:asciiTheme="minorHAnsi" w:hAnsiTheme="minorHAnsi"/>
          <w:bCs/>
          <w:lang w:val="en-GB"/>
        </w:rPr>
        <w:t>limited median follow-up of 2</w:t>
      </w:r>
      <w:r w:rsidR="00F758CC">
        <w:rPr>
          <w:rFonts w:asciiTheme="minorHAnsi" w:hAnsiTheme="minorHAnsi"/>
          <w:bCs/>
          <w:lang w:val="en-GB"/>
        </w:rPr>
        <w:t>.6 years</w:t>
      </w:r>
      <w:r w:rsidR="00B87741">
        <w:rPr>
          <w:rFonts w:asciiTheme="minorHAnsi" w:hAnsiTheme="minorHAnsi"/>
          <w:bCs/>
          <w:lang w:val="en-GB"/>
        </w:rPr>
        <w:t>, the duration of response (</w:t>
      </w:r>
      <w:proofErr w:type="spellStart"/>
      <w:r w:rsidR="00B87741">
        <w:rPr>
          <w:rFonts w:asciiTheme="minorHAnsi" w:hAnsiTheme="minorHAnsi"/>
          <w:bCs/>
          <w:lang w:val="en-GB"/>
        </w:rPr>
        <w:t>DoR</w:t>
      </w:r>
      <w:proofErr w:type="spellEnd"/>
      <w:r w:rsidR="00B87741">
        <w:rPr>
          <w:rFonts w:asciiTheme="minorHAnsi" w:hAnsiTheme="minorHAnsi"/>
          <w:bCs/>
          <w:lang w:val="en-GB"/>
        </w:rPr>
        <w:t>) secon</w:t>
      </w:r>
      <w:r w:rsidR="002333EC">
        <w:rPr>
          <w:rFonts w:asciiTheme="minorHAnsi" w:hAnsiTheme="minorHAnsi"/>
          <w:bCs/>
          <w:lang w:val="en-GB"/>
        </w:rPr>
        <w:t>dary outcome not being clearly</w:t>
      </w:r>
      <w:r w:rsidR="00B87741">
        <w:rPr>
          <w:rFonts w:asciiTheme="minorHAnsi" w:hAnsiTheme="minorHAnsi"/>
          <w:bCs/>
          <w:lang w:val="en-GB"/>
        </w:rPr>
        <w:t xml:space="preserve"> defined, limited safety data, </w:t>
      </w:r>
      <w:r w:rsidR="00AB6CBD">
        <w:rPr>
          <w:rFonts w:asciiTheme="minorHAnsi" w:hAnsiTheme="minorHAnsi"/>
          <w:bCs/>
          <w:lang w:val="en-GB"/>
        </w:rPr>
        <w:t xml:space="preserve">and </w:t>
      </w:r>
      <w:r w:rsidR="00B87741">
        <w:rPr>
          <w:rFonts w:asciiTheme="minorHAnsi" w:hAnsiTheme="minorHAnsi"/>
          <w:bCs/>
          <w:lang w:val="en-GB"/>
        </w:rPr>
        <w:t>no magnitude of effec</w:t>
      </w:r>
      <w:r w:rsidR="00AB6CBD">
        <w:rPr>
          <w:rFonts w:asciiTheme="minorHAnsi" w:hAnsiTheme="minorHAnsi"/>
          <w:bCs/>
          <w:lang w:val="en-GB"/>
        </w:rPr>
        <w:t xml:space="preserve">t on patient-reported symptoms. </w:t>
      </w:r>
    </w:p>
    <w:p w:rsidR="003A3990" w:rsidRPr="002B3792" w:rsidRDefault="003A3990" w:rsidP="00E356F4">
      <w:pPr>
        <w:pStyle w:val="ListParagraph"/>
        <w:widowControl/>
        <w:numPr>
          <w:ilvl w:val="1"/>
          <w:numId w:val="2"/>
        </w:numPr>
        <w:spacing w:after="120"/>
      </w:pPr>
      <w:r>
        <w:t>The PBAC agreed with t</w:t>
      </w:r>
      <w:r w:rsidRPr="002B3792">
        <w:t>he</w:t>
      </w:r>
      <w:r>
        <w:t xml:space="preserve"> ESC advice that</w:t>
      </w:r>
      <w:r w:rsidRPr="002B3792">
        <w:t xml:space="preserve"> association between the proposed surrogate outcome (response based on HCT, platelet and WBC count and splenomegaly) and the relevant clinical outcomes for patients with PV (thrombosis, haemorrhage, transformation to MF or AML, and OS</w:t>
      </w:r>
      <w:r w:rsidR="009809C4">
        <w:t>)</w:t>
      </w:r>
      <w:r w:rsidRPr="002B3792">
        <w:t xml:space="preserve"> </w:t>
      </w:r>
      <w:r>
        <w:t xml:space="preserve">were not </w:t>
      </w:r>
      <w:r w:rsidRPr="002B3792">
        <w:t xml:space="preserve">supported by </w:t>
      </w:r>
      <w:r>
        <w:t xml:space="preserve">the </w:t>
      </w:r>
      <w:r w:rsidRPr="002B3792">
        <w:t xml:space="preserve">available evidence.  Therefore, it is possible that achieving the proposed response criteria may not lead to improvement in the relevant clinical outcomes in patients with PV.  </w:t>
      </w:r>
    </w:p>
    <w:p w:rsidR="00A4748A" w:rsidRPr="00A4748A" w:rsidRDefault="00E27767" w:rsidP="00E356F4">
      <w:pPr>
        <w:numPr>
          <w:ilvl w:val="1"/>
          <w:numId w:val="2"/>
        </w:numPr>
        <w:spacing w:after="120"/>
      </w:pPr>
      <w:r>
        <w:rPr>
          <w:rFonts w:asciiTheme="minorHAnsi" w:hAnsiTheme="minorHAnsi"/>
          <w:bCs/>
          <w:lang w:val="en-GB"/>
        </w:rPr>
        <w:t>With respect to MAJIC, the PBAC noted that, overall, there we</w:t>
      </w:r>
      <w:r w:rsidR="00454F0B">
        <w:rPr>
          <w:rFonts w:asciiTheme="minorHAnsi" w:hAnsiTheme="minorHAnsi"/>
          <w:bCs/>
          <w:lang w:val="en-GB"/>
        </w:rPr>
        <w:t xml:space="preserve">re no statistically significant </w:t>
      </w:r>
      <w:r>
        <w:rPr>
          <w:rFonts w:asciiTheme="minorHAnsi" w:hAnsiTheme="minorHAnsi"/>
          <w:bCs/>
          <w:lang w:val="en-GB"/>
        </w:rPr>
        <w:t>differences at 12 months between the proportion of patients who responded between treatments,</w:t>
      </w:r>
      <w:r>
        <w:t xml:space="preserve"> with 96.8% and 93.3% of patients treated with ruxolitinib and BAT achieving complete response (CR) or partial response (PR) res</w:t>
      </w:r>
      <w:r w:rsidR="006A3F59">
        <w:t>pectively. With respect to</w:t>
      </w:r>
      <w:r>
        <w:t xml:space="preserve"> the submission’s claim of superior efficacy in terms of faster time to response (TTR) and </w:t>
      </w:r>
      <w:proofErr w:type="spellStart"/>
      <w:r>
        <w:t>DoR</w:t>
      </w:r>
      <w:proofErr w:type="spellEnd"/>
      <w:r>
        <w:t xml:space="preserve"> </w:t>
      </w:r>
      <w:r w:rsidR="006A3F59">
        <w:t xml:space="preserve">compared to BAT, the PBAC noted that </w:t>
      </w:r>
      <w:r>
        <w:t xml:space="preserve">it was unclear what hypothesis or statistical tests were conducted to derive the P values and no </w:t>
      </w:r>
      <w:r w:rsidRPr="00A4748A">
        <w:t xml:space="preserve">hazard ratios were presented. </w:t>
      </w:r>
      <w:r w:rsidR="00A4748A" w:rsidRPr="00A4748A">
        <w:t xml:space="preserve">Further, the PBAC agreed with the ESC and considered that </w:t>
      </w:r>
      <w:proofErr w:type="spellStart"/>
      <w:r w:rsidR="00A4748A" w:rsidRPr="00A4748A">
        <w:t>DoR</w:t>
      </w:r>
      <w:proofErr w:type="spellEnd"/>
      <w:r w:rsidR="00A4748A" w:rsidRPr="00A4748A">
        <w:t xml:space="preserve"> is a clinically significant measure given the chronic nature of PV</w:t>
      </w:r>
      <w:r w:rsidR="009326DE">
        <w:t>;</w:t>
      </w:r>
      <w:r w:rsidR="00A4748A" w:rsidRPr="00A4748A">
        <w:t xml:space="preserve"> however, the results for </w:t>
      </w:r>
      <w:proofErr w:type="spellStart"/>
      <w:r w:rsidR="00A4748A" w:rsidRPr="00A4748A">
        <w:t>DoR</w:t>
      </w:r>
      <w:proofErr w:type="spellEnd"/>
      <w:r w:rsidR="00A4748A" w:rsidRPr="00A4748A">
        <w:t xml:space="preserve"> from MAJIC were unreliable due </w:t>
      </w:r>
      <w:r w:rsidR="008F3188">
        <w:t>limited</w:t>
      </w:r>
      <w:r w:rsidR="00A4748A" w:rsidRPr="00A4748A">
        <w:t xml:space="preserve"> follow-up beyond two years.</w:t>
      </w:r>
      <w:r w:rsidR="00F124FC">
        <w:t xml:space="preserve"> </w:t>
      </w:r>
    </w:p>
    <w:p w:rsidR="00E27767" w:rsidRDefault="00E27767" w:rsidP="00E356F4">
      <w:pPr>
        <w:numPr>
          <w:ilvl w:val="1"/>
          <w:numId w:val="2"/>
        </w:numPr>
        <w:spacing w:after="120"/>
      </w:pPr>
      <w:r w:rsidRPr="00E27767">
        <w:rPr>
          <w:rFonts w:asciiTheme="minorHAnsi" w:hAnsiTheme="minorHAnsi"/>
          <w:bCs/>
          <w:lang w:val="en-GB"/>
        </w:rPr>
        <w:t>The PBAC noted the s</w:t>
      </w:r>
      <w:r w:rsidR="00B25A0F">
        <w:rPr>
          <w:rFonts w:asciiTheme="minorHAnsi" w:hAnsiTheme="minorHAnsi"/>
          <w:bCs/>
          <w:lang w:val="en-GB"/>
        </w:rPr>
        <w:t>upplementary</w:t>
      </w:r>
      <w:r w:rsidRPr="00E27767">
        <w:rPr>
          <w:rFonts w:asciiTheme="minorHAnsi" w:hAnsiTheme="minorHAnsi"/>
          <w:bCs/>
          <w:lang w:val="en-GB"/>
        </w:rPr>
        <w:t xml:space="preserve"> evidence presented in the submission, i.e. the RESPONSE and RESPONSE-2 trials. Despite being open label trials and allowing for cross-over from BAT to ruxolitinib, the PBAC agreed with the ESC and considered this data to be more robust compared to MAJIC</w:t>
      </w:r>
      <w:r w:rsidR="003A3990">
        <w:rPr>
          <w:rFonts w:asciiTheme="minorHAnsi" w:hAnsiTheme="minorHAnsi"/>
          <w:bCs/>
          <w:lang w:val="en-GB"/>
        </w:rPr>
        <w:t>.</w:t>
      </w:r>
    </w:p>
    <w:p w:rsidR="00E27767" w:rsidRPr="006E5539" w:rsidRDefault="00E27767" w:rsidP="00E356F4">
      <w:pPr>
        <w:numPr>
          <w:ilvl w:val="1"/>
          <w:numId w:val="2"/>
        </w:numPr>
        <w:spacing w:after="120"/>
      </w:pPr>
      <w:r w:rsidRPr="006E5539">
        <w:t xml:space="preserve">The PBAC noted that the results of the post hoc analysis from RESPONSE and RESPONSE-2 using the MAJIC criteria for response indicated that a statistically </w:t>
      </w:r>
      <w:r w:rsidRPr="006E5539">
        <w:lastRenderedPageBreak/>
        <w:t xml:space="preserve">significantly greater proportion of patients treated with ruxolitinib achieved response. </w:t>
      </w:r>
      <w:r w:rsidR="00F124FC">
        <w:t>However, t</w:t>
      </w:r>
      <w:r>
        <w:t>he PBAC noted t</w:t>
      </w:r>
      <w:r w:rsidRPr="006E5539">
        <w:t>his was somewhat inconsistent with the results from MAJIC at 6 months, in which no statistically significant differences were observed</w:t>
      </w:r>
      <w:r>
        <w:t xml:space="preserve"> between treatment arms, and </w:t>
      </w:r>
      <w:r w:rsidRPr="006E5539">
        <w:t xml:space="preserve">considered this could be due to differences in the BAT arm, as RESPONSE and RESPONSE-2 included ‘watch and wait’ as a BAT option whereas all patients in MAJIC received active treatments (according to protocol).  </w:t>
      </w:r>
    </w:p>
    <w:p w:rsidR="00E27767" w:rsidRPr="00EE1436" w:rsidRDefault="00E560B4" w:rsidP="00E356F4">
      <w:pPr>
        <w:pStyle w:val="ListParagraph"/>
        <w:widowControl/>
        <w:numPr>
          <w:ilvl w:val="1"/>
          <w:numId w:val="2"/>
        </w:numPr>
        <w:spacing w:after="120"/>
        <w:rPr>
          <w:rFonts w:asciiTheme="minorHAnsi" w:hAnsiTheme="minorHAnsi"/>
          <w:bCs/>
          <w:lang w:val="en-GB"/>
        </w:rPr>
      </w:pPr>
      <w:r>
        <w:t xml:space="preserve">The PBAC considered that </w:t>
      </w:r>
      <w:r w:rsidR="00B25A0F">
        <w:t>the</w:t>
      </w:r>
      <w:r>
        <w:t xml:space="preserve"> respon</w:t>
      </w:r>
      <w:r w:rsidR="00B25A0F">
        <w:t>der</w:t>
      </w:r>
      <w:r>
        <w:t xml:space="preserve"> </w:t>
      </w:r>
      <w:r w:rsidR="00B25A0F">
        <w:t>outcomes were inconsistent</w:t>
      </w:r>
      <w:r w:rsidR="00D10619">
        <w:t xml:space="preserve"> across the MAJI</w:t>
      </w:r>
      <w:r w:rsidR="00B25A0F">
        <w:t>C and RESPONSE/RESPO</w:t>
      </w:r>
      <w:r w:rsidR="003A3990">
        <w:t>N</w:t>
      </w:r>
      <w:r w:rsidR="00B25A0F">
        <w:t>SE</w:t>
      </w:r>
      <w:r w:rsidR="003A3990">
        <w:t>-</w:t>
      </w:r>
      <w:r w:rsidR="00B25A0F">
        <w:t>2 trials and the translation into longer term benefits was unsupported</w:t>
      </w:r>
      <w:r>
        <w:t xml:space="preserve">. </w:t>
      </w:r>
      <w:r w:rsidR="00E27767">
        <w:t xml:space="preserve">The PBAC noted that no statistically significant differences in transformation-free survival or overall survival (OS) were observed between treatment arms in MAJIC. </w:t>
      </w:r>
      <w:r w:rsidR="00630690">
        <w:t xml:space="preserve">However, </w:t>
      </w:r>
      <w:r w:rsidR="00E27767">
        <w:t>t</w:t>
      </w:r>
      <w:r w:rsidR="00E27767" w:rsidRPr="00EE1436">
        <w:t>h</w:t>
      </w:r>
      <w:r w:rsidR="00666C00">
        <w:t>e</w:t>
      </w:r>
      <w:r w:rsidR="00E27767" w:rsidRPr="00EE1436">
        <w:t xml:space="preserve"> PBAC</w:t>
      </w:r>
      <w:r w:rsidR="0014093D">
        <w:t xml:space="preserve"> also</w:t>
      </w:r>
      <w:r w:rsidR="00E27767">
        <w:t xml:space="preserve"> </w:t>
      </w:r>
      <w:r w:rsidR="00E27767" w:rsidRPr="00EE1436">
        <w:t xml:space="preserve">noted </w:t>
      </w:r>
      <w:r w:rsidR="00E27767">
        <w:t xml:space="preserve">that data from the RESPONSE trials indicated that ruxolitinib provides a greater benefit over BAT in terms of a reduction in splenomegaly, number of phlebotomies necessary for haematocrit (HCT) control, and is associated with a decrease in the number of thrombotic events. The PBAC </w:t>
      </w:r>
      <w:r w:rsidR="00FF3A11">
        <w:t xml:space="preserve">considered the latter two to be </w:t>
      </w:r>
      <w:r w:rsidR="002923BE">
        <w:t>relevant</w:t>
      </w:r>
      <w:r w:rsidR="00E27767">
        <w:t xml:space="preserve"> </w:t>
      </w:r>
      <w:r w:rsidR="00FC48B2">
        <w:t>clinical outcomes</w:t>
      </w:r>
      <w:r w:rsidR="00617BFC">
        <w:t xml:space="preserve"> for PV patients regardless of spleen volume</w:t>
      </w:r>
      <w:r w:rsidR="00FC48B2">
        <w:t xml:space="preserve">. </w:t>
      </w:r>
    </w:p>
    <w:p w:rsidR="009F1381" w:rsidRDefault="00802823" w:rsidP="00E356F4">
      <w:pPr>
        <w:pStyle w:val="ListParagraph"/>
        <w:widowControl/>
        <w:numPr>
          <w:ilvl w:val="1"/>
          <w:numId w:val="2"/>
        </w:numPr>
        <w:spacing w:after="120"/>
      </w:pPr>
      <w:r>
        <w:t>On balance,</w:t>
      </w:r>
      <w:r w:rsidR="009F1381">
        <w:t xml:space="preserve"> the PBAC considered that the clinical claim of superior comparative effectiveness was not adequately </w:t>
      </w:r>
      <w:r w:rsidR="00630690">
        <w:t xml:space="preserve">supported, and that clinically meaningful outcomes for the purposes of a PBS restriction </w:t>
      </w:r>
      <w:r w:rsidR="00297614">
        <w:t xml:space="preserve">and economic model </w:t>
      </w:r>
      <w:r w:rsidR="00630690">
        <w:t xml:space="preserve">would need to be more clearly defined. </w:t>
      </w:r>
    </w:p>
    <w:p w:rsidR="00707F56" w:rsidRPr="00BF4441" w:rsidRDefault="00707F56" w:rsidP="00E356F4">
      <w:pPr>
        <w:pStyle w:val="ListParagraph"/>
        <w:widowControl/>
        <w:numPr>
          <w:ilvl w:val="1"/>
          <w:numId w:val="2"/>
        </w:numPr>
        <w:spacing w:after="120"/>
      </w:pPr>
      <w:r>
        <w:t xml:space="preserve">The PBAC </w:t>
      </w:r>
      <w:r w:rsidR="00E27767" w:rsidRPr="002B3792">
        <w:t>considered that the clinical importance of the difference in safety profiles between ruxolitinib and BAT was unclear given the lack of long-term safety data.</w:t>
      </w:r>
      <w:r w:rsidR="00B25A0F">
        <w:t xml:space="preserve"> The PBAC considered the non-inferior safety claim was not adequately supported.</w:t>
      </w:r>
    </w:p>
    <w:p w:rsidR="00B1100A" w:rsidRDefault="00D16E1E" w:rsidP="00E356F4">
      <w:pPr>
        <w:numPr>
          <w:ilvl w:val="1"/>
          <w:numId w:val="2"/>
        </w:numPr>
        <w:spacing w:after="120"/>
      </w:pPr>
      <w:r>
        <w:t>The PBAC considered that</w:t>
      </w:r>
      <w:r w:rsidR="00D11124">
        <w:t xml:space="preserve"> the</w:t>
      </w:r>
      <w:r>
        <w:t xml:space="preserve"> economic model relie</w:t>
      </w:r>
      <w:r w:rsidR="00617BFC">
        <w:t>d</w:t>
      </w:r>
      <w:r>
        <w:t xml:space="preserve"> on responder health states that do not correlate to clinical</w:t>
      </w:r>
      <w:r w:rsidR="00B1100A">
        <w:t xml:space="preserve">ly relevant </w:t>
      </w:r>
      <w:r>
        <w:t>outcomes and therefore do not adequately capture the benefits, if any, of treatment. Noting that the model also relies on OS, the PBAC considered this to be inappropriate given that</w:t>
      </w:r>
      <w:r w:rsidR="00643767">
        <w:t xml:space="preserve"> no</w:t>
      </w:r>
      <w:r>
        <w:t xml:space="preserve"> OS benefit </w:t>
      </w:r>
      <w:r w:rsidRPr="00B1100A">
        <w:t>was</w:t>
      </w:r>
      <w:r w:rsidR="00643767" w:rsidRPr="00B1100A">
        <w:t xml:space="preserve"> </w:t>
      </w:r>
      <w:r w:rsidRPr="00B1100A">
        <w:t xml:space="preserve">demonstrated in the MAJIC trial. The PBAC noted that, assuming no difference in OS between treatments, the ICER increases by 88-89%. The PBAC considered </w:t>
      </w:r>
      <w:r w:rsidR="00285422">
        <w:t>there was</w:t>
      </w:r>
      <w:r w:rsidRPr="00B1100A">
        <w:t xml:space="preserve"> uncertainty over the entire model structure, assumptions and thus results</w:t>
      </w:r>
      <w:r w:rsidR="00617BFC">
        <w:t>,</w:t>
      </w:r>
      <w:r w:rsidR="00285422">
        <w:t xml:space="preserve"> and </w:t>
      </w:r>
      <w:r w:rsidR="00C92494">
        <w:t xml:space="preserve">regarded the ESC advice that the </w:t>
      </w:r>
      <w:r w:rsidR="00C92494" w:rsidRPr="002B3792">
        <w:t>economic model does not form a reliable basis for decision making</w:t>
      </w:r>
      <w:r w:rsidRPr="00B1100A">
        <w:t xml:space="preserve">. </w:t>
      </w:r>
      <w:r w:rsidR="00B1100A" w:rsidRPr="00B1100A">
        <w:t xml:space="preserve">Further, the PBAC agreed with the ESC that it was not reasonable to assume that the proportion of patients using peginterferon 180mcg to </w:t>
      </w:r>
      <w:proofErr w:type="spellStart"/>
      <w:r w:rsidR="00B1100A" w:rsidRPr="00B1100A">
        <w:t>hydroxycarbamid</w:t>
      </w:r>
      <w:r w:rsidR="00B1100A">
        <w:t>e</w:t>
      </w:r>
      <w:proofErr w:type="spellEnd"/>
      <w:r w:rsidR="00B1100A">
        <w:t>/</w:t>
      </w:r>
      <w:proofErr w:type="spellStart"/>
      <w:r w:rsidR="00B1100A">
        <w:t>hydroxyurea</w:t>
      </w:r>
      <w:proofErr w:type="spellEnd"/>
      <w:r w:rsidR="00B1100A">
        <w:t xml:space="preserve"> (HC) would be 50:50. The pre</w:t>
      </w:r>
      <w:r w:rsidR="00290D97">
        <w:t xml:space="preserve">-PBAC response </w:t>
      </w:r>
      <w:r w:rsidR="00B0185E">
        <w:t>argued that peginterferon use is expected to be higher than that seen in the RESPONSE trials, and</w:t>
      </w:r>
      <w:r w:rsidR="00297614">
        <w:t xml:space="preserve"> is</w:t>
      </w:r>
      <w:r w:rsidR="00B0185E">
        <w:t xml:space="preserve"> more likely to reflect the 39% seen in MAJIC. The PBAC considered </w:t>
      </w:r>
      <w:r w:rsidR="00285422">
        <w:t xml:space="preserve">the range of 16–39% </w:t>
      </w:r>
      <w:r w:rsidR="00617BFC">
        <w:t>of peg</w:t>
      </w:r>
      <w:r w:rsidR="00285422">
        <w:t xml:space="preserve">interferon use from the clinical trials to </w:t>
      </w:r>
      <w:r w:rsidR="00B0185E">
        <w:t xml:space="preserve">be more reasonable than the 50% assumed by the submission. </w:t>
      </w:r>
    </w:p>
    <w:p w:rsidR="00E204B7" w:rsidRDefault="00E204B7" w:rsidP="00E356F4">
      <w:pPr>
        <w:pStyle w:val="ListParagraph"/>
        <w:numPr>
          <w:ilvl w:val="1"/>
          <w:numId w:val="2"/>
        </w:numPr>
        <w:spacing w:after="120"/>
      </w:pPr>
      <w:r>
        <w:t xml:space="preserve">The PBAC agreed with DUSC that the certainty around the financial estimates was low, and considered the </w:t>
      </w:r>
      <w:r w:rsidRPr="00E204B7">
        <w:t>eligible population presented in the submission to be overestimated, but the over</w:t>
      </w:r>
      <w:r>
        <w:t>all costs to b</w:t>
      </w:r>
      <w:r w:rsidR="00BB315A">
        <w:t xml:space="preserve">e underestimated. The PBAC </w:t>
      </w:r>
      <w:r>
        <w:t xml:space="preserve">noted that </w:t>
      </w:r>
      <w:r w:rsidRPr="00A77D40">
        <w:lastRenderedPageBreak/>
        <w:t>peginte</w:t>
      </w:r>
      <w:r w:rsidR="005D023C">
        <w:t>rfer</w:t>
      </w:r>
      <w:r w:rsidRPr="00A77D40">
        <w:t xml:space="preserve">on has a special pricing arrangement which was not available to the sponsor, </w:t>
      </w:r>
      <w:r>
        <w:t xml:space="preserve">and </w:t>
      </w:r>
      <w:r w:rsidRPr="00A77D40">
        <w:t>therefore the cost of BAT offset is overestimated.</w:t>
      </w:r>
      <w:r w:rsidR="00BB315A">
        <w:t xml:space="preserve"> The PBAC</w:t>
      </w:r>
      <w:r w:rsidR="00A97F46">
        <w:t xml:space="preserve"> also agreed with DUSC that with no link between continuation criteria and outcomes, this would likely lead to long-term use in the eligible population with up to 30-year survival. </w:t>
      </w:r>
    </w:p>
    <w:p w:rsidR="00C20670" w:rsidRDefault="00290D97" w:rsidP="00E356F4">
      <w:pPr>
        <w:pStyle w:val="ListParagraph"/>
        <w:numPr>
          <w:ilvl w:val="1"/>
          <w:numId w:val="2"/>
        </w:numPr>
        <w:spacing w:after="120"/>
      </w:pPr>
      <w:r>
        <w:t>The pre-PBAC response</w:t>
      </w:r>
      <w:r w:rsidR="00C20670">
        <w:t xml:space="preserve"> requested that the PBAC consider a restriction which allows </w:t>
      </w:r>
      <w:proofErr w:type="gramStart"/>
      <w:r w:rsidR="00C20670">
        <w:t>for</w:t>
      </w:r>
      <w:proofErr w:type="gramEnd"/>
      <w:r w:rsidR="00C20670">
        <w:t xml:space="preserve"> treatment with ruxolitinib as long as the benefit-risk ratio remains positive. The sponsor acknowledged that </w:t>
      </w:r>
      <w:proofErr w:type="spellStart"/>
      <w:r w:rsidR="00C20670">
        <w:t>QoL</w:t>
      </w:r>
      <w:proofErr w:type="spellEnd"/>
      <w:r w:rsidR="00C20670">
        <w:t xml:space="preserve"> is not correlated with partial response (ELN 2009), and</w:t>
      </w:r>
      <w:r w:rsidR="00C220C6">
        <w:t xml:space="preserve"> argued</w:t>
      </w:r>
      <w:r w:rsidR="00C20670">
        <w:t xml:space="preserve"> that the impact of continuing patients on treatment with ruxolitinib has a marginal impact on the ICER (increasing from </w:t>
      </w:r>
      <w:r w:rsidR="00617BFC">
        <w:t>$</w:t>
      </w:r>
      <w:r w:rsidR="006E6148">
        <w:t>45,000/QALY - $75,000</w:t>
      </w:r>
      <w:r w:rsidR="00C20670">
        <w:t>/QALY to $</w:t>
      </w:r>
      <w:r w:rsidR="006E6148">
        <w:t>45,000/QALY - $75,000</w:t>
      </w:r>
      <w:r w:rsidR="00C20670">
        <w:t xml:space="preserve">/QALY without continuation criteria). Further, the pre-PBAC response  proposed a risk sharing arrangement (RSA) whereby the Commonwealth expenditure is capped based on estimates that incorporate discontinuation criteria (ELN 2009 criteria), taking into account comments from DUSC to remove the </w:t>
      </w:r>
      <w:r w:rsidR="00981F0A">
        <w:t>less than 10,000</w:t>
      </w:r>
      <w:r w:rsidR="00C20670">
        <w:t xml:space="preserve"> grandfathered patients from the eligible population and a faster rate of uptake in the prevalent population (to </w:t>
      </w:r>
      <w:r w:rsidR="00C20670" w:rsidRPr="0034755B">
        <w:t xml:space="preserve">reach </w:t>
      </w:r>
      <w:r w:rsidR="004A4EFC">
        <w:rPr>
          <w:noProof/>
          <w:color w:val="000000"/>
          <w:highlight w:val="black"/>
        </w:rPr>
        <w:t>'''''</w:t>
      </w:r>
      <w:r w:rsidR="0034755B" w:rsidRPr="0034755B">
        <w:t xml:space="preserve">% </w:t>
      </w:r>
      <w:r w:rsidR="00C20670" w:rsidRPr="0034755B">
        <w:t>before</w:t>
      </w:r>
      <w:r w:rsidR="00C20670">
        <w:t xml:space="preserve"> Year 6). The sponsor acknowledged the ESC’s view that removing the continuation criteria was inappropriate given the cost for questionable benefit and potentially long duration of therapy, and stated that it would also be amenable to incorporating improvement in disease specific symptoms as part of the continuation criteria in addition to the proposed RSA.</w:t>
      </w:r>
      <w:r w:rsidR="00035BA3">
        <w:t xml:space="preserve"> The PBAC considered that the pre-PBAC response did not provide sufficient details on the proposed RSA and that the financial estimates remained uncertain.</w:t>
      </w:r>
    </w:p>
    <w:p w:rsidR="009326DE" w:rsidRDefault="00035BA3" w:rsidP="00E356F4">
      <w:pPr>
        <w:numPr>
          <w:ilvl w:val="1"/>
          <w:numId w:val="2"/>
        </w:numPr>
        <w:spacing w:after="120"/>
      </w:pPr>
      <w:r>
        <w:t xml:space="preserve">The PBAC </w:t>
      </w:r>
      <w:r w:rsidR="003D054A">
        <w:t>advised that a resubmission</w:t>
      </w:r>
      <w:r w:rsidR="00BB11B1">
        <w:t xml:space="preserve"> should consider use of the RESPONSE trials as the primary clinical evidence in support of a proposed listing</w:t>
      </w:r>
      <w:r w:rsidR="0042038F">
        <w:t>.</w:t>
      </w:r>
      <w:r w:rsidR="00BB11B1">
        <w:t xml:space="preserve"> </w:t>
      </w:r>
      <w:r w:rsidR="006A50E6">
        <w:t xml:space="preserve">No OS benefit has been demonstrated with any PV treatment and as such the more clinically meaningful outcomes will include reductions in vascular events and thrombosis. </w:t>
      </w:r>
      <w:r w:rsidR="0042038F">
        <w:t>A</w:t>
      </w:r>
      <w:r w:rsidR="00BB11B1">
        <w:t xml:space="preserve"> </w:t>
      </w:r>
      <w:r w:rsidR="00812CC3">
        <w:t xml:space="preserve">cost-minimisation analysis </w:t>
      </w:r>
      <w:r w:rsidR="0042038F">
        <w:t xml:space="preserve">should be </w:t>
      </w:r>
      <w:r w:rsidR="00617BFC">
        <w:t>considered, with the use of peg</w:t>
      </w:r>
      <w:r w:rsidR="0042038F">
        <w:t xml:space="preserve">interferon </w:t>
      </w:r>
      <w:r w:rsidR="006A50E6">
        <w:t xml:space="preserve">in the BAT arm </w:t>
      </w:r>
      <w:r w:rsidR="0042038F">
        <w:t>reflecting the trial evidence</w:t>
      </w:r>
      <w:r w:rsidR="00BB11B1">
        <w:t xml:space="preserve">. The PBAC considered that </w:t>
      </w:r>
      <w:r w:rsidR="0042038F">
        <w:t xml:space="preserve">more data on the </w:t>
      </w:r>
      <w:r w:rsidR="00BB11B1">
        <w:t xml:space="preserve">sequential use of ruxolitinib in both PV and MF settings would be </w:t>
      </w:r>
      <w:r w:rsidR="0042038F">
        <w:t>informative, noting the DUSC advice that cost offsets are unlikely</w:t>
      </w:r>
      <w:r w:rsidR="00BB11B1">
        <w:t xml:space="preserve">. </w:t>
      </w:r>
      <w:r w:rsidR="009326DE">
        <w:t xml:space="preserve">The PBAC </w:t>
      </w:r>
      <w:r w:rsidR="00BB11B1">
        <w:t>advised that</w:t>
      </w:r>
      <w:r w:rsidR="009326DE">
        <w:t xml:space="preserve"> </w:t>
      </w:r>
      <w:r w:rsidR="006A50E6">
        <w:t>continuation criteria in line with modified ELN criteria would be acceptable</w:t>
      </w:r>
      <w:r w:rsidR="00617BFC">
        <w:t>, incorporating improvement in disease specific symptoms</w:t>
      </w:r>
      <w:r w:rsidR="006A50E6">
        <w:t xml:space="preserve">. </w:t>
      </w:r>
    </w:p>
    <w:p w:rsidR="007B4BCC" w:rsidRPr="00B1100A" w:rsidRDefault="007B4BCC" w:rsidP="00E356F4">
      <w:pPr>
        <w:numPr>
          <w:ilvl w:val="1"/>
          <w:numId w:val="2"/>
        </w:numPr>
        <w:spacing w:after="120"/>
      </w:pPr>
      <w:r>
        <w:t xml:space="preserve">The PBAC noted that this submission is eligible for an Independent Review. </w:t>
      </w:r>
    </w:p>
    <w:p w:rsidR="001837CB" w:rsidRPr="00525B39" w:rsidRDefault="001837CB" w:rsidP="008C2515">
      <w:pPr>
        <w:rPr>
          <w:rFonts w:asciiTheme="minorHAnsi" w:hAnsiTheme="minorHAnsi"/>
          <w:b/>
          <w:bCs/>
          <w:lang w:val="en-GB"/>
        </w:rPr>
      </w:pPr>
      <w:r w:rsidRPr="00525B39">
        <w:rPr>
          <w:rFonts w:asciiTheme="minorHAnsi" w:hAnsiTheme="minorHAnsi"/>
          <w:b/>
          <w:bCs/>
          <w:lang w:val="en-GB"/>
        </w:rPr>
        <w:t>Outcome:</w:t>
      </w:r>
    </w:p>
    <w:p w:rsidR="001837CB" w:rsidRDefault="007B4BCC" w:rsidP="008C2515">
      <w:pPr>
        <w:rPr>
          <w:rFonts w:asciiTheme="minorHAnsi" w:hAnsiTheme="minorHAnsi"/>
          <w:bCs/>
          <w:lang w:val="en-GB"/>
        </w:rPr>
      </w:pPr>
      <w:r>
        <w:rPr>
          <w:rFonts w:asciiTheme="minorHAnsi" w:hAnsiTheme="minorHAnsi"/>
          <w:bCs/>
          <w:lang w:val="en-GB"/>
        </w:rPr>
        <w:t>Rejected</w:t>
      </w:r>
    </w:p>
    <w:p w:rsidR="00441A17" w:rsidRDefault="00441A17" w:rsidP="00441A17">
      <w:pPr>
        <w:pStyle w:val="2Sections"/>
        <w:numPr>
          <w:ilvl w:val="0"/>
          <w:numId w:val="2"/>
        </w:numPr>
        <w:rPr>
          <w:rFonts w:cstheme="minorHAnsi"/>
        </w:rPr>
      </w:pPr>
      <w:r>
        <w:t xml:space="preserve">Context for Decision </w:t>
      </w:r>
    </w:p>
    <w:p w:rsidR="00441A17" w:rsidRPr="008542A8" w:rsidRDefault="00D8208E" w:rsidP="00441A17">
      <w:pPr>
        <w:rPr>
          <w:rFonts w:asciiTheme="minorHAnsi" w:hAnsiTheme="minorHAnsi"/>
        </w:rPr>
      </w:pPr>
      <w:r w:rsidRPr="00D8208E">
        <w:rPr>
          <w:rFonts w:asciiTheme="minorHAnsi" w:hAnsiTheme="minorHAnsi"/>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w:t>
      </w:r>
      <w:r w:rsidRPr="00D8208E">
        <w:rPr>
          <w:rFonts w:asciiTheme="minorHAnsi" w:hAnsiTheme="minorHAnsi"/>
        </w:rPr>
        <w:lastRenderedPageBreak/>
        <w:t>in which it should be made available through the PBS. The PBAC welcomes applications containing new information at any time.</w:t>
      </w:r>
    </w:p>
    <w:p w:rsidR="00441A17" w:rsidRDefault="00441A17" w:rsidP="00441A17"/>
    <w:p w:rsidR="00441A17" w:rsidRPr="00D53BD3" w:rsidRDefault="00441A17" w:rsidP="00441A17">
      <w:pPr>
        <w:pStyle w:val="2Sections"/>
        <w:numPr>
          <w:ilvl w:val="0"/>
          <w:numId w:val="2"/>
        </w:numPr>
      </w:pPr>
      <w:r w:rsidRPr="00D53BD3">
        <w:t>Sponsor’s Comment</w:t>
      </w:r>
    </w:p>
    <w:p w:rsidR="00441A17" w:rsidRPr="00ED0B2B" w:rsidRDefault="0034755B" w:rsidP="0034755B">
      <w:pPr>
        <w:pStyle w:val="3Bodytext"/>
        <w:ind w:left="0" w:firstLine="0"/>
      </w:pPr>
      <w:r w:rsidRPr="0034755B">
        <w:t xml:space="preserve">Novartis is disappointed with the PBAC outcome given the </w:t>
      </w:r>
      <w:r>
        <w:t xml:space="preserve">clinical need for patients with </w:t>
      </w:r>
      <w:proofErr w:type="spellStart"/>
      <w:r w:rsidRPr="0034755B">
        <w:t>polycythemia</w:t>
      </w:r>
      <w:proofErr w:type="spellEnd"/>
      <w:r w:rsidRPr="0034755B">
        <w:t xml:space="preserve"> </w:t>
      </w:r>
      <w:proofErr w:type="spellStart"/>
      <w:proofErr w:type="gramStart"/>
      <w:r w:rsidRPr="0034755B">
        <w:t>vera</w:t>
      </w:r>
      <w:proofErr w:type="spellEnd"/>
      <w:proofErr w:type="gramEnd"/>
      <w:r w:rsidRPr="0034755B">
        <w:t xml:space="preserve"> and will continue to evaluate all options for access to r</w:t>
      </w:r>
      <w:r>
        <w:t>uxolitinib for this population.</w:t>
      </w:r>
    </w:p>
    <w:p w:rsidR="00441A17" w:rsidRDefault="00441A17" w:rsidP="008C2515">
      <w:pPr>
        <w:rPr>
          <w:rFonts w:asciiTheme="minorHAnsi" w:hAnsiTheme="minorHAnsi"/>
          <w:bCs/>
          <w:lang w:val="en-GB"/>
        </w:rPr>
      </w:pPr>
    </w:p>
    <w:sectPr w:rsidR="00441A17" w:rsidSect="001636E9">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8AE07F" w16cid:durableId="21580E18"/>
  <w16cid:commentId w16cid:paraId="24A67B24" w16cid:durableId="21580E19"/>
  <w16cid:commentId w16cid:paraId="382B30B2" w16cid:durableId="215810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EFC" w:rsidRDefault="004A4EFC" w:rsidP="00124A51">
      <w:r>
        <w:separator/>
      </w:r>
    </w:p>
    <w:p w:rsidR="004A4EFC" w:rsidRDefault="004A4EFC"/>
  </w:endnote>
  <w:endnote w:type="continuationSeparator" w:id="0">
    <w:p w:rsidR="004A4EFC" w:rsidRDefault="004A4EFC" w:rsidP="00124A51">
      <w:r>
        <w:continuationSeparator/>
      </w:r>
    </w:p>
    <w:p w:rsidR="004A4EFC" w:rsidRDefault="004A4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FC" w:rsidRDefault="004A4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D6" w:rsidRDefault="009B1FD6">
    <w:pPr>
      <w:pStyle w:val="Footer"/>
      <w:jc w:val="center"/>
    </w:pPr>
  </w:p>
  <w:p w:rsidR="009B1FD6" w:rsidRPr="005209F0" w:rsidRDefault="0017242B">
    <w:pPr>
      <w:pStyle w:val="Footer"/>
      <w:jc w:val="center"/>
      <w:rPr>
        <w:b/>
      </w:rPr>
    </w:pPr>
    <w:sdt>
      <w:sdtPr>
        <w:rPr>
          <w:b/>
        </w:rPr>
        <w:id w:val="-99414761"/>
        <w:docPartObj>
          <w:docPartGallery w:val="Page Numbers (Bottom of Page)"/>
          <w:docPartUnique/>
        </w:docPartObj>
      </w:sdtPr>
      <w:sdtEndPr>
        <w:rPr>
          <w:noProof/>
        </w:rPr>
      </w:sdtEndPr>
      <w:sdtContent>
        <w:r w:rsidR="009B1FD6" w:rsidRPr="005209F0">
          <w:rPr>
            <w:b/>
          </w:rPr>
          <w:fldChar w:fldCharType="begin"/>
        </w:r>
        <w:r w:rsidR="009B1FD6" w:rsidRPr="005209F0">
          <w:rPr>
            <w:b/>
          </w:rPr>
          <w:instrText xml:space="preserve"> PAGE   \* MERGEFORMAT </w:instrText>
        </w:r>
        <w:r w:rsidR="009B1FD6" w:rsidRPr="005209F0">
          <w:rPr>
            <w:b/>
          </w:rPr>
          <w:fldChar w:fldCharType="separate"/>
        </w:r>
        <w:r>
          <w:rPr>
            <w:b/>
            <w:noProof/>
          </w:rPr>
          <w:t>1</w:t>
        </w:r>
        <w:r w:rsidR="009B1FD6" w:rsidRPr="005209F0">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FC" w:rsidRDefault="004A4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EFC" w:rsidRDefault="004A4EFC" w:rsidP="00124A51">
      <w:r>
        <w:separator/>
      </w:r>
    </w:p>
    <w:p w:rsidR="004A4EFC" w:rsidRDefault="004A4EFC"/>
  </w:footnote>
  <w:footnote w:type="continuationSeparator" w:id="0">
    <w:p w:rsidR="004A4EFC" w:rsidRDefault="004A4EFC" w:rsidP="00124A51">
      <w:r>
        <w:continuationSeparator/>
      </w:r>
    </w:p>
    <w:p w:rsidR="004A4EFC" w:rsidRDefault="004A4E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FC" w:rsidRDefault="004A4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D6" w:rsidRDefault="009B1FD6" w:rsidP="005209F0">
    <w:pPr>
      <w:tabs>
        <w:tab w:val="left" w:pos="142"/>
        <w:tab w:val="right" w:pos="9027"/>
      </w:tabs>
      <w:jc w:val="center"/>
      <w:rPr>
        <w:i/>
        <w:szCs w:val="24"/>
      </w:rPr>
    </w:pPr>
    <w:r>
      <w:rPr>
        <w:i/>
        <w:szCs w:val="24"/>
      </w:rPr>
      <w:t>Public Summary Document – November 2019 PBAC Meeting</w:t>
    </w:r>
  </w:p>
  <w:p w:rsidR="009B1FD6" w:rsidRDefault="009B1FD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FC" w:rsidRDefault="004A4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87ED2"/>
    <w:multiLevelType w:val="hybridMultilevel"/>
    <w:tmpl w:val="252E9D5E"/>
    <w:lvl w:ilvl="0" w:tplc="FC3E7D62">
      <w:start w:val="1090"/>
      <w:numFmt w:val="bullet"/>
      <w:lvlText w:val="-"/>
      <w:lvlJc w:val="left"/>
      <w:pPr>
        <w:ind w:left="1440" w:hanging="360"/>
      </w:pPr>
      <w:rPr>
        <w:rFonts w:ascii="Calibri" w:eastAsia="Times New Roman" w:hAnsi="Calibri" w:cs="Arial" w:hint="default"/>
      </w:rPr>
    </w:lvl>
    <w:lvl w:ilvl="1" w:tplc="FC3E7D62">
      <w:start w:val="1090"/>
      <w:numFmt w:val="bullet"/>
      <w:lvlText w:val="-"/>
      <w:lvlJc w:val="left"/>
      <w:pPr>
        <w:ind w:left="2520" w:hanging="360"/>
      </w:pPr>
      <w:rPr>
        <w:rFonts w:ascii="Calibri" w:eastAsia="Times New Roman" w:hAnsi="Calibri" w:cs="Arial" w:hint="default"/>
      </w:r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322BE"/>
    <w:multiLevelType w:val="hybridMultilevel"/>
    <w:tmpl w:val="0C54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BE178A"/>
    <w:multiLevelType w:val="hybridMultilevel"/>
    <w:tmpl w:val="342271C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8E5B3A"/>
    <w:multiLevelType w:val="hybridMultilevel"/>
    <w:tmpl w:val="E2A46B2E"/>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9A22EE"/>
    <w:multiLevelType w:val="hybridMultilevel"/>
    <w:tmpl w:val="7CFC4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70DAF"/>
    <w:multiLevelType w:val="multilevel"/>
    <w:tmpl w:val="62DAA28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Calibri" w:hAnsi="Calibri" w:cs="Calibri" w:hint="default"/>
        <w:b w:val="0"/>
        <w:i w:val="0"/>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742C1F"/>
    <w:multiLevelType w:val="hybridMultilevel"/>
    <w:tmpl w:val="09849046"/>
    <w:lvl w:ilvl="0" w:tplc="7ACA15C6">
      <w:start w:val="1"/>
      <w:numFmt w:val="bullet"/>
      <w:pStyle w:val="Tablebullet"/>
      <w:lvlText w:val=""/>
      <w:lvlJc w:val="left"/>
      <w:pPr>
        <w:ind w:left="360" w:hanging="360"/>
      </w:pPr>
      <w:rPr>
        <w:rFonts w:ascii="Symbol" w:hAnsi="Symbol" w:hint="default"/>
      </w:rPr>
    </w:lvl>
    <w:lvl w:ilvl="1" w:tplc="785C05E4">
      <w:start w:val="1"/>
      <w:numFmt w:val="bullet"/>
      <w:lvlText w:val="-"/>
      <w:lvlJc w:val="left"/>
      <w:pPr>
        <w:ind w:left="-828" w:hanging="360"/>
      </w:pPr>
      <w:rPr>
        <w:rFonts w:ascii="Courier New" w:hAnsi="Courier New" w:hint="default"/>
      </w:rPr>
    </w:lvl>
    <w:lvl w:ilvl="2" w:tplc="0C090005">
      <w:start w:val="1"/>
      <w:numFmt w:val="bullet"/>
      <w:lvlText w:val=""/>
      <w:lvlJc w:val="left"/>
      <w:pPr>
        <w:ind w:left="-108" w:hanging="360"/>
      </w:pPr>
      <w:rPr>
        <w:rFonts w:ascii="Wingdings" w:hAnsi="Wingdings" w:hint="default"/>
      </w:rPr>
    </w:lvl>
    <w:lvl w:ilvl="3" w:tplc="0C090001">
      <w:start w:val="1"/>
      <w:numFmt w:val="bullet"/>
      <w:lvlText w:val=""/>
      <w:lvlJc w:val="left"/>
      <w:pPr>
        <w:ind w:left="612" w:hanging="360"/>
      </w:pPr>
      <w:rPr>
        <w:rFonts w:ascii="Symbol" w:hAnsi="Symbol" w:hint="default"/>
      </w:rPr>
    </w:lvl>
    <w:lvl w:ilvl="4" w:tplc="0C090003">
      <w:start w:val="1"/>
      <w:numFmt w:val="bullet"/>
      <w:lvlText w:val="o"/>
      <w:lvlJc w:val="left"/>
      <w:pPr>
        <w:ind w:left="1332" w:hanging="360"/>
      </w:pPr>
      <w:rPr>
        <w:rFonts w:ascii="Courier New" w:hAnsi="Courier New" w:cs="Courier New" w:hint="default"/>
      </w:rPr>
    </w:lvl>
    <w:lvl w:ilvl="5" w:tplc="0C090005" w:tentative="1">
      <w:start w:val="1"/>
      <w:numFmt w:val="bullet"/>
      <w:lvlText w:val=""/>
      <w:lvlJc w:val="left"/>
      <w:pPr>
        <w:ind w:left="2052" w:hanging="360"/>
      </w:pPr>
      <w:rPr>
        <w:rFonts w:ascii="Wingdings" w:hAnsi="Wingdings" w:hint="default"/>
      </w:rPr>
    </w:lvl>
    <w:lvl w:ilvl="6" w:tplc="0C090001" w:tentative="1">
      <w:start w:val="1"/>
      <w:numFmt w:val="bullet"/>
      <w:lvlText w:val=""/>
      <w:lvlJc w:val="left"/>
      <w:pPr>
        <w:ind w:left="2772" w:hanging="360"/>
      </w:pPr>
      <w:rPr>
        <w:rFonts w:ascii="Symbol" w:hAnsi="Symbol" w:hint="default"/>
      </w:rPr>
    </w:lvl>
    <w:lvl w:ilvl="7" w:tplc="0C090003" w:tentative="1">
      <w:start w:val="1"/>
      <w:numFmt w:val="bullet"/>
      <w:lvlText w:val="o"/>
      <w:lvlJc w:val="left"/>
      <w:pPr>
        <w:ind w:left="3492" w:hanging="360"/>
      </w:pPr>
      <w:rPr>
        <w:rFonts w:ascii="Courier New" w:hAnsi="Courier New" w:cs="Courier New" w:hint="default"/>
      </w:rPr>
    </w:lvl>
    <w:lvl w:ilvl="8" w:tplc="0C090005" w:tentative="1">
      <w:start w:val="1"/>
      <w:numFmt w:val="bullet"/>
      <w:lvlText w:val=""/>
      <w:lvlJc w:val="left"/>
      <w:pPr>
        <w:ind w:left="4212" w:hanging="360"/>
      </w:pPr>
      <w:rPr>
        <w:rFonts w:ascii="Wingdings" w:hAnsi="Wingdings" w:hint="default"/>
      </w:rPr>
    </w:lvl>
  </w:abstractNum>
  <w:abstractNum w:abstractNumId="14" w15:restartNumberingAfterBreak="0">
    <w:nsid w:val="52AC574C"/>
    <w:multiLevelType w:val="hybridMultilevel"/>
    <w:tmpl w:val="97062A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41E419A"/>
    <w:multiLevelType w:val="hybridMultilevel"/>
    <w:tmpl w:val="3DB0F378"/>
    <w:lvl w:ilvl="0" w:tplc="0CE64CBC">
      <w:start w:val="1"/>
      <w:numFmt w:val="decimal"/>
      <w:lvlText w:val="%1."/>
      <w:lvlJc w:val="left"/>
      <w:pPr>
        <w:tabs>
          <w:tab w:val="num" w:pos="644"/>
        </w:tabs>
        <w:ind w:left="644" w:hanging="360"/>
      </w:pPr>
      <w:rPr>
        <w:rFonts w:hint="default"/>
        <w:b w:val="0"/>
        <w:i w:val="0"/>
        <w:color w:val="auto"/>
      </w:rPr>
    </w:lvl>
    <w:lvl w:ilvl="1" w:tplc="0C090001">
      <w:start w:val="1"/>
      <w:numFmt w:val="bullet"/>
      <w:lvlText w:val=""/>
      <w:lvlJc w:val="left"/>
      <w:pPr>
        <w:tabs>
          <w:tab w:val="num" w:pos="1364"/>
        </w:tabs>
        <w:ind w:left="1364" w:hanging="360"/>
      </w:pPr>
      <w:rPr>
        <w:rFonts w:ascii="Symbol" w:hAnsi="Symbol" w:hint="default"/>
        <w:b w:val="0"/>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913D62"/>
    <w:multiLevelType w:val="multilevel"/>
    <w:tmpl w:val="52CE0BB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A95936"/>
    <w:multiLevelType w:val="multilevel"/>
    <w:tmpl w:val="70E816E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F733CE"/>
    <w:multiLevelType w:val="hybridMultilevel"/>
    <w:tmpl w:val="21C285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7172399"/>
    <w:multiLevelType w:val="hybridMultilevel"/>
    <w:tmpl w:val="9AC870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4D033C"/>
    <w:multiLevelType w:val="multilevel"/>
    <w:tmpl w:val="6B3C53C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Calibri" w:hAnsi="Calibri" w:cs="Calibri" w:hint="default"/>
        <w:b w:val="0"/>
        <w:i w:val="0"/>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472978"/>
    <w:multiLevelType w:val="hybridMultilevel"/>
    <w:tmpl w:val="7F160B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23"/>
  </w:num>
  <w:num w:numId="3">
    <w:abstractNumId w:val="11"/>
  </w:num>
  <w:num w:numId="4">
    <w:abstractNumId w:val="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3"/>
  </w:num>
  <w:num w:numId="10">
    <w:abstractNumId w:val="9"/>
  </w:num>
  <w:num w:numId="11">
    <w:abstractNumId w:val="14"/>
  </w:num>
  <w:num w:numId="12">
    <w:abstractNumId w:val="19"/>
  </w:num>
  <w:num w:numId="13">
    <w:abstractNumId w:val="18"/>
  </w:num>
  <w:num w:numId="14">
    <w:abstractNumId w:val="12"/>
  </w:num>
  <w:num w:numId="15">
    <w:abstractNumId w:val="15"/>
  </w:num>
  <w:num w:numId="16">
    <w:abstractNumId w:val="16"/>
  </w:num>
  <w:num w:numId="17">
    <w:abstractNumId w:val="17"/>
  </w:num>
  <w:num w:numId="18">
    <w:abstractNumId w:val="4"/>
  </w:num>
  <w:num w:numId="19">
    <w:abstractNumId w:val="0"/>
  </w:num>
  <w:num w:numId="20">
    <w:abstractNumId w:val="8"/>
  </w:num>
  <w:num w:numId="21">
    <w:abstractNumId w:val="10"/>
  </w:num>
  <w:num w:numId="22">
    <w:abstractNumId w:val="7"/>
  </w:num>
  <w:num w:numId="23">
    <w:abstractNumId w:val="21"/>
  </w:num>
  <w:num w:numId="24">
    <w:abstractNumId w:val="22"/>
  </w:num>
  <w:num w:numId="25">
    <w:abstractNumId w:val="6"/>
  </w:num>
  <w:num w:numId="26">
    <w:abstractNumId w:val="1"/>
  </w:num>
  <w:num w:numId="2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D73"/>
    <w:rsid w:val="0000110B"/>
    <w:rsid w:val="00003499"/>
    <w:rsid w:val="000039B7"/>
    <w:rsid w:val="00005271"/>
    <w:rsid w:val="000077A1"/>
    <w:rsid w:val="00007C15"/>
    <w:rsid w:val="000109CF"/>
    <w:rsid w:val="00011362"/>
    <w:rsid w:val="000118FB"/>
    <w:rsid w:val="000119E2"/>
    <w:rsid w:val="00011C7C"/>
    <w:rsid w:val="00011ECB"/>
    <w:rsid w:val="00013247"/>
    <w:rsid w:val="00015145"/>
    <w:rsid w:val="00015886"/>
    <w:rsid w:val="000162EF"/>
    <w:rsid w:val="0001672B"/>
    <w:rsid w:val="00016F05"/>
    <w:rsid w:val="00017558"/>
    <w:rsid w:val="000179FA"/>
    <w:rsid w:val="00020C17"/>
    <w:rsid w:val="0002121D"/>
    <w:rsid w:val="0002225F"/>
    <w:rsid w:val="0002301F"/>
    <w:rsid w:val="00023763"/>
    <w:rsid w:val="00024549"/>
    <w:rsid w:val="00024736"/>
    <w:rsid w:val="00024F26"/>
    <w:rsid w:val="00025466"/>
    <w:rsid w:val="0002678C"/>
    <w:rsid w:val="00026A6D"/>
    <w:rsid w:val="00027439"/>
    <w:rsid w:val="0003070E"/>
    <w:rsid w:val="00031784"/>
    <w:rsid w:val="00031925"/>
    <w:rsid w:val="00032B25"/>
    <w:rsid w:val="00032B8B"/>
    <w:rsid w:val="00033863"/>
    <w:rsid w:val="00035BA3"/>
    <w:rsid w:val="00035DC0"/>
    <w:rsid w:val="00036442"/>
    <w:rsid w:val="00036829"/>
    <w:rsid w:val="000375B5"/>
    <w:rsid w:val="00040895"/>
    <w:rsid w:val="00043C37"/>
    <w:rsid w:val="00044C47"/>
    <w:rsid w:val="00045017"/>
    <w:rsid w:val="00045791"/>
    <w:rsid w:val="00045A2B"/>
    <w:rsid w:val="00045EB1"/>
    <w:rsid w:val="000462F8"/>
    <w:rsid w:val="0004698F"/>
    <w:rsid w:val="0004791F"/>
    <w:rsid w:val="0005140B"/>
    <w:rsid w:val="00051498"/>
    <w:rsid w:val="00051833"/>
    <w:rsid w:val="0005240C"/>
    <w:rsid w:val="000534E9"/>
    <w:rsid w:val="0005357B"/>
    <w:rsid w:val="00053681"/>
    <w:rsid w:val="000539D0"/>
    <w:rsid w:val="00053B8C"/>
    <w:rsid w:val="00054621"/>
    <w:rsid w:val="000546D7"/>
    <w:rsid w:val="00056406"/>
    <w:rsid w:val="000579F1"/>
    <w:rsid w:val="00061405"/>
    <w:rsid w:val="000614D1"/>
    <w:rsid w:val="000628A2"/>
    <w:rsid w:val="00063E7A"/>
    <w:rsid w:val="0006440E"/>
    <w:rsid w:val="00066360"/>
    <w:rsid w:val="00066DD2"/>
    <w:rsid w:val="0006734D"/>
    <w:rsid w:val="00071248"/>
    <w:rsid w:val="000716A6"/>
    <w:rsid w:val="000720B9"/>
    <w:rsid w:val="000732CB"/>
    <w:rsid w:val="000737F7"/>
    <w:rsid w:val="00075A76"/>
    <w:rsid w:val="00075F83"/>
    <w:rsid w:val="0007672F"/>
    <w:rsid w:val="000774F0"/>
    <w:rsid w:val="00080909"/>
    <w:rsid w:val="000812CA"/>
    <w:rsid w:val="00082566"/>
    <w:rsid w:val="0008258D"/>
    <w:rsid w:val="000826F6"/>
    <w:rsid w:val="00083E99"/>
    <w:rsid w:val="00084EA4"/>
    <w:rsid w:val="000856C5"/>
    <w:rsid w:val="00085824"/>
    <w:rsid w:val="0009076D"/>
    <w:rsid w:val="00090C7E"/>
    <w:rsid w:val="00092600"/>
    <w:rsid w:val="0009262B"/>
    <w:rsid w:val="00093310"/>
    <w:rsid w:val="00093CCB"/>
    <w:rsid w:val="0009445C"/>
    <w:rsid w:val="00095FE5"/>
    <w:rsid w:val="00096284"/>
    <w:rsid w:val="0009768D"/>
    <w:rsid w:val="000A1C19"/>
    <w:rsid w:val="000A1FA2"/>
    <w:rsid w:val="000A2A7C"/>
    <w:rsid w:val="000A7D08"/>
    <w:rsid w:val="000B0670"/>
    <w:rsid w:val="000B0E75"/>
    <w:rsid w:val="000B3680"/>
    <w:rsid w:val="000B5849"/>
    <w:rsid w:val="000B6A34"/>
    <w:rsid w:val="000B6CAC"/>
    <w:rsid w:val="000B7612"/>
    <w:rsid w:val="000C01D7"/>
    <w:rsid w:val="000C0206"/>
    <w:rsid w:val="000C3DF9"/>
    <w:rsid w:val="000C63C0"/>
    <w:rsid w:val="000C6713"/>
    <w:rsid w:val="000D06AD"/>
    <w:rsid w:val="000D15D4"/>
    <w:rsid w:val="000D1BFC"/>
    <w:rsid w:val="000D281A"/>
    <w:rsid w:val="000D326A"/>
    <w:rsid w:val="000D40AF"/>
    <w:rsid w:val="000D40FE"/>
    <w:rsid w:val="000D51FB"/>
    <w:rsid w:val="000D58AD"/>
    <w:rsid w:val="000D5DA8"/>
    <w:rsid w:val="000D7BCF"/>
    <w:rsid w:val="000E089E"/>
    <w:rsid w:val="000E0A21"/>
    <w:rsid w:val="000E0D1B"/>
    <w:rsid w:val="000E135D"/>
    <w:rsid w:val="000E2AB6"/>
    <w:rsid w:val="000E46ED"/>
    <w:rsid w:val="000E4D10"/>
    <w:rsid w:val="000E50B7"/>
    <w:rsid w:val="000E50EA"/>
    <w:rsid w:val="000E696A"/>
    <w:rsid w:val="000F00BA"/>
    <w:rsid w:val="000F1206"/>
    <w:rsid w:val="000F25D9"/>
    <w:rsid w:val="000F2A64"/>
    <w:rsid w:val="000F316A"/>
    <w:rsid w:val="000F34AC"/>
    <w:rsid w:val="000F3C74"/>
    <w:rsid w:val="000F4BB8"/>
    <w:rsid w:val="000F4C21"/>
    <w:rsid w:val="000F6E9F"/>
    <w:rsid w:val="000F7127"/>
    <w:rsid w:val="000F78E9"/>
    <w:rsid w:val="0010036A"/>
    <w:rsid w:val="00100F8A"/>
    <w:rsid w:val="00104994"/>
    <w:rsid w:val="00105AE2"/>
    <w:rsid w:val="00106B80"/>
    <w:rsid w:val="0011032E"/>
    <w:rsid w:val="00110870"/>
    <w:rsid w:val="00110E34"/>
    <w:rsid w:val="00112DD4"/>
    <w:rsid w:val="0011348B"/>
    <w:rsid w:val="00113BBB"/>
    <w:rsid w:val="00115982"/>
    <w:rsid w:val="00116968"/>
    <w:rsid w:val="00116C53"/>
    <w:rsid w:val="001174EE"/>
    <w:rsid w:val="00117F44"/>
    <w:rsid w:val="00121799"/>
    <w:rsid w:val="001222FC"/>
    <w:rsid w:val="001238D2"/>
    <w:rsid w:val="001240FE"/>
    <w:rsid w:val="001243A7"/>
    <w:rsid w:val="001248E5"/>
    <w:rsid w:val="00124A51"/>
    <w:rsid w:val="00124B28"/>
    <w:rsid w:val="00124C5F"/>
    <w:rsid w:val="001263A4"/>
    <w:rsid w:val="00126621"/>
    <w:rsid w:val="0012692C"/>
    <w:rsid w:val="00127DD9"/>
    <w:rsid w:val="001301E9"/>
    <w:rsid w:val="00131D82"/>
    <w:rsid w:val="00131E92"/>
    <w:rsid w:val="001330AF"/>
    <w:rsid w:val="00133D36"/>
    <w:rsid w:val="00134452"/>
    <w:rsid w:val="00136AFC"/>
    <w:rsid w:val="00137645"/>
    <w:rsid w:val="00137773"/>
    <w:rsid w:val="0014015A"/>
    <w:rsid w:val="001404A6"/>
    <w:rsid w:val="00140622"/>
    <w:rsid w:val="0014093D"/>
    <w:rsid w:val="00140E99"/>
    <w:rsid w:val="00141349"/>
    <w:rsid w:val="001430CD"/>
    <w:rsid w:val="00143421"/>
    <w:rsid w:val="00143F01"/>
    <w:rsid w:val="00144267"/>
    <w:rsid w:val="00144C0A"/>
    <w:rsid w:val="00145540"/>
    <w:rsid w:val="001456B0"/>
    <w:rsid w:val="00145ABD"/>
    <w:rsid w:val="00147911"/>
    <w:rsid w:val="00152DFC"/>
    <w:rsid w:val="00154D20"/>
    <w:rsid w:val="00157130"/>
    <w:rsid w:val="001576B1"/>
    <w:rsid w:val="00157BA9"/>
    <w:rsid w:val="001600AA"/>
    <w:rsid w:val="00160A4C"/>
    <w:rsid w:val="00160C7E"/>
    <w:rsid w:val="00161031"/>
    <w:rsid w:val="00162913"/>
    <w:rsid w:val="001636E9"/>
    <w:rsid w:val="00163A6B"/>
    <w:rsid w:val="00163EFF"/>
    <w:rsid w:val="00165411"/>
    <w:rsid w:val="00166122"/>
    <w:rsid w:val="001661FB"/>
    <w:rsid w:val="00167AAB"/>
    <w:rsid w:val="0017242B"/>
    <w:rsid w:val="0017306D"/>
    <w:rsid w:val="00173565"/>
    <w:rsid w:val="00173AB1"/>
    <w:rsid w:val="00173B07"/>
    <w:rsid w:val="0017522B"/>
    <w:rsid w:val="00175624"/>
    <w:rsid w:val="001761A7"/>
    <w:rsid w:val="00177CC4"/>
    <w:rsid w:val="00180B55"/>
    <w:rsid w:val="00180F32"/>
    <w:rsid w:val="00181D9C"/>
    <w:rsid w:val="00182BDE"/>
    <w:rsid w:val="00182F9C"/>
    <w:rsid w:val="001837CB"/>
    <w:rsid w:val="00183ECA"/>
    <w:rsid w:val="00185C54"/>
    <w:rsid w:val="0018752F"/>
    <w:rsid w:val="001937F7"/>
    <w:rsid w:val="0019419E"/>
    <w:rsid w:val="00194944"/>
    <w:rsid w:val="00194B30"/>
    <w:rsid w:val="00195222"/>
    <w:rsid w:val="001952D1"/>
    <w:rsid w:val="001968E2"/>
    <w:rsid w:val="001975D8"/>
    <w:rsid w:val="001A243B"/>
    <w:rsid w:val="001A2B25"/>
    <w:rsid w:val="001A35F0"/>
    <w:rsid w:val="001A43FA"/>
    <w:rsid w:val="001A4CE3"/>
    <w:rsid w:val="001A59FB"/>
    <w:rsid w:val="001A6354"/>
    <w:rsid w:val="001A70B8"/>
    <w:rsid w:val="001A7AE8"/>
    <w:rsid w:val="001B0058"/>
    <w:rsid w:val="001B204E"/>
    <w:rsid w:val="001B22CC"/>
    <w:rsid w:val="001B3443"/>
    <w:rsid w:val="001B4D20"/>
    <w:rsid w:val="001B6CDB"/>
    <w:rsid w:val="001B6D52"/>
    <w:rsid w:val="001C1A6C"/>
    <w:rsid w:val="001C2A93"/>
    <w:rsid w:val="001C2A9B"/>
    <w:rsid w:val="001C3894"/>
    <w:rsid w:val="001C4299"/>
    <w:rsid w:val="001C468A"/>
    <w:rsid w:val="001C47CD"/>
    <w:rsid w:val="001C493A"/>
    <w:rsid w:val="001C4D5C"/>
    <w:rsid w:val="001C5CA6"/>
    <w:rsid w:val="001C5F94"/>
    <w:rsid w:val="001C6E66"/>
    <w:rsid w:val="001D01E6"/>
    <w:rsid w:val="001D0FAF"/>
    <w:rsid w:val="001D426F"/>
    <w:rsid w:val="001D5F0D"/>
    <w:rsid w:val="001D6BF3"/>
    <w:rsid w:val="001E120F"/>
    <w:rsid w:val="001E1274"/>
    <w:rsid w:val="001E1FE3"/>
    <w:rsid w:val="001E238E"/>
    <w:rsid w:val="001E2483"/>
    <w:rsid w:val="001E2B1E"/>
    <w:rsid w:val="001E30D4"/>
    <w:rsid w:val="001E472E"/>
    <w:rsid w:val="001E5076"/>
    <w:rsid w:val="001E52EB"/>
    <w:rsid w:val="001E61D2"/>
    <w:rsid w:val="001E740C"/>
    <w:rsid w:val="001E75E5"/>
    <w:rsid w:val="001E76A7"/>
    <w:rsid w:val="001F1235"/>
    <w:rsid w:val="001F1CB3"/>
    <w:rsid w:val="001F20B8"/>
    <w:rsid w:val="001F3066"/>
    <w:rsid w:val="001F38B5"/>
    <w:rsid w:val="001F3EFC"/>
    <w:rsid w:val="001F457F"/>
    <w:rsid w:val="001F7361"/>
    <w:rsid w:val="001F767A"/>
    <w:rsid w:val="00200E8B"/>
    <w:rsid w:val="002011B0"/>
    <w:rsid w:val="0020218A"/>
    <w:rsid w:val="00202920"/>
    <w:rsid w:val="00203181"/>
    <w:rsid w:val="00203783"/>
    <w:rsid w:val="0020385F"/>
    <w:rsid w:val="00203DE7"/>
    <w:rsid w:val="00203FA0"/>
    <w:rsid w:val="002050A3"/>
    <w:rsid w:val="00205ED4"/>
    <w:rsid w:val="00207021"/>
    <w:rsid w:val="0020732F"/>
    <w:rsid w:val="00207ABC"/>
    <w:rsid w:val="00207D00"/>
    <w:rsid w:val="002105C1"/>
    <w:rsid w:val="00211CAA"/>
    <w:rsid w:val="0021241C"/>
    <w:rsid w:val="002124C1"/>
    <w:rsid w:val="00212650"/>
    <w:rsid w:val="00213984"/>
    <w:rsid w:val="00220178"/>
    <w:rsid w:val="00222669"/>
    <w:rsid w:val="00222C4E"/>
    <w:rsid w:val="00223B49"/>
    <w:rsid w:val="00223F07"/>
    <w:rsid w:val="002246CF"/>
    <w:rsid w:val="00224835"/>
    <w:rsid w:val="00224DD4"/>
    <w:rsid w:val="00226760"/>
    <w:rsid w:val="002309CC"/>
    <w:rsid w:val="00230BD1"/>
    <w:rsid w:val="00230E33"/>
    <w:rsid w:val="00231C7E"/>
    <w:rsid w:val="0023209F"/>
    <w:rsid w:val="0023278F"/>
    <w:rsid w:val="002333EC"/>
    <w:rsid w:val="00233C2A"/>
    <w:rsid w:val="00235BB1"/>
    <w:rsid w:val="0023629D"/>
    <w:rsid w:val="00237255"/>
    <w:rsid w:val="002406F6"/>
    <w:rsid w:val="00241D3D"/>
    <w:rsid w:val="00242423"/>
    <w:rsid w:val="002424AF"/>
    <w:rsid w:val="00243255"/>
    <w:rsid w:val="002439DC"/>
    <w:rsid w:val="00244DC8"/>
    <w:rsid w:val="002458BA"/>
    <w:rsid w:val="0024636C"/>
    <w:rsid w:val="00246675"/>
    <w:rsid w:val="002471F2"/>
    <w:rsid w:val="00247925"/>
    <w:rsid w:val="002479FE"/>
    <w:rsid w:val="00247AD1"/>
    <w:rsid w:val="00251B86"/>
    <w:rsid w:val="002523B7"/>
    <w:rsid w:val="00252CCB"/>
    <w:rsid w:val="00254DCF"/>
    <w:rsid w:val="0025534B"/>
    <w:rsid w:val="00255BB7"/>
    <w:rsid w:val="00256BAA"/>
    <w:rsid w:val="00257541"/>
    <w:rsid w:val="00261127"/>
    <w:rsid w:val="00261EC8"/>
    <w:rsid w:val="00262A1A"/>
    <w:rsid w:val="00262A87"/>
    <w:rsid w:val="00262D95"/>
    <w:rsid w:val="00264BCD"/>
    <w:rsid w:val="00264D26"/>
    <w:rsid w:val="00267642"/>
    <w:rsid w:val="00267AEA"/>
    <w:rsid w:val="002700E6"/>
    <w:rsid w:val="00271F7B"/>
    <w:rsid w:val="00272258"/>
    <w:rsid w:val="0027294B"/>
    <w:rsid w:val="00273163"/>
    <w:rsid w:val="002739C1"/>
    <w:rsid w:val="00274015"/>
    <w:rsid w:val="002750CA"/>
    <w:rsid w:val="00275329"/>
    <w:rsid w:val="002755FD"/>
    <w:rsid w:val="00275C5A"/>
    <w:rsid w:val="00276007"/>
    <w:rsid w:val="00277406"/>
    <w:rsid w:val="00280FE8"/>
    <w:rsid w:val="00281014"/>
    <w:rsid w:val="0028532E"/>
    <w:rsid w:val="00285422"/>
    <w:rsid w:val="00285B3D"/>
    <w:rsid w:val="00287F1A"/>
    <w:rsid w:val="0029044C"/>
    <w:rsid w:val="00290D97"/>
    <w:rsid w:val="002923BE"/>
    <w:rsid w:val="00294EF0"/>
    <w:rsid w:val="00294FF6"/>
    <w:rsid w:val="002961C8"/>
    <w:rsid w:val="00296212"/>
    <w:rsid w:val="00297614"/>
    <w:rsid w:val="0029775B"/>
    <w:rsid w:val="002A03D1"/>
    <w:rsid w:val="002A1299"/>
    <w:rsid w:val="002A14AB"/>
    <w:rsid w:val="002A290F"/>
    <w:rsid w:val="002A2F50"/>
    <w:rsid w:val="002A3982"/>
    <w:rsid w:val="002A3AB8"/>
    <w:rsid w:val="002A3D38"/>
    <w:rsid w:val="002A3E18"/>
    <w:rsid w:val="002A62A5"/>
    <w:rsid w:val="002B09A4"/>
    <w:rsid w:val="002B13BD"/>
    <w:rsid w:val="002B1C1F"/>
    <w:rsid w:val="002B28F3"/>
    <w:rsid w:val="002B33FD"/>
    <w:rsid w:val="002B3792"/>
    <w:rsid w:val="002B3B25"/>
    <w:rsid w:val="002B432F"/>
    <w:rsid w:val="002B62B3"/>
    <w:rsid w:val="002B65F5"/>
    <w:rsid w:val="002B6754"/>
    <w:rsid w:val="002B6868"/>
    <w:rsid w:val="002B6CCE"/>
    <w:rsid w:val="002B7926"/>
    <w:rsid w:val="002B7F30"/>
    <w:rsid w:val="002C0A69"/>
    <w:rsid w:val="002C10AB"/>
    <w:rsid w:val="002C1F31"/>
    <w:rsid w:val="002C2510"/>
    <w:rsid w:val="002C2775"/>
    <w:rsid w:val="002C27C1"/>
    <w:rsid w:val="002C30D7"/>
    <w:rsid w:val="002C324D"/>
    <w:rsid w:val="002C4683"/>
    <w:rsid w:val="002C5099"/>
    <w:rsid w:val="002C5889"/>
    <w:rsid w:val="002C62F1"/>
    <w:rsid w:val="002C71CE"/>
    <w:rsid w:val="002C72A3"/>
    <w:rsid w:val="002D0B42"/>
    <w:rsid w:val="002D2C86"/>
    <w:rsid w:val="002D3864"/>
    <w:rsid w:val="002D577C"/>
    <w:rsid w:val="002D61E3"/>
    <w:rsid w:val="002D737A"/>
    <w:rsid w:val="002E0F64"/>
    <w:rsid w:val="002E15B9"/>
    <w:rsid w:val="002E2158"/>
    <w:rsid w:val="002E25F4"/>
    <w:rsid w:val="002E43C3"/>
    <w:rsid w:val="002E5577"/>
    <w:rsid w:val="002E5D5A"/>
    <w:rsid w:val="002E5DB2"/>
    <w:rsid w:val="002E612E"/>
    <w:rsid w:val="002E63B3"/>
    <w:rsid w:val="002E65DE"/>
    <w:rsid w:val="002E7722"/>
    <w:rsid w:val="002E7D09"/>
    <w:rsid w:val="002F07BA"/>
    <w:rsid w:val="002F0DA9"/>
    <w:rsid w:val="002F1203"/>
    <w:rsid w:val="002F131E"/>
    <w:rsid w:val="002F1DB5"/>
    <w:rsid w:val="002F363F"/>
    <w:rsid w:val="002F39F3"/>
    <w:rsid w:val="002F643C"/>
    <w:rsid w:val="002F64B8"/>
    <w:rsid w:val="002F6615"/>
    <w:rsid w:val="002F71C0"/>
    <w:rsid w:val="00300189"/>
    <w:rsid w:val="00300BB2"/>
    <w:rsid w:val="00301017"/>
    <w:rsid w:val="0030155F"/>
    <w:rsid w:val="00304C12"/>
    <w:rsid w:val="0030587B"/>
    <w:rsid w:val="0030669D"/>
    <w:rsid w:val="00306D98"/>
    <w:rsid w:val="00307003"/>
    <w:rsid w:val="003072C1"/>
    <w:rsid w:val="0030786C"/>
    <w:rsid w:val="0031031A"/>
    <w:rsid w:val="00310981"/>
    <w:rsid w:val="003115EA"/>
    <w:rsid w:val="003136BE"/>
    <w:rsid w:val="00314124"/>
    <w:rsid w:val="00315498"/>
    <w:rsid w:val="00321978"/>
    <w:rsid w:val="00321C22"/>
    <w:rsid w:val="00322107"/>
    <w:rsid w:val="00322308"/>
    <w:rsid w:val="00322846"/>
    <w:rsid w:val="003241A4"/>
    <w:rsid w:val="0032472B"/>
    <w:rsid w:val="003250D9"/>
    <w:rsid w:val="00325F1D"/>
    <w:rsid w:val="0032679E"/>
    <w:rsid w:val="00326DA7"/>
    <w:rsid w:val="003270E4"/>
    <w:rsid w:val="00330744"/>
    <w:rsid w:val="00330F5C"/>
    <w:rsid w:val="00334A3F"/>
    <w:rsid w:val="00334B87"/>
    <w:rsid w:val="00335726"/>
    <w:rsid w:val="00335FAF"/>
    <w:rsid w:val="003366C9"/>
    <w:rsid w:val="00336F2D"/>
    <w:rsid w:val="0033714B"/>
    <w:rsid w:val="003371B0"/>
    <w:rsid w:val="003379CB"/>
    <w:rsid w:val="00337D18"/>
    <w:rsid w:val="00337E98"/>
    <w:rsid w:val="003405EC"/>
    <w:rsid w:val="00340DF1"/>
    <w:rsid w:val="003415A6"/>
    <w:rsid w:val="003427AC"/>
    <w:rsid w:val="00343405"/>
    <w:rsid w:val="00344AF4"/>
    <w:rsid w:val="0034755B"/>
    <w:rsid w:val="0035028D"/>
    <w:rsid w:val="003517F9"/>
    <w:rsid w:val="00352222"/>
    <w:rsid w:val="003526AA"/>
    <w:rsid w:val="0035321A"/>
    <w:rsid w:val="00355F3F"/>
    <w:rsid w:val="0035620E"/>
    <w:rsid w:val="00357124"/>
    <w:rsid w:val="0035724A"/>
    <w:rsid w:val="00360FFB"/>
    <w:rsid w:val="003615A4"/>
    <w:rsid w:val="00361BF9"/>
    <w:rsid w:val="00361CD1"/>
    <w:rsid w:val="003624C4"/>
    <w:rsid w:val="00363D04"/>
    <w:rsid w:val="00364228"/>
    <w:rsid w:val="003654AC"/>
    <w:rsid w:val="00367B2A"/>
    <w:rsid w:val="00370938"/>
    <w:rsid w:val="00370E71"/>
    <w:rsid w:val="00370FB0"/>
    <w:rsid w:val="003710CF"/>
    <w:rsid w:val="003720FC"/>
    <w:rsid w:val="00372461"/>
    <w:rsid w:val="0037358A"/>
    <w:rsid w:val="003750F6"/>
    <w:rsid w:val="003760FC"/>
    <w:rsid w:val="00376460"/>
    <w:rsid w:val="00382B89"/>
    <w:rsid w:val="003832C3"/>
    <w:rsid w:val="0038365C"/>
    <w:rsid w:val="0038369B"/>
    <w:rsid w:val="00383B78"/>
    <w:rsid w:val="00384E42"/>
    <w:rsid w:val="00385A9D"/>
    <w:rsid w:val="00386B05"/>
    <w:rsid w:val="003875BA"/>
    <w:rsid w:val="00387A9B"/>
    <w:rsid w:val="00387E3B"/>
    <w:rsid w:val="003902B1"/>
    <w:rsid w:val="0039096A"/>
    <w:rsid w:val="003909F2"/>
    <w:rsid w:val="003917EA"/>
    <w:rsid w:val="00391FB7"/>
    <w:rsid w:val="0039339E"/>
    <w:rsid w:val="00394AC4"/>
    <w:rsid w:val="003952E6"/>
    <w:rsid w:val="00396896"/>
    <w:rsid w:val="00396FD0"/>
    <w:rsid w:val="003A0D84"/>
    <w:rsid w:val="003A1A7A"/>
    <w:rsid w:val="003A2392"/>
    <w:rsid w:val="003A2831"/>
    <w:rsid w:val="003A3990"/>
    <w:rsid w:val="003A3ED1"/>
    <w:rsid w:val="003A40C5"/>
    <w:rsid w:val="003A56D1"/>
    <w:rsid w:val="003A7586"/>
    <w:rsid w:val="003B5B61"/>
    <w:rsid w:val="003B5E51"/>
    <w:rsid w:val="003B6904"/>
    <w:rsid w:val="003B6AD4"/>
    <w:rsid w:val="003B74EA"/>
    <w:rsid w:val="003C1654"/>
    <w:rsid w:val="003C1737"/>
    <w:rsid w:val="003C1CCB"/>
    <w:rsid w:val="003C20BE"/>
    <w:rsid w:val="003C3D65"/>
    <w:rsid w:val="003C3F3D"/>
    <w:rsid w:val="003C40F0"/>
    <w:rsid w:val="003C4403"/>
    <w:rsid w:val="003C512C"/>
    <w:rsid w:val="003C70CB"/>
    <w:rsid w:val="003C7D19"/>
    <w:rsid w:val="003C7DEA"/>
    <w:rsid w:val="003D054A"/>
    <w:rsid w:val="003D1828"/>
    <w:rsid w:val="003D1DE4"/>
    <w:rsid w:val="003D2136"/>
    <w:rsid w:val="003D2422"/>
    <w:rsid w:val="003D39A1"/>
    <w:rsid w:val="003D3E22"/>
    <w:rsid w:val="003D3FBF"/>
    <w:rsid w:val="003D4A30"/>
    <w:rsid w:val="003D79BB"/>
    <w:rsid w:val="003D7C98"/>
    <w:rsid w:val="003E0543"/>
    <w:rsid w:val="003E2B47"/>
    <w:rsid w:val="003E3305"/>
    <w:rsid w:val="003E4A08"/>
    <w:rsid w:val="003E5A32"/>
    <w:rsid w:val="003E6B03"/>
    <w:rsid w:val="003F26D0"/>
    <w:rsid w:val="003F2824"/>
    <w:rsid w:val="003F4156"/>
    <w:rsid w:val="003F5544"/>
    <w:rsid w:val="003F63EB"/>
    <w:rsid w:val="003F7686"/>
    <w:rsid w:val="00400B29"/>
    <w:rsid w:val="004012F0"/>
    <w:rsid w:val="004018FF"/>
    <w:rsid w:val="0040504B"/>
    <w:rsid w:val="00405524"/>
    <w:rsid w:val="0040694F"/>
    <w:rsid w:val="004103BE"/>
    <w:rsid w:val="00410708"/>
    <w:rsid w:val="00410EC7"/>
    <w:rsid w:val="00411B39"/>
    <w:rsid w:val="004122F4"/>
    <w:rsid w:val="004122FD"/>
    <w:rsid w:val="004125AF"/>
    <w:rsid w:val="00413A1E"/>
    <w:rsid w:val="00413AE8"/>
    <w:rsid w:val="00414476"/>
    <w:rsid w:val="00414C2E"/>
    <w:rsid w:val="004151CF"/>
    <w:rsid w:val="00415A70"/>
    <w:rsid w:val="00416364"/>
    <w:rsid w:val="00417C2D"/>
    <w:rsid w:val="00417E69"/>
    <w:rsid w:val="00417FE5"/>
    <w:rsid w:val="0042038F"/>
    <w:rsid w:val="00420AA6"/>
    <w:rsid w:val="00420B9F"/>
    <w:rsid w:val="00421B4B"/>
    <w:rsid w:val="00422260"/>
    <w:rsid w:val="0042413F"/>
    <w:rsid w:val="0042418E"/>
    <w:rsid w:val="004241AE"/>
    <w:rsid w:val="0042563F"/>
    <w:rsid w:val="00425D62"/>
    <w:rsid w:val="004261BD"/>
    <w:rsid w:val="0042755C"/>
    <w:rsid w:val="004278CA"/>
    <w:rsid w:val="0043065C"/>
    <w:rsid w:val="004319F8"/>
    <w:rsid w:val="00431E55"/>
    <w:rsid w:val="004321F6"/>
    <w:rsid w:val="00432DF0"/>
    <w:rsid w:val="00433044"/>
    <w:rsid w:val="00434A25"/>
    <w:rsid w:val="00434E52"/>
    <w:rsid w:val="004375B9"/>
    <w:rsid w:val="00440FA7"/>
    <w:rsid w:val="00441A17"/>
    <w:rsid w:val="004428D0"/>
    <w:rsid w:val="00442A4B"/>
    <w:rsid w:val="004443A7"/>
    <w:rsid w:val="0044442C"/>
    <w:rsid w:val="00445461"/>
    <w:rsid w:val="004457BA"/>
    <w:rsid w:val="00445941"/>
    <w:rsid w:val="004464EB"/>
    <w:rsid w:val="00447D26"/>
    <w:rsid w:val="00450A49"/>
    <w:rsid w:val="00450BF6"/>
    <w:rsid w:val="00453241"/>
    <w:rsid w:val="00453697"/>
    <w:rsid w:val="00454F0B"/>
    <w:rsid w:val="00455D45"/>
    <w:rsid w:val="00455E68"/>
    <w:rsid w:val="00457715"/>
    <w:rsid w:val="00457CCB"/>
    <w:rsid w:val="004609A9"/>
    <w:rsid w:val="00462F4E"/>
    <w:rsid w:val="00464595"/>
    <w:rsid w:val="004679D1"/>
    <w:rsid w:val="00467C50"/>
    <w:rsid w:val="0047052A"/>
    <w:rsid w:val="004712F8"/>
    <w:rsid w:val="0047220B"/>
    <w:rsid w:val="00472A79"/>
    <w:rsid w:val="00473157"/>
    <w:rsid w:val="004737E3"/>
    <w:rsid w:val="00473F19"/>
    <w:rsid w:val="00474771"/>
    <w:rsid w:val="00474D8A"/>
    <w:rsid w:val="00475593"/>
    <w:rsid w:val="00475E22"/>
    <w:rsid w:val="004763E3"/>
    <w:rsid w:val="0048088E"/>
    <w:rsid w:val="0048115C"/>
    <w:rsid w:val="00482720"/>
    <w:rsid w:val="00483515"/>
    <w:rsid w:val="004835E7"/>
    <w:rsid w:val="00484792"/>
    <w:rsid w:val="00485B14"/>
    <w:rsid w:val="004867E2"/>
    <w:rsid w:val="00486C88"/>
    <w:rsid w:val="004875D5"/>
    <w:rsid w:val="00487800"/>
    <w:rsid w:val="00491579"/>
    <w:rsid w:val="00491B3A"/>
    <w:rsid w:val="0049218E"/>
    <w:rsid w:val="00492CFD"/>
    <w:rsid w:val="00493F9F"/>
    <w:rsid w:val="00494DD5"/>
    <w:rsid w:val="0049505C"/>
    <w:rsid w:val="004962D2"/>
    <w:rsid w:val="00496F81"/>
    <w:rsid w:val="0049764E"/>
    <w:rsid w:val="004A0DA1"/>
    <w:rsid w:val="004A16DE"/>
    <w:rsid w:val="004A29B5"/>
    <w:rsid w:val="004A3D1F"/>
    <w:rsid w:val="004A48E7"/>
    <w:rsid w:val="004A4EFC"/>
    <w:rsid w:val="004A52E9"/>
    <w:rsid w:val="004A6597"/>
    <w:rsid w:val="004A7848"/>
    <w:rsid w:val="004A7F8F"/>
    <w:rsid w:val="004B0658"/>
    <w:rsid w:val="004B0995"/>
    <w:rsid w:val="004B1CB4"/>
    <w:rsid w:val="004B2F18"/>
    <w:rsid w:val="004B3343"/>
    <w:rsid w:val="004B3DDB"/>
    <w:rsid w:val="004B44FD"/>
    <w:rsid w:val="004B5CFC"/>
    <w:rsid w:val="004B69AD"/>
    <w:rsid w:val="004B774D"/>
    <w:rsid w:val="004C0567"/>
    <w:rsid w:val="004C0BD3"/>
    <w:rsid w:val="004C0C16"/>
    <w:rsid w:val="004C1819"/>
    <w:rsid w:val="004C240E"/>
    <w:rsid w:val="004C3946"/>
    <w:rsid w:val="004C39FE"/>
    <w:rsid w:val="004C4AED"/>
    <w:rsid w:val="004C58AE"/>
    <w:rsid w:val="004D1AB8"/>
    <w:rsid w:val="004D1DB7"/>
    <w:rsid w:val="004D2C2D"/>
    <w:rsid w:val="004D51F6"/>
    <w:rsid w:val="004D5E8A"/>
    <w:rsid w:val="004D7001"/>
    <w:rsid w:val="004D7227"/>
    <w:rsid w:val="004E07D1"/>
    <w:rsid w:val="004E0D05"/>
    <w:rsid w:val="004E0E7F"/>
    <w:rsid w:val="004E0EB8"/>
    <w:rsid w:val="004E147E"/>
    <w:rsid w:val="004E2ADC"/>
    <w:rsid w:val="004E3E24"/>
    <w:rsid w:val="004E43B2"/>
    <w:rsid w:val="004E4AEC"/>
    <w:rsid w:val="004E6998"/>
    <w:rsid w:val="004F0EA5"/>
    <w:rsid w:val="004F14D2"/>
    <w:rsid w:val="004F1AD0"/>
    <w:rsid w:val="004F1D02"/>
    <w:rsid w:val="004F1F4D"/>
    <w:rsid w:val="004F2679"/>
    <w:rsid w:val="004F2CBB"/>
    <w:rsid w:val="004F2F21"/>
    <w:rsid w:val="004F5FDE"/>
    <w:rsid w:val="004F6913"/>
    <w:rsid w:val="004F6982"/>
    <w:rsid w:val="004F7865"/>
    <w:rsid w:val="005001B4"/>
    <w:rsid w:val="005007E6"/>
    <w:rsid w:val="00501383"/>
    <w:rsid w:val="0050219B"/>
    <w:rsid w:val="00503F17"/>
    <w:rsid w:val="005048BA"/>
    <w:rsid w:val="00506928"/>
    <w:rsid w:val="00511A1F"/>
    <w:rsid w:val="00513BB9"/>
    <w:rsid w:val="005152B5"/>
    <w:rsid w:val="005201E2"/>
    <w:rsid w:val="005209F0"/>
    <w:rsid w:val="00521319"/>
    <w:rsid w:val="00521445"/>
    <w:rsid w:val="00522BC8"/>
    <w:rsid w:val="0052377B"/>
    <w:rsid w:val="00523C28"/>
    <w:rsid w:val="00524F02"/>
    <w:rsid w:val="0052626B"/>
    <w:rsid w:val="005275AE"/>
    <w:rsid w:val="00527D65"/>
    <w:rsid w:val="005308D9"/>
    <w:rsid w:val="00531ACB"/>
    <w:rsid w:val="0053403F"/>
    <w:rsid w:val="00536F42"/>
    <w:rsid w:val="00537182"/>
    <w:rsid w:val="005405AC"/>
    <w:rsid w:val="00542743"/>
    <w:rsid w:val="0054293D"/>
    <w:rsid w:val="00542C2D"/>
    <w:rsid w:val="00543841"/>
    <w:rsid w:val="005438A0"/>
    <w:rsid w:val="00543A1A"/>
    <w:rsid w:val="00543E1A"/>
    <w:rsid w:val="00551408"/>
    <w:rsid w:val="00551985"/>
    <w:rsid w:val="00552BD3"/>
    <w:rsid w:val="00553854"/>
    <w:rsid w:val="00553E04"/>
    <w:rsid w:val="005544E0"/>
    <w:rsid w:val="0055459F"/>
    <w:rsid w:val="00555109"/>
    <w:rsid w:val="0055704E"/>
    <w:rsid w:val="0056372E"/>
    <w:rsid w:val="0056549D"/>
    <w:rsid w:val="00565508"/>
    <w:rsid w:val="0056696F"/>
    <w:rsid w:val="00572269"/>
    <w:rsid w:val="0057244A"/>
    <w:rsid w:val="00572FD7"/>
    <w:rsid w:val="0057350A"/>
    <w:rsid w:val="00573E48"/>
    <w:rsid w:val="005745DE"/>
    <w:rsid w:val="00575D8D"/>
    <w:rsid w:val="00576677"/>
    <w:rsid w:val="00576972"/>
    <w:rsid w:val="00580689"/>
    <w:rsid w:val="00583699"/>
    <w:rsid w:val="00584488"/>
    <w:rsid w:val="00585CDD"/>
    <w:rsid w:val="00586230"/>
    <w:rsid w:val="00586798"/>
    <w:rsid w:val="00586B0C"/>
    <w:rsid w:val="00587058"/>
    <w:rsid w:val="00591957"/>
    <w:rsid w:val="00592EF1"/>
    <w:rsid w:val="0059361B"/>
    <w:rsid w:val="0059497A"/>
    <w:rsid w:val="00596182"/>
    <w:rsid w:val="005962C5"/>
    <w:rsid w:val="00596AE4"/>
    <w:rsid w:val="00597735"/>
    <w:rsid w:val="00597BF9"/>
    <w:rsid w:val="005A24E3"/>
    <w:rsid w:val="005A3428"/>
    <w:rsid w:val="005A3613"/>
    <w:rsid w:val="005A373D"/>
    <w:rsid w:val="005A4EC0"/>
    <w:rsid w:val="005A4F94"/>
    <w:rsid w:val="005A5032"/>
    <w:rsid w:val="005A6A81"/>
    <w:rsid w:val="005A74B1"/>
    <w:rsid w:val="005A7AA5"/>
    <w:rsid w:val="005A7BBC"/>
    <w:rsid w:val="005B00EE"/>
    <w:rsid w:val="005B4240"/>
    <w:rsid w:val="005B4D80"/>
    <w:rsid w:val="005B5857"/>
    <w:rsid w:val="005B5B8C"/>
    <w:rsid w:val="005C0225"/>
    <w:rsid w:val="005C09E5"/>
    <w:rsid w:val="005C1B83"/>
    <w:rsid w:val="005C1E10"/>
    <w:rsid w:val="005C2D55"/>
    <w:rsid w:val="005C2EBD"/>
    <w:rsid w:val="005C346B"/>
    <w:rsid w:val="005C391F"/>
    <w:rsid w:val="005C3A0F"/>
    <w:rsid w:val="005C428C"/>
    <w:rsid w:val="005C4A61"/>
    <w:rsid w:val="005C750E"/>
    <w:rsid w:val="005C78CC"/>
    <w:rsid w:val="005D023C"/>
    <w:rsid w:val="005D044D"/>
    <w:rsid w:val="005D0ABD"/>
    <w:rsid w:val="005D18AD"/>
    <w:rsid w:val="005D26B4"/>
    <w:rsid w:val="005D3459"/>
    <w:rsid w:val="005D3F53"/>
    <w:rsid w:val="005D458B"/>
    <w:rsid w:val="005D5640"/>
    <w:rsid w:val="005E35EF"/>
    <w:rsid w:val="005E5ABB"/>
    <w:rsid w:val="005E5DDA"/>
    <w:rsid w:val="005E6CBC"/>
    <w:rsid w:val="005E7300"/>
    <w:rsid w:val="005E73C0"/>
    <w:rsid w:val="005F09F8"/>
    <w:rsid w:val="005F1BDF"/>
    <w:rsid w:val="005F2706"/>
    <w:rsid w:val="005F3549"/>
    <w:rsid w:val="005F4CFB"/>
    <w:rsid w:val="005F625A"/>
    <w:rsid w:val="005F6A8F"/>
    <w:rsid w:val="006016CA"/>
    <w:rsid w:val="00603DB9"/>
    <w:rsid w:val="006060F4"/>
    <w:rsid w:val="006068DD"/>
    <w:rsid w:val="00607669"/>
    <w:rsid w:val="00607AFD"/>
    <w:rsid w:val="00607BC9"/>
    <w:rsid w:val="00610345"/>
    <w:rsid w:val="00612F97"/>
    <w:rsid w:val="0061345D"/>
    <w:rsid w:val="00613B2B"/>
    <w:rsid w:val="0061427D"/>
    <w:rsid w:val="00616802"/>
    <w:rsid w:val="00617BFC"/>
    <w:rsid w:val="00617E12"/>
    <w:rsid w:val="0062046F"/>
    <w:rsid w:val="00621477"/>
    <w:rsid w:val="00622CDD"/>
    <w:rsid w:val="0062308D"/>
    <w:rsid w:val="00625E85"/>
    <w:rsid w:val="00630690"/>
    <w:rsid w:val="0063158F"/>
    <w:rsid w:val="00631CCB"/>
    <w:rsid w:val="00631D6B"/>
    <w:rsid w:val="006330A1"/>
    <w:rsid w:val="00633664"/>
    <w:rsid w:val="00634186"/>
    <w:rsid w:val="0063479F"/>
    <w:rsid w:val="0063484A"/>
    <w:rsid w:val="00635358"/>
    <w:rsid w:val="006353F0"/>
    <w:rsid w:val="006364A1"/>
    <w:rsid w:val="006378B8"/>
    <w:rsid w:val="00637BFD"/>
    <w:rsid w:val="00637DC0"/>
    <w:rsid w:val="006410BF"/>
    <w:rsid w:val="0064173B"/>
    <w:rsid w:val="00641C0C"/>
    <w:rsid w:val="00641C4E"/>
    <w:rsid w:val="00642180"/>
    <w:rsid w:val="006428D2"/>
    <w:rsid w:val="0064337A"/>
    <w:rsid w:val="00643767"/>
    <w:rsid w:val="00644533"/>
    <w:rsid w:val="00644EDC"/>
    <w:rsid w:val="00645C75"/>
    <w:rsid w:val="00646422"/>
    <w:rsid w:val="006471CC"/>
    <w:rsid w:val="00650570"/>
    <w:rsid w:val="0065079F"/>
    <w:rsid w:val="00652C10"/>
    <w:rsid w:val="0065379F"/>
    <w:rsid w:val="00654354"/>
    <w:rsid w:val="006552A6"/>
    <w:rsid w:val="0065635E"/>
    <w:rsid w:val="00661C6B"/>
    <w:rsid w:val="006644C6"/>
    <w:rsid w:val="00666C00"/>
    <w:rsid w:val="00666C86"/>
    <w:rsid w:val="0067402E"/>
    <w:rsid w:val="00674E42"/>
    <w:rsid w:val="00675E6B"/>
    <w:rsid w:val="00681A04"/>
    <w:rsid w:val="00682112"/>
    <w:rsid w:val="00682619"/>
    <w:rsid w:val="00684E6A"/>
    <w:rsid w:val="00686957"/>
    <w:rsid w:val="006872BA"/>
    <w:rsid w:val="0069012D"/>
    <w:rsid w:val="00691648"/>
    <w:rsid w:val="0069177D"/>
    <w:rsid w:val="006917D7"/>
    <w:rsid w:val="006918AC"/>
    <w:rsid w:val="00691DE2"/>
    <w:rsid w:val="0069343F"/>
    <w:rsid w:val="00694F44"/>
    <w:rsid w:val="00696521"/>
    <w:rsid w:val="00696ED0"/>
    <w:rsid w:val="006A0837"/>
    <w:rsid w:val="006A0A55"/>
    <w:rsid w:val="006A11E4"/>
    <w:rsid w:val="006A3D70"/>
    <w:rsid w:val="006A3F59"/>
    <w:rsid w:val="006A50E6"/>
    <w:rsid w:val="006A54F3"/>
    <w:rsid w:val="006A72A0"/>
    <w:rsid w:val="006A7E5F"/>
    <w:rsid w:val="006B261B"/>
    <w:rsid w:val="006B2889"/>
    <w:rsid w:val="006B2C90"/>
    <w:rsid w:val="006B30CF"/>
    <w:rsid w:val="006B322A"/>
    <w:rsid w:val="006B52C7"/>
    <w:rsid w:val="006B6026"/>
    <w:rsid w:val="006B6DD0"/>
    <w:rsid w:val="006C0201"/>
    <w:rsid w:val="006C1138"/>
    <w:rsid w:val="006C2177"/>
    <w:rsid w:val="006C2A8E"/>
    <w:rsid w:val="006C3FBC"/>
    <w:rsid w:val="006C5D14"/>
    <w:rsid w:val="006C64E3"/>
    <w:rsid w:val="006C7330"/>
    <w:rsid w:val="006C798B"/>
    <w:rsid w:val="006D0654"/>
    <w:rsid w:val="006D07F8"/>
    <w:rsid w:val="006D1BBF"/>
    <w:rsid w:val="006D3C7D"/>
    <w:rsid w:val="006D5D5F"/>
    <w:rsid w:val="006D6D9F"/>
    <w:rsid w:val="006D6EB7"/>
    <w:rsid w:val="006D770E"/>
    <w:rsid w:val="006D7CB1"/>
    <w:rsid w:val="006E1879"/>
    <w:rsid w:val="006E3E4E"/>
    <w:rsid w:val="006E4FD7"/>
    <w:rsid w:val="006E5539"/>
    <w:rsid w:val="006E58CD"/>
    <w:rsid w:val="006E5DA9"/>
    <w:rsid w:val="006E6148"/>
    <w:rsid w:val="006E700C"/>
    <w:rsid w:val="006E7353"/>
    <w:rsid w:val="006E7CE3"/>
    <w:rsid w:val="006F0804"/>
    <w:rsid w:val="006F2FD7"/>
    <w:rsid w:val="006F306C"/>
    <w:rsid w:val="006F61F8"/>
    <w:rsid w:val="006F63A5"/>
    <w:rsid w:val="00700F92"/>
    <w:rsid w:val="0070142B"/>
    <w:rsid w:val="0070276E"/>
    <w:rsid w:val="00702F8F"/>
    <w:rsid w:val="0070525A"/>
    <w:rsid w:val="00705C51"/>
    <w:rsid w:val="00706621"/>
    <w:rsid w:val="007068C7"/>
    <w:rsid w:val="00706A80"/>
    <w:rsid w:val="00706BFD"/>
    <w:rsid w:val="00707F56"/>
    <w:rsid w:val="00710C6B"/>
    <w:rsid w:val="00711488"/>
    <w:rsid w:val="00711A36"/>
    <w:rsid w:val="00714411"/>
    <w:rsid w:val="0071529C"/>
    <w:rsid w:val="00715A6E"/>
    <w:rsid w:val="00715B58"/>
    <w:rsid w:val="007172AD"/>
    <w:rsid w:val="007208BF"/>
    <w:rsid w:val="00721318"/>
    <w:rsid w:val="007217C0"/>
    <w:rsid w:val="00722ABE"/>
    <w:rsid w:val="00722B1B"/>
    <w:rsid w:val="00722B81"/>
    <w:rsid w:val="007233BE"/>
    <w:rsid w:val="0072416F"/>
    <w:rsid w:val="00724EBA"/>
    <w:rsid w:val="0072507F"/>
    <w:rsid w:val="00726B10"/>
    <w:rsid w:val="007276F8"/>
    <w:rsid w:val="00727C7B"/>
    <w:rsid w:val="00727C94"/>
    <w:rsid w:val="00727E4F"/>
    <w:rsid w:val="007314D8"/>
    <w:rsid w:val="007315C8"/>
    <w:rsid w:val="00731EAE"/>
    <w:rsid w:val="0073489D"/>
    <w:rsid w:val="00735033"/>
    <w:rsid w:val="00735328"/>
    <w:rsid w:val="00735E27"/>
    <w:rsid w:val="0073685B"/>
    <w:rsid w:val="00743B2A"/>
    <w:rsid w:val="00746299"/>
    <w:rsid w:val="00747372"/>
    <w:rsid w:val="0074763D"/>
    <w:rsid w:val="00750512"/>
    <w:rsid w:val="00750946"/>
    <w:rsid w:val="00750AA1"/>
    <w:rsid w:val="00751E5F"/>
    <w:rsid w:val="00752142"/>
    <w:rsid w:val="007523F9"/>
    <w:rsid w:val="007529D8"/>
    <w:rsid w:val="007543FF"/>
    <w:rsid w:val="0075530E"/>
    <w:rsid w:val="00755E54"/>
    <w:rsid w:val="007573E8"/>
    <w:rsid w:val="00760422"/>
    <w:rsid w:val="0076058F"/>
    <w:rsid w:val="00760C4E"/>
    <w:rsid w:val="007610EE"/>
    <w:rsid w:val="00761A5B"/>
    <w:rsid w:val="00763AC5"/>
    <w:rsid w:val="007644AC"/>
    <w:rsid w:val="00765B1A"/>
    <w:rsid w:val="007705BC"/>
    <w:rsid w:val="00771F07"/>
    <w:rsid w:val="00773A6F"/>
    <w:rsid w:val="007754A0"/>
    <w:rsid w:val="007755AC"/>
    <w:rsid w:val="00776024"/>
    <w:rsid w:val="0077610B"/>
    <w:rsid w:val="00777A43"/>
    <w:rsid w:val="00784047"/>
    <w:rsid w:val="007843F2"/>
    <w:rsid w:val="007929A7"/>
    <w:rsid w:val="00793D33"/>
    <w:rsid w:val="0079575E"/>
    <w:rsid w:val="0079624F"/>
    <w:rsid w:val="007A0A12"/>
    <w:rsid w:val="007A132D"/>
    <w:rsid w:val="007B0D68"/>
    <w:rsid w:val="007B251D"/>
    <w:rsid w:val="007B2E23"/>
    <w:rsid w:val="007B4BCC"/>
    <w:rsid w:val="007B4F58"/>
    <w:rsid w:val="007B528D"/>
    <w:rsid w:val="007B5957"/>
    <w:rsid w:val="007B765A"/>
    <w:rsid w:val="007B77D1"/>
    <w:rsid w:val="007C0034"/>
    <w:rsid w:val="007C036D"/>
    <w:rsid w:val="007C0435"/>
    <w:rsid w:val="007C05B8"/>
    <w:rsid w:val="007C0644"/>
    <w:rsid w:val="007C1CBE"/>
    <w:rsid w:val="007C1CD9"/>
    <w:rsid w:val="007C21EA"/>
    <w:rsid w:val="007C361D"/>
    <w:rsid w:val="007C36E7"/>
    <w:rsid w:val="007C4B84"/>
    <w:rsid w:val="007C6643"/>
    <w:rsid w:val="007C7AFD"/>
    <w:rsid w:val="007D004F"/>
    <w:rsid w:val="007D0B38"/>
    <w:rsid w:val="007D2E21"/>
    <w:rsid w:val="007D345D"/>
    <w:rsid w:val="007D5440"/>
    <w:rsid w:val="007D54A9"/>
    <w:rsid w:val="007D6148"/>
    <w:rsid w:val="007D72BB"/>
    <w:rsid w:val="007D7AE2"/>
    <w:rsid w:val="007E390B"/>
    <w:rsid w:val="007E42A4"/>
    <w:rsid w:val="007E5FCB"/>
    <w:rsid w:val="007E6DDB"/>
    <w:rsid w:val="007E7210"/>
    <w:rsid w:val="007E7DCB"/>
    <w:rsid w:val="007F017E"/>
    <w:rsid w:val="007F05E8"/>
    <w:rsid w:val="007F0A77"/>
    <w:rsid w:val="007F1017"/>
    <w:rsid w:val="007F2F8F"/>
    <w:rsid w:val="007F4A3F"/>
    <w:rsid w:val="007F4A61"/>
    <w:rsid w:val="007F572D"/>
    <w:rsid w:val="007F5A1B"/>
    <w:rsid w:val="007F61C2"/>
    <w:rsid w:val="007F69D6"/>
    <w:rsid w:val="007F6B0B"/>
    <w:rsid w:val="00800FDD"/>
    <w:rsid w:val="008013C7"/>
    <w:rsid w:val="00802823"/>
    <w:rsid w:val="00804894"/>
    <w:rsid w:val="00805142"/>
    <w:rsid w:val="00805706"/>
    <w:rsid w:val="008060F5"/>
    <w:rsid w:val="008061D6"/>
    <w:rsid w:val="00806B96"/>
    <w:rsid w:val="0080734E"/>
    <w:rsid w:val="00807A8B"/>
    <w:rsid w:val="00810274"/>
    <w:rsid w:val="00810F5C"/>
    <w:rsid w:val="00811383"/>
    <w:rsid w:val="00811CD9"/>
    <w:rsid w:val="00811DD6"/>
    <w:rsid w:val="00812149"/>
    <w:rsid w:val="00812CAC"/>
    <w:rsid w:val="00812CC3"/>
    <w:rsid w:val="008148BB"/>
    <w:rsid w:val="008166EF"/>
    <w:rsid w:val="00816803"/>
    <w:rsid w:val="008174E0"/>
    <w:rsid w:val="00817C1E"/>
    <w:rsid w:val="008208B1"/>
    <w:rsid w:val="00820B68"/>
    <w:rsid w:val="00821724"/>
    <w:rsid w:val="00821F8E"/>
    <w:rsid w:val="008230B2"/>
    <w:rsid w:val="008242B4"/>
    <w:rsid w:val="008242DC"/>
    <w:rsid w:val="00824924"/>
    <w:rsid w:val="00825751"/>
    <w:rsid w:val="008264EB"/>
    <w:rsid w:val="0082680B"/>
    <w:rsid w:val="00833254"/>
    <w:rsid w:val="00833B05"/>
    <w:rsid w:val="008362B4"/>
    <w:rsid w:val="00840CA2"/>
    <w:rsid w:val="00841EEC"/>
    <w:rsid w:val="0084374F"/>
    <w:rsid w:val="00844BBB"/>
    <w:rsid w:val="008468AF"/>
    <w:rsid w:val="00846A59"/>
    <w:rsid w:val="00847DF5"/>
    <w:rsid w:val="00851821"/>
    <w:rsid w:val="0085309D"/>
    <w:rsid w:val="00853F26"/>
    <w:rsid w:val="008552E3"/>
    <w:rsid w:val="00856897"/>
    <w:rsid w:val="00856E9A"/>
    <w:rsid w:val="00856F33"/>
    <w:rsid w:val="0085771D"/>
    <w:rsid w:val="0086075D"/>
    <w:rsid w:val="0086082A"/>
    <w:rsid w:val="0086205C"/>
    <w:rsid w:val="00862502"/>
    <w:rsid w:val="0086371D"/>
    <w:rsid w:val="00865971"/>
    <w:rsid w:val="008660D4"/>
    <w:rsid w:val="00866EB0"/>
    <w:rsid w:val="008677DF"/>
    <w:rsid w:val="00870329"/>
    <w:rsid w:val="00871522"/>
    <w:rsid w:val="008718C3"/>
    <w:rsid w:val="00871FA9"/>
    <w:rsid w:val="008728E9"/>
    <w:rsid w:val="00872B97"/>
    <w:rsid w:val="00873634"/>
    <w:rsid w:val="00874F71"/>
    <w:rsid w:val="00875EC9"/>
    <w:rsid w:val="0087640F"/>
    <w:rsid w:val="008773F0"/>
    <w:rsid w:val="00881E15"/>
    <w:rsid w:val="00882874"/>
    <w:rsid w:val="00883787"/>
    <w:rsid w:val="0088557B"/>
    <w:rsid w:val="00885BE4"/>
    <w:rsid w:val="00885EDF"/>
    <w:rsid w:val="0088623E"/>
    <w:rsid w:val="00886CD2"/>
    <w:rsid w:val="00887BDC"/>
    <w:rsid w:val="00890236"/>
    <w:rsid w:val="0089214C"/>
    <w:rsid w:val="00892A36"/>
    <w:rsid w:val="00893239"/>
    <w:rsid w:val="00894489"/>
    <w:rsid w:val="00894C72"/>
    <w:rsid w:val="0089629B"/>
    <w:rsid w:val="008963A5"/>
    <w:rsid w:val="008A3363"/>
    <w:rsid w:val="008A3371"/>
    <w:rsid w:val="008A3C3E"/>
    <w:rsid w:val="008A3F86"/>
    <w:rsid w:val="008A4123"/>
    <w:rsid w:val="008A4774"/>
    <w:rsid w:val="008A5424"/>
    <w:rsid w:val="008A5BDF"/>
    <w:rsid w:val="008A7944"/>
    <w:rsid w:val="008A79DE"/>
    <w:rsid w:val="008B099F"/>
    <w:rsid w:val="008B0C0B"/>
    <w:rsid w:val="008B1757"/>
    <w:rsid w:val="008B19CF"/>
    <w:rsid w:val="008B32F1"/>
    <w:rsid w:val="008B34C3"/>
    <w:rsid w:val="008B48A6"/>
    <w:rsid w:val="008B49D1"/>
    <w:rsid w:val="008B5598"/>
    <w:rsid w:val="008B7D7E"/>
    <w:rsid w:val="008C1AD0"/>
    <w:rsid w:val="008C2515"/>
    <w:rsid w:val="008C68CB"/>
    <w:rsid w:val="008C7ECB"/>
    <w:rsid w:val="008D0079"/>
    <w:rsid w:val="008D016D"/>
    <w:rsid w:val="008D0231"/>
    <w:rsid w:val="008D0728"/>
    <w:rsid w:val="008D1DD2"/>
    <w:rsid w:val="008D27C8"/>
    <w:rsid w:val="008D31E7"/>
    <w:rsid w:val="008D4755"/>
    <w:rsid w:val="008D4C3D"/>
    <w:rsid w:val="008D554C"/>
    <w:rsid w:val="008D5CBF"/>
    <w:rsid w:val="008D673A"/>
    <w:rsid w:val="008D6C7C"/>
    <w:rsid w:val="008E0D3C"/>
    <w:rsid w:val="008E1B9E"/>
    <w:rsid w:val="008E49B0"/>
    <w:rsid w:val="008E54D8"/>
    <w:rsid w:val="008E55AB"/>
    <w:rsid w:val="008E6053"/>
    <w:rsid w:val="008E73E1"/>
    <w:rsid w:val="008E742B"/>
    <w:rsid w:val="008E776B"/>
    <w:rsid w:val="008E7E15"/>
    <w:rsid w:val="008F120A"/>
    <w:rsid w:val="008F200C"/>
    <w:rsid w:val="008F2056"/>
    <w:rsid w:val="008F27E0"/>
    <w:rsid w:val="008F283F"/>
    <w:rsid w:val="008F2FB7"/>
    <w:rsid w:val="008F3188"/>
    <w:rsid w:val="008F3732"/>
    <w:rsid w:val="008F48EB"/>
    <w:rsid w:val="008F4EE7"/>
    <w:rsid w:val="008F4F0B"/>
    <w:rsid w:val="008F6D5E"/>
    <w:rsid w:val="008F74C6"/>
    <w:rsid w:val="0090079D"/>
    <w:rsid w:val="00903208"/>
    <w:rsid w:val="00903C8E"/>
    <w:rsid w:val="00903FD9"/>
    <w:rsid w:val="0090463A"/>
    <w:rsid w:val="009046C4"/>
    <w:rsid w:val="00905BC4"/>
    <w:rsid w:val="009062A5"/>
    <w:rsid w:val="00906F07"/>
    <w:rsid w:val="00911159"/>
    <w:rsid w:val="00911272"/>
    <w:rsid w:val="00912042"/>
    <w:rsid w:val="009135D6"/>
    <w:rsid w:val="00914C77"/>
    <w:rsid w:val="009226B3"/>
    <w:rsid w:val="0092369B"/>
    <w:rsid w:val="0092665A"/>
    <w:rsid w:val="00927D1F"/>
    <w:rsid w:val="009326DE"/>
    <w:rsid w:val="00933698"/>
    <w:rsid w:val="00936151"/>
    <w:rsid w:val="00940693"/>
    <w:rsid w:val="009413DF"/>
    <w:rsid w:val="009431D4"/>
    <w:rsid w:val="00943B4B"/>
    <w:rsid w:val="00945EDD"/>
    <w:rsid w:val="00945F1F"/>
    <w:rsid w:val="009464C7"/>
    <w:rsid w:val="009510A2"/>
    <w:rsid w:val="00953196"/>
    <w:rsid w:val="00953257"/>
    <w:rsid w:val="00955EB2"/>
    <w:rsid w:val="0095709D"/>
    <w:rsid w:val="0096020C"/>
    <w:rsid w:val="009609E4"/>
    <w:rsid w:val="009613B2"/>
    <w:rsid w:val="00961C66"/>
    <w:rsid w:val="00962CB9"/>
    <w:rsid w:val="00963E15"/>
    <w:rsid w:val="00964312"/>
    <w:rsid w:val="00964C6C"/>
    <w:rsid w:val="00965B8A"/>
    <w:rsid w:val="00967EE4"/>
    <w:rsid w:val="00970A2D"/>
    <w:rsid w:val="009717AC"/>
    <w:rsid w:val="009719C5"/>
    <w:rsid w:val="00971B3C"/>
    <w:rsid w:val="00971BD6"/>
    <w:rsid w:val="00971FAB"/>
    <w:rsid w:val="00972D8C"/>
    <w:rsid w:val="00973E05"/>
    <w:rsid w:val="00977496"/>
    <w:rsid w:val="009809C4"/>
    <w:rsid w:val="00980A30"/>
    <w:rsid w:val="00980CC8"/>
    <w:rsid w:val="00980E52"/>
    <w:rsid w:val="00981F0A"/>
    <w:rsid w:val="00983D6A"/>
    <w:rsid w:val="00983E57"/>
    <w:rsid w:val="009849D5"/>
    <w:rsid w:val="0098675D"/>
    <w:rsid w:val="0098694B"/>
    <w:rsid w:val="00987978"/>
    <w:rsid w:val="00993798"/>
    <w:rsid w:val="00993AF5"/>
    <w:rsid w:val="00995E54"/>
    <w:rsid w:val="009963B9"/>
    <w:rsid w:val="00996476"/>
    <w:rsid w:val="00996742"/>
    <w:rsid w:val="00996B1A"/>
    <w:rsid w:val="009A470E"/>
    <w:rsid w:val="009A48D7"/>
    <w:rsid w:val="009A4E87"/>
    <w:rsid w:val="009A5633"/>
    <w:rsid w:val="009A61C0"/>
    <w:rsid w:val="009A7F10"/>
    <w:rsid w:val="009B0544"/>
    <w:rsid w:val="009B1FD6"/>
    <w:rsid w:val="009B3652"/>
    <w:rsid w:val="009B3E26"/>
    <w:rsid w:val="009B51E8"/>
    <w:rsid w:val="009B56D1"/>
    <w:rsid w:val="009B613B"/>
    <w:rsid w:val="009B7DC7"/>
    <w:rsid w:val="009C0779"/>
    <w:rsid w:val="009C136C"/>
    <w:rsid w:val="009C1A0E"/>
    <w:rsid w:val="009C49EF"/>
    <w:rsid w:val="009C4BA0"/>
    <w:rsid w:val="009C5358"/>
    <w:rsid w:val="009C5D3C"/>
    <w:rsid w:val="009C5E83"/>
    <w:rsid w:val="009C60C3"/>
    <w:rsid w:val="009C6CEA"/>
    <w:rsid w:val="009C795A"/>
    <w:rsid w:val="009C7B85"/>
    <w:rsid w:val="009D03FE"/>
    <w:rsid w:val="009D0DD6"/>
    <w:rsid w:val="009D0EC0"/>
    <w:rsid w:val="009D22F3"/>
    <w:rsid w:val="009D241E"/>
    <w:rsid w:val="009D4EBD"/>
    <w:rsid w:val="009D4F80"/>
    <w:rsid w:val="009D5B91"/>
    <w:rsid w:val="009D792E"/>
    <w:rsid w:val="009E01F2"/>
    <w:rsid w:val="009E0DFE"/>
    <w:rsid w:val="009E0E07"/>
    <w:rsid w:val="009E4C07"/>
    <w:rsid w:val="009F040E"/>
    <w:rsid w:val="009F1381"/>
    <w:rsid w:val="009F30BC"/>
    <w:rsid w:val="009F4935"/>
    <w:rsid w:val="009F5152"/>
    <w:rsid w:val="009F5D1D"/>
    <w:rsid w:val="009F6174"/>
    <w:rsid w:val="00A01184"/>
    <w:rsid w:val="00A03D43"/>
    <w:rsid w:val="00A04380"/>
    <w:rsid w:val="00A048B4"/>
    <w:rsid w:val="00A04A8C"/>
    <w:rsid w:val="00A04EF5"/>
    <w:rsid w:val="00A055AB"/>
    <w:rsid w:val="00A07113"/>
    <w:rsid w:val="00A10507"/>
    <w:rsid w:val="00A11CD0"/>
    <w:rsid w:val="00A13948"/>
    <w:rsid w:val="00A13C90"/>
    <w:rsid w:val="00A14168"/>
    <w:rsid w:val="00A149A0"/>
    <w:rsid w:val="00A1555B"/>
    <w:rsid w:val="00A155C5"/>
    <w:rsid w:val="00A16AD8"/>
    <w:rsid w:val="00A20EEF"/>
    <w:rsid w:val="00A21CF3"/>
    <w:rsid w:val="00A22EC2"/>
    <w:rsid w:val="00A24510"/>
    <w:rsid w:val="00A25F16"/>
    <w:rsid w:val="00A27AEC"/>
    <w:rsid w:val="00A3064B"/>
    <w:rsid w:val="00A31233"/>
    <w:rsid w:val="00A320DB"/>
    <w:rsid w:val="00A3323D"/>
    <w:rsid w:val="00A33552"/>
    <w:rsid w:val="00A33AEF"/>
    <w:rsid w:val="00A345C9"/>
    <w:rsid w:val="00A35A59"/>
    <w:rsid w:val="00A35D16"/>
    <w:rsid w:val="00A35E09"/>
    <w:rsid w:val="00A37BCD"/>
    <w:rsid w:val="00A407F3"/>
    <w:rsid w:val="00A40DF7"/>
    <w:rsid w:val="00A4133B"/>
    <w:rsid w:val="00A43C59"/>
    <w:rsid w:val="00A45D48"/>
    <w:rsid w:val="00A467AC"/>
    <w:rsid w:val="00A4748A"/>
    <w:rsid w:val="00A478F4"/>
    <w:rsid w:val="00A47C5E"/>
    <w:rsid w:val="00A50378"/>
    <w:rsid w:val="00A5045C"/>
    <w:rsid w:val="00A50ECD"/>
    <w:rsid w:val="00A514A6"/>
    <w:rsid w:val="00A51712"/>
    <w:rsid w:val="00A518F3"/>
    <w:rsid w:val="00A519DC"/>
    <w:rsid w:val="00A51BC2"/>
    <w:rsid w:val="00A51EF7"/>
    <w:rsid w:val="00A52729"/>
    <w:rsid w:val="00A53675"/>
    <w:rsid w:val="00A552E3"/>
    <w:rsid w:val="00A55744"/>
    <w:rsid w:val="00A55C0A"/>
    <w:rsid w:val="00A564D7"/>
    <w:rsid w:val="00A565F9"/>
    <w:rsid w:val="00A56B6A"/>
    <w:rsid w:val="00A578DC"/>
    <w:rsid w:val="00A60A28"/>
    <w:rsid w:val="00A626B5"/>
    <w:rsid w:val="00A63432"/>
    <w:rsid w:val="00A66154"/>
    <w:rsid w:val="00A667CA"/>
    <w:rsid w:val="00A6725B"/>
    <w:rsid w:val="00A70605"/>
    <w:rsid w:val="00A70CAD"/>
    <w:rsid w:val="00A71F3D"/>
    <w:rsid w:val="00A73134"/>
    <w:rsid w:val="00A74F05"/>
    <w:rsid w:val="00A753CF"/>
    <w:rsid w:val="00A769A5"/>
    <w:rsid w:val="00A76F8C"/>
    <w:rsid w:val="00A777B2"/>
    <w:rsid w:val="00A77C58"/>
    <w:rsid w:val="00A77D40"/>
    <w:rsid w:val="00A80D0B"/>
    <w:rsid w:val="00A81022"/>
    <w:rsid w:val="00A81127"/>
    <w:rsid w:val="00A8193E"/>
    <w:rsid w:val="00A81DF2"/>
    <w:rsid w:val="00A84A9D"/>
    <w:rsid w:val="00A864C7"/>
    <w:rsid w:val="00A8650E"/>
    <w:rsid w:val="00A86E8B"/>
    <w:rsid w:val="00A87164"/>
    <w:rsid w:val="00A90620"/>
    <w:rsid w:val="00A90D9A"/>
    <w:rsid w:val="00A93072"/>
    <w:rsid w:val="00A934FE"/>
    <w:rsid w:val="00A93953"/>
    <w:rsid w:val="00A95045"/>
    <w:rsid w:val="00A95279"/>
    <w:rsid w:val="00A959D8"/>
    <w:rsid w:val="00A97F46"/>
    <w:rsid w:val="00AA01ED"/>
    <w:rsid w:val="00AA113D"/>
    <w:rsid w:val="00AA3FEA"/>
    <w:rsid w:val="00AA55B8"/>
    <w:rsid w:val="00AA568F"/>
    <w:rsid w:val="00AA6123"/>
    <w:rsid w:val="00AA6C7D"/>
    <w:rsid w:val="00AA7FD6"/>
    <w:rsid w:val="00AB042A"/>
    <w:rsid w:val="00AB0530"/>
    <w:rsid w:val="00AB193A"/>
    <w:rsid w:val="00AB19D5"/>
    <w:rsid w:val="00AB2D34"/>
    <w:rsid w:val="00AB3430"/>
    <w:rsid w:val="00AB3997"/>
    <w:rsid w:val="00AB4AD1"/>
    <w:rsid w:val="00AB6CBD"/>
    <w:rsid w:val="00AB7267"/>
    <w:rsid w:val="00AB7CFA"/>
    <w:rsid w:val="00AC057C"/>
    <w:rsid w:val="00AC3E06"/>
    <w:rsid w:val="00AC5B48"/>
    <w:rsid w:val="00AC7999"/>
    <w:rsid w:val="00AD0803"/>
    <w:rsid w:val="00AD08E0"/>
    <w:rsid w:val="00AD1289"/>
    <w:rsid w:val="00AD3D98"/>
    <w:rsid w:val="00AD4BE6"/>
    <w:rsid w:val="00AD5327"/>
    <w:rsid w:val="00AD6502"/>
    <w:rsid w:val="00AD683B"/>
    <w:rsid w:val="00AD6A64"/>
    <w:rsid w:val="00AE0DFF"/>
    <w:rsid w:val="00AE1E07"/>
    <w:rsid w:val="00AE253A"/>
    <w:rsid w:val="00AE2569"/>
    <w:rsid w:val="00AE33B1"/>
    <w:rsid w:val="00AE44D9"/>
    <w:rsid w:val="00AE7CCF"/>
    <w:rsid w:val="00AF130B"/>
    <w:rsid w:val="00AF1315"/>
    <w:rsid w:val="00AF19BF"/>
    <w:rsid w:val="00AF2DC3"/>
    <w:rsid w:val="00AF491F"/>
    <w:rsid w:val="00AF6BBA"/>
    <w:rsid w:val="00AF6BDB"/>
    <w:rsid w:val="00AF71AF"/>
    <w:rsid w:val="00AF76AD"/>
    <w:rsid w:val="00AF784C"/>
    <w:rsid w:val="00B0185E"/>
    <w:rsid w:val="00B033E5"/>
    <w:rsid w:val="00B03A63"/>
    <w:rsid w:val="00B03FB4"/>
    <w:rsid w:val="00B05ECE"/>
    <w:rsid w:val="00B06B4E"/>
    <w:rsid w:val="00B0787B"/>
    <w:rsid w:val="00B07BCF"/>
    <w:rsid w:val="00B10329"/>
    <w:rsid w:val="00B1100A"/>
    <w:rsid w:val="00B12A89"/>
    <w:rsid w:val="00B12B1C"/>
    <w:rsid w:val="00B13915"/>
    <w:rsid w:val="00B13D8D"/>
    <w:rsid w:val="00B14503"/>
    <w:rsid w:val="00B149A8"/>
    <w:rsid w:val="00B1572E"/>
    <w:rsid w:val="00B15C37"/>
    <w:rsid w:val="00B15D2C"/>
    <w:rsid w:val="00B15FAF"/>
    <w:rsid w:val="00B16428"/>
    <w:rsid w:val="00B1658D"/>
    <w:rsid w:val="00B16984"/>
    <w:rsid w:val="00B17443"/>
    <w:rsid w:val="00B17EC0"/>
    <w:rsid w:val="00B201A4"/>
    <w:rsid w:val="00B2042D"/>
    <w:rsid w:val="00B211EA"/>
    <w:rsid w:val="00B213A6"/>
    <w:rsid w:val="00B21C81"/>
    <w:rsid w:val="00B231D6"/>
    <w:rsid w:val="00B23380"/>
    <w:rsid w:val="00B233D3"/>
    <w:rsid w:val="00B24648"/>
    <w:rsid w:val="00B24DF6"/>
    <w:rsid w:val="00B25A0F"/>
    <w:rsid w:val="00B25E6A"/>
    <w:rsid w:val="00B26B6E"/>
    <w:rsid w:val="00B279D8"/>
    <w:rsid w:val="00B304AA"/>
    <w:rsid w:val="00B30F8C"/>
    <w:rsid w:val="00B31C7F"/>
    <w:rsid w:val="00B34B11"/>
    <w:rsid w:val="00B34FE2"/>
    <w:rsid w:val="00B357D8"/>
    <w:rsid w:val="00B37BFC"/>
    <w:rsid w:val="00B40358"/>
    <w:rsid w:val="00B405A6"/>
    <w:rsid w:val="00B41614"/>
    <w:rsid w:val="00B42099"/>
    <w:rsid w:val="00B42136"/>
    <w:rsid w:val="00B4218F"/>
    <w:rsid w:val="00B42851"/>
    <w:rsid w:val="00B42F80"/>
    <w:rsid w:val="00B435CB"/>
    <w:rsid w:val="00B44428"/>
    <w:rsid w:val="00B44586"/>
    <w:rsid w:val="00B445D2"/>
    <w:rsid w:val="00B44A1A"/>
    <w:rsid w:val="00B465C8"/>
    <w:rsid w:val="00B47987"/>
    <w:rsid w:val="00B50854"/>
    <w:rsid w:val="00B50DB8"/>
    <w:rsid w:val="00B5165B"/>
    <w:rsid w:val="00B51A2D"/>
    <w:rsid w:val="00B520A6"/>
    <w:rsid w:val="00B52287"/>
    <w:rsid w:val="00B52E52"/>
    <w:rsid w:val="00B53654"/>
    <w:rsid w:val="00B53905"/>
    <w:rsid w:val="00B54B4A"/>
    <w:rsid w:val="00B54B5B"/>
    <w:rsid w:val="00B54FB3"/>
    <w:rsid w:val="00B5562E"/>
    <w:rsid w:val="00B55836"/>
    <w:rsid w:val="00B55C4F"/>
    <w:rsid w:val="00B57000"/>
    <w:rsid w:val="00B60939"/>
    <w:rsid w:val="00B60AFD"/>
    <w:rsid w:val="00B61C76"/>
    <w:rsid w:val="00B62715"/>
    <w:rsid w:val="00B66685"/>
    <w:rsid w:val="00B725F8"/>
    <w:rsid w:val="00B73D03"/>
    <w:rsid w:val="00B74518"/>
    <w:rsid w:val="00B75E4C"/>
    <w:rsid w:val="00B80332"/>
    <w:rsid w:val="00B81578"/>
    <w:rsid w:val="00B818A4"/>
    <w:rsid w:val="00B81D67"/>
    <w:rsid w:val="00B81FB5"/>
    <w:rsid w:val="00B84117"/>
    <w:rsid w:val="00B859DA"/>
    <w:rsid w:val="00B85AA2"/>
    <w:rsid w:val="00B85E86"/>
    <w:rsid w:val="00B8649C"/>
    <w:rsid w:val="00B86D82"/>
    <w:rsid w:val="00B86DF1"/>
    <w:rsid w:val="00B87741"/>
    <w:rsid w:val="00B87F0A"/>
    <w:rsid w:val="00B917AC"/>
    <w:rsid w:val="00B927D8"/>
    <w:rsid w:val="00B92D0B"/>
    <w:rsid w:val="00B94825"/>
    <w:rsid w:val="00B94945"/>
    <w:rsid w:val="00B9621F"/>
    <w:rsid w:val="00B96310"/>
    <w:rsid w:val="00BA1AFC"/>
    <w:rsid w:val="00BA322D"/>
    <w:rsid w:val="00BA4CC0"/>
    <w:rsid w:val="00BA543C"/>
    <w:rsid w:val="00BA6485"/>
    <w:rsid w:val="00BA72A2"/>
    <w:rsid w:val="00BB0BDD"/>
    <w:rsid w:val="00BB0EF5"/>
    <w:rsid w:val="00BB11B1"/>
    <w:rsid w:val="00BB1AC6"/>
    <w:rsid w:val="00BB1F0F"/>
    <w:rsid w:val="00BB2A73"/>
    <w:rsid w:val="00BB315A"/>
    <w:rsid w:val="00BB4ACC"/>
    <w:rsid w:val="00BB55E5"/>
    <w:rsid w:val="00BB6C0B"/>
    <w:rsid w:val="00BB703E"/>
    <w:rsid w:val="00BB7405"/>
    <w:rsid w:val="00BB7CE8"/>
    <w:rsid w:val="00BB7FD4"/>
    <w:rsid w:val="00BC1CD1"/>
    <w:rsid w:val="00BC3631"/>
    <w:rsid w:val="00BC4354"/>
    <w:rsid w:val="00BD0E45"/>
    <w:rsid w:val="00BD1222"/>
    <w:rsid w:val="00BD29B5"/>
    <w:rsid w:val="00BD2A12"/>
    <w:rsid w:val="00BD35A1"/>
    <w:rsid w:val="00BD5D34"/>
    <w:rsid w:val="00BD68A3"/>
    <w:rsid w:val="00BD6938"/>
    <w:rsid w:val="00BD6CF3"/>
    <w:rsid w:val="00BD7317"/>
    <w:rsid w:val="00BD75E5"/>
    <w:rsid w:val="00BE0907"/>
    <w:rsid w:val="00BE0AA4"/>
    <w:rsid w:val="00BE1302"/>
    <w:rsid w:val="00BE1328"/>
    <w:rsid w:val="00BE2180"/>
    <w:rsid w:val="00BE21F2"/>
    <w:rsid w:val="00BE2380"/>
    <w:rsid w:val="00BE4275"/>
    <w:rsid w:val="00BE4CAF"/>
    <w:rsid w:val="00BF0F95"/>
    <w:rsid w:val="00BF2433"/>
    <w:rsid w:val="00BF37EF"/>
    <w:rsid w:val="00BF430D"/>
    <w:rsid w:val="00BF4441"/>
    <w:rsid w:val="00BF5273"/>
    <w:rsid w:val="00BF61C9"/>
    <w:rsid w:val="00BF683C"/>
    <w:rsid w:val="00BF6C94"/>
    <w:rsid w:val="00C00424"/>
    <w:rsid w:val="00C02507"/>
    <w:rsid w:val="00C0774E"/>
    <w:rsid w:val="00C124A1"/>
    <w:rsid w:val="00C12C14"/>
    <w:rsid w:val="00C14998"/>
    <w:rsid w:val="00C1686C"/>
    <w:rsid w:val="00C16C9E"/>
    <w:rsid w:val="00C171FE"/>
    <w:rsid w:val="00C17C16"/>
    <w:rsid w:val="00C17CB7"/>
    <w:rsid w:val="00C200AA"/>
    <w:rsid w:val="00C20187"/>
    <w:rsid w:val="00C20670"/>
    <w:rsid w:val="00C21C61"/>
    <w:rsid w:val="00C21EE2"/>
    <w:rsid w:val="00C220C6"/>
    <w:rsid w:val="00C22EAE"/>
    <w:rsid w:val="00C22F2E"/>
    <w:rsid w:val="00C237ED"/>
    <w:rsid w:val="00C24632"/>
    <w:rsid w:val="00C24B00"/>
    <w:rsid w:val="00C25418"/>
    <w:rsid w:val="00C25D9C"/>
    <w:rsid w:val="00C26011"/>
    <w:rsid w:val="00C2778B"/>
    <w:rsid w:val="00C312A1"/>
    <w:rsid w:val="00C31649"/>
    <w:rsid w:val="00C31DCB"/>
    <w:rsid w:val="00C33657"/>
    <w:rsid w:val="00C36552"/>
    <w:rsid w:val="00C40385"/>
    <w:rsid w:val="00C407CC"/>
    <w:rsid w:val="00C40C0F"/>
    <w:rsid w:val="00C4350A"/>
    <w:rsid w:val="00C45D74"/>
    <w:rsid w:val="00C46736"/>
    <w:rsid w:val="00C475AA"/>
    <w:rsid w:val="00C510E6"/>
    <w:rsid w:val="00C5229F"/>
    <w:rsid w:val="00C54771"/>
    <w:rsid w:val="00C54F41"/>
    <w:rsid w:val="00C618DC"/>
    <w:rsid w:val="00C65576"/>
    <w:rsid w:val="00C6613B"/>
    <w:rsid w:val="00C66165"/>
    <w:rsid w:val="00C66AF4"/>
    <w:rsid w:val="00C67F93"/>
    <w:rsid w:val="00C7131B"/>
    <w:rsid w:val="00C7151A"/>
    <w:rsid w:val="00C71F60"/>
    <w:rsid w:val="00C72241"/>
    <w:rsid w:val="00C736CF"/>
    <w:rsid w:val="00C750C8"/>
    <w:rsid w:val="00C7516D"/>
    <w:rsid w:val="00C753BD"/>
    <w:rsid w:val="00C7560F"/>
    <w:rsid w:val="00C75D16"/>
    <w:rsid w:val="00C80A0E"/>
    <w:rsid w:val="00C8213F"/>
    <w:rsid w:val="00C84799"/>
    <w:rsid w:val="00C8664D"/>
    <w:rsid w:val="00C866C6"/>
    <w:rsid w:val="00C86846"/>
    <w:rsid w:val="00C875CE"/>
    <w:rsid w:val="00C8783E"/>
    <w:rsid w:val="00C8797A"/>
    <w:rsid w:val="00C87EBD"/>
    <w:rsid w:val="00C900B8"/>
    <w:rsid w:val="00C90217"/>
    <w:rsid w:val="00C907AB"/>
    <w:rsid w:val="00C90C71"/>
    <w:rsid w:val="00C92494"/>
    <w:rsid w:val="00C931CF"/>
    <w:rsid w:val="00C938CF"/>
    <w:rsid w:val="00C93F82"/>
    <w:rsid w:val="00C942F1"/>
    <w:rsid w:val="00C9624D"/>
    <w:rsid w:val="00C969DA"/>
    <w:rsid w:val="00C9711A"/>
    <w:rsid w:val="00C97C65"/>
    <w:rsid w:val="00CA0A23"/>
    <w:rsid w:val="00CA2338"/>
    <w:rsid w:val="00CA2C77"/>
    <w:rsid w:val="00CA3877"/>
    <w:rsid w:val="00CA444F"/>
    <w:rsid w:val="00CA49C7"/>
    <w:rsid w:val="00CA4DDE"/>
    <w:rsid w:val="00CA5245"/>
    <w:rsid w:val="00CA71F4"/>
    <w:rsid w:val="00CA75C9"/>
    <w:rsid w:val="00CA7B09"/>
    <w:rsid w:val="00CB2F2A"/>
    <w:rsid w:val="00CB4BD9"/>
    <w:rsid w:val="00CB502A"/>
    <w:rsid w:val="00CB5B1A"/>
    <w:rsid w:val="00CB6B22"/>
    <w:rsid w:val="00CB78F8"/>
    <w:rsid w:val="00CB7AC9"/>
    <w:rsid w:val="00CB7B7A"/>
    <w:rsid w:val="00CB7F5F"/>
    <w:rsid w:val="00CC05FC"/>
    <w:rsid w:val="00CC1B39"/>
    <w:rsid w:val="00CC4EDC"/>
    <w:rsid w:val="00CC51AE"/>
    <w:rsid w:val="00CC5A46"/>
    <w:rsid w:val="00CC60C4"/>
    <w:rsid w:val="00CD1B28"/>
    <w:rsid w:val="00CD3F96"/>
    <w:rsid w:val="00CD4134"/>
    <w:rsid w:val="00CD601F"/>
    <w:rsid w:val="00CD6ADC"/>
    <w:rsid w:val="00CD7709"/>
    <w:rsid w:val="00CE1DBE"/>
    <w:rsid w:val="00CE24EC"/>
    <w:rsid w:val="00CE6274"/>
    <w:rsid w:val="00CE76CA"/>
    <w:rsid w:val="00CE7F0C"/>
    <w:rsid w:val="00CF06D0"/>
    <w:rsid w:val="00CF1BCC"/>
    <w:rsid w:val="00CF230B"/>
    <w:rsid w:val="00CF2B8D"/>
    <w:rsid w:val="00CF322F"/>
    <w:rsid w:val="00CF456B"/>
    <w:rsid w:val="00CF5A22"/>
    <w:rsid w:val="00CF6741"/>
    <w:rsid w:val="00CF7B1E"/>
    <w:rsid w:val="00CF7FA4"/>
    <w:rsid w:val="00D0262E"/>
    <w:rsid w:val="00D03A54"/>
    <w:rsid w:val="00D04474"/>
    <w:rsid w:val="00D04BF0"/>
    <w:rsid w:val="00D04EAC"/>
    <w:rsid w:val="00D056D7"/>
    <w:rsid w:val="00D076B5"/>
    <w:rsid w:val="00D10619"/>
    <w:rsid w:val="00D10E46"/>
    <w:rsid w:val="00D10FB2"/>
    <w:rsid w:val="00D110BD"/>
    <w:rsid w:val="00D11124"/>
    <w:rsid w:val="00D1148B"/>
    <w:rsid w:val="00D12390"/>
    <w:rsid w:val="00D13675"/>
    <w:rsid w:val="00D141E1"/>
    <w:rsid w:val="00D14E88"/>
    <w:rsid w:val="00D15EB6"/>
    <w:rsid w:val="00D165A3"/>
    <w:rsid w:val="00D16BB0"/>
    <w:rsid w:val="00D16E1E"/>
    <w:rsid w:val="00D171F9"/>
    <w:rsid w:val="00D17D6C"/>
    <w:rsid w:val="00D20C19"/>
    <w:rsid w:val="00D22CE6"/>
    <w:rsid w:val="00D260B4"/>
    <w:rsid w:val="00D268A8"/>
    <w:rsid w:val="00D2754D"/>
    <w:rsid w:val="00D27B27"/>
    <w:rsid w:val="00D30A05"/>
    <w:rsid w:val="00D30BE2"/>
    <w:rsid w:val="00D30FEC"/>
    <w:rsid w:val="00D33750"/>
    <w:rsid w:val="00D33BE9"/>
    <w:rsid w:val="00D34F93"/>
    <w:rsid w:val="00D357FF"/>
    <w:rsid w:val="00D35886"/>
    <w:rsid w:val="00D37C20"/>
    <w:rsid w:val="00D4084A"/>
    <w:rsid w:val="00D4125F"/>
    <w:rsid w:val="00D41878"/>
    <w:rsid w:val="00D424C7"/>
    <w:rsid w:val="00D42566"/>
    <w:rsid w:val="00D4375E"/>
    <w:rsid w:val="00D43B2A"/>
    <w:rsid w:val="00D4467D"/>
    <w:rsid w:val="00D4553F"/>
    <w:rsid w:val="00D47575"/>
    <w:rsid w:val="00D500E3"/>
    <w:rsid w:val="00D52165"/>
    <w:rsid w:val="00D52B9E"/>
    <w:rsid w:val="00D54E70"/>
    <w:rsid w:val="00D55648"/>
    <w:rsid w:val="00D55A76"/>
    <w:rsid w:val="00D60BFF"/>
    <w:rsid w:val="00D63B86"/>
    <w:rsid w:val="00D648E0"/>
    <w:rsid w:val="00D65B1C"/>
    <w:rsid w:val="00D67BEE"/>
    <w:rsid w:val="00D703BB"/>
    <w:rsid w:val="00D70736"/>
    <w:rsid w:val="00D70F16"/>
    <w:rsid w:val="00D74AE7"/>
    <w:rsid w:val="00D76062"/>
    <w:rsid w:val="00D76A44"/>
    <w:rsid w:val="00D77977"/>
    <w:rsid w:val="00D8085F"/>
    <w:rsid w:val="00D81541"/>
    <w:rsid w:val="00D815EF"/>
    <w:rsid w:val="00D81674"/>
    <w:rsid w:val="00D81EC3"/>
    <w:rsid w:val="00D8208E"/>
    <w:rsid w:val="00D82410"/>
    <w:rsid w:val="00D85191"/>
    <w:rsid w:val="00D85CD3"/>
    <w:rsid w:val="00D85F22"/>
    <w:rsid w:val="00D86B12"/>
    <w:rsid w:val="00D875F2"/>
    <w:rsid w:val="00D90367"/>
    <w:rsid w:val="00D91923"/>
    <w:rsid w:val="00D92938"/>
    <w:rsid w:val="00D9322C"/>
    <w:rsid w:val="00D93753"/>
    <w:rsid w:val="00D938D1"/>
    <w:rsid w:val="00D95961"/>
    <w:rsid w:val="00D959B8"/>
    <w:rsid w:val="00D96CD4"/>
    <w:rsid w:val="00D97A8C"/>
    <w:rsid w:val="00D97A9E"/>
    <w:rsid w:val="00DA2B46"/>
    <w:rsid w:val="00DA3054"/>
    <w:rsid w:val="00DA3167"/>
    <w:rsid w:val="00DA3D77"/>
    <w:rsid w:val="00DA4DC3"/>
    <w:rsid w:val="00DA51A6"/>
    <w:rsid w:val="00DA77A5"/>
    <w:rsid w:val="00DB0347"/>
    <w:rsid w:val="00DB312D"/>
    <w:rsid w:val="00DB3471"/>
    <w:rsid w:val="00DB3C1E"/>
    <w:rsid w:val="00DB484F"/>
    <w:rsid w:val="00DB540A"/>
    <w:rsid w:val="00DB5F7F"/>
    <w:rsid w:val="00DC04F6"/>
    <w:rsid w:val="00DC13DA"/>
    <w:rsid w:val="00DC1D13"/>
    <w:rsid w:val="00DC2D44"/>
    <w:rsid w:val="00DC3C57"/>
    <w:rsid w:val="00DC5501"/>
    <w:rsid w:val="00DC78C6"/>
    <w:rsid w:val="00DD273C"/>
    <w:rsid w:val="00DD3F28"/>
    <w:rsid w:val="00DD4428"/>
    <w:rsid w:val="00DD4537"/>
    <w:rsid w:val="00DD4C75"/>
    <w:rsid w:val="00DD4E15"/>
    <w:rsid w:val="00DD72DB"/>
    <w:rsid w:val="00DD7E16"/>
    <w:rsid w:val="00DE0FDB"/>
    <w:rsid w:val="00DE150E"/>
    <w:rsid w:val="00DE3138"/>
    <w:rsid w:val="00DE37F8"/>
    <w:rsid w:val="00DE4FCB"/>
    <w:rsid w:val="00DE51EA"/>
    <w:rsid w:val="00DE7832"/>
    <w:rsid w:val="00DE7958"/>
    <w:rsid w:val="00DF18FC"/>
    <w:rsid w:val="00DF3798"/>
    <w:rsid w:val="00DF3DD4"/>
    <w:rsid w:val="00DF5D2B"/>
    <w:rsid w:val="00DF6867"/>
    <w:rsid w:val="00DF765B"/>
    <w:rsid w:val="00DF76F7"/>
    <w:rsid w:val="00E00E8E"/>
    <w:rsid w:val="00E014AC"/>
    <w:rsid w:val="00E04553"/>
    <w:rsid w:val="00E05630"/>
    <w:rsid w:val="00E06B91"/>
    <w:rsid w:val="00E06DBB"/>
    <w:rsid w:val="00E10149"/>
    <w:rsid w:val="00E1024D"/>
    <w:rsid w:val="00E10255"/>
    <w:rsid w:val="00E104C8"/>
    <w:rsid w:val="00E10760"/>
    <w:rsid w:val="00E1079F"/>
    <w:rsid w:val="00E11671"/>
    <w:rsid w:val="00E15181"/>
    <w:rsid w:val="00E15BF1"/>
    <w:rsid w:val="00E16372"/>
    <w:rsid w:val="00E16D41"/>
    <w:rsid w:val="00E16E1B"/>
    <w:rsid w:val="00E200AF"/>
    <w:rsid w:val="00E204B7"/>
    <w:rsid w:val="00E20E4D"/>
    <w:rsid w:val="00E20ED6"/>
    <w:rsid w:val="00E21358"/>
    <w:rsid w:val="00E213EF"/>
    <w:rsid w:val="00E2249B"/>
    <w:rsid w:val="00E22A0D"/>
    <w:rsid w:val="00E22A64"/>
    <w:rsid w:val="00E22E3E"/>
    <w:rsid w:val="00E231A5"/>
    <w:rsid w:val="00E23C32"/>
    <w:rsid w:val="00E256C0"/>
    <w:rsid w:val="00E25CC0"/>
    <w:rsid w:val="00E26085"/>
    <w:rsid w:val="00E2657D"/>
    <w:rsid w:val="00E27347"/>
    <w:rsid w:val="00E2747B"/>
    <w:rsid w:val="00E2771E"/>
    <w:rsid w:val="00E27767"/>
    <w:rsid w:val="00E302D8"/>
    <w:rsid w:val="00E33907"/>
    <w:rsid w:val="00E342F2"/>
    <w:rsid w:val="00E34420"/>
    <w:rsid w:val="00E345EC"/>
    <w:rsid w:val="00E34948"/>
    <w:rsid w:val="00E356F4"/>
    <w:rsid w:val="00E36DA9"/>
    <w:rsid w:val="00E37569"/>
    <w:rsid w:val="00E40A55"/>
    <w:rsid w:val="00E40BE2"/>
    <w:rsid w:val="00E41E30"/>
    <w:rsid w:val="00E43D70"/>
    <w:rsid w:val="00E44E40"/>
    <w:rsid w:val="00E45C66"/>
    <w:rsid w:val="00E45D0F"/>
    <w:rsid w:val="00E466F3"/>
    <w:rsid w:val="00E47B2C"/>
    <w:rsid w:val="00E50B8D"/>
    <w:rsid w:val="00E51560"/>
    <w:rsid w:val="00E533D7"/>
    <w:rsid w:val="00E54347"/>
    <w:rsid w:val="00E544AF"/>
    <w:rsid w:val="00E55424"/>
    <w:rsid w:val="00E55BB5"/>
    <w:rsid w:val="00E560B4"/>
    <w:rsid w:val="00E56E19"/>
    <w:rsid w:val="00E57A9C"/>
    <w:rsid w:val="00E616FB"/>
    <w:rsid w:val="00E6182B"/>
    <w:rsid w:val="00E618D6"/>
    <w:rsid w:val="00E62693"/>
    <w:rsid w:val="00E65146"/>
    <w:rsid w:val="00E657B9"/>
    <w:rsid w:val="00E65E79"/>
    <w:rsid w:val="00E66245"/>
    <w:rsid w:val="00E66BA2"/>
    <w:rsid w:val="00E67416"/>
    <w:rsid w:val="00E6787D"/>
    <w:rsid w:val="00E718B6"/>
    <w:rsid w:val="00E723BA"/>
    <w:rsid w:val="00E723DD"/>
    <w:rsid w:val="00E729D0"/>
    <w:rsid w:val="00E73581"/>
    <w:rsid w:val="00E75A1F"/>
    <w:rsid w:val="00E76098"/>
    <w:rsid w:val="00E77411"/>
    <w:rsid w:val="00E830EB"/>
    <w:rsid w:val="00E833F7"/>
    <w:rsid w:val="00E83BDF"/>
    <w:rsid w:val="00E85CDB"/>
    <w:rsid w:val="00E865C4"/>
    <w:rsid w:val="00E87A0D"/>
    <w:rsid w:val="00E87A1D"/>
    <w:rsid w:val="00E9015D"/>
    <w:rsid w:val="00E91663"/>
    <w:rsid w:val="00E926A5"/>
    <w:rsid w:val="00E92DBE"/>
    <w:rsid w:val="00E979B5"/>
    <w:rsid w:val="00EA09F6"/>
    <w:rsid w:val="00EA17C3"/>
    <w:rsid w:val="00EA2150"/>
    <w:rsid w:val="00EA2CAA"/>
    <w:rsid w:val="00EA2E7C"/>
    <w:rsid w:val="00EA37B9"/>
    <w:rsid w:val="00EA3864"/>
    <w:rsid w:val="00EA5294"/>
    <w:rsid w:val="00EA695E"/>
    <w:rsid w:val="00EA6C30"/>
    <w:rsid w:val="00EB15B6"/>
    <w:rsid w:val="00EB1E68"/>
    <w:rsid w:val="00EB41EF"/>
    <w:rsid w:val="00EB4916"/>
    <w:rsid w:val="00EB5F18"/>
    <w:rsid w:val="00EB6AC4"/>
    <w:rsid w:val="00EC00C9"/>
    <w:rsid w:val="00EC022A"/>
    <w:rsid w:val="00EC0296"/>
    <w:rsid w:val="00EC07D5"/>
    <w:rsid w:val="00EC2649"/>
    <w:rsid w:val="00EC333F"/>
    <w:rsid w:val="00EC4F91"/>
    <w:rsid w:val="00EC5099"/>
    <w:rsid w:val="00EC7D4C"/>
    <w:rsid w:val="00EC7D5D"/>
    <w:rsid w:val="00ED1862"/>
    <w:rsid w:val="00ED1A1C"/>
    <w:rsid w:val="00ED2FB6"/>
    <w:rsid w:val="00ED2FC7"/>
    <w:rsid w:val="00ED53E2"/>
    <w:rsid w:val="00ED57EA"/>
    <w:rsid w:val="00EE07D3"/>
    <w:rsid w:val="00EE1096"/>
    <w:rsid w:val="00EE1436"/>
    <w:rsid w:val="00EE1F1A"/>
    <w:rsid w:val="00EE22AF"/>
    <w:rsid w:val="00EE2FA9"/>
    <w:rsid w:val="00EE617D"/>
    <w:rsid w:val="00EE6CF2"/>
    <w:rsid w:val="00EE7150"/>
    <w:rsid w:val="00EF0171"/>
    <w:rsid w:val="00EF1877"/>
    <w:rsid w:val="00EF1B25"/>
    <w:rsid w:val="00EF1FE1"/>
    <w:rsid w:val="00EF20DF"/>
    <w:rsid w:val="00EF4747"/>
    <w:rsid w:val="00EF4B58"/>
    <w:rsid w:val="00EF4BF8"/>
    <w:rsid w:val="00EF562C"/>
    <w:rsid w:val="00EF6471"/>
    <w:rsid w:val="00EF674C"/>
    <w:rsid w:val="00EF6D77"/>
    <w:rsid w:val="00F019EE"/>
    <w:rsid w:val="00F02253"/>
    <w:rsid w:val="00F024AB"/>
    <w:rsid w:val="00F03C2E"/>
    <w:rsid w:val="00F03F93"/>
    <w:rsid w:val="00F04852"/>
    <w:rsid w:val="00F04A66"/>
    <w:rsid w:val="00F0516C"/>
    <w:rsid w:val="00F05BF4"/>
    <w:rsid w:val="00F067A2"/>
    <w:rsid w:val="00F07B7E"/>
    <w:rsid w:val="00F124FC"/>
    <w:rsid w:val="00F1263A"/>
    <w:rsid w:val="00F13C06"/>
    <w:rsid w:val="00F17EBF"/>
    <w:rsid w:val="00F203CA"/>
    <w:rsid w:val="00F2147A"/>
    <w:rsid w:val="00F229CF"/>
    <w:rsid w:val="00F24837"/>
    <w:rsid w:val="00F2575F"/>
    <w:rsid w:val="00F27565"/>
    <w:rsid w:val="00F310D4"/>
    <w:rsid w:val="00F3125F"/>
    <w:rsid w:val="00F31D5A"/>
    <w:rsid w:val="00F32136"/>
    <w:rsid w:val="00F33DE9"/>
    <w:rsid w:val="00F3619A"/>
    <w:rsid w:val="00F36319"/>
    <w:rsid w:val="00F36BCA"/>
    <w:rsid w:val="00F375E6"/>
    <w:rsid w:val="00F40AAA"/>
    <w:rsid w:val="00F40BA7"/>
    <w:rsid w:val="00F4120C"/>
    <w:rsid w:val="00F431EE"/>
    <w:rsid w:val="00F43AB9"/>
    <w:rsid w:val="00F45F7D"/>
    <w:rsid w:val="00F46ADD"/>
    <w:rsid w:val="00F46CB6"/>
    <w:rsid w:val="00F47124"/>
    <w:rsid w:val="00F471C4"/>
    <w:rsid w:val="00F47DE8"/>
    <w:rsid w:val="00F5084B"/>
    <w:rsid w:val="00F50882"/>
    <w:rsid w:val="00F50E54"/>
    <w:rsid w:val="00F532C5"/>
    <w:rsid w:val="00F53A4D"/>
    <w:rsid w:val="00F54091"/>
    <w:rsid w:val="00F542C1"/>
    <w:rsid w:val="00F55E73"/>
    <w:rsid w:val="00F55EDA"/>
    <w:rsid w:val="00F60092"/>
    <w:rsid w:val="00F62505"/>
    <w:rsid w:val="00F65F4B"/>
    <w:rsid w:val="00F6610C"/>
    <w:rsid w:val="00F67A4C"/>
    <w:rsid w:val="00F67F45"/>
    <w:rsid w:val="00F70A71"/>
    <w:rsid w:val="00F70C9D"/>
    <w:rsid w:val="00F720F6"/>
    <w:rsid w:val="00F74CD9"/>
    <w:rsid w:val="00F75100"/>
    <w:rsid w:val="00F758CC"/>
    <w:rsid w:val="00F7686D"/>
    <w:rsid w:val="00F76953"/>
    <w:rsid w:val="00F770A9"/>
    <w:rsid w:val="00F77CCD"/>
    <w:rsid w:val="00F80A7B"/>
    <w:rsid w:val="00F80BF6"/>
    <w:rsid w:val="00F80E5D"/>
    <w:rsid w:val="00F8486C"/>
    <w:rsid w:val="00F84C9D"/>
    <w:rsid w:val="00F851CE"/>
    <w:rsid w:val="00F862EF"/>
    <w:rsid w:val="00F86962"/>
    <w:rsid w:val="00F87C64"/>
    <w:rsid w:val="00F901AE"/>
    <w:rsid w:val="00F91219"/>
    <w:rsid w:val="00F940A7"/>
    <w:rsid w:val="00F94A41"/>
    <w:rsid w:val="00F97A78"/>
    <w:rsid w:val="00F97BA1"/>
    <w:rsid w:val="00FA005E"/>
    <w:rsid w:val="00FA0B20"/>
    <w:rsid w:val="00FA24E7"/>
    <w:rsid w:val="00FA49DF"/>
    <w:rsid w:val="00FA53D9"/>
    <w:rsid w:val="00FA6651"/>
    <w:rsid w:val="00FA6943"/>
    <w:rsid w:val="00FA7E3D"/>
    <w:rsid w:val="00FB14E7"/>
    <w:rsid w:val="00FB2FCB"/>
    <w:rsid w:val="00FB375C"/>
    <w:rsid w:val="00FB440E"/>
    <w:rsid w:val="00FC0BCB"/>
    <w:rsid w:val="00FC1074"/>
    <w:rsid w:val="00FC1884"/>
    <w:rsid w:val="00FC1AC7"/>
    <w:rsid w:val="00FC1CDA"/>
    <w:rsid w:val="00FC28D0"/>
    <w:rsid w:val="00FC371D"/>
    <w:rsid w:val="00FC38CE"/>
    <w:rsid w:val="00FC4016"/>
    <w:rsid w:val="00FC42D9"/>
    <w:rsid w:val="00FC47B9"/>
    <w:rsid w:val="00FC48B2"/>
    <w:rsid w:val="00FC497C"/>
    <w:rsid w:val="00FC53EC"/>
    <w:rsid w:val="00FC5BB7"/>
    <w:rsid w:val="00FC5F0B"/>
    <w:rsid w:val="00FC5FCD"/>
    <w:rsid w:val="00FC610C"/>
    <w:rsid w:val="00FC7C22"/>
    <w:rsid w:val="00FD11E8"/>
    <w:rsid w:val="00FD2100"/>
    <w:rsid w:val="00FD436C"/>
    <w:rsid w:val="00FD446D"/>
    <w:rsid w:val="00FD497E"/>
    <w:rsid w:val="00FD5CC3"/>
    <w:rsid w:val="00FD6394"/>
    <w:rsid w:val="00FD6936"/>
    <w:rsid w:val="00FD6DA4"/>
    <w:rsid w:val="00FE02B9"/>
    <w:rsid w:val="00FE0E6C"/>
    <w:rsid w:val="00FE111C"/>
    <w:rsid w:val="00FE138F"/>
    <w:rsid w:val="00FE13CE"/>
    <w:rsid w:val="00FE16BB"/>
    <w:rsid w:val="00FE3777"/>
    <w:rsid w:val="00FE37D6"/>
    <w:rsid w:val="00FE4010"/>
    <w:rsid w:val="00FE5239"/>
    <w:rsid w:val="00FE6CA5"/>
    <w:rsid w:val="00FE70C3"/>
    <w:rsid w:val="00FE7BD0"/>
    <w:rsid w:val="00FF3A11"/>
    <w:rsid w:val="00FF3CA6"/>
    <w:rsid w:val="00FF3DCF"/>
    <w:rsid w:val="00FF4266"/>
    <w:rsid w:val="00FF43A9"/>
    <w:rsid w:val="00FF492C"/>
    <w:rsid w:val="00FF4981"/>
    <w:rsid w:val="00FF4A21"/>
    <w:rsid w:val="00FF4AF4"/>
    <w:rsid w:val="00FF5AA3"/>
    <w:rsid w:val="00FF5AD8"/>
    <w:rsid w:val="00FF638D"/>
    <w:rsid w:val="00FF7424"/>
    <w:rsid w:val="00FF7D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w:basedOn w:val="Normal"/>
    <w:next w:val="Normal"/>
    <w:link w:val="CaptionChar"/>
    <w:unhideWhenUsed/>
    <w:qFormat/>
    <w:rsid w:val="003F2824"/>
    <w:rPr>
      <w:rFonts w:ascii="Arial Narrow" w:hAnsi="Arial Narrow"/>
      <w:b/>
      <w:bCs/>
      <w:sz w:val="20"/>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rsid w:val="003F2824"/>
    <w:rPr>
      <w:rFonts w:ascii="Arial Narrow" w:hAnsi="Arial Narrow" w:cs="Arial"/>
      <w:b/>
      <w:bCs/>
      <w:snapToGrid w:val="0"/>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qFormat/>
    <w:rsid w:val="005F1BDF"/>
    <w:pPr>
      <w:keepNext/>
      <w:widowControl/>
      <w:spacing w:before="40" w:after="40"/>
      <w:jc w:val="left"/>
    </w:pPr>
    <w:rPr>
      <w:rFonts w:ascii="Arial Narrow" w:eastAsiaTheme="minorHAnsi" w:hAnsi="Arial Narrow" w:cstheme="minorBidi"/>
      <w:snapToGrid/>
      <w:sz w:val="20"/>
    </w:rPr>
  </w:style>
  <w:style w:type="paragraph" w:customStyle="1" w:styleId="Tablebullet">
    <w:name w:val="Table bullet"/>
    <w:basedOn w:val="ListParagraph"/>
    <w:qFormat/>
    <w:rsid w:val="00243255"/>
    <w:pPr>
      <w:widowControl/>
      <w:numPr>
        <w:numId w:val="9"/>
      </w:numPr>
      <w:spacing w:after="0"/>
      <w:contextualSpacing/>
    </w:pPr>
    <w:rPr>
      <w:rFonts w:eastAsiaTheme="minorHAnsi" w:cstheme="minorBidi"/>
      <w:snapToGrid/>
      <w:sz w:val="20"/>
      <w:szCs w:val="20"/>
      <w:lang w:eastAsia="en-AU"/>
    </w:rPr>
  </w:style>
  <w:style w:type="character" w:styleId="PlaceholderText">
    <w:name w:val="Placeholder Text"/>
    <w:basedOn w:val="DefaultParagraphFont"/>
    <w:uiPriority w:val="99"/>
    <w:semiHidden/>
    <w:rsid w:val="0088623E"/>
    <w:rPr>
      <w:color w:val="808080"/>
    </w:rPr>
  </w:style>
  <w:style w:type="table" w:customStyle="1" w:styleId="Summarybox4">
    <w:name w:val="Summary box4"/>
    <w:basedOn w:val="TableNormal"/>
    <w:next w:val="TableGrid"/>
    <w:uiPriority w:val="59"/>
    <w:rsid w:val="00FF42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E104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D17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372E"/>
    <w:rPr>
      <w:sz w:val="20"/>
      <w:szCs w:val="20"/>
    </w:rPr>
  </w:style>
  <w:style w:type="character" w:customStyle="1" w:styleId="FootnoteTextChar">
    <w:name w:val="Footnote Text Char"/>
    <w:basedOn w:val="DefaultParagraphFont"/>
    <w:link w:val="FootnoteText"/>
    <w:uiPriority w:val="99"/>
    <w:semiHidden/>
    <w:rsid w:val="0056372E"/>
    <w:rPr>
      <w:rFonts w:ascii="Calibri" w:hAnsi="Calibri" w:cs="Arial"/>
      <w:snapToGrid w:val="0"/>
      <w:lang w:eastAsia="en-US"/>
    </w:rPr>
  </w:style>
  <w:style w:type="character" w:styleId="FootnoteReference">
    <w:name w:val="footnote reference"/>
    <w:basedOn w:val="DefaultParagraphFont"/>
    <w:uiPriority w:val="99"/>
    <w:semiHidden/>
    <w:unhideWhenUsed/>
    <w:rsid w:val="0056372E"/>
    <w:rPr>
      <w:vertAlign w:val="superscript"/>
    </w:rPr>
  </w:style>
  <w:style w:type="table" w:customStyle="1" w:styleId="TableGrid7">
    <w:name w:val="Table Grid7"/>
    <w:basedOn w:val="TableNormal"/>
    <w:next w:val="TableGrid"/>
    <w:uiPriority w:val="59"/>
    <w:rsid w:val="001636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eviNormal">
    <w:name w:val="Synevi Normal"/>
    <w:basedOn w:val="Normal"/>
    <w:link w:val="SyneviNormalChar"/>
    <w:qFormat/>
    <w:rsid w:val="00FE37D6"/>
    <w:pPr>
      <w:widowControl/>
      <w:spacing w:line="360" w:lineRule="auto"/>
    </w:pPr>
    <w:rPr>
      <w:rFonts w:asciiTheme="minorHAnsi" w:hAnsiTheme="minorHAnsi" w:cs="Times New Roman"/>
      <w:snapToGrid/>
      <w:sz w:val="22"/>
      <w:szCs w:val="20"/>
      <w:lang w:val="en-US"/>
    </w:rPr>
  </w:style>
  <w:style w:type="character" w:customStyle="1" w:styleId="SyneviNormalChar">
    <w:name w:val="Synevi Normal Char"/>
    <w:basedOn w:val="DefaultParagraphFont"/>
    <w:link w:val="SyneviNormal"/>
    <w:rsid w:val="00FE37D6"/>
    <w:rPr>
      <w:rFonts w:asciiTheme="minorHAnsi" w:hAnsiTheme="minorHAnsi"/>
      <w:sz w:val="22"/>
      <w:lang w:val="en-US" w:eastAsia="en-US"/>
    </w:rPr>
  </w:style>
  <w:style w:type="character" w:customStyle="1" w:styleId="Heading1Char">
    <w:name w:val="Heading 1 Char"/>
    <w:basedOn w:val="DefaultParagraphFont"/>
    <w:link w:val="Heading1"/>
    <w:uiPriority w:val="1"/>
    <w:rsid w:val="005048BA"/>
    <w:rPr>
      <w:rFonts w:ascii="Calibri" w:hAnsi="Calibri" w:cs="Arial"/>
      <w:b/>
      <w:caps/>
      <w:snapToGrid w:val="0"/>
      <w:sz w:val="32"/>
      <w:szCs w:val="22"/>
      <w:lang w:eastAsia="en-US"/>
    </w:rPr>
  </w:style>
  <w:style w:type="paragraph" w:customStyle="1" w:styleId="2Sections">
    <w:name w:val="2. Sections"/>
    <w:qFormat/>
    <w:rsid w:val="00441A17"/>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Bodytextitalics"/>
    <w:link w:val="3BodytextChar"/>
    <w:qFormat/>
    <w:rsid w:val="00441A17"/>
    <w:pPr>
      <w:ind w:left="720"/>
    </w:pPr>
    <w:rPr>
      <w:i w:val="0"/>
    </w:rPr>
  </w:style>
  <w:style w:type="character" w:customStyle="1" w:styleId="3BodytextChar">
    <w:name w:val="3. Body text Char"/>
    <w:basedOn w:val="DefaultParagraphFont"/>
    <w:link w:val="3Bodytext"/>
    <w:rsid w:val="00441A17"/>
    <w:rPr>
      <w:rFonts w:asciiTheme="minorHAnsi" w:eastAsiaTheme="minorHAnsi" w:hAnsiTheme="minorHAnsi" w:cstheme="minorBidi"/>
      <w:sz w:val="24"/>
      <w:szCs w:val="22"/>
    </w:rPr>
  </w:style>
  <w:style w:type="paragraph" w:customStyle="1" w:styleId="Bodytextitalics">
    <w:name w:val="Body text italics"/>
    <w:basedOn w:val="BodyText"/>
    <w:qFormat/>
    <w:rsid w:val="00441A17"/>
    <w:pPr>
      <w:widowControl/>
      <w:spacing w:after="120"/>
      <w:ind w:left="1146" w:hanging="720"/>
    </w:pPr>
    <w:rPr>
      <w:rFonts w:asciiTheme="minorHAnsi" w:eastAsiaTheme="minorHAnsi" w:hAnsiTheme="minorHAnsi" w:cstheme="minorBidi"/>
      <w:i/>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10076">
      <w:bodyDiv w:val="1"/>
      <w:marLeft w:val="0"/>
      <w:marRight w:val="0"/>
      <w:marTop w:val="0"/>
      <w:marBottom w:val="0"/>
      <w:divBdr>
        <w:top w:val="none" w:sz="0" w:space="0" w:color="auto"/>
        <w:left w:val="none" w:sz="0" w:space="0" w:color="auto"/>
        <w:bottom w:val="none" w:sz="0" w:space="0" w:color="auto"/>
        <w:right w:val="none" w:sz="0" w:space="0" w:color="auto"/>
      </w:divBdr>
    </w:div>
    <w:div w:id="206184049">
      <w:bodyDiv w:val="1"/>
      <w:marLeft w:val="0"/>
      <w:marRight w:val="0"/>
      <w:marTop w:val="0"/>
      <w:marBottom w:val="0"/>
      <w:divBdr>
        <w:top w:val="none" w:sz="0" w:space="0" w:color="auto"/>
        <w:left w:val="none" w:sz="0" w:space="0" w:color="auto"/>
        <w:bottom w:val="none" w:sz="0" w:space="0" w:color="auto"/>
        <w:right w:val="none" w:sz="0" w:space="0" w:color="auto"/>
      </w:divBdr>
      <w:divsChild>
        <w:div w:id="1763791848">
          <w:marLeft w:val="547"/>
          <w:marRight w:val="0"/>
          <w:marTop w:val="86"/>
          <w:marBottom w:val="0"/>
          <w:divBdr>
            <w:top w:val="none" w:sz="0" w:space="0" w:color="auto"/>
            <w:left w:val="none" w:sz="0" w:space="0" w:color="auto"/>
            <w:bottom w:val="none" w:sz="0" w:space="0" w:color="auto"/>
            <w:right w:val="none" w:sz="0" w:space="0" w:color="auto"/>
          </w:divBdr>
        </w:div>
      </w:divsChild>
    </w:div>
    <w:div w:id="503472488">
      <w:bodyDiv w:val="1"/>
      <w:marLeft w:val="0"/>
      <w:marRight w:val="0"/>
      <w:marTop w:val="0"/>
      <w:marBottom w:val="0"/>
      <w:divBdr>
        <w:top w:val="none" w:sz="0" w:space="0" w:color="auto"/>
        <w:left w:val="none" w:sz="0" w:space="0" w:color="auto"/>
        <w:bottom w:val="none" w:sz="0" w:space="0" w:color="auto"/>
        <w:right w:val="none" w:sz="0" w:space="0" w:color="auto"/>
      </w:divBdr>
    </w:div>
    <w:div w:id="540285152">
      <w:bodyDiv w:val="1"/>
      <w:marLeft w:val="0"/>
      <w:marRight w:val="0"/>
      <w:marTop w:val="0"/>
      <w:marBottom w:val="0"/>
      <w:divBdr>
        <w:top w:val="none" w:sz="0" w:space="0" w:color="auto"/>
        <w:left w:val="none" w:sz="0" w:space="0" w:color="auto"/>
        <w:bottom w:val="none" w:sz="0" w:space="0" w:color="auto"/>
        <w:right w:val="none" w:sz="0" w:space="0" w:color="auto"/>
      </w:divBdr>
    </w:div>
    <w:div w:id="644119613">
      <w:bodyDiv w:val="1"/>
      <w:marLeft w:val="0"/>
      <w:marRight w:val="0"/>
      <w:marTop w:val="0"/>
      <w:marBottom w:val="0"/>
      <w:divBdr>
        <w:top w:val="none" w:sz="0" w:space="0" w:color="auto"/>
        <w:left w:val="none" w:sz="0" w:space="0" w:color="auto"/>
        <w:bottom w:val="none" w:sz="0" w:space="0" w:color="auto"/>
        <w:right w:val="none" w:sz="0" w:space="0" w:color="auto"/>
      </w:divBdr>
    </w:div>
    <w:div w:id="907039494">
      <w:bodyDiv w:val="1"/>
      <w:marLeft w:val="0"/>
      <w:marRight w:val="0"/>
      <w:marTop w:val="0"/>
      <w:marBottom w:val="0"/>
      <w:divBdr>
        <w:top w:val="none" w:sz="0" w:space="0" w:color="auto"/>
        <w:left w:val="none" w:sz="0" w:space="0" w:color="auto"/>
        <w:bottom w:val="none" w:sz="0" w:space="0" w:color="auto"/>
        <w:right w:val="none" w:sz="0" w:space="0" w:color="auto"/>
      </w:divBdr>
    </w:div>
    <w:div w:id="1116218536">
      <w:bodyDiv w:val="1"/>
      <w:marLeft w:val="0"/>
      <w:marRight w:val="0"/>
      <w:marTop w:val="0"/>
      <w:marBottom w:val="0"/>
      <w:divBdr>
        <w:top w:val="none" w:sz="0" w:space="0" w:color="auto"/>
        <w:left w:val="none" w:sz="0" w:space="0" w:color="auto"/>
        <w:bottom w:val="none" w:sz="0" w:space="0" w:color="auto"/>
        <w:right w:val="none" w:sz="0" w:space="0" w:color="auto"/>
      </w:divBdr>
      <w:divsChild>
        <w:div w:id="425464768">
          <w:marLeft w:val="75"/>
          <w:marRight w:val="75"/>
          <w:marTop w:val="75"/>
          <w:marBottom w:val="75"/>
          <w:divBdr>
            <w:top w:val="none" w:sz="0" w:space="0" w:color="auto"/>
            <w:left w:val="none" w:sz="0" w:space="0" w:color="auto"/>
            <w:bottom w:val="none" w:sz="0" w:space="0" w:color="auto"/>
            <w:right w:val="none" w:sz="0" w:space="0" w:color="auto"/>
          </w:divBdr>
          <w:divsChild>
            <w:div w:id="18131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2834">
      <w:bodyDiv w:val="1"/>
      <w:marLeft w:val="0"/>
      <w:marRight w:val="0"/>
      <w:marTop w:val="0"/>
      <w:marBottom w:val="0"/>
      <w:divBdr>
        <w:top w:val="none" w:sz="0" w:space="0" w:color="auto"/>
        <w:left w:val="none" w:sz="0" w:space="0" w:color="auto"/>
        <w:bottom w:val="none" w:sz="0" w:space="0" w:color="auto"/>
        <w:right w:val="none" w:sz="0" w:space="0" w:color="auto"/>
      </w:divBdr>
    </w:div>
    <w:div w:id="1270314196">
      <w:bodyDiv w:val="1"/>
      <w:marLeft w:val="0"/>
      <w:marRight w:val="0"/>
      <w:marTop w:val="0"/>
      <w:marBottom w:val="0"/>
      <w:divBdr>
        <w:top w:val="none" w:sz="0" w:space="0" w:color="auto"/>
        <w:left w:val="none" w:sz="0" w:space="0" w:color="auto"/>
        <w:bottom w:val="none" w:sz="0" w:space="0" w:color="auto"/>
        <w:right w:val="none" w:sz="0" w:space="0" w:color="auto"/>
      </w:divBdr>
      <w:divsChild>
        <w:div w:id="2134785130">
          <w:marLeft w:val="1166"/>
          <w:marRight w:val="0"/>
          <w:marTop w:val="67"/>
          <w:marBottom w:val="0"/>
          <w:divBdr>
            <w:top w:val="none" w:sz="0" w:space="0" w:color="auto"/>
            <w:left w:val="none" w:sz="0" w:space="0" w:color="auto"/>
            <w:bottom w:val="none" w:sz="0" w:space="0" w:color="auto"/>
            <w:right w:val="none" w:sz="0" w:space="0" w:color="auto"/>
          </w:divBdr>
        </w:div>
      </w:divsChild>
    </w:div>
    <w:div w:id="1309628410">
      <w:bodyDiv w:val="1"/>
      <w:marLeft w:val="0"/>
      <w:marRight w:val="0"/>
      <w:marTop w:val="0"/>
      <w:marBottom w:val="0"/>
      <w:divBdr>
        <w:top w:val="none" w:sz="0" w:space="0" w:color="auto"/>
        <w:left w:val="none" w:sz="0" w:space="0" w:color="auto"/>
        <w:bottom w:val="none" w:sz="0" w:space="0" w:color="auto"/>
        <w:right w:val="none" w:sz="0" w:space="0" w:color="auto"/>
      </w:divBdr>
    </w:div>
    <w:div w:id="1734307834">
      <w:bodyDiv w:val="1"/>
      <w:marLeft w:val="0"/>
      <w:marRight w:val="0"/>
      <w:marTop w:val="0"/>
      <w:marBottom w:val="0"/>
      <w:divBdr>
        <w:top w:val="none" w:sz="0" w:space="0" w:color="auto"/>
        <w:left w:val="none" w:sz="0" w:space="0" w:color="auto"/>
        <w:bottom w:val="none" w:sz="0" w:space="0" w:color="auto"/>
        <w:right w:val="none" w:sz="0" w:space="0" w:color="auto"/>
      </w:divBdr>
      <w:divsChild>
        <w:div w:id="573206378">
          <w:marLeft w:val="1166"/>
          <w:marRight w:val="0"/>
          <w:marTop w:val="67"/>
          <w:marBottom w:val="0"/>
          <w:divBdr>
            <w:top w:val="none" w:sz="0" w:space="0" w:color="auto"/>
            <w:left w:val="none" w:sz="0" w:space="0" w:color="auto"/>
            <w:bottom w:val="none" w:sz="0" w:space="0" w:color="auto"/>
            <w:right w:val="none" w:sz="0" w:space="0" w:color="auto"/>
          </w:divBdr>
        </w:div>
      </w:divsChild>
    </w:div>
    <w:div w:id="1946496870">
      <w:bodyDiv w:val="1"/>
      <w:marLeft w:val="0"/>
      <w:marRight w:val="0"/>
      <w:marTop w:val="0"/>
      <w:marBottom w:val="0"/>
      <w:divBdr>
        <w:top w:val="none" w:sz="0" w:space="0" w:color="auto"/>
        <w:left w:val="none" w:sz="0" w:space="0" w:color="auto"/>
        <w:bottom w:val="none" w:sz="0" w:space="0" w:color="auto"/>
        <w:right w:val="none" w:sz="0" w:space="0" w:color="auto"/>
      </w:divBdr>
      <w:divsChild>
        <w:div w:id="175736386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29C15-1CB9-4270-A9F9-D2E5963D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15550</Words>
  <Characters>88159</Characters>
  <Application>Microsoft Office Word</Application>
  <DocSecurity>0</DocSecurity>
  <Lines>734</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2020-02-28T00:38:00Z</dcterms:created>
  <dcterms:modified xsi:type="dcterms:W3CDTF">2020-02-28T01:02:00Z</dcterms:modified>
</cp:coreProperties>
</file>