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4E2001" w:rsidRDefault="002F1077" w:rsidP="003F26F6">
      <w:pPr>
        <w:pStyle w:val="Title"/>
        <w:ind w:left="720" w:hanging="720"/>
        <w:jc w:val="left"/>
      </w:pPr>
      <w:r w:rsidRPr="004E2001">
        <w:t>5</w:t>
      </w:r>
      <w:r w:rsidR="00433044" w:rsidRPr="004E2001">
        <w:t>.</w:t>
      </w:r>
      <w:r w:rsidRPr="004E2001">
        <w:t>10</w:t>
      </w:r>
      <w:r w:rsidR="00D15486" w:rsidRPr="004E2001">
        <w:tab/>
        <w:t>SEMAGLUTIDE</w:t>
      </w:r>
      <w:r w:rsidR="00B60939" w:rsidRPr="004E2001">
        <w:t xml:space="preserve">, </w:t>
      </w:r>
      <w:r w:rsidR="000C0B13" w:rsidRPr="004E2001">
        <w:br/>
      </w:r>
      <w:r w:rsidR="003C5C70" w:rsidRPr="004E2001">
        <w:t>Injection 2 mg in 1.5 mL pre-filled syringe</w:t>
      </w:r>
      <w:r w:rsidR="003C5C70" w:rsidRPr="004E2001" w:rsidDel="003C5C70">
        <w:t xml:space="preserve"> </w:t>
      </w:r>
      <w:r w:rsidR="00856D16" w:rsidRPr="004E2001">
        <w:t xml:space="preserve">and </w:t>
      </w:r>
      <w:r w:rsidR="003C5C70" w:rsidRPr="004E2001">
        <w:t>Injection 4 mg in 3 mL pre-filled syringe</w:t>
      </w:r>
      <w:r w:rsidR="00B60939" w:rsidRPr="004E2001">
        <w:t>,</w:t>
      </w:r>
      <w:r w:rsidR="000C0B13" w:rsidRPr="004E2001">
        <w:br/>
      </w:r>
      <w:r w:rsidR="00D15486" w:rsidRPr="004E2001">
        <w:t>Ozempic®</w:t>
      </w:r>
      <w:r w:rsidR="00B60939" w:rsidRPr="004E2001">
        <w:t xml:space="preserve">, </w:t>
      </w:r>
      <w:r w:rsidR="000C0B13" w:rsidRPr="004E2001">
        <w:br/>
      </w:r>
      <w:r w:rsidR="00775365" w:rsidRPr="004E2001">
        <w:t>Novo Nordisk</w:t>
      </w:r>
      <w:r w:rsidR="00856D16" w:rsidRPr="004E2001">
        <w:t xml:space="preserve"> Pharmaceuticals Pty Ltd</w:t>
      </w:r>
    </w:p>
    <w:p w:rsidR="00433044" w:rsidRPr="004E2001" w:rsidRDefault="00433044" w:rsidP="003F26F6">
      <w:pPr>
        <w:pStyle w:val="BodyText"/>
      </w:pPr>
    </w:p>
    <w:p w:rsidR="00B60939" w:rsidRPr="004E2001" w:rsidRDefault="00B50DB8" w:rsidP="003F26F6">
      <w:pPr>
        <w:pStyle w:val="2-SectionHeading"/>
      </w:pPr>
      <w:bookmarkStart w:id="0" w:name="_Toc19615246"/>
      <w:r w:rsidRPr="004E2001">
        <w:t>Purpose of Application</w:t>
      </w:r>
      <w:bookmarkEnd w:id="0"/>
    </w:p>
    <w:p w:rsidR="002C2775" w:rsidRPr="004E2001" w:rsidRDefault="0027401F" w:rsidP="0076592A">
      <w:pPr>
        <w:pStyle w:val="ListParagraph"/>
        <w:numPr>
          <w:ilvl w:val="1"/>
          <w:numId w:val="2"/>
        </w:numPr>
        <w:jc w:val="both"/>
      </w:pPr>
      <w:r w:rsidRPr="004E2001">
        <w:t xml:space="preserve">The submission requested a </w:t>
      </w:r>
      <w:r w:rsidR="00694931" w:rsidRPr="004E2001">
        <w:t>Section 85</w:t>
      </w:r>
      <w:r w:rsidRPr="004E2001">
        <w:t xml:space="preserve">, </w:t>
      </w:r>
      <w:r w:rsidR="00694931" w:rsidRPr="004E2001">
        <w:t xml:space="preserve">Streamlined </w:t>
      </w:r>
      <w:r w:rsidRPr="004E2001">
        <w:t>Authority</w:t>
      </w:r>
      <w:r w:rsidR="00694931" w:rsidRPr="004E2001">
        <w:t xml:space="preserve"> listing for semaglutide (injectable)</w:t>
      </w:r>
      <w:r w:rsidR="008B1757" w:rsidRPr="004E2001">
        <w:t xml:space="preserve"> for treatment of </w:t>
      </w:r>
      <w:r w:rsidR="00E101EC" w:rsidRPr="004E2001">
        <w:t xml:space="preserve">patients with type 2 diabetes who have inadequate glycaemic control, as dual therapy in combination with metformin or a sulfonylurea where either of these is contraindicated or not tolerated; or triple therapy in combination with metformin and a sulfonylurea. </w:t>
      </w:r>
      <w:r w:rsidRPr="004E2001">
        <w:t xml:space="preserve">The PBAC has not previously considered semaglutide (injectable). </w:t>
      </w:r>
    </w:p>
    <w:p w:rsidR="00C2778B" w:rsidRPr="004E2001" w:rsidRDefault="0027401F" w:rsidP="0076592A">
      <w:pPr>
        <w:pStyle w:val="ListParagraph"/>
        <w:numPr>
          <w:ilvl w:val="1"/>
          <w:numId w:val="2"/>
        </w:numPr>
        <w:jc w:val="both"/>
      </w:pPr>
      <w:r w:rsidRPr="004E2001">
        <w:t>Listing was request</w:t>
      </w:r>
      <w:r w:rsidR="00CF06DE" w:rsidRPr="004E2001">
        <w:t>ed</w:t>
      </w:r>
      <w:r w:rsidRPr="004E2001">
        <w:t xml:space="preserve"> on a cost-effectiveness basis for high dose semaglutide compared to exenatide once weekly</w:t>
      </w:r>
      <w:r w:rsidR="00EE57C7" w:rsidRPr="004E2001">
        <w:t xml:space="preserve">. </w:t>
      </w:r>
      <w:r w:rsidR="00261A6F" w:rsidRPr="004E2001">
        <w:t>The c</w:t>
      </w:r>
      <w:r w:rsidR="00013CFF" w:rsidRPr="004E2001">
        <w:t xml:space="preserve">ost-effectiveness </w:t>
      </w:r>
      <w:r w:rsidR="00261A6F" w:rsidRPr="004E2001">
        <w:t xml:space="preserve">of low dose and high dose semaglutide </w:t>
      </w:r>
      <w:r w:rsidR="00013CFF" w:rsidRPr="004E2001">
        <w:t>compared to d</w:t>
      </w:r>
      <w:r w:rsidR="00EE57C7" w:rsidRPr="004E2001">
        <w:t xml:space="preserve">ulaglutide once weekly was </w:t>
      </w:r>
      <w:r w:rsidR="00013CFF" w:rsidRPr="004E2001">
        <w:t>also presented as a supportive analysis</w:t>
      </w:r>
      <w:r w:rsidRPr="004E2001">
        <w:t>.</w:t>
      </w:r>
    </w:p>
    <w:p w:rsidR="008B1757" w:rsidRPr="004E2001" w:rsidRDefault="0027401F" w:rsidP="003F26F6">
      <w:pPr>
        <w:pStyle w:val="TableHeading0"/>
        <w:rPr>
          <w:rStyle w:val="CommentReference"/>
          <w:b/>
          <w:szCs w:val="22"/>
        </w:rPr>
      </w:pPr>
      <w:r w:rsidRPr="004E2001">
        <w:rPr>
          <w:rStyle w:val="CommentReference"/>
          <w:b/>
          <w:szCs w:val="22"/>
        </w:rPr>
        <w:t>Table 1</w:t>
      </w:r>
      <w:r w:rsidR="008B1757" w:rsidRPr="004E2001">
        <w:rPr>
          <w:rStyle w:val="CommentReference"/>
          <w:b/>
          <w:szCs w:val="22"/>
        </w:rPr>
        <w:t>:  Key components of</w:t>
      </w:r>
      <w:r w:rsidRPr="004E2001">
        <w:rPr>
          <w:rStyle w:val="CommentReference"/>
          <w:b/>
          <w:szCs w:val="22"/>
        </w:rPr>
        <w:t xml:space="preserve"> the clinical issue addressed in</w:t>
      </w:r>
      <w:r w:rsidR="008B1757" w:rsidRPr="004E2001">
        <w:rPr>
          <w:rStyle w:val="CommentReference"/>
          <w:b/>
          <w:szCs w:val="22"/>
        </w:rPr>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268"/>
        <w:gridCol w:w="7749"/>
      </w:tblGrid>
      <w:tr w:rsidR="0027401F" w:rsidRPr="004E2001" w:rsidTr="00C56F83">
        <w:trPr>
          <w:tblHeader/>
        </w:trPr>
        <w:tc>
          <w:tcPr>
            <w:tcW w:w="1271" w:type="dxa"/>
            <w:vAlign w:val="center"/>
          </w:tcPr>
          <w:p w:rsidR="0027401F" w:rsidRPr="004E2001" w:rsidRDefault="0027401F" w:rsidP="003F26F6">
            <w:pPr>
              <w:pStyle w:val="Tabletext"/>
              <w:keepNext/>
              <w:rPr>
                <w:b/>
              </w:rPr>
            </w:pPr>
            <w:r w:rsidRPr="004E2001">
              <w:rPr>
                <w:b/>
              </w:rPr>
              <w:t>Component</w:t>
            </w:r>
          </w:p>
        </w:tc>
        <w:tc>
          <w:tcPr>
            <w:tcW w:w="7885" w:type="dxa"/>
            <w:vAlign w:val="center"/>
          </w:tcPr>
          <w:p w:rsidR="0027401F" w:rsidRPr="004E2001" w:rsidRDefault="0027401F" w:rsidP="003F26F6">
            <w:pPr>
              <w:pStyle w:val="Tabletext"/>
              <w:keepNext/>
              <w:jc w:val="center"/>
              <w:rPr>
                <w:b/>
              </w:rPr>
            </w:pPr>
            <w:r w:rsidRPr="004E2001">
              <w:rPr>
                <w:b/>
              </w:rPr>
              <w:t>Description</w:t>
            </w:r>
          </w:p>
        </w:tc>
      </w:tr>
      <w:tr w:rsidR="0027401F" w:rsidRPr="004E2001" w:rsidTr="00C56F83">
        <w:trPr>
          <w:tblHeader/>
        </w:trPr>
        <w:tc>
          <w:tcPr>
            <w:tcW w:w="1271" w:type="dxa"/>
            <w:vAlign w:val="center"/>
          </w:tcPr>
          <w:p w:rsidR="0027401F" w:rsidRPr="004E2001" w:rsidRDefault="0027401F" w:rsidP="003F26F6">
            <w:pPr>
              <w:pStyle w:val="Tabletext"/>
              <w:keepNext/>
            </w:pPr>
            <w:r w:rsidRPr="004E2001">
              <w:t>Population</w:t>
            </w:r>
          </w:p>
        </w:tc>
        <w:tc>
          <w:tcPr>
            <w:tcW w:w="7885" w:type="dxa"/>
            <w:vAlign w:val="center"/>
          </w:tcPr>
          <w:p w:rsidR="0027401F" w:rsidRPr="004E2001" w:rsidRDefault="0027401F" w:rsidP="003F26F6">
            <w:pPr>
              <w:pStyle w:val="Tabletext"/>
              <w:keepNext/>
            </w:pPr>
            <w:r w:rsidRPr="004E2001">
              <w:t xml:space="preserve">Adult patients with type 2 diabetes mellitus who have inadequate glycaemic control with metformin and a sulfonylurea, or with metformin or a sulfonylurea where either of these is contraindicated/not tolerated </w:t>
            </w:r>
          </w:p>
        </w:tc>
      </w:tr>
      <w:tr w:rsidR="0027401F" w:rsidRPr="004E2001" w:rsidTr="00C56F83">
        <w:trPr>
          <w:tblHeader/>
        </w:trPr>
        <w:tc>
          <w:tcPr>
            <w:tcW w:w="1271" w:type="dxa"/>
            <w:vAlign w:val="center"/>
          </w:tcPr>
          <w:p w:rsidR="0027401F" w:rsidRPr="004E2001" w:rsidRDefault="0027401F" w:rsidP="003F26F6">
            <w:pPr>
              <w:pStyle w:val="Tabletext"/>
              <w:keepNext/>
            </w:pPr>
            <w:r w:rsidRPr="004E2001">
              <w:t>Intervention</w:t>
            </w:r>
          </w:p>
        </w:tc>
        <w:tc>
          <w:tcPr>
            <w:tcW w:w="7885" w:type="dxa"/>
            <w:vAlign w:val="center"/>
          </w:tcPr>
          <w:p w:rsidR="0027401F" w:rsidRPr="004E2001" w:rsidRDefault="0027401F" w:rsidP="003F26F6">
            <w:pPr>
              <w:pStyle w:val="Tabletext"/>
              <w:keepNext/>
            </w:pPr>
            <w:r w:rsidRPr="004E2001">
              <w:t>Semaglutide 0.25 mg SC injection once weekly for 4 weeks increas</w:t>
            </w:r>
            <w:r w:rsidR="00BF73CA" w:rsidRPr="004E2001">
              <w:t>ing to 0.5 mg once weekly for 4 </w:t>
            </w:r>
            <w:r w:rsidRPr="004E2001">
              <w:t xml:space="preserve">weeks, with potential up-titration to 1 mg once weekly if required </w:t>
            </w:r>
          </w:p>
        </w:tc>
      </w:tr>
      <w:tr w:rsidR="0027401F" w:rsidRPr="004E2001" w:rsidTr="00C56F83">
        <w:trPr>
          <w:tblHeader/>
        </w:trPr>
        <w:tc>
          <w:tcPr>
            <w:tcW w:w="1271" w:type="dxa"/>
            <w:vAlign w:val="center"/>
          </w:tcPr>
          <w:p w:rsidR="0027401F" w:rsidRPr="004E2001" w:rsidRDefault="0027401F" w:rsidP="003F26F6">
            <w:pPr>
              <w:pStyle w:val="Tabletext"/>
              <w:keepNext/>
            </w:pPr>
            <w:r w:rsidRPr="004E2001">
              <w:t>Comparator</w:t>
            </w:r>
          </w:p>
        </w:tc>
        <w:tc>
          <w:tcPr>
            <w:tcW w:w="7885" w:type="dxa"/>
            <w:vAlign w:val="center"/>
          </w:tcPr>
          <w:p w:rsidR="0027401F" w:rsidRPr="004E2001" w:rsidRDefault="0027401F" w:rsidP="003F26F6">
            <w:pPr>
              <w:pStyle w:val="Tabletext"/>
              <w:keepNext/>
            </w:pPr>
            <w:r w:rsidRPr="004E2001">
              <w:t>Main: Exenatide 2.0 mg SC injection once weekly</w:t>
            </w:r>
          </w:p>
          <w:p w:rsidR="0027401F" w:rsidRPr="004E2001" w:rsidRDefault="0027401F" w:rsidP="003F26F6">
            <w:pPr>
              <w:pStyle w:val="Tabletext"/>
              <w:keepNext/>
            </w:pPr>
            <w:r w:rsidRPr="004E2001">
              <w:t>Secondary: Dulaglutide 1.5 mg SC injection once weekly</w:t>
            </w:r>
          </w:p>
        </w:tc>
      </w:tr>
      <w:tr w:rsidR="0027401F" w:rsidRPr="004E2001" w:rsidTr="00C56F83">
        <w:trPr>
          <w:tblHeader/>
        </w:trPr>
        <w:tc>
          <w:tcPr>
            <w:tcW w:w="1271" w:type="dxa"/>
            <w:vAlign w:val="center"/>
          </w:tcPr>
          <w:p w:rsidR="0027401F" w:rsidRPr="004E2001" w:rsidRDefault="0027401F" w:rsidP="003F26F6">
            <w:pPr>
              <w:pStyle w:val="Tabletext"/>
              <w:keepNext/>
            </w:pPr>
            <w:r w:rsidRPr="004E2001">
              <w:t>Outcomes</w:t>
            </w:r>
          </w:p>
        </w:tc>
        <w:tc>
          <w:tcPr>
            <w:tcW w:w="7885" w:type="dxa"/>
            <w:vAlign w:val="center"/>
          </w:tcPr>
          <w:p w:rsidR="0027401F" w:rsidRPr="004E2001" w:rsidRDefault="0027401F" w:rsidP="003F26F6">
            <w:pPr>
              <w:pStyle w:val="Tabletext"/>
              <w:keepNext/>
            </w:pPr>
            <w:r w:rsidRPr="004E2001">
              <w:t>Improved glycaemic control and body weight management</w:t>
            </w:r>
            <w:r w:rsidR="00261A6F" w:rsidRPr="004E2001">
              <w:t xml:space="preserve">. These changes may also lead </w:t>
            </w:r>
            <w:r w:rsidRPr="004E2001">
              <w:t>to reduced macrovascular and microvascular complications, and morbidity and mortality asso</w:t>
            </w:r>
            <w:r w:rsidR="00BF73CA" w:rsidRPr="004E2001">
              <w:t>ciated with these complications</w:t>
            </w:r>
          </w:p>
        </w:tc>
      </w:tr>
      <w:tr w:rsidR="0027401F" w:rsidRPr="004E2001" w:rsidTr="00C56F83">
        <w:trPr>
          <w:tblHeader/>
        </w:trPr>
        <w:tc>
          <w:tcPr>
            <w:tcW w:w="1271" w:type="dxa"/>
            <w:vAlign w:val="center"/>
          </w:tcPr>
          <w:p w:rsidR="0027401F" w:rsidRPr="004E2001" w:rsidRDefault="0027401F" w:rsidP="003F26F6">
            <w:pPr>
              <w:pStyle w:val="Tabletext"/>
              <w:keepNext/>
            </w:pPr>
            <w:r w:rsidRPr="004E2001">
              <w:t>Clinical claim</w:t>
            </w:r>
          </w:p>
        </w:tc>
        <w:tc>
          <w:tcPr>
            <w:tcW w:w="7885" w:type="dxa"/>
            <w:vAlign w:val="center"/>
          </w:tcPr>
          <w:p w:rsidR="0027401F" w:rsidRPr="004E2001" w:rsidRDefault="0027401F" w:rsidP="003F26F6">
            <w:pPr>
              <w:pStyle w:val="Tabletext"/>
              <w:keepNext/>
            </w:pPr>
            <w:r w:rsidRPr="004E2001">
              <w:t>Semaglutide 1.0 mg once weekly is superior in terms of efficacy and non-inferior in terms of safety compared with exenatide 2.0 mg once weekly, when used in dual or triple therapy.</w:t>
            </w:r>
          </w:p>
          <w:p w:rsidR="0027401F" w:rsidRPr="004E2001" w:rsidRDefault="0027401F" w:rsidP="003F26F6">
            <w:pPr>
              <w:pStyle w:val="Tabletext"/>
              <w:keepNext/>
            </w:pPr>
            <w:r w:rsidRPr="004E2001">
              <w:t xml:space="preserve">Semaglutide 0.5 mg once weekly is superior in terms of efficacy and non-inferior in terms of safety compared with dulaglutide 1.5 mg once weekly, when used in dual therapy. </w:t>
            </w:r>
          </w:p>
          <w:p w:rsidR="0027401F" w:rsidRPr="004E2001" w:rsidRDefault="0027401F" w:rsidP="003F26F6">
            <w:pPr>
              <w:pStyle w:val="Tabletext"/>
              <w:keepNext/>
            </w:pPr>
            <w:r w:rsidRPr="004E2001">
              <w:t xml:space="preserve">Semaglutide 1.0 mg once weekly is superior in terms of efficacy and non-inferior in terms of safety compared with dulaglutide 1.5 mg once weekly, when used in dual therapy. </w:t>
            </w:r>
          </w:p>
        </w:tc>
      </w:tr>
    </w:tbl>
    <w:p w:rsidR="008B1757" w:rsidRPr="004E2001" w:rsidRDefault="0027401F" w:rsidP="003F26F6">
      <w:pPr>
        <w:pStyle w:val="TableFooter"/>
        <w:keepNext/>
      </w:pPr>
      <w:r w:rsidRPr="004E2001">
        <w:t>Source: Table 1-1, p 30 of the submission</w:t>
      </w:r>
    </w:p>
    <w:p w:rsidR="004E43B2" w:rsidRPr="004E2001" w:rsidRDefault="0027401F" w:rsidP="003F26F6">
      <w:pPr>
        <w:pStyle w:val="TableFooter"/>
      </w:pPr>
      <w:r w:rsidRPr="004E2001">
        <w:t xml:space="preserve">Abbreviation: SC, subcutaneous </w:t>
      </w:r>
    </w:p>
    <w:p w:rsidR="00B60939" w:rsidRPr="004E2001" w:rsidRDefault="00B50DB8" w:rsidP="003F26F6">
      <w:pPr>
        <w:pStyle w:val="2-SectionHeading"/>
      </w:pPr>
      <w:bookmarkStart w:id="1" w:name="_Toc19615247"/>
      <w:r w:rsidRPr="004E2001">
        <w:t>Requested listing</w:t>
      </w:r>
      <w:bookmarkEnd w:id="1"/>
    </w:p>
    <w:p w:rsidR="00142C65" w:rsidRPr="004E2001" w:rsidRDefault="00142C65" w:rsidP="0076592A">
      <w:pPr>
        <w:pStyle w:val="ListParagraph"/>
        <w:numPr>
          <w:ilvl w:val="1"/>
          <w:numId w:val="2"/>
        </w:numPr>
        <w:jc w:val="both"/>
      </w:pPr>
      <w:r w:rsidRPr="004E2001">
        <w:t>Suggestions and additions proposed by the Secretariat are added in italics and suggested deletions are crossed out with strikethrough.</w:t>
      </w:r>
    </w:p>
    <w:tbl>
      <w:tblPr>
        <w:tblW w:w="5000" w:type="pct"/>
        <w:tblLayout w:type="fixed"/>
        <w:tblLook w:val="0000" w:firstRow="0" w:lastRow="0" w:firstColumn="0" w:lastColumn="0" w:noHBand="0" w:noVBand="0"/>
      </w:tblPr>
      <w:tblGrid>
        <w:gridCol w:w="2358"/>
        <w:gridCol w:w="831"/>
        <w:gridCol w:w="559"/>
        <w:gridCol w:w="835"/>
        <w:gridCol w:w="1666"/>
        <w:gridCol w:w="1527"/>
        <w:gridCol w:w="1251"/>
      </w:tblGrid>
      <w:tr w:rsidR="00142C65" w:rsidRPr="004E2001" w:rsidTr="008E0870">
        <w:trPr>
          <w:cantSplit/>
          <w:trHeight w:val="20"/>
        </w:trPr>
        <w:tc>
          <w:tcPr>
            <w:tcW w:w="3261" w:type="dxa"/>
            <w:gridSpan w:val="2"/>
            <w:tcBorders>
              <w:bottom w:val="single" w:sz="4" w:space="0" w:color="auto"/>
            </w:tcBorders>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lastRenderedPageBreak/>
              <w:t>Name, Restriction,</w:t>
            </w: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Manner of administration and form</w:t>
            </w:r>
          </w:p>
        </w:tc>
        <w:tc>
          <w:tcPr>
            <w:tcW w:w="567" w:type="dxa"/>
            <w:tcBorders>
              <w:bottom w:val="single" w:sz="4" w:space="0" w:color="auto"/>
            </w:tcBorders>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Max.</w:t>
            </w: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Qty</w:t>
            </w:r>
          </w:p>
        </w:tc>
        <w:tc>
          <w:tcPr>
            <w:tcW w:w="850" w:type="dxa"/>
            <w:tcBorders>
              <w:bottom w:val="single" w:sz="4" w:space="0" w:color="auto"/>
            </w:tcBorders>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№.of</w:t>
            </w: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Rpts</w:t>
            </w:r>
          </w:p>
        </w:tc>
        <w:tc>
          <w:tcPr>
            <w:tcW w:w="1701" w:type="dxa"/>
            <w:tcBorders>
              <w:bottom w:val="single" w:sz="4" w:space="0" w:color="auto"/>
            </w:tcBorders>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Dispensed Price for Max. Qty</w:t>
            </w:r>
          </w:p>
        </w:tc>
        <w:tc>
          <w:tcPr>
            <w:tcW w:w="2835" w:type="dxa"/>
            <w:gridSpan w:val="2"/>
            <w:tcBorders>
              <w:bottom w:val="single" w:sz="4" w:space="0" w:color="auto"/>
            </w:tcBorders>
          </w:tcPr>
          <w:p w:rsidR="00142C65" w:rsidRPr="004E2001" w:rsidRDefault="00142C65" w:rsidP="003F26F6">
            <w:pPr>
              <w:keepNext/>
              <w:rPr>
                <w:rFonts w:ascii="Arial Narrow" w:hAnsi="Arial Narrow"/>
                <w:sz w:val="20"/>
                <w:szCs w:val="20"/>
              </w:rPr>
            </w:pPr>
            <w:r w:rsidRPr="004E2001">
              <w:rPr>
                <w:rFonts w:ascii="Arial Narrow" w:hAnsi="Arial Narrow"/>
                <w:sz w:val="20"/>
                <w:szCs w:val="20"/>
              </w:rPr>
              <w:t>Proprietary Name and Manufacturer</w:t>
            </w:r>
          </w:p>
        </w:tc>
      </w:tr>
      <w:tr w:rsidR="00142C65" w:rsidRPr="004E2001" w:rsidTr="008E0870">
        <w:trPr>
          <w:cantSplit/>
          <w:trHeight w:val="20"/>
        </w:trPr>
        <w:tc>
          <w:tcPr>
            <w:tcW w:w="3261" w:type="dxa"/>
            <w:gridSpan w:val="2"/>
          </w:tcPr>
          <w:p w:rsidR="00142C65" w:rsidRPr="004E2001" w:rsidRDefault="00142C65" w:rsidP="003F26F6">
            <w:pPr>
              <w:keepNext/>
              <w:ind w:left="-108"/>
              <w:rPr>
                <w:rFonts w:ascii="Arial Narrow" w:hAnsi="Arial Narrow"/>
                <w:sz w:val="20"/>
                <w:szCs w:val="20"/>
              </w:rPr>
            </w:pPr>
            <w:r w:rsidRPr="004E2001">
              <w:rPr>
                <w:rFonts w:ascii="Arial Narrow" w:hAnsi="Arial Narrow"/>
                <w:smallCaps/>
                <w:sz w:val="20"/>
                <w:szCs w:val="20"/>
              </w:rPr>
              <w:t>SEMAGLUTIDE</w:t>
            </w: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 xml:space="preserve">1.34 mg/1 mL injection, 1.5 mL pen device </w:t>
            </w:r>
          </w:p>
          <w:p w:rsidR="00142C65" w:rsidRPr="004E2001" w:rsidRDefault="00142C65" w:rsidP="003F26F6">
            <w:pPr>
              <w:keepNext/>
              <w:ind w:left="-108"/>
              <w:rPr>
                <w:rFonts w:ascii="Arial Narrow" w:hAnsi="Arial Narrow"/>
                <w:color w:val="FF0000"/>
                <w:sz w:val="20"/>
                <w:szCs w:val="20"/>
              </w:rPr>
            </w:pPr>
          </w:p>
        </w:tc>
        <w:tc>
          <w:tcPr>
            <w:tcW w:w="567" w:type="dxa"/>
          </w:tcPr>
          <w:p w:rsidR="00142C65" w:rsidRPr="004E2001" w:rsidRDefault="00142C65" w:rsidP="003F26F6">
            <w:pPr>
              <w:keepNext/>
              <w:ind w:left="-108"/>
              <w:rPr>
                <w:rFonts w:ascii="Arial Narrow" w:hAnsi="Arial Narrow"/>
                <w:sz w:val="20"/>
                <w:szCs w:val="20"/>
              </w:rPr>
            </w:pP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1</w:t>
            </w:r>
          </w:p>
        </w:tc>
        <w:tc>
          <w:tcPr>
            <w:tcW w:w="850" w:type="dxa"/>
          </w:tcPr>
          <w:p w:rsidR="00142C65" w:rsidRPr="004E2001" w:rsidRDefault="00142C65" w:rsidP="003F26F6">
            <w:pPr>
              <w:keepNext/>
              <w:ind w:left="-108"/>
              <w:rPr>
                <w:rFonts w:ascii="Arial Narrow" w:hAnsi="Arial Narrow"/>
                <w:sz w:val="20"/>
                <w:szCs w:val="20"/>
              </w:rPr>
            </w:pP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5</w:t>
            </w:r>
          </w:p>
        </w:tc>
        <w:tc>
          <w:tcPr>
            <w:tcW w:w="1701" w:type="dxa"/>
          </w:tcPr>
          <w:p w:rsidR="00142C65" w:rsidRPr="004E2001" w:rsidRDefault="00142C65" w:rsidP="003F26F6">
            <w:pPr>
              <w:keepNext/>
              <w:ind w:left="-108"/>
              <w:rPr>
                <w:rFonts w:ascii="Arial Narrow" w:hAnsi="Arial Narrow"/>
                <w:sz w:val="20"/>
                <w:szCs w:val="20"/>
              </w:rPr>
            </w:pPr>
          </w:p>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r w:rsidRPr="004E2001">
              <w:rPr>
                <w:rFonts w:ascii="Arial Narrow" w:hAnsi="Arial Narrow"/>
                <w:sz w:val="20"/>
                <w:szCs w:val="20"/>
              </w:rPr>
              <w:t xml:space="preserve"> (Published)</w:t>
            </w:r>
          </w:p>
        </w:tc>
        <w:tc>
          <w:tcPr>
            <w:tcW w:w="1559" w:type="dxa"/>
          </w:tcPr>
          <w:p w:rsidR="00142C65" w:rsidRPr="004E2001" w:rsidRDefault="00142C65" w:rsidP="003F26F6">
            <w:pPr>
              <w:keepNext/>
              <w:rPr>
                <w:rFonts w:ascii="Arial Narrow" w:hAnsi="Arial Narrow"/>
                <w:sz w:val="20"/>
                <w:szCs w:val="20"/>
              </w:rPr>
            </w:pPr>
            <w:r w:rsidRPr="004E2001">
              <w:rPr>
                <w:rFonts w:ascii="Arial Narrow" w:hAnsi="Arial Narrow"/>
                <w:sz w:val="20"/>
                <w:szCs w:val="20"/>
              </w:rPr>
              <w:t>Ozempic</w:t>
            </w:r>
            <w:r w:rsidRPr="004E2001">
              <w:rPr>
                <w:rFonts w:ascii="Arial Narrow" w:hAnsi="Arial Narrow"/>
                <w:sz w:val="20"/>
                <w:szCs w:val="20"/>
                <w:vertAlign w:val="superscript"/>
              </w:rPr>
              <w:t>®</w:t>
            </w:r>
            <w:r w:rsidRPr="004E2001">
              <w:rPr>
                <w:rFonts w:ascii="Arial Narrow" w:hAnsi="Arial Narrow"/>
                <w:sz w:val="20"/>
                <w:szCs w:val="20"/>
              </w:rPr>
              <w:t xml:space="preserve"> </w:t>
            </w:r>
          </w:p>
        </w:tc>
        <w:tc>
          <w:tcPr>
            <w:tcW w:w="1276" w:type="dxa"/>
          </w:tcPr>
          <w:p w:rsidR="00142C65" w:rsidRPr="004E2001" w:rsidRDefault="00142C65" w:rsidP="003F26F6">
            <w:pPr>
              <w:keepNext/>
              <w:rPr>
                <w:rFonts w:ascii="Arial Narrow" w:hAnsi="Arial Narrow"/>
                <w:sz w:val="20"/>
                <w:szCs w:val="20"/>
              </w:rPr>
            </w:pPr>
            <w:r w:rsidRPr="004E2001">
              <w:rPr>
                <w:rFonts w:ascii="Arial Narrow" w:hAnsi="Arial Narrow"/>
                <w:sz w:val="20"/>
                <w:szCs w:val="20"/>
              </w:rPr>
              <w:t xml:space="preserve">Novo Nordisk </w:t>
            </w:r>
          </w:p>
        </w:tc>
      </w:tr>
      <w:tr w:rsidR="00142C65" w:rsidRPr="004E2001" w:rsidTr="008E0870">
        <w:trPr>
          <w:cantSplit/>
          <w:trHeight w:val="20"/>
        </w:trPr>
        <w:tc>
          <w:tcPr>
            <w:tcW w:w="3261" w:type="dxa"/>
            <w:gridSpan w:val="2"/>
          </w:tcPr>
          <w:p w:rsidR="00142C65" w:rsidRPr="004E2001" w:rsidRDefault="00142C65" w:rsidP="003F26F6">
            <w:pPr>
              <w:keepNext/>
              <w:ind w:left="-108"/>
              <w:rPr>
                <w:rFonts w:ascii="Arial Narrow" w:hAnsi="Arial Narrow"/>
                <w:smallCaps/>
                <w:sz w:val="20"/>
                <w:szCs w:val="20"/>
              </w:rPr>
            </w:pPr>
            <w:r w:rsidRPr="004E2001">
              <w:rPr>
                <w:rFonts w:ascii="Arial Narrow" w:hAnsi="Arial Narrow"/>
                <w:sz w:val="20"/>
                <w:szCs w:val="20"/>
              </w:rPr>
              <w:t>1.34 mg/1 mL injection, 3 mL pen device</w:t>
            </w:r>
          </w:p>
        </w:tc>
        <w:tc>
          <w:tcPr>
            <w:tcW w:w="567" w:type="dxa"/>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1</w:t>
            </w:r>
          </w:p>
        </w:tc>
        <w:tc>
          <w:tcPr>
            <w:tcW w:w="850" w:type="dxa"/>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5</w:t>
            </w:r>
          </w:p>
        </w:tc>
        <w:tc>
          <w:tcPr>
            <w:tcW w:w="1701" w:type="dxa"/>
          </w:tcPr>
          <w:p w:rsidR="00142C65" w:rsidRPr="004E2001" w:rsidRDefault="00142C65" w:rsidP="003F26F6">
            <w:pPr>
              <w:keepNext/>
              <w:ind w:left="-108"/>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r w:rsidRPr="004E2001">
              <w:rPr>
                <w:rFonts w:ascii="Arial Narrow" w:hAnsi="Arial Narrow"/>
                <w:sz w:val="20"/>
                <w:szCs w:val="20"/>
              </w:rPr>
              <w:t xml:space="preserve"> (Published)</w:t>
            </w:r>
          </w:p>
        </w:tc>
        <w:tc>
          <w:tcPr>
            <w:tcW w:w="1559" w:type="dxa"/>
          </w:tcPr>
          <w:p w:rsidR="00142C65" w:rsidRPr="004E2001" w:rsidRDefault="00142C65" w:rsidP="003F26F6">
            <w:pPr>
              <w:keepNext/>
              <w:rPr>
                <w:rFonts w:ascii="Arial Narrow" w:hAnsi="Arial Narrow"/>
                <w:sz w:val="20"/>
                <w:szCs w:val="20"/>
              </w:rPr>
            </w:pPr>
            <w:r w:rsidRPr="004E2001">
              <w:rPr>
                <w:rFonts w:ascii="Arial Narrow" w:hAnsi="Arial Narrow"/>
                <w:sz w:val="20"/>
                <w:szCs w:val="20"/>
              </w:rPr>
              <w:t>Ozempic</w:t>
            </w:r>
            <w:r w:rsidRPr="004E2001">
              <w:rPr>
                <w:rFonts w:ascii="Arial Narrow" w:hAnsi="Arial Narrow"/>
                <w:sz w:val="20"/>
                <w:szCs w:val="20"/>
                <w:vertAlign w:val="superscript"/>
              </w:rPr>
              <w:t>®</w:t>
            </w:r>
          </w:p>
        </w:tc>
        <w:tc>
          <w:tcPr>
            <w:tcW w:w="1276" w:type="dxa"/>
          </w:tcPr>
          <w:p w:rsidR="00142C65" w:rsidRPr="004E2001" w:rsidRDefault="00142C65" w:rsidP="003F26F6">
            <w:pPr>
              <w:keepNext/>
              <w:rPr>
                <w:rFonts w:ascii="Arial Narrow" w:hAnsi="Arial Narrow"/>
                <w:sz w:val="20"/>
                <w:szCs w:val="20"/>
              </w:rPr>
            </w:pPr>
            <w:r w:rsidRPr="004E2001">
              <w:rPr>
                <w:rFonts w:ascii="Arial Narrow" w:hAnsi="Arial Narrow"/>
                <w:sz w:val="20"/>
                <w:szCs w:val="20"/>
              </w:rPr>
              <w:t xml:space="preserve">Novo Nordisk </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z w:val="20"/>
                <w:szCs w:val="20"/>
              </w:rPr>
            </w:pPr>
            <w:r w:rsidRPr="004E2001">
              <w:rPr>
                <w:rFonts w:ascii="Arial Narrow" w:hAnsi="Arial Narrow"/>
                <w:sz w:val="20"/>
                <w:szCs w:val="20"/>
              </w:rPr>
              <w:t>GENERAL – General Schedule (Code GE)</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Prescriber type:</w:t>
            </w:r>
          </w:p>
          <w:p w:rsidR="00142C65" w:rsidRPr="004E2001" w:rsidRDefault="00142C65" w:rsidP="003F26F6">
            <w:pPr>
              <w:rPr>
                <w:rFonts w:ascii="Arial Narrow" w:hAnsi="Arial Narrow"/>
                <w:b/>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1"/>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Dental  </w:t>
            </w:r>
            <w:r w:rsidRPr="004E2001">
              <w:rPr>
                <w:rFonts w:ascii="Arial Narrow" w:hAnsi="Arial Narrow"/>
                <w:sz w:val="20"/>
                <w:szCs w:val="20"/>
              </w:rPr>
              <w:fldChar w:fldCharType="begin">
                <w:ffData>
                  <w:name w:val=""/>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Medical Practitioners  </w:t>
            </w:r>
            <w:r w:rsidRPr="004E2001">
              <w:rPr>
                <w:rFonts w:ascii="Arial Narrow" w:hAnsi="Arial Narrow"/>
                <w:sz w:val="20"/>
                <w:szCs w:val="20"/>
              </w:rPr>
              <w:fldChar w:fldCharType="begin">
                <w:ffData>
                  <w:name w:val="Check3"/>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Nurse practitioners  </w:t>
            </w:r>
            <w:r w:rsidRPr="004E2001">
              <w:rPr>
                <w:rFonts w:ascii="Arial Narrow" w:hAnsi="Arial Narrow"/>
                <w:sz w:val="20"/>
                <w:szCs w:val="20"/>
              </w:rPr>
              <w:fldChar w:fldCharType="begin">
                <w:ffData>
                  <w:name w:val=""/>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Optometrists</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5"/>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Midwives</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trike/>
                <w:sz w:val="20"/>
                <w:szCs w:val="20"/>
              </w:rPr>
            </w:pPr>
            <w:r w:rsidRPr="004E2001">
              <w:rPr>
                <w:rFonts w:ascii="Arial Narrow" w:hAnsi="Arial Narrow"/>
                <w:strike/>
                <w:sz w:val="20"/>
                <w:szCs w:val="20"/>
              </w:rPr>
              <w:t>Chronic</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eastAsia="Times New Roman" w:hAnsi="Arial Narrow" w:cs="Times New Roman"/>
                <w:szCs w:val="20"/>
                <w:lang w:bidi="ar-SA"/>
              </w:rPr>
            </w:pPr>
            <w:r w:rsidRPr="004E2001">
              <w:rPr>
                <w:rFonts w:ascii="Arial Narrow" w:eastAsia="Times New Roman" w:hAnsi="Arial Narrow" w:cs="Times New Roman"/>
                <w:szCs w:val="20"/>
                <w:lang w:bidi="ar-SA"/>
              </w:rPr>
              <w:t>Diabetes mellitus type 2</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eastAsia="Times New Roman" w:hAnsi="Arial Narrow" w:cs="Times New Roman"/>
                <w:szCs w:val="20"/>
                <w:lang w:bidi="ar-SA"/>
              </w:rPr>
            </w:pPr>
            <w:r w:rsidRPr="004E2001">
              <w:rPr>
                <w:rFonts w:ascii="Arial Narrow" w:eastAsia="Times New Roman" w:hAnsi="Arial Narrow" w:cs="Times New Roman"/>
                <w:szCs w:val="20"/>
                <w:lang w:bidi="ar-SA"/>
              </w:rPr>
              <w:t>Diabetes mellitus type 2</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trike/>
                <w:sz w:val="20"/>
                <w:szCs w:val="20"/>
              </w:rPr>
            </w:pPr>
            <w:r w:rsidRPr="004E2001">
              <w:rPr>
                <w:rFonts w:ascii="Arial Narrow" w:hAnsi="Arial Narrow"/>
                <w:strike/>
                <w:sz w:val="20"/>
                <w:szCs w:val="20"/>
              </w:rPr>
              <w:t>Initial and continuing</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Restriction Level / Method:</w:t>
            </w:r>
          </w:p>
          <w:p w:rsidR="00142C65" w:rsidRPr="004E2001" w:rsidRDefault="00142C65" w:rsidP="003F26F6">
            <w:pPr>
              <w:rPr>
                <w:rFonts w:ascii="Arial Narrow" w:hAnsi="Arial Narrow"/>
                <w:i/>
                <w:sz w:val="20"/>
                <w:szCs w:val="20"/>
              </w:rPr>
            </w:pPr>
          </w:p>
          <w:p w:rsidR="00142C65" w:rsidRPr="004E2001" w:rsidRDefault="00142C65" w:rsidP="003F26F6">
            <w:pPr>
              <w:rPr>
                <w:rFonts w:ascii="Arial Narrow" w:hAnsi="Arial Narrow"/>
                <w:i/>
                <w:sz w:val="20"/>
                <w:szCs w:val="20"/>
              </w:rPr>
            </w:pPr>
          </w:p>
          <w:p w:rsidR="00142C65" w:rsidRPr="004E2001" w:rsidRDefault="00142C65" w:rsidP="003F26F6">
            <w:pPr>
              <w:rPr>
                <w:rFonts w:ascii="Arial Narrow" w:hAnsi="Arial Narrow"/>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1"/>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Restricted benefit</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Authority Required – In Writing</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3"/>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Authority Required – Telephone/Electronic/Emergency</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Streamlined</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Clinical criteria:</w:t>
            </w:r>
          </w:p>
          <w:p w:rsidR="00142C65" w:rsidRPr="004E2001" w:rsidRDefault="00142C65" w:rsidP="003F26F6">
            <w:pPr>
              <w:rPr>
                <w:rFonts w:ascii="Arial Narrow" w:hAnsi="Arial Narrow"/>
                <w:b/>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hAnsi="Arial Narrow"/>
              </w:rPr>
            </w:pPr>
            <w:r w:rsidRPr="004E2001">
              <w:rPr>
                <w:rFonts w:ascii="Arial Narrow" w:hAnsi="Arial Narrow"/>
              </w:rPr>
              <w:t xml:space="preserve">The treatment must be in combination with metformin; </w:t>
            </w:r>
          </w:p>
          <w:p w:rsidR="00142C65" w:rsidRPr="004E2001" w:rsidRDefault="00142C65" w:rsidP="003F26F6">
            <w:pPr>
              <w:pStyle w:val="Table"/>
              <w:rPr>
                <w:rFonts w:ascii="Arial Narrow" w:hAnsi="Arial Narrow"/>
              </w:rPr>
            </w:pPr>
            <w:r w:rsidRPr="004E2001">
              <w:rPr>
                <w:rFonts w:ascii="Arial Narrow" w:hAnsi="Arial Narrow"/>
              </w:rPr>
              <w:t>OR</w:t>
            </w:r>
          </w:p>
          <w:p w:rsidR="00142C65" w:rsidRPr="004E2001" w:rsidRDefault="00142C65" w:rsidP="003F26F6">
            <w:pPr>
              <w:pStyle w:val="Table"/>
              <w:rPr>
                <w:rFonts w:ascii="Arial Narrow" w:hAnsi="Arial Narrow"/>
              </w:rPr>
            </w:pPr>
            <w:r w:rsidRPr="004E2001">
              <w:rPr>
                <w:rFonts w:ascii="Arial Narrow" w:hAnsi="Arial Narrow"/>
              </w:rPr>
              <w:t>The treatment must be in combination with a sulfonylurea,</w:t>
            </w:r>
          </w:p>
          <w:p w:rsidR="00142C65" w:rsidRPr="004E2001" w:rsidRDefault="00142C65" w:rsidP="003F26F6">
            <w:pPr>
              <w:pStyle w:val="Table"/>
              <w:rPr>
                <w:rFonts w:ascii="Arial Narrow" w:hAnsi="Arial Narrow"/>
              </w:rPr>
            </w:pPr>
            <w:r w:rsidRPr="004E2001">
              <w:rPr>
                <w:rFonts w:ascii="Arial Narrow" w:hAnsi="Arial Narrow"/>
              </w:rPr>
              <w:t>AND</w:t>
            </w:r>
          </w:p>
          <w:p w:rsidR="00142C65" w:rsidRPr="004E2001" w:rsidRDefault="00142C65" w:rsidP="003F26F6">
            <w:pPr>
              <w:pStyle w:val="Table"/>
              <w:rPr>
                <w:rFonts w:ascii="Arial Narrow" w:hAnsi="Arial Narrow"/>
              </w:rPr>
            </w:pPr>
          </w:p>
          <w:p w:rsidR="00142C65" w:rsidRPr="004E2001" w:rsidRDefault="00142C65" w:rsidP="003F26F6">
            <w:pPr>
              <w:pStyle w:val="Table"/>
              <w:rPr>
                <w:rFonts w:ascii="Arial Narrow" w:hAnsi="Arial Narrow"/>
              </w:rPr>
            </w:pPr>
            <w:r w:rsidRPr="004E2001">
              <w:rPr>
                <w:rFonts w:ascii="Arial Narrow" w:hAnsi="Arial Narrow"/>
              </w:rPr>
              <w:t xml:space="preserve">Patient must have a contraindication to a combination of metformin and a sulfonylurea; </w:t>
            </w:r>
          </w:p>
          <w:p w:rsidR="00142C65" w:rsidRPr="004E2001" w:rsidRDefault="00142C65" w:rsidP="003F26F6">
            <w:pPr>
              <w:pStyle w:val="Table"/>
              <w:rPr>
                <w:rFonts w:ascii="Arial Narrow" w:hAnsi="Arial Narrow"/>
              </w:rPr>
            </w:pPr>
            <w:r w:rsidRPr="004E2001">
              <w:rPr>
                <w:rFonts w:ascii="Arial Narrow" w:hAnsi="Arial Narrow"/>
              </w:rPr>
              <w:t>OR</w:t>
            </w:r>
          </w:p>
          <w:p w:rsidR="00142C65" w:rsidRPr="004E2001" w:rsidRDefault="00142C65" w:rsidP="003F26F6">
            <w:pPr>
              <w:pStyle w:val="Table"/>
              <w:rPr>
                <w:rFonts w:ascii="Arial Narrow" w:hAnsi="Arial Narrow"/>
              </w:rPr>
            </w:pPr>
            <w:r w:rsidRPr="004E2001">
              <w:rPr>
                <w:rFonts w:ascii="Arial Narrow" w:hAnsi="Arial Narrow"/>
              </w:rPr>
              <w:t>Patient must not have tolerated a combination of metformin and a sulfonylurea,</w:t>
            </w:r>
          </w:p>
          <w:p w:rsidR="00142C65" w:rsidRPr="004E2001" w:rsidRDefault="00142C65" w:rsidP="003F26F6">
            <w:pPr>
              <w:pStyle w:val="Table"/>
              <w:rPr>
                <w:rFonts w:ascii="Arial Narrow" w:hAnsi="Arial Narrow"/>
              </w:rPr>
            </w:pPr>
            <w:r w:rsidRPr="004E2001">
              <w:rPr>
                <w:rFonts w:ascii="Arial Narrow" w:hAnsi="Arial Narrow"/>
              </w:rPr>
              <w:t>AND</w:t>
            </w:r>
          </w:p>
          <w:p w:rsidR="00142C65" w:rsidRPr="004E2001" w:rsidRDefault="00142C65" w:rsidP="003F26F6">
            <w:pPr>
              <w:pStyle w:val="Table"/>
              <w:rPr>
                <w:rFonts w:ascii="Arial Narrow" w:hAnsi="Arial Narrow"/>
              </w:rPr>
            </w:pPr>
          </w:p>
          <w:p w:rsidR="00142C65" w:rsidRPr="004E2001" w:rsidRDefault="00142C65" w:rsidP="003F26F6">
            <w:pPr>
              <w:pStyle w:val="Table"/>
              <w:rPr>
                <w:rFonts w:ascii="Arial Narrow" w:hAnsi="Arial Narrow"/>
              </w:rPr>
            </w:pPr>
            <w:r w:rsidRPr="004E2001">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w:t>
            </w:r>
          </w:p>
          <w:p w:rsidR="00142C65" w:rsidRPr="004E2001" w:rsidRDefault="00142C65" w:rsidP="003F26F6">
            <w:pPr>
              <w:pStyle w:val="Table"/>
              <w:rPr>
                <w:rFonts w:ascii="Arial Narrow" w:hAnsi="Arial Narrow"/>
              </w:rPr>
            </w:pPr>
            <w:r w:rsidRPr="004E2001">
              <w:rPr>
                <w:rFonts w:ascii="Arial Narrow" w:hAnsi="Arial Narrow"/>
              </w:rPr>
              <w:t>OR</w:t>
            </w:r>
          </w:p>
          <w:p w:rsidR="00142C65" w:rsidRPr="004E2001" w:rsidRDefault="00142C65"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Definitions:</w:t>
            </w: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hAnsi="Arial Narrow"/>
                <w:strike/>
              </w:rPr>
            </w:pPr>
            <w:r w:rsidRPr="004E2001">
              <w:rPr>
                <w:rFonts w:ascii="Arial Narrow" w:hAnsi="Arial Narrow"/>
                <w:strike/>
              </w:rPr>
              <w:t xml:space="preserve">The date and level of the qualifying HbA1c measurement must be, or must have been, documented in the patient's medical records at the time treatment with a gliptin, a glitazone, a glucagon-like peptide-1 or an SGLT2 inhibitor is initiated. The HbA1c must be no more than 4 months old at the time treatment with a gliptin, a glitazone, a glucagon-like peptide-1 or an SGLT2 inhibitor was initiated. </w:t>
            </w:r>
          </w:p>
          <w:p w:rsidR="00142C65" w:rsidRPr="004E2001" w:rsidRDefault="00142C65" w:rsidP="003F26F6">
            <w:pPr>
              <w:pStyle w:val="Table"/>
              <w:rPr>
                <w:rFonts w:ascii="Arial Narrow" w:hAnsi="Arial Narrow"/>
                <w:strike/>
              </w:rPr>
            </w:pPr>
            <w:r w:rsidRPr="004E2001">
              <w:rPr>
                <w:rFonts w:ascii="Arial Narrow" w:hAnsi="Arial Narrow"/>
                <w:strike/>
              </w:rPr>
              <w:t>Blood glucose monitoring may be used as an alternative assessment to HbA1c levels in the following circumstances:</w:t>
            </w:r>
          </w:p>
          <w:p w:rsidR="00142C65" w:rsidRPr="004E2001" w:rsidRDefault="00142C65" w:rsidP="003F26F6">
            <w:pPr>
              <w:pStyle w:val="Table"/>
              <w:rPr>
                <w:rFonts w:ascii="Arial Narrow" w:hAnsi="Arial Narrow"/>
                <w:strike/>
              </w:rPr>
            </w:pPr>
            <w:r w:rsidRPr="004E2001">
              <w:rPr>
                <w:rFonts w:ascii="Arial Narrow" w:hAnsi="Arial Narrow"/>
                <w:strike/>
              </w:rPr>
              <w:t>(a) A clinical condition with reduced red blood cell survival, including haemolytic anaemias and haemoglobinopathies; and/or</w:t>
            </w:r>
          </w:p>
          <w:p w:rsidR="00142C65" w:rsidRPr="004E2001" w:rsidRDefault="00142C65" w:rsidP="003F26F6">
            <w:pPr>
              <w:pStyle w:val="Table"/>
              <w:rPr>
                <w:rFonts w:ascii="Arial Narrow" w:hAnsi="Arial Narrow"/>
                <w:strike/>
              </w:rPr>
            </w:pPr>
            <w:r w:rsidRPr="004E2001">
              <w:rPr>
                <w:rFonts w:ascii="Arial Narrow" w:hAnsi="Arial Narrow"/>
                <w:strike/>
              </w:rPr>
              <w:t>(b) Had red cell transfusion within the previous 3 months.</w:t>
            </w:r>
          </w:p>
          <w:p w:rsidR="00142C65" w:rsidRPr="004E2001" w:rsidRDefault="00142C65" w:rsidP="003F26F6">
            <w:pPr>
              <w:rPr>
                <w:rFonts w:ascii="Arial Narrow" w:hAnsi="Arial Narrow"/>
                <w:sz w:val="20"/>
                <w:szCs w:val="20"/>
              </w:rPr>
            </w:pPr>
            <w:r w:rsidRPr="004E2001">
              <w:rPr>
                <w:rFonts w:ascii="Arial Narrow" w:eastAsiaTheme="majorEastAsia" w:hAnsi="Arial Narrow" w:cstheme="majorBidi"/>
                <w:strike/>
                <w:sz w:val="20"/>
                <w:lang w:bidi="en-US"/>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lastRenderedPageBreak/>
              <w:t>Prescriber Instructions:</w:t>
            </w:r>
          </w:p>
          <w:p w:rsidR="00142C65" w:rsidRPr="004E2001" w:rsidRDefault="00142C65" w:rsidP="003F26F6">
            <w:pPr>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spacing w:after="240"/>
              <w:rPr>
                <w:rFonts w:ascii="Arial Narrow" w:hAnsi="Arial Narrow"/>
              </w:rPr>
            </w:pPr>
            <w:r w:rsidRPr="004E2001">
              <w:rPr>
                <w:rFonts w:ascii="Arial Narrow" w:hAnsi="Arial Narrow"/>
              </w:rPr>
              <w:t xml:space="preserve">The date and level of the qualifying HbA1c measurement must be, or must have been, documented in the patient's medical records at the time treatment with a gliptin, a glitazone, a glucagon-like peptide-1 or an SGLT2 inhibitor is initiated. The HbA1c must be no more than 4 months old at the time treatment with a gliptin, a glitazone, a glucagon-like peptide-1 or an SGLT2 inhibitor was initiated. </w:t>
            </w:r>
          </w:p>
          <w:p w:rsidR="00142C65" w:rsidRPr="004E2001" w:rsidRDefault="00142C65" w:rsidP="003F26F6">
            <w:pPr>
              <w:pStyle w:val="Table"/>
              <w:spacing w:after="240"/>
              <w:rPr>
                <w:rFonts w:ascii="Arial Narrow" w:hAnsi="Arial Narrow"/>
              </w:rPr>
            </w:pPr>
            <w:r w:rsidRPr="004E2001">
              <w:rPr>
                <w:rFonts w:ascii="Arial Narrow" w:hAnsi="Arial Narrow"/>
              </w:rPr>
              <w:t>Blood glucose monitoring may be used as an alternative assessment to HbA1c levels in the following circumstances:</w:t>
            </w:r>
          </w:p>
          <w:p w:rsidR="00142C65" w:rsidRPr="004E2001" w:rsidRDefault="00142C65" w:rsidP="003F26F6">
            <w:pPr>
              <w:pStyle w:val="Table"/>
              <w:spacing w:after="240"/>
              <w:rPr>
                <w:rFonts w:ascii="Arial Narrow" w:hAnsi="Arial Narrow"/>
              </w:rPr>
            </w:pPr>
            <w:r w:rsidRPr="004E2001">
              <w:rPr>
                <w:rFonts w:ascii="Arial Narrow" w:hAnsi="Arial Narrow"/>
              </w:rPr>
              <w:t>(a) A clinical condition with reduced red blood cell survival, including haemolytic anaemias and haemoglobinopathies; and/or</w:t>
            </w:r>
          </w:p>
          <w:p w:rsidR="00142C65" w:rsidRPr="004E2001" w:rsidRDefault="00142C65" w:rsidP="003F26F6">
            <w:pPr>
              <w:pStyle w:val="Table"/>
              <w:spacing w:after="240"/>
              <w:rPr>
                <w:rFonts w:ascii="Arial Narrow" w:hAnsi="Arial Narrow"/>
              </w:rPr>
            </w:pPr>
            <w:r w:rsidRPr="004E2001">
              <w:rPr>
                <w:rFonts w:ascii="Arial Narrow" w:hAnsi="Arial Narrow"/>
              </w:rPr>
              <w:t>(b) Had red cell transfusion within the previous 3 months.</w:t>
            </w:r>
          </w:p>
          <w:p w:rsidR="00142C65" w:rsidRPr="004E2001" w:rsidRDefault="00142C65" w:rsidP="003F26F6">
            <w:pPr>
              <w:rPr>
                <w:rFonts w:ascii="Arial Narrow" w:hAnsi="Arial Narrow"/>
                <w:sz w:val="20"/>
                <w:szCs w:val="20"/>
              </w:rPr>
            </w:pPr>
            <w:r w:rsidRPr="004E2001">
              <w:rPr>
                <w:rFonts w:ascii="Arial Narrow" w:eastAsiaTheme="majorEastAsia" w:hAnsi="Arial Narrow" w:cstheme="majorBidi"/>
                <w:sz w:val="20"/>
                <w:lang w:bidi="en-US"/>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Administrative Advice:</w:t>
            </w:r>
          </w:p>
          <w:p w:rsidR="00142C65" w:rsidRPr="004E2001" w:rsidRDefault="00142C65" w:rsidP="003F26F6">
            <w:pPr>
              <w:rPr>
                <w:rFonts w:ascii="Arial Narrow" w:hAnsi="Arial Narrow"/>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This drug is not PBS-subsidised for use as monotherapy or in combination with a dipeptidyl peptidase 4 inhibitor (gliptin), a thiazolidinedione (glitazone), an insulin or an SGLT2 inhibitor.</w:t>
            </w:r>
          </w:p>
          <w:p w:rsidR="00142C65" w:rsidRPr="004E2001" w:rsidRDefault="00142C65" w:rsidP="003F26F6">
            <w:pPr>
              <w:rPr>
                <w:rFonts w:ascii="Arial Narrow" w:eastAsiaTheme="majorEastAsia" w:hAnsi="Arial Narrow" w:cstheme="majorBidi"/>
                <w:sz w:val="20"/>
                <w:lang w:bidi="en-US"/>
              </w:rPr>
            </w:pPr>
          </w:p>
          <w:p w:rsidR="00142C65" w:rsidRPr="004E2001" w:rsidRDefault="00142C65"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Special Pricing Arrangements Apply [TBC]</w:t>
            </w:r>
          </w:p>
        </w:tc>
      </w:tr>
    </w:tbl>
    <w:p w:rsidR="00142C65" w:rsidRPr="004E2001" w:rsidRDefault="00142C65" w:rsidP="003F26F6">
      <w:pPr>
        <w:rPr>
          <w:rFonts w:asciiTheme="minorHAnsi" w:hAnsiTheme="minorHAnsi" w:cstheme="minorHAnsi"/>
          <w:color w:val="0070C0"/>
        </w:rPr>
      </w:pPr>
      <w:r w:rsidRPr="004E2001">
        <w:rPr>
          <w:rFonts w:asciiTheme="minorHAnsi" w:hAnsiTheme="minorHAnsi" w:cstheme="minorHAnsi"/>
          <w:color w:val="0070C0"/>
        </w:rPr>
        <w:t xml:space="preserve"> </w:t>
      </w:r>
    </w:p>
    <w:tbl>
      <w:tblPr>
        <w:tblW w:w="5000" w:type="pct"/>
        <w:tblLayout w:type="fixed"/>
        <w:tblLook w:val="0000" w:firstRow="0" w:lastRow="0" w:firstColumn="0" w:lastColumn="0" w:noHBand="0" w:noVBand="0"/>
      </w:tblPr>
      <w:tblGrid>
        <w:gridCol w:w="2361"/>
        <w:gridCol w:w="6656"/>
      </w:tblGrid>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Category / Program:</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z w:val="20"/>
                <w:szCs w:val="20"/>
              </w:rPr>
            </w:pPr>
            <w:r w:rsidRPr="004E2001">
              <w:rPr>
                <w:rFonts w:ascii="Arial Narrow" w:hAnsi="Arial Narrow"/>
                <w:sz w:val="20"/>
                <w:szCs w:val="20"/>
              </w:rPr>
              <w:t>GENERAL – General Schedule (Code GE)</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Prescriber type:</w:t>
            </w:r>
          </w:p>
          <w:p w:rsidR="00142C65" w:rsidRPr="004E2001" w:rsidRDefault="00142C65" w:rsidP="003F26F6">
            <w:pPr>
              <w:rPr>
                <w:rFonts w:ascii="Arial Narrow" w:hAnsi="Arial Narrow"/>
                <w:b/>
                <w:sz w:val="20"/>
                <w:szCs w:val="20"/>
              </w:rPr>
            </w:pP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1"/>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Dental  </w:t>
            </w:r>
            <w:r w:rsidRPr="004E2001">
              <w:rPr>
                <w:rFonts w:ascii="Arial Narrow" w:hAnsi="Arial Narrow"/>
                <w:sz w:val="20"/>
                <w:szCs w:val="20"/>
              </w:rPr>
              <w:fldChar w:fldCharType="begin">
                <w:ffData>
                  <w:name w:val=""/>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Medical Practitioners  </w:t>
            </w:r>
            <w:r w:rsidRPr="004E2001">
              <w:rPr>
                <w:rFonts w:ascii="Arial Narrow" w:hAnsi="Arial Narrow"/>
                <w:sz w:val="20"/>
                <w:szCs w:val="20"/>
              </w:rPr>
              <w:fldChar w:fldCharType="begin">
                <w:ffData>
                  <w:name w:val="Check3"/>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Nurse practitioners  </w:t>
            </w:r>
            <w:r w:rsidRPr="004E2001">
              <w:rPr>
                <w:rFonts w:ascii="Arial Narrow" w:hAnsi="Arial Narrow"/>
                <w:sz w:val="20"/>
                <w:szCs w:val="20"/>
              </w:rPr>
              <w:fldChar w:fldCharType="begin">
                <w:ffData>
                  <w:name w:val=""/>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Optometrists</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5"/>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Midwives</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Episodicity:</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trike/>
                <w:sz w:val="20"/>
                <w:szCs w:val="20"/>
              </w:rPr>
            </w:pPr>
            <w:r w:rsidRPr="004E2001">
              <w:rPr>
                <w:rFonts w:ascii="Arial Narrow" w:hAnsi="Arial Narrow"/>
                <w:strike/>
                <w:sz w:val="20"/>
                <w:szCs w:val="20"/>
              </w:rPr>
              <w:t>Chronic</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Severity:</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trike/>
                <w:sz w:val="20"/>
                <w:szCs w:val="20"/>
              </w:rPr>
            </w:pPr>
            <w:r w:rsidRPr="004E2001">
              <w:rPr>
                <w:rFonts w:ascii="Arial Narrow" w:hAnsi="Arial Narrow"/>
                <w:strike/>
                <w:sz w:val="20"/>
                <w:szCs w:val="20"/>
              </w:rPr>
              <w:t>NA</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Condition:</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eastAsia="Times New Roman" w:hAnsi="Arial Narrow" w:cs="Times New Roman"/>
                <w:szCs w:val="20"/>
                <w:lang w:bidi="ar-SA"/>
              </w:rPr>
            </w:pPr>
            <w:r w:rsidRPr="004E2001">
              <w:rPr>
                <w:rFonts w:ascii="Arial Narrow" w:eastAsia="Times New Roman" w:hAnsi="Arial Narrow" w:cs="Times New Roman"/>
                <w:szCs w:val="20"/>
                <w:lang w:bidi="ar-SA"/>
              </w:rPr>
              <w:t>Diabetes mellitus type 2</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PBS Indication:</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eastAsia="Times New Roman" w:hAnsi="Arial Narrow" w:cs="Times New Roman"/>
                <w:szCs w:val="20"/>
                <w:lang w:bidi="ar-SA"/>
              </w:rPr>
            </w:pPr>
            <w:r w:rsidRPr="004E2001">
              <w:rPr>
                <w:rFonts w:ascii="Arial Narrow" w:eastAsia="Times New Roman" w:hAnsi="Arial Narrow" w:cs="Times New Roman"/>
                <w:szCs w:val="20"/>
                <w:lang w:bidi="ar-SA"/>
              </w:rPr>
              <w:t>Diabetes mellitus type 2</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Treatment phase:</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trike/>
                <w:sz w:val="20"/>
                <w:szCs w:val="20"/>
              </w:rPr>
            </w:pPr>
            <w:r w:rsidRPr="004E2001">
              <w:rPr>
                <w:rFonts w:ascii="Arial Narrow" w:hAnsi="Arial Narrow"/>
                <w:strike/>
                <w:sz w:val="20"/>
                <w:szCs w:val="20"/>
              </w:rPr>
              <w:t>Initial and continuing</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Restriction Level / Method:</w:t>
            </w:r>
          </w:p>
          <w:p w:rsidR="00142C65" w:rsidRPr="004E2001" w:rsidRDefault="00142C65" w:rsidP="003F26F6">
            <w:pPr>
              <w:rPr>
                <w:rFonts w:ascii="Arial Narrow" w:hAnsi="Arial Narrow"/>
                <w:sz w:val="20"/>
                <w:szCs w:val="20"/>
              </w:rPr>
            </w:pPr>
          </w:p>
          <w:p w:rsidR="00142C65" w:rsidRPr="004E2001" w:rsidRDefault="00142C65" w:rsidP="003F26F6">
            <w:pPr>
              <w:rPr>
                <w:rFonts w:ascii="Arial Narrow" w:hAnsi="Arial Narrow"/>
                <w:sz w:val="20"/>
                <w:szCs w:val="20"/>
              </w:rPr>
            </w:pPr>
          </w:p>
          <w:p w:rsidR="00142C65" w:rsidRPr="004E2001" w:rsidRDefault="00142C65" w:rsidP="003F26F6">
            <w:pPr>
              <w:rPr>
                <w:rFonts w:ascii="Arial Narrow" w:hAnsi="Arial Narrow"/>
                <w:i/>
                <w:sz w:val="20"/>
                <w:szCs w:val="20"/>
              </w:rPr>
            </w:pP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1"/>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Restricted benefit</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Authority Required – In Writing</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Check3"/>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Authority Required – Telephone/Electronic/Emergency</w:t>
            </w:r>
          </w:p>
          <w:p w:rsidR="00142C65" w:rsidRPr="004E2001" w:rsidRDefault="00142C65" w:rsidP="003F26F6">
            <w:pPr>
              <w:rPr>
                <w:rFonts w:ascii="Arial Narrow" w:hAnsi="Arial Narrow"/>
                <w:sz w:val="20"/>
                <w:szCs w:val="20"/>
              </w:rPr>
            </w:pPr>
            <w:r w:rsidRPr="004E2001">
              <w:rPr>
                <w:rFonts w:ascii="Arial Narrow" w:hAnsi="Arial Narrow"/>
                <w:sz w:val="20"/>
                <w:szCs w:val="20"/>
              </w:rPr>
              <w:fldChar w:fldCharType="begin">
                <w:ffData>
                  <w:name w:val=""/>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Streamlined</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Clinical criteria:</w:t>
            </w:r>
          </w:p>
          <w:p w:rsidR="00142C65" w:rsidRPr="004E2001" w:rsidRDefault="00142C65" w:rsidP="003F26F6">
            <w:pPr>
              <w:rPr>
                <w:rFonts w:ascii="Arial Narrow" w:hAnsi="Arial Narrow"/>
                <w:b/>
                <w:sz w:val="20"/>
                <w:szCs w:val="20"/>
              </w:rPr>
            </w:pP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hAnsi="Arial Narrow"/>
              </w:rPr>
            </w:pPr>
            <w:r w:rsidRPr="004E2001">
              <w:rPr>
                <w:rFonts w:ascii="Arial Narrow" w:hAnsi="Arial Narrow"/>
              </w:rPr>
              <w:t>The treatment must be in combination with metformin,</w:t>
            </w:r>
          </w:p>
          <w:p w:rsidR="00142C65" w:rsidRPr="004E2001" w:rsidRDefault="00142C65" w:rsidP="003F26F6">
            <w:pPr>
              <w:pStyle w:val="Table"/>
              <w:rPr>
                <w:rFonts w:ascii="Arial Narrow" w:hAnsi="Arial Narrow"/>
              </w:rPr>
            </w:pPr>
            <w:r w:rsidRPr="004E2001">
              <w:rPr>
                <w:rFonts w:ascii="Arial Narrow" w:hAnsi="Arial Narrow"/>
              </w:rPr>
              <w:t>AND</w:t>
            </w:r>
          </w:p>
          <w:p w:rsidR="00142C65" w:rsidRPr="004E2001" w:rsidRDefault="00142C65" w:rsidP="003F26F6">
            <w:pPr>
              <w:pStyle w:val="Table"/>
              <w:rPr>
                <w:rFonts w:ascii="Arial Narrow" w:hAnsi="Arial Narrow"/>
              </w:rPr>
            </w:pPr>
          </w:p>
          <w:p w:rsidR="00142C65" w:rsidRPr="004E2001" w:rsidRDefault="00142C65" w:rsidP="003F26F6">
            <w:pPr>
              <w:pStyle w:val="Table"/>
              <w:rPr>
                <w:rFonts w:ascii="Arial Narrow" w:hAnsi="Arial Narrow"/>
              </w:rPr>
            </w:pPr>
            <w:r w:rsidRPr="004E2001">
              <w:rPr>
                <w:rFonts w:ascii="Arial Narrow" w:hAnsi="Arial Narrow"/>
              </w:rPr>
              <w:t>The treatment must be in combination with a sulfonylurea,</w:t>
            </w:r>
          </w:p>
          <w:p w:rsidR="00142C65" w:rsidRPr="004E2001" w:rsidRDefault="00142C65" w:rsidP="003F26F6">
            <w:pPr>
              <w:pStyle w:val="Table"/>
              <w:rPr>
                <w:rFonts w:ascii="Arial Narrow" w:hAnsi="Arial Narrow"/>
              </w:rPr>
            </w:pPr>
            <w:r w:rsidRPr="004E2001">
              <w:rPr>
                <w:rFonts w:ascii="Arial Narrow" w:hAnsi="Arial Narrow"/>
              </w:rPr>
              <w:t>AND</w:t>
            </w:r>
          </w:p>
          <w:p w:rsidR="00142C65" w:rsidRPr="004E2001" w:rsidRDefault="00142C65" w:rsidP="003F26F6">
            <w:pPr>
              <w:pStyle w:val="Table"/>
              <w:rPr>
                <w:rFonts w:ascii="Arial Narrow" w:hAnsi="Arial Narrow"/>
              </w:rPr>
            </w:pPr>
          </w:p>
          <w:p w:rsidR="00142C65" w:rsidRPr="004E2001" w:rsidRDefault="00142C65" w:rsidP="003F26F6">
            <w:pPr>
              <w:pStyle w:val="Table"/>
              <w:rPr>
                <w:rFonts w:ascii="Arial Narrow" w:hAnsi="Arial Narrow"/>
              </w:rPr>
            </w:pPr>
            <w:r w:rsidRPr="004E2001">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w:t>
            </w:r>
          </w:p>
          <w:p w:rsidR="00142C65" w:rsidRPr="004E2001" w:rsidRDefault="00142C65" w:rsidP="003F26F6">
            <w:pPr>
              <w:pStyle w:val="Table"/>
              <w:rPr>
                <w:rFonts w:ascii="Arial Narrow" w:hAnsi="Arial Narrow"/>
              </w:rPr>
            </w:pPr>
            <w:r w:rsidRPr="004E2001">
              <w:rPr>
                <w:rFonts w:ascii="Arial Narrow" w:hAnsi="Arial Narrow"/>
              </w:rPr>
              <w:t>OR</w:t>
            </w:r>
          </w:p>
          <w:p w:rsidR="00142C65" w:rsidRPr="004E2001" w:rsidRDefault="00142C65"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lastRenderedPageBreak/>
              <w:t>Definitions:</w:t>
            </w: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rPr>
                <w:rFonts w:ascii="Arial Narrow" w:hAnsi="Arial Narrow"/>
                <w:strike/>
              </w:rPr>
            </w:pPr>
            <w:r w:rsidRPr="004E2001">
              <w:rPr>
                <w:rFonts w:ascii="Arial Narrow" w:hAnsi="Arial Narrow"/>
                <w:strike/>
              </w:rPr>
              <w:t xml:space="preserve">The date and level of the qualifying HbA1c measurement must be, or must have been, documented in the patient's medical records at the time treatment with a gliptin, a glitazone, a glucagon-like peptide-1 or an SGLT2 inhibitor is initiated. The HbA1c must be no more than 4 months old at the time treatment with a gliptin, a glitazone, a glucagon-like peptide-1 or an SGLT2 inhibitor was initiated. </w:t>
            </w:r>
          </w:p>
          <w:p w:rsidR="00142C65" w:rsidRPr="004E2001" w:rsidRDefault="00142C65" w:rsidP="003F26F6">
            <w:pPr>
              <w:pStyle w:val="Table"/>
              <w:rPr>
                <w:rFonts w:ascii="Arial Narrow" w:hAnsi="Arial Narrow"/>
                <w:strike/>
              </w:rPr>
            </w:pPr>
            <w:r w:rsidRPr="004E2001">
              <w:rPr>
                <w:rFonts w:ascii="Arial Narrow" w:hAnsi="Arial Narrow"/>
                <w:strike/>
              </w:rPr>
              <w:t>Blood glucose monitoring may be used as an alternative assessment to HbA1c levels in the following circumstances:</w:t>
            </w:r>
          </w:p>
          <w:p w:rsidR="00142C65" w:rsidRPr="004E2001" w:rsidRDefault="00142C65" w:rsidP="003F26F6">
            <w:pPr>
              <w:pStyle w:val="Table"/>
              <w:rPr>
                <w:rFonts w:ascii="Arial Narrow" w:hAnsi="Arial Narrow"/>
                <w:strike/>
              </w:rPr>
            </w:pPr>
            <w:r w:rsidRPr="004E2001">
              <w:rPr>
                <w:rFonts w:ascii="Arial Narrow" w:hAnsi="Arial Narrow"/>
                <w:strike/>
              </w:rPr>
              <w:t>(a) A clinical condition with reduced red blood cell survival, including haemolytic anaemias and haemoglobinopathies; and/or</w:t>
            </w:r>
          </w:p>
          <w:p w:rsidR="00142C65" w:rsidRPr="004E2001" w:rsidRDefault="00142C65" w:rsidP="003F26F6">
            <w:pPr>
              <w:pStyle w:val="Table"/>
              <w:rPr>
                <w:rFonts w:ascii="Arial Narrow" w:hAnsi="Arial Narrow"/>
                <w:strike/>
              </w:rPr>
            </w:pPr>
            <w:r w:rsidRPr="004E2001">
              <w:rPr>
                <w:rFonts w:ascii="Arial Narrow" w:hAnsi="Arial Narrow"/>
                <w:strike/>
              </w:rPr>
              <w:t>(b) Had red cell transfusion within the previous 3 months.</w:t>
            </w:r>
          </w:p>
          <w:p w:rsidR="00142C65" w:rsidRPr="004E2001" w:rsidRDefault="00142C65" w:rsidP="003F26F6">
            <w:pPr>
              <w:rPr>
                <w:rFonts w:ascii="Arial Narrow" w:hAnsi="Arial Narrow"/>
                <w:sz w:val="20"/>
                <w:szCs w:val="20"/>
              </w:rPr>
            </w:pPr>
            <w:r w:rsidRPr="004E2001">
              <w:rPr>
                <w:rFonts w:ascii="Arial Narrow" w:eastAsiaTheme="majorEastAsia" w:hAnsi="Arial Narrow" w:cstheme="majorBidi"/>
                <w:strike/>
                <w:sz w:val="20"/>
                <w:lang w:bidi="en-US"/>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Prescriber Instructions:</w:t>
            </w:r>
          </w:p>
          <w:p w:rsidR="00142C65" w:rsidRPr="004E2001" w:rsidRDefault="00142C65" w:rsidP="003F26F6">
            <w:pPr>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pStyle w:val="Table"/>
              <w:spacing w:after="240"/>
              <w:rPr>
                <w:rFonts w:ascii="Arial Narrow" w:hAnsi="Arial Narrow"/>
              </w:rPr>
            </w:pPr>
            <w:r w:rsidRPr="004E2001">
              <w:rPr>
                <w:rFonts w:ascii="Arial Narrow" w:hAnsi="Arial Narrow"/>
              </w:rPr>
              <w:t xml:space="preserve">The date and level of the qualifying HbA1c measurement must be, or must have been, documented in the patient's medical records at the time treatment with a gliptin, a glitazone, a glucagon-like peptide-1 or an SGLT2 inhibitor is initiated. The HbA1c must be no more than 4 months old at the time treatment with a gliptin, a glitazone, a glucagon-like peptide-1 or an SGLT2 inhibitor was initiated. </w:t>
            </w:r>
          </w:p>
          <w:p w:rsidR="00142C65" w:rsidRPr="004E2001" w:rsidRDefault="00142C65" w:rsidP="003F26F6">
            <w:pPr>
              <w:pStyle w:val="Table"/>
              <w:spacing w:after="240"/>
              <w:rPr>
                <w:rFonts w:ascii="Arial Narrow" w:hAnsi="Arial Narrow"/>
              </w:rPr>
            </w:pPr>
            <w:r w:rsidRPr="004E2001">
              <w:rPr>
                <w:rFonts w:ascii="Arial Narrow" w:hAnsi="Arial Narrow"/>
              </w:rPr>
              <w:t>Blood glucose monitoring may be used as an alternative assessment to HbA1c levels in the following circumstances:</w:t>
            </w:r>
          </w:p>
          <w:p w:rsidR="00142C65" w:rsidRPr="004E2001" w:rsidRDefault="00142C65" w:rsidP="003F26F6">
            <w:pPr>
              <w:pStyle w:val="Table"/>
              <w:spacing w:after="240"/>
              <w:rPr>
                <w:rFonts w:ascii="Arial Narrow" w:hAnsi="Arial Narrow"/>
              </w:rPr>
            </w:pPr>
            <w:r w:rsidRPr="004E2001">
              <w:rPr>
                <w:rFonts w:ascii="Arial Narrow" w:hAnsi="Arial Narrow"/>
              </w:rPr>
              <w:t>(a) A clinical condition with reduced red blood cell survival, including haemolytic anaemias and haemoglobinopathies; and/or</w:t>
            </w:r>
          </w:p>
          <w:p w:rsidR="00142C65" w:rsidRPr="004E2001" w:rsidRDefault="00142C65" w:rsidP="003F26F6">
            <w:pPr>
              <w:pStyle w:val="Table"/>
              <w:spacing w:after="240"/>
              <w:rPr>
                <w:rFonts w:ascii="Arial Narrow" w:hAnsi="Arial Narrow"/>
              </w:rPr>
            </w:pPr>
            <w:r w:rsidRPr="004E2001">
              <w:rPr>
                <w:rFonts w:ascii="Arial Narrow" w:hAnsi="Arial Narrow"/>
              </w:rPr>
              <w:t>(b) Had red cell transfusion within the previous 3 months.</w:t>
            </w:r>
          </w:p>
          <w:p w:rsidR="00142C65" w:rsidRPr="004E2001" w:rsidRDefault="00142C65" w:rsidP="003F26F6">
            <w:pPr>
              <w:rPr>
                <w:rFonts w:ascii="Arial Narrow" w:hAnsi="Arial Narrow"/>
                <w:sz w:val="20"/>
                <w:szCs w:val="20"/>
              </w:rPr>
            </w:pPr>
            <w:r w:rsidRPr="004E2001">
              <w:rPr>
                <w:rFonts w:ascii="Arial Narrow" w:eastAsiaTheme="majorEastAsia" w:hAnsi="Arial Narrow" w:cstheme="majorBidi"/>
                <w:sz w:val="20"/>
                <w:lang w:bidi="en-US"/>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42C65" w:rsidRPr="004E2001" w:rsidTr="008E0870">
        <w:trPr>
          <w:cantSplit/>
          <w:trHeight w:val="20"/>
        </w:trPr>
        <w:tc>
          <w:tcPr>
            <w:tcW w:w="2410"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hAnsi="Arial Narrow"/>
                <w:b/>
                <w:sz w:val="20"/>
                <w:szCs w:val="20"/>
              </w:rPr>
            </w:pPr>
            <w:r w:rsidRPr="004E2001">
              <w:rPr>
                <w:rFonts w:ascii="Arial Narrow" w:hAnsi="Arial Narrow"/>
                <w:b/>
                <w:sz w:val="20"/>
                <w:szCs w:val="20"/>
              </w:rPr>
              <w:t>Administrative Advice:</w:t>
            </w:r>
          </w:p>
          <w:p w:rsidR="00142C65" w:rsidRPr="004E2001" w:rsidRDefault="00142C65" w:rsidP="003F26F6">
            <w:pPr>
              <w:rPr>
                <w:rFonts w:ascii="Arial Narrow" w:hAnsi="Arial Narrow"/>
                <w:i/>
                <w:sz w:val="20"/>
                <w:szCs w:val="20"/>
              </w:rPr>
            </w:pPr>
          </w:p>
        </w:tc>
        <w:tc>
          <w:tcPr>
            <w:tcW w:w="6804" w:type="dxa"/>
            <w:tcBorders>
              <w:top w:val="single" w:sz="4" w:space="0" w:color="auto"/>
              <w:left w:val="single" w:sz="4" w:space="0" w:color="auto"/>
              <w:bottom w:val="single" w:sz="4" w:space="0" w:color="auto"/>
              <w:right w:val="single" w:sz="4" w:space="0" w:color="auto"/>
            </w:tcBorders>
          </w:tcPr>
          <w:p w:rsidR="00142C65" w:rsidRPr="004E2001" w:rsidRDefault="00142C65"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This drug is not PBS-subsidised for use as monotherapy or in combination with a dipeptidyl peptidase 4 inhibitor (gliptin), a thiazolidinedione (glitazone), an insulin or an SGLT2 inhibitor.</w:t>
            </w:r>
          </w:p>
          <w:p w:rsidR="00142C65" w:rsidRPr="004E2001" w:rsidRDefault="00142C65" w:rsidP="003F26F6">
            <w:pPr>
              <w:rPr>
                <w:rFonts w:ascii="Arial Narrow" w:eastAsiaTheme="majorEastAsia" w:hAnsi="Arial Narrow" w:cstheme="majorBidi"/>
                <w:sz w:val="20"/>
                <w:lang w:bidi="en-US"/>
              </w:rPr>
            </w:pPr>
          </w:p>
          <w:p w:rsidR="00142C65" w:rsidRPr="004E2001" w:rsidRDefault="00142C65"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Special Pricing Arrangements Apply [TBC]</w:t>
            </w:r>
          </w:p>
        </w:tc>
      </w:tr>
    </w:tbl>
    <w:p w:rsidR="00B60939" w:rsidRPr="004E2001" w:rsidRDefault="00B60939" w:rsidP="003F26F6"/>
    <w:p w:rsidR="00591957" w:rsidRPr="004E2001" w:rsidRDefault="00535AD8" w:rsidP="0076592A">
      <w:pPr>
        <w:pStyle w:val="ListParagraph"/>
        <w:numPr>
          <w:ilvl w:val="1"/>
          <w:numId w:val="2"/>
        </w:numPr>
        <w:jc w:val="both"/>
      </w:pPr>
      <w:r w:rsidRPr="004E2001">
        <w:t>The recommended titration regimen for semaglutide i</w:t>
      </w:r>
      <w:r w:rsidR="00BF73CA" w:rsidRPr="004E2001">
        <w:t>nvolves a starting dose of 0.25 </w:t>
      </w:r>
      <w:r w:rsidRPr="004E2001">
        <w:t xml:space="preserve">mg once weekly, increasing to 0.5 mg once weekly after 4 weeks, then increasing again to a maximum of 1 mg once weekly after 4 weeks if required to further improve glycaemic control. The 0.25 mg dose is not considered suitable for maintenance therapy. The 2.0 mg in 1.5 mL pre-filled multi-dose pen is intended for both initiation and maintenance therapy whereas the 4.0 mg in </w:t>
      </w:r>
      <w:r w:rsidR="00E12739" w:rsidRPr="004E2001">
        <w:t>3</w:t>
      </w:r>
      <w:r w:rsidRPr="004E2001">
        <w:t xml:space="preserve"> mL is intended for maintenance therapy at the higher dose. </w:t>
      </w:r>
    </w:p>
    <w:p w:rsidR="00591957" w:rsidRPr="004E2001" w:rsidRDefault="00535AD8" w:rsidP="0076592A">
      <w:pPr>
        <w:pStyle w:val="ListParagraph"/>
        <w:numPr>
          <w:ilvl w:val="1"/>
          <w:numId w:val="2"/>
        </w:numPr>
        <w:jc w:val="both"/>
      </w:pPr>
      <w:r w:rsidRPr="004E2001">
        <w:t>The submission proposed the same price for bot</w:t>
      </w:r>
      <w:r w:rsidR="00C56699" w:rsidRPr="004E2001">
        <w:t xml:space="preserve">h presentations of semaglutide claiming the same approach </w:t>
      </w:r>
      <w:r w:rsidRPr="004E2001">
        <w:t xml:space="preserve">applied to other PBS-listed type 2 diabetes medicines including empagliflozin and sitagliptin. There was no formal comparison of efficacy and safety between the two doses. Although the magnitude of difference between the doses remains unclear, the </w:t>
      </w:r>
      <w:r w:rsidR="00C56699" w:rsidRPr="004E2001">
        <w:t>relative</w:t>
      </w:r>
      <w:r w:rsidRPr="004E2001">
        <w:t xml:space="preserve"> change</w:t>
      </w:r>
      <w:r w:rsidR="00C56699" w:rsidRPr="004E2001">
        <w:t>s</w:t>
      </w:r>
      <w:r w:rsidR="00765F34" w:rsidRPr="004E2001">
        <w:t xml:space="preserve"> in HbA1c and weight loss are</w:t>
      </w:r>
      <w:r w:rsidRPr="004E2001">
        <w:t xml:space="preserve"> likely to be lower with low dose semaglutide (0.5 mg once weekly) than with high dose sem</w:t>
      </w:r>
      <w:r w:rsidR="00BF73CA" w:rsidRPr="004E2001">
        <w:t>aglutide (1.0 mg once weekly).</w:t>
      </w:r>
      <w:r w:rsidR="009C5F0E" w:rsidRPr="004E2001">
        <w:t xml:space="preserve"> </w:t>
      </w:r>
      <w:r w:rsidR="009C5F0E" w:rsidRPr="004E2001">
        <w:rPr>
          <w:bCs/>
        </w:rPr>
        <w:t xml:space="preserve">The PBAC noted that the effects of semaglutide are </w:t>
      </w:r>
      <w:r w:rsidR="009C5F0E" w:rsidRPr="004E2001">
        <w:rPr>
          <w:bCs/>
        </w:rPr>
        <w:lastRenderedPageBreak/>
        <w:t xml:space="preserve">attenuated if not titrated to the maximum dose (1.0 mg) (see Tables 6 and 7 in </w:t>
      </w:r>
      <w:r w:rsidR="002F701D" w:rsidRPr="004E2001">
        <w:rPr>
          <w:bCs/>
        </w:rPr>
        <w:t xml:space="preserve">the </w:t>
      </w:r>
      <w:r w:rsidR="009C5F0E" w:rsidRPr="004E2001">
        <w:rPr>
          <w:bCs/>
        </w:rPr>
        <w:t>Comparative effectiveness</w:t>
      </w:r>
      <w:r w:rsidR="002F701D" w:rsidRPr="004E2001">
        <w:rPr>
          <w:bCs/>
        </w:rPr>
        <w:t xml:space="preserve"> section below</w:t>
      </w:r>
      <w:r w:rsidR="009C5F0E" w:rsidRPr="004E2001">
        <w:rPr>
          <w:bCs/>
        </w:rPr>
        <w:t>).</w:t>
      </w:r>
    </w:p>
    <w:p w:rsidR="00F136FD" w:rsidRPr="004E2001" w:rsidRDefault="00535AD8" w:rsidP="0076592A">
      <w:pPr>
        <w:pStyle w:val="ListParagraph"/>
        <w:numPr>
          <w:ilvl w:val="1"/>
          <w:numId w:val="2"/>
        </w:numPr>
        <w:jc w:val="both"/>
      </w:pPr>
      <w:r w:rsidRPr="004E2001">
        <w:t xml:space="preserve">The submission also claimed that there would be limited use of low-dose semaglutide 0.5 mg once weekly in practice. There was no justification provided for this assumption. Given the relatively high response rates to HbA1c and weight loss targets observed with low dose semaglutide and poorer tolerability profile associated with high dose semaglutide, it is </w:t>
      </w:r>
      <w:r w:rsidR="00BF4DAC" w:rsidRPr="004E2001">
        <w:t xml:space="preserve">probable </w:t>
      </w:r>
      <w:r w:rsidRPr="004E2001">
        <w:t xml:space="preserve">that </w:t>
      </w:r>
      <w:r w:rsidR="00702311">
        <w:t>a substantial number of</w:t>
      </w:r>
      <w:r w:rsidR="00702311" w:rsidRPr="004E2001">
        <w:t xml:space="preserve"> </w:t>
      </w:r>
      <w:r w:rsidRPr="004E2001">
        <w:t>patients will use low dose semaglutide as maintenance therapy.</w:t>
      </w:r>
      <w:r w:rsidR="00CB3746" w:rsidRPr="004E2001">
        <w:t xml:space="preserve"> </w:t>
      </w:r>
    </w:p>
    <w:p w:rsidR="00535AD8" w:rsidRPr="004E2001" w:rsidRDefault="008D7A69" w:rsidP="0076592A">
      <w:pPr>
        <w:pStyle w:val="ListParagraph"/>
        <w:numPr>
          <w:ilvl w:val="1"/>
          <w:numId w:val="2"/>
        </w:numPr>
        <w:jc w:val="both"/>
      </w:pPr>
      <w:r w:rsidRPr="004E2001">
        <w:t xml:space="preserve">The </w:t>
      </w:r>
      <w:r w:rsidR="00F32382" w:rsidRPr="004E2001">
        <w:t>Pre-Sub-Committee Response (</w:t>
      </w:r>
      <w:r w:rsidR="005B2078" w:rsidRPr="004E2001">
        <w:t>PSCR</w:t>
      </w:r>
      <w:r w:rsidR="00F32382" w:rsidRPr="004E2001">
        <w:t>)</w:t>
      </w:r>
      <w:r w:rsidRPr="004E2001">
        <w:t xml:space="preserve"> </w:t>
      </w:r>
      <w:r w:rsidR="00F6187B" w:rsidRPr="004E2001">
        <w:t>maintained</w:t>
      </w:r>
      <w:r w:rsidRPr="004E2001">
        <w:t xml:space="preserve"> that the majority of patients on semaglutide will titrate to the high dose (1.0 mg), therefore, results from the high dose comparison of semaglutide 1.0 mg versus dulaglutide 1.5 mg would be generalisable to the PBS population. </w:t>
      </w:r>
      <w:r w:rsidR="008E1A83" w:rsidRPr="004E2001">
        <w:t xml:space="preserve">The </w:t>
      </w:r>
      <w:r w:rsidR="005809BA" w:rsidRPr="005C1482">
        <w:rPr>
          <w:rFonts w:cstheme="minorHAnsi"/>
        </w:rPr>
        <w:t>Economics Sub-Committee</w:t>
      </w:r>
      <w:r w:rsidR="005809BA" w:rsidRPr="004E2001">
        <w:t xml:space="preserve"> </w:t>
      </w:r>
      <w:r w:rsidR="005809BA">
        <w:t>(</w:t>
      </w:r>
      <w:r w:rsidR="008E1A83" w:rsidRPr="004E2001">
        <w:t>ESC</w:t>
      </w:r>
      <w:r w:rsidR="005809BA">
        <w:t>)</w:t>
      </w:r>
      <w:r w:rsidR="008E1A83" w:rsidRPr="004E2001">
        <w:t xml:space="preserve"> noted t</w:t>
      </w:r>
      <w:r w:rsidRPr="004E2001">
        <w:t xml:space="preserve">here were no data presented in support of this assumption. In practice, the titration of semaglutide is likely to be more flexible (e.g. </w:t>
      </w:r>
      <w:r w:rsidR="008E1A83" w:rsidRPr="004E2001">
        <w:t xml:space="preserve">also </w:t>
      </w:r>
      <w:r w:rsidRPr="004E2001">
        <w:t xml:space="preserve">allowing for down-titration), dependent on HbA1c response, weight loss response and tolerability; which is different to the fixed doses administered in the trials. </w:t>
      </w:r>
      <w:r w:rsidR="00CB3746" w:rsidRPr="004E2001">
        <w:t xml:space="preserve">The ESC considered that higher incidence of gastrointestinal side effects may result in increased use of lower dose semaglutide, which is likely to be associated with reduced </w:t>
      </w:r>
      <w:r w:rsidR="008E1A83" w:rsidRPr="004E2001">
        <w:t xml:space="preserve">benefits in </w:t>
      </w:r>
      <w:r w:rsidR="00CB3746" w:rsidRPr="004E2001">
        <w:t xml:space="preserve">HbA1c </w:t>
      </w:r>
      <w:r w:rsidR="008E1A83" w:rsidRPr="004E2001">
        <w:t xml:space="preserve">control </w:t>
      </w:r>
      <w:r w:rsidR="00CB3746" w:rsidRPr="004E2001">
        <w:t>and weight reduction.</w:t>
      </w:r>
      <w:r w:rsidR="00EB6273" w:rsidRPr="004E2001">
        <w:t xml:space="preserve"> The Pre-PBAC Response accepted that the comparative clinical and cost effectiveness of the 0.5mg semaglutide dose is likely to be considered non-inferior to dulaglutide and exenatide and that a cost-minimisation analysis would be appropriate. </w:t>
      </w:r>
    </w:p>
    <w:p w:rsidR="00535AD8" w:rsidRPr="004E2001" w:rsidRDefault="00535AD8" w:rsidP="0076592A">
      <w:pPr>
        <w:pStyle w:val="ListParagraph"/>
        <w:numPr>
          <w:ilvl w:val="1"/>
          <w:numId w:val="2"/>
        </w:numPr>
        <w:jc w:val="both"/>
      </w:pPr>
      <w:r w:rsidRPr="004E2001">
        <w:t>The requested restriction</w:t>
      </w:r>
      <w:r w:rsidR="00BF73CA" w:rsidRPr="004E2001">
        <w:t xml:space="preserve"> was</w:t>
      </w:r>
      <w:r w:rsidR="00E26DD8" w:rsidRPr="004E2001">
        <w:t xml:space="preserve"> </w:t>
      </w:r>
      <w:r w:rsidRPr="004E2001">
        <w:t xml:space="preserve">identical to the PBS restriction for exenatide once weekly, allowing for use with metformin and/or sulfonylurea. The requested restriction </w:t>
      </w:r>
      <w:r w:rsidR="00BF73CA" w:rsidRPr="004E2001">
        <w:t>was</w:t>
      </w:r>
      <w:r w:rsidR="00E26DD8" w:rsidRPr="004E2001">
        <w:t xml:space="preserve"> </w:t>
      </w:r>
      <w:r w:rsidRPr="004E2001">
        <w:t>narrower than the proposed TGA indication that includes use as monotherapy in patients who are intolerant/contraindicated to metformin</w:t>
      </w:r>
      <w:r w:rsidR="00261A6F" w:rsidRPr="004E2001">
        <w:t xml:space="preserve"> and</w:t>
      </w:r>
      <w:r w:rsidRPr="004E2001">
        <w:t xml:space="preserve"> use in combination with any other medicines for the treatment of type 2 diabetes. </w:t>
      </w:r>
    </w:p>
    <w:p w:rsidR="0041133F" w:rsidRPr="0041133F" w:rsidRDefault="00535AD8" w:rsidP="0076592A">
      <w:pPr>
        <w:pStyle w:val="ListParagraph"/>
        <w:numPr>
          <w:ilvl w:val="1"/>
          <w:numId w:val="2"/>
        </w:numPr>
        <w:jc w:val="both"/>
      </w:pPr>
      <w:r w:rsidRPr="004E2001">
        <w:t xml:space="preserve">There </w:t>
      </w:r>
      <w:r w:rsidR="00BF73CA" w:rsidRPr="004E2001">
        <w:t>was</w:t>
      </w:r>
      <w:r w:rsidR="00AD0823" w:rsidRPr="004E2001">
        <w:t xml:space="preserve"> </w:t>
      </w:r>
      <w:r w:rsidRPr="004E2001">
        <w:t>potential risk of use outside of the proposed restriction</w:t>
      </w:r>
      <w:r w:rsidR="00AD0823" w:rsidRPr="004E2001">
        <w:t xml:space="preserve"> as there</w:t>
      </w:r>
      <w:r w:rsidRPr="004E2001">
        <w:t xml:space="preserve"> are </w:t>
      </w:r>
      <w:r w:rsidR="00BF73CA" w:rsidRPr="004E2001">
        <w:t xml:space="preserve">differences </w:t>
      </w:r>
      <w:r w:rsidRPr="004E2001">
        <w:t>between GLP-1 therapies currently available on the PBS (only exenatide twice daily can be used with insulin) which may lead to prescriber confusion. There is a request for an extensi</w:t>
      </w:r>
      <w:r w:rsidR="00765F34" w:rsidRPr="004E2001">
        <w:t>on of listing for dulaglutide</w:t>
      </w:r>
      <w:r w:rsidRPr="004E2001">
        <w:t xml:space="preserve"> for use with insu</w:t>
      </w:r>
      <w:r w:rsidR="00765F34" w:rsidRPr="004E2001">
        <w:t>lin, which will be considered during</w:t>
      </w:r>
      <w:r w:rsidRPr="004E2001">
        <w:t xml:space="preserve"> </w:t>
      </w:r>
      <w:r w:rsidR="001F0AB7">
        <w:t>the November 2019 PBAC meeting</w:t>
      </w:r>
      <w:r w:rsidRPr="004E2001">
        <w:t xml:space="preserve">. A trial of semaglutide used as an add-on to basal insulin is complete (SUSTAIN 5, Rodbard 2018) and a trial of semaglutide versus insulin aspart when used in combination with metformin and insulin glargine is underway (SUSTAIN 11, expected completion in 2021). </w:t>
      </w:r>
      <w:r w:rsidR="00B76739" w:rsidRPr="004E2001">
        <w:t xml:space="preserve">The </w:t>
      </w:r>
      <w:r w:rsidR="00A84E98" w:rsidRPr="004E2001">
        <w:t>ESC also noted potential use in combination with SGLT2-inhibitors, citing the TGA Delegate’s file note from 2 August 2019, which state</w:t>
      </w:r>
      <w:r w:rsidR="00B76739" w:rsidRPr="004E2001">
        <w:t>d</w:t>
      </w:r>
      <w:r w:rsidR="00A84E98" w:rsidRPr="004E2001">
        <w:t xml:space="preserve"> that: “</w:t>
      </w:r>
      <w:r w:rsidR="0076592A">
        <w:rPr>
          <w:noProof/>
          <w:color w:val="000000"/>
          <w:highlight w:val="black"/>
        </w:rPr>
        <w:t>'''' '''''''''' ''''''''' ''' ''''''' ''''''''''''''''' ''' ''''''' '''''''''''' ''''''''''''''''''''''''''' '''''''''''''''''' ''''''''' '''''''' ''''''''''''''''' '''''''''''' '''' ''''''''''''''''''''''''''''''''' '''''''''''''''''' '''''''' ''''' ''''' '''''''''''''''''''''' ''''''' '''''''''''''''''' ''''''''''''''' ''''''''''''''''''''''' '''''''' ''''''''''''''''''''''''''''''' '''''''''''''''''''''' ''''''' ''' ''''''''''''''''''''' '''''''''''''''''''</w:t>
      </w:r>
      <w:r w:rsidR="00A84E98" w:rsidRPr="004E2001">
        <w:t>.” (TGA Delegate file note, 2 August 2019</w:t>
      </w:r>
      <w:r w:rsidR="00AE2598" w:rsidRPr="004E2001">
        <w:t>).</w:t>
      </w:r>
      <w:r w:rsidR="00A84E98" w:rsidRPr="004E2001">
        <w:t xml:space="preserve"> </w:t>
      </w:r>
      <w:r w:rsidR="000F2271">
        <w:t>Additionally</w:t>
      </w:r>
      <w:r w:rsidR="0041133F">
        <w:t xml:space="preserve">, </w:t>
      </w:r>
      <w:r w:rsidR="00124ABE">
        <w:t>ADA and EASD guidel</w:t>
      </w:r>
      <w:r w:rsidR="0041133F">
        <w:t>ines suggest the use of GLP-1 therapies in combination with SGLT2-inhibitor therapies.</w:t>
      </w:r>
      <w:r w:rsidR="0041133F" w:rsidRPr="0041133F">
        <w:t xml:space="preserve"> </w:t>
      </w:r>
    </w:p>
    <w:p w:rsidR="00B94A47" w:rsidRPr="004E2001" w:rsidRDefault="00B94A47" w:rsidP="003F26F6">
      <w:pPr>
        <w:pStyle w:val="BodyText"/>
        <w:spacing w:after="120"/>
        <w:rPr>
          <w:rFonts w:asciiTheme="minorHAnsi" w:hAnsiTheme="minorHAnsi"/>
          <w:i/>
        </w:rPr>
      </w:pPr>
      <w:r w:rsidRPr="004E2001">
        <w:rPr>
          <w:rFonts w:asciiTheme="minorHAnsi" w:hAnsiTheme="minorHAnsi"/>
          <w:i/>
        </w:rPr>
        <w:lastRenderedPageBreak/>
        <w:t>For more detail on PBAC’s view, see section 7 PBAC outcome.</w:t>
      </w:r>
    </w:p>
    <w:p w:rsidR="00B50DB8" w:rsidRPr="004E2001" w:rsidRDefault="00B50DB8" w:rsidP="003F26F6">
      <w:pPr>
        <w:pStyle w:val="2-SectionHeading"/>
      </w:pPr>
      <w:bookmarkStart w:id="2" w:name="_Toc19615248"/>
      <w:r w:rsidRPr="004E2001">
        <w:t>Background</w:t>
      </w:r>
      <w:bookmarkEnd w:id="2"/>
    </w:p>
    <w:p w:rsidR="00591957" w:rsidRPr="004E2001" w:rsidRDefault="00591957" w:rsidP="003F26F6">
      <w:pPr>
        <w:pStyle w:val="Heading2"/>
      </w:pPr>
      <w:bookmarkStart w:id="3" w:name="_Toc19615249"/>
      <w:r w:rsidRPr="004E2001">
        <w:t>Registration status</w:t>
      </w:r>
      <w:bookmarkEnd w:id="3"/>
    </w:p>
    <w:p w:rsidR="00C56699" w:rsidRPr="004E2001" w:rsidRDefault="00C56699" w:rsidP="003F26F6">
      <w:pPr>
        <w:pStyle w:val="BodyText"/>
      </w:pPr>
    </w:p>
    <w:p w:rsidR="00453EA1" w:rsidRPr="004E2001" w:rsidRDefault="00376462" w:rsidP="0076592A">
      <w:pPr>
        <w:pStyle w:val="ListParagraph"/>
        <w:numPr>
          <w:ilvl w:val="1"/>
          <w:numId w:val="2"/>
        </w:numPr>
        <w:spacing w:after="0"/>
        <w:jc w:val="both"/>
      </w:pPr>
      <w:r w:rsidRPr="004E2001">
        <w:t xml:space="preserve">Semaglutide (injectable) was submitted under the TGA/PBAC parallel process. </w:t>
      </w:r>
      <w:r w:rsidR="00C47827" w:rsidRPr="004E2001">
        <w:rPr>
          <w:rFonts w:eastAsia="Calibri"/>
        </w:rPr>
        <w:t>S</w:t>
      </w:r>
      <w:r w:rsidR="00CB3746" w:rsidRPr="004E2001">
        <w:rPr>
          <w:rFonts w:eastAsia="Calibri"/>
        </w:rPr>
        <w:t xml:space="preserve">emaglutide (injectable) was </w:t>
      </w:r>
      <w:r w:rsidR="003E76D4" w:rsidRPr="004E2001">
        <w:rPr>
          <w:rFonts w:eastAsia="Calibri"/>
        </w:rPr>
        <w:t xml:space="preserve">TGA </w:t>
      </w:r>
      <w:r w:rsidR="00CB3746" w:rsidRPr="004E2001">
        <w:rPr>
          <w:rFonts w:eastAsia="Calibri"/>
        </w:rPr>
        <w:t>registered on 28 August 2019</w:t>
      </w:r>
      <w:r w:rsidR="003E76D4" w:rsidRPr="004E2001">
        <w:rPr>
          <w:rFonts w:eastAsia="Calibri"/>
        </w:rPr>
        <w:t xml:space="preserve"> for</w:t>
      </w:r>
      <w:r w:rsidR="00A177D7" w:rsidRPr="004E2001">
        <w:t xml:space="preserve"> t</w:t>
      </w:r>
      <w:r w:rsidR="00453EA1" w:rsidRPr="004E2001">
        <w:t>reatment of adults with insufficiently controlled type 2 diabetes mellitus as an adjunct to diet and exercise:</w:t>
      </w:r>
    </w:p>
    <w:p w:rsidR="00453EA1" w:rsidRPr="004E2001" w:rsidRDefault="00453EA1" w:rsidP="0076592A">
      <w:pPr>
        <w:pStyle w:val="ListParagraph"/>
        <w:numPr>
          <w:ilvl w:val="0"/>
          <w:numId w:val="1"/>
        </w:numPr>
        <w:spacing w:after="0"/>
        <w:jc w:val="both"/>
      </w:pPr>
      <w:r w:rsidRPr="004E2001">
        <w:t>As monotherapy when metformin is not tolerated or contraindicated</w:t>
      </w:r>
    </w:p>
    <w:p w:rsidR="00696DAF" w:rsidRPr="004E2001" w:rsidRDefault="00453EA1" w:rsidP="0076592A">
      <w:pPr>
        <w:pStyle w:val="ListParagraph"/>
        <w:numPr>
          <w:ilvl w:val="0"/>
          <w:numId w:val="1"/>
        </w:numPr>
        <w:jc w:val="both"/>
      </w:pPr>
      <w:r w:rsidRPr="004E2001">
        <w:t>In addition to other medicinal products for the treatment of type 2 diabetes mellitus</w:t>
      </w:r>
    </w:p>
    <w:p w:rsidR="00464C01" w:rsidRPr="004E2001" w:rsidRDefault="00957D13" w:rsidP="0076592A">
      <w:pPr>
        <w:pStyle w:val="ListParagraph"/>
        <w:numPr>
          <w:ilvl w:val="1"/>
          <w:numId w:val="2"/>
        </w:numPr>
        <w:jc w:val="both"/>
      </w:pPr>
      <w:r w:rsidRPr="004E2001">
        <w:t xml:space="preserve">The draft product information and First Round TGA Clinical Evaluator’s Report were </w:t>
      </w:r>
      <w:r w:rsidR="007E30FB" w:rsidRPr="004E2001">
        <w:t xml:space="preserve">provided with the submission and </w:t>
      </w:r>
      <w:r w:rsidRPr="004E2001">
        <w:t xml:space="preserve">available during the evaluation. No other TGA documents were available. The TGA delegate’s decision </w:t>
      </w:r>
      <w:r w:rsidR="007E30FB" w:rsidRPr="004E2001">
        <w:t>was received on 19</w:t>
      </w:r>
      <w:r w:rsidR="00B76739" w:rsidRPr="004E2001">
        <w:t> </w:t>
      </w:r>
      <w:r w:rsidR="007E30FB" w:rsidRPr="004E2001">
        <w:t>August</w:t>
      </w:r>
      <w:r w:rsidR="00464C01" w:rsidRPr="004E2001">
        <w:t> </w:t>
      </w:r>
      <w:r w:rsidRPr="004E2001">
        <w:t xml:space="preserve">2019. </w:t>
      </w:r>
    </w:p>
    <w:p w:rsidR="00B94A47" w:rsidRPr="0076592A" w:rsidRDefault="0076592A" w:rsidP="0076592A">
      <w:pPr>
        <w:pStyle w:val="ListParagraph"/>
        <w:numPr>
          <w:ilvl w:val="1"/>
          <w:numId w:val="2"/>
        </w:numPr>
        <w:jc w:val="both"/>
        <w:rPr>
          <w:highlight w:val="black"/>
        </w:rPr>
      </w:pPr>
      <w:r>
        <w:rPr>
          <w:noProof/>
          <w:color w:val="000000"/>
          <w:highlight w:val="black"/>
        </w:rPr>
        <w:t>'''''''' '''''''''''''''' ''''''' ''''''''''''''''''' ''''' ''''''''''''''''''' '''''''''''''''''' ''''''' '''''''''''''''' ''''''''''''''''''''''''''' '''''''''''''' '''' '''''''''''' ''''''''' '''''''' ''' ''''''''''''''''' ''''''''''''''' '''''''' ''''''''' ''''''''''''''''''''''''' '''''''' ''''' ''''' '''''''''''''' ''''' ''''''''''''''''' '''''''''''''''''''' ''''' '''''''''''''''''''''''''''''' ''''''' ''''''''''''''''' '''''''''''''''''''' ''''''' ''''''''' '''''''''''''''''' ''''''' ''''''' '''''''''''''''''''''' ''''''''''''''' '''''' ''''''' '''''''''''''''''' ''''''''''''''''' '''''' ''''''''''''' '''''''''' '''''''''''''''' '''''' '''''''''''''''' '' ''''''''''''''''''''''''' '''''''''''' '''''''' ''''''''''''''''' '''''''' '''''''''''''''' ''''''''' '''' ''''''''''''' '''''''' '''''''''' ''''''''''' ''''''''''''''''''' ''''''''' '''''' '''''''''''''''''''' ''''' ''''''''''''''''''''''''' ''''''''''''''''' ''''''''''''' '''''''''''''''''''' '''''' '''''''''''''''''' ''' '''''''''''''' '''''''''''''''''''</w:t>
      </w:r>
      <w:r w:rsidR="00957D13" w:rsidRPr="0076592A">
        <w:rPr>
          <w:highlight w:val="black"/>
        </w:rPr>
        <w:t xml:space="preserve"> </w:t>
      </w:r>
    </w:p>
    <w:p w:rsidR="00B60939" w:rsidRPr="004E2001" w:rsidRDefault="00203181" w:rsidP="003F26F6">
      <w:pPr>
        <w:pStyle w:val="2-SectionHeading"/>
      </w:pPr>
      <w:bookmarkStart w:id="4" w:name="_Toc19615250"/>
      <w:r w:rsidRPr="004E2001">
        <w:t xml:space="preserve">Population and </w:t>
      </w:r>
      <w:r w:rsidR="008E0D3C" w:rsidRPr="004E2001">
        <w:t>d</w:t>
      </w:r>
      <w:r w:rsidRPr="004E2001">
        <w:t>isease</w:t>
      </w:r>
      <w:bookmarkEnd w:id="4"/>
    </w:p>
    <w:p w:rsidR="00894489" w:rsidRPr="004E2001" w:rsidRDefault="00957D13" w:rsidP="0076592A">
      <w:pPr>
        <w:pStyle w:val="ListParagraph"/>
        <w:numPr>
          <w:ilvl w:val="1"/>
          <w:numId w:val="2"/>
        </w:numPr>
        <w:jc w:val="both"/>
      </w:pPr>
      <w:r w:rsidRPr="004E2001">
        <w:t>Type 2 diabetes mellitus is the most common type of diabetes in adults and is characterised by hyperglycaemia associated with variable degrees of impaired insulin secretion and peripheral resistance to insulin. It is a chronic condition associated with a range of hereditary and lifestyle risk factors including poor diet, insufficient physical activity and being overweight or obese. Overall disease prevalence in Australia is increasing over time but it is more common in men, the elderly, Aboriginal and Torres Strait Islanders and socially disadvantaged populations.</w:t>
      </w:r>
    </w:p>
    <w:p w:rsidR="00957D13" w:rsidRPr="004E2001" w:rsidRDefault="00957D13" w:rsidP="0076592A">
      <w:pPr>
        <w:pStyle w:val="ListParagraph"/>
        <w:numPr>
          <w:ilvl w:val="1"/>
          <w:numId w:val="2"/>
        </w:numPr>
        <w:jc w:val="both"/>
      </w:pPr>
      <w:r w:rsidRPr="004E2001">
        <w:t>Diabetes complications are divided into microvascular (damage to small blood vessels) and macrovascular (damage to large blood vessels). Microvascular complications include damage to eyes (retinopathy) leading to blindness, to kidneys (nephropathy) leading to renal failure, to nerves (neuropathy) and diabetic foot disorders (which include severe infections leading to amputation). Macrovascular complications include cardiovascular diseases such as myocardial infarction, stroke and peripheral vascular disease</w:t>
      </w:r>
      <w:r w:rsidR="00D36FCC" w:rsidRPr="004E2001">
        <w:t>.</w:t>
      </w:r>
    </w:p>
    <w:p w:rsidR="002C2775" w:rsidRPr="004E2001" w:rsidRDefault="00957D13" w:rsidP="0076592A">
      <w:pPr>
        <w:pStyle w:val="ListParagraph"/>
        <w:numPr>
          <w:ilvl w:val="1"/>
          <w:numId w:val="2"/>
        </w:numPr>
        <w:jc w:val="both"/>
      </w:pPr>
      <w:r w:rsidRPr="004E2001">
        <w:lastRenderedPageBreak/>
        <w:t xml:space="preserve">The proposed algorithm positions semaglutide as an alternative to existing GLP-1 analogues for use as dual therapy in combination with metformin or sulfonylurea where either treatment is contraindicated or not tolerated; or in triple therapy in combination with metformin and sulfonylurea. This was broadly consistent with current PBS listings of GLP-1 analogues, which is the same as for exenatide once weekly but narrower than exenatide twice daily (can be used in combination with insulin) and broader than dulaglutide (dual therapy </w:t>
      </w:r>
      <w:r w:rsidR="00765F34" w:rsidRPr="004E2001">
        <w:t xml:space="preserve">is </w:t>
      </w:r>
      <w:r w:rsidRPr="004E2001">
        <w:t>with metformin only).</w:t>
      </w:r>
    </w:p>
    <w:p w:rsidR="00F119EF" w:rsidRPr="004E2001" w:rsidRDefault="00957D13" w:rsidP="0076592A">
      <w:pPr>
        <w:pStyle w:val="ListParagraph"/>
        <w:numPr>
          <w:ilvl w:val="0"/>
          <w:numId w:val="0"/>
        </w:numPr>
        <w:ind w:left="720"/>
        <w:jc w:val="both"/>
      </w:pPr>
      <w:r w:rsidRPr="004E2001">
        <w:t>The clinical place in therapy of GLP-1 therapies is still being established, with utilisation data suggesting rapid market expansion primarily driven by the uptake of dulaglutide. Recently published international guidelines suggest earlier use of GLP-1 analogues (or SGLT2 inhibitors) due to cardiovascular benefits, lower risk of hypoglycaemia and weight loss benefits (ADA-EASD 2018 Consensus Report</w:t>
      </w:r>
      <w:r w:rsidR="00417326" w:rsidRPr="004E2001">
        <w:rPr>
          <w:rStyle w:val="FootnoteReference"/>
        </w:rPr>
        <w:footnoteReference w:id="1"/>
      </w:r>
      <w:r w:rsidRPr="004E2001">
        <w:t>).</w:t>
      </w:r>
      <w:r w:rsidR="00373CED" w:rsidRPr="004E2001">
        <w:t xml:space="preserve"> These guidelines recommend that the choice of glucose-lowering medications added to metformin should be based on patient comorbidities </w:t>
      </w:r>
      <w:r w:rsidR="00B25644" w:rsidRPr="004E2001">
        <w:t>(such as</w:t>
      </w:r>
      <w:r w:rsidR="004130DF" w:rsidRPr="004E2001">
        <w:t xml:space="preserve"> the presence of cardiovascular disease, heart failure and kidney disease</w:t>
      </w:r>
      <w:r w:rsidR="00BF3FB6" w:rsidRPr="004E2001">
        <w:t>)</w:t>
      </w:r>
      <w:r w:rsidR="00417326" w:rsidRPr="004E2001">
        <w:t xml:space="preserve"> </w:t>
      </w:r>
      <w:r w:rsidR="00373CED" w:rsidRPr="004E2001">
        <w:t xml:space="preserve">and </w:t>
      </w:r>
      <w:r w:rsidR="00BF3FB6" w:rsidRPr="004E2001">
        <w:t xml:space="preserve">individual </w:t>
      </w:r>
      <w:r w:rsidR="00373CED" w:rsidRPr="004E2001">
        <w:t>concerns</w:t>
      </w:r>
      <w:r w:rsidR="00BF3FB6" w:rsidRPr="004E2001">
        <w:t xml:space="preserve"> (</w:t>
      </w:r>
      <w:r w:rsidR="004130DF" w:rsidRPr="004E2001">
        <w:t>such as</w:t>
      </w:r>
      <w:r w:rsidR="00BF3FB6" w:rsidRPr="004E2001">
        <w:t xml:space="preserve">, </w:t>
      </w:r>
      <w:r w:rsidR="00DA599D" w:rsidRPr="004E2001">
        <w:t>hypoglycaemic</w:t>
      </w:r>
      <w:r w:rsidR="00BF3FB6" w:rsidRPr="004E2001">
        <w:t xml:space="preserve"> risk, minimising weight gain/promoting weight loss, </w:t>
      </w:r>
      <w:r w:rsidR="004130DF" w:rsidRPr="004E2001">
        <w:t>safety, tolerability</w:t>
      </w:r>
      <w:r w:rsidR="00BF3FB6" w:rsidRPr="004E2001">
        <w:t xml:space="preserve">, </w:t>
      </w:r>
      <w:r w:rsidR="004130DF" w:rsidRPr="004E2001">
        <w:t xml:space="preserve">and </w:t>
      </w:r>
      <w:r w:rsidR="00BF3FB6" w:rsidRPr="004E2001">
        <w:t>cost)</w:t>
      </w:r>
      <w:r w:rsidR="00373CED" w:rsidRPr="004E2001">
        <w:t>.</w:t>
      </w:r>
      <w:r w:rsidR="004130DF" w:rsidRPr="004E2001">
        <w:t xml:space="preserve"> </w:t>
      </w:r>
      <w:r w:rsidR="00A346AE" w:rsidRPr="004E2001">
        <w:t>Updated Australian guidelines for the management of type 2 diabetes are expected to be published</w:t>
      </w:r>
      <w:r w:rsidR="00702311">
        <w:t xml:space="preserve"> by the Australian Diabetes Society (ADS)</w:t>
      </w:r>
      <w:r w:rsidR="0041133F">
        <w:t xml:space="preserve"> and the Royal Australian College of General Practitioners (RACGP)</w:t>
      </w:r>
      <w:r w:rsidR="00A346AE" w:rsidRPr="004E2001">
        <w:t xml:space="preserve"> in 2020.</w:t>
      </w:r>
    </w:p>
    <w:p w:rsidR="00B94A47" w:rsidRPr="004E2001" w:rsidRDefault="00B94A47" w:rsidP="003F26F6">
      <w:pPr>
        <w:pStyle w:val="BodyText"/>
        <w:spacing w:after="120"/>
        <w:rPr>
          <w:rFonts w:asciiTheme="minorHAnsi" w:hAnsiTheme="minorHAnsi"/>
          <w:i/>
        </w:rPr>
      </w:pPr>
      <w:r w:rsidRPr="004E2001">
        <w:rPr>
          <w:rFonts w:asciiTheme="minorHAnsi" w:hAnsiTheme="minorHAnsi"/>
          <w:i/>
        </w:rPr>
        <w:t>For more detail on PBAC’s view, see section 7 PBAC outcome.</w:t>
      </w:r>
    </w:p>
    <w:p w:rsidR="00B50DB8" w:rsidRPr="004E2001" w:rsidRDefault="00B50DB8" w:rsidP="003F26F6">
      <w:pPr>
        <w:pStyle w:val="2-SectionHeading"/>
      </w:pPr>
      <w:bookmarkStart w:id="5" w:name="_Toc19615251"/>
      <w:r w:rsidRPr="004E2001">
        <w:t>Comparator</w:t>
      </w:r>
      <w:bookmarkEnd w:id="5"/>
    </w:p>
    <w:p w:rsidR="00B60939" w:rsidRPr="004E2001" w:rsidRDefault="00B60939" w:rsidP="003F26F6"/>
    <w:p w:rsidR="002C2775" w:rsidRPr="004E2001" w:rsidRDefault="00957D13" w:rsidP="0076592A">
      <w:pPr>
        <w:pStyle w:val="ListParagraph"/>
        <w:numPr>
          <w:ilvl w:val="1"/>
          <w:numId w:val="2"/>
        </w:numPr>
        <w:jc w:val="both"/>
      </w:pPr>
      <w:r w:rsidRPr="004E2001">
        <w:t xml:space="preserve">The submission nominated exenatide once weekly as a main comparator. Exenatide once weekly is a pharmacological analogue to semaglutide (also a GLP-1 analogue) with the same method and frequency of administration, </w:t>
      </w:r>
      <w:r w:rsidR="00CF6219" w:rsidRPr="004E2001">
        <w:t>although it does not require dose titration. It</w:t>
      </w:r>
      <w:r w:rsidRPr="004E2001">
        <w:t xml:space="preserve"> is currently listed on the PBS for use in dual and triple combination therapy with metformin and/or sulfonylurea. The nominated comparator was appropriate.</w:t>
      </w:r>
    </w:p>
    <w:p w:rsidR="0050360D" w:rsidRPr="004E2001" w:rsidRDefault="00957D13" w:rsidP="0076592A">
      <w:pPr>
        <w:pStyle w:val="ListParagraph"/>
        <w:numPr>
          <w:ilvl w:val="1"/>
          <w:numId w:val="2"/>
        </w:numPr>
        <w:jc w:val="both"/>
      </w:pPr>
      <w:r w:rsidRPr="004E2001">
        <w:t xml:space="preserve">The submission nominated dulaglutide once weekly as a secondary comparator. </w:t>
      </w:r>
      <w:r w:rsidR="00716682" w:rsidRPr="004E2001">
        <w:t xml:space="preserve">Within the GLP-1 market, the submission argued that exenatide once weekly would be the therapy most likely to be replaced as it currently has the largest market share based on PBS utilisation data. However, the submission acknowledged that dulaglutide was only recently listed (June 2018) and has rapidly accrued a majority share of new GLP-1 initiations. </w:t>
      </w:r>
      <w:r w:rsidR="00F27516" w:rsidRPr="004E2001">
        <w:t>The ESC considered that d</w:t>
      </w:r>
      <w:r w:rsidR="00716682" w:rsidRPr="004E2001">
        <w:t xml:space="preserve">ulaglutide </w:t>
      </w:r>
      <w:r w:rsidR="00F27516" w:rsidRPr="004E2001">
        <w:t xml:space="preserve">was </w:t>
      </w:r>
      <w:r w:rsidR="00716682" w:rsidRPr="004E2001">
        <w:t xml:space="preserve">a </w:t>
      </w:r>
      <w:r w:rsidR="00F27516" w:rsidRPr="004E2001">
        <w:t xml:space="preserve">relevant </w:t>
      </w:r>
      <w:r w:rsidR="00716682" w:rsidRPr="004E2001">
        <w:t>comparator given similarities between treatment regimens, overlapping indications and the rapid rise in market share compared to other GLP-1 therapies.</w:t>
      </w:r>
      <w:r w:rsidR="00F0762F" w:rsidRPr="004E2001">
        <w:t xml:space="preserve"> Based on the </w:t>
      </w:r>
      <w:r w:rsidR="00F0762F" w:rsidRPr="004E2001">
        <w:lastRenderedPageBreak/>
        <w:t xml:space="preserve">PBAC recommendation for dulaglutide (cost-minimised against exenatide once weekly and twice daily), its price would be lower than that of exenatide once weekly (para 7.2, dulaglutide </w:t>
      </w:r>
      <w:r w:rsidR="00B32F01">
        <w:t>Public Summary Document (</w:t>
      </w:r>
      <w:r w:rsidR="00F0762F" w:rsidRPr="004E2001">
        <w:t>PSD</w:t>
      </w:r>
      <w:r w:rsidR="00B32F01">
        <w:t>)</w:t>
      </w:r>
      <w:r w:rsidR="00F0762F" w:rsidRPr="004E2001">
        <w:t xml:space="preserve"> Nov 2017</w:t>
      </w:r>
      <w:r w:rsidR="00816F54" w:rsidRPr="004E2001">
        <w:t>; para 7.1 exenatide PSD July 2015</w:t>
      </w:r>
      <w:r w:rsidR="00F0762F" w:rsidRPr="004E2001">
        <w:t xml:space="preserve">). </w:t>
      </w:r>
      <w:r w:rsidR="00AB2837" w:rsidRPr="004E2001">
        <w:t>I</w:t>
      </w:r>
      <w:r w:rsidR="007137F5" w:rsidRPr="004E2001">
        <w:t xml:space="preserve">n the context of the cost-utility approach taken by the submission, a </w:t>
      </w:r>
      <w:r w:rsidR="008F205A" w:rsidRPr="004E2001">
        <w:t>further consideration for PBAC wa</w:t>
      </w:r>
      <w:r w:rsidR="007137F5" w:rsidRPr="004E2001">
        <w:t xml:space="preserve">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p>
    <w:p w:rsidR="00716682" w:rsidRPr="004E2001" w:rsidRDefault="00716682" w:rsidP="0076592A">
      <w:pPr>
        <w:pStyle w:val="ListParagraph"/>
        <w:numPr>
          <w:ilvl w:val="1"/>
          <w:numId w:val="2"/>
        </w:numPr>
        <w:jc w:val="both"/>
      </w:pPr>
      <w:r w:rsidRPr="004E2001">
        <w:t>The submission claimed that semaglutide may also substitute for other therapeutic classes of anti-diabetic medicines including DPP4 inhibitors, SGLT2 inhibitors, sulfonylureas, thiazolidinediones, and insulin. The sponsor further anticipate</w:t>
      </w:r>
      <w:r w:rsidR="00CB3C95" w:rsidRPr="004E2001">
        <w:t>d</w:t>
      </w:r>
      <w:r w:rsidRPr="004E2001">
        <w:t xml:space="preserve"> that the improved efficacy associated with semaglutide may lead to an expansion of the clinical place of GLP-1 treatments to gradually replace oral therapies. Based on PBS utilisation data, it is likely that DPP4 inhibitors, SGLT2 inhibitors, sulfonylureas and insulin are relevant comparators given their substantial market size alongside the rapidly growing market share of GLP-1 therapies</w:t>
      </w:r>
      <w:r w:rsidR="004E2001">
        <w:t xml:space="preserve">. </w:t>
      </w:r>
    </w:p>
    <w:p w:rsidR="00B34433" w:rsidRPr="004E2001" w:rsidRDefault="00716682" w:rsidP="0076592A">
      <w:pPr>
        <w:pStyle w:val="ListParagraph"/>
        <w:numPr>
          <w:ilvl w:val="1"/>
          <w:numId w:val="2"/>
        </w:numPr>
        <w:jc w:val="both"/>
      </w:pPr>
      <w:r w:rsidRPr="004E2001">
        <w:t xml:space="preserve">The submission claimed that there are no near market comparators but noted the pending availability of oral semaglutide. The clinical trial program consists of 10 Phase 3 trials (PIONEER 1-10) which are now complete, several of which have published results. </w:t>
      </w:r>
      <w:r w:rsidR="0050360D" w:rsidRPr="004E2001">
        <w:t xml:space="preserve">Marketing authorisation has been granted in the US (FDA approval as of 20 September 2019) and </w:t>
      </w:r>
      <w:r w:rsidR="00775915" w:rsidRPr="004E2001">
        <w:t>at t</w:t>
      </w:r>
      <w:r w:rsidR="00364A1F" w:rsidRPr="004E2001">
        <w:t>h</w:t>
      </w:r>
      <w:r w:rsidR="008F205A" w:rsidRPr="004E2001">
        <w:t>e time of the PBA</w:t>
      </w:r>
      <w:r w:rsidR="00775915" w:rsidRPr="004E2001">
        <w:t xml:space="preserve">C meeting </w:t>
      </w:r>
      <w:r w:rsidR="0050360D" w:rsidRPr="004E2001">
        <w:t xml:space="preserve">it </w:t>
      </w:r>
      <w:r w:rsidR="00775915" w:rsidRPr="004E2001">
        <w:t>wa</w:t>
      </w:r>
      <w:r w:rsidR="0050360D" w:rsidRPr="004E2001">
        <w:t>s under review by several regulatory agencies including the EMA and the Japanese Pharmaceuticals and Medical Devices Agency</w:t>
      </w:r>
      <w:r w:rsidR="004E2001">
        <w:t xml:space="preserve">. </w:t>
      </w:r>
      <w:r w:rsidRPr="004E2001">
        <w:t xml:space="preserve">Oral semaglutide </w:t>
      </w:r>
      <w:r w:rsidR="00775915" w:rsidRPr="004E2001">
        <w:t>was</w:t>
      </w:r>
      <w:r w:rsidRPr="004E2001">
        <w:t xml:space="preserve"> considered a near market </w:t>
      </w:r>
      <w:r w:rsidR="004F0F5D" w:rsidRPr="004E2001">
        <w:t>entrant that</w:t>
      </w:r>
      <w:r w:rsidRPr="004E2001">
        <w:t xml:space="preserve"> is likely to </w:t>
      </w:r>
      <w:r w:rsidR="004F0F5D" w:rsidRPr="004E2001">
        <w:t>shift the</w:t>
      </w:r>
      <w:r w:rsidRPr="004E2001">
        <w:t xml:space="preserve"> clinical place in therapy</w:t>
      </w:r>
      <w:r w:rsidR="004F0F5D" w:rsidRPr="004E2001">
        <w:t xml:space="preserve"> of semaglutide to directly compete with other oral agents</w:t>
      </w:r>
      <w:r w:rsidRPr="004E2001">
        <w:t>.</w:t>
      </w:r>
      <w:r w:rsidR="00B34433" w:rsidRPr="004E2001">
        <w:t xml:space="preserve"> </w:t>
      </w:r>
    </w:p>
    <w:p w:rsidR="00B60939" w:rsidRPr="004E2001" w:rsidRDefault="00B34433" w:rsidP="0076592A">
      <w:pPr>
        <w:pStyle w:val="ListParagraph"/>
        <w:numPr>
          <w:ilvl w:val="1"/>
          <w:numId w:val="2"/>
        </w:numPr>
        <w:jc w:val="both"/>
      </w:pPr>
      <w:r w:rsidRPr="004E2001">
        <w:t>The PSCR</w:t>
      </w:r>
      <w:r w:rsidR="00A40818" w:rsidRPr="004E2001">
        <w:t xml:space="preserve"> </w:t>
      </w:r>
      <w:r w:rsidRPr="004E2001">
        <w:t>claimed that the availability of oral semaglutide should not impact the consideration of injectable semaglutide as the sponsor considered these presentations to be fundamentally different therapies in terms of method of administration, dosing, efficacy and safety profiles</w:t>
      </w:r>
      <w:r w:rsidR="00CB3C95" w:rsidRPr="004E2001">
        <w:t>,</w:t>
      </w:r>
      <w:r w:rsidRPr="004E2001">
        <w:t xml:space="preserve"> and likely place in therapy. </w:t>
      </w:r>
      <w:r w:rsidRPr="00D96D7C">
        <w:t xml:space="preserve">The </w:t>
      </w:r>
      <w:r w:rsidR="00CB3C95" w:rsidRPr="00D96D7C">
        <w:t>PSCR</w:t>
      </w:r>
      <w:r w:rsidRPr="00D96D7C">
        <w:t xml:space="preserve"> also noted that</w:t>
      </w:r>
      <w:r w:rsidR="0076592A">
        <w:rPr>
          <w:noProof/>
          <w:color w:val="000000"/>
          <w:highlight w:val="black"/>
        </w:rPr>
        <w:t xml:space="preserve"> ''' '''''''' ''''''''''''''''''''' '''''' ''''''' ''''''''''''''''''''''''' ''''''' '''''' ''''''''' '''''''''''''' '''' ''''''' ''''''''' </w:t>
      </w:r>
      <w:r w:rsidR="00F27516" w:rsidRPr="004E2001">
        <w:t>The</w:t>
      </w:r>
      <w:r w:rsidR="00F42D0E" w:rsidRPr="004E2001">
        <w:t xml:space="preserve"> ESC agreed with the evaluation that the potential future entry to the Australian market of oral semaglutide was relevant in consideration of the disruption to the market </w:t>
      </w:r>
      <w:r w:rsidR="00F53F80" w:rsidRPr="004E2001">
        <w:t>and treatment algorithm for all</w:t>
      </w:r>
      <w:r w:rsidR="00F42D0E" w:rsidRPr="004E2001">
        <w:t xml:space="preserve"> injectable therapies</w:t>
      </w:r>
      <w:r w:rsidR="00CB3C95" w:rsidRPr="004E2001">
        <w:t xml:space="preserve"> for type 2 diabetes</w:t>
      </w:r>
      <w:r w:rsidR="00F42D0E" w:rsidRPr="004E2001">
        <w:t xml:space="preserve">. </w:t>
      </w:r>
    </w:p>
    <w:p w:rsidR="00B94A47" w:rsidRPr="004E2001" w:rsidRDefault="00B94A47" w:rsidP="003F26F6">
      <w:pPr>
        <w:pStyle w:val="BodyText"/>
        <w:spacing w:after="120"/>
        <w:rPr>
          <w:rFonts w:asciiTheme="minorHAnsi" w:hAnsiTheme="minorHAnsi"/>
          <w:i/>
        </w:rPr>
      </w:pPr>
      <w:r w:rsidRPr="004E2001">
        <w:rPr>
          <w:rFonts w:asciiTheme="minorHAnsi" w:hAnsiTheme="minorHAnsi"/>
          <w:i/>
        </w:rPr>
        <w:t>For more detail on PBAC’s view, see section 7 PBAC outcome.</w:t>
      </w:r>
    </w:p>
    <w:p w:rsidR="00B50DB8" w:rsidRPr="004E2001" w:rsidRDefault="00BD6CF3" w:rsidP="003F26F6">
      <w:pPr>
        <w:pStyle w:val="2-SectionHeading"/>
      </w:pPr>
      <w:bookmarkStart w:id="6" w:name="_Toc19615252"/>
      <w:r w:rsidRPr="004E2001">
        <w:t>C</w:t>
      </w:r>
      <w:r w:rsidR="00B50DB8" w:rsidRPr="004E2001">
        <w:t>onsideration of the evidence</w:t>
      </w:r>
      <w:bookmarkEnd w:id="6"/>
    </w:p>
    <w:p w:rsidR="00257DE7" w:rsidRPr="004E2001" w:rsidRDefault="00257DE7" w:rsidP="003F26F6">
      <w:pPr>
        <w:pStyle w:val="Heading2"/>
      </w:pPr>
      <w:bookmarkStart w:id="7" w:name="_Toc19615253"/>
      <w:r w:rsidRPr="004E2001">
        <w:t>Sponsor hearing</w:t>
      </w:r>
    </w:p>
    <w:p w:rsidR="00D81782" w:rsidRPr="004E2001" w:rsidRDefault="00D81782" w:rsidP="003F26F6"/>
    <w:p w:rsidR="00257DE7" w:rsidRPr="004E2001" w:rsidRDefault="00257DE7" w:rsidP="003F26F6">
      <w:pPr>
        <w:numPr>
          <w:ilvl w:val="1"/>
          <w:numId w:val="2"/>
        </w:numPr>
        <w:spacing w:after="120"/>
        <w:rPr>
          <w:rFonts w:asciiTheme="minorHAnsi" w:hAnsiTheme="minorHAnsi"/>
          <w:bCs/>
        </w:rPr>
      </w:pPr>
      <w:r w:rsidRPr="004E2001">
        <w:rPr>
          <w:rFonts w:asciiTheme="minorHAnsi" w:hAnsiTheme="minorHAnsi"/>
          <w:bCs/>
        </w:rPr>
        <w:t>There was no hearing for this item.</w:t>
      </w:r>
    </w:p>
    <w:p w:rsidR="00257DE7" w:rsidRPr="004E2001" w:rsidRDefault="00257DE7" w:rsidP="003F26F6">
      <w:pPr>
        <w:pStyle w:val="Heading2"/>
      </w:pPr>
      <w:r w:rsidRPr="004E2001">
        <w:lastRenderedPageBreak/>
        <w:t>Consumer comments</w:t>
      </w:r>
    </w:p>
    <w:p w:rsidR="00D81782" w:rsidRPr="004E2001" w:rsidRDefault="00D81782" w:rsidP="003F26F6"/>
    <w:p w:rsidR="00257DE7" w:rsidRPr="004E2001" w:rsidRDefault="00257DE7" w:rsidP="0076592A">
      <w:pPr>
        <w:numPr>
          <w:ilvl w:val="1"/>
          <w:numId w:val="2"/>
        </w:numPr>
        <w:spacing w:after="120"/>
        <w:rPr>
          <w:rFonts w:asciiTheme="minorHAnsi" w:hAnsiTheme="minorHAnsi"/>
          <w:bCs/>
        </w:rPr>
      </w:pPr>
      <w:r w:rsidRPr="004E2001">
        <w:rPr>
          <w:rFonts w:asciiTheme="minorHAnsi" w:hAnsiTheme="minorHAnsi"/>
          <w:bCs/>
        </w:rPr>
        <w:t>The PBAC noted and welcomed the input from</w:t>
      </w:r>
      <w:r w:rsidR="00BA6397" w:rsidRPr="004E2001">
        <w:rPr>
          <w:rFonts w:asciiTheme="minorHAnsi" w:hAnsiTheme="minorHAnsi"/>
          <w:bCs/>
        </w:rPr>
        <w:t xml:space="preserve"> </w:t>
      </w:r>
      <w:r w:rsidRPr="004E2001">
        <w:rPr>
          <w:rFonts w:asciiTheme="minorHAnsi" w:hAnsiTheme="minorHAnsi"/>
          <w:bCs/>
        </w:rPr>
        <w:t>health care professionals (</w:t>
      </w:r>
      <w:r w:rsidR="00BA6397" w:rsidRPr="004E2001">
        <w:rPr>
          <w:rFonts w:asciiTheme="minorHAnsi" w:hAnsiTheme="minorHAnsi"/>
          <w:bCs/>
        </w:rPr>
        <w:t>6</w:t>
      </w:r>
      <w:r w:rsidRPr="004E2001">
        <w:rPr>
          <w:rFonts w:asciiTheme="minorHAnsi" w:hAnsiTheme="minorHAnsi"/>
          <w:bCs/>
        </w:rPr>
        <w:t>) and organisations (1) via the Consumer Comments facility on the PBS website</w:t>
      </w:r>
      <w:r w:rsidR="004E2001">
        <w:rPr>
          <w:rFonts w:asciiTheme="minorHAnsi" w:hAnsiTheme="minorHAnsi"/>
          <w:bCs/>
        </w:rPr>
        <w:t xml:space="preserve">. </w:t>
      </w:r>
      <w:r w:rsidRPr="004E2001">
        <w:rPr>
          <w:rFonts w:asciiTheme="minorHAnsi" w:hAnsiTheme="minorHAnsi"/>
          <w:bCs/>
        </w:rPr>
        <w:t xml:space="preserve">The comments </w:t>
      </w:r>
      <w:r w:rsidR="003B5E51" w:rsidRPr="004E2001">
        <w:rPr>
          <w:rFonts w:asciiTheme="minorHAnsi" w:hAnsiTheme="minorHAnsi"/>
          <w:bCs/>
        </w:rPr>
        <w:t xml:space="preserve">were all positive and </w:t>
      </w:r>
      <w:r w:rsidRPr="004E2001">
        <w:rPr>
          <w:rFonts w:asciiTheme="minorHAnsi" w:hAnsiTheme="minorHAnsi"/>
          <w:bCs/>
        </w:rPr>
        <w:t xml:space="preserve">described a range of benefits of treatment with </w:t>
      </w:r>
      <w:r w:rsidR="00BA6397" w:rsidRPr="004E2001">
        <w:rPr>
          <w:rFonts w:asciiTheme="minorHAnsi" w:hAnsiTheme="minorHAnsi"/>
          <w:bCs/>
        </w:rPr>
        <w:t>semaglutide</w:t>
      </w:r>
      <w:r w:rsidRPr="004E2001">
        <w:rPr>
          <w:rFonts w:asciiTheme="minorHAnsi" w:hAnsiTheme="minorHAnsi"/>
          <w:bCs/>
        </w:rPr>
        <w:t xml:space="preserve"> including the</w:t>
      </w:r>
      <w:r w:rsidR="00BA6397" w:rsidRPr="004E2001">
        <w:rPr>
          <w:rFonts w:asciiTheme="minorHAnsi" w:hAnsiTheme="minorHAnsi"/>
          <w:bCs/>
        </w:rPr>
        <w:t xml:space="preserve"> superior</w:t>
      </w:r>
      <w:r w:rsidR="0030360A" w:rsidRPr="004E2001">
        <w:rPr>
          <w:rFonts w:asciiTheme="minorHAnsi" w:hAnsiTheme="minorHAnsi"/>
          <w:bCs/>
        </w:rPr>
        <w:t xml:space="preserve"> clinical</w:t>
      </w:r>
      <w:r w:rsidR="00BA6397" w:rsidRPr="004E2001">
        <w:rPr>
          <w:rFonts w:asciiTheme="minorHAnsi" w:hAnsiTheme="minorHAnsi"/>
          <w:bCs/>
        </w:rPr>
        <w:t xml:space="preserve"> effects </w:t>
      </w:r>
      <w:r w:rsidR="005308A9" w:rsidRPr="004E2001">
        <w:rPr>
          <w:rFonts w:asciiTheme="minorHAnsi" w:hAnsiTheme="minorHAnsi"/>
          <w:bCs/>
        </w:rPr>
        <w:t xml:space="preserve">on </w:t>
      </w:r>
      <w:r w:rsidR="00DA599D" w:rsidRPr="004E2001">
        <w:rPr>
          <w:rFonts w:asciiTheme="minorHAnsi" w:hAnsiTheme="minorHAnsi"/>
          <w:bCs/>
        </w:rPr>
        <w:t>glycaemic</w:t>
      </w:r>
      <w:r w:rsidR="005308A9" w:rsidRPr="004E2001">
        <w:rPr>
          <w:rFonts w:asciiTheme="minorHAnsi" w:hAnsiTheme="minorHAnsi"/>
          <w:bCs/>
        </w:rPr>
        <w:t xml:space="preserve"> control, weight loss and cardiovascular protection </w:t>
      </w:r>
      <w:r w:rsidR="00BA6397" w:rsidRPr="004E2001">
        <w:rPr>
          <w:rFonts w:asciiTheme="minorHAnsi" w:hAnsiTheme="minorHAnsi"/>
          <w:bCs/>
        </w:rPr>
        <w:t>versus comparators, weekly dosing aiding with compliance</w:t>
      </w:r>
      <w:r w:rsidR="0030360A" w:rsidRPr="004E2001">
        <w:rPr>
          <w:rFonts w:asciiTheme="minorHAnsi" w:hAnsiTheme="minorHAnsi"/>
          <w:bCs/>
        </w:rPr>
        <w:t>, and positive effects on morbidity, mortality and quality of life</w:t>
      </w:r>
      <w:r w:rsidR="004E2001">
        <w:rPr>
          <w:rFonts w:asciiTheme="minorHAnsi" w:hAnsiTheme="minorHAnsi"/>
          <w:bCs/>
        </w:rPr>
        <w:t xml:space="preserve">. </w:t>
      </w:r>
      <w:r w:rsidR="005308A9" w:rsidRPr="004E2001">
        <w:rPr>
          <w:rFonts w:asciiTheme="minorHAnsi" w:hAnsiTheme="minorHAnsi"/>
          <w:bCs/>
        </w:rPr>
        <w:t>The PBAC noted the superiority claim was not adequately supported by the clinical trial data.</w:t>
      </w:r>
    </w:p>
    <w:p w:rsidR="00DA02D7" w:rsidRPr="004E2001" w:rsidRDefault="00DA02D7" w:rsidP="0076592A">
      <w:pPr>
        <w:numPr>
          <w:ilvl w:val="1"/>
          <w:numId w:val="2"/>
        </w:numPr>
        <w:spacing w:after="120"/>
        <w:rPr>
          <w:rFonts w:asciiTheme="minorHAnsi" w:hAnsiTheme="minorHAnsi"/>
          <w:bCs/>
        </w:rPr>
      </w:pPr>
      <w:r w:rsidRPr="004E2001">
        <w:rPr>
          <w:rFonts w:asciiTheme="minorHAnsi" w:hAnsiTheme="minorHAnsi"/>
          <w:bCs/>
        </w:rPr>
        <w:t xml:space="preserve">The PBAC noted previous correspondence from the Australian Diabetes Society: </w:t>
      </w:r>
    </w:p>
    <w:p w:rsidR="00DA02D7" w:rsidRPr="004E2001" w:rsidRDefault="00DA02D7" w:rsidP="0076592A">
      <w:pPr>
        <w:spacing w:after="120"/>
        <w:ind w:left="720"/>
        <w:rPr>
          <w:rFonts w:asciiTheme="minorHAnsi" w:hAnsiTheme="minorHAnsi"/>
          <w:bCs/>
        </w:rPr>
      </w:pPr>
      <w:r w:rsidRPr="004E2001">
        <w:rPr>
          <w:rFonts w:asciiTheme="minorHAnsi" w:hAnsiTheme="minorHAnsi"/>
          <w:bCs/>
        </w:rPr>
        <w:t xml:space="preserve">In light of recent evidence, and in keeping with a number of major guidelines around the world, we would consider that evidence for the addition of SGLT2 inhibitors or GLP1 analogues is strong for people meeting all of the following broad criteria: </w:t>
      </w:r>
    </w:p>
    <w:p w:rsidR="00DA02D7" w:rsidRPr="004E2001" w:rsidRDefault="00DA02D7" w:rsidP="0076592A">
      <w:pPr>
        <w:pStyle w:val="ListParagraph"/>
        <w:numPr>
          <w:ilvl w:val="0"/>
          <w:numId w:val="7"/>
        </w:numPr>
        <w:spacing w:after="0"/>
        <w:ind w:left="1077" w:hanging="357"/>
        <w:jc w:val="both"/>
      </w:pPr>
      <w:r w:rsidRPr="004E2001">
        <w:t>Type 2 diabetes</w:t>
      </w:r>
    </w:p>
    <w:p w:rsidR="00DA02D7" w:rsidRPr="004E2001" w:rsidRDefault="00DA02D7" w:rsidP="0076592A">
      <w:pPr>
        <w:pStyle w:val="ListParagraph"/>
        <w:numPr>
          <w:ilvl w:val="0"/>
          <w:numId w:val="7"/>
        </w:numPr>
        <w:spacing w:after="0"/>
        <w:ind w:left="1077" w:hanging="357"/>
        <w:jc w:val="both"/>
      </w:pPr>
      <w:r w:rsidRPr="004E2001">
        <w:t>Established cardiovascular disease or the presence of multiple cardiovascular risk factors</w:t>
      </w:r>
    </w:p>
    <w:p w:rsidR="00DA02D7" w:rsidRPr="004E2001" w:rsidRDefault="00DA02D7" w:rsidP="0076592A">
      <w:pPr>
        <w:pStyle w:val="ListParagraph"/>
        <w:numPr>
          <w:ilvl w:val="0"/>
          <w:numId w:val="7"/>
        </w:numPr>
        <w:ind w:left="1077" w:hanging="357"/>
        <w:jc w:val="both"/>
      </w:pPr>
      <w:r w:rsidRPr="004E2001">
        <w:t>HbA1c &gt;6.5%</w:t>
      </w:r>
      <w:r w:rsidR="005308A9" w:rsidRPr="004E2001">
        <w:t>.</w:t>
      </w:r>
    </w:p>
    <w:p w:rsidR="005308A9" w:rsidRPr="004E2001" w:rsidRDefault="005308A9" w:rsidP="003F26F6">
      <w:pPr>
        <w:pStyle w:val="BodyText"/>
        <w:spacing w:after="120"/>
        <w:rPr>
          <w:rFonts w:asciiTheme="minorHAnsi" w:hAnsiTheme="minorHAnsi"/>
          <w:i/>
        </w:rPr>
      </w:pPr>
      <w:r w:rsidRPr="004E2001">
        <w:rPr>
          <w:rFonts w:asciiTheme="minorHAnsi" w:hAnsiTheme="minorHAnsi"/>
          <w:i/>
        </w:rPr>
        <w:t>For more detail on PBAC’s view, see section 7 PBAC outcome.</w:t>
      </w:r>
    </w:p>
    <w:p w:rsidR="00B60939" w:rsidRPr="004E2001" w:rsidRDefault="00B60939" w:rsidP="003F26F6">
      <w:pPr>
        <w:pStyle w:val="Heading2"/>
      </w:pPr>
      <w:r w:rsidRPr="004E2001">
        <w:t>Clinical trials</w:t>
      </w:r>
      <w:bookmarkEnd w:id="7"/>
    </w:p>
    <w:p w:rsidR="00B60939" w:rsidRPr="004E2001" w:rsidRDefault="00B60939" w:rsidP="003F26F6"/>
    <w:p w:rsidR="00B74D97" w:rsidRPr="004E2001" w:rsidRDefault="00B74D97" w:rsidP="0076592A">
      <w:pPr>
        <w:pStyle w:val="ListParagraph"/>
        <w:numPr>
          <w:ilvl w:val="1"/>
          <w:numId w:val="2"/>
        </w:numPr>
        <w:spacing w:after="0"/>
        <w:jc w:val="both"/>
      </w:pPr>
      <w:r w:rsidRPr="004E2001">
        <w:t>The submission was based on the following comparisons:</w:t>
      </w:r>
    </w:p>
    <w:p w:rsidR="00B74D97" w:rsidRPr="004E2001" w:rsidRDefault="00B74D97" w:rsidP="0076592A">
      <w:pPr>
        <w:pStyle w:val="ListParagraph"/>
        <w:numPr>
          <w:ilvl w:val="0"/>
          <w:numId w:val="7"/>
        </w:numPr>
        <w:spacing w:after="0"/>
        <w:ind w:left="1077" w:hanging="357"/>
        <w:jc w:val="both"/>
      </w:pPr>
      <w:r w:rsidRPr="004E2001">
        <w:t>Direct comparison of semaglutide 1.0 mg once weekly and exenatide 2.0 mg once weekly (SUSTAIN 3)</w:t>
      </w:r>
      <w:r w:rsidR="008B178C" w:rsidRPr="004E2001">
        <w:t>.</w:t>
      </w:r>
    </w:p>
    <w:p w:rsidR="00B74D97" w:rsidRPr="004E2001" w:rsidRDefault="00B74D97" w:rsidP="0076592A">
      <w:pPr>
        <w:pStyle w:val="ListParagraph"/>
        <w:numPr>
          <w:ilvl w:val="0"/>
          <w:numId w:val="7"/>
        </w:numPr>
        <w:spacing w:after="0"/>
        <w:ind w:left="1077" w:hanging="357"/>
        <w:jc w:val="both"/>
      </w:pPr>
      <w:r w:rsidRPr="004E2001">
        <w:t>Direct comparison of semaglutide 0.5 mg once weekly and semaglutide 1.0 mg once weekly with dulaglutide 1.5 mg once weekly (SUSTAIN 7)</w:t>
      </w:r>
      <w:r w:rsidR="008B178C" w:rsidRPr="004E2001">
        <w:t>.</w:t>
      </w:r>
    </w:p>
    <w:p w:rsidR="00535E52" w:rsidRPr="004E2001" w:rsidRDefault="00535E52" w:rsidP="0076592A">
      <w:pPr>
        <w:pStyle w:val="ListParagraph"/>
        <w:numPr>
          <w:ilvl w:val="0"/>
          <w:numId w:val="7"/>
        </w:numPr>
        <w:spacing w:after="0"/>
        <w:ind w:left="1077" w:hanging="357"/>
        <w:jc w:val="both"/>
      </w:pPr>
      <w:r w:rsidRPr="004E2001">
        <w:t>The PSCR</w:t>
      </w:r>
      <w:r w:rsidR="009B554A" w:rsidRPr="004E2001">
        <w:t xml:space="preserve"> </w:t>
      </w:r>
      <w:r w:rsidRPr="004E2001">
        <w:t>provided results from a post-hoc analysis comparing 0.5 mg semaglutide once weekly and 1.5 mg dulaglutide once weekly (SUSTAIN 7)</w:t>
      </w:r>
      <w:r w:rsidR="008B178C" w:rsidRPr="004E2001">
        <w:t>.</w:t>
      </w:r>
    </w:p>
    <w:p w:rsidR="00B74D97" w:rsidRPr="004E2001" w:rsidRDefault="00B74D97" w:rsidP="0076592A">
      <w:pPr>
        <w:pStyle w:val="ListParagraph"/>
        <w:numPr>
          <w:ilvl w:val="0"/>
          <w:numId w:val="7"/>
        </w:numPr>
        <w:ind w:left="1077" w:hanging="357"/>
        <w:jc w:val="both"/>
      </w:pPr>
      <w:r w:rsidRPr="004E2001">
        <w:t>Supportive cardiovascular safety and long-term o</w:t>
      </w:r>
      <w:r w:rsidR="008B178C" w:rsidRPr="004E2001">
        <w:t>utcomes data of semaglutide 0.5 </w:t>
      </w:r>
      <w:r w:rsidRPr="004E2001">
        <w:t>mg once weekly and semaglutide 1.0 mg once</w:t>
      </w:r>
      <w:r w:rsidR="008B178C" w:rsidRPr="004E2001">
        <w:t xml:space="preserve"> weekly versus placebo (SUSTAIN </w:t>
      </w:r>
      <w:r w:rsidRPr="004E2001">
        <w:t>6)</w:t>
      </w:r>
      <w:r w:rsidR="008B178C" w:rsidRPr="004E2001">
        <w:t>.</w:t>
      </w:r>
    </w:p>
    <w:p w:rsidR="00862502" w:rsidRPr="004E2001" w:rsidRDefault="0067006C" w:rsidP="0076592A">
      <w:pPr>
        <w:pStyle w:val="ListParagraph"/>
        <w:numPr>
          <w:ilvl w:val="1"/>
          <w:numId w:val="2"/>
        </w:numPr>
        <w:jc w:val="both"/>
      </w:pPr>
      <w:r w:rsidRPr="004E2001">
        <w:t>N</w:t>
      </w:r>
      <w:r w:rsidR="00B74D97" w:rsidRPr="004E2001">
        <w:t>o trials</w:t>
      </w:r>
      <w:r w:rsidRPr="004E2001">
        <w:t xml:space="preserve"> were</w:t>
      </w:r>
      <w:r w:rsidR="00B74D97" w:rsidRPr="004E2001">
        <w:t xml:space="preserve"> identified that provided direct comparative evidence of the following: semaglutide 0.5 mg once weekly versus exenatide 2.0 mg once weekly in dual or triple therapy with metformin and/or sulfonylurea; and semaglutide 0.5 mg or 1.0 mg once weekly versus dulaglutide 1.5 mg in triple therapy with metformin and sulfonylurea. There were limited data for semaglutide as dual therapy with sulfonylurea.</w:t>
      </w:r>
    </w:p>
    <w:p w:rsidR="00862502" w:rsidRPr="004E2001" w:rsidRDefault="00A73134" w:rsidP="0076592A">
      <w:pPr>
        <w:pStyle w:val="ListParagraph"/>
        <w:numPr>
          <w:ilvl w:val="1"/>
          <w:numId w:val="2"/>
        </w:numPr>
        <w:jc w:val="both"/>
      </w:pPr>
      <w:r w:rsidRPr="004E2001">
        <w:rPr>
          <w:rFonts w:cs="Calibri"/>
          <w:snapToGrid/>
        </w:rPr>
        <w:t>Details of the trials presented in the submission ar</w:t>
      </w:r>
      <w:r w:rsidR="006F68BC" w:rsidRPr="004E2001">
        <w:rPr>
          <w:rFonts w:cs="Calibri"/>
          <w:snapToGrid/>
        </w:rPr>
        <w:t xml:space="preserve">e provided in the table below. </w:t>
      </w:r>
    </w:p>
    <w:p w:rsidR="008E0D3C" w:rsidRPr="004E2001" w:rsidRDefault="006F68BC" w:rsidP="003F26F6">
      <w:pPr>
        <w:pStyle w:val="TableHeading0"/>
        <w:rPr>
          <w:rStyle w:val="CommentReference"/>
          <w:b/>
          <w:szCs w:val="22"/>
        </w:rPr>
      </w:pPr>
      <w:r w:rsidRPr="004E2001">
        <w:rPr>
          <w:rStyle w:val="CommentReference"/>
          <w:b/>
          <w:szCs w:val="22"/>
        </w:rPr>
        <w:lastRenderedPageBreak/>
        <w:t>Table 2</w:t>
      </w:r>
      <w:r w:rsidR="008E0D3C" w:rsidRPr="004E2001">
        <w:rPr>
          <w:rStyle w:val="CommentReference"/>
          <w:b/>
          <w:szCs w:val="22"/>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5"/>
        <w:gridCol w:w="2528"/>
      </w:tblGrid>
      <w:tr w:rsidR="008E0D3C" w:rsidRPr="004E2001" w:rsidTr="00C56F83">
        <w:trPr>
          <w:tblHeader/>
        </w:trPr>
        <w:tc>
          <w:tcPr>
            <w:tcW w:w="795" w:type="pct"/>
            <w:vAlign w:val="center"/>
          </w:tcPr>
          <w:p w:rsidR="008E0D3C" w:rsidRPr="004E2001" w:rsidRDefault="008E0D3C" w:rsidP="003F26F6">
            <w:pPr>
              <w:pStyle w:val="Tabletext"/>
              <w:keepNext/>
              <w:rPr>
                <w:b/>
              </w:rPr>
            </w:pPr>
            <w:r w:rsidRPr="004E2001">
              <w:rPr>
                <w:b/>
              </w:rPr>
              <w:t>Trial ID</w:t>
            </w:r>
          </w:p>
        </w:tc>
        <w:tc>
          <w:tcPr>
            <w:tcW w:w="2803" w:type="pct"/>
            <w:vAlign w:val="center"/>
          </w:tcPr>
          <w:p w:rsidR="008E0D3C" w:rsidRPr="004E2001" w:rsidRDefault="008E0D3C" w:rsidP="003F26F6">
            <w:pPr>
              <w:pStyle w:val="Tabletext"/>
              <w:keepNext/>
              <w:jc w:val="center"/>
              <w:rPr>
                <w:b/>
              </w:rPr>
            </w:pPr>
            <w:r w:rsidRPr="004E2001">
              <w:rPr>
                <w:b/>
              </w:rPr>
              <w:t>Protocol title/ Publication title</w:t>
            </w:r>
          </w:p>
        </w:tc>
        <w:tc>
          <w:tcPr>
            <w:tcW w:w="1402" w:type="pct"/>
            <w:vAlign w:val="center"/>
          </w:tcPr>
          <w:p w:rsidR="008E0D3C" w:rsidRPr="004E2001" w:rsidRDefault="008E0D3C" w:rsidP="003F26F6">
            <w:pPr>
              <w:pStyle w:val="Tabletext"/>
              <w:keepNext/>
              <w:jc w:val="center"/>
              <w:rPr>
                <w:b/>
              </w:rPr>
            </w:pPr>
            <w:r w:rsidRPr="004E2001">
              <w:rPr>
                <w:b/>
              </w:rPr>
              <w:t>Publication citation</w:t>
            </w:r>
          </w:p>
        </w:tc>
      </w:tr>
      <w:tr w:rsidR="006F68BC" w:rsidRPr="004E2001" w:rsidTr="00C56F83">
        <w:trPr>
          <w:tblHeader/>
        </w:trPr>
        <w:tc>
          <w:tcPr>
            <w:tcW w:w="795" w:type="pct"/>
            <w:vMerge w:val="restart"/>
            <w:vAlign w:val="center"/>
          </w:tcPr>
          <w:p w:rsidR="006F68BC" w:rsidRPr="004E2001" w:rsidRDefault="006F68BC" w:rsidP="003F26F6">
            <w:pPr>
              <w:pStyle w:val="TableText0"/>
            </w:pPr>
            <w:r w:rsidRPr="004E2001">
              <w:t>SUSTAIN 3</w:t>
            </w:r>
          </w:p>
          <w:p w:rsidR="006F68BC" w:rsidRPr="004E2001" w:rsidRDefault="006F68BC" w:rsidP="003F26F6">
            <w:pPr>
              <w:pStyle w:val="Tabletext"/>
              <w:keepNext/>
              <w:rPr>
                <w:rFonts w:ascii="Times" w:hAnsi="Times"/>
              </w:rPr>
            </w:pPr>
            <w:r w:rsidRPr="004E2001">
              <w:t>(NCT01885208)</w:t>
            </w:r>
          </w:p>
        </w:tc>
        <w:tc>
          <w:tcPr>
            <w:tcW w:w="2803" w:type="pct"/>
          </w:tcPr>
          <w:p w:rsidR="006F68BC" w:rsidRPr="004E2001" w:rsidRDefault="006F68BC" w:rsidP="003F26F6">
            <w:pPr>
              <w:pStyle w:val="Tabletext"/>
              <w:keepNext/>
              <w:rPr>
                <w:szCs w:val="18"/>
              </w:rPr>
            </w:pPr>
            <w:r w:rsidRPr="004E2001">
              <w:t>Novo Nordisk Clinical Trial Report (2016). Efficacy and safety of semaglutide once-weekly versus exenatide ER 2.0 mg once-weekly as add-on to 1-2 oral antidiabetic drugs (OADs) in subjects with type 2 diabetes</w:t>
            </w:r>
          </w:p>
        </w:tc>
        <w:tc>
          <w:tcPr>
            <w:tcW w:w="1402" w:type="pct"/>
          </w:tcPr>
          <w:p w:rsidR="006F68BC" w:rsidRPr="004E2001" w:rsidRDefault="006F68BC" w:rsidP="003F26F6">
            <w:pPr>
              <w:pStyle w:val="Tabletext"/>
              <w:keepNext/>
              <w:rPr>
                <w:rFonts w:ascii="Times" w:hAnsi="Times"/>
              </w:rPr>
            </w:pPr>
            <w:r w:rsidRPr="004E2001">
              <w:t>Internal study report</w:t>
            </w:r>
          </w:p>
        </w:tc>
      </w:tr>
      <w:tr w:rsidR="006F68BC" w:rsidRPr="004E2001" w:rsidTr="00C56F83">
        <w:trPr>
          <w:tblHeader/>
        </w:trPr>
        <w:tc>
          <w:tcPr>
            <w:tcW w:w="795" w:type="pct"/>
            <w:vMerge/>
            <w:vAlign w:val="center"/>
          </w:tcPr>
          <w:p w:rsidR="006F68BC" w:rsidRPr="004E2001" w:rsidRDefault="006F68BC" w:rsidP="003F26F6">
            <w:pPr>
              <w:pStyle w:val="Tabletext"/>
              <w:keepNext/>
            </w:pPr>
          </w:p>
        </w:tc>
        <w:tc>
          <w:tcPr>
            <w:tcW w:w="2803" w:type="pct"/>
          </w:tcPr>
          <w:p w:rsidR="006F68BC" w:rsidRPr="004E2001" w:rsidRDefault="006F68BC" w:rsidP="003F26F6">
            <w:pPr>
              <w:pStyle w:val="Tabletext"/>
              <w:keepNext/>
              <w:rPr>
                <w:szCs w:val="18"/>
              </w:rPr>
            </w:pPr>
            <w:r w:rsidRPr="004E2001">
              <w:t>Ahmann AJ, Capehorn M, Charpentier G et al (2018). Efficacy and Safety of Once-Weekly Semaglutide Versus Exenatide ER in Subjects With Type 2 Diabetes (SUSTAIN 3): A 56-Week, Open-Label, Randomized Clinical Trial</w:t>
            </w:r>
          </w:p>
        </w:tc>
        <w:tc>
          <w:tcPr>
            <w:tcW w:w="1402" w:type="pct"/>
          </w:tcPr>
          <w:p w:rsidR="006F68BC" w:rsidRPr="004E2001" w:rsidRDefault="006F68BC" w:rsidP="003F26F6">
            <w:pPr>
              <w:pStyle w:val="Tabletext"/>
              <w:keepNext/>
              <w:rPr>
                <w:szCs w:val="18"/>
              </w:rPr>
            </w:pPr>
            <w:r w:rsidRPr="004E2001">
              <w:t>Diabetes Care;41</w:t>
            </w:r>
            <w:r w:rsidR="008B178C" w:rsidRPr="004E2001">
              <w:t>(2)</w:t>
            </w:r>
            <w:r w:rsidRPr="004E2001">
              <w:t>:258-266</w:t>
            </w:r>
          </w:p>
        </w:tc>
      </w:tr>
      <w:tr w:rsidR="006F68BC" w:rsidRPr="004E2001" w:rsidTr="00C56F83">
        <w:trPr>
          <w:tblHeader/>
        </w:trPr>
        <w:tc>
          <w:tcPr>
            <w:tcW w:w="795" w:type="pct"/>
            <w:vMerge w:val="restart"/>
            <w:vAlign w:val="center"/>
          </w:tcPr>
          <w:p w:rsidR="006F68BC" w:rsidRPr="004E2001" w:rsidRDefault="006F68BC" w:rsidP="003F26F6">
            <w:pPr>
              <w:pStyle w:val="TableText0"/>
              <w:keepNext w:val="0"/>
            </w:pPr>
            <w:r w:rsidRPr="004E2001">
              <w:t>SUSTAIN 7</w:t>
            </w:r>
          </w:p>
          <w:p w:rsidR="006F68BC" w:rsidRPr="004E2001" w:rsidRDefault="006F68BC" w:rsidP="003F26F6">
            <w:pPr>
              <w:pStyle w:val="Tabletext"/>
            </w:pPr>
            <w:r w:rsidRPr="004E2001">
              <w:t>(NCT02648204)</w:t>
            </w:r>
          </w:p>
        </w:tc>
        <w:tc>
          <w:tcPr>
            <w:tcW w:w="2803" w:type="pct"/>
          </w:tcPr>
          <w:p w:rsidR="006F68BC" w:rsidRPr="004E2001" w:rsidRDefault="006F68BC" w:rsidP="003F26F6">
            <w:pPr>
              <w:pStyle w:val="Tabletext"/>
              <w:rPr>
                <w:szCs w:val="18"/>
              </w:rPr>
            </w:pPr>
            <w:r w:rsidRPr="004E2001">
              <w:t>Novo Nordisk Clinical Trial Report (2017). Efficacy and safety of semaglutide versus dulaglutide as add-on to metformin in subjects with type 2 diabetes</w:t>
            </w:r>
          </w:p>
        </w:tc>
        <w:tc>
          <w:tcPr>
            <w:tcW w:w="1402" w:type="pct"/>
          </w:tcPr>
          <w:p w:rsidR="006F68BC" w:rsidRPr="004E2001" w:rsidRDefault="006F68BC" w:rsidP="003F26F6">
            <w:pPr>
              <w:pStyle w:val="Tabletext"/>
              <w:rPr>
                <w:i/>
                <w:szCs w:val="18"/>
              </w:rPr>
            </w:pPr>
            <w:r w:rsidRPr="004E2001">
              <w:t>Internal study report</w:t>
            </w:r>
          </w:p>
        </w:tc>
      </w:tr>
      <w:tr w:rsidR="006F68BC" w:rsidRPr="004E2001" w:rsidTr="00C56F83">
        <w:trPr>
          <w:tblHeader/>
        </w:trPr>
        <w:tc>
          <w:tcPr>
            <w:tcW w:w="795" w:type="pct"/>
            <w:vMerge/>
            <w:vAlign w:val="center"/>
          </w:tcPr>
          <w:p w:rsidR="006F68BC" w:rsidRPr="004E2001" w:rsidRDefault="006F68BC" w:rsidP="003F26F6">
            <w:pPr>
              <w:pStyle w:val="Tabletext"/>
              <w:rPr>
                <w:rFonts w:ascii="Times" w:hAnsi="Times"/>
              </w:rPr>
            </w:pPr>
          </w:p>
        </w:tc>
        <w:tc>
          <w:tcPr>
            <w:tcW w:w="2803" w:type="pct"/>
          </w:tcPr>
          <w:p w:rsidR="006F68BC" w:rsidRPr="004E2001" w:rsidRDefault="006F68BC" w:rsidP="003F26F6">
            <w:pPr>
              <w:pStyle w:val="Tabletext"/>
              <w:rPr>
                <w:rFonts w:ascii="Times" w:hAnsi="Times"/>
              </w:rPr>
            </w:pPr>
            <w:r w:rsidRPr="004E2001">
              <w:t>Pratley RE, Aroda VR, Lingvay I et al (2018). Semaglutide versus dulaglutide once weekly in patients with type 2 diabetes (SUSTAIN 7): a randomised, open-label, phase 3b trial</w:t>
            </w:r>
          </w:p>
        </w:tc>
        <w:tc>
          <w:tcPr>
            <w:tcW w:w="1402" w:type="pct"/>
          </w:tcPr>
          <w:p w:rsidR="006F68BC" w:rsidRPr="004E2001" w:rsidRDefault="006F68BC" w:rsidP="003F26F6">
            <w:pPr>
              <w:pStyle w:val="Tabletext"/>
            </w:pPr>
            <w:r w:rsidRPr="004E2001">
              <w:t>Lancet Diabetes &amp; Endocrinology;6</w:t>
            </w:r>
            <w:r w:rsidR="008B178C" w:rsidRPr="004E2001">
              <w:t>(4)</w:t>
            </w:r>
            <w:r w:rsidRPr="004E2001">
              <w:t>:275-86</w:t>
            </w:r>
          </w:p>
        </w:tc>
      </w:tr>
      <w:tr w:rsidR="006F68BC" w:rsidRPr="004E2001" w:rsidTr="00C56F83">
        <w:trPr>
          <w:tblHeader/>
        </w:trPr>
        <w:tc>
          <w:tcPr>
            <w:tcW w:w="795" w:type="pct"/>
            <w:vMerge w:val="restart"/>
            <w:vAlign w:val="center"/>
          </w:tcPr>
          <w:p w:rsidR="006F68BC" w:rsidRPr="004E2001" w:rsidRDefault="006F68BC" w:rsidP="003F26F6">
            <w:pPr>
              <w:pStyle w:val="TableText0"/>
              <w:keepNext w:val="0"/>
            </w:pPr>
            <w:r w:rsidRPr="004E2001">
              <w:t>SUSTAIN 6</w:t>
            </w:r>
          </w:p>
          <w:p w:rsidR="006F68BC" w:rsidRPr="004E2001" w:rsidRDefault="006F68BC" w:rsidP="003F26F6">
            <w:pPr>
              <w:pStyle w:val="Tabletext"/>
            </w:pPr>
            <w:r w:rsidRPr="004E2001">
              <w:t>(NCT01720446)</w:t>
            </w:r>
          </w:p>
        </w:tc>
        <w:tc>
          <w:tcPr>
            <w:tcW w:w="2803" w:type="pct"/>
          </w:tcPr>
          <w:p w:rsidR="006F68BC" w:rsidRPr="004E2001" w:rsidRDefault="006F68BC" w:rsidP="003F26F6">
            <w:pPr>
              <w:pStyle w:val="Tabletext"/>
              <w:rPr>
                <w:szCs w:val="18"/>
              </w:rPr>
            </w:pPr>
            <w:r w:rsidRPr="004E2001">
              <w:t>Novo Nordisk Clinical Trial Report (2016). A long-term, randomised, double-blind, placebo-controlled, multinational, mult</w:t>
            </w:r>
            <w:r w:rsidR="0067006C" w:rsidRPr="004E2001">
              <w:t>i</w:t>
            </w:r>
            <w:r w:rsidRPr="004E2001">
              <w:t>-centre trial to evaluate cardiovascular and other long-term outcomes with semaglutide in subjects with type 2 diabetes</w:t>
            </w:r>
          </w:p>
        </w:tc>
        <w:tc>
          <w:tcPr>
            <w:tcW w:w="1402" w:type="pct"/>
          </w:tcPr>
          <w:p w:rsidR="006F68BC" w:rsidRPr="004E2001" w:rsidRDefault="006F68BC" w:rsidP="003F26F6">
            <w:pPr>
              <w:pStyle w:val="Tabletext"/>
              <w:rPr>
                <w:i/>
              </w:rPr>
            </w:pPr>
            <w:r w:rsidRPr="004E2001">
              <w:t>Internal study report</w:t>
            </w:r>
          </w:p>
        </w:tc>
      </w:tr>
      <w:tr w:rsidR="006F68BC" w:rsidRPr="004E2001" w:rsidTr="00C56F83">
        <w:trPr>
          <w:tblHeader/>
        </w:trPr>
        <w:tc>
          <w:tcPr>
            <w:tcW w:w="795" w:type="pct"/>
            <w:vMerge/>
            <w:vAlign w:val="center"/>
          </w:tcPr>
          <w:p w:rsidR="006F68BC" w:rsidRPr="004E2001" w:rsidRDefault="006F68BC" w:rsidP="003F26F6">
            <w:pPr>
              <w:pStyle w:val="Tabletext"/>
            </w:pPr>
          </w:p>
        </w:tc>
        <w:tc>
          <w:tcPr>
            <w:tcW w:w="2803" w:type="pct"/>
          </w:tcPr>
          <w:p w:rsidR="006F68BC" w:rsidRPr="004E2001" w:rsidRDefault="006F68BC" w:rsidP="003F26F6">
            <w:pPr>
              <w:pStyle w:val="Tabletext"/>
              <w:rPr>
                <w:szCs w:val="18"/>
              </w:rPr>
            </w:pPr>
            <w:r w:rsidRPr="004E2001">
              <w:t>Marso SP, Bain SC, Consoli A et al (2016). Semaglutide and Cardiovascular Outcomes in Patients with Type 2 Diabetes</w:t>
            </w:r>
          </w:p>
        </w:tc>
        <w:tc>
          <w:tcPr>
            <w:tcW w:w="1402" w:type="pct"/>
          </w:tcPr>
          <w:p w:rsidR="006F68BC" w:rsidRPr="004E2001" w:rsidRDefault="006F68BC" w:rsidP="003F26F6">
            <w:pPr>
              <w:pStyle w:val="Tabletext"/>
              <w:rPr>
                <w:rFonts w:ascii="Times" w:hAnsi="Times"/>
              </w:rPr>
            </w:pPr>
            <w:r w:rsidRPr="004E2001">
              <w:t>New England Journal of Medicine;375(19):1834-1844</w:t>
            </w:r>
          </w:p>
        </w:tc>
      </w:tr>
    </w:tbl>
    <w:p w:rsidR="008E0D3C" w:rsidRPr="004E2001" w:rsidRDefault="006F68BC" w:rsidP="003F26F6">
      <w:pPr>
        <w:pStyle w:val="TableFooter"/>
        <w:rPr>
          <w:sz w:val="20"/>
        </w:rPr>
      </w:pPr>
      <w:r w:rsidRPr="004E2001">
        <w:t>Source: Table 2-4, p 54 of the submission</w:t>
      </w:r>
      <w:r w:rsidR="008E0D3C" w:rsidRPr="004E2001">
        <w:t>.</w:t>
      </w:r>
    </w:p>
    <w:p w:rsidR="00862502" w:rsidRPr="004E2001" w:rsidRDefault="00862502" w:rsidP="003F26F6"/>
    <w:p w:rsidR="007F1017" w:rsidRPr="004E2001" w:rsidRDefault="008F120A" w:rsidP="003F26F6">
      <w:pPr>
        <w:pStyle w:val="ListParagraph"/>
        <w:numPr>
          <w:ilvl w:val="1"/>
          <w:numId w:val="2"/>
        </w:numPr>
      </w:pPr>
      <w:r w:rsidRPr="004E2001">
        <w:t>The key features of th</w:t>
      </w:r>
      <w:r w:rsidR="006F68BC" w:rsidRPr="004E2001">
        <w:t>e direct randomised trial</w:t>
      </w:r>
      <w:r w:rsidRPr="004E2001">
        <w:t xml:space="preserve">s are </w:t>
      </w:r>
      <w:r w:rsidR="006F68BC" w:rsidRPr="004E2001">
        <w:t xml:space="preserve">summarised in the table below. </w:t>
      </w:r>
    </w:p>
    <w:p w:rsidR="007F1017" w:rsidRPr="004E2001" w:rsidRDefault="006F68BC" w:rsidP="003F26F6">
      <w:pPr>
        <w:pStyle w:val="TableHeading0"/>
        <w:rPr>
          <w:rStyle w:val="CommentReference"/>
          <w:b/>
          <w:szCs w:val="22"/>
        </w:rPr>
      </w:pPr>
      <w:r w:rsidRPr="004E2001">
        <w:rPr>
          <w:rStyle w:val="CommentReference"/>
          <w:b/>
          <w:szCs w:val="22"/>
        </w:rPr>
        <w:t>Table 3</w:t>
      </w:r>
      <w:r w:rsidR="007F1017" w:rsidRPr="004E2001">
        <w:rPr>
          <w:rStyle w:val="CommentReference"/>
          <w:b/>
          <w:szCs w:val="22"/>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067"/>
        <w:gridCol w:w="709"/>
        <w:gridCol w:w="1381"/>
        <w:gridCol w:w="945"/>
        <w:gridCol w:w="1910"/>
        <w:gridCol w:w="1315"/>
        <w:gridCol w:w="1690"/>
      </w:tblGrid>
      <w:tr w:rsidR="00B41614" w:rsidRPr="004E2001" w:rsidTr="00C56F83">
        <w:trPr>
          <w:tblHeader/>
        </w:trPr>
        <w:tc>
          <w:tcPr>
            <w:tcW w:w="592" w:type="pct"/>
            <w:shd w:val="clear" w:color="auto" w:fill="auto"/>
            <w:vAlign w:val="center"/>
          </w:tcPr>
          <w:p w:rsidR="007F1017" w:rsidRPr="004E2001" w:rsidRDefault="007F1017" w:rsidP="003F26F6">
            <w:pPr>
              <w:pStyle w:val="Tabletext"/>
              <w:rPr>
                <w:b/>
              </w:rPr>
            </w:pPr>
            <w:r w:rsidRPr="004E2001">
              <w:rPr>
                <w:b/>
              </w:rPr>
              <w:t>Trial</w:t>
            </w:r>
          </w:p>
        </w:tc>
        <w:tc>
          <w:tcPr>
            <w:tcW w:w="393" w:type="pct"/>
            <w:shd w:val="clear" w:color="auto" w:fill="auto"/>
            <w:vAlign w:val="center"/>
          </w:tcPr>
          <w:p w:rsidR="007F1017" w:rsidRPr="004E2001" w:rsidRDefault="007F1017" w:rsidP="003F26F6">
            <w:pPr>
              <w:pStyle w:val="Tabletext"/>
              <w:jc w:val="center"/>
              <w:rPr>
                <w:b/>
              </w:rPr>
            </w:pPr>
            <w:r w:rsidRPr="004E2001">
              <w:rPr>
                <w:b/>
              </w:rPr>
              <w:t>N</w:t>
            </w:r>
          </w:p>
        </w:tc>
        <w:tc>
          <w:tcPr>
            <w:tcW w:w="766" w:type="pct"/>
            <w:shd w:val="clear" w:color="auto" w:fill="auto"/>
            <w:vAlign w:val="center"/>
          </w:tcPr>
          <w:p w:rsidR="007F1017" w:rsidRPr="004E2001" w:rsidRDefault="007F1017" w:rsidP="003F26F6">
            <w:pPr>
              <w:pStyle w:val="Tabletext"/>
              <w:jc w:val="center"/>
              <w:rPr>
                <w:b/>
              </w:rPr>
            </w:pPr>
            <w:r w:rsidRPr="004E2001">
              <w:rPr>
                <w:b/>
              </w:rPr>
              <w:t>Design/ duration</w:t>
            </w:r>
          </w:p>
        </w:tc>
        <w:tc>
          <w:tcPr>
            <w:tcW w:w="524" w:type="pct"/>
            <w:shd w:val="clear" w:color="auto" w:fill="auto"/>
            <w:vAlign w:val="center"/>
          </w:tcPr>
          <w:p w:rsidR="007F1017" w:rsidRPr="004E2001" w:rsidRDefault="007F1017" w:rsidP="003F26F6">
            <w:pPr>
              <w:pStyle w:val="Tabletext"/>
              <w:jc w:val="center"/>
              <w:rPr>
                <w:b/>
              </w:rPr>
            </w:pPr>
            <w:r w:rsidRPr="004E2001">
              <w:rPr>
                <w:b/>
              </w:rPr>
              <w:t>Risk of bias</w:t>
            </w:r>
          </w:p>
        </w:tc>
        <w:tc>
          <w:tcPr>
            <w:tcW w:w="1059" w:type="pct"/>
            <w:shd w:val="clear" w:color="auto" w:fill="auto"/>
            <w:vAlign w:val="center"/>
          </w:tcPr>
          <w:p w:rsidR="007F1017" w:rsidRPr="004E2001" w:rsidRDefault="007F1017" w:rsidP="003F26F6">
            <w:pPr>
              <w:pStyle w:val="Tabletext"/>
              <w:jc w:val="center"/>
              <w:rPr>
                <w:b/>
              </w:rPr>
            </w:pPr>
            <w:r w:rsidRPr="004E2001">
              <w:rPr>
                <w:b/>
              </w:rPr>
              <w:t>Patient population</w:t>
            </w:r>
          </w:p>
        </w:tc>
        <w:tc>
          <w:tcPr>
            <w:tcW w:w="729" w:type="pct"/>
            <w:shd w:val="clear" w:color="auto" w:fill="auto"/>
            <w:vAlign w:val="center"/>
          </w:tcPr>
          <w:p w:rsidR="007F1017" w:rsidRPr="004E2001" w:rsidRDefault="009D046E" w:rsidP="003F26F6">
            <w:pPr>
              <w:pStyle w:val="Tabletext"/>
              <w:jc w:val="center"/>
              <w:rPr>
                <w:b/>
              </w:rPr>
            </w:pPr>
            <w:r w:rsidRPr="004E2001">
              <w:rPr>
                <w:b/>
              </w:rPr>
              <w:t>Outcomes</w:t>
            </w:r>
          </w:p>
        </w:tc>
        <w:tc>
          <w:tcPr>
            <w:tcW w:w="937" w:type="pct"/>
            <w:shd w:val="clear" w:color="auto" w:fill="auto"/>
            <w:vAlign w:val="center"/>
          </w:tcPr>
          <w:p w:rsidR="007F1017" w:rsidRPr="004E2001" w:rsidRDefault="007F1017" w:rsidP="003F26F6">
            <w:pPr>
              <w:pStyle w:val="Tabletext"/>
              <w:jc w:val="center"/>
              <w:rPr>
                <w:b/>
              </w:rPr>
            </w:pPr>
            <w:r w:rsidRPr="004E2001">
              <w:rPr>
                <w:b/>
              </w:rPr>
              <w:t>Use in modelled evaluation</w:t>
            </w:r>
          </w:p>
        </w:tc>
      </w:tr>
      <w:tr w:rsidR="00B41614" w:rsidRPr="004E2001" w:rsidTr="00C56F83">
        <w:trPr>
          <w:tblHeader/>
        </w:trPr>
        <w:tc>
          <w:tcPr>
            <w:tcW w:w="592" w:type="pct"/>
            <w:shd w:val="clear" w:color="auto" w:fill="auto"/>
            <w:vAlign w:val="center"/>
          </w:tcPr>
          <w:p w:rsidR="007F1017" w:rsidRPr="004E2001" w:rsidRDefault="006F68BC" w:rsidP="003F26F6">
            <w:pPr>
              <w:pStyle w:val="Tabletext"/>
            </w:pPr>
            <w:r w:rsidRPr="004E2001">
              <w:t>SUSTAIN 3</w:t>
            </w:r>
          </w:p>
        </w:tc>
        <w:tc>
          <w:tcPr>
            <w:tcW w:w="393" w:type="pct"/>
            <w:shd w:val="clear" w:color="auto" w:fill="auto"/>
            <w:vAlign w:val="center"/>
          </w:tcPr>
          <w:p w:rsidR="007F1017" w:rsidRPr="004E2001" w:rsidRDefault="009D046E" w:rsidP="003F26F6">
            <w:pPr>
              <w:pStyle w:val="Tabletext"/>
              <w:jc w:val="center"/>
            </w:pPr>
            <w:r w:rsidRPr="004E2001">
              <w:t>809</w:t>
            </w:r>
          </w:p>
        </w:tc>
        <w:tc>
          <w:tcPr>
            <w:tcW w:w="766" w:type="pct"/>
            <w:shd w:val="clear" w:color="auto" w:fill="auto"/>
            <w:vAlign w:val="center"/>
          </w:tcPr>
          <w:p w:rsidR="007F1017" w:rsidRPr="004E2001" w:rsidRDefault="007F1017" w:rsidP="003F26F6">
            <w:pPr>
              <w:pStyle w:val="Tabletext"/>
              <w:jc w:val="center"/>
            </w:pPr>
            <w:r w:rsidRPr="004E2001">
              <w:t xml:space="preserve">R, </w:t>
            </w:r>
            <w:r w:rsidR="009D046E" w:rsidRPr="004E2001">
              <w:t>MC, OL, PG</w:t>
            </w:r>
          </w:p>
          <w:p w:rsidR="007F1017" w:rsidRPr="004E2001" w:rsidRDefault="009D046E" w:rsidP="003F26F6">
            <w:pPr>
              <w:pStyle w:val="Tabletext"/>
              <w:jc w:val="center"/>
            </w:pPr>
            <w:r w:rsidRPr="004E2001">
              <w:t>56 weeks</w:t>
            </w:r>
          </w:p>
        </w:tc>
        <w:tc>
          <w:tcPr>
            <w:tcW w:w="524" w:type="pct"/>
            <w:shd w:val="clear" w:color="auto" w:fill="auto"/>
            <w:vAlign w:val="center"/>
          </w:tcPr>
          <w:p w:rsidR="007F1017" w:rsidRPr="004E2001" w:rsidRDefault="009D046E" w:rsidP="003F26F6">
            <w:pPr>
              <w:pStyle w:val="Tabletext"/>
              <w:jc w:val="center"/>
            </w:pPr>
            <w:r w:rsidRPr="004E2001">
              <w:t>High</w:t>
            </w:r>
          </w:p>
        </w:tc>
        <w:tc>
          <w:tcPr>
            <w:tcW w:w="1059" w:type="pct"/>
            <w:shd w:val="clear" w:color="auto" w:fill="auto"/>
            <w:vAlign w:val="center"/>
          </w:tcPr>
          <w:p w:rsidR="007F1017" w:rsidRPr="004E2001" w:rsidRDefault="009D046E" w:rsidP="003F26F6">
            <w:pPr>
              <w:pStyle w:val="Tabletext"/>
              <w:jc w:val="center"/>
            </w:pPr>
            <w:r w:rsidRPr="004E2001">
              <w:t>Type 2 diabetes on metformin alone and/or TZD or SU</w:t>
            </w:r>
          </w:p>
        </w:tc>
        <w:tc>
          <w:tcPr>
            <w:tcW w:w="729" w:type="pct"/>
            <w:shd w:val="clear" w:color="auto" w:fill="auto"/>
            <w:vAlign w:val="center"/>
          </w:tcPr>
          <w:p w:rsidR="007F1017" w:rsidRPr="004E2001" w:rsidRDefault="009D046E" w:rsidP="003F26F6">
            <w:pPr>
              <w:pStyle w:val="Tabletext"/>
              <w:jc w:val="center"/>
            </w:pPr>
            <w:r w:rsidRPr="004E2001">
              <w:t>Change in HbA1c and body weight</w:t>
            </w:r>
          </w:p>
        </w:tc>
        <w:tc>
          <w:tcPr>
            <w:tcW w:w="937" w:type="pct"/>
            <w:shd w:val="clear" w:color="auto" w:fill="auto"/>
            <w:vAlign w:val="center"/>
          </w:tcPr>
          <w:p w:rsidR="007F1017" w:rsidRPr="004E2001" w:rsidRDefault="008B1D34" w:rsidP="003F26F6">
            <w:pPr>
              <w:pStyle w:val="Tabletext"/>
              <w:jc w:val="center"/>
            </w:pPr>
            <w:r w:rsidRPr="004E2001">
              <w:t xml:space="preserve">Change in HbA1c, BMI and other biomarkers </w:t>
            </w:r>
          </w:p>
        </w:tc>
      </w:tr>
      <w:tr w:rsidR="00B41614" w:rsidRPr="004E2001" w:rsidTr="00C56F83">
        <w:trPr>
          <w:tblHeader/>
        </w:trPr>
        <w:tc>
          <w:tcPr>
            <w:tcW w:w="592" w:type="pct"/>
            <w:shd w:val="clear" w:color="auto" w:fill="auto"/>
            <w:vAlign w:val="center"/>
          </w:tcPr>
          <w:p w:rsidR="007F1017" w:rsidRPr="004E2001" w:rsidRDefault="009D046E" w:rsidP="003F26F6">
            <w:pPr>
              <w:pStyle w:val="Tabletext"/>
            </w:pPr>
            <w:r w:rsidRPr="004E2001">
              <w:t>SUSTAIN 7</w:t>
            </w:r>
          </w:p>
        </w:tc>
        <w:tc>
          <w:tcPr>
            <w:tcW w:w="393" w:type="pct"/>
            <w:shd w:val="clear" w:color="auto" w:fill="auto"/>
            <w:vAlign w:val="center"/>
          </w:tcPr>
          <w:p w:rsidR="007F1017" w:rsidRPr="004E2001" w:rsidRDefault="009D046E" w:rsidP="003F26F6">
            <w:pPr>
              <w:pStyle w:val="Tabletext"/>
              <w:jc w:val="center"/>
            </w:pPr>
            <w:r w:rsidRPr="004E2001">
              <w:t>1,199</w:t>
            </w:r>
          </w:p>
        </w:tc>
        <w:tc>
          <w:tcPr>
            <w:tcW w:w="766" w:type="pct"/>
            <w:shd w:val="clear" w:color="auto" w:fill="auto"/>
            <w:vAlign w:val="center"/>
          </w:tcPr>
          <w:p w:rsidR="007F1017" w:rsidRPr="004E2001" w:rsidRDefault="007F1017" w:rsidP="003F26F6">
            <w:pPr>
              <w:pStyle w:val="Tabletext"/>
              <w:jc w:val="center"/>
            </w:pPr>
            <w:r w:rsidRPr="004E2001">
              <w:t xml:space="preserve">R, </w:t>
            </w:r>
            <w:r w:rsidR="009D046E" w:rsidRPr="004E2001">
              <w:t xml:space="preserve">MC, </w:t>
            </w:r>
            <w:r w:rsidRPr="004E2001">
              <w:t>OL</w:t>
            </w:r>
            <w:r w:rsidR="009D046E" w:rsidRPr="004E2001">
              <w:t>, PG</w:t>
            </w:r>
          </w:p>
          <w:p w:rsidR="007F1017" w:rsidRPr="004E2001" w:rsidRDefault="009D046E" w:rsidP="003F26F6">
            <w:pPr>
              <w:pStyle w:val="Tabletext"/>
              <w:jc w:val="center"/>
            </w:pPr>
            <w:r w:rsidRPr="004E2001">
              <w:t>40 weeks</w:t>
            </w:r>
          </w:p>
        </w:tc>
        <w:tc>
          <w:tcPr>
            <w:tcW w:w="524" w:type="pct"/>
            <w:shd w:val="clear" w:color="auto" w:fill="auto"/>
            <w:vAlign w:val="center"/>
          </w:tcPr>
          <w:p w:rsidR="007F1017" w:rsidRPr="004E2001" w:rsidRDefault="007F1017" w:rsidP="003F26F6">
            <w:pPr>
              <w:pStyle w:val="Tabletext"/>
              <w:jc w:val="center"/>
            </w:pPr>
            <w:r w:rsidRPr="004E2001">
              <w:t>High</w:t>
            </w:r>
          </w:p>
        </w:tc>
        <w:tc>
          <w:tcPr>
            <w:tcW w:w="1059" w:type="pct"/>
            <w:shd w:val="clear" w:color="auto" w:fill="auto"/>
            <w:vAlign w:val="center"/>
          </w:tcPr>
          <w:p w:rsidR="007F1017" w:rsidRPr="004E2001" w:rsidRDefault="009D046E" w:rsidP="003F26F6">
            <w:pPr>
              <w:pStyle w:val="Tabletext"/>
              <w:jc w:val="center"/>
            </w:pPr>
            <w:r w:rsidRPr="004E2001">
              <w:t>Type 2 diabetes on metformin alone</w:t>
            </w:r>
          </w:p>
        </w:tc>
        <w:tc>
          <w:tcPr>
            <w:tcW w:w="729" w:type="pct"/>
            <w:shd w:val="clear" w:color="auto" w:fill="auto"/>
            <w:vAlign w:val="center"/>
          </w:tcPr>
          <w:p w:rsidR="007F1017" w:rsidRPr="004E2001" w:rsidRDefault="009D046E" w:rsidP="003F26F6">
            <w:pPr>
              <w:pStyle w:val="Tabletext"/>
              <w:jc w:val="center"/>
            </w:pPr>
            <w:r w:rsidRPr="004E2001">
              <w:t>Change in HbA1c and body weight</w:t>
            </w:r>
          </w:p>
        </w:tc>
        <w:tc>
          <w:tcPr>
            <w:tcW w:w="937" w:type="pct"/>
            <w:shd w:val="clear" w:color="auto" w:fill="auto"/>
            <w:vAlign w:val="center"/>
          </w:tcPr>
          <w:p w:rsidR="007F1017" w:rsidRPr="004E2001" w:rsidRDefault="008B1D34" w:rsidP="003F26F6">
            <w:pPr>
              <w:pStyle w:val="Tabletext"/>
              <w:jc w:val="center"/>
            </w:pPr>
            <w:r w:rsidRPr="004E2001">
              <w:t>Change in HbA1c, BMI and other biomarkers</w:t>
            </w:r>
          </w:p>
        </w:tc>
      </w:tr>
      <w:tr w:rsidR="00B41614" w:rsidRPr="004E2001" w:rsidTr="00C56F83">
        <w:trPr>
          <w:tblHeader/>
        </w:trPr>
        <w:tc>
          <w:tcPr>
            <w:tcW w:w="592" w:type="pct"/>
            <w:shd w:val="clear" w:color="auto" w:fill="auto"/>
            <w:vAlign w:val="center"/>
          </w:tcPr>
          <w:p w:rsidR="007F1017" w:rsidRPr="004E2001" w:rsidRDefault="009D046E" w:rsidP="003F26F6">
            <w:pPr>
              <w:pStyle w:val="Tabletext"/>
            </w:pPr>
            <w:r w:rsidRPr="004E2001">
              <w:t>SUSTAIN 6</w:t>
            </w:r>
          </w:p>
        </w:tc>
        <w:tc>
          <w:tcPr>
            <w:tcW w:w="393" w:type="pct"/>
            <w:shd w:val="clear" w:color="auto" w:fill="auto"/>
            <w:vAlign w:val="center"/>
          </w:tcPr>
          <w:p w:rsidR="007F1017" w:rsidRPr="004E2001" w:rsidRDefault="009D046E" w:rsidP="003F26F6">
            <w:pPr>
              <w:pStyle w:val="Tabletext"/>
              <w:jc w:val="center"/>
            </w:pPr>
            <w:r w:rsidRPr="004E2001">
              <w:t>3,297</w:t>
            </w:r>
          </w:p>
        </w:tc>
        <w:tc>
          <w:tcPr>
            <w:tcW w:w="766" w:type="pct"/>
            <w:shd w:val="clear" w:color="auto" w:fill="auto"/>
            <w:vAlign w:val="center"/>
          </w:tcPr>
          <w:p w:rsidR="007F1017" w:rsidRPr="004E2001" w:rsidRDefault="007F1017" w:rsidP="003F26F6">
            <w:pPr>
              <w:pStyle w:val="Tabletext"/>
              <w:jc w:val="center"/>
            </w:pPr>
            <w:r w:rsidRPr="004E2001">
              <w:t xml:space="preserve">R, </w:t>
            </w:r>
            <w:r w:rsidR="009D046E" w:rsidRPr="004E2001">
              <w:t xml:space="preserve">MC, </w:t>
            </w:r>
            <w:r w:rsidRPr="004E2001">
              <w:t>DB</w:t>
            </w:r>
            <w:r w:rsidR="009D046E" w:rsidRPr="004E2001">
              <w:t>, PG</w:t>
            </w:r>
          </w:p>
          <w:p w:rsidR="007F1017" w:rsidRPr="004E2001" w:rsidRDefault="009D046E" w:rsidP="003F26F6">
            <w:pPr>
              <w:pStyle w:val="Tabletext"/>
              <w:jc w:val="center"/>
            </w:pPr>
            <w:r w:rsidRPr="004E2001">
              <w:t>104 weeks</w:t>
            </w:r>
          </w:p>
        </w:tc>
        <w:tc>
          <w:tcPr>
            <w:tcW w:w="524" w:type="pct"/>
            <w:shd w:val="clear" w:color="auto" w:fill="auto"/>
            <w:vAlign w:val="center"/>
          </w:tcPr>
          <w:p w:rsidR="007F1017" w:rsidRPr="004E2001" w:rsidRDefault="007F1017" w:rsidP="003F26F6">
            <w:pPr>
              <w:pStyle w:val="Tabletext"/>
              <w:jc w:val="center"/>
            </w:pPr>
            <w:r w:rsidRPr="004E2001">
              <w:t>Low</w:t>
            </w:r>
          </w:p>
        </w:tc>
        <w:tc>
          <w:tcPr>
            <w:tcW w:w="1059" w:type="pct"/>
            <w:shd w:val="clear" w:color="auto" w:fill="auto"/>
            <w:vAlign w:val="center"/>
          </w:tcPr>
          <w:p w:rsidR="007F1017" w:rsidRPr="004E2001" w:rsidRDefault="009D046E" w:rsidP="003F26F6">
            <w:pPr>
              <w:pStyle w:val="Tabletext"/>
              <w:jc w:val="center"/>
            </w:pPr>
            <w:r w:rsidRPr="004E2001">
              <w:t>Type 2 diabetes, ≥ 50 years who are treatment-naïve or on up to 2 oral anti-diabetics, with or without insulin; and have high CV risk</w:t>
            </w:r>
          </w:p>
        </w:tc>
        <w:tc>
          <w:tcPr>
            <w:tcW w:w="729" w:type="pct"/>
            <w:shd w:val="clear" w:color="auto" w:fill="auto"/>
            <w:vAlign w:val="center"/>
          </w:tcPr>
          <w:p w:rsidR="007F1017" w:rsidRPr="004E2001" w:rsidRDefault="009D046E" w:rsidP="003F26F6">
            <w:pPr>
              <w:pStyle w:val="Tabletext"/>
              <w:jc w:val="center"/>
            </w:pPr>
            <w:r w:rsidRPr="004E2001">
              <w:t>Cardiovascular events, microvascular complications, change in HbA1c and body weight</w:t>
            </w:r>
          </w:p>
        </w:tc>
        <w:tc>
          <w:tcPr>
            <w:tcW w:w="937" w:type="pct"/>
            <w:shd w:val="clear" w:color="auto" w:fill="auto"/>
            <w:vAlign w:val="center"/>
          </w:tcPr>
          <w:p w:rsidR="007F1017" w:rsidRPr="004E2001" w:rsidRDefault="007F1017" w:rsidP="003F26F6">
            <w:pPr>
              <w:pStyle w:val="Tabletext"/>
              <w:jc w:val="center"/>
            </w:pPr>
            <w:r w:rsidRPr="004E2001">
              <w:t>Not used</w:t>
            </w:r>
          </w:p>
        </w:tc>
      </w:tr>
    </w:tbl>
    <w:p w:rsidR="00045017" w:rsidRPr="004E2001" w:rsidRDefault="009D046E" w:rsidP="003F26F6">
      <w:pPr>
        <w:pStyle w:val="TableFooter"/>
      </w:pPr>
      <w:r w:rsidRPr="004E2001">
        <w:t>Source: Section 2.3 and 2.4, pp 58-81 of the submission</w:t>
      </w:r>
    </w:p>
    <w:p w:rsidR="009D046E" w:rsidRPr="004E2001" w:rsidRDefault="009D046E" w:rsidP="003F26F6">
      <w:pPr>
        <w:pStyle w:val="TableFooter"/>
        <w:rPr>
          <w:sz w:val="20"/>
        </w:rPr>
      </w:pPr>
      <w:r w:rsidRPr="004E2001">
        <w:t xml:space="preserve">Abbreviations: </w:t>
      </w:r>
      <w:r w:rsidR="008B1D34" w:rsidRPr="004E2001">
        <w:t xml:space="preserve">CV, cardiovascular; </w:t>
      </w:r>
      <w:r w:rsidRPr="004E2001">
        <w:t>DB, double-blind, MC, multi-centre; OL, open-label</w:t>
      </w:r>
      <w:r w:rsidR="008B1D34" w:rsidRPr="004E2001">
        <w:t>; PG, parallel-group</w:t>
      </w:r>
      <w:r w:rsidR="0067006C" w:rsidRPr="004E2001">
        <w:t>; R, randomised; SU, sulfonylurea; TZD, thiazolidinediones</w:t>
      </w:r>
    </w:p>
    <w:p w:rsidR="007F1017" w:rsidRPr="004E2001" w:rsidRDefault="007F1017" w:rsidP="003F26F6"/>
    <w:p w:rsidR="00045017" w:rsidRPr="004E2001" w:rsidRDefault="008B1D34" w:rsidP="0076592A">
      <w:pPr>
        <w:pStyle w:val="ListParagraph"/>
        <w:numPr>
          <w:ilvl w:val="1"/>
          <w:numId w:val="2"/>
        </w:numPr>
        <w:jc w:val="both"/>
      </w:pPr>
      <w:r w:rsidRPr="004E2001">
        <w:t>The open-label trial design for the SUSTAIN 3 and SUSTAIN 7 trials ha</w:t>
      </w:r>
      <w:r w:rsidR="001D2FFD" w:rsidRPr="004E2001">
        <w:t>d</w:t>
      </w:r>
      <w:r w:rsidRPr="004E2001">
        <w:t xml:space="preserve"> the potential to introduce bias as knowledge of treatment assignment may affect disease management decisions (particularly the use of concomitant medications), patient expectations and adherence.</w:t>
      </w:r>
      <w:r w:rsidR="00750E0E" w:rsidRPr="004E2001">
        <w:t xml:space="preserve"> </w:t>
      </w:r>
    </w:p>
    <w:p w:rsidR="00064653" w:rsidRPr="004E2001" w:rsidRDefault="008B1D34" w:rsidP="0076592A">
      <w:pPr>
        <w:pStyle w:val="ListParagraph"/>
        <w:numPr>
          <w:ilvl w:val="1"/>
          <w:numId w:val="2"/>
        </w:numPr>
        <w:jc w:val="both"/>
      </w:pPr>
      <w:r w:rsidRPr="004E2001">
        <w:t xml:space="preserve">There was differential discontinuation between treatment arms observed in SUSTAIN 7 and SUSTAIN 6 trials, primarily due to higher rates of gastrointestinal adverse events in the semaglutide treatment arms. Although overall discontinuation rates were </w:t>
      </w:r>
      <w:r w:rsidRPr="004E2001">
        <w:lastRenderedPageBreak/>
        <w:t>similar between arms in the SUSTAIN 3 trial, more patients in the semaglutide treatment arm discontinued due to gastrointestinal adverse events compared with the exenatide arm. The impact of these differences on outcomes in the trials was unclear</w:t>
      </w:r>
      <w:r w:rsidR="004E2001">
        <w:t xml:space="preserve">. </w:t>
      </w:r>
      <w:r w:rsidRPr="004E2001">
        <w:t xml:space="preserve"> </w:t>
      </w:r>
    </w:p>
    <w:p w:rsidR="00B60939" w:rsidRPr="004E2001" w:rsidRDefault="00B60939" w:rsidP="003F26F6">
      <w:pPr>
        <w:pStyle w:val="Heading2"/>
      </w:pPr>
      <w:bookmarkStart w:id="8" w:name="_Toc19615254"/>
      <w:r w:rsidRPr="004E2001">
        <w:t>Comparative effectiveness</w:t>
      </w:r>
      <w:bookmarkEnd w:id="8"/>
    </w:p>
    <w:p w:rsidR="00B60939" w:rsidRPr="004E2001" w:rsidRDefault="00B60939" w:rsidP="003F26F6"/>
    <w:p w:rsidR="00B87180" w:rsidRPr="004E2001" w:rsidRDefault="00B87180" w:rsidP="0076592A">
      <w:pPr>
        <w:pStyle w:val="ListParagraph"/>
        <w:numPr>
          <w:ilvl w:val="1"/>
          <w:numId w:val="2"/>
        </w:numPr>
        <w:jc w:val="both"/>
      </w:pPr>
      <w:r w:rsidRPr="004E2001">
        <w:t>The key trials used subsets of the full analysis set, labelled as ‘on-treatment without rescue medication’ when reporting the primary outcome of change in HbA1c and secondary outcome of change in body weight. The observation period for this dataset censored for premature treatment discontinuations as well as use of anti-diabetic rescue medications. Results from pre-specified sensitivity analyses using alternative datasets including an in-trial analysis (</w:t>
      </w:r>
      <w:r w:rsidR="0073419A" w:rsidRPr="004E2001">
        <w:t>larger set including observations from patients who discontinued treatment prematurely</w:t>
      </w:r>
      <w:r w:rsidRPr="004E2001">
        <w:t>) were consistent with the primary analysis</w:t>
      </w:r>
      <w:r w:rsidR="0073419A" w:rsidRPr="004E2001">
        <w:t xml:space="preserve"> in terms of statistical significance</w:t>
      </w:r>
      <w:r w:rsidRPr="004E2001">
        <w:t xml:space="preserve">, although there were </w:t>
      </w:r>
      <w:r w:rsidR="0073419A" w:rsidRPr="004E2001">
        <w:t>numerical</w:t>
      </w:r>
      <w:r w:rsidRPr="004E2001">
        <w:t xml:space="preserve"> differences between the point estimates which appeared less favourable for semaglutide versus the comparator arms.</w:t>
      </w:r>
    </w:p>
    <w:p w:rsidR="00E57986" w:rsidRPr="004E2001" w:rsidRDefault="004B73C5" w:rsidP="0076592A">
      <w:pPr>
        <w:pStyle w:val="ListParagraph"/>
        <w:numPr>
          <w:ilvl w:val="1"/>
          <w:numId w:val="2"/>
        </w:numPr>
        <w:jc w:val="both"/>
      </w:pPr>
      <w:r w:rsidRPr="004E2001">
        <w:t xml:space="preserve">The submission noted there is no </w:t>
      </w:r>
      <w:r w:rsidR="00470944" w:rsidRPr="004E2001">
        <w:t>consensus</w:t>
      </w:r>
      <w:r w:rsidRPr="004E2001">
        <w:t xml:space="preserve"> between decision makers (regulatory, reimbursement or guidelines) in terms of a minimal clinically important difference (MCID) for individual outcomes based on HbA1c and body weight</w:t>
      </w:r>
      <w:r w:rsidR="00470944" w:rsidRPr="004E2001">
        <w:t xml:space="preserve">. </w:t>
      </w:r>
      <w:r w:rsidR="00965ED0" w:rsidRPr="004E2001">
        <w:t xml:space="preserve">The submission nominated MCIDs as </w:t>
      </w:r>
      <w:r w:rsidR="00470944" w:rsidRPr="004E2001">
        <w:t xml:space="preserve">statistically significant differences of &gt; 0.3% change from baseline HbA1c, &gt; 3.0% change from baseline body weight, &gt; 20% more patients </w:t>
      </w:r>
      <w:r w:rsidR="008E0289" w:rsidRPr="004E2001">
        <w:t xml:space="preserve">achieving </w:t>
      </w:r>
      <w:r w:rsidR="00470944" w:rsidRPr="004E2001">
        <w:t xml:space="preserve">either HbA1c &lt; 7.0% or ≤ 6.5%; and &gt; 20 % more patients </w:t>
      </w:r>
      <w:r w:rsidR="008E0289" w:rsidRPr="004E2001">
        <w:t xml:space="preserve">achieving </w:t>
      </w:r>
      <w:r w:rsidR="00470944" w:rsidRPr="004E2001">
        <w:t>a 5% reduction in body weight.</w:t>
      </w:r>
      <w:r w:rsidR="00787C41" w:rsidRPr="004E2001">
        <w:t xml:space="preserve"> </w:t>
      </w:r>
      <w:r w:rsidR="007C4F0E" w:rsidRPr="004E2001">
        <w:t>The</w:t>
      </w:r>
      <w:r w:rsidR="00787C41" w:rsidRPr="004E2001">
        <w:t xml:space="preserve"> PBAC has </w:t>
      </w:r>
      <w:r w:rsidR="00D10D70" w:rsidRPr="004E2001">
        <w:t xml:space="preserve">previously </w:t>
      </w:r>
      <w:r w:rsidR="00787C41" w:rsidRPr="004E2001">
        <w:t>accepted HbA1c differences of 0.3-0.4%</w:t>
      </w:r>
      <w:r w:rsidR="007C4F0E" w:rsidRPr="004E2001">
        <w:t xml:space="preserve"> as a non-inferiority margin </w:t>
      </w:r>
      <w:r w:rsidR="00787C41" w:rsidRPr="004E2001">
        <w:t>in the context of</w:t>
      </w:r>
      <w:r w:rsidR="007C4F0E" w:rsidRPr="004E2001">
        <w:t xml:space="preserve"> </w:t>
      </w:r>
      <w:r w:rsidR="00787C41" w:rsidRPr="004E2001">
        <w:t>non-inferiority claims</w:t>
      </w:r>
      <w:r w:rsidR="007C4F0E" w:rsidRPr="004E2001">
        <w:t xml:space="preserve"> but has not accepted an MCID for superiority claims</w:t>
      </w:r>
      <w:r w:rsidR="00787C41" w:rsidRPr="004E2001">
        <w:t xml:space="preserve">. </w:t>
      </w:r>
      <w:r w:rsidR="00750E0E" w:rsidRPr="004E2001">
        <w:t xml:space="preserve">The ESC noted that there is no defined </w:t>
      </w:r>
      <w:r w:rsidR="009E612B" w:rsidRPr="004E2001">
        <w:t>cut-off</w:t>
      </w:r>
      <w:r w:rsidR="00750E0E" w:rsidRPr="004E2001">
        <w:t xml:space="preserve"> for </w:t>
      </w:r>
      <w:r w:rsidR="00B4150F" w:rsidRPr="004E2001">
        <w:t xml:space="preserve">determining </w:t>
      </w:r>
      <w:r w:rsidR="00750E0E" w:rsidRPr="004E2001">
        <w:t xml:space="preserve">superiority, however </w:t>
      </w:r>
      <w:r w:rsidR="00922E58" w:rsidRPr="004E2001">
        <w:t>in clinical practice a reduction of 0.5% in HbA1c is used to assess treatment efficacy, in both the Australian Diabetes Society (ADS) Australian blood glucose treatment algorithm</w:t>
      </w:r>
      <w:r w:rsidR="00922E58" w:rsidRPr="004E2001">
        <w:rPr>
          <w:rStyle w:val="FootnoteReference"/>
        </w:rPr>
        <w:footnoteReference w:id="2"/>
      </w:r>
      <w:r w:rsidR="00922E58" w:rsidRPr="004E2001">
        <w:t xml:space="preserve"> and in primary care trials</w:t>
      </w:r>
      <w:r w:rsidR="00750E0E" w:rsidRPr="004E2001">
        <w:t>.</w:t>
      </w:r>
    </w:p>
    <w:p w:rsidR="00BF6543" w:rsidRPr="004E2001" w:rsidRDefault="00E57986" w:rsidP="0076592A">
      <w:pPr>
        <w:pStyle w:val="ListParagraph"/>
        <w:numPr>
          <w:ilvl w:val="1"/>
          <w:numId w:val="2"/>
        </w:numPr>
        <w:jc w:val="both"/>
      </w:pPr>
      <w:r w:rsidRPr="004E2001">
        <w:t>The submission claimed that there are limited data in support of an MCID for weight loss in type 2 diabetes. Regulatory guidelines for weight management products suggest efficacy benchmarks after 1 year of treatment of either: statistically significant difference in weight loss of ≥ 5% between arms; or the proportion of patients with ≥</w:t>
      </w:r>
      <w:r w:rsidR="001D2FFD" w:rsidRPr="004E2001">
        <w:t> </w:t>
      </w:r>
      <w:r w:rsidRPr="004E2001">
        <w:t xml:space="preserve">5% weight loss is at least 35% in the intervention arm, is approximately double the proportion in the placebo arm, and the difference between arms is statistically significant (FDA Draft Guidance Feb 2007). </w:t>
      </w:r>
      <w:r w:rsidR="00787C41" w:rsidRPr="004E2001">
        <w:t>The PBAC has not previously accepted a</w:t>
      </w:r>
      <w:r w:rsidR="007C4F0E" w:rsidRPr="004E2001">
        <w:t xml:space="preserve"> superiority claim for weight loss</w:t>
      </w:r>
      <w:r w:rsidRPr="004E2001">
        <w:t xml:space="preserve"> in type 2 diabetes patients</w:t>
      </w:r>
      <w:r w:rsidR="007C4F0E" w:rsidRPr="004E2001">
        <w:t xml:space="preserve"> due to limitations in the body of evidence provided, with particular concerns regarding long term benefits and durability of weight loss associated with exenatide (exenatide PSD Nov 2008). </w:t>
      </w:r>
      <w:r w:rsidRPr="004E2001">
        <w:t>The PBAC ha</w:t>
      </w:r>
      <w:r w:rsidR="005308A9" w:rsidRPr="004E2001">
        <w:t>d</w:t>
      </w:r>
      <w:r w:rsidRPr="004E2001">
        <w:t xml:space="preserve"> also</w:t>
      </w:r>
      <w:r w:rsidR="00BD51A1" w:rsidRPr="004E2001">
        <w:t xml:space="preserve"> previo</w:t>
      </w:r>
      <w:r w:rsidR="005308A9" w:rsidRPr="004E2001">
        <w:t>u</w:t>
      </w:r>
      <w:r w:rsidR="00BD51A1" w:rsidRPr="004E2001">
        <w:t>s</w:t>
      </w:r>
      <w:r w:rsidR="005308A9" w:rsidRPr="004E2001">
        <w:t>ly</w:t>
      </w:r>
      <w:r w:rsidRPr="004E2001">
        <w:t xml:space="preserve"> raised concerns regarding nominated targets for clinically </w:t>
      </w:r>
      <w:r w:rsidRPr="004E2001">
        <w:lastRenderedPageBreak/>
        <w:t xml:space="preserve">meaningful weight loss in the absence of data surrounding long-term cardiovascular benefits (sibutramine Nov 2006 PSD). </w:t>
      </w:r>
      <w:r w:rsidR="00BF6543" w:rsidRPr="004E2001">
        <w:t>The ESC considered a 3 kg weight loss may be considered important in clinical practice, however it was unclear what the long-term impact of this weight change would be, particularly when treatment was stopped/switched</w:t>
      </w:r>
      <w:r w:rsidR="004E2001">
        <w:t xml:space="preserve">. </w:t>
      </w:r>
    </w:p>
    <w:p w:rsidR="002D794F" w:rsidRPr="004E2001" w:rsidRDefault="007C4F0E" w:rsidP="0076592A">
      <w:pPr>
        <w:pStyle w:val="ListParagraph"/>
        <w:numPr>
          <w:ilvl w:val="1"/>
          <w:numId w:val="2"/>
        </w:numPr>
        <w:jc w:val="both"/>
      </w:pPr>
      <w:r w:rsidRPr="004E2001">
        <w:t xml:space="preserve">The clinical importance of the combined MCID </w:t>
      </w:r>
      <w:r w:rsidR="00E57986" w:rsidRPr="004E2001">
        <w:t xml:space="preserve">for both HbA1c and weight loss effects </w:t>
      </w:r>
      <w:r w:rsidRPr="004E2001">
        <w:t xml:space="preserve">nominated in the submission remains unclear. </w:t>
      </w:r>
    </w:p>
    <w:p w:rsidR="00470944" w:rsidRPr="004E2001" w:rsidRDefault="00470944" w:rsidP="0076592A">
      <w:pPr>
        <w:pStyle w:val="Heading3"/>
      </w:pPr>
      <w:r w:rsidRPr="004E2001">
        <w:t>SUSTAIN 3 (semaglutide 1.0 mg versus exenatide 2.0 mg in dual or triple therapy with metformin and/or sulfonylurea)</w:t>
      </w:r>
    </w:p>
    <w:p w:rsidR="00470944" w:rsidRPr="004E2001" w:rsidRDefault="00470944" w:rsidP="003F26F6"/>
    <w:p w:rsidR="002C2775" w:rsidRPr="004E2001" w:rsidRDefault="00AD6144" w:rsidP="0076592A">
      <w:pPr>
        <w:pStyle w:val="ListParagraph"/>
        <w:numPr>
          <w:ilvl w:val="1"/>
          <w:numId w:val="2"/>
        </w:numPr>
        <w:jc w:val="both"/>
      </w:pPr>
      <w:r w:rsidRPr="004E2001">
        <w:t>Key outcomes for change in HbA1c from the SUSTAIN 3 trial are presented in the table below.</w:t>
      </w:r>
    </w:p>
    <w:p w:rsidR="00AD6144" w:rsidRPr="004E2001" w:rsidRDefault="00AD6144" w:rsidP="003F26F6">
      <w:pPr>
        <w:pStyle w:val="TableHeading0"/>
        <w:spacing w:after="0"/>
        <w:jc w:val="both"/>
      </w:pPr>
      <w:r w:rsidRPr="004E2001">
        <w:t xml:space="preserve">Table 4: </w:t>
      </w:r>
      <w:r w:rsidR="005D6F8B" w:rsidRPr="004E2001">
        <w:t xml:space="preserve">Change in HbA1c (%) and proportion of patients achieving </w:t>
      </w:r>
      <w:r w:rsidR="00FA3964" w:rsidRPr="004E2001">
        <w:t xml:space="preserve">an HbA1c target of &lt; 7.0% </w:t>
      </w:r>
      <w:r w:rsidR="005D6F8B" w:rsidRPr="004E2001">
        <w:t>from baseline to week 56 (on treatment without rescue medication)</w:t>
      </w:r>
    </w:p>
    <w:tbl>
      <w:tblPr>
        <w:tblStyle w:val="TableGrid"/>
        <w:tblW w:w="5000" w:type="pct"/>
        <w:tblLook w:val="04A0" w:firstRow="1" w:lastRow="0" w:firstColumn="1" w:lastColumn="0" w:noHBand="0" w:noVBand="1"/>
        <w:tblCaption w:val="Table 4: Change in HbA1c (%) and proportion of patients achieving an HbA1c target of &lt; 7.0% from baseline to week 56 (on treatment without rescue medication)"/>
      </w:tblPr>
      <w:tblGrid>
        <w:gridCol w:w="1571"/>
        <w:gridCol w:w="566"/>
        <w:gridCol w:w="1246"/>
        <w:gridCol w:w="1204"/>
        <w:gridCol w:w="1357"/>
        <w:gridCol w:w="3073"/>
      </w:tblGrid>
      <w:tr w:rsidR="00AD6144" w:rsidRPr="004E2001" w:rsidTr="00C56F83">
        <w:trPr>
          <w:tblHeader/>
        </w:trPr>
        <w:tc>
          <w:tcPr>
            <w:tcW w:w="1571" w:type="dxa"/>
            <w:vAlign w:val="center"/>
          </w:tcPr>
          <w:p w:rsidR="00AD6144" w:rsidRPr="004E2001" w:rsidRDefault="00AD6144" w:rsidP="003F26F6">
            <w:pPr>
              <w:pStyle w:val="TableText0"/>
              <w:rPr>
                <w:b/>
              </w:rPr>
            </w:pPr>
            <w:r w:rsidRPr="004E2001">
              <w:rPr>
                <w:b/>
              </w:rPr>
              <w:t>Treatment arms</w:t>
            </w:r>
          </w:p>
        </w:tc>
        <w:tc>
          <w:tcPr>
            <w:tcW w:w="566" w:type="dxa"/>
            <w:vAlign w:val="center"/>
          </w:tcPr>
          <w:p w:rsidR="00AD6144" w:rsidRPr="004E2001" w:rsidRDefault="00AD6144" w:rsidP="003F26F6">
            <w:pPr>
              <w:pStyle w:val="TableText0"/>
              <w:jc w:val="center"/>
              <w:rPr>
                <w:b/>
              </w:rPr>
            </w:pPr>
            <w:r w:rsidRPr="004E2001">
              <w:rPr>
                <w:b/>
              </w:rPr>
              <w:t>N</w:t>
            </w:r>
          </w:p>
        </w:tc>
        <w:tc>
          <w:tcPr>
            <w:tcW w:w="1246" w:type="dxa"/>
            <w:vAlign w:val="center"/>
          </w:tcPr>
          <w:p w:rsidR="00AD6144" w:rsidRPr="004E2001" w:rsidRDefault="00AD6144" w:rsidP="003F26F6">
            <w:pPr>
              <w:pStyle w:val="TableText0"/>
              <w:jc w:val="center"/>
              <w:rPr>
                <w:b/>
              </w:rPr>
            </w:pPr>
            <w:r w:rsidRPr="004E2001">
              <w:rPr>
                <w:b/>
              </w:rPr>
              <w:t>Baseline, mean (SD)</w:t>
            </w:r>
          </w:p>
        </w:tc>
        <w:tc>
          <w:tcPr>
            <w:tcW w:w="1204" w:type="dxa"/>
            <w:vAlign w:val="center"/>
          </w:tcPr>
          <w:p w:rsidR="00AD6144" w:rsidRPr="004E2001" w:rsidRDefault="00AD6144" w:rsidP="003F26F6">
            <w:pPr>
              <w:pStyle w:val="TableText0"/>
              <w:jc w:val="center"/>
              <w:rPr>
                <w:b/>
                <w:vertAlign w:val="superscript"/>
              </w:rPr>
            </w:pPr>
            <w:r w:rsidRPr="004E2001">
              <w:rPr>
                <w:b/>
              </w:rPr>
              <w:t>Week 56, mean (SE)</w:t>
            </w:r>
            <w:r w:rsidRPr="004E2001">
              <w:rPr>
                <w:b/>
                <w:vertAlign w:val="superscript"/>
              </w:rPr>
              <w:t>a</w:t>
            </w:r>
          </w:p>
        </w:tc>
        <w:tc>
          <w:tcPr>
            <w:tcW w:w="1357" w:type="dxa"/>
            <w:vAlign w:val="center"/>
          </w:tcPr>
          <w:p w:rsidR="00AD6144" w:rsidRPr="004E2001" w:rsidRDefault="00AD6144" w:rsidP="003F26F6">
            <w:pPr>
              <w:pStyle w:val="TableText0"/>
              <w:jc w:val="center"/>
              <w:rPr>
                <w:b/>
                <w:vertAlign w:val="superscript"/>
              </w:rPr>
            </w:pPr>
            <w:r w:rsidRPr="004E2001">
              <w:rPr>
                <w:b/>
              </w:rPr>
              <w:t>Mean change (SE)</w:t>
            </w:r>
            <w:r w:rsidRPr="004E2001">
              <w:rPr>
                <w:b/>
                <w:vertAlign w:val="superscript"/>
              </w:rPr>
              <w:t>a</w:t>
            </w:r>
          </w:p>
        </w:tc>
        <w:tc>
          <w:tcPr>
            <w:tcW w:w="3073" w:type="dxa"/>
            <w:vAlign w:val="center"/>
          </w:tcPr>
          <w:p w:rsidR="00AD6144" w:rsidRPr="004E2001" w:rsidRDefault="00AD6144" w:rsidP="003F26F6">
            <w:pPr>
              <w:pStyle w:val="TableText0"/>
              <w:jc w:val="center"/>
              <w:rPr>
                <w:b/>
                <w:vertAlign w:val="superscript"/>
              </w:rPr>
            </w:pPr>
            <w:r w:rsidRPr="004E2001">
              <w:rPr>
                <w:b/>
              </w:rPr>
              <w:t>Mean treatment difference (95% CI)</w:t>
            </w:r>
            <w:r w:rsidRPr="004E2001">
              <w:rPr>
                <w:b/>
                <w:vertAlign w:val="superscript"/>
              </w:rPr>
              <w:t>a</w:t>
            </w:r>
          </w:p>
        </w:tc>
      </w:tr>
      <w:tr w:rsidR="00AD6144" w:rsidRPr="004E2001" w:rsidTr="00C56F83">
        <w:trPr>
          <w:tblHeader/>
        </w:trPr>
        <w:tc>
          <w:tcPr>
            <w:tcW w:w="9017" w:type="dxa"/>
            <w:gridSpan w:val="6"/>
            <w:vAlign w:val="center"/>
          </w:tcPr>
          <w:p w:rsidR="00AD6144" w:rsidRPr="004E2001" w:rsidRDefault="00AD6144" w:rsidP="003F26F6">
            <w:pPr>
              <w:pStyle w:val="TableText0"/>
              <w:rPr>
                <w:b/>
              </w:rPr>
            </w:pPr>
            <w:r w:rsidRPr="004E2001">
              <w:rPr>
                <w:b/>
              </w:rPr>
              <w:t>Change in HbA1c (%) from baseline to week 56 [primary outcome]</w:t>
            </w:r>
          </w:p>
        </w:tc>
      </w:tr>
      <w:tr w:rsidR="00AD6144" w:rsidRPr="004E2001" w:rsidTr="00C56F83">
        <w:trPr>
          <w:tblHeader/>
        </w:trPr>
        <w:tc>
          <w:tcPr>
            <w:tcW w:w="1571" w:type="dxa"/>
            <w:tcBorders>
              <w:bottom w:val="single" w:sz="4" w:space="0" w:color="auto"/>
            </w:tcBorders>
            <w:vAlign w:val="center"/>
          </w:tcPr>
          <w:p w:rsidR="00AD6144" w:rsidRPr="004E2001" w:rsidRDefault="00AD6144" w:rsidP="003F26F6">
            <w:pPr>
              <w:pStyle w:val="TableText0"/>
            </w:pPr>
            <w:r w:rsidRPr="004E2001">
              <w:t>Sema 1.0 mg</w:t>
            </w:r>
          </w:p>
        </w:tc>
        <w:tc>
          <w:tcPr>
            <w:tcW w:w="566" w:type="dxa"/>
            <w:tcBorders>
              <w:bottom w:val="single" w:sz="4" w:space="0" w:color="auto"/>
            </w:tcBorders>
            <w:vAlign w:val="center"/>
          </w:tcPr>
          <w:p w:rsidR="00AD6144" w:rsidRPr="004E2001" w:rsidRDefault="00AD6144" w:rsidP="003F26F6">
            <w:pPr>
              <w:pStyle w:val="TableText0"/>
              <w:jc w:val="center"/>
            </w:pPr>
            <w:r w:rsidRPr="004E2001">
              <w:t>291</w:t>
            </w:r>
          </w:p>
        </w:tc>
        <w:tc>
          <w:tcPr>
            <w:tcW w:w="1246" w:type="dxa"/>
            <w:tcBorders>
              <w:bottom w:val="single" w:sz="4" w:space="0" w:color="auto"/>
            </w:tcBorders>
            <w:vAlign w:val="center"/>
          </w:tcPr>
          <w:p w:rsidR="00AD6144" w:rsidRPr="004E2001" w:rsidRDefault="00AD6144" w:rsidP="003F26F6">
            <w:pPr>
              <w:pStyle w:val="TableText0"/>
              <w:jc w:val="center"/>
            </w:pPr>
            <w:r w:rsidRPr="004E2001">
              <w:t>8.36 (0.95)</w:t>
            </w:r>
          </w:p>
        </w:tc>
        <w:tc>
          <w:tcPr>
            <w:tcW w:w="1204" w:type="dxa"/>
            <w:tcBorders>
              <w:bottom w:val="single" w:sz="4" w:space="0" w:color="auto"/>
            </w:tcBorders>
            <w:vAlign w:val="center"/>
          </w:tcPr>
          <w:p w:rsidR="00AD6144" w:rsidRPr="004E2001" w:rsidRDefault="00AD6144" w:rsidP="003F26F6">
            <w:pPr>
              <w:pStyle w:val="TableText0"/>
              <w:jc w:val="center"/>
            </w:pPr>
            <w:r w:rsidRPr="004E2001">
              <w:t>6.81 (0.06)</w:t>
            </w:r>
          </w:p>
        </w:tc>
        <w:tc>
          <w:tcPr>
            <w:tcW w:w="1357" w:type="dxa"/>
            <w:tcBorders>
              <w:bottom w:val="single" w:sz="4" w:space="0" w:color="auto"/>
            </w:tcBorders>
            <w:vAlign w:val="center"/>
          </w:tcPr>
          <w:p w:rsidR="00AD6144" w:rsidRPr="004E2001" w:rsidRDefault="00AD6144" w:rsidP="003F26F6">
            <w:pPr>
              <w:pStyle w:val="TableText0"/>
              <w:jc w:val="center"/>
            </w:pPr>
            <w:r w:rsidRPr="004E2001">
              <w:t>-1.54 (0.06)</w:t>
            </w:r>
          </w:p>
        </w:tc>
        <w:tc>
          <w:tcPr>
            <w:tcW w:w="3073" w:type="dxa"/>
            <w:vMerge w:val="restart"/>
            <w:tcBorders>
              <w:bottom w:val="double" w:sz="4" w:space="0" w:color="auto"/>
            </w:tcBorders>
            <w:vAlign w:val="center"/>
          </w:tcPr>
          <w:p w:rsidR="00AD6144" w:rsidRPr="004E2001" w:rsidRDefault="00AD6144" w:rsidP="003F26F6">
            <w:pPr>
              <w:pStyle w:val="TableText0"/>
              <w:jc w:val="center"/>
            </w:pPr>
            <w:r w:rsidRPr="004E2001">
              <w:t>-0.62 (-0.80, -0.44)</w:t>
            </w:r>
          </w:p>
        </w:tc>
      </w:tr>
      <w:tr w:rsidR="00AD6144" w:rsidRPr="004E2001" w:rsidTr="00C56F83">
        <w:trPr>
          <w:tblHeader/>
        </w:trPr>
        <w:tc>
          <w:tcPr>
            <w:tcW w:w="1571" w:type="dxa"/>
            <w:tcBorders>
              <w:bottom w:val="double" w:sz="4" w:space="0" w:color="auto"/>
            </w:tcBorders>
            <w:vAlign w:val="center"/>
          </w:tcPr>
          <w:p w:rsidR="00AD6144" w:rsidRPr="004E2001" w:rsidRDefault="00AD6144" w:rsidP="003F26F6">
            <w:pPr>
              <w:pStyle w:val="TableText0"/>
            </w:pPr>
            <w:r w:rsidRPr="004E2001">
              <w:t>Exenatide 2.0 mg</w:t>
            </w:r>
          </w:p>
        </w:tc>
        <w:tc>
          <w:tcPr>
            <w:tcW w:w="566" w:type="dxa"/>
            <w:tcBorders>
              <w:bottom w:val="double" w:sz="4" w:space="0" w:color="auto"/>
            </w:tcBorders>
            <w:vAlign w:val="center"/>
          </w:tcPr>
          <w:p w:rsidR="00AD6144" w:rsidRPr="004E2001" w:rsidRDefault="00AD6144" w:rsidP="003F26F6">
            <w:pPr>
              <w:pStyle w:val="TableText0"/>
              <w:jc w:val="center"/>
            </w:pPr>
            <w:r w:rsidRPr="004E2001">
              <w:t>271</w:t>
            </w:r>
          </w:p>
        </w:tc>
        <w:tc>
          <w:tcPr>
            <w:tcW w:w="1246" w:type="dxa"/>
            <w:tcBorders>
              <w:bottom w:val="double" w:sz="4" w:space="0" w:color="auto"/>
            </w:tcBorders>
            <w:vAlign w:val="center"/>
          </w:tcPr>
          <w:p w:rsidR="00AD6144" w:rsidRPr="004E2001" w:rsidRDefault="00AD6144" w:rsidP="003F26F6">
            <w:pPr>
              <w:pStyle w:val="TableText0"/>
              <w:jc w:val="center"/>
            </w:pPr>
            <w:r w:rsidRPr="004E2001">
              <w:t>8.33 (0.96)</w:t>
            </w:r>
          </w:p>
        </w:tc>
        <w:tc>
          <w:tcPr>
            <w:tcW w:w="1204" w:type="dxa"/>
            <w:tcBorders>
              <w:bottom w:val="double" w:sz="4" w:space="0" w:color="auto"/>
            </w:tcBorders>
            <w:vAlign w:val="center"/>
          </w:tcPr>
          <w:p w:rsidR="00AD6144" w:rsidRPr="004E2001" w:rsidRDefault="00AD6144" w:rsidP="003F26F6">
            <w:pPr>
              <w:pStyle w:val="TableText0"/>
              <w:jc w:val="center"/>
            </w:pPr>
            <w:r w:rsidRPr="004E2001">
              <w:t>7.43 (0.06)</w:t>
            </w:r>
          </w:p>
        </w:tc>
        <w:tc>
          <w:tcPr>
            <w:tcW w:w="1357" w:type="dxa"/>
            <w:tcBorders>
              <w:bottom w:val="double" w:sz="4" w:space="0" w:color="auto"/>
            </w:tcBorders>
            <w:vAlign w:val="center"/>
          </w:tcPr>
          <w:p w:rsidR="00AD6144" w:rsidRPr="004E2001" w:rsidRDefault="00AD6144" w:rsidP="003F26F6">
            <w:pPr>
              <w:pStyle w:val="TableText0"/>
              <w:jc w:val="center"/>
            </w:pPr>
            <w:r w:rsidRPr="004E2001">
              <w:t>-0.92 (0.06)</w:t>
            </w:r>
          </w:p>
        </w:tc>
        <w:tc>
          <w:tcPr>
            <w:tcW w:w="3073" w:type="dxa"/>
            <w:vMerge/>
            <w:tcBorders>
              <w:bottom w:val="double" w:sz="4" w:space="0" w:color="auto"/>
            </w:tcBorders>
            <w:vAlign w:val="center"/>
          </w:tcPr>
          <w:p w:rsidR="00AD6144" w:rsidRPr="004E2001" w:rsidRDefault="00AD6144" w:rsidP="003F26F6">
            <w:pPr>
              <w:pStyle w:val="TableText0"/>
            </w:pPr>
          </w:p>
        </w:tc>
      </w:tr>
      <w:tr w:rsidR="00AD6144" w:rsidRPr="004E2001" w:rsidTr="00C56F83">
        <w:trPr>
          <w:tblHeader/>
        </w:trPr>
        <w:tc>
          <w:tcPr>
            <w:tcW w:w="1571" w:type="dxa"/>
            <w:vAlign w:val="center"/>
          </w:tcPr>
          <w:p w:rsidR="00AD6144" w:rsidRPr="004E2001" w:rsidRDefault="00AD6144" w:rsidP="003F26F6">
            <w:pPr>
              <w:pStyle w:val="TableText0"/>
            </w:pPr>
            <w:r w:rsidRPr="004E2001">
              <w:rPr>
                <w:b/>
              </w:rPr>
              <w:t>Treatment arms</w:t>
            </w:r>
          </w:p>
        </w:tc>
        <w:tc>
          <w:tcPr>
            <w:tcW w:w="566" w:type="dxa"/>
            <w:vAlign w:val="center"/>
          </w:tcPr>
          <w:p w:rsidR="00AD6144" w:rsidRPr="004E2001" w:rsidRDefault="00AD6144" w:rsidP="003F26F6">
            <w:pPr>
              <w:pStyle w:val="TableText0"/>
              <w:jc w:val="center"/>
            </w:pPr>
            <w:r w:rsidRPr="004E2001">
              <w:rPr>
                <w:b/>
              </w:rPr>
              <w:t>N</w:t>
            </w:r>
          </w:p>
        </w:tc>
        <w:tc>
          <w:tcPr>
            <w:tcW w:w="3807" w:type="dxa"/>
            <w:gridSpan w:val="3"/>
            <w:vAlign w:val="center"/>
          </w:tcPr>
          <w:p w:rsidR="00AD6144" w:rsidRPr="004E2001" w:rsidRDefault="00AD6144" w:rsidP="003F26F6">
            <w:pPr>
              <w:pStyle w:val="TableText0"/>
              <w:jc w:val="center"/>
            </w:pPr>
            <w:r w:rsidRPr="004E2001">
              <w:rPr>
                <w:b/>
              </w:rPr>
              <w:t>Patients, n/N (%)</w:t>
            </w:r>
          </w:p>
        </w:tc>
        <w:tc>
          <w:tcPr>
            <w:tcW w:w="3073" w:type="dxa"/>
            <w:vAlign w:val="center"/>
          </w:tcPr>
          <w:p w:rsidR="00AD6144" w:rsidRPr="004E2001" w:rsidRDefault="00AD6144" w:rsidP="003F26F6">
            <w:pPr>
              <w:pStyle w:val="TableText0"/>
              <w:jc w:val="center"/>
            </w:pPr>
            <w:r w:rsidRPr="004E2001">
              <w:rPr>
                <w:b/>
              </w:rPr>
              <w:t>Odds ratio (95% CI)</w:t>
            </w:r>
          </w:p>
        </w:tc>
      </w:tr>
      <w:tr w:rsidR="00AD6144" w:rsidRPr="004E2001" w:rsidTr="00C56F83">
        <w:trPr>
          <w:tblHeader/>
        </w:trPr>
        <w:tc>
          <w:tcPr>
            <w:tcW w:w="9017" w:type="dxa"/>
            <w:gridSpan w:val="6"/>
            <w:vAlign w:val="center"/>
          </w:tcPr>
          <w:p w:rsidR="00AD6144" w:rsidRPr="004E2001" w:rsidRDefault="00AD6144" w:rsidP="003F26F6">
            <w:pPr>
              <w:pStyle w:val="TableText0"/>
              <w:rPr>
                <w:b/>
              </w:rPr>
            </w:pPr>
            <w:r w:rsidRPr="004E2001">
              <w:rPr>
                <w:b/>
              </w:rPr>
              <w:t>Proportion of subjects achieving an HbA1c target of &lt; 7.0% at week 56 [exploratory outcome]</w:t>
            </w:r>
          </w:p>
        </w:tc>
      </w:tr>
      <w:tr w:rsidR="00AD6144" w:rsidRPr="004E2001" w:rsidTr="00C56F83">
        <w:trPr>
          <w:tblHeader/>
        </w:trPr>
        <w:tc>
          <w:tcPr>
            <w:tcW w:w="1571" w:type="dxa"/>
            <w:vAlign w:val="center"/>
          </w:tcPr>
          <w:p w:rsidR="00AD6144" w:rsidRPr="004E2001" w:rsidRDefault="00AD6144" w:rsidP="003F26F6">
            <w:pPr>
              <w:pStyle w:val="TableText0"/>
            </w:pPr>
            <w:r w:rsidRPr="004E2001">
              <w:t>Sema 1.0 mg</w:t>
            </w:r>
          </w:p>
        </w:tc>
        <w:tc>
          <w:tcPr>
            <w:tcW w:w="566" w:type="dxa"/>
            <w:vAlign w:val="center"/>
          </w:tcPr>
          <w:p w:rsidR="00AD6144" w:rsidRPr="004E2001" w:rsidRDefault="00AD6144" w:rsidP="003F26F6">
            <w:pPr>
              <w:pStyle w:val="TableText0"/>
              <w:jc w:val="center"/>
            </w:pPr>
            <w:r w:rsidRPr="004E2001">
              <w:t>404</w:t>
            </w:r>
          </w:p>
        </w:tc>
        <w:tc>
          <w:tcPr>
            <w:tcW w:w="3807" w:type="dxa"/>
            <w:gridSpan w:val="3"/>
            <w:vAlign w:val="center"/>
          </w:tcPr>
          <w:p w:rsidR="00AD6144" w:rsidRPr="004E2001" w:rsidRDefault="00AD6144" w:rsidP="003F26F6">
            <w:pPr>
              <w:pStyle w:val="TableText0"/>
              <w:jc w:val="center"/>
            </w:pPr>
            <w:r w:rsidRPr="004E2001">
              <w:t>270/404 (67)</w:t>
            </w:r>
          </w:p>
        </w:tc>
        <w:tc>
          <w:tcPr>
            <w:tcW w:w="3073" w:type="dxa"/>
            <w:vMerge w:val="restart"/>
            <w:vAlign w:val="center"/>
          </w:tcPr>
          <w:p w:rsidR="00AD6144" w:rsidRPr="004E2001" w:rsidRDefault="00AD6144" w:rsidP="003F26F6">
            <w:pPr>
              <w:pStyle w:val="TableText0"/>
              <w:jc w:val="center"/>
            </w:pPr>
            <w:r w:rsidRPr="004E2001">
              <w:t>3.88 (2.80, 5.38)</w:t>
            </w:r>
          </w:p>
        </w:tc>
      </w:tr>
      <w:tr w:rsidR="00AD6144" w:rsidRPr="004E2001" w:rsidTr="00C56F83">
        <w:trPr>
          <w:tblHeader/>
        </w:trPr>
        <w:tc>
          <w:tcPr>
            <w:tcW w:w="1571" w:type="dxa"/>
            <w:vAlign w:val="center"/>
          </w:tcPr>
          <w:p w:rsidR="00AD6144" w:rsidRPr="004E2001" w:rsidRDefault="00AD6144" w:rsidP="003F26F6">
            <w:pPr>
              <w:pStyle w:val="TableText0"/>
            </w:pPr>
            <w:r w:rsidRPr="004E2001">
              <w:t>Exenatide 2.0 mg</w:t>
            </w:r>
          </w:p>
        </w:tc>
        <w:tc>
          <w:tcPr>
            <w:tcW w:w="566" w:type="dxa"/>
            <w:vAlign w:val="center"/>
          </w:tcPr>
          <w:p w:rsidR="00AD6144" w:rsidRPr="004E2001" w:rsidRDefault="00AD6144" w:rsidP="003F26F6">
            <w:pPr>
              <w:pStyle w:val="TableText0"/>
              <w:jc w:val="center"/>
            </w:pPr>
            <w:r w:rsidRPr="004E2001">
              <w:t>405</w:t>
            </w:r>
          </w:p>
        </w:tc>
        <w:tc>
          <w:tcPr>
            <w:tcW w:w="3807" w:type="dxa"/>
            <w:gridSpan w:val="3"/>
            <w:vAlign w:val="center"/>
          </w:tcPr>
          <w:p w:rsidR="00AD6144" w:rsidRPr="004E2001" w:rsidRDefault="00AD6144" w:rsidP="003F26F6">
            <w:pPr>
              <w:pStyle w:val="TableText0"/>
              <w:jc w:val="center"/>
            </w:pPr>
            <w:r w:rsidRPr="004E2001">
              <w:t>161/405 (40)</w:t>
            </w:r>
          </w:p>
        </w:tc>
        <w:tc>
          <w:tcPr>
            <w:tcW w:w="3073" w:type="dxa"/>
            <w:vMerge/>
            <w:vAlign w:val="center"/>
          </w:tcPr>
          <w:p w:rsidR="00AD6144" w:rsidRPr="004E2001" w:rsidRDefault="00AD6144" w:rsidP="003F26F6">
            <w:pPr>
              <w:pStyle w:val="TableText0"/>
            </w:pPr>
          </w:p>
        </w:tc>
      </w:tr>
    </w:tbl>
    <w:p w:rsidR="00AD6144" w:rsidRPr="004E2001" w:rsidRDefault="00AD6144" w:rsidP="003F26F6">
      <w:pPr>
        <w:pStyle w:val="TableFooter"/>
      </w:pPr>
      <w:r w:rsidRPr="004E2001">
        <w:t xml:space="preserve">Source: Table </w:t>
      </w:r>
      <w:r w:rsidR="005D6F8B" w:rsidRPr="004E2001">
        <w:t>14.2.2, p 737 of the SUSTAIN 3 trial report; Table 11-3, p 159 of the SUSTAIN 3 trial report</w:t>
      </w:r>
    </w:p>
    <w:p w:rsidR="005D6F8B" w:rsidRPr="004E2001" w:rsidRDefault="005D6F8B" w:rsidP="003F26F6">
      <w:pPr>
        <w:pStyle w:val="TableFooter"/>
      </w:pPr>
      <w:r w:rsidRPr="004E2001">
        <w:t xml:space="preserve">Abbreviation: CI, confidence interval; </w:t>
      </w:r>
      <w:r w:rsidR="0067006C" w:rsidRPr="004E2001">
        <w:t xml:space="preserve">SD, standard deviation; </w:t>
      </w:r>
      <w:r w:rsidRPr="004E2001">
        <w:t>SE, standard error; sema, semaglutide</w:t>
      </w:r>
    </w:p>
    <w:p w:rsidR="005D6F8B" w:rsidRPr="004E2001" w:rsidRDefault="005D6F8B" w:rsidP="003F26F6">
      <w:pPr>
        <w:pStyle w:val="TableFooter"/>
      </w:pPr>
      <w:r w:rsidRPr="004E2001">
        <w:rPr>
          <w:vertAlign w:val="superscript"/>
        </w:rPr>
        <w:t>a</w:t>
      </w:r>
      <w:r w:rsidRPr="004E2001">
        <w:t xml:space="preserve"> Estimated using a mixed model for repeated measures (treatment and country as fixed factors and baseline value as covariate)</w:t>
      </w:r>
    </w:p>
    <w:p w:rsidR="005D6F8B" w:rsidRPr="004E2001" w:rsidRDefault="005D6F8B" w:rsidP="003F26F6"/>
    <w:p w:rsidR="00DA3167" w:rsidRPr="004E2001" w:rsidRDefault="00FA3964" w:rsidP="0076592A">
      <w:pPr>
        <w:pStyle w:val="ListParagraph"/>
        <w:numPr>
          <w:ilvl w:val="1"/>
          <w:numId w:val="2"/>
        </w:numPr>
        <w:jc w:val="both"/>
      </w:pPr>
      <w:r w:rsidRPr="004E2001">
        <w:t xml:space="preserve">Treatment with semaglutide 1.0 mg once weekly was associated with a statistically significant reduction in percentage HbA1c from baseline to week 56 compared with exenatide 2.0 mg once weekly. At week 56, </w:t>
      </w:r>
      <w:r w:rsidR="00DA1CDC" w:rsidRPr="004E2001">
        <w:t xml:space="preserve">statistically significantly </w:t>
      </w:r>
      <w:r w:rsidRPr="004E2001">
        <w:t>more patients achieved an HbA1c &lt; 7.0% with semaglutide 1.0 mg once weekly compared with exenatide 2.0 mg once weekly.</w:t>
      </w:r>
      <w:r w:rsidR="002351AF" w:rsidRPr="004E2001">
        <w:t xml:space="preserve"> </w:t>
      </w:r>
      <w:r w:rsidR="00B87180" w:rsidRPr="004E2001">
        <w:t>These results should be interpreted with caution due to the open-label trial design. In addition, the authors of the trial publication note the use of a vial and syringe for the administration of exenatide in the trial (instead of pre-filled pens) which may have affected treatment compliance (Ahmann et al 2018)</w:t>
      </w:r>
      <w:r w:rsidR="00BF6543" w:rsidRPr="004E2001">
        <w:t>.</w:t>
      </w:r>
      <w:r w:rsidR="009A13FE" w:rsidRPr="004E2001">
        <w:t xml:space="preserve"> </w:t>
      </w:r>
      <w:r w:rsidR="00BF6543" w:rsidRPr="004E2001">
        <w:t>T</w:t>
      </w:r>
      <w:r w:rsidR="009A13FE" w:rsidRPr="004E2001">
        <w:t xml:space="preserve">he ESC considered </w:t>
      </w:r>
      <w:r w:rsidR="00BF6543" w:rsidRPr="004E2001">
        <w:t xml:space="preserve">the </w:t>
      </w:r>
      <w:r w:rsidR="00754966" w:rsidRPr="004E2001">
        <w:t xml:space="preserve">exenatide vial and syringe administration </w:t>
      </w:r>
      <w:r w:rsidR="009A13FE" w:rsidRPr="004E2001">
        <w:t>could have led to</w:t>
      </w:r>
      <w:r w:rsidR="004F71FB" w:rsidRPr="004E2001">
        <w:t xml:space="preserve"> bias in the study outcomes</w:t>
      </w:r>
      <w:r w:rsidR="00BF6543" w:rsidRPr="004E2001">
        <w:t xml:space="preserve"> with increased di</w:t>
      </w:r>
      <w:r w:rsidR="001D2FFD" w:rsidRPr="004E2001">
        <w:t>s</w:t>
      </w:r>
      <w:r w:rsidR="00BF6543" w:rsidRPr="004E2001">
        <w:t>continuations</w:t>
      </w:r>
      <w:r w:rsidR="00754966" w:rsidRPr="004E2001">
        <w:t xml:space="preserve"> and/</w:t>
      </w:r>
      <w:r w:rsidR="00BF6543" w:rsidRPr="004E2001">
        <w:t>or lower adherence</w:t>
      </w:r>
      <w:r w:rsidR="008250CC" w:rsidRPr="004E2001">
        <w:t xml:space="preserve"> compared to the devices that are now available</w:t>
      </w:r>
      <w:r w:rsidR="004F71FB" w:rsidRPr="004E2001">
        <w:t>.</w:t>
      </w:r>
    </w:p>
    <w:p w:rsidR="00B87180" w:rsidRPr="004E2001" w:rsidRDefault="00B87180" w:rsidP="0076592A">
      <w:pPr>
        <w:pStyle w:val="ListParagraph"/>
        <w:numPr>
          <w:ilvl w:val="1"/>
          <w:numId w:val="2"/>
        </w:numPr>
        <w:jc w:val="both"/>
      </w:pPr>
      <w:r w:rsidRPr="004E2001">
        <w:t xml:space="preserve">The results met the glycaemic control component of the MCID for superiority nominated in the submission based on percentage HbA1c of more than 0.3% and at least 20% more patients achieving </w:t>
      </w:r>
      <w:r w:rsidR="00E57986" w:rsidRPr="004E2001">
        <w:t xml:space="preserve">an </w:t>
      </w:r>
      <w:r w:rsidRPr="004E2001">
        <w:t>HbA1c of &lt; 7.0%.</w:t>
      </w:r>
      <w:r w:rsidR="00E15C6E" w:rsidRPr="004E2001">
        <w:t xml:space="preserve"> </w:t>
      </w:r>
      <w:r w:rsidR="009A13FE" w:rsidRPr="004E2001">
        <w:t xml:space="preserve">The ESC noted that the mean treatment difference also met the clinically significant 0.5% change in accordance with the ADS </w:t>
      </w:r>
      <w:r w:rsidR="00754966" w:rsidRPr="004E2001">
        <w:t>treatment algorithm</w:t>
      </w:r>
      <w:r w:rsidR="009A13FE" w:rsidRPr="004E2001">
        <w:t>.</w:t>
      </w:r>
    </w:p>
    <w:p w:rsidR="00247925" w:rsidRPr="004E2001" w:rsidRDefault="005D6F8B" w:rsidP="0076592A">
      <w:pPr>
        <w:pStyle w:val="ListParagraph"/>
        <w:numPr>
          <w:ilvl w:val="1"/>
          <w:numId w:val="2"/>
        </w:numPr>
        <w:jc w:val="both"/>
      </w:pPr>
      <w:r w:rsidRPr="004E2001">
        <w:rPr>
          <w:rFonts w:cs="Calibri"/>
          <w:snapToGrid/>
        </w:rPr>
        <w:lastRenderedPageBreak/>
        <w:t>Results for change in body weight</w:t>
      </w:r>
      <w:r w:rsidR="00A549B6" w:rsidRPr="004E2001">
        <w:rPr>
          <w:rFonts w:cs="Calibri"/>
          <w:snapToGrid/>
        </w:rPr>
        <w:t xml:space="preserve"> </w:t>
      </w:r>
      <w:r w:rsidR="00A03386" w:rsidRPr="004E2001">
        <w:rPr>
          <w:rFonts w:cs="Calibri"/>
          <w:snapToGrid/>
        </w:rPr>
        <w:t xml:space="preserve">from the SUSTAIN 3 trial </w:t>
      </w:r>
      <w:r w:rsidR="00FA3964" w:rsidRPr="004E2001">
        <w:rPr>
          <w:rFonts w:cs="Calibri"/>
          <w:snapToGrid/>
        </w:rPr>
        <w:t>are summarised in the table below</w:t>
      </w:r>
      <w:r w:rsidR="004E2001">
        <w:rPr>
          <w:rFonts w:cs="Calibri"/>
          <w:snapToGrid/>
        </w:rPr>
        <w:t xml:space="preserve">. </w:t>
      </w:r>
    </w:p>
    <w:p w:rsidR="00FA3964" w:rsidRPr="004E2001" w:rsidRDefault="00FA3964" w:rsidP="003F26F6">
      <w:pPr>
        <w:pStyle w:val="TableHeading0"/>
        <w:keepLines/>
        <w:spacing w:after="0"/>
        <w:jc w:val="both"/>
      </w:pPr>
      <w:r w:rsidRPr="004E2001">
        <w:t>Table 5</w:t>
      </w:r>
      <w:r w:rsidR="00A03386" w:rsidRPr="004E2001">
        <w:t xml:space="preserve">: Change in body weight </w:t>
      </w:r>
      <w:r w:rsidRPr="004E2001">
        <w:t xml:space="preserve">and the proportion of patients achieving ≥ 5% </w:t>
      </w:r>
      <w:r w:rsidR="00A03386" w:rsidRPr="004E2001">
        <w:t xml:space="preserve">weight loss </w:t>
      </w:r>
      <w:r w:rsidRPr="004E2001">
        <w:t>from baseline to week 56 (on treatment without rescue medication)</w:t>
      </w:r>
    </w:p>
    <w:tbl>
      <w:tblPr>
        <w:tblStyle w:val="TableGrid"/>
        <w:tblW w:w="5000" w:type="pct"/>
        <w:tblLook w:val="04A0" w:firstRow="1" w:lastRow="0" w:firstColumn="1" w:lastColumn="0" w:noHBand="0" w:noVBand="1"/>
        <w:tblCaption w:val="Table 5: Change in body weight and the proportion of patients achieving ≥ 5% weight loss from baseline to week 56 (on treatment without rescue medication)"/>
      </w:tblPr>
      <w:tblGrid>
        <w:gridCol w:w="1571"/>
        <w:gridCol w:w="692"/>
        <w:gridCol w:w="1259"/>
        <w:gridCol w:w="1135"/>
        <w:gridCol w:w="1287"/>
        <w:gridCol w:w="3073"/>
      </w:tblGrid>
      <w:tr w:rsidR="00FA3964" w:rsidRPr="004E2001" w:rsidTr="00C56F83">
        <w:trPr>
          <w:tblHeader/>
        </w:trPr>
        <w:tc>
          <w:tcPr>
            <w:tcW w:w="1571" w:type="dxa"/>
            <w:vAlign w:val="center"/>
          </w:tcPr>
          <w:p w:rsidR="00FA3964" w:rsidRPr="004E2001" w:rsidRDefault="00FA3964" w:rsidP="003F26F6">
            <w:pPr>
              <w:pStyle w:val="TableText0"/>
              <w:keepLines/>
              <w:rPr>
                <w:b/>
              </w:rPr>
            </w:pPr>
            <w:r w:rsidRPr="004E2001">
              <w:rPr>
                <w:b/>
              </w:rPr>
              <w:t>Treatment arms</w:t>
            </w:r>
          </w:p>
        </w:tc>
        <w:tc>
          <w:tcPr>
            <w:tcW w:w="692" w:type="dxa"/>
            <w:vAlign w:val="center"/>
          </w:tcPr>
          <w:p w:rsidR="00FA3964" w:rsidRPr="004E2001" w:rsidRDefault="00FA3964" w:rsidP="003F26F6">
            <w:pPr>
              <w:pStyle w:val="TableText0"/>
              <w:keepLines/>
              <w:jc w:val="center"/>
              <w:rPr>
                <w:b/>
              </w:rPr>
            </w:pPr>
            <w:r w:rsidRPr="004E2001">
              <w:rPr>
                <w:b/>
              </w:rPr>
              <w:t>N</w:t>
            </w:r>
          </w:p>
        </w:tc>
        <w:tc>
          <w:tcPr>
            <w:tcW w:w="1259" w:type="dxa"/>
            <w:vAlign w:val="center"/>
          </w:tcPr>
          <w:p w:rsidR="00FA3964" w:rsidRPr="004E2001" w:rsidRDefault="00FA3964" w:rsidP="003F26F6">
            <w:pPr>
              <w:pStyle w:val="TableText0"/>
              <w:keepLines/>
              <w:jc w:val="center"/>
              <w:rPr>
                <w:b/>
              </w:rPr>
            </w:pPr>
            <w:r w:rsidRPr="004E2001">
              <w:rPr>
                <w:b/>
              </w:rPr>
              <w:t>Baseline, mean (SD)</w:t>
            </w:r>
          </w:p>
        </w:tc>
        <w:tc>
          <w:tcPr>
            <w:tcW w:w="1135" w:type="dxa"/>
            <w:vAlign w:val="center"/>
          </w:tcPr>
          <w:p w:rsidR="00FA3964" w:rsidRPr="004E2001" w:rsidRDefault="00FA3964" w:rsidP="003F26F6">
            <w:pPr>
              <w:pStyle w:val="TableText0"/>
              <w:keepLines/>
              <w:jc w:val="center"/>
              <w:rPr>
                <w:b/>
                <w:vertAlign w:val="superscript"/>
              </w:rPr>
            </w:pPr>
            <w:r w:rsidRPr="004E2001">
              <w:rPr>
                <w:b/>
              </w:rPr>
              <w:t>Week 56, mean (SE)</w:t>
            </w:r>
            <w:r w:rsidRPr="004E2001">
              <w:rPr>
                <w:b/>
                <w:vertAlign w:val="superscript"/>
              </w:rPr>
              <w:t>a</w:t>
            </w:r>
          </w:p>
        </w:tc>
        <w:tc>
          <w:tcPr>
            <w:tcW w:w="1287" w:type="dxa"/>
            <w:vAlign w:val="center"/>
          </w:tcPr>
          <w:p w:rsidR="00FA3964" w:rsidRPr="004E2001" w:rsidRDefault="00FA3964" w:rsidP="003F26F6">
            <w:pPr>
              <w:pStyle w:val="TableText0"/>
              <w:keepLines/>
              <w:jc w:val="center"/>
              <w:rPr>
                <w:b/>
                <w:vertAlign w:val="superscript"/>
              </w:rPr>
            </w:pPr>
            <w:r w:rsidRPr="004E2001">
              <w:rPr>
                <w:b/>
              </w:rPr>
              <w:t>Mean change (SE)</w:t>
            </w:r>
            <w:r w:rsidRPr="004E2001">
              <w:rPr>
                <w:b/>
                <w:vertAlign w:val="superscript"/>
              </w:rPr>
              <w:t>a</w:t>
            </w:r>
          </w:p>
        </w:tc>
        <w:tc>
          <w:tcPr>
            <w:tcW w:w="3073" w:type="dxa"/>
            <w:vAlign w:val="center"/>
          </w:tcPr>
          <w:p w:rsidR="00FA3964" w:rsidRPr="004E2001" w:rsidRDefault="00FA3964" w:rsidP="003F26F6">
            <w:pPr>
              <w:pStyle w:val="TableText0"/>
              <w:keepLines/>
              <w:jc w:val="center"/>
              <w:rPr>
                <w:b/>
                <w:vertAlign w:val="superscript"/>
              </w:rPr>
            </w:pPr>
            <w:r w:rsidRPr="004E2001">
              <w:rPr>
                <w:b/>
              </w:rPr>
              <w:t>Mean treatment difference (95% CI)</w:t>
            </w:r>
            <w:r w:rsidRPr="004E2001">
              <w:rPr>
                <w:b/>
                <w:vertAlign w:val="superscript"/>
              </w:rPr>
              <w:t>a</w:t>
            </w:r>
          </w:p>
        </w:tc>
      </w:tr>
      <w:tr w:rsidR="00FA3964" w:rsidRPr="004E2001" w:rsidTr="00C56F83">
        <w:trPr>
          <w:tblHeader/>
        </w:trPr>
        <w:tc>
          <w:tcPr>
            <w:tcW w:w="9017" w:type="dxa"/>
            <w:gridSpan w:val="6"/>
            <w:vAlign w:val="center"/>
          </w:tcPr>
          <w:p w:rsidR="00FA3964" w:rsidRPr="004E2001" w:rsidRDefault="00FA3964" w:rsidP="003F26F6">
            <w:pPr>
              <w:pStyle w:val="TableText0"/>
              <w:keepLines/>
              <w:rPr>
                <w:b/>
              </w:rPr>
            </w:pPr>
            <w:r w:rsidRPr="004E2001">
              <w:rPr>
                <w:b/>
              </w:rPr>
              <w:t>Body weight (kg) [secondary endpoint]</w:t>
            </w:r>
          </w:p>
        </w:tc>
      </w:tr>
      <w:tr w:rsidR="00FA3964" w:rsidRPr="004E2001" w:rsidTr="00C56F83">
        <w:trPr>
          <w:tblHeader/>
        </w:trPr>
        <w:tc>
          <w:tcPr>
            <w:tcW w:w="1571" w:type="dxa"/>
            <w:vAlign w:val="center"/>
          </w:tcPr>
          <w:p w:rsidR="00FA3964" w:rsidRPr="004E2001" w:rsidRDefault="00FA3964" w:rsidP="003F26F6">
            <w:pPr>
              <w:pStyle w:val="TableText0"/>
              <w:keepLines/>
            </w:pPr>
            <w:r w:rsidRPr="004E2001">
              <w:t>Sema 1.0 mg</w:t>
            </w:r>
          </w:p>
        </w:tc>
        <w:tc>
          <w:tcPr>
            <w:tcW w:w="692" w:type="dxa"/>
            <w:vAlign w:val="center"/>
          </w:tcPr>
          <w:p w:rsidR="00FA3964" w:rsidRPr="004E2001" w:rsidRDefault="00FA3964" w:rsidP="003F26F6">
            <w:pPr>
              <w:pStyle w:val="TableText0"/>
              <w:keepLines/>
              <w:jc w:val="center"/>
            </w:pPr>
            <w:r w:rsidRPr="004E2001">
              <w:t>295</w:t>
            </w:r>
          </w:p>
        </w:tc>
        <w:tc>
          <w:tcPr>
            <w:tcW w:w="1259" w:type="dxa"/>
            <w:vAlign w:val="center"/>
          </w:tcPr>
          <w:p w:rsidR="00FA3964" w:rsidRPr="004E2001" w:rsidRDefault="00FA3964" w:rsidP="003F26F6">
            <w:pPr>
              <w:pStyle w:val="TableText0"/>
              <w:keepLines/>
              <w:jc w:val="center"/>
            </w:pPr>
            <w:r w:rsidRPr="004E2001">
              <w:t>96.21 (22.5)</w:t>
            </w:r>
          </w:p>
        </w:tc>
        <w:tc>
          <w:tcPr>
            <w:tcW w:w="1135" w:type="dxa"/>
            <w:vAlign w:val="center"/>
          </w:tcPr>
          <w:p w:rsidR="00FA3964" w:rsidRPr="004E2001" w:rsidRDefault="00FA3964" w:rsidP="003F26F6">
            <w:pPr>
              <w:pStyle w:val="TableText0"/>
              <w:keepLines/>
              <w:jc w:val="center"/>
            </w:pPr>
            <w:r w:rsidRPr="004E2001">
              <w:t>91.23 (0.29)</w:t>
            </w:r>
          </w:p>
        </w:tc>
        <w:tc>
          <w:tcPr>
            <w:tcW w:w="1287" w:type="dxa"/>
            <w:vAlign w:val="center"/>
          </w:tcPr>
          <w:p w:rsidR="00FA3964" w:rsidRPr="004E2001" w:rsidRDefault="00FA3964" w:rsidP="003F26F6">
            <w:pPr>
              <w:pStyle w:val="TableText0"/>
              <w:keepLines/>
              <w:jc w:val="center"/>
            </w:pPr>
            <w:r w:rsidRPr="004E2001">
              <w:t>-5.63 (0.29)</w:t>
            </w:r>
          </w:p>
        </w:tc>
        <w:tc>
          <w:tcPr>
            <w:tcW w:w="3073" w:type="dxa"/>
            <w:vMerge w:val="restart"/>
            <w:vAlign w:val="center"/>
          </w:tcPr>
          <w:p w:rsidR="00FA3964" w:rsidRPr="004E2001" w:rsidRDefault="00FA3964" w:rsidP="003F26F6">
            <w:pPr>
              <w:pStyle w:val="TableText0"/>
              <w:keepLines/>
              <w:jc w:val="center"/>
            </w:pPr>
            <w:r w:rsidRPr="004E2001">
              <w:t>-3.78 (-4.58, -2.98)</w:t>
            </w:r>
          </w:p>
        </w:tc>
      </w:tr>
      <w:tr w:rsidR="00FA3964" w:rsidRPr="004E2001" w:rsidTr="00C56F83">
        <w:trPr>
          <w:tblHeader/>
        </w:trPr>
        <w:tc>
          <w:tcPr>
            <w:tcW w:w="1571" w:type="dxa"/>
            <w:vAlign w:val="center"/>
          </w:tcPr>
          <w:p w:rsidR="00FA3964" w:rsidRPr="004E2001" w:rsidRDefault="00FA3964" w:rsidP="003F26F6">
            <w:pPr>
              <w:pStyle w:val="TableText0"/>
              <w:keepLines/>
            </w:pPr>
            <w:r w:rsidRPr="004E2001">
              <w:t>Exenatide 2.0 mg</w:t>
            </w:r>
          </w:p>
        </w:tc>
        <w:tc>
          <w:tcPr>
            <w:tcW w:w="692" w:type="dxa"/>
            <w:vAlign w:val="center"/>
          </w:tcPr>
          <w:p w:rsidR="00FA3964" w:rsidRPr="004E2001" w:rsidRDefault="00FA3964" w:rsidP="003F26F6">
            <w:pPr>
              <w:pStyle w:val="TableText0"/>
              <w:keepLines/>
              <w:jc w:val="center"/>
            </w:pPr>
            <w:r w:rsidRPr="004E2001">
              <w:t>276</w:t>
            </w:r>
          </w:p>
        </w:tc>
        <w:tc>
          <w:tcPr>
            <w:tcW w:w="1259" w:type="dxa"/>
            <w:vAlign w:val="center"/>
          </w:tcPr>
          <w:p w:rsidR="00FA3964" w:rsidRPr="004E2001" w:rsidRDefault="00FA3964" w:rsidP="003F26F6">
            <w:pPr>
              <w:pStyle w:val="TableText0"/>
              <w:keepLines/>
              <w:jc w:val="center"/>
            </w:pPr>
            <w:r w:rsidRPr="004E2001">
              <w:t>95.37 (20.5)</w:t>
            </w:r>
          </w:p>
        </w:tc>
        <w:tc>
          <w:tcPr>
            <w:tcW w:w="1135" w:type="dxa"/>
            <w:vAlign w:val="center"/>
          </w:tcPr>
          <w:p w:rsidR="00FA3964" w:rsidRPr="004E2001" w:rsidRDefault="00FA3964" w:rsidP="003F26F6">
            <w:pPr>
              <w:pStyle w:val="TableText0"/>
              <w:keepLines/>
              <w:jc w:val="center"/>
            </w:pPr>
            <w:r w:rsidRPr="004E2001">
              <w:t>93.93 (0.29)</w:t>
            </w:r>
          </w:p>
        </w:tc>
        <w:tc>
          <w:tcPr>
            <w:tcW w:w="1287" w:type="dxa"/>
            <w:vAlign w:val="center"/>
          </w:tcPr>
          <w:p w:rsidR="00FA3964" w:rsidRPr="004E2001" w:rsidRDefault="00FA3964" w:rsidP="003F26F6">
            <w:pPr>
              <w:pStyle w:val="TableText0"/>
              <w:keepLines/>
              <w:jc w:val="center"/>
            </w:pPr>
            <w:r w:rsidRPr="004E2001">
              <w:t>-1.85 (0.29)</w:t>
            </w:r>
          </w:p>
        </w:tc>
        <w:tc>
          <w:tcPr>
            <w:tcW w:w="3073" w:type="dxa"/>
            <w:vMerge/>
            <w:vAlign w:val="center"/>
          </w:tcPr>
          <w:p w:rsidR="00FA3964" w:rsidRPr="004E2001" w:rsidRDefault="00FA3964" w:rsidP="003F26F6">
            <w:pPr>
              <w:pStyle w:val="TableText0"/>
              <w:keepLines/>
            </w:pPr>
          </w:p>
        </w:tc>
      </w:tr>
      <w:tr w:rsidR="00FA3964" w:rsidRPr="004E2001" w:rsidTr="00C56F83">
        <w:trPr>
          <w:tblHeader/>
        </w:trPr>
        <w:tc>
          <w:tcPr>
            <w:tcW w:w="9017" w:type="dxa"/>
            <w:gridSpan w:val="6"/>
            <w:vAlign w:val="center"/>
          </w:tcPr>
          <w:p w:rsidR="00FA3964" w:rsidRPr="004E2001" w:rsidRDefault="00FA3964" w:rsidP="003F26F6">
            <w:pPr>
              <w:pStyle w:val="TableText0"/>
              <w:keepLines/>
              <w:rPr>
                <w:b/>
              </w:rPr>
            </w:pPr>
            <w:r w:rsidRPr="004E2001">
              <w:rPr>
                <w:b/>
              </w:rPr>
              <w:t>Body weight (%) [exploratory endpoint]</w:t>
            </w:r>
          </w:p>
        </w:tc>
      </w:tr>
      <w:tr w:rsidR="00FA3964" w:rsidRPr="004E2001" w:rsidTr="00C56F83">
        <w:trPr>
          <w:tblHeader/>
        </w:trPr>
        <w:tc>
          <w:tcPr>
            <w:tcW w:w="1571" w:type="dxa"/>
            <w:tcBorders>
              <w:bottom w:val="single" w:sz="4" w:space="0" w:color="auto"/>
            </w:tcBorders>
            <w:vAlign w:val="center"/>
          </w:tcPr>
          <w:p w:rsidR="00FA3964" w:rsidRPr="004E2001" w:rsidRDefault="00FA3964" w:rsidP="003F26F6">
            <w:pPr>
              <w:pStyle w:val="TableText0"/>
              <w:keepLines/>
            </w:pPr>
            <w:r w:rsidRPr="004E2001">
              <w:t>Sema 1.0 mg</w:t>
            </w:r>
          </w:p>
        </w:tc>
        <w:tc>
          <w:tcPr>
            <w:tcW w:w="692" w:type="dxa"/>
            <w:tcBorders>
              <w:bottom w:val="single" w:sz="4" w:space="0" w:color="auto"/>
            </w:tcBorders>
            <w:vAlign w:val="center"/>
          </w:tcPr>
          <w:p w:rsidR="00FA3964" w:rsidRPr="004E2001" w:rsidRDefault="00FA3964" w:rsidP="003F26F6">
            <w:pPr>
              <w:pStyle w:val="TableText0"/>
              <w:keepLines/>
              <w:jc w:val="center"/>
            </w:pPr>
            <w:r w:rsidRPr="004E2001">
              <w:t>295</w:t>
            </w:r>
          </w:p>
        </w:tc>
        <w:tc>
          <w:tcPr>
            <w:tcW w:w="1259" w:type="dxa"/>
            <w:tcBorders>
              <w:bottom w:val="single" w:sz="4" w:space="0" w:color="auto"/>
            </w:tcBorders>
            <w:vAlign w:val="center"/>
          </w:tcPr>
          <w:p w:rsidR="00FA3964" w:rsidRPr="004E2001" w:rsidRDefault="00FA3964" w:rsidP="003F26F6">
            <w:pPr>
              <w:pStyle w:val="TableText0"/>
              <w:keepLines/>
              <w:jc w:val="center"/>
            </w:pPr>
            <w:r w:rsidRPr="004E2001">
              <w:t>-</w:t>
            </w:r>
          </w:p>
        </w:tc>
        <w:tc>
          <w:tcPr>
            <w:tcW w:w="1135" w:type="dxa"/>
            <w:tcBorders>
              <w:bottom w:val="single" w:sz="4" w:space="0" w:color="auto"/>
            </w:tcBorders>
            <w:vAlign w:val="center"/>
          </w:tcPr>
          <w:p w:rsidR="00FA3964" w:rsidRPr="004E2001" w:rsidRDefault="00FA3964" w:rsidP="003F26F6">
            <w:pPr>
              <w:pStyle w:val="TableText0"/>
              <w:keepLines/>
              <w:jc w:val="center"/>
            </w:pPr>
            <w:r w:rsidRPr="004E2001">
              <w:t>-</w:t>
            </w:r>
          </w:p>
        </w:tc>
        <w:tc>
          <w:tcPr>
            <w:tcW w:w="1287" w:type="dxa"/>
            <w:tcBorders>
              <w:bottom w:val="single" w:sz="4" w:space="0" w:color="auto"/>
            </w:tcBorders>
            <w:vAlign w:val="center"/>
          </w:tcPr>
          <w:p w:rsidR="00FA3964" w:rsidRPr="004E2001" w:rsidRDefault="00FA3964" w:rsidP="003F26F6">
            <w:pPr>
              <w:pStyle w:val="TableText0"/>
              <w:keepLines/>
              <w:jc w:val="center"/>
            </w:pPr>
            <w:r w:rsidRPr="004E2001">
              <w:t>-5.98 (0.29)</w:t>
            </w:r>
          </w:p>
        </w:tc>
        <w:tc>
          <w:tcPr>
            <w:tcW w:w="3073" w:type="dxa"/>
            <w:vMerge w:val="restart"/>
            <w:tcBorders>
              <w:bottom w:val="single" w:sz="4" w:space="0" w:color="auto"/>
            </w:tcBorders>
            <w:vAlign w:val="center"/>
          </w:tcPr>
          <w:p w:rsidR="00FA3964" w:rsidRPr="004E2001" w:rsidRDefault="00FA3964" w:rsidP="003F26F6">
            <w:pPr>
              <w:pStyle w:val="TableText0"/>
              <w:keepLines/>
              <w:jc w:val="center"/>
            </w:pPr>
            <w:r w:rsidRPr="004E2001">
              <w:t>-4.19 (-5.02, -3.36)</w:t>
            </w:r>
          </w:p>
        </w:tc>
      </w:tr>
      <w:tr w:rsidR="00FA3964" w:rsidRPr="004E2001" w:rsidTr="00C56F83">
        <w:trPr>
          <w:tblHeader/>
        </w:trPr>
        <w:tc>
          <w:tcPr>
            <w:tcW w:w="1571" w:type="dxa"/>
            <w:tcBorders>
              <w:bottom w:val="double" w:sz="4" w:space="0" w:color="auto"/>
            </w:tcBorders>
            <w:vAlign w:val="center"/>
          </w:tcPr>
          <w:p w:rsidR="00FA3964" w:rsidRPr="004E2001" w:rsidRDefault="00FA3964" w:rsidP="003F26F6">
            <w:pPr>
              <w:pStyle w:val="TableText0"/>
              <w:keepLines/>
            </w:pPr>
            <w:r w:rsidRPr="004E2001">
              <w:t>Exenatide 2.0 mg</w:t>
            </w:r>
          </w:p>
        </w:tc>
        <w:tc>
          <w:tcPr>
            <w:tcW w:w="692" w:type="dxa"/>
            <w:tcBorders>
              <w:bottom w:val="double" w:sz="4" w:space="0" w:color="auto"/>
            </w:tcBorders>
            <w:vAlign w:val="center"/>
          </w:tcPr>
          <w:p w:rsidR="00FA3964" w:rsidRPr="004E2001" w:rsidRDefault="00FA3964" w:rsidP="003F26F6">
            <w:pPr>
              <w:pStyle w:val="TableText0"/>
              <w:keepLines/>
              <w:jc w:val="center"/>
            </w:pPr>
            <w:r w:rsidRPr="004E2001">
              <w:t>276</w:t>
            </w:r>
          </w:p>
        </w:tc>
        <w:tc>
          <w:tcPr>
            <w:tcW w:w="1259" w:type="dxa"/>
            <w:tcBorders>
              <w:bottom w:val="double" w:sz="4" w:space="0" w:color="auto"/>
            </w:tcBorders>
            <w:vAlign w:val="center"/>
          </w:tcPr>
          <w:p w:rsidR="00FA3964" w:rsidRPr="004E2001" w:rsidRDefault="00FA3964" w:rsidP="003F26F6">
            <w:pPr>
              <w:pStyle w:val="TableText0"/>
              <w:keepLines/>
              <w:jc w:val="center"/>
            </w:pPr>
            <w:r w:rsidRPr="004E2001">
              <w:t>-</w:t>
            </w:r>
          </w:p>
        </w:tc>
        <w:tc>
          <w:tcPr>
            <w:tcW w:w="1135" w:type="dxa"/>
            <w:tcBorders>
              <w:bottom w:val="double" w:sz="4" w:space="0" w:color="auto"/>
            </w:tcBorders>
            <w:vAlign w:val="center"/>
          </w:tcPr>
          <w:p w:rsidR="00FA3964" w:rsidRPr="004E2001" w:rsidRDefault="00FA3964" w:rsidP="003F26F6">
            <w:pPr>
              <w:pStyle w:val="TableText0"/>
              <w:keepLines/>
              <w:jc w:val="center"/>
            </w:pPr>
            <w:r w:rsidRPr="004E2001">
              <w:t>-</w:t>
            </w:r>
          </w:p>
        </w:tc>
        <w:tc>
          <w:tcPr>
            <w:tcW w:w="1287" w:type="dxa"/>
            <w:tcBorders>
              <w:bottom w:val="double" w:sz="4" w:space="0" w:color="auto"/>
            </w:tcBorders>
            <w:vAlign w:val="center"/>
          </w:tcPr>
          <w:p w:rsidR="00FA3964" w:rsidRPr="004E2001" w:rsidRDefault="00FA3964" w:rsidP="003F26F6">
            <w:pPr>
              <w:pStyle w:val="TableText0"/>
              <w:keepLines/>
              <w:jc w:val="center"/>
            </w:pPr>
            <w:r w:rsidRPr="004E2001">
              <w:t>-1.79 (0.30)</w:t>
            </w:r>
          </w:p>
        </w:tc>
        <w:tc>
          <w:tcPr>
            <w:tcW w:w="3073" w:type="dxa"/>
            <w:vMerge/>
            <w:tcBorders>
              <w:bottom w:val="double" w:sz="4" w:space="0" w:color="auto"/>
            </w:tcBorders>
            <w:vAlign w:val="center"/>
          </w:tcPr>
          <w:p w:rsidR="00FA3964" w:rsidRPr="004E2001" w:rsidRDefault="00FA3964" w:rsidP="003F26F6">
            <w:pPr>
              <w:pStyle w:val="TableText0"/>
              <w:keepLines/>
            </w:pPr>
          </w:p>
        </w:tc>
      </w:tr>
      <w:tr w:rsidR="00FA3964" w:rsidRPr="004E2001" w:rsidTr="00C56F83">
        <w:trPr>
          <w:tblHeader/>
        </w:trPr>
        <w:tc>
          <w:tcPr>
            <w:tcW w:w="1571" w:type="dxa"/>
            <w:tcBorders>
              <w:top w:val="double" w:sz="4" w:space="0" w:color="auto"/>
            </w:tcBorders>
            <w:vAlign w:val="center"/>
          </w:tcPr>
          <w:p w:rsidR="00FA3964" w:rsidRPr="004E2001" w:rsidRDefault="00FA3964" w:rsidP="003F26F6">
            <w:pPr>
              <w:pStyle w:val="TableText0"/>
              <w:keepLines/>
            </w:pPr>
            <w:r w:rsidRPr="004E2001">
              <w:rPr>
                <w:b/>
              </w:rPr>
              <w:t>Treatment arms</w:t>
            </w:r>
          </w:p>
        </w:tc>
        <w:tc>
          <w:tcPr>
            <w:tcW w:w="692" w:type="dxa"/>
            <w:tcBorders>
              <w:top w:val="double" w:sz="4" w:space="0" w:color="auto"/>
            </w:tcBorders>
            <w:vAlign w:val="center"/>
          </w:tcPr>
          <w:p w:rsidR="00FA3964" w:rsidRPr="004E2001" w:rsidRDefault="00FA3964" w:rsidP="003F26F6">
            <w:pPr>
              <w:pStyle w:val="TableText0"/>
              <w:keepLines/>
              <w:jc w:val="center"/>
            </w:pPr>
            <w:r w:rsidRPr="004E2001">
              <w:rPr>
                <w:b/>
              </w:rPr>
              <w:t>N</w:t>
            </w:r>
          </w:p>
        </w:tc>
        <w:tc>
          <w:tcPr>
            <w:tcW w:w="3681" w:type="dxa"/>
            <w:gridSpan w:val="3"/>
            <w:tcBorders>
              <w:top w:val="double" w:sz="4" w:space="0" w:color="auto"/>
            </w:tcBorders>
            <w:vAlign w:val="center"/>
          </w:tcPr>
          <w:p w:rsidR="00FA3964" w:rsidRPr="004E2001" w:rsidRDefault="00FA3964" w:rsidP="003F26F6">
            <w:pPr>
              <w:pStyle w:val="TableText0"/>
              <w:keepLines/>
              <w:jc w:val="center"/>
            </w:pPr>
            <w:r w:rsidRPr="004E2001">
              <w:rPr>
                <w:b/>
              </w:rPr>
              <w:t>Patients, n/N (%)</w:t>
            </w:r>
          </w:p>
        </w:tc>
        <w:tc>
          <w:tcPr>
            <w:tcW w:w="3073" w:type="dxa"/>
            <w:tcBorders>
              <w:top w:val="double" w:sz="4" w:space="0" w:color="auto"/>
            </w:tcBorders>
            <w:vAlign w:val="center"/>
          </w:tcPr>
          <w:p w:rsidR="00FA3964" w:rsidRPr="004E2001" w:rsidRDefault="00FA3964" w:rsidP="003F26F6">
            <w:pPr>
              <w:pStyle w:val="TableText0"/>
              <w:keepLines/>
              <w:jc w:val="center"/>
            </w:pPr>
            <w:r w:rsidRPr="004E2001">
              <w:rPr>
                <w:b/>
              </w:rPr>
              <w:t>Odds ratio (95% CI)</w:t>
            </w:r>
          </w:p>
        </w:tc>
      </w:tr>
      <w:tr w:rsidR="00FA3964" w:rsidRPr="004E2001" w:rsidTr="00C56F83">
        <w:trPr>
          <w:tblHeader/>
        </w:trPr>
        <w:tc>
          <w:tcPr>
            <w:tcW w:w="9017" w:type="dxa"/>
            <w:gridSpan w:val="6"/>
            <w:vAlign w:val="center"/>
          </w:tcPr>
          <w:p w:rsidR="00FA3964" w:rsidRPr="004E2001" w:rsidRDefault="00FA3964" w:rsidP="003F26F6">
            <w:pPr>
              <w:pStyle w:val="TableText0"/>
              <w:keepLines/>
              <w:rPr>
                <w:b/>
              </w:rPr>
            </w:pPr>
            <w:r w:rsidRPr="004E2001">
              <w:rPr>
                <w:b/>
              </w:rPr>
              <w:t>Proportion of subjects achieving ≥ 5% weight loss at 56 weeks [exploratory outcome]</w:t>
            </w:r>
          </w:p>
        </w:tc>
      </w:tr>
      <w:tr w:rsidR="00FA3964" w:rsidRPr="004E2001" w:rsidTr="00C56F83">
        <w:trPr>
          <w:tblHeader/>
        </w:trPr>
        <w:tc>
          <w:tcPr>
            <w:tcW w:w="1571" w:type="dxa"/>
            <w:vAlign w:val="center"/>
          </w:tcPr>
          <w:p w:rsidR="00FA3964" w:rsidRPr="004E2001" w:rsidRDefault="00FA3964" w:rsidP="003F26F6">
            <w:pPr>
              <w:pStyle w:val="TableText0"/>
              <w:keepLines/>
            </w:pPr>
            <w:r w:rsidRPr="004E2001">
              <w:t>Sema 1.0 mg</w:t>
            </w:r>
          </w:p>
        </w:tc>
        <w:tc>
          <w:tcPr>
            <w:tcW w:w="692" w:type="dxa"/>
            <w:vAlign w:val="center"/>
          </w:tcPr>
          <w:p w:rsidR="00FA3964" w:rsidRPr="004E2001" w:rsidRDefault="00FA3964" w:rsidP="003F26F6">
            <w:pPr>
              <w:pStyle w:val="TableText0"/>
              <w:keepLines/>
              <w:jc w:val="center"/>
            </w:pPr>
            <w:r w:rsidRPr="004E2001">
              <w:t>404</w:t>
            </w:r>
          </w:p>
        </w:tc>
        <w:tc>
          <w:tcPr>
            <w:tcW w:w="3681" w:type="dxa"/>
            <w:gridSpan w:val="3"/>
            <w:vAlign w:val="center"/>
          </w:tcPr>
          <w:p w:rsidR="00FA3964" w:rsidRPr="004E2001" w:rsidRDefault="00FA3964" w:rsidP="003F26F6">
            <w:pPr>
              <w:pStyle w:val="TableText0"/>
              <w:keepLines/>
              <w:jc w:val="center"/>
              <w:rPr>
                <w:b/>
              </w:rPr>
            </w:pPr>
            <w:r w:rsidRPr="004E2001">
              <w:t>212/404 (52)</w:t>
            </w:r>
          </w:p>
        </w:tc>
        <w:tc>
          <w:tcPr>
            <w:tcW w:w="3073" w:type="dxa"/>
            <w:vMerge w:val="restart"/>
            <w:vAlign w:val="center"/>
          </w:tcPr>
          <w:p w:rsidR="00FA3964" w:rsidRPr="004E2001" w:rsidRDefault="00FA3964" w:rsidP="003F26F6">
            <w:pPr>
              <w:pStyle w:val="TableText0"/>
              <w:keepLines/>
              <w:jc w:val="center"/>
            </w:pPr>
            <w:r w:rsidRPr="004E2001">
              <w:t>5.12 (3.68, 7.11)</w:t>
            </w:r>
          </w:p>
        </w:tc>
      </w:tr>
      <w:tr w:rsidR="00FA3964" w:rsidRPr="004E2001" w:rsidTr="00C56F83">
        <w:trPr>
          <w:tblHeader/>
        </w:trPr>
        <w:tc>
          <w:tcPr>
            <w:tcW w:w="1571" w:type="dxa"/>
            <w:vAlign w:val="center"/>
          </w:tcPr>
          <w:p w:rsidR="00FA3964" w:rsidRPr="004E2001" w:rsidRDefault="00FA3964" w:rsidP="003F26F6">
            <w:pPr>
              <w:pStyle w:val="TableText0"/>
              <w:keepLines/>
            </w:pPr>
            <w:r w:rsidRPr="004E2001">
              <w:t>Exenatide 2.0 mg</w:t>
            </w:r>
          </w:p>
        </w:tc>
        <w:tc>
          <w:tcPr>
            <w:tcW w:w="692" w:type="dxa"/>
            <w:vAlign w:val="center"/>
          </w:tcPr>
          <w:p w:rsidR="00FA3964" w:rsidRPr="004E2001" w:rsidRDefault="00FA3964" w:rsidP="003F26F6">
            <w:pPr>
              <w:pStyle w:val="TableText0"/>
              <w:keepLines/>
              <w:jc w:val="center"/>
            </w:pPr>
            <w:r w:rsidRPr="004E2001">
              <w:t>405</w:t>
            </w:r>
          </w:p>
        </w:tc>
        <w:tc>
          <w:tcPr>
            <w:tcW w:w="3681" w:type="dxa"/>
            <w:gridSpan w:val="3"/>
            <w:vAlign w:val="center"/>
          </w:tcPr>
          <w:p w:rsidR="00FA3964" w:rsidRPr="004E2001" w:rsidRDefault="00FA3964" w:rsidP="003F26F6">
            <w:pPr>
              <w:pStyle w:val="TableText0"/>
              <w:keepLines/>
              <w:jc w:val="center"/>
            </w:pPr>
            <w:r w:rsidRPr="004E2001">
              <w:t>70/405 (17)</w:t>
            </w:r>
          </w:p>
        </w:tc>
        <w:tc>
          <w:tcPr>
            <w:tcW w:w="3073" w:type="dxa"/>
            <w:vMerge/>
            <w:vAlign w:val="center"/>
          </w:tcPr>
          <w:p w:rsidR="00FA3964" w:rsidRPr="004E2001" w:rsidRDefault="00FA3964" w:rsidP="003F26F6">
            <w:pPr>
              <w:pStyle w:val="TableText0"/>
              <w:keepLines/>
            </w:pPr>
          </w:p>
        </w:tc>
      </w:tr>
    </w:tbl>
    <w:p w:rsidR="00FA3964" w:rsidRPr="004E2001" w:rsidRDefault="00FA3964" w:rsidP="003F26F6">
      <w:pPr>
        <w:pStyle w:val="TableFooter"/>
        <w:keepNext/>
        <w:keepLines/>
      </w:pPr>
      <w:r w:rsidRPr="004E2001">
        <w:t>Source: Table 14.2.145, p 908; Table 14.2.143, p 904; Table 14.2.36, p 771; Table 11-4, p 162 of the SUSTAIN 3 trial report</w:t>
      </w:r>
    </w:p>
    <w:p w:rsidR="00FA3964" w:rsidRPr="004E2001" w:rsidRDefault="00FA3964" w:rsidP="003F26F6">
      <w:pPr>
        <w:pStyle w:val="TableFooter"/>
        <w:keepNext/>
        <w:keepLines/>
      </w:pPr>
      <w:r w:rsidRPr="004E2001">
        <w:t xml:space="preserve">Abbreviation: BMI, body mass index; CI, confidence interval; </w:t>
      </w:r>
      <w:r w:rsidR="0067006C" w:rsidRPr="004E2001">
        <w:t xml:space="preserve">SD, standard deviation; </w:t>
      </w:r>
      <w:r w:rsidRPr="004E2001">
        <w:t>SE, standard error; sema, semaglutide</w:t>
      </w:r>
    </w:p>
    <w:p w:rsidR="00FA3964" w:rsidRPr="004E2001" w:rsidRDefault="00FA3964" w:rsidP="003F26F6">
      <w:pPr>
        <w:pStyle w:val="TableFooter"/>
        <w:keepNext/>
        <w:keepLines/>
      </w:pPr>
      <w:r w:rsidRPr="004E2001">
        <w:rPr>
          <w:vertAlign w:val="superscript"/>
        </w:rPr>
        <w:t>a</w:t>
      </w:r>
      <w:r w:rsidRPr="004E2001">
        <w:t xml:space="preserve"> Estimated using a mixed model for repeated measures (treatment and country as fixed factors and baseline value as covariate)</w:t>
      </w:r>
    </w:p>
    <w:p w:rsidR="00FA3964" w:rsidRPr="004E2001" w:rsidRDefault="00FA3964" w:rsidP="003F26F6"/>
    <w:p w:rsidR="00E57986" w:rsidRPr="004E2001" w:rsidRDefault="00470944" w:rsidP="0076592A">
      <w:pPr>
        <w:pStyle w:val="ListParagraph"/>
        <w:numPr>
          <w:ilvl w:val="1"/>
          <w:numId w:val="2"/>
        </w:numPr>
        <w:jc w:val="both"/>
      </w:pPr>
      <w:r w:rsidRPr="004E2001">
        <w:t>Treatment with semaglutide 1.0 mg was associated with a statistically significant reduction in body weight from baseline to week 56 compared with exenatide 2.0 mg. At week 56, more patients achieved a weight loss of ≥ 5% with semaglutide 1.0 mg once weekly compared with exenatide 2.0 mg once weekly. These results should also be interpreted with caution due to potential risk of bias in the trial.</w:t>
      </w:r>
      <w:r w:rsidR="004F71FB" w:rsidRPr="004E2001">
        <w:t xml:space="preserve"> The ESC considered that the </w:t>
      </w:r>
      <w:r w:rsidR="00F71867" w:rsidRPr="004E2001">
        <w:t xml:space="preserve">mean </w:t>
      </w:r>
      <w:r w:rsidR="004F71FB" w:rsidRPr="004E2001">
        <w:t xml:space="preserve">difference </w:t>
      </w:r>
      <w:r w:rsidR="00F71867" w:rsidRPr="004E2001">
        <w:t xml:space="preserve">of 3.78 kg </w:t>
      </w:r>
      <w:r w:rsidR="004F71FB" w:rsidRPr="004E2001">
        <w:t xml:space="preserve">in weight loss </w:t>
      </w:r>
      <w:r w:rsidR="00754966" w:rsidRPr="004E2001">
        <w:t>may be</w:t>
      </w:r>
      <w:r w:rsidR="004F71FB" w:rsidRPr="004E2001">
        <w:t xml:space="preserve"> clinically </w:t>
      </w:r>
      <w:r w:rsidR="00754966" w:rsidRPr="004E2001">
        <w:t>important</w:t>
      </w:r>
      <w:r w:rsidR="004F71FB" w:rsidRPr="004E2001">
        <w:t>.</w:t>
      </w:r>
    </w:p>
    <w:p w:rsidR="00760C4E" w:rsidRPr="004E2001" w:rsidRDefault="00E57986" w:rsidP="0076592A">
      <w:pPr>
        <w:pStyle w:val="ListParagraph"/>
        <w:numPr>
          <w:ilvl w:val="1"/>
          <w:numId w:val="2"/>
        </w:numPr>
        <w:jc w:val="both"/>
      </w:pPr>
      <w:r w:rsidRPr="004E2001">
        <w:t xml:space="preserve">The results </w:t>
      </w:r>
      <w:r w:rsidR="00F02B63" w:rsidRPr="004E2001">
        <w:t xml:space="preserve">for both HbA1c and weight loss </w:t>
      </w:r>
      <w:r w:rsidRPr="004E2001">
        <w:t>met the nominated MCID for superiority based on statistically significant differences of &gt; 0.3% change from baseline HbA1c, &gt; 3.0% change from baseline body weight, &gt; 20% more patients achiev</w:t>
      </w:r>
      <w:r w:rsidR="008E0289" w:rsidRPr="004E2001">
        <w:t>ing</w:t>
      </w:r>
      <w:r w:rsidRPr="004E2001">
        <w:t xml:space="preserve"> either HbA1c &lt; 7.0% or ≤ 6.5%; and &gt; 20 % more patients achiev</w:t>
      </w:r>
      <w:r w:rsidR="008E0289" w:rsidRPr="004E2001">
        <w:t>ing</w:t>
      </w:r>
      <w:r w:rsidRPr="004E2001">
        <w:t xml:space="preserve"> a 5% reduction in body weight. The clinical importance of the nominated MCID</w:t>
      </w:r>
      <w:r w:rsidR="00EA6590" w:rsidRPr="004E2001">
        <w:t>s</w:t>
      </w:r>
      <w:r w:rsidRPr="004E2001">
        <w:t xml:space="preserve"> remains unclear. </w:t>
      </w:r>
    </w:p>
    <w:p w:rsidR="006E4204" w:rsidRPr="004E2001" w:rsidRDefault="006E4204" w:rsidP="0076592A">
      <w:pPr>
        <w:pStyle w:val="ListParagraph"/>
        <w:numPr>
          <w:ilvl w:val="1"/>
          <w:numId w:val="2"/>
        </w:numPr>
        <w:jc w:val="both"/>
      </w:pPr>
      <w:r w:rsidRPr="004E2001">
        <w:t xml:space="preserve">The trial </w:t>
      </w:r>
      <w:r w:rsidR="004E445F" w:rsidRPr="004E2001">
        <w:t xml:space="preserve">estimates represent a </w:t>
      </w:r>
      <w:r w:rsidRPr="004E2001">
        <w:t xml:space="preserve">mixed </w:t>
      </w:r>
      <w:r w:rsidR="004E445F" w:rsidRPr="004E2001">
        <w:t xml:space="preserve">dual (45%) and triple (49%) therapy </w:t>
      </w:r>
      <w:r w:rsidRPr="004E2001">
        <w:t xml:space="preserve">population </w:t>
      </w:r>
      <w:r w:rsidR="004E445F" w:rsidRPr="004E2001">
        <w:t>with</w:t>
      </w:r>
      <w:r w:rsidRPr="004E2001">
        <w:t xml:space="preserve"> a small proportio</w:t>
      </w:r>
      <w:r w:rsidR="00335E2E" w:rsidRPr="004E2001">
        <w:t>n on other anti-diabetics (6%) that</w:t>
      </w:r>
      <w:r w:rsidRPr="004E2001">
        <w:t xml:space="preserve"> may not be generalisable to the PBS population</w:t>
      </w:r>
      <w:r w:rsidR="00335E2E" w:rsidRPr="004E2001">
        <w:t>. The submission claimed</w:t>
      </w:r>
      <w:r w:rsidRPr="004E2001">
        <w:t xml:space="preserve"> that </w:t>
      </w:r>
      <w:r w:rsidR="00335E2E" w:rsidRPr="004E2001">
        <w:t xml:space="preserve">PBS </w:t>
      </w:r>
      <w:r w:rsidRPr="004E2001">
        <w:t xml:space="preserve">use of triple therapy is likely to be higher </w:t>
      </w:r>
      <w:r w:rsidR="00335E2E" w:rsidRPr="004E2001">
        <w:t>than for</w:t>
      </w:r>
      <w:r w:rsidRPr="004E2001">
        <w:t xml:space="preserve"> dual therapy</w:t>
      </w:r>
      <w:r w:rsidR="00335E2E" w:rsidRPr="004E2001">
        <w:t xml:space="preserve"> due to stricter eligibility requirements for dual therapy use</w:t>
      </w:r>
      <w:r w:rsidRPr="004E2001">
        <w:t xml:space="preserve">. The submission </w:t>
      </w:r>
      <w:r w:rsidR="00335E2E" w:rsidRPr="004E2001">
        <w:t xml:space="preserve">also </w:t>
      </w:r>
      <w:r w:rsidRPr="004E2001">
        <w:t xml:space="preserve">claimed that overall population results are probably conservative in this context given numerically greater differences </w:t>
      </w:r>
      <w:r w:rsidR="009C50AB" w:rsidRPr="004E2001">
        <w:t xml:space="preserve">for both change in percentage HbA1c and body weight (kg) </w:t>
      </w:r>
      <w:r w:rsidRPr="004E2001">
        <w:t xml:space="preserve">associated with semaglutide in triple therapy. This claim was inadequately supported as it was based on results </w:t>
      </w:r>
      <w:r w:rsidR="009C50AB" w:rsidRPr="004E2001">
        <w:t>from</w:t>
      </w:r>
      <w:r w:rsidRPr="004E2001">
        <w:t xml:space="preserve"> post-hoc subgr</w:t>
      </w:r>
      <w:r w:rsidR="009C50AB" w:rsidRPr="004E2001">
        <w:t>oup analyse</w:t>
      </w:r>
      <w:r w:rsidRPr="004E2001">
        <w:t>s that may not be r</w:t>
      </w:r>
      <w:r w:rsidR="00335E2E" w:rsidRPr="004E2001">
        <w:t>obust due to potential bias, no adjustment</w:t>
      </w:r>
      <w:r w:rsidRPr="004E2001">
        <w:t xml:space="preserve"> for multiplicity and potential confounding due to imbalances in baseline characteristics and use of dual and triple therapy between arms.</w:t>
      </w:r>
    </w:p>
    <w:p w:rsidR="009604E7" w:rsidRPr="004E2001" w:rsidRDefault="009604E7" w:rsidP="0076592A">
      <w:pPr>
        <w:pStyle w:val="ListParagraph"/>
        <w:numPr>
          <w:ilvl w:val="1"/>
          <w:numId w:val="2"/>
        </w:numPr>
        <w:jc w:val="both"/>
      </w:pPr>
      <w:r w:rsidRPr="004E2001">
        <w:t xml:space="preserve">The submission also presented quality of life data, with results suggesting no statistically significant differences between treatment groups for domains of health status assessed by the 36-item Short Form health survey (SF-36v2). There was a </w:t>
      </w:r>
      <w:r w:rsidRPr="004E2001">
        <w:lastRenderedPageBreak/>
        <w:t>statistically significantly greater improvement in overall treatment satisfaction and self-perceived hyperglycaemia in those treated with semaglutide compared with exenatide based on results from the Diabetes Treatment Satisfaction Questionnaire (DTSQ). The results may be limited by potential bias as both patients and personnel were unblinded to treatment allocation.</w:t>
      </w:r>
      <w:r w:rsidR="00EC2890" w:rsidRPr="004E2001">
        <w:t xml:space="preserve"> </w:t>
      </w:r>
    </w:p>
    <w:p w:rsidR="009604E7" w:rsidRPr="004E2001" w:rsidRDefault="009604E7" w:rsidP="0076592A">
      <w:pPr>
        <w:pStyle w:val="Heading3"/>
        <w:spacing w:after="240"/>
      </w:pPr>
      <w:r w:rsidRPr="004E2001">
        <w:t>SUSTAIN 7 (semaglutide 0.5 mg versus dulaglutide 0.75 mg or semaglutide 1.0 mg versus dulaglutide 1.5 mg, as dual therapy in combination with metformin only)</w:t>
      </w:r>
    </w:p>
    <w:p w:rsidR="00500F63" w:rsidRPr="004E2001" w:rsidRDefault="00500F63" w:rsidP="0076592A">
      <w:pPr>
        <w:pStyle w:val="ListParagraph"/>
        <w:numPr>
          <w:ilvl w:val="1"/>
          <w:numId w:val="2"/>
        </w:numPr>
        <w:jc w:val="both"/>
      </w:pPr>
      <w:r w:rsidRPr="004E2001">
        <w:t xml:space="preserve">The SUSTAIN 7 trial was based on </w:t>
      </w:r>
      <w:r w:rsidR="009F219D" w:rsidRPr="004E2001">
        <w:t xml:space="preserve">low and high dose </w:t>
      </w:r>
      <w:r w:rsidRPr="004E2001">
        <w:t xml:space="preserve">semaglutide versus </w:t>
      </w:r>
      <w:r w:rsidR="009F219D" w:rsidRPr="004E2001">
        <w:t xml:space="preserve">low and high dose </w:t>
      </w:r>
      <w:r w:rsidRPr="004E2001">
        <w:t>dulaglutide when used as dual therapy only.</w:t>
      </w:r>
      <w:r w:rsidR="009F219D" w:rsidRPr="004E2001">
        <w:t xml:space="preserve"> The low dose formulation of dulaglutide (0.75 mg) is not available in Australia.</w:t>
      </w:r>
      <w:r w:rsidRPr="004E2001">
        <w:t xml:space="preserve"> There were no data comparing these interventions in triple therapy. </w:t>
      </w:r>
    </w:p>
    <w:p w:rsidR="00B34FE2" w:rsidRPr="004E2001" w:rsidRDefault="009604E7" w:rsidP="0076592A">
      <w:pPr>
        <w:pStyle w:val="ListParagraph"/>
        <w:numPr>
          <w:ilvl w:val="1"/>
          <w:numId w:val="2"/>
        </w:numPr>
        <w:jc w:val="both"/>
      </w:pPr>
      <w:r w:rsidRPr="004E2001">
        <w:t>Key outcomes for change in HbA1c from the SUSTAIN 7 trial are presented in the table below.</w:t>
      </w:r>
      <w:r w:rsidR="009F219D" w:rsidRPr="004E2001">
        <w:t xml:space="preserve"> The trial was designed to compare low dose semaglutide with low dose dulaglutide; and high dose semaglutide with high dose dulaglutide. </w:t>
      </w:r>
      <w:r w:rsidR="00754966" w:rsidRPr="004E2001">
        <w:t>The results of the post-hoc analysis presented in PSCR comparing 0.5 mg semaglutide once weekly and 1.5 mg dulaglutide once weekly is also presented in the table</w:t>
      </w:r>
      <w:r w:rsidR="008F296E" w:rsidRPr="004E2001">
        <w:t>s</w:t>
      </w:r>
      <w:r w:rsidR="00754966" w:rsidRPr="004E2001">
        <w:t xml:space="preserve"> below.</w:t>
      </w:r>
    </w:p>
    <w:p w:rsidR="009604E7" w:rsidRPr="004E2001" w:rsidRDefault="009604E7" w:rsidP="003F26F6">
      <w:pPr>
        <w:pStyle w:val="TableHeading0"/>
        <w:spacing w:after="0"/>
        <w:jc w:val="both"/>
      </w:pPr>
      <w:r w:rsidRPr="004E2001">
        <w:t>Table 6: Change in HbA1c (%) and proportion of patients achieving an HbA1c target of &lt; 7.0% from baseline to week 40 (on treatment without rescue medication)</w:t>
      </w:r>
    </w:p>
    <w:tbl>
      <w:tblPr>
        <w:tblStyle w:val="TableGrid"/>
        <w:tblW w:w="5000" w:type="pct"/>
        <w:tblLook w:val="04A0" w:firstRow="1" w:lastRow="0" w:firstColumn="1" w:lastColumn="0" w:noHBand="0" w:noVBand="1"/>
        <w:tblCaption w:val="Table 6: Change in HbA1c (%) and proportion of patients achieving an HbA1c target of &lt; 7.0% from baseline to week 40 (on treatment without rescue medication)"/>
      </w:tblPr>
      <w:tblGrid>
        <w:gridCol w:w="1571"/>
        <w:gridCol w:w="566"/>
        <w:gridCol w:w="1246"/>
        <w:gridCol w:w="1204"/>
        <w:gridCol w:w="1357"/>
        <w:gridCol w:w="3073"/>
      </w:tblGrid>
      <w:tr w:rsidR="009604E7" w:rsidRPr="004E2001" w:rsidTr="00F421BA">
        <w:trPr>
          <w:tblHeader/>
        </w:trPr>
        <w:tc>
          <w:tcPr>
            <w:tcW w:w="1571" w:type="dxa"/>
          </w:tcPr>
          <w:p w:rsidR="009604E7" w:rsidRPr="004E2001" w:rsidRDefault="009604E7" w:rsidP="003F26F6">
            <w:pPr>
              <w:pStyle w:val="TableText0"/>
              <w:rPr>
                <w:b/>
              </w:rPr>
            </w:pPr>
            <w:r w:rsidRPr="004E2001">
              <w:rPr>
                <w:b/>
              </w:rPr>
              <w:t>Treatment arms</w:t>
            </w:r>
          </w:p>
        </w:tc>
        <w:tc>
          <w:tcPr>
            <w:tcW w:w="566" w:type="dxa"/>
          </w:tcPr>
          <w:p w:rsidR="009604E7" w:rsidRPr="004E2001" w:rsidRDefault="009604E7" w:rsidP="003F26F6">
            <w:pPr>
              <w:pStyle w:val="TableText0"/>
              <w:jc w:val="center"/>
              <w:rPr>
                <w:b/>
              </w:rPr>
            </w:pPr>
            <w:r w:rsidRPr="004E2001">
              <w:rPr>
                <w:b/>
              </w:rPr>
              <w:t>N</w:t>
            </w:r>
          </w:p>
        </w:tc>
        <w:tc>
          <w:tcPr>
            <w:tcW w:w="1246" w:type="dxa"/>
          </w:tcPr>
          <w:p w:rsidR="009604E7" w:rsidRPr="004E2001" w:rsidRDefault="009604E7" w:rsidP="003F26F6">
            <w:pPr>
              <w:pStyle w:val="TableText0"/>
              <w:jc w:val="center"/>
              <w:rPr>
                <w:b/>
              </w:rPr>
            </w:pPr>
            <w:r w:rsidRPr="004E2001">
              <w:rPr>
                <w:b/>
              </w:rPr>
              <w:t>Baseline, mean (SD)</w:t>
            </w:r>
          </w:p>
        </w:tc>
        <w:tc>
          <w:tcPr>
            <w:tcW w:w="1204" w:type="dxa"/>
          </w:tcPr>
          <w:p w:rsidR="009604E7" w:rsidRPr="004E2001" w:rsidRDefault="009604E7" w:rsidP="003F26F6">
            <w:pPr>
              <w:pStyle w:val="TableText0"/>
              <w:jc w:val="center"/>
              <w:rPr>
                <w:b/>
                <w:vertAlign w:val="superscript"/>
              </w:rPr>
            </w:pPr>
            <w:r w:rsidRPr="004E2001">
              <w:rPr>
                <w:b/>
              </w:rPr>
              <w:t>Week 40, mean (SE)</w:t>
            </w:r>
            <w:r w:rsidRPr="004E2001">
              <w:rPr>
                <w:b/>
                <w:vertAlign w:val="superscript"/>
              </w:rPr>
              <w:t>a</w:t>
            </w:r>
          </w:p>
        </w:tc>
        <w:tc>
          <w:tcPr>
            <w:tcW w:w="1357" w:type="dxa"/>
          </w:tcPr>
          <w:p w:rsidR="009604E7" w:rsidRPr="004E2001" w:rsidRDefault="009604E7" w:rsidP="003F26F6">
            <w:pPr>
              <w:pStyle w:val="TableText0"/>
              <w:jc w:val="center"/>
              <w:rPr>
                <w:b/>
                <w:vertAlign w:val="superscript"/>
              </w:rPr>
            </w:pPr>
            <w:r w:rsidRPr="004E2001">
              <w:rPr>
                <w:b/>
              </w:rPr>
              <w:t>Mean change (SE)</w:t>
            </w:r>
            <w:r w:rsidRPr="004E2001">
              <w:rPr>
                <w:b/>
                <w:vertAlign w:val="superscript"/>
              </w:rPr>
              <w:t>a</w:t>
            </w:r>
          </w:p>
        </w:tc>
        <w:tc>
          <w:tcPr>
            <w:tcW w:w="3073" w:type="dxa"/>
          </w:tcPr>
          <w:p w:rsidR="009604E7" w:rsidRPr="004E2001" w:rsidRDefault="009604E7" w:rsidP="003F26F6">
            <w:pPr>
              <w:pStyle w:val="TableText0"/>
              <w:jc w:val="center"/>
              <w:rPr>
                <w:b/>
                <w:vertAlign w:val="superscript"/>
              </w:rPr>
            </w:pPr>
            <w:r w:rsidRPr="004E2001">
              <w:rPr>
                <w:b/>
              </w:rPr>
              <w:t>Mean treatment difference (95% CI)</w:t>
            </w:r>
            <w:r w:rsidRPr="004E2001">
              <w:rPr>
                <w:b/>
                <w:vertAlign w:val="superscript"/>
              </w:rPr>
              <w:t>a</w:t>
            </w:r>
          </w:p>
        </w:tc>
      </w:tr>
      <w:tr w:rsidR="009604E7" w:rsidRPr="004E2001" w:rsidTr="00F421BA">
        <w:trPr>
          <w:tblHeader/>
        </w:trPr>
        <w:tc>
          <w:tcPr>
            <w:tcW w:w="9017" w:type="dxa"/>
            <w:gridSpan w:val="6"/>
          </w:tcPr>
          <w:p w:rsidR="009604E7" w:rsidRPr="004E2001" w:rsidRDefault="009604E7" w:rsidP="003F26F6">
            <w:pPr>
              <w:pStyle w:val="TableText0"/>
              <w:rPr>
                <w:b/>
              </w:rPr>
            </w:pPr>
            <w:r w:rsidRPr="004E2001">
              <w:rPr>
                <w:b/>
              </w:rPr>
              <w:t>Change in HbA1c (%) from baseline to week 40 [primary outcome]</w:t>
            </w:r>
          </w:p>
        </w:tc>
      </w:tr>
      <w:tr w:rsidR="009604E7" w:rsidRPr="004E2001" w:rsidTr="00F421BA">
        <w:trPr>
          <w:tblHeader/>
        </w:trPr>
        <w:tc>
          <w:tcPr>
            <w:tcW w:w="1571" w:type="dxa"/>
          </w:tcPr>
          <w:p w:rsidR="009604E7" w:rsidRPr="004E2001" w:rsidRDefault="009604E7" w:rsidP="003F26F6">
            <w:pPr>
              <w:pStyle w:val="TableText0"/>
            </w:pPr>
            <w:r w:rsidRPr="004E2001">
              <w:t>Sema 0.5 mg</w:t>
            </w:r>
          </w:p>
        </w:tc>
        <w:tc>
          <w:tcPr>
            <w:tcW w:w="566" w:type="dxa"/>
          </w:tcPr>
          <w:p w:rsidR="009604E7" w:rsidRPr="004E2001" w:rsidRDefault="009604E7" w:rsidP="003F26F6">
            <w:pPr>
              <w:pStyle w:val="TableText0"/>
              <w:jc w:val="center"/>
            </w:pPr>
            <w:r w:rsidRPr="004E2001">
              <w:t>244</w:t>
            </w:r>
          </w:p>
        </w:tc>
        <w:tc>
          <w:tcPr>
            <w:tcW w:w="1246" w:type="dxa"/>
          </w:tcPr>
          <w:p w:rsidR="009604E7" w:rsidRPr="004E2001" w:rsidRDefault="009604E7" w:rsidP="003F26F6">
            <w:pPr>
              <w:pStyle w:val="TableText0"/>
              <w:jc w:val="center"/>
            </w:pPr>
            <w:r w:rsidRPr="004E2001">
              <w:t>8.3 (0.96)</w:t>
            </w:r>
          </w:p>
        </w:tc>
        <w:tc>
          <w:tcPr>
            <w:tcW w:w="1204" w:type="dxa"/>
          </w:tcPr>
          <w:p w:rsidR="009604E7" w:rsidRPr="004E2001" w:rsidRDefault="009604E7" w:rsidP="003F26F6">
            <w:pPr>
              <w:pStyle w:val="TableText0"/>
              <w:jc w:val="center"/>
            </w:pPr>
            <w:r w:rsidRPr="004E2001">
              <w:t>6.72 (0.06)</w:t>
            </w:r>
          </w:p>
        </w:tc>
        <w:tc>
          <w:tcPr>
            <w:tcW w:w="1357" w:type="dxa"/>
          </w:tcPr>
          <w:p w:rsidR="009604E7" w:rsidRPr="004E2001" w:rsidRDefault="009604E7" w:rsidP="003F26F6">
            <w:pPr>
              <w:pStyle w:val="TableText0"/>
              <w:jc w:val="center"/>
            </w:pPr>
            <w:r w:rsidRPr="004E2001">
              <w:t>-1.51 (0.06)</w:t>
            </w:r>
          </w:p>
        </w:tc>
        <w:tc>
          <w:tcPr>
            <w:tcW w:w="3073" w:type="dxa"/>
            <w:vMerge w:val="restart"/>
            <w:vAlign w:val="center"/>
          </w:tcPr>
          <w:p w:rsidR="009604E7" w:rsidRPr="004E2001" w:rsidRDefault="009604E7" w:rsidP="003F26F6">
            <w:pPr>
              <w:pStyle w:val="TableText0"/>
              <w:jc w:val="center"/>
            </w:pPr>
            <w:r w:rsidRPr="004E2001">
              <w:t>-0.40 (-0.55, -0.25)</w:t>
            </w:r>
          </w:p>
        </w:tc>
      </w:tr>
      <w:tr w:rsidR="009604E7" w:rsidRPr="004E2001" w:rsidTr="00F421BA">
        <w:trPr>
          <w:tblHeader/>
        </w:trPr>
        <w:tc>
          <w:tcPr>
            <w:tcW w:w="1571" w:type="dxa"/>
          </w:tcPr>
          <w:p w:rsidR="009604E7" w:rsidRPr="004E2001" w:rsidRDefault="009604E7" w:rsidP="003F26F6">
            <w:pPr>
              <w:pStyle w:val="TableText0"/>
            </w:pPr>
            <w:r w:rsidRPr="004E2001">
              <w:t>Dula 0.75 mg</w:t>
            </w:r>
          </w:p>
        </w:tc>
        <w:tc>
          <w:tcPr>
            <w:tcW w:w="566" w:type="dxa"/>
          </w:tcPr>
          <w:p w:rsidR="009604E7" w:rsidRPr="004E2001" w:rsidRDefault="009604E7" w:rsidP="003F26F6">
            <w:pPr>
              <w:pStyle w:val="TableText0"/>
              <w:jc w:val="center"/>
            </w:pPr>
            <w:r w:rsidRPr="004E2001">
              <w:t>250</w:t>
            </w:r>
          </w:p>
        </w:tc>
        <w:tc>
          <w:tcPr>
            <w:tcW w:w="1246" w:type="dxa"/>
          </w:tcPr>
          <w:p w:rsidR="009604E7" w:rsidRPr="004E2001" w:rsidRDefault="009604E7" w:rsidP="003F26F6">
            <w:pPr>
              <w:pStyle w:val="TableText0"/>
              <w:jc w:val="center"/>
            </w:pPr>
            <w:r w:rsidRPr="004E2001">
              <w:t>8.2 (0.91)</w:t>
            </w:r>
          </w:p>
        </w:tc>
        <w:tc>
          <w:tcPr>
            <w:tcW w:w="1204" w:type="dxa"/>
          </w:tcPr>
          <w:p w:rsidR="009604E7" w:rsidRPr="004E2001" w:rsidRDefault="009604E7" w:rsidP="003F26F6">
            <w:pPr>
              <w:pStyle w:val="TableText0"/>
              <w:jc w:val="center"/>
            </w:pPr>
            <w:r w:rsidRPr="004E2001">
              <w:t>7.12 (0.05)</w:t>
            </w:r>
          </w:p>
        </w:tc>
        <w:tc>
          <w:tcPr>
            <w:tcW w:w="1357" w:type="dxa"/>
          </w:tcPr>
          <w:p w:rsidR="009604E7" w:rsidRPr="004E2001" w:rsidRDefault="009604E7" w:rsidP="003F26F6">
            <w:pPr>
              <w:pStyle w:val="TableText0"/>
              <w:jc w:val="center"/>
            </w:pPr>
            <w:r w:rsidRPr="004E2001">
              <w:t>-1.11 (0.05)</w:t>
            </w:r>
          </w:p>
        </w:tc>
        <w:tc>
          <w:tcPr>
            <w:tcW w:w="3073" w:type="dxa"/>
            <w:vMerge/>
            <w:vAlign w:val="center"/>
          </w:tcPr>
          <w:p w:rsidR="009604E7" w:rsidRPr="004E2001" w:rsidRDefault="009604E7" w:rsidP="003F26F6">
            <w:pPr>
              <w:pStyle w:val="TableText0"/>
              <w:jc w:val="center"/>
            </w:pPr>
          </w:p>
        </w:tc>
      </w:tr>
      <w:tr w:rsidR="009604E7" w:rsidRPr="004E2001" w:rsidTr="00F421BA">
        <w:trPr>
          <w:tblHeader/>
        </w:trPr>
        <w:tc>
          <w:tcPr>
            <w:tcW w:w="1571" w:type="dxa"/>
          </w:tcPr>
          <w:p w:rsidR="009604E7" w:rsidRPr="004E2001" w:rsidRDefault="009604E7" w:rsidP="003F26F6">
            <w:pPr>
              <w:pStyle w:val="TableText0"/>
            </w:pPr>
            <w:r w:rsidRPr="004E2001">
              <w:t>Sema 1.0 mg</w:t>
            </w:r>
          </w:p>
        </w:tc>
        <w:tc>
          <w:tcPr>
            <w:tcW w:w="566" w:type="dxa"/>
          </w:tcPr>
          <w:p w:rsidR="009604E7" w:rsidRPr="004E2001" w:rsidRDefault="009604E7" w:rsidP="003F26F6">
            <w:pPr>
              <w:pStyle w:val="TableText0"/>
              <w:jc w:val="center"/>
            </w:pPr>
            <w:r w:rsidRPr="004E2001">
              <w:t>240</w:t>
            </w:r>
          </w:p>
        </w:tc>
        <w:tc>
          <w:tcPr>
            <w:tcW w:w="1246" w:type="dxa"/>
          </w:tcPr>
          <w:p w:rsidR="009604E7" w:rsidRPr="004E2001" w:rsidRDefault="009604E7" w:rsidP="003F26F6">
            <w:pPr>
              <w:pStyle w:val="TableText0"/>
              <w:jc w:val="center"/>
            </w:pPr>
            <w:r w:rsidRPr="004E2001">
              <w:t>8.2 (0.92)</w:t>
            </w:r>
          </w:p>
        </w:tc>
        <w:tc>
          <w:tcPr>
            <w:tcW w:w="1204" w:type="dxa"/>
          </w:tcPr>
          <w:p w:rsidR="009604E7" w:rsidRPr="004E2001" w:rsidRDefault="009604E7" w:rsidP="003F26F6">
            <w:pPr>
              <w:pStyle w:val="TableText0"/>
              <w:jc w:val="center"/>
            </w:pPr>
            <w:r w:rsidRPr="004E2001">
              <w:t>6.45 (0.06)</w:t>
            </w:r>
          </w:p>
        </w:tc>
        <w:tc>
          <w:tcPr>
            <w:tcW w:w="1357" w:type="dxa"/>
          </w:tcPr>
          <w:p w:rsidR="009604E7" w:rsidRPr="004E2001" w:rsidRDefault="009604E7" w:rsidP="003F26F6">
            <w:pPr>
              <w:pStyle w:val="TableText0"/>
              <w:jc w:val="center"/>
            </w:pPr>
            <w:r w:rsidRPr="004E2001">
              <w:t>-1.78 (0.06)</w:t>
            </w:r>
          </w:p>
        </w:tc>
        <w:tc>
          <w:tcPr>
            <w:tcW w:w="3073" w:type="dxa"/>
            <w:vMerge w:val="restart"/>
            <w:vAlign w:val="center"/>
          </w:tcPr>
          <w:p w:rsidR="009604E7" w:rsidRPr="004E2001" w:rsidRDefault="009604E7" w:rsidP="003F26F6">
            <w:pPr>
              <w:pStyle w:val="TableText0"/>
              <w:jc w:val="center"/>
            </w:pPr>
            <w:r w:rsidRPr="004E2001">
              <w:t>-0.41 (-0.57, -0.25)</w:t>
            </w:r>
          </w:p>
        </w:tc>
      </w:tr>
      <w:tr w:rsidR="009604E7" w:rsidRPr="004E2001" w:rsidTr="00F421BA">
        <w:trPr>
          <w:tblHeader/>
        </w:trPr>
        <w:tc>
          <w:tcPr>
            <w:tcW w:w="1571" w:type="dxa"/>
          </w:tcPr>
          <w:p w:rsidR="009604E7" w:rsidRPr="004E2001" w:rsidRDefault="009604E7" w:rsidP="003F26F6">
            <w:pPr>
              <w:pStyle w:val="TableText0"/>
            </w:pPr>
            <w:r w:rsidRPr="004E2001">
              <w:t>Dula 1.5 mg</w:t>
            </w:r>
          </w:p>
        </w:tc>
        <w:tc>
          <w:tcPr>
            <w:tcW w:w="566" w:type="dxa"/>
          </w:tcPr>
          <w:p w:rsidR="009604E7" w:rsidRPr="004E2001" w:rsidRDefault="009604E7" w:rsidP="003F26F6">
            <w:pPr>
              <w:pStyle w:val="TableText0"/>
              <w:jc w:val="center"/>
            </w:pPr>
            <w:r w:rsidRPr="004E2001">
              <w:t>251</w:t>
            </w:r>
          </w:p>
        </w:tc>
        <w:tc>
          <w:tcPr>
            <w:tcW w:w="1246" w:type="dxa"/>
          </w:tcPr>
          <w:p w:rsidR="009604E7" w:rsidRPr="004E2001" w:rsidRDefault="009604E7" w:rsidP="003F26F6">
            <w:pPr>
              <w:pStyle w:val="TableText0"/>
              <w:jc w:val="center"/>
            </w:pPr>
            <w:r w:rsidRPr="004E2001">
              <w:t>8.3 (0.89)</w:t>
            </w:r>
          </w:p>
        </w:tc>
        <w:tc>
          <w:tcPr>
            <w:tcW w:w="1204" w:type="dxa"/>
          </w:tcPr>
          <w:p w:rsidR="009604E7" w:rsidRPr="004E2001" w:rsidRDefault="009604E7" w:rsidP="003F26F6">
            <w:pPr>
              <w:pStyle w:val="TableText0"/>
              <w:jc w:val="center"/>
            </w:pPr>
            <w:r w:rsidRPr="004E2001">
              <w:t>6.86 (0.06)</w:t>
            </w:r>
          </w:p>
        </w:tc>
        <w:tc>
          <w:tcPr>
            <w:tcW w:w="1357" w:type="dxa"/>
          </w:tcPr>
          <w:p w:rsidR="009604E7" w:rsidRPr="004E2001" w:rsidRDefault="009604E7" w:rsidP="003F26F6">
            <w:pPr>
              <w:pStyle w:val="TableText0"/>
              <w:jc w:val="center"/>
            </w:pPr>
            <w:r w:rsidRPr="004E2001">
              <w:t>-1.37 (0.06)</w:t>
            </w:r>
          </w:p>
        </w:tc>
        <w:tc>
          <w:tcPr>
            <w:tcW w:w="3073" w:type="dxa"/>
            <w:vMerge/>
            <w:vAlign w:val="center"/>
          </w:tcPr>
          <w:p w:rsidR="009604E7" w:rsidRPr="004E2001" w:rsidRDefault="009604E7" w:rsidP="003F26F6">
            <w:pPr>
              <w:pStyle w:val="TableText0"/>
              <w:jc w:val="center"/>
            </w:pPr>
          </w:p>
        </w:tc>
      </w:tr>
      <w:tr w:rsidR="00A0249E" w:rsidRPr="004E2001" w:rsidTr="00F421BA">
        <w:trPr>
          <w:tblHeader/>
        </w:trPr>
        <w:tc>
          <w:tcPr>
            <w:tcW w:w="1571" w:type="dxa"/>
          </w:tcPr>
          <w:p w:rsidR="00A0249E" w:rsidRPr="004E2001" w:rsidRDefault="00A0249E" w:rsidP="003F26F6">
            <w:pPr>
              <w:pStyle w:val="TableText0"/>
            </w:pPr>
            <w:r w:rsidRPr="004E2001">
              <w:t>Sema 0.5</w:t>
            </w:r>
            <w:r w:rsidR="00CF2A95" w:rsidRPr="004E2001">
              <w:t xml:space="preserve"> </w:t>
            </w:r>
            <w:r w:rsidRPr="004E2001">
              <w:t>mg</w:t>
            </w:r>
          </w:p>
        </w:tc>
        <w:tc>
          <w:tcPr>
            <w:tcW w:w="566" w:type="dxa"/>
          </w:tcPr>
          <w:p w:rsidR="00A0249E" w:rsidRPr="004E2001" w:rsidRDefault="00A0249E" w:rsidP="003F26F6">
            <w:pPr>
              <w:pStyle w:val="TableText0"/>
              <w:jc w:val="center"/>
            </w:pPr>
            <w:r w:rsidRPr="004E2001">
              <w:t>301</w:t>
            </w:r>
          </w:p>
        </w:tc>
        <w:tc>
          <w:tcPr>
            <w:tcW w:w="1246" w:type="dxa"/>
          </w:tcPr>
          <w:p w:rsidR="00A0249E" w:rsidRPr="004E2001" w:rsidRDefault="00A0249E" w:rsidP="003F26F6">
            <w:pPr>
              <w:pStyle w:val="TableText0"/>
              <w:jc w:val="center"/>
            </w:pPr>
            <w:r w:rsidRPr="004E2001">
              <w:t>8.3 (1.0)</w:t>
            </w:r>
          </w:p>
        </w:tc>
        <w:tc>
          <w:tcPr>
            <w:tcW w:w="1204" w:type="dxa"/>
          </w:tcPr>
          <w:p w:rsidR="00A0249E" w:rsidRPr="004E2001" w:rsidRDefault="00CF2A95" w:rsidP="003F26F6">
            <w:pPr>
              <w:pStyle w:val="TableText0"/>
              <w:jc w:val="center"/>
            </w:pPr>
            <w:r w:rsidRPr="004E2001">
              <w:t>NR</w:t>
            </w:r>
          </w:p>
        </w:tc>
        <w:tc>
          <w:tcPr>
            <w:tcW w:w="1357" w:type="dxa"/>
          </w:tcPr>
          <w:p w:rsidR="00A0249E" w:rsidRPr="004E2001" w:rsidRDefault="00A0249E" w:rsidP="003F26F6">
            <w:pPr>
              <w:pStyle w:val="TableText0"/>
              <w:jc w:val="center"/>
            </w:pPr>
            <w:r w:rsidRPr="004E2001">
              <w:t>-1.5 (0</w:t>
            </w:r>
            <w:r w:rsidR="00CF2A95" w:rsidRPr="004E2001">
              <w:t>.</w:t>
            </w:r>
            <w:r w:rsidRPr="004E2001">
              <w:t>1)</w:t>
            </w:r>
          </w:p>
        </w:tc>
        <w:tc>
          <w:tcPr>
            <w:tcW w:w="3073" w:type="dxa"/>
            <w:vMerge w:val="restart"/>
            <w:vAlign w:val="center"/>
          </w:tcPr>
          <w:p w:rsidR="00A0249E" w:rsidRPr="004E2001" w:rsidRDefault="00A0249E" w:rsidP="003F26F6">
            <w:pPr>
              <w:pStyle w:val="TableText0"/>
              <w:jc w:val="center"/>
            </w:pPr>
            <w:r w:rsidRPr="004E2001">
              <w:t>-0.14 (-0.30, 0.01)</w:t>
            </w:r>
          </w:p>
        </w:tc>
      </w:tr>
      <w:tr w:rsidR="00A0249E" w:rsidRPr="004E2001" w:rsidTr="00F421BA">
        <w:trPr>
          <w:tblHeader/>
        </w:trPr>
        <w:tc>
          <w:tcPr>
            <w:tcW w:w="1571" w:type="dxa"/>
          </w:tcPr>
          <w:p w:rsidR="00A0249E" w:rsidRPr="004E2001" w:rsidRDefault="00A0249E" w:rsidP="003F26F6">
            <w:pPr>
              <w:pStyle w:val="TableText0"/>
            </w:pPr>
            <w:r w:rsidRPr="004E2001">
              <w:t>Dula 1.5</w:t>
            </w:r>
            <w:r w:rsidR="00CF2A95" w:rsidRPr="004E2001">
              <w:t xml:space="preserve"> </w:t>
            </w:r>
            <w:r w:rsidRPr="004E2001">
              <w:t>mg</w:t>
            </w:r>
          </w:p>
        </w:tc>
        <w:tc>
          <w:tcPr>
            <w:tcW w:w="566" w:type="dxa"/>
          </w:tcPr>
          <w:p w:rsidR="00A0249E" w:rsidRPr="004E2001" w:rsidRDefault="00A0249E" w:rsidP="003F26F6">
            <w:pPr>
              <w:pStyle w:val="TableText0"/>
              <w:jc w:val="center"/>
            </w:pPr>
            <w:r w:rsidRPr="004E2001">
              <w:t>299</w:t>
            </w:r>
          </w:p>
        </w:tc>
        <w:tc>
          <w:tcPr>
            <w:tcW w:w="1246" w:type="dxa"/>
          </w:tcPr>
          <w:p w:rsidR="00A0249E" w:rsidRPr="004E2001" w:rsidRDefault="00A0249E" w:rsidP="003F26F6">
            <w:pPr>
              <w:pStyle w:val="TableText0"/>
              <w:jc w:val="center"/>
            </w:pPr>
            <w:r w:rsidRPr="004E2001">
              <w:t>8.2 (0.9)</w:t>
            </w:r>
          </w:p>
        </w:tc>
        <w:tc>
          <w:tcPr>
            <w:tcW w:w="1204" w:type="dxa"/>
          </w:tcPr>
          <w:p w:rsidR="00A0249E" w:rsidRPr="004E2001" w:rsidRDefault="00CF2A95" w:rsidP="003F26F6">
            <w:pPr>
              <w:pStyle w:val="TableText0"/>
              <w:jc w:val="center"/>
            </w:pPr>
            <w:r w:rsidRPr="004E2001">
              <w:t>NR</w:t>
            </w:r>
          </w:p>
        </w:tc>
        <w:tc>
          <w:tcPr>
            <w:tcW w:w="1357" w:type="dxa"/>
          </w:tcPr>
          <w:p w:rsidR="00A0249E" w:rsidRPr="004E2001" w:rsidRDefault="00A0249E" w:rsidP="003F26F6">
            <w:pPr>
              <w:pStyle w:val="TableText0"/>
              <w:jc w:val="center"/>
            </w:pPr>
            <w:r w:rsidRPr="004E2001">
              <w:t>-1.4 (0.1)</w:t>
            </w:r>
          </w:p>
        </w:tc>
        <w:tc>
          <w:tcPr>
            <w:tcW w:w="3073" w:type="dxa"/>
            <w:vMerge/>
          </w:tcPr>
          <w:p w:rsidR="00A0249E" w:rsidRPr="004E2001" w:rsidRDefault="00A0249E" w:rsidP="003F26F6">
            <w:pPr>
              <w:pStyle w:val="TableText0"/>
              <w:jc w:val="center"/>
            </w:pPr>
          </w:p>
        </w:tc>
      </w:tr>
      <w:tr w:rsidR="009604E7" w:rsidRPr="004E2001" w:rsidTr="00F421BA">
        <w:trPr>
          <w:tblHeader/>
        </w:trPr>
        <w:tc>
          <w:tcPr>
            <w:tcW w:w="1571" w:type="dxa"/>
          </w:tcPr>
          <w:p w:rsidR="009604E7" w:rsidRPr="004E2001" w:rsidRDefault="009604E7" w:rsidP="003F26F6">
            <w:pPr>
              <w:pStyle w:val="TableText0"/>
            </w:pPr>
            <w:r w:rsidRPr="004E2001">
              <w:rPr>
                <w:b/>
              </w:rPr>
              <w:t>Treatment arms</w:t>
            </w:r>
          </w:p>
        </w:tc>
        <w:tc>
          <w:tcPr>
            <w:tcW w:w="566" w:type="dxa"/>
          </w:tcPr>
          <w:p w:rsidR="009604E7" w:rsidRPr="004E2001" w:rsidRDefault="009604E7" w:rsidP="003F26F6">
            <w:pPr>
              <w:pStyle w:val="TableText0"/>
              <w:jc w:val="center"/>
            </w:pPr>
            <w:r w:rsidRPr="004E2001">
              <w:rPr>
                <w:b/>
              </w:rPr>
              <w:t>N</w:t>
            </w:r>
          </w:p>
        </w:tc>
        <w:tc>
          <w:tcPr>
            <w:tcW w:w="3807" w:type="dxa"/>
            <w:gridSpan w:val="3"/>
          </w:tcPr>
          <w:p w:rsidR="009604E7" w:rsidRPr="004E2001" w:rsidRDefault="009604E7" w:rsidP="003F26F6">
            <w:pPr>
              <w:pStyle w:val="TableText0"/>
              <w:jc w:val="center"/>
            </w:pPr>
            <w:r w:rsidRPr="004E2001">
              <w:rPr>
                <w:b/>
              </w:rPr>
              <w:t>Patients, n/N (%)</w:t>
            </w:r>
          </w:p>
        </w:tc>
        <w:tc>
          <w:tcPr>
            <w:tcW w:w="3073" w:type="dxa"/>
          </w:tcPr>
          <w:p w:rsidR="009604E7" w:rsidRPr="004E2001" w:rsidRDefault="009604E7" w:rsidP="003F26F6">
            <w:pPr>
              <w:pStyle w:val="TableText0"/>
              <w:jc w:val="center"/>
            </w:pPr>
            <w:r w:rsidRPr="004E2001">
              <w:rPr>
                <w:b/>
              </w:rPr>
              <w:t>Odds ratio (95% CI)</w:t>
            </w:r>
          </w:p>
        </w:tc>
      </w:tr>
      <w:tr w:rsidR="009604E7" w:rsidRPr="004E2001" w:rsidTr="00F421BA">
        <w:trPr>
          <w:tblHeader/>
        </w:trPr>
        <w:tc>
          <w:tcPr>
            <w:tcW w:w="9017" w:type="dxa"/>
            <w:gridSpan w:val="6"/>
          </w:tcPr>
          <w:p w:rsidR="009604E7" w:rsidRPr="004E2001" w:rsidRDefault="009604E7" w:rsidP="003F26F6">
            <w:pPr>
              <w:pStyle w:val="TableText0"/>
              <w:rPr>
                <w:b/>
              </w:rPr>
            </w:pPr>
            <w:r w:rsidRPr="004E2001">
              <w:rPr>
                <w:b/>
              </w:rPr>
              <w:t>Proportion of subjects achieving an HbA1c target of &lt; 7.0% at week 56 [exploratory outcome]</w:t>
            </w:r>
          </w:p>
        </w:tc>
      </w:tr>
      <w:tr w:rsidR="009604E7" w:rsidRPr="004E2001" w:rsidTr="00F421BA">
        <w:trPr>
          <w:tblHeader/>
        </w:trPr>
        <w:tc>
          <w:tcPr>
            <w:tcW w:w="1571" w:type="dxa"/>
          </w:tcPr>
          <w:p w:rsidR="009604E7" w:rsidRPr="004E2001" w:rsidRDefault="009604E7" w:rsidP="003F26F6">
            <w:pPr>
              <w:pStyle w:val="TableText0"/>
            </w:pPr>
            <w:r w:rsidRPr="004E2001">
              <w:t>Sema 0.5 mg</w:t>
            </w:r>
          </w:p>
        </w:tc>
        <w:tc>
          <w:tcPr>
            <w:tcW w:w="566" w:type="dxa"/>
          </w:tcPr>
          <w:p w:rsidR="009604E7" w:rsidRPr="004E2001" w:rsidRDefault="009604E7" w:rsidP="003F26F6">
            <w:pPr>
              <w:pStyle w:val="TableText0"/>
              <w:jc w:val="center"/>
            </w:pPr>
            <w:r w:rsidRPr="004E2001">
              <w:t>301</w:t>
            </w:r>
          </w:p>
        </w:tc>
        <w:tc>
          <w:tcPr>
            <w:tcW w:w="3807" w:type="dxa"/>
            <w:gridSpan w:val="3"/>
          </w:tcPr>
          <w:p w:rsidR="009604E7" w:rsidRPr="004E2001" w:rsidRDefault="009604E7" w:rsidP="003F26F6">
            <w:pPr>
              <w:pStyle w:val="TableText0"/>
              <w:jc w:val="center"/>
            </w:pPr>
            <w:r w:rsidRPr="004E2001">
              <w:t>203/301 (68)</w:t>
            </w:r>
          </w:p>
        </w:tc>
        <w:tc>
          <w:tcPr>
            <w:tcW w:w="3073" w:type="dxa"/>
            <w:vMerge w:val="restart"/>
            <w:vAlign w:val="center"/>
          </w:tcPr>
          <w:p w:rsidR="009604E7" w:rsidRPr="004E2001" w:rsidRDefault="009604E7" w:rsidP="003F26F6">
            <w:pPr>
              <w:pStyle w:val="TableText0"/>
              <w:jc w:val="center"/>
            </w:pPr>
            <w:r w:rsidRPr="004E2001">
              <w:t>2.47 (1.68, 3.64)</w:t>
            </w:r>
          </w:p>
        </w:tc>
      </w:tr>
      <w:tr w:rsidR="009604E7" w:rsidRPr="004E2001" w:rsidTr="00F421BA">
        <w:trPr>
          <w:tblHeader/>
        </w:trPr>
        <w:tc>
          <w:tcPr>
            <w:tcW w:w="1571" w:type="dxa"/>
          </w:tcPr>
          <w:p w:rsidR="009604E7" w:rsidRPr="004E2001" w:rsidRDefault="009604E7" w:rsidP="003F26F6">
            <w:pPr>
              <w:pStyle w:val="TableText0"/>
            </w:pPr>
            <w:r w:rsidRPr="004E2001">
              <w:t>Dula 0.75 mg</w:t>
            </w:r>
          </w:p>
        </w:tc>
        <w:tc>
          <w:tcPr>
            <w:tcW w:w="566" w:type="dxa"/>
          </w:tcPr>
          <w:p w:rsidR="009604E7" w:rsidRPr="004E2001" w:rsidRDefault="009604E7" w:rsidP="003F26F6">
            <w:pPr>
              <w:pStyle w:val="TableText0"/>
              <w:jc w:val="center"/>
            </w:pPr>
            <w:r w:rsidRPr="004E2001">
              <w:t>299</w:t>
            </w:r>
          </w:p>
        </w:tc>
        <w:tc>
          <w:tcPr>
            <w:tcW w:w="3807" w:type="dxa"/>
            <w:gridSpan w:val="3"/>
          </w:tcPr>
          <w:p w:rsidR="009604E7" w:rsidRPr="004E2001" w:rsidRDefault="009604E7" w:rsidP="003F26F6">
            <w:pPr>
              <w:pStyle w:val="TableText0"/>
              <w:jc w:val="center"/>
            </w:pPr>
            <w:r w:rsidRPr="004E2001">
              <w:t>156/299 (52)</w:t>
            </w:r>
          </w:p>
        </w:tc>
        <w:tc>
          <w:tcPr>
            <w:tcW w:w="3073" w:type="dxa"/>
            <w:vMerge/>
            <w:vAlign w:val="center"/>
          </w:tcPr>
          <w:p w:rsidR="009604E7" w:rsidRPr="004E2001" w:rsidRDefault="009604E7" w:rsidP="003F26F6">
            <w:pPr>
              <w:pStyle w:val="TableText0"/>
              <w:jc w:val="center"/>
            </w:pPr>
          </w:p>
        </w:tc>
      </w:tr>
      <w:tr w:rsidR="009604E7" w:rsidRPr="004E2001" w:rsidTr="00F421BA">
        <w:trPr>
          <w:tblHeader/>
        </w:trPr>
        <w:tc>
          <w:tcPr>
            <w:tcW w:w="1571" w:type="dxa"/>
          </w:tcPr>
          <w:p w:rsidR="009604E7" w:rsidRPr="004E2001" w:rsidRDefault="009604E7" w:rsidP="003F26F6">
            <w:pPr>
              <w:pStyle w:val="TableText0"/>
            </w:pPr>
            <w:r w:rsidRPr="004E2001">
              <w:t>Sema 1.0 mg</w:t>
            </w:r>
          </w:p>
        </w:tc>
        <w:tc>
          <w:tcPr>
            <w:tcW w:w="566" w:type="dxa"/>
          </w:tcPr>
          <w:p w:rsidR="009604E7" w:rsidRPr="004E2001" w:rsidRDefault="009604E7" w:rsidP="003F26F6">
            <w:pPr>
              <w:pStyle w:val="TableText0"/>
              <w:jc w:val="center"/>
            </w:pPr>
            <w:r w:rsidRPr="004E2001">
              <w:t>300</w:t>
            </w:r>
          </w:p>
        </w:tc>
        <w:tc>
          <w:tcPr>
            <w:tcW w:w="3807" w:type="dxa"/>
            <w:gridSpan w:val="3"/>
          </w:tcPr>
          <w:p w:rsidR="009604E7" w:rsidRPr="004E2001" w:rsidRDefault="009604E7" w:rsidP="003F26F6">
            <w:pPr>
              <w:pStyle w:val="TableText0"/>
              <w:jc w:val="center"/>
            </w:pPr>
            <w:r w:rsidRPr="004E2001">
              <w:t>235/300 (79)</w:t>
            </w:r>
          </w:p>
        </w:tc>
        <w:tc>
          <w:tcPr>
            <w:tcW w:w="3073" w:type="dxa"/>
            <w:vMerge w:val="restart"/>
            <w:vAlign w:val="center"/>
          </w:tcPr>
          <w:p w:rsidR="009604E7" w:rsidRPr="004E2001" w:rsidRDefault="009604E7" w:rsidP="003F26F6">
            <w:pPr>
              <w:pStyle w:val="TableText0"/>
              <w:jc w:val="center"/>
            </w:pPr>
            <w:r w:rsidRPr="004E2001">
              <w:t>1.96 (1.28, 3.00)</w:t>
            </w:r>
          </w:p>
        </w:tc>
      </w:tr>
      <w:tr w:rsidR="009604E7" w:rsidRPr="004E2001" w:rsidTr="00F421BA">
        <w:trPr>
          <w:tblHeader/>
        </w:trPr>
        <w:tc>
          <w:tcPr>
            <w:tcW w:w="1571" w:type="dxa"/>
          </w:tcPr>
          <w:p w:rsidR="009604E7" w:rsidRPr="004E2001" w:rsidRDefault="009604E7" w:rsidP="003F26F6">
            <w:pPr>
              <w:pStyle w:val="TableText0"/>
            </w:pPr>
            <w:r w:rsidRPr="004E2001">
              <w:t>Dula 1.5 mg</w:t>
            </w:r>
          </w:p>
        </w:tc>
        <w:tc>
          <w:tcPr>
            <w:tcW w:w="566" w:type="dxa"/>
          </w:tcPr>
          <w:p w:rsidR="009604E7" w:rsidRPr="004E2001" w:rsidRDefault="009604E7" w:rsidP="003F26F6">
            <w:pPr>
              <w:pStyle w:val="TableText0"/>
              <w:jc w:val="center"/>
            </w:pPr>
            <w:r w:rsidRPr="004E2001">
              <w:t>299</w:t>
            </w:r>
          </w:p>
        </w:tc>
        <w:tc>
          <w:tcPr>
            <w:tcW w:w="3807" w:type="dxa"/>
            <w:gridSpan w:val="3"/>
          </w:tcPr>
          <w:p w:rsidR="009604E7" w:rsidRPr="004E2001" w:rsidRDefault="009604E7" w:rsidP="003F26F6">
            <w:pPr>
              <w:pStyle w:val="TableText0"/>
              <w:jc w:val="center"/>
            </w:pPr>
            <w:r w:rsidRPr="004E2001">
              <w:t>199/299 (67)</w:t>
            </w:r>
          </w:p>
        </w:tc>
        <w:tc>
          <w:tcPr>
            <w:tcW w:w="3073" w:type="dxa"/>
            <w:vMerge/>
          </w:tcPr>
          <w:p w:rsidR="009604E7" w:rsidRPr="004E2001" w:rsidRDefault="009604E7" w:rsidP="003F26F6">
            <w:pPr>
              <w:pStyle w:val="TableText0"/>
              <w:jc w:val="center"/>
            </w:pPr>
          </w:p>
        </w:tc>
      </w:tr>
    </w:tbl>
    <w:p w:rsidR="009604E7" w:rsidRPr="004E2001" w:rsidRDefault="009604E7" w:rsidP="003F26F6">
      <w:pPr>
        <w:pStyle w:val="TableFooter"/>
      </w:pPr>
      <w:r w:rsidRPr="004E2001">
        <w:t>Source: Table 2-20, p 91 of the submission; Table 14.2.50, p 766 of the SUSTAIN 7 trial report</w:t>
      </w:r>
      <w:r w:rsidR="00A0249E" w:rsidRPr="004E2001">
        <w:t xml:space="preserve">; PSCR </w:t>
      </w:r>
      <w:r w:rsidR="009B554A" w:rsidRPr="004E2001">
        <w:t>(p6)</w:t>
      </w:r>
    </w:p>
    <w:p w:rsidR="009604E7" w:rsidRPr="004E2001" w:rsidRDefault="009604E7" w:rsidP="003F26F6">
      <w:pPr>
        <w:pStyle w:val="TableFooter"/>
      </w:pPr>
      <w:r w:rsidRPr="004E2001">
        <w:t>Abbreviation: CI, confidence interval;</w:t>
      </w:r>
      <w:r w:rsidR="0067006C" w:rsidRPr="004E2001">
        <w:t xml:space="preserve"> Dula, dulaglutide;</w:t>
      </w:r>
      <w:r w:rsidRPr="004E2001">
        <w:t xml:space="preserve"> </w:t>
      </w:r>
      <w:r w:rsidR="00CF2A95" w:rsidRPr="004E2001">
        <w:t xml:space="preserve">NR, not reported; </w:t>
      </w:r>
      <w:r w:rsidR="0067006C" w:rsidRPr="004E2001">
        <w:t xml:space="preserve">SD, standard deviation; </w:t>
      </w:r>
      <w:r w:rsidRPr="004E2001">
        <w:t>SE, standard error</w:t>
      </w:r>
      <w:r w:rsidR="0067006C" w:rsidRPr="004E2001">
        <w:t>; Sema, semaglutide</w:t>
      </w:r>
    </w:p>
    <w:p w:rsidR="009604E7" w:rsidRPr="004E2001" w:rsidRDefault="009604E7" w:rsidP="003F26F6">
      <w:pPr>
        <w:pStyle w:val="TableFooter"/>
      </w:pPr>
      <w:r w:rsidRPr="004E2001">
        <w:rPr>
          <w:vertAlign w:val="superscript"/>
        </w:rPr>
        <w:t>a</w:t>
      </w:r>
      <w:r w:rsidRPr="004E2001">
        <w:t xml:space="preserve"> Estimated using a mixed model for repeated measures (treatment and country as fixed factors and baseline value as covariate)</w:t>
      </w:r>
    </w:p>
    <w:p w:rsidR="009604E7" w:rsidRPr="004E2001" w:rsidRDefault="009604E7" w:rsidP="003F26F6"/>
    <w:p w:rsidR="008F296E" w:rsidRPr="004E2001" w:rsidRDefault="009604E7" w:rsidP="0076592A">
      <w:pPr>
        <w:pStyle w:val="ListParagraph"/>
        <w:numPr>
          <w:ilvl w:val="1"/>
          <w:numId w:val="2"/>
        </w:numPr>
        <w:jc w:val="both"/>
      </w:pPr>
      <w:r w:rsidRPr="004E2001">
        <w:t>There was a statistically significant difference in HbA1c percentage reduction from baseline to week 40 with both low dose and high dose comparisons of semaglutide and dulaglutide. At week 40, more patients achieved an HbA1c of &lt; 7.0% with semaglutide compared with dulaglutide.</w:t>
      </w:r>
      <w:r w:rsidR="000B2DDA" w:rsidRPr="004E2001">
        <w:t xml:space="preserve"> </w:t>
      </w:r>
      <w:r w:rsidRPr="004E2001">
        <w:t>These results should be interpreted with caution due to the open-label trial design.</w:t>
      </w:r>
      <w:r w:rsidR="003F52F5" w:rsidRPr="004E2001">
        <w:t xml:space="preserve"> The ESC considered that the treatment difference </w:t>
      </w:r>
      <w:r w:rsidR="00AE2555" w:rsidRPr="004E2001">
        <w:t>in</w:t>
      </w:r>
      <w:r w:rsidR="003F52F5" w:rsidRPr="004E2001">
        <w:t xml:space="preserve"> </w:t>
      </w:r>
      <w:r w:rsidR="00AE2555" w:rsidRPr="004E2001">
        <w:t xml:space="preserve">mean change from baseline for </w:t>
      </w:r>
      <w:r w:rsidR="003F52F5" w:rsidRPr="004E2001">
        <w:t>HbA1c</w:t>
      </w:r>
      <w:r w:rsidR="003E0EB3" w:rsidRPr="004E2001">
        <w:t xml:space="preserve"> </w:t>
      </w:r>
      <w:r w:rsidR="003F52F5" w:rsidRPr="004E2001">
        <w:t xml:space="preserve">between semaglutide and dulaglutide was not clinically significant. </w:t>
      </w:r>
    </w:p>
    <w:p w:rsidR="000B2DDA" w:rsidRPr="004E2001" w:rsidRDefault="000B2DDA" w:rsidP="0076592A">
      <w:pPr>
        <w:pStyle w:val="ListParagraph"/>
        <w:numPr>
          <w:ilvl w:val="1"/>
          <w:numId w:val="2"/>
        </w:numPr>
        <w:jc w:val="both"/>
      </w:pPr>
      <w:r w:rsidRPr="004E2001">
        <w:lastRenderedPageBreak/>
        <w:t>Results based on alternative datasets including a retrieved drop-out analysis</w:t>
      </w:r>
      <w:r w:rsidR="00A03386" w:rsidRPr="004E2001">
        <w:t xml:space="preserve"> (including patients who discontinued treatment)</w:t>
      </w:r>
      <w:r w:rsidRPr="004E2001">
        <w:t xml:space="preserve"> were consistent with the primary analysis</w:t>
      </w:r>
      <w:r w:rsidR="002649A2" w:rsidRPr="004E2001">
        <w:t xml:space="preserve"> in terms of statistical significance</w:t>
      </w:r>
      <w:r w:rsidRPr="004E2001">
        <w:t xml:space="preserve">, although there was a </w:t>
      </w:r>
      <w:r w:rsidR="002649A2" w:rsidRPr="004E2001">
        <w:t>numerical</w:t>
      </w:r>
      <w:r w:rsidRPr="004E2001">
        <w:t xml:space="preserve"> difference in point estimates of percentage HbA1c </w:t>
      </w:r>
      <w:r w:rsidR="00E34BD4" w:rsidRPr="004E2001">
        <w:t>that</w:t>
      </w:r>
      <w:r w:rsidRPr="004E2001">
        <w:t xml:space="preserve"> appeared less favourable to semaglutide in both low dose (-0.28, 95% CI -0.45, -0.10) and high dose comparisons (-0.34, 95% CI -0.52, -0.15) with dulaglutide.</w:t>
      </w:r>
    </w:p>
    <w:p w:rsidR="000B2DDA" w:rsidRPr="004E2001" w:rsidRDefault="000B2DDA" w:rsidP="0076592A">
      <w:pPr>
        <w:pStyle w:val="ListParagraph"/>
        <w:numPr>
          <w:ilvl w:val="1"/>
          <w:numId w:val="2"/>
        </w:numPr>
        <w:jc w:val="both"/>
      </w:pPr>
      <w:r w:rsidRPr="004E2001">
        <w:t xml:space="preserve">Both high and low dose comparisons </w:t>
      </w:r>
      <w:r w:rsidR="0090311A" w:rsidRPr="004E2001">
        <w:t xml:space="preserve">in the primary ‘on-treatment’ analysis set </w:t>
      </w:r>
      <w:r w:rsidRPr="004E2001">
        <w:t>met the glycaemic control component of the MCID nominated in the submission for superiority based on percentage HbA1c of more than 0.3% but did not consistently achieve a difference of at least 20% more pati</w:t>
      </w:r>
      <w:r w:rsidR="00A03386" w:rsidRPr="004E2001">
        <w:t xml:space="preserve">ents reaching HbA1c of </w:t>
      </w:r>
      <w:r w:rsidRPr="004E2001">
        <w:t>&lt; 7.0%.</w:t>
      </w:r>
      <w:r w:rsidR="0090311A" w:rsidRPr="004E2001">
        <w:t xml:space="preserve"> However, results for the low dose comparison based on the retrieved drop-out analysis did not meet the nominated MCID of 0.3%; and results for the high dose comparison only marginally exceeded 0.3% and did not exceed 0.4%</w:t>
      </w:r>
      <w:r w:rsidR="004E2001">
        <w:t xml:space="preserve">. </w:t>
      </w:r>
    </w:p>
    <w:p w:rsidR="0028137D" w:rsidRPr="004E2001" w:rsidDel="008F296E" w:rsidRDefault="00A03386" w:rsidP="0076592A">
      <w:pPr>
        <w:pStyle w:val="ListParagraph"/>
        <w:numPr>
          <w:ilvl w:val="1"/>
          <w:numId w:val="2"/>
        </w:numPr>
        <w:jc w:val="both"/>
      </w:pPr>
      <w:r w:rsidRPr="004E2001">
        <w:t xml:space="preserve">There was no direct comparison of low dose semaglutide versus high dose dulaglutide in the trial. In practice, both high and low dose semaglutide would be available as treatment alternatives to high dose dulaglutide given low dose dulaglutide is not available in Australia. </w:t>
      </w:r>
      <w:r w:rsidR="0028137D" w:rsidRPr="004E2001" w:rsidDel="008F296E">
        <w:t>The results</w:t>
      </w:r>
      <w:r w:rsidR="00212CC7" w:rsidRPr="004E2001" w:rsidDel="008F296E">
        <w:t xml:space="preserve"> of the post-hoc analysis</w:t>
      </w:r>
      <w:r w:rsidR="0028137D" w:rsidRPr="004E2001" w:rsidDel="008F296E">
        <w:t xml:space="preserve"> </w:t>
      </w:r>
      <w:r w:rsidR="005500DE" w:rsidRPr="004E2001">
        <w:t xml:space="preserve">comparing low dose semaglutide and high dose dulaglutide (presented in the PSCR) </w:t>
      </w:r>
      <w:r w:rsidR="0028137D" w:rsidRPr="004E2001" w:rsidDel="008F296E">
        <w:t>suggest</w:t>
      </w:r>
      <w:r w:rsidR="005500DE" w:rsidRPr="004E2001">
        <w:t>ed</w:t>
      </w:r>
      <w:r w:rsidR="0028137D" w:rsidRPr="004E2001" w:rsidDel="008F296E">
        <w:t xml:space="preserve"> no statistically significant difference in terms of change in percentage HbA1c. The interpretation of this analysis</w:t>
      </w:r>
      <w:r w:rsidR="005500DE" w:rsidRPr="004E2001">
        <w:t xml:space="preserve"> was</w:t>
      </w:r>
      <w:r w:rsidR="0028137D" w:rsidRPr="004E2001" w:rsidDel="008F296E">
        <w:t xml:space="preserve"> difficult due to limited documentation (abstract only) and potential bias. </w:t>
      </w:r>
    </w:p>
    <w:p w:rsidR="00A03386" w:rsidRPr="004E2001" w:rsidRDefault="00A03386" w:rsidP="0076592A">
      <w:pPr>
        <w:pStyle w:val="ListParagraph"/>
        <w:numPr>
          <w:ilvl w:val="1"/>
          <w:numId w:val="2"/>
        </w:numPr>
        <w:jc w:val="both"/>
      </w:pPr>
      <w:r w:rsidRPr="004E2001">
        <w:t>Results for change in body weight from the SUSTAIN 7 trial are summarised in the table below.</w:t>
      </w:r>
    </w:p>
    <w:p w:rsidR="00A03386" w:rsidRPr="004E2001" w:rsidRDefault="00662306" w:rsidP="003F26F6">
      <w:pPr>
        <w:pStyle w:val="TableHeading0"/>
        <w:spacing w:after="0"/>
        <w:jc w:val="both"/>
      </w:pPr>
      <w:r w:rsidRPr="004E2001">
        <w:lastRenderedPageBreak/>
        <w:t>Table 7</w:t>
      </w:r>
      <w:r w:rsidR="00A03386" w:rsidRPr="004E2001">
        <w:t>: Change in body weight and the proportion of subjects achieving ≥ 5% weight loss from baseline to week 40 (on treatment without rescue medication)</w:t>
      </w:r>
    </w:p>
    <w:tbl>
      <w:tblPr>
        <w:tblStyle w:val="TableGrid"/>
        <w:tblW w:w="5000" w:type="pct"/>
        <w:tblBorders>
          <w:bottom w:val="double" w:sz="4" w:space="0" w:color="auto"/>
        </w:tblBorders>
        <w:tblLook w:val="04A0" w:firstRow="1" w:lastRow="0" w:firstColumn="1" w:lastColumn="0" w:noHBand="0" w:noVBand="1"/>
        <w:tblCaption w:val="Table 7: Change in body weight and the proportion of subjects achieving ≥ 5% weight loss from baseline to week 40 (on treatment without rescue medication)"/>
      </w:tblPr>
      <w:tblGrid>
        <w:gridCol w:w="1571"/>
        <w:gridCol w:w="692"/>
        <w:gridCol w:w="1259"/>
        <w:gridCol w:w="1135"/>
        <w:gridCol w:w="1287"/>
        <w:gridCol w:w="3073"/>
      </w:tblGrid>
      <w:tr w:rsidR="00A03386" w:rsidRPr="004E2001" w:rsidTr="00F421BA">
        <w:trPr>
          <w:tblHeader/>
        </w:trPr>
        <w:tc>
          <w:tcPr>
            <w:tcW w:w="1571" w:type="dxa"/>
            <w:vAlign w:val="center"/>
          </w:tcPr>
          <w:p w:rsidR="00A03386" w:rsidRPr="004E2001" w:rsidRDefault="00A03386" w:rsidP="003F26F6">
            <w:pPr>
              <w:pStyle w:val="TableText0"/>
              <w:rPr>
                <w:b/>
              </w:rPr>
            </w:pPr>
            <w:r w:rsidRPr="004E2001">
              <w:rPr>
                <w:b/>
              </w:rPr>
              <w:t>Treatment arms</w:t>
            </w:r>
          </w:p>
        </w:tc>
        <w:tc>
          <w:tcPr>
            <w:tcW w:w="692" w:type="dxa"/>
            <w:vAlign w:val="center"/>
          </w:tcPr>
          <w:p w:rsidR="00A03386" w:rsidRPr="004E2001" w:rsidRDefault="00A03386" w:rsidP="003F26F6">
            <w:pPr>
              <w:pStyle w:val="TableText0"/>
              <w:jc w:val="center"/>
              <w:rPr>
                <w:b/>
              </w:rPr>
            </w:pPr>
            <w:r w:rsidRPr="004E2001">
              <w:rPr>
                <w:b/>
              </w:rPr>
              <w:t>N</w:t>
            </w:r>
          </w:p>
        </w:tc>
        <w:tc>
          <w:tcPr>
            <w:tcW w:w="1259" w:type="dxa"/>
            <w:vAlign w:val="center"/>
          </w:tcPr>
          <w:p w:rsidR="00A03386" w:rsidRPr="004E2001" w:rsidRDefault="00A03386" w:rsidP="003F26F6">
            <w:pPr>
              <w:pStyle w:val="TableText0"/>
              <w:jc w:val="center"/>
              <w:rPr>
                <w:b/>
              </w:rPr>
            </w:pPr>
            <w:r w:rsidRPr="004E2001">
              <w:rPr>
                <w:b/>
              </w:rPr>
              <w:t>Baseline, mean (SD)</w:t>
            </w:r>
          </w:p>
        </w:tc>
        <w:tc>
          <w:tcPr>
            <w:tcW w:w="1135" w:type="dxa"/>
            <w:vAlign w:val="center"/>
          </w:tcPr>
          <w:p w:rsidR="00A03386" w:rsidRPr="004E2001" w:rsidRDefault="00A03386" w:rsidP="003F26F6">
            <w:pPr>
              <w:pStyle w:val="TableText0"/>
              <w:jc w:val="center"/>
              <w:rPr>
                <w:b/>
                <w:vertAlign w:val="superscript"/>
              </w:rPr>
            </w:pPr>
            <w:r w:rsidRPr="004E2001">
              <w:rPr>
                <w:b/>
              </w:rPr>
              <w:t>Week 40, mean (SE)</w:t>
            </w:r>
            <w:r w:rsidRPr="004E2001">
              <w:rPr>
                <w:b/>
                <w:vertAlign w:val="superscript"/>
              </w:rPr>
              <w:t>a</w:t>
            </w:r>
          </w:p>
        </w:tc>
        <w:tc>
          <w:tcPr>
            <w:tcW w:w="1287" w:type="dxa"/>
            <w:vAlign w:val="center"/>
          </w:tcPr>
          <w:p w:rsidR="00A03386" w:rsidRPr="004E2001" w:rsidRDefault="00A03386" w:rsidP="003F26F6">
            <w:pPr>
              <w:pStyle w:val="TableText0"/>
              <w:jc w:val="center"/>
              <w:rPr>
                <w:b/>
                <w:vertAlign w:val="superscript"/>
              </w:rPr>
            </w:pPr>
            <w:r w:rsidRPr="004E2001">
              <w:rPr>
                <w:b/>
              </w:rPr>
              <w:t>Mean change (SE)</w:t>
            </w:r>
            <w:r w:rsidRPr="004E2001">
              <w:rPr>
                <w:b/>
                <w:vertAlign w:val="superscript"/>
              </w:rPr>
              <w:t>a</w:t>
            </w:r>
          </w:p>
        </w:tc>
        <w:tc>
          <w:tcPr>
            <w:tcW w:w="3073" w:type="dxa"/>
            <w:vAlign w:val="center"/>
          </w:tcPr>
          <w:p w:rsidR="00A03386" w:rsidRPr="004E2001" w:rsidRDefault="00A03386" w:rsidP="003F26F6">
            <w:pPr>
              <w:pStyle w:val="TableText0"/>
              <w:jc w:val="center"/>
              <w:rPr>
                <w:b/>
                <w:vertAlign w:val="superscript"/>
              </w:rPr>
            </w:pPr>
            <w:r w:rsidRPr="004E2001">
              <w:rPr>
                <w:b/>
              </w:rPr>
              <w:t>Mean treatment difference (95% CI)</w:t>
            </w:r>
            <w:r w:rsidRPr="004E2001">
              <w:rPr>
                <w:b/>
                <w:vertAlign w:val="superscript"/>
              </w:rPr>
              <w:t>a</w:t>
            </w:r>
          </w:p>
        </w:tc>
      </w:tr>
      <w:tr w:rsidR="00A03386" w:rsidRPr="004E2001" w:rsidTr="00F421BA">
        <w:trPr>
          <w:tblHeader/>
        </w:trPr>
        <w:tc>
          <w:tcPr>
            <w:tcW w:w="9017" w:type="dxa"/>
            <w:gridSpan w:val="6"/>
            <w:vAlign w:val="center"/>
          </w:tcPr>
          <w:p w:rsidR="00A03386" w:rsidRPr="004E2001" w:rsidRDefault="00A03386" w:rsidP="003F26F6">
            <w:pPr>
              <w:pStyle w:val="TableText0"/>
              <w:rPr>
                <w:b/>
              </w:rPr>
            </w:pPr>
            <w:r w:rsidRPr="004E2001">
              <w:rPr>
                <w:b/>
              </w:rPr>
              <w:t>Body weight (kg) [secondary endpoint]</w:t>
            </w:r>
          </w:p>
        </w:tc>
      </w:tr>
      <w:tr w:rsidR="00A03386" w:rsidRPr="004E2001" w:rsidTr="00F421BA">
        <w:trPr>
          <w:tblHeader/>
        </w:trPr>
        <w:tc>
          <w:tcPr>
            <w:tcW w:w="1571" w:type="dxa"/>
            <w:vAlign w:val="center"/>
          </w:tcPr>
          <w:p w:rsidR="00A03386" w:rsidRPr="004E2001" w:rsidRDefault="00A03386" w:rsidP="003F26F6">
            <w:pPr>
              <w:pStyle w:val="TableText0"/>
            </w:pPr>
            <w:r w:rsidRPr="004E2001">
              <w:t>Sema 0.5 mg</w:t>
            </w:r>
          </w:p>
        </w:tc>
        <w:tc>
          <w:tcPr>
            <w:tcW w:w="692" w:type="dxa"/>
            <w:vAlign w:val="center"/>
          </w:tcPr>
          <w:p w:rsidR="00A03386" w:rsidRPr="004E2001" w:rsidRDefault="00A03386" w:rsidP="003F26F6">
            <w:pPr>
              <w:pStyle w:val="TableText0"/>
              <w:jc w:val="center"/>
            </w:pPr>
            <w:r w:rsidRPr="004E2001">
              <w:t>244</w:t>
            </w:r>
          </w:p>
        </w:tc>
        <w:tc>
          <w:tcPr>
            <w:tcW w:w="1259" w:type="dxa"/>
            <w:vAlign w:val="center"/>
          </w:tcPr>
          <w:p w:rsidR="00A03386" w:rsidRPr="004E2001" w:rsidRDefault="00A03386" w:rsidP="003F26F6">
            <w:pPr>
              <w:pStyle w:val="TableText0"/>
              <w:jc w:val="center"/>
            </w:pPr>
            <w:r w:rsidRPr="004E2001">
              <w:t>96.4 (24.4)</w:t>
            </w:r>
          </w:p>
        </w:tc>
        <w:tc>
          <w:tcPr>
            <w:tcW w:w="1135" w:type="dxa"/>
            <w:vAlign w:val="center"/>
          </w:tcPr>
          <w:p w:rsidR="00A03386" w:rsidRPr="004E2001" w:rsidRDefault="00A03386" w:rsidP="003F26F6">
            <w:pPr>
              <w:pStyle w:val="TableText0"/>
              <w:jc w:val="center"/>
            </w:pPr>
            <w:r w:rsidRPr="004E2001">
              <w:t>90.67 (0.28)</w:t>
            </w:r>
          </w:p>
        </w:tc>
        <w:tc>
          <w:tcPr>
            <w:tcW w:w="1287" w:type="dxa"/>
            <w:vAlign w:val="center"/>
          </w:tcPr>
          <w:p w:rsidR="00A03386" w:rsidRPr="004E2001" w:rsidRDefault="00A03386" w:rsidP="003F26F6">
            <w:pPr>
              <w:pStyle w:val="TableText0"/>
              <w:jc w:val="center"/>
            </w:pPr>
            <w:r w:rsidRPr="004E2001">
              <w:t>-4.56 (0.28)</w:t>
            </w:r>
          </w:p>
        </w:tc>
        <w:tc>
          <w:tcPr>
            <w:tcW w:w="3073" w:type="dxa"/>
            <w:vMerge w:val="restart"/>
            <w:vAlign w:val="center"/>
          </w:tcPr>
          <w:p w:rsidR="00A03386" w:rsidRPr="004E2001" w:rsidRDefault="00A03386" w:rsidP="003F26F6">
            <w:pPr>
              <w:pStyle w:val="TableText0"/>
              <w:jc w:val="center"/>
            </w:pPr>
            <w:r w:rsidRPr="004E2001">
              <w:t>-2.26 (-3.02, -1.51)</w:t>
            </w:r>
          </w:p>
        </w:tc>
      </w:tr>
      <w:tr w:rsidR="00A03386" w:rsidRPr="004E2001" w:rsidTr="00F421BA">
        <w:trPr>
          <w:tblHeader/>
        </w:trPr>
        <w:tc>
          <w:tcPr>
            <w:tcW w:w="1571" w:type="dxa"/>
            <w:vAlign w:val="center"/>
          </w:tcPr>
          <w:p w:rsidR="00A03386" w:rsidRPr="004E2001" w:rsidRDefault="00A03386" w:rsidP="003F26F6">
            <w:pPr>
              <w:pStyle w:val="TableText0"/>
            </w:pPr>
            <w:r w:rsidRPr="004E2001">
              <w:t>Dula 0.75 mg</w:t>
            </w:r>
          </w:p>
        </w:tc>
        <w:tc>
          <w:tcPr>
            <w:tcW w:w="692" w:type="dxa"/>
            <w:vAlign w:val="center"/>
          </w:tcPr>
          <w:p w:rsidR="00A03386" w:rsidRPr="004E2001" w:rsidRDefault="00A03386" w:rsidP="003F26F6">
            <w:pPr>
              <w:pStyle w:val="TableText0"/>
              <w:jc w:val="center"/>
            </w:pPr>
            <w:r w:rsidRPr="004E2001">
              <w:t>253</w:t>
            </w:r>
          </w:p>
        </w:tc>
        <w:tc>
          <w:tcPr>
            <w:tcW w:w="1259" w:type="dxa"/>
            <w:vAlign w:val="center"/>
          </w:tcPr>
          <w:p w:rsidR="00A03386" w:rsidRPr="004E2001" w:rsidRDefault="00A03386" w:rsidP="003F26F6">
            <w:pPr>
              <w:pStyle w:val="TableText0"/>
              <w:jc w:val="center"/>
            </w:pPr>
            <w:r w:rsidRPr="004E2001">
              <w:t>95.6 (23.0)</w:t>
            </w:r>
          </w:p>
        </w:tc>
        <w:tc>
          <w:tcPr>
            <w:tcW w:w="1135" w:type="dxa"/>
            <w:vAlign w:val="center"/>
          </w:tcPr>
          <w:p w:rsidR="00A03386" w:rsidRPr="004E2001" w:rsidRDefault="00A03386" w:rsidP="003F26F6">
            <w:pPr>
              <w:pStyle w:val="TableText0"/>
              <w:jc w:val="center"/>
            </w:pPr>
            <w:r w:rsidRPr="004E2001">
              <w:t>92.94 (0.27)</w:t>
            </w:r>
          </w:p>
        </w:tc>
        <w:tc>
          <w:tcPr>
            <w:tcW w:w="1287" w:type="dxa"/>
            <w:vAlign w:val="center"/>
          </w:tcPr>
          <w:p w:rsidR="00A03386" w:rsidRPr="004E2001" w:rsidRDefault="00A03386" w:rsidP="003F26F6">
            <w:pPr>
              <w:pStyle w:val="TableText0"/>
              <w:jc w:val="center"/>
            </w:pPr>
            <w:r w:rsidRPr="004E2001">
              <w:t>-2.30 (0.27)</w:t>
            </w:r>
          </w:p>
        </w:tc>
        <w:tc>
          <w:tcPr>
            <w:tcW w:w="3073" w:type="dxa"/>
            <w:vMerge/>
            <w:vAlign w:val="center"/>
          </w:tcPr>
          <w:p w:rsidR="00A03386" w:rsidRPr="004E2001" w:rsidRDefault="00A03386" w:rsidP="003F26F6">
            <w:pPr>
              <w:pStyle w:val="TableText0"/>
              <w:jc w:val="center"/>
            </w:pPr>
          </w:p>
        </w:tc>
      </w:tr>
      <w:tr w:rsidR="00A03386" w:rsidRPr="004E2001" w:rsidTr="00F421BA">
        <w:trPr>
          <w:tblHeader/>
        </w:trPr>
        <w:tc>
          <w:tcPr>
            <w:tcW w:w="1571" w:type="dxa"/>
            <w:vAlign w:val="center"/>
          </w:tcPr>
          <w:p w:rsidR="00A03386" w:rsidRPr="004E2001" w:rsidRDefault="00A03386" w:rsidP="003F26F6">
            <w:pPr>
              <w:pStyle w:val="TableText0"/>
            </w:pPr>
            <w:r w:rsidRPr="004E2001">
              <w:t>Sema 1.0 mg</w:t>
            </w:r>
          </w:p>
        </w:tc>
        <w:tc>
          <w:tcPr>
            <w:tcW w:w="692" w:type="dxa"/>
            <w:vAlign w:val="center"/>
          </w:tcPr>
          <w:p w:rsidR="00A03386" w:rsidRPr="004E2001" w:rsidRDefault="00A03386" w:rsidP="003F26F6">
            <w:pPr>
              <w:pStyle w:val="TableText0"/>
              <w:jc w:val="center"/>
            </w:pPr>
            <w:r w:rsidRPr="004E2001">
              <w:t>241</w:t>
            </w:r>
          </w:p>
        </w:tc>
        <w:tc>
          <w:tcPr>
            <w:tcW w:w="1259" w:type="dxa"/>
            <w:vAlign w:val="center"/>
          </w:tcPr>
          <w:p w:rsidR="00A03386" w:rsidRPr="004E2001" w:rsidRDefault="00A03386" w:rsidP="003F26F6">
            <w:pPr>
              <w:pStyle w:val="TableText0"/>
              <w:jc w:val="center"/>
            </w:pPr>
            <w:r w:rsidRPr="004E2001">
              <w:t>95.5 (20.9)</w:t>
            </w:r>
          </w:p>
        </w:tc>
        <w:tc>
          <w:tcPr>
            <w:tcW w:w="1135" w:type="dxa"/>
            <w:vAlign w:val="center"/>
          </w:tcPr>
          <w:p w:rsidR="00A03386" w:rsidRPr="004E2001" w:rsidRDefault="00A03386" w:rsidP="003F26F6">
            <w:pPr>
              <w:pStyle w:val="TableText0"/>
              <w:jc w:val="center"/>
            </w:pPr>
            <w:r w:rsidRPr="004E2001">
              <w:t>88.70 (0.28)</w:t>
            </w:r>
          </w:p>
        </w:tc>
        <w:tc>
          <w:tcPr>
            <w:tcW w:w="1287" w:type="dxa"/>
            <w:vAlign w:val="center"/>
          </w:tcPr>
          <w:p w:rsidR="00A03386" w:rsidRPr="004E2001" w:rsidRDefault="00A03386" w:rsidP="003F26F6">
            <w:pPr>
              <w:pStyle w:val="TableText0"/>
              <w:jc w:val="center"/>
            </w:pPr>
            <w:r w:rsidRPr="004E2001">
              <w:t>-6.53 (0.28)</w:t>
            </w:r>
          </w:p>
        </w:tc>
        <w:tc>
          <w:tcPr>
            <w:tcW w:w="3073" w:type="dxa"/>
            <w:vMerge w:val="restart"/>
            <w:vAlign w:val="center"/>
          </w:tcPr>
          <w:p w:rsidR="00A03386" w:rsidRPr="004E2001" w:rsidRDefault="00A03386" w:rsidP="003F26F6">
            <w:pPr>
              <w:pStyle w:val="TableText0"/>
              <w:jc w:val="center"/>
            </w:pPr>
            <w:r w:rsidRPr="004E2001">
              <w:t>-3.55 (-4.32, -2.78)</w:t>
            </w:r>
          </w:p>
        </w:tc>
      </w:tr>
      <w:tr w:rsidR="00A03386" w:rsidRPr="004E2001" w:rsidTr="00F421BA">
        <w:trPr>
          <w:tblHeader/>
        </w:trPr>
        <w:tc>
          <w:tcPr>
            <w:tcW w:w="1571" w:type="dxa"/>
            <w:vAlign w:val="center"/>
          </w:tcPr>
          <w:p w:rsidR="00A03386" w:rsidRPr="004E2001" w:rsidRDefault="00A03386" w:rsidP="003F26F6">
            <w:pPr>
              <w:pStyle w:val="TableText0"/>
            </w:pPr>
            <w:r w:rsidRPr="004E2001">
              <w:t>Dula 1.5 mg</w:t>
            </w:r>
          </w:p>
        </w:tc>
        <w:tc>
          <w:tcPr>
            <w:tcW w:w="692" w:type="dxa"/>
            <w:vAlign w:val="center"/>
          </w:tcPr>
          <w:p w:rsidR="00A03386" w:rsidRPr="004E2001" w:rsidRDefault="00A03386" w:rsidP="003F26F6">
            <w:pPr>
              <w:pStyle w:val="TableText0"/>
              <w:jc w:val="center"/>
            </w:pPr>
            <w:r w:rsidRPr="004E2001">
              <w:t>252</w:t>
            </w:r>
          </w:p>
        </w:tc>
        <w:tc>
          <w:tcPr>
            <w:tcW w:w="1259" w:type="dxa"/>
            <w:vAlign w:val="center"/>
          </w:tcPr>
          <w:p w:rsidR="00A03386" w:rsidRPr="004E2001" w:rsidRDefault="00A03386" w:rsidP="003F26F6">
            <w:pPr>
              <w:pStyle w:val="TableText0"/>
              <w:jc w:val="center"/>
            </w:pPr>
            <w:r w:rsidRPr="004E2001">
              <w:t>93.4 (21.8)</w:t>
            </w:r>
          </w:p>
        </w:tc>
        <w:tc>
          <w:tcPr>
            <w:tcW w:w="1135" w:type="dxa"/>
            <w:vAlign w:val="center"/>
          </w:tcPr>
          <w:p w:rsidR="00A03386" w:rsidRPr="004E2001" w:rsidRDefault="00A03386" w:rsidP="003F26F6">
            <w:pPr>
              <w:pStyle w:val="TableText0"/>
              <w:jc w:val="center"/>
            </w:pPr>
            <w:r w:rsidRPr="004E2001">
              <w:t>92.25 (0.27)</w:t>
            </w:r>
          </w:p>
        </w:tc>
        <w:tc>
          <w:tcPr>
            <w:tcW w:w="1287" w:type="dxa"/>
            <w:vAlign w:val="center"/>
          </w:tcPr>
          <w:p w:rsidR="00A03386" w:rsidRPr="004E2001" w:rsidRDefault="00A03386" w:rsidP="003F26F6">
            <w:pPr>
              <w:pStyle w:val="TableText0"/>
              <w:jc w:val="center"/>
            </w:pPr>
            <w:r w:rsidRPr="004E2001">
              <w:t>-2.98 (0.27)</w:t>
            </w:r>
          </w:p>
        </w:tc>
        <w:tc>
          <w:tcPr>
            <w:tcW w:w="3073" w:type="dxa"/>
            <w:vMerge/>
            <w:vAlign w:val="center"/>
          </w:tcPr>
          <w:p w:rsidR="00A03386" w:rsidRPr="004E2001" w:rsidRDefault="00A03386" w:rsidP="003F26F6">
            <w:pPr>
              <w:pStyle w:val="TableText0"/>
              <w:jc w:val="center"/>
            </w:pPr>
          </w:p>
        </w:tc>
      </w:tr>
      <w:tr w:rsidR="00212CC7" w:rsidRPr="004E2001" w:rsidTr="00F421BA">
        <w:trPr>
          <w:tblHeader/>
        </w:trPr>
        <w:tc>
          <w:tcPr>
            <w:tcW w:w="1571" w:type="dxa"/>
          </w:tcPr>
          <w:p w:rsidR="00212CC7" w:rsidRPr="004E2001" w:rsidRDefault="00212CC7" w:rsidP="003F26F6">
            <w:pPr>
              <w:pStyle w:val="TableText0"/>
            </w:pPr>
            <w:r w:rsidRPr="004E2001">
              <w:t>Sema 0.5 mg</w:t>
            </w:r>
          </w:p>
        </w:tc>
        <w:tc>
          <w:tcPr>
            <w:tcW w:w="692" w:type="dxa"/>
            <w:vAlign w:val="center"/>
          </w:tcPr>
          <w:p w:rsidR="00212CC7" w:rsidRPr="004E2001" w:rsidRDefault="00212CC7" w:rsidP="003F26F6">
            <w:pPr>
              <w:pStyle w:val="TableText0"/>
              <w:jc w:val="center"/>
            </w:pPr>
            <w:r w:rsidRPr="004E2001">
              <w:t>301</w:t>
            </w:r>
          </w:p>
        </w:tc>
        <w:tc>
          <w:tcPr>
            <w:tcW w:w="1259" w:type="dxa"/>
          </w:tcPr>
          <w:p w:rsidR="00212CC7" w:rsidRPr="004E2001" w:rsidRDefault="00212CC7" w:rsidP="003F26F6">
            <w:pPr>
              <w:pStyle w:val="TableText0"/>
              <w:jc w:val="center"/>
            </w:pPr>
            <w:r w:rsidRPr="004E2001">
              <w:t>96.4 (24.4)</w:t>
            </w:r>
          </w:p>
        </w:tc>
        <w:tc>
          <w:tcPr>
            <w:tcW w:w="1135" w:type="dxa"/>
            <w:vAlign w:val="center"/>
          </w:tcPr>
          <w:p w:rsidR="00212CC7" w:rsidRPr="004E2001" w:rsidRDefault="00212CC7" w:rsidP="003F26F6">
            <w:pPr>
              <w:pStyle w:val="TableText0"/>
              <w:jc w:val="center"/>
            </w:pPr>
          </w:p>
        </w:tc>
        <w:tc>
          <w:tcPr>
            <w:tcW w:w="1287" w:type="dxa"/>
            <w:vAlign w:val="center"/>
          </w:tcPr>
          <w:p w:rsidR="00212CC7" w:rsidRPr="004E2001" w:rsidRDefault="00212CC7" w:rsidP="003F26F6">
            <w:pPr>
              <w:pStyle w:val="TableText0"/>
              <w:jc w:val="center"/>
            </w:pPr>
            <w:r w:rsidRPr="004E2001">
              <w:t>-4.6 (0.3)</w:t>
            </w:r>
          </w:p>
        </w:tc>
        <w:tc>
          <w:tcPr>
            <w:tcW w:w="3073" w:type="dxa"/>
            <w:vMerge w:val="restart"/>
            <w:vAlign w:val="center"/>
          </w:tcPr>
          <w:p w:rsidR="00212CC7" w:rsidRPr="004E2001" w:rsidRDefault="00212CC7" w:rsidP="003F26F6">
            <w:pPr>
              <w:pStyle w:val="TableText0"/>
              <w:jc w:val="center"/>
            </w:pPr>
            <w:r w:rsidRPr="004E2001">
              <w:t>-1.58 (-2.35, -0.82)</w:t>
            </w:r>
          </w:p>
        </w:tc>
      </w:tr>
      <w:tr w:rsidR="00212CC7" w:rsidRPr="004E2001" w:rsidTr="00F421BA">
        <w:trPr>
          <w:tblHeader/>
        </w:trPr>
        <w:tc>
          <w:tcPr>
            <w:tcW w:w="1571" w:type="dxa"/>
          </w:tcPr>
          <w:p w:rsidR="00212CC7" w:rsidRPr="004E2001" w:rsidRDefault="00212CC7" w:rsidP="003F26F6">
            <w:pPr>
              <w:pStyle w:val="TableText0"/>
            </w:pPr>
            <w:r w:rsidRPr="004E2001">
              <w:t>Dula 1.5 mg</w:t>
            </w:r>
          </w:p>
        </w:tc>
        <w:tc>
          <w:tcPr>
            <w:tcW w:w="692" w:type="dxa"/>
            <w:vAlign w:val="center"/>
          </w:tcPr>
          <w:p w:rsidR="00212CC7" w:rsidRPr="004E2001" w:rsidRDefault="00212CC7" w:rsidP="003F26F6">
            <w:pPr>
              <w:pStyle w:val="TableText0"/>
              <w:jc w:val="center"/>
            </w:pPr>
            <w:r w:rsidRPr="004E2001">
              <w:t>299</w:t>
            </w:r>
          </w:p>
        </w:tc>
        <w:tc>
          <w:tcPr>
            <w:tcW w:w="1259" w:type="dxa"/>
          </w:tcPr>
          <w:p w:rsidR="00212CC7" w:rsidRPr="004E2001" w:rsidRDefault="00212CC7" w:rsidP="003F26F6">
            <w:pPr>
              <w:pStyle w:val="TableText0"/>
              <w:jc w:val="center"/>
            </w:pPr>
            <w:r w:rsidRPr="004E2001">
              <w:t>93.4 (21.8)</w:t>
            </w:r>
          </w:p>
        </w:tc>
        <w:tc>
          <w:tcPr>
            <w:tcW w:w="1135" w:type="dxa"/>
            <w:vAlign w:val="center"/>
          </w:tcPr>
          <w:p w:rsidR="00212CC7" w:rsidRPr="004E2001" w:rsidRDefault="00212CC7" w:rsidP="003F26F6">
            <w:pPr>
              <w:pStyle w:val="TableText0"/>
              <w:jc w:val="center"/>
            </w:pPr>
          </w:p>
        </w:tc>
        <w:tc>
          <w:tcPr>
            <w:tcW w:w="1287" w:type="dxa"/>
            <w:vAlign w:val="center"/>
          </w:tcPr>
          <w:p w:rsidR="00212CC7" w:rsidRPr="004E2001" w:rsidRDefault="00212CC7" w:rsidP="003F26F6">
            <w:pPr>
              <w:pStyle w:val="TableText0"/>
              <w:jc w:val="center"/>
            </w:pPr>
            <w:r w:rsidRPr="004E2001">
              <w:t>-3.0 (0.3)</w:t>
            </w:r>
          </w:p>
        </w:tc>
        <w:tc>
          <w:tcPr>
            <w:tcW w:w="3073" w:type="dxa"/>
            <w:vMerge/>
            <w:vAlign w:val="center"/>
          </w:tcPr>
          <w:p w:rsidR="00212CC7" w:rsidRPr="004E2001" w:rsidRDefault="00212CC7" w:rsidP="003F26F6">
            <w:pPr>
              <w:pStyle w:val="TableText0"/>
              <w:jc w:val="center"/>
            </w:pPr>
          </w:p>
        </w:tc>
      </w:tr>
      <w:tr w:rsidR="00A03386" w:rsidRPr="004E2001" w:rsidTr="00F421BA">
        <w:trPr>
          <w:tblHeader/>
        </w:trPr>
        <w:tc>
          <w:tcPr>
            <w:tcW w:w="9017" w:type="dxa"/>
            <w:gridSpan w:val="6"/>
            <w:vAlign w:val="center"/>
          </w:tcPr>
          <w:p w:rsidR="00A03386" w:rsidRPr="004E2001" w:rsidRDefault="00A03386" w:rsidP="003F26F6">
            <w:pPr>
              <w:pStyle w:val="TableText0"/>
              <w:rPr>
                <w:b/>
              </w:rPr>
            </w:pPr>
            <w:r w:rsidRPr="004E2001">
              <w:rPr>
                <w:b/>
              </w:rPr>
              <w:t>Body weight (%) [exploratory endpoint]</w:t>
            </w:r>
          </w:p>
        </w:tc>
      </w:tr>
      <w:tr w:rsidR="00A03386" w:rsidRPr="004E2001" w:rsidTr="00F421BA">
        <w:trPr>
          <w:tblHeader/>
        </w:trPr>
        <w:tc>
          <w:tcPr>
            <w:tcW w:w="1571" w:type="dxa"/>
            <w:vAlign w:val="center"/>
          </w:tcPr>
          <w:p w:rsidR="00A03386" w:rsidRPr="004E2001" w:rsidRDefault="00A03386" w:rsidP="003F26F6">
            <w:pPr>
              <w:pStyle w:val="TableText0"/>
            </w:pPr>
            <w:r w:rsidRPr="004E2001">
              <w:t>Sema 0.5 mg</w:t>
            </w:r>
          </w:p>
        </w:tc>
        <w:tc>
          <w:tcPr>
            <w:tcW w:w="692" w:type="dxa"/>
            <w:vAlign w:val="center"/>
          </w:tcPr>
          <w:p w:rsidR="00A03386" w:rsidRPr="004E2001" w:rsidRDefault="00A03386" w:rsidP="003F26F6">
            <w:pPr>
              <w:pStyle w:val="TableText0"/>
              <w:jc w:val="center"/>
            </w:pPr>
            <w:r w:rsidRPr="004E2001">
              <w:t>244</w:t>
            </w:r>
          </w:p>
        </w:tc>
        <w:tc>
          <w:tcPr>
            <w:tcW w:w="1259" w:type="dxa"/>
            <w:vAlign w:val="center"/>
          </w:tcPr>
          <w:p w:rsidR="00A03386" w:rsidRPr="004E2001" w:rsidRDefault="00A03386" w:rsidP="003F26F6">
            <w:pPr>
              <w:pStyle w:val="TableText0"/>
              <w:jc w:val="center"/>
            </w:pPr>
            <w:r w:rsidRPr="004E2001">
              <w:t>-</w:t>
            </w:r>
          </w:p>
        </w:tc>
        <w:tc>
          <w:tcPr>
            <w:tcW w:w="1135" w:type="dxa"/>
            <w:vAlign w:val="center"/>
          </w:tcPr>
          <w:p w:rsidR="00A03386" w:rsidRPr="004E2001" w:rsidRDefault="00A03386" w:rsidP="003F26F6">
            <w:pPr>
              <w:pStyle w:val="TableText0"/>
              <w:jc w:val="center"/>
            </w:pPr>
            <w:r w:rsidRPr="004E2001">
              <w:t>-</w:t>
            </w:r>
          </w:p>
        </w:tc>
        <w:tc>
          <w:tcPr>
            <w:tcW w:w="1287" w:type="dxa"/>
            <w:vAlign w:val="center"/>
          </w:tcPr>
          <w:p w:rsidR="00A03386" w:rsidRPr="004E2001" w:rsidRDefault="00A03386" w:rsidP="003F26F6">
            <w:pPr>
              <w:pStyle w:val="TableText0"/>
              <w:jc w:val="center"/>
            </w:pPr>
            <w:r w:rsidRPr="004E2001">
              <w:t>-4.92 (0.29)</w:t>
            </w:r>
          </w:p>
        </w:tc>
        <w:tc>
          <w:tcPr>
            <w:tcW w:w="3073" w:type="dxa"/>
            <w:vMerge w:val="restart"/>
            <w:vAlign w:val="center"/>
          </w:tcPr>
          <w:p w:rsidR="00A03386" w:rsidRPr="004E2001" w:rsidRDefault="00A03386" w:rsidP="003F26F6">
            <w:pPr>
              <w:pStyle w:val="TableText0"/>
              <w:jc w:val="center"/>
            </w:pPr>
            <w:r w:rsidRPr="004E2001">
              <w:t>-2.54 (-3.33, -1.75)</w:t>
            </w:r>
          </w:p>
        </w:tc>
      </w:tr>
      <w:tr w:rsidR="00A03386" w:rsidRPr="004E2001" w:rsidTr="00F421BA">
        <w:trPr>
          <w:tblHeader/>
        </w:trPr>
        <w:tc>
          <w:tcPr>
            <w:tcW w:w="1571" w:type="dxa"/>
            <w:vAlign w:val="center"/>
          </w:tcPr>
          <w:p w:rsidR="00A03386" w:rsidRPr="004E2001" w:rsidRDefault="00A03386" w:rsidP="003F26F6">
            <w:pPr>
              <w:pStyle w:val="TableText0"/>
            </w:pPr>
            <w:r w:rsidRPr="004E2001">
              <w:t>Dula 0.75 mg</w:t>
            </w:r>
          </w:p>
        </w:tc>
        <w:tc>
          <w:tcPr>
            <w:tcW w:w="692" w:type="dxa"/>
            <w:vAlign w:val="center"/>
          </w:tcPr>
          <w:p w:rsidR="00A03386" w:rsidRPr="004E2001" w:rsidRDefault="00A03386" w:rsidP="003F26F6">
            <w:pPr>
              <w:pStyle w:val="TableText0"/>
              <w:jc w:val="center"/>
            </w:pPr>
            <w:r w:rsidRPr="004E2001">
              <w:t>253</w:t>
            </w:r>
          </w:p>
        </w:tc>
        <w:tc>
          <w:tcPr>
            <w:tcW w:w="1259" w:type="dxa"/>
            <w:vAlign w:val="center"/>
          </w:tcPr>
          <w:p w:rsidR="00A03386" w:rsidRPr="004E2001" w:rsidRDefault="00A03386" w:rsidP="003F26F6">
            <w:pPr>
              <w:pStyle w:val="TableText0"/>
              <w:jc w:val="center"/>
            </w:pPr>
            <w:r w:rsidRPr="004E2001">
              <w:t>-</w:t>
            </w:r>
          </w:p>
        </w:tc>
        <w:tc>
          <w:tcPr>
            <w:tcW w:w="1135" w:type="dxa"/>
            <w:vAlign w:val="center"/>
          </w:tcPr>
          <w:p w:rsidR="00A03386" w:rsidRPr="004E2001" w:rsidRDefault="00A03386" w:rsidP="003F26F6">
            <w:pPr>
              <w:pStyle w:val="TableText0"/>
              <w:jc w:val="center"/>
            </w:pPr>
            <w:r w:rsidRPr="004E2001">
              <w:t>-</w:t>
            </w:r>
          </w:p>
        </w:tc>
        <w:tc>
          <w:tcPr>
            <w:tcW w:w="1287" w:type="dxa"/>
            <w:vAlign w:val="center"/>
          </w:tcPr>
          <w:p w:rsidR="00A03386" w:rsidRPr="004E2001" w:rsidRDefault="00A03386" w:rsidP="003F26F6">
            <w:pPr>
              <w:pStyle w:val="TableText0"/>
              <w:jc w:val="center"/>
            </w:pPr>
            <w:r w:rsidRPr="004E2001">
              <w:t>-2.38 (0.28)</w:t>
            </w:r>
          </w:p>
        </w:tc>
        <w:tc>
          <w:tcPr>
            <w:tcW w:w="3073" w:type="dxa"/>
            <w:vMerge/>
            <w:vAlign w:val="center"/>
          </w:tcPr>
          <w:p w:rsidR="00A03386" w:rsidRPr="004E2001" w:rsidRDefault="00A03386" w:rsidP="003F26F6">
            <w:pPr>
              <w:pStyle w:val="TableText0"/>
              <w:jc w:val="center"/>
            </w:pPr>
          </w:p>
        </w:tc>
      </w:tr>
      <w:tr w:rsidR="00A03386" w:rsidRPr="004E2001" w:rsidTr="00F421BA">
        <w:trPr>
          <w:tblHeader/>
        </w:trPr>
        <w:tc>
          <w:tcPr>
            <w:tcW w:w="1571" w:type="dxa"/>
            <w:vAlign w:val="center"/>
          </w:tcPr>
          <w:p w:rsidR="00A03386" w:rsidRPr="004E2001" w:rsidRDefault="00A03386" w:rsidP="003F26F6">
            <w:pPr>
              <w:pStyle w:val="TableText0"/>
            </w:pPr>
            <w:r w:rsidRPr="004E2001">
              <w:t>Sema 1.0 mg</w:t>
            </w:r>
          </w:p>
        </w:tc>
        <w:tc>
          <w:tcPr>
            <w:tcW w:w="692" w:type="dxa"/>
            <w:vAlign w:val="center"/>
          </w:tcPr>
          <w:p w:rsidR="00A03386" w:rsidRPr="004E2001" w:rsidRDefault="00A03386" w:rsidP="003F26F6">
            <w:pPr>
              <w:pStyle w:val="TableText0"/>
              <w:jc w:val="center"/>
            </w:pPr>
            <w:r w:rsidRPr="004E2001">
              <w:t>241</w:t>
            </w:r>
          </w:p>
        </w:tc>
        <w:tc>
          <w:tcPr>
            <w:tcW w:w="1259" w:type="dxa"/>
            <w:vAlign w:val="center"/>
          </w:tcPr>
          <w:p w:rsidR="00A03386" w:rsidRPr="004E2001" w:rsidRDefault="00A03386" w:rsidP="003F26F6">
            <w:pPr>
              <w:pStyle w:val="TableText0"/>
              <w:jc w:val="center"/>
            </w:pPr>
            <w:r w:rsidRPr="004E2001">
              <w:t>-</w:t>
            </w:r>
          </w:p>
        </w:tc>
        <w:tc>
          <w:tcPr>
            <w:tcW w:w="1135" w:type="dxa"/>
            <w:vAlign w:val="center"/>
          </w:tcPr>
          <w:p w:rsidR="00A03386" w:rsidRPr="004E2001" w:rsidRDefault="00A03386" w:rsidP="003F26F6">
            <w:pPr>
              <w:pStyle w:val="TableText0"/>
              <w:jc w:val="center"/>
            </w:pPr>
            <w:r w:rsidRPr="004E2001">
              <w:t>-</w:t>
            </w:r>
          </w:p>
        </w:tc>
        <w:tc>
          <w:tcPr>
            <w:tcW w:w="1287" w:type="dxa"/>
            <w:vAlign w:val="center"/>
          </w:tcPr>
          <w:p w:rsidR="00A03386" w:rsidRPr="004E2001" w:rsidRDefault="00A03386" w:rsidP="003F26F6">
            <w:pPr>
              <w:pStyle w:val="TableText0"/>
              <w:jc w:val="center"/>
            </w:pPr>
            <w:r w:rsidRPr="004E2001">
              <w:t>-6.92 (0.29)</w:t>
            </w:r>
          </w:p>
        </w:tc>
        <w:tc>
          <w:tcPr>
            <w:tcW w:w="3073" w:type="dxa"/>
            <w:vMerge w:val="restart"/>
            <w:vAlign w:val="center"/>
          </w:tcPr>
          <w:p w:rsidR="00A03386" w:rsidRPr="004E2001" w:rsidRDefault="00A03386" w:rsidP="003F26F6">
            <w:pPr>
              <w:pStyle w:val="TableText0"/>
              <w:jc w:val="center"/>
            </w:pPr>
            <w:r w:rsidRPr="004E2001">
              <w:t>-3.67 (-4.47, -2.86)</w:t>
            </w:r>
          </w:p>
        </w:tc>
      </w:tr>
      <w:tr w:rsidR="00A03386" w:rsidRPr="004E2001" w:rsidTr="00F421BA">
        <w:trPr>
          <w:tblHeader/>
        </w:trPr>
        <w:tc>
          <w:tcPr>
            <w:tcW w:w="1571" w:type="dxa"/>
            <w:vAlign w:val="center"/>
          </w:tcPr>
          <w:p w:rsidR="00A03386" w:rsidRPr="004E2001" w:rsidRDefault="00A03386" w:rsidP="003F26F6">
            <w:pPr>
              <w:pStyle w:val="TableText0"/>
            </w:pPr>
            <w:r w:rsidRPr="004E2001">
              <w:t>Dula 1.5 mg</w:t>
            </w:r>
          </w:p>
        </w:tc>
        <w:tc>
          <w:tcPr>
            <w:tcW w:w="692" w:type="dxa"/>
            <w:vAlign w:val="center"/>
          </w:tcPr>
          <w:p w:rsidR="00A03386" w:rsidRPr="004E2001" w:rsidRDefault="00A03386" w:rsidP="003F26F6">
            <w:pPr>
              <w:pStyle w:val="TableText0"/>
              <w:jc w:val="center"/>
            </w:pPr>
            <w:r w:rsidRPr="004E2001">
              <w:t>252</w:t>
            </w:r>
          </w:p>
        </w:tc>
        <w:tc>
          <w:tcPr>
            <w:tcW w:w="1259" w:type="dxa"/>
            <w:vAlign w:val="center"/>
          </w:tcPr>
          <w:p w:rsidR="00A03386" w:rsidRPr="004E2001" w:rsidRDefault="00A03386" w:rsidP="003F26F6">
            <w:pPr>
              <w:pStyle w:val="TableText0"/>
              <w:jc w:val="center"/>
            </w:pPr>
            <w:r w:rsidRPr="004E2001">
              <w:t>-</w:t>
            </w:r>
          </w:p>
        </w:tc>
        <w:tc>
          <w:tcPr>
            <w:tcW w:w="1135" w:type="dxa"/>
            <w:vAlign w:val="center"/>
          </w:tcPr>
          <w:p w:rsidR="00A03386" w:rsidRPr="004E2001" w:rsidRDefault="00A03386" w:rsidP="003F26F6">
            <w:pPr>
              <w:pStyle w:val="TableText0"/>
              <w:jc w:val="center"/>
            </w:pPr>
            <w:r w:rsidRPr="004E2001">
              <w:t>-</w:t>
            </w:r>
          </w:p>
        </w:tc>
        <w:tc>
          <w:tcPr>
            <w:tcW w:w="1287" w:type="dxa"/>
            <w:vAlign w:val="center"/>
          </w:tcPr>
          <w:p w:rsidR="00A03386" w:rsidRPr="004E2001" w:rsidRDefault="00A03386" w:rsidP="003F26F6">
            <w:pPr>
              <w:pStyle w:val="TableText0"/>
              <w:jc w:val="center"/>
            </w:pPr>
            <w:r w:rsidRPr="004E2001">
              <w:t>-3.26 (0.29)</w:t>
            </w:r>
          </w:p>
        </w:tc>
        <w:tc>
          <w:tcPr>
            <w:tcW w:w="3073" w:type="dxa"/>
            <w:vMerge/>
            <w:vAlign w:val="center"/>
          </w:tcPr>
          <w:p w:rsidR="00A03386" w:rsidRPr="004E2001" w:rsidRDefault="00A03386" w:rsidP="003F26F6">
            <w:pPr>
              <w:pStyle w:val="TableText0"/>
              <w:jc w:val="center"/>
            </w:pPr>
          </w:p>
        </w:tc>
      </w:tr>
      <w:tr w:rsidR="00A03386" w:rsidRPr="004E2001" w:rsidTr="00F421BA">
        <w:trPr>
          <w:tblHeader/>
        </w:trPr>
        <w:tc>
          <w:tcPr>
            <w:tcW w:w="1571" w:type="dxa"/>
            <w:tcBorders>
              <w:top w:val="double" w:sz="4" w:space="0" w:color="auto"/>
              <w:bottom w:val="single" w:sz="4" w:space="0" w:color="auto"/>
            </w:tcBorders>
            <w:vAlign w:val="center"/>
          </w:tcPr>
          <w:p w:rsidR="00A03386" w:rsidRPr="004E2001" w:rsidRDefault="00A03386" w:rsidP="003F26F6">
            <w:pPr>
              <w:pStyle w:val="TableText0"/>
            </w:pPr>
            <w:r w:rsidRPr="004E2001">
              <w:rPr>
                <w:b/>
              </w:rPr>
              <w:t>Treatment arms</w:t>
            </w:r>
          </w:p>
        </w:tc>
        <w:tc>
          <w:tcPr>
            <w:tcW w:w="692" w:type="dxa"/>
            <w:tcBorders>
              <w:top w:val="double" w:sz="4" w:space="0" w:color="auto"/>
              <w:bottom w:val="single" w:sz="4" w:space="0" w:color="auto"/>
            </w:tcBorders>
            <w:vAlign w:val="center"/>
          </w:tcPr>
          <w:p w:rsidR="00A03386" w:rsidRPr="004E2001" w:rsidRDefault="00A03386" w:rsidP="003F26F6">
            <w:pPr>
              <w:pStyle w:val="TableText0"/>
              <w:jc w:val="center"/>
            </w:pPr>
            <w:r w:rsidRPr="004E2001">
              <w:rPr>
                <w:b/>
              </w:rPr>
              <w:t>N</w:t>
            </w:r>
          </w:p>
        </w:tc>
        <w:tc>
          <w:tcPr>
            <w:tcW w:w="3681" w:type="dxa"/>
            <w:gridSpan w:val="3"/>
            <w:tcBorders>
              <w:top w:val="double" w:sz="4" w:space="0" w:color="auto"/>
              <w:bottom w:val="single" w:sz="4" w:space="0" w:color="auto"/>
            </w:tcBorders>
            <w:vAlign w:val="center"/>
          </w:tcPr>
          <w:p w:rsidR="00A03386" w:rsidRPr="004E2001" w:rsidRDefault="00A03386" w:rsidP="003F26F6">
            <w:pPr>
              <w:pStyle w:val="TableText0"/>
              <w:jc w:val="center"/>
            </w:pPr>
            <w:r w:rsidRPr="004E2001">
              <w:rPr>
                <w:b/>
              </w:rPr>
              <w:t>Patients, n/N (%)</w:t>
            </w:r>
          </w:p>
        </w:tc>
        <w:tc>
          <w:tcPr>
            <w:tcW w:w="3073" w:type="dxa"/>
            <w:tcBorders>
              <w:top w:val="double" w:sz="4" w:space="0" w:color="auto"/>
              <w:bottom w:val="single" w:sz="4" w:space="0" w:color="auto"/>
            </w:tcBorders>
            <w:vAlign w:val="center"/>
          </w:tcPr>
          <w:p w:rsidR="00A03386" w:rsidRPr="004E2001" w:rsidRDefault="00A03386" w:rsidP="003F26F6">
            <w:pPr>
              <w:pStyle w:val="TableText0"/>
              <w:jc w:val="center"/>
            </w:pPr>
            <w:r w:rsidRPr="004E2001">
              <w:rPr>
                <w:b/>
              </w:rPr>
              <w:t>Odds ratio (95% CI)</w:t>
            </w:r>
            <w:r w:rsidR="008F296E" w:rsidRPr="004E2001">
              <w:t xml:space="preserve"> or p value</w:t>
            </w:r>
          </w:p>
        </w:tc>
      </w:tr>
      <w:tr w:rsidR="00A03386" w:rsidRPr="004E2001" w:rsidTr="00F421BA">
        <w:trPr>
          <w:tblHeader/>
        </w:trPr>
        <w:tc>
          <w:tcPr>
            <w:tcW w:w="9017" w:type="dxa"/>
            <w:gridSpan w:val="6"/>
            <w:tcBorders>
              <w:top w:val="single" w:sz="4" w:space="0" w:color="auto"/>
            </w:tcBorders>
            <w:vAlign w:val="center"/>
          </w:tcPr>
          <w:p w:rsidR="00A03386" w:rsidRPr="004E2001" w:rsidRDefault="00A03386" w:rsidP="003F26F6">
            <w:pPr>
              <w:pStyle w:val="TableText0"/>
              <w:rPr>
                <w:b/>
              </w:rPr>
            </w:pPr>
            <w:r w:rsidRPr="004E2001">
              <w:rPr>
                <w:b/>
              </w:rPr>
              <w:t>Proportion of subjects achieving ≥ 5% weight loss at 40 weeks [exploratory outcome]</w:t>
            </w:r>
          </w:p>
        </w:tc>
      </w:tr>
      <w:tr w:rsidR="00A03386" w:rsidRPr="004E2001" w:rsidTr="00F421BA">
        <w:trPr>
          <w:tblHeader/>
        </w:trPr>
        <w:tc>
          <w:tcPr>
            <w:tcW w:w="1571" w:type="dxa"/>
            <w:vAlign w:val="center"/>
          </w:tcPr>
          <w:p w:rsidR="00A03386" w:rsidRPr="004E2001" w:rsidRDefault="00A03386" w:rsidP="003F26F6">
            <w:pPr>
              <w:pStyle w:val="TableText0"/>
            </w:pPr>
            <w:r w:rsidRPr="004E2001">
              <w:t>Sema 0.5 mg</w:t>
            </w:r>
          </w:p>
        </w:tc>
        <w:tc>
          <w:tcPr>
            <w:tcW w:w="692" w:type="dxa"/>
            <w:vAlign w:val="center"/>
          </w:tcPr>
          <w:p w:rsidR="00A03386" w:rsidRPr="004E2001" w:rsidRDefault="00A03386" w:rsidP="003F26F6">
            <w:pPr>
              <w:pStyle w:val="TableText0"/>
              <w:jc w:val="center"/>
            </w:pPr>
            <w:r w:rsidRPr="004E2001">
              <w:t>301</w:t>
            </w:r>
          </w:p>
        </w:tc>
        <w:tc>
          <w:tcPr>
            <w:tcW w:w="3681" w:type="dxa"/>
            <w:gridSpan w:val="3"/>
            <w:vAlign w:val="center"/>
          </w:tcPr>
          <w:p w:rsidR="00A03386" w:rsidRPr="004E2001" w:rsidRDefault="00A03386" w:rsidP="003F26F6">
            <w:pPr>
              <w:pStyle w:val="TableText0"/>
              <w:jc w:val="center"/>
            </w:pPr>
            <w:r w:rsidRPr="004E2001">
              <w:t>132/301 (44)</w:t>
            </w:r>
          </w:p>
        </w:tc>
        <w:tc>
          <w:tcPr>
            <w:tcW w:w="3073" w:type="dxa"/>
            <w:vMerge w:val="restart"/>
            <w:vAlign w:val="center"/>
          </w:tcPr>
          <w:p w:rsidR="00A03386" w:rsidRPr="004E2001" w:rsidRDefault="00A03386" w:rsidP="003F26F6">
            <w:pPr>
              <w:pStyle w:val="TableText0"/>
              <w:jc w:val="center"/>
            </w:pPr>
            <w:r w:rsidRPr="004E2001">
              <w:t>2.40 (1.65, 3.47)</w:t>
            </w:r>
          </w:p>
        </w:tc>
      </w:tr>
      <w:tr w:rsidR="00A03386" w:rsidRPr="004E2001" w:rsidTr="00F421BA">
        <w:trPr>
          <w:tblHeader/>
        </w:trPr>
        <w:tc>
          <w:tcPr>
            <w:tcW w:w="1571" w:type="dxa"/>
            <w:vAlign w:val="center"/>
          </w:tcPr>
          <w:p w:rsidR="00A03386" w:rsidRPr="004E2001" w:rsidRDefault="00A03386" w:rsidP="003F26F6">
            <w:pPr>
              <w:pStyle w:val="TableText0"/>
            </w:pPr>
            <w:r w:rsidRPr="004E2001">
              <w:t>Dula 0.75 mg</w:t>
            </w:r>
          </w:p>
        </w:tc>
        <w:tc>
          <w:tcPr>
            <w:tcW w:w="692" w:type="dxa"/>
            <w:vAlign w:val="center"/>
          </w:tcPr>
          <w:p w:rsidR="00A03386" w:rsidRPr="004E2001" w:rsidRDefault="00A03386" w:rsidP="003F26F6">
            <w:pPr>
              <w:pStyle w:val="TableText0"/>
              <w:jc w:val="center"/>
            </w:pPr>
            <w:r w:rsidRPr="004E2001">
              <w:t>299</w:t>
            </w:r>
          </w:p>
        </w:tc>
        <w:tc>
          <w:tcPr>
            <w:tcW w:w="3681" w:type="dxa"/>
            <w:gridSpan w:val="3"/>
            <w:vAlign w:val="center"/>
          </w:tcPr>
          <w:p w:rsidR="00A03386" w:rsidRPr="004E2001" w:rsidRDefault="00A03386" w:rsidP="003F26F6">
            <w:pPr>
              <w:pStyle w:val="TableText0"/>
              <w:jc w:val="center"/>
            </w:pPr>
            <w:r w:rsidRPr="004E2001">
              <w:t>68/299 (23)</w:t>
            </w:r>
          </w:p>
        </w:tc>
        <w:tc>
          <w:tcPr>
            <w:tcW w:w="3073" w:type="dxa"/>
            <w:vMerge/>
            <w:vAlign w:val="center"/>
          </w:tcPr>
          <w:p w:rsidR="00A03386" w:rsidRPr="004E2001" w:rsidRDefault="00A03386" w:rsidP="003F26F6">
            <w:pPr>
              <w:pStyle w:val="TableText0"/>
              <w:jc w:val="center"/>
            </w:pPr>
          </w:p>
        </w:tc>
      </w:tr>
      <w:tr w:rsidR="00A03386" w:rsidRPr="004E2001" w:rsidTr="00F421BA">
        <w:trPr>
          <w:tblHeader/>
        </w:trPr>
        <w:tc>
          <w:tcPr>
            <w:tcW w:w="1571" w:type="dxa"/>
            <w:tcBorders>
              <w:bottom w:val="single" w:sz="4" w:space="0" w:color="auto"/>
            </w:tcBorders>
            <w:vAlign w:val="center"/>
          </w:tcPr>
          <w:p w:rsidR="00A03386" w:rsidRPr="004E2001" w:rsidRDefault="00A03386" w:rsidP="003F26F6">
            <w:pPr>
              <w:pStyle w:val="TableText0"/>
            </w:pPr>
            <w:r w:rsidRPr="004E2001">
              <w:t>Sema 1.0 mg</w:t>
            </w:r>
          </w:p>
        </w:tc>
        <w:tc>
          <w:tcPr>
            <w:tcW w:w="692" w:type="dxa"/>
            <w:tcBorders>
              <w:bottom w:val="single" w:sz="4" w:space="0" w:color="auto"/>
            </w:tcBorders>
            <w:vAlign w:val="center"/>
          </w:tcPr>
          <w:p w:rsidR="00A03386" w:rsidRPr="004E2001" w:rsidRDefault="00A03386" w:rsidP="003F26F6">
            <w:pPr>
              <w:pStyle w:val="TableText0"/>
              <w:jc w:val="center"/>
            </w:pPr>
            <w:r w:rsidRPr="004E2001">
              <w:t>300</w:t>
            </w:r>
          </w:p>
        </w:tc>
        <w:tc>
          <w:tcPr>
            <w:tcW w:w="3681" w:type="dxa"/>
            <w:gridSpan w:val="3"/>
            <w:tcBorders>
              <w:bottom w:val="single" w:sz="4" w:space="0" w:color="auto"/>
            </w:tcBorders>
            <w:vAlign w:val="center"/>
          </w:tcPr>
          <w:p w:rsidR="00A03386" w:rsidRPr="004E2001" w:rsidRDefault="00A03386" w:rsidP="003F26F6">
            <w:pPr>
              <w:pStyle w:val="TableText0"/>
              <w:jc w:val="center"/>
            </w:pPr>
            <w:r w:rsidRPr="004E2001">
              <w:t>189/300 (63)</w:t>
            </w:r>
          </w:p>
        </w:tc>
        <w:tc>
          <w:tcPr>
            <w:tcW w:w="3073" w:type="dxa"/>
            <w:vMerge w:val="restart"/>
            <w:tcBorders>
              <w:bottom w:val="single" w:sz="4" w:space="0" w:color="auto"/>
            </w:tcBorders>
            <w:vAlign w:val="center"/>
          </w:tcPr>
          <w:p w:rsidR="00A03386" w:rsidRPr="004E2001" w:rsidRDefault="00A03386" w:rsidP="003F26F6">
            <w:pPr>
              <w:pStyle w:val="TableText0"/>
              <w:jc w:val="center"/>
            </w:pPr>
            <w:r w:rsidRPr="004E2001">
              <w:t>3.03 (2.11, 4.34)</w:t>
            </w:r>
          </w:p>
        </w:tc>
      </w:tr>
      <w:tr w:rsidR="00A03386" w:rsidRPr="004E2001" w:rsidTr="00F421BA">
        <w:trPr>
          <w:tblHeader/>
        </w:trPr>
        <w:tc>
          <w:tcPr>
            <w:tcW w:w="1571" w:type="dxa"/>
            <w:vAlign w:val="center"/>
          </w:tcPr>
          <w:p w:rsidR="00A03386" w:rsidRPr="004E2001" w:rsidRDefault="00A03386" w:rsidP="003F26F6">
            <w:pPr>
              <w:pStyle w:val="TableText0"/>
            </w:pPr>
            <w:r w:rsidRPr="004E2001">
              <w:t>Dula 1.5 mg</w:t>
            </w:r>
          </w:p>
        </w:tc>
        <w:tc>
          <w:tcPr>
            <w:tcW w:w="692" w:type="dxa"/>
            <w:vAlign w:val="center"/>
          </w:tcPr>
          <w:p w:rsidR="00A03386" w:rsidRPr="004E2001" w:rsidRDefault="00A03386" w:rsidP="003F26F6">
            <w:pPr>
              <w:pStyle w:val="TableText0"/>
              <w:jc w:val="center"/>
            </w:pPr>
            <w:r w:rsidRPr="004E2001">
              <w:t>298</w:t>
            </w:r>
          </w:p>
        </w:tc>
        <w:tc>
          <w:tcPr>
            <w:tcW w:w="3681" w:type="dxa"/>
            <w:gridSpan w:val="3"/>
            <w:vAlign w:val="center"/>
          </w:tcPr>
          <w:p w:rsidR="00A03386" w:rsidRPr="004E2001" w:rsidRDefault="00A03386" w:rsidP="003F26F6">
            <w:pPr>
              <w:pStyle w:val="TableText0"/>
              <w:jc w:val="center"/>
            </w:pPr>
            <w:r w:rsidRPr="004E2001">
              <w:t>90/298 (30)</w:t>
            </w:r>
          </w:p>
        </w:tc>
        <w:tc>
          <w:tcPr>
            <w:tcW w:w="3073" w:type="dxa"/>
            <w:vMerge/>
            <w:vAlign w:val="center"/>
          </w:tcPr>
          <w:p w:rsidR="00A03386" w:rsidRPr="004E2001" w:rsidRDefault="00A03386" w:rsidP="003F26F6">
            <w:pPr>
              <w:pStyle w:val="TableText0"/>
              <w:jc w:val="center"/>
            </w:pPr>
          </w:p>
        </w:tc>
      </w:tr>
      <w:tr w:rsidR="00212CC7" w:rsidRPr="004E2001" w:rsidTr="00F421BA">
        <w:trPr>
          <w:tblHeader/>
        </w:trPr>
        <w:tc>
          <w:tcPr>
            <w:tcW w:w="1571" w:type="dxa"/>
          </w:tcPr>
          <w:p w:rsidR="00212CC7" w:rsidRPr="004E2001" w:rsidRDefault="00212CC7" w:rsidP="003F26F6">
            <w:pPr>
              <w:pStyle w:val="TableText0"/>
            </w:pPr>
            <w:r w:rsidRPr="004E2001">
              <w:t>Sema 0.5 mg</w:t>
            </w:r>
          </w:p>
        </w:tc>
        <w:tc>
          <w:tcPr>
            <w:tcW w:w="692" w:type="dxa"/>
            <w:vAlign w:val="center"/>
          </w:tcPr>
          <w:p w:rsidR="00212CC7" w:rsidRPr="004E2001" w:rsidRDefault="00212CC7" w:rsidP="003F26F6">
            <w:pPr>
              <w:pStyle w:val="TableText0"/>
              <w:jc w:val="center"/>
            </w:pPr>
            <w:r w:rsidRPr="004E2001">
              <w:t>301</w:t>
            </w:r>
          </w:p>
        </w:tc>
        <w:tc>
          <w:tcPr>
            <w:tcW w:w="3681" w:type="dxa"/>
            <w:gridSpan w:val="3"/>
          </w:tcPr>
          <w:p w:rsidR="00212CC7" w:rsidRPr="004E2001" w:rsidRDefault="00212CC7" w:rsidP="003F26F6">
            <w:pPr>
              <w:pStyle w:val="TableText0"/>
              <w:jc w:val="center"/>
            </w:pPr>
            <w:r w:rsidRPr="004E2001">
              <w:t>132/301 (44)</w:t>
            </w:r>
          </w:p>
        </w:tc>
        <w:tc>
          <w:tcPr>
            <w:tcW w:w="3073" w:type="dxa"/>
            <w:vMerge w:val="restart"/>
            <w:vAlign w:val="center"/>
          </w:tcPr>
          <w:p w:rsidR="00212CC7" w:rsidRPr="004E2001" w:rsidRDefault="008F296E" w:rsidP="003F26F6">
            <w:pPr>
              <w:pStyle w:val="TableText0"/>
              <w:jc w:val="center"/>
            </w:pPr>
            <w:r w:rsidRPr="004E2001">
              <w:t>p = 0.0093</w:t>
            </w:r>
          </w:p>
        </w:tc>
      </w:tr>
      <w:tr w:rsidR="00212CC7" w:rsidRPr="004E2001" w:rsidTr="00F421BA">
        <w:trPr>
          <w:tblHeader/>
        </w:trPr>
        <w:tc>
          <w:tcPr>
            <w:tcW w:w="1571" w:type="dxa"/>
            <w:tcBorders>
              <w:bottom w:val="single" w:sz="4" w:space="0" w:color="auto"/>
            </w:tcBorders>
          </w:tcPr>
          <w:p w:rsidR="00212CC7" w:rsidRPr="004E2001" w:rsidRDefault="00212CC7" w:rsidP="003F26F6">
            <w:pPr>
              <w:pStyle w:val="TableText0"/>
            </w:pPr>
            <w:r w:rsidRPr="004E2001">
              <w:t>Dula 1.5 mg</w:t>
            </w:r>
          </w:p>
        </w:tc>
        <w:tc>
          <w:tcPr>
            <w:tcW w:w="692" w:type="dxa"/>
            <w:tcBorders>
              <w:bottom w:val="single" w:sz="4" w:space="0" w:color="auto"/>
            </w:tcBorders>
            <w:vAlign w:val="center"/>
          </w:tcPr>
          <w:p w:rsidR="00212CC7" w:rsidRPr="004E2001" w:rsidRDefault="00212CC7" w:rsidP="003F26F6">
            <w:pPr>
              <w:pStyle w:val="TableText0"/>
              <w:jc w:val="center"/>
            </w:pPr>
            <w:r w:rsidRPr="004E2001">
              <w:t>299</w:t>
            </w:r>
          </w:p>
        </w:tc>
        <w:tc>
          <w:tcPr>
            <w:tcW w:w="3681" w:type="dxa"/>
            <w:gridSpan w:val="3"/>
            <w:tcBorders>
              <w:bottom w:val="single" w:sz="4" w:space="0" w:color="auto"/>
            </w:tcBorders>
          </w:tcPr>
          <w:p w:rsidR="00212CC7" w:rsidRPr="004E2001" w:rsidRDefault="00212CC7" w:rsidP="003F26F6">
            <w:pPr>
              <w:pStyle w:val="TableText0"/>
              <w:jc w:val="center"/>
            </w:pPr>
            <w:r w:rsidRPr="004E2001">
              <w:t>90/298 (30)</w:t>
            </w:r>
          </w:p>
        </w:tc>
        <w:tc>
          <w:tcPr>
            <w:tcW w:w="3073" w:type="dxa"/>
            <w:vMerge/>
            <w:tcBorders>
              <w:bottom w:val="single" w:sz="4" w:space="0" w:color="auto"/>
            </w:tcBorders>
            <w:vAlign w:val="center"/>
          </w:tcPr>
          <w:p w:rsidR="00212CC7" w:rsidRPr="004E2001" w:rsidRDefault="00212CC7" w:rsidP="003F26F6">
            <w:pPr>
              <w:pStyle w:val="TableText0"/>
              <w:jc w:val="center"/>
            </w:pPr>
          </w:p>
        </w:tc>
      </w:tr>
    </w:tbl>
    <w:p w:rsidR="00A03386" w:rsidRPr="004E2001" w:rsidRDefault="00A03386" w:rsidP="003F26F6">
      <w:pPr>
        <w:pStyle w:val="TableFooter"/>
      </w:pPr>
      <w:r w:rsidRPr="004E2001">
        <w:t>Source: Table 11-2, p 145; Table 11-3, p 150; Table 14.2.62, p 791; Table 14.2.103, p 884 of the SUSTAIN 7 trial report</w:t>
      </w:r>
      <w:r w:rsidR="00212CC7" w:rsidRPr="004E2001">
        <w:t xml:space="preserve">; PSCR </w:t>
      </w:r>
      <w:r w:rsidR="009B554A" w:rsidRPr="004E2001">
        <w:t>(p6)</w:t>
      </w:r>
      <w:r w:rsidRPr="004E2001">
        <w:t xml:space="preserve"> </w:t>
      </w:r>
    </w:p>
    <w:p w:rsidR="00A03386" w:rsidRPr="004E2001" w:rsidRDefault="00A03386" w:rsidP="003F26F6">
      <w:pPr>
        <w:pStyle w:val="TableFooter"/>
      </w:pPr>
      <w:r w:rsidRPr="004E2001">
        <w:t xml:space="preserve">Abbreviation: BMI, body mass index; CI, confidence interval; </w:t>
      </w:r>
      <w:r w:rsidR="0067006C" w:rsidRPr="004E2001">
        <w:t xml:space="preserve">Dula, dulaglutide; </w:t>
      </w:r>
      <w:r w:rsidRPr="004E2001">
        <w:t>SE, standard error</w:t>
      </w:r>
      <w:r w:rsidR="0067006C" w:rsidRPr="004E2001">
        <w:t>; Sema, semaglutide</w:t>
      </w:r>
    </w:p>
    <w:p w:rsidR="00A03386" w:rsidRPr="004E2001" w:rsidRDefault="00A03386" w:rsidP="003F26F6">
      <w:pPr>
        <w:pStyle w:val="TableFooter"/>
      </w:pPr>
      <w:r w:rsidRPr="004E2001">
        <w:rPr>
          <w:vertAlign w:val="superscript"/>
        </w:rPr>
        <w:t>a</w:t>
      </w:r>
      <w:r w:rsidRPr="004E2001">
        <w:t xml:space="preserve"> Estimated using a mixed model for repeated measures (treatment and country as fixed factors and baseline value as covariate)</w:t>
      </w:r>
    </w:p>
    <w:p w:rsidR="00A03386" w:rsidRPr="004E2001" w:rsidRDefault="00A03386" w:rsidP="003F26F6"/>
    <w:p w:rsidR="0090311A" w:rsidRPr="004E2001" w:rsidRDefault="00662306" w:rsidP="0076592A">
      <w:pPr>
        <w:pStyle w:val="ListParagraph"/>
        <w:numPr>
          <w:ilvl w:val="1"/>
          <w:numId w:val="2"/>
        </w:numPr>
        <w:jc w:val="both"/>
      </w:pPr>
      <w:r w:rsidRPr="004E2001">
        <w:t xml:space="preserve">Treatment with semaglutide was associated with a statistically significant reduction in body weight compared with dulaglutide. At week 56, more patients achieved weight loss of ≥ 5% with semaglutide compared with dulaglutide. These results should also be interpreted with caution due to potential risk of bias in the open-label trial. </w:t>
      </w:r>
      <w:r w:rsidR="004F71FB" w:rsidRPr="004E2001">
        <w:t xml:space="preserve">The ESC considered that the </w:t>
      </w:r>
      <w:r w:rsidR="00F71867" w:rsidRPr="004E2001">
        <w:t xml:space="preserve">mean </w:t>
      </w:r>
      <w:r w:rsidR="004F71FB" w:rsidRPr="004E2001">
        <w:t xml:space="preserve">difference </w:t>
      </w:r>
      <w:r w:rsidR="00F71867" w:rsidRPr="004E2001">
        <w:t xml:space="preserve">of 3.55 kg </w:t>
      </w:r>
      <w:r w:rsidR="004F71FB" w:rsidRPr="004E2001">
        <w:t xml:space="preserve">in weight loss </w:t>
      </w:r>
      <w:r w:rsidR="008F296E" w:rsidRPr="004E2001">
        <w:t>between semaglutide 1.0</w:t>
      </w:r>
      <w:r w:rsidR="005500DE" w:rsidRPr="004E2001">
        <w:t> </w:t>
      </w:r>
      <w:r w:rsidR="008F296E" w:rsidRPr="004E2001">
        <w:t>mg and dulaglutide 1.5 mg may be</w:t>
      </w:r>
      <w:r w:rsidR="004F71FB" w:rsidRPr="004E2001">
        <w:t xml:space="preserve"> clinically </w:t>
      </w:r>
      <w:r w:rsidR="008F296E" w:rsidRPr="004E2001">
        <w:t>important</w:t>
      </w:r>
      <w:r w:rsidR="004F71FB" w:rsidRPr="004E2001">
        <w:t>.</w:t>
      </w:r>
    </w:p>
    <w:p w:rsidR="00A03386" w:rsidRPr="004E2001" w:rsidRDefault="00662306" w:rsidP="0076592A">
      <w:pPr>
        <w:pStyle w:val="ListParagraph"/>
        <w:numPr>
          <w:ilvl w:val="1"/>
          <w:numId w:val="2"/>
        </w:numPr>
        <w:jc w:val="both"/>
      </w:pPr>
      <w:r w:rsidRPr="004E2001">
        <w:t>Results from sensitivity analyses of change in body weight (kg) using alternative datasets were consistent with the main analysis</w:t>
      </w:r>
      <w:r w:rsidR="0090311A" w:rsidRPr="004E2001">
        <w:t xml:space="preserve"> in terms of statistical significance</w:t>
      </w:r>
      <w:r w:rsidRPr="004E2001">
        <w:t xml:space="preserve">, although there was a </w:t>
      </w:r>
      <w:r w:rsidR="0090311A" w:rsidRPr="004E2001">
        <w:t>numerical</w:t>
      </w:r>
      <w:r w:rsidRPr="004E2001">
        <w:t xml:space="preserve"> difference with less favourable results for semaglutide for both </w:t>
      </w:r>
      <w:r w:rsidR="0090311A" w:rsidRPr="004E2001">
        <w:t>low</w:t>
      </w:r>
      <w:r w:rsidR="005500DE" w:rsidRPr="004E2001">
        <w:t xml:space="preserve"> dose (-</w:t>
      </w:r>
      <w:r w:rsidRPr="004E2001">
        <w:t xml:space="preserve">2.13, 95% CI -2.95, -1.30) and </w:t>
      </w:r>
      <w:r w:rsidR="0090311A" w:rsidRPr="004E2001">
        <w:t>high</w:t>
      </w:r>
      <w:r w:rsidRPr="004E2001">
        <w:t xml:space="preserve"> dose (-3.05, 95% CI -3.85, -2.25) comparisons with dulaglutide using a retrieved drop-out dataset.</w:t>
      </w:r>
    </w:p>
    <w:p w:rsidR="00662306" w:rsidRPr="004E2001" w:rsidRDefault="00662306" w:rsidP="0076592A">
      <w:pPr>
        <w:pStyle w:val="ListParagraph"/>
        <w:numPr>
          <w:ilvl w:val="1"/>
          <w:numId w:val="2"/>
        </w:numPr>
        <w:jc w:val="both"/>
      </w:pPr>
      <w:r w:rsidRPr="004E2001">
        <w:t>Only results for the high dose comparison met the weight loss component of the nominated MCID for superiority in the submission based on a treatment difference of &gt; 3.0% change in body weight from baseline and at least 20% more patients achieving a 5% reduction in body weight.</w:t>
      </w:r>
      <w:r w:rsidR="0090311A" w:rsidRPr="004E2001">
        <w:t xml:space="preserve"> Results</w:t>
      </w:r>
      <w:r w:rsidR="0034602F" w:rsidRPr="004E2001">
        <w:t xml:space="preserve"> for the high dose comparison</w:t>
      </w:r>
      <w:r w:rsidR="0090311A" w:rsidRPr="004E2001">
        <w:t xml:space="preserve"> based on the retrieved drop-out dataset suggest</w:t>
      </w:r>
      <w:r w:rsidR="005500DE" w:rsidRPr="004E2001">
        <w:t>ed</w:t>
      </w:r>
      <w:r w:rsidR="0090311A" w:rsidRPr="004E2001">
        <w:t xml:space="preserve"> that </w:t>
      </w:r>
      <w:r w:rsidR="0034602F" w:rsidRPr="004E2001">
        <w:t>the</w:t>
      </w:r>
      <w:r w:rsidR="0090311A" w:rsidRPr="004E2001">
        <w:t xml:space="preserve"> difference </w:t>
      </w:r>
      <w:r w:rsidR="0034602F" w:rsidRPr="004E2001">
        <w:t xml:space="preserve">in </w:t>
      </w:r>
      <w:r w:rsidR="0090311A" w:rsidRPr="004E2001">
        <w:t>weight loss only marginally exceeded 3.0%</w:t>
      </w:r>
      <w:r w:rsidRPr="004E2001">
        <w:t>.</w:t>
      </w:r>
    </w:p>
    <w:p w:rsidR="00F46F8C" w:rsidRPr="004E2001" w:rsidRDefault="00662306" w:rsidP="0076592A">
      <w:pPr>
        <w:pStyle w:val="ListParagraph"/>
        <w:numPr>
          <w:ilvl w:val="1"/>
          <w:numId w:val="2"/>
        </w:numPr>
        <w:jc w:val="both"/>
      </w:pPr>
      <w:r w:rsidRPr="004E2001">
        <w:t>A naïve comparison of individual arm results</w:t>
      </w:r>
      <w:r w:rsidR="00FA0166" w:rsidRPr="004E2001">
        <w:t xml:space="preserve"> conducted by the evaluator</w:t>
      </w:r>
      <w:r w:rsidRPr="004E2001">
        <w:t xml:space="preserve"> suggests a small difference in body weight (%) reduction between low dose semaglutide and high </w:t>
      </w:r>
      <w:r w:rsidRPr="004E2001">
        <w:lastRenderedPageBreak/>
        <w:t>dose dulaglutide (approximately 1.7% difference) and a numerically higher proportion of patients achieving a 5% reduction in body weight (44% versus 30% respectively).</w:t>
      </w:r>
      <w:r w:rsidR="00F46F8C" w:rsidRPr="004E2001">
        <w:t xml:space="preserve"> </w:t>
      </w:r>
    </w:p>
    <w:p w:rsidR="00327D67" w:rsidRPr="004E2001" w:rsidRDefault="00662306" w:rsidP="0076592A">
      <w:pPr>
        <w:pStyle w:val="ListParagraph"/>
        <w:numPr>
          <w:ilvl w:val="1"/>
          <w:numId w:val="2"/>
        </w:numPr>
        <w:jc w:val="both"/>
      </w:pPr>
      <w:r w:rsidRPr="004E2001">
        <w:t>The submission also presented quality of life data, with results suggesting no statistically significant differences between treatment groups for domains of health status assessed by the 36-item Short Form health survey (SF-36v2) or treatment satisfaction based on the Diabetes Treatment Satisfaction Questionnaire (DTSQ).</w:t>
      </w:r>
    </w:p>
    <w:p w:rsidR="00327D67" w:rsidRPr="004E2001" w:rsidRDefault="00327D67" w:rsidP="0076592A">
      <w:pPr>
        <w:pStyle w:val="Heading3"/>
      </w:pPr>
      <w:r w:rsidRPr="004E2001">
        <w:t>Long-term benefits</w:t>
      </w:r>
    </w:p>
    <w:p w:rsidR="00327D67" w:rsidRPr="004E2001" w:rsidRDefault="00327D67" w:rsidP="0076592A"/>
    <w:p w:rsidR="00327D67" w:rsidRPr="004E2001" w:rsidRDefault="00327D67" w:rsidP="0076592A">
      <w:pPr>
        <w:pStyle w:val="ListParagraph"/>
        <w:numPr>
          <w:ilvl w:val="1"/>
          <w:numId w:val="2"/>
        </w:numPr>
        <w:jc w:val="both"/>
      </w:pPr>
      <w:r w:rsidRPr="004E2001">
        <w:t xml:space="preserve">The submission presented supportive data from the 2-year SUSTAIN 6 cardiovascular safety trial </w:t>
      </w:r>
      <w:r w:rsidR="00366978" w:rsidRPr="004E2001">
        <w:t xml:space="preserve">of </w:t>
      </w:r>
      <w:r w:rsidRPr="004E2001">
        <w:t xml:space="preserve">semaglutide 0.5 mg or 1.0 mg versus placebo as monotherapy, in combination with 1-2 oral anti-diabetics, with or without insulin; in patients with high cardiovascular risk. </w:t>
      </w:r>
      <w:r w:rsidR="00366978" w:rsidRPr="004E2001">
        <w:t>The trial had limited applicability to the proposed PBS population as the majority of patients were already using insulin and were allowed to use various other treatments for glyc</w:t>
      </w:r>
      <w:r w:rsidR="00473ACE" w:rsidRPr="004E2001">
        <w:t>a</w:t>
      </w:r>
      <w:r w:rsidR="00366978" w:rsidRPr="004E2001">
        <w:t>emic control.</w:t>
      </w:r>
    </w:p>
    <w:p w:rsidR="00366978" w:rsidRPr="004E2001" w:rsidRDefault="00366978" w:rsidP="0076592A">
      <w:pPr>
        <w:pStyle w:val="ListParagraph"/>
        <w:numPr>
          <w:ilvl w:val="1"/>
          <w:numId w:val="2"/>
        </w:numPr>
        <w:jc w:val="both"/>
      </w:pPr>
      <w:r w:rsidRPr="004E2001">
        <w:t>Results from the primary analysis of pooled treatment arms suggest that treatment with semaglutide (0.5 mg or 1.0 mg) was not associated with an increased risk of cardiovascular events compared with placebo (HR 0.74; 95% CI 0.58, 0.95; p &lt; 0.001 for non-inferiority). The results were numerically in favour of semaglutide, primarily driven by a decrease in the risk of non-fatal stroke and non-fatal myocardial infarction. There was no difference between the arms in terms of cardiovascular death. Testing for superiority for the primary outcome was conducted post-hoc and not adjusted for multiplicity.</w:t>
      </w:r>
    </w:p>
    <w:p w:rsidR="00366978" w:rsidRPr="004E2001" w:rsidRDefault="00366978" w:rsidP="0076592A">
      <w:pPr>
        <w:pStyle w:val="ListParagraph"/>
        <w:numPr>
          <w:ilvl w:val="1"/>
          <w:numId w:val="2"/>
        </w:numPr>
        <w:jc w:val="both"/>
      </w:pPr>
      <w:r w:rsidRPr="004E2001">
        <w:t>Treatment with semaglutide was associated with an increased risk of diabetic retinopathy complications compared with placebo (HR 1.76, 95% CI 1.11, 2.78). The treatment difference between groups appeared early and continued throughout the 104 week trial duration. Treatment with semaglutide was associated with a decrease in the risk of new or worsening nephropathy compared with placebo (HR 0.64, 95% CI 0.46, 0.88). These outcomes were not included in the testing hierarchy or adjusted for multiplicity</w:t>
      </w:r>
      <w:r w:rsidR="00473ACE" w:rsidRPr="004E2001">
        <w:t>.</w:t>
      </w:r>
    </w:p>
    <w:p w:rsidR="00CF423C" w:rsidRPr="004E2001" w:rsidRDefault="00327D67" w:rsidP="0076592A">
      <w:pPr>
        <w:pStyle w:val="ListParagraph"/>
        <w:numPr>
          <w:ilvl w:val="1"/>
          <w:numId w:val="2"/>
        </w:numPr>
        <w:jc w:val="both"/>
        <w:rPr>
          <w:i/>
        </w:rPr>
        <w:sectPr w:rsidR="00CF423C" w:rsidRPr="004E2001" w:rsidSect="00C912D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r w:rsidRPr="004E2001">
        <w:t>The submission claimed that results from the SUSTAIN 6 trial were supportive of the relationship between key surrogate outcomes of HbA1c and weight loss with cardiovascular outcomes. Key cardiovascular outcomes for other GLP-1 therapies, dulaglutide (REWIND) and exenatide once weekly (EXSCEL), were considered as supportive evidence during the evaluation. The results from these trials were generally consistent with results from the SUSTAIN 6 trial (Table</w:t>
      </w:r>
      <w:r w:rsidR="00424FF2" w:rsidRPr="004E2001">
        <w:t xml:space="preserve"> 8</w:t>
      </w:r>
      <w:r w:rsidRPr="004E2001">
        <w:t>). Superiority in terms of reduction in cardiovascular events was demonstrated for dulaglutide versus placebo, using a different trial design to SUSTAIN 6 (REWIND was designed to test superiority, larger population, longer follow-up).</w:t>
      </w:r>
      <w:r w:rsidR="00CF423C" w:rsidRPr="004E2001">
        <w:t xml:space="preserve"> </w:t>
      </w:r>
    </w:p>
    <w:p w:rsidR="00DD6AEE" w:rsidRPr="004E2001" w:rsidRDefault="00DD6AEE" w:rsidP="003F26F6">
      <w:pPr>
        <w:pStyle w:val="TableHeading0"/>
        <w:rPr>
          <w:b w:val="0"/>
        </w:rPr>
      </w:pPr>
      <w:r w:rsidRPr="004E2001">
        <w:rPr>
          <w:b w:val="0"/>
        </w:rPr>
        <w:lastRenderedPageBreak/>
        <w:t>Table 8: Overview of cardiovascular outcomes trials for GLP-1 therapies (semaglutide, dulaglutide, exenatide)</w:t>
      </w:r>
      <w:r w:rsidR="00F71867" w:rsidRPr="004E2001">
        <w:rPr>
          <w:b w:val="0"/>
        </w:rPr>
        <w:t xml:space="preserve"> versus placebo</w:t>
      </w:r>
    </w:p>
    <w:tbl>
      <w:tblPr>
        <w:tblStyle w:val="TableGrid"/>
        <w:tblW w:w="5000" w:type="pct"/>
        <w:tblLook w:val="04A0" w:firstRow="1" w:lastRow="0" w:firstColumn="1" w:lastColumn="0" w:noHBand="0" w:noVBand="1"/>
        <w:tblCaption w:val="Table 8: Overview of cardiovascular outcomes trials for GLP-1 therapies (semaglutide, dulaglutide, exenatide) versus placebo"/>
      </w:tblPr>
      <w:tblGrid>
        <w:gridCol w:w="2080"/>
        <w:gridCol w:w="3956"/>
        <w:gridCol w:w="3957"/>
        <w:gridCol w:w="3957"/>
      </w:tblGrid>
      <w:tr w:rsidR="00DD6AEE" w:rsidRPr="004E2001" w:rsidTr="00AB1AA9">
        <w:trPr>
          <w:tblHeader/>
        </w:trPr>
        <w:tc>
          <w:tcPr>
            <w:tcW w:w="2081" w:type="dxa"/>
            <w:vAlign w:val="center"/>
          </w:tcPr>
          <w:p w:rsidR="00DD6AEE" w:rsidRPr="004E2001" w:rsidRDefault="00DD6AEE" w:rsidP="003F26F6">
            <w:pPr>
              <w:pStyle w:val="TableText0"/>
              <w:keepNext w:val="0"/>
            </w:pPr>
            <w:r w:rsidRPr="004E2001">
              <w:t>Trial characteristics</w:t>
            </w:r>
          </w:p>
        </w:tc>
        <w:tc>
          <w:tcPr>
            <w:tcW w:w="3956" w:type="dxa"/>
            <w:vAlign w:val="center"/>
          </w:tcPr>
          <w:p w:rsidR="00DD6AEE" w:rsidRPr="004E2001" w:rsidRDefault="00DD6AEE" w:rsidP="003F26F6">
            <w:pPr>
              <w:pStyle w:val="TableText0"/>
              <w:keepNext w:val="0"/>
              <w:jc w:val="center"/>
            </w:pPr>
            <w:r w:rsidRPr="004E2001">
              <w:t>SUSTAIN 6</w:t>
            </w:r>
          </w:p>
          <w:p w:rsidR="00F71867" w:rsidRPr="004E2001" w:rsidRDefault="00F71867" w:rsidP="003F26F6">
            <w:pPr>
              <w:pStyle w:val="TableText0"/>
              <w:keepNext w:val="0"/>
              <w:jc w:val="center"/>
            </w:pPr>
            <w:r w:rsidRPr="004E2001">
              <w:t>(semaglutide)</w:t>
            </w:r>
          </w:p>
        </w:tc>
        <w:tc>
          <w:tcPr>
            <w:tcW w:w="3957" w:type="dxa"/>
            <w:vAlign w:val="center"/>
          </w:tcPr>
          <w:p w:rsidR="00DD6AEE" w:rsidRPr="004E2001" w:rsidRDefault="00DD6AEE" w:rsidP="003F26F6">
            <w:pPr>
              <w:pStyle w:val="TableText0"/>
              <w:keepNext w:val="0"/>
              <w:jc w:val="center"/>
            </w:pPr>
            <w:r w:rsidRPr="004E2001">
              <w:t>REWIND</w:t>
            </w:r>
          </w:p>
          <w:p w:rsidR="00F71867" w:rsidRPr="004E2001" w:rsidRDefault="00F71867" w:rsidP="003F26F6">
            <w:pPr>
              <w:pStyle w:val="TableText0"/>
              <w:keepNext w:val="0"/>
              <w:jc w:val="center"/>
            </w:pPr>
            <w:r w:rsidRPr="004E2001">
              <w:t>(dulaglutide)</w:t>
            </w:r>
          </w:p>
        </w:tc>
        <w:tc>
          <w:tcPr>
            <w:tcW w:w="3957" w:type="dxa"/>
            <w:vAlign w:val="center"/>
          </w:tcPr>
          <w:p w:rsidR="00DD6AEE" w:rsidRPr="004E2001" w:rsidRDefault="00DD6AEE" w:rsidP="003F26F6">
            <w:pPr>
              <w:pStyle w:val="TableText0"/>
              <w:keepNext w:val="0"/>
              <w:jc w:val="center"/>
            </w:pPr>
            <w:r w:rsidRPr="004E2001">
              <w:t>EXSCEL</w:t>
            </w:r>
          </w:p>
          <w:p w:rsidR="00F71867" w:rsidRPr="004E2001" w:rsidRDefault="00F71867" w:rsidP="003F26F6">
            <w:pPr>
              <w:pStyle w:val="TableText0"/>
              <w:keepNext w:val="0"/>
              <w:jc w:val="center"/>
            </w:pPr>
            <w:r w:rsidRPr="004E2001">
              <w:t>(exenatide)</w:t>
            </w:r>
          </w:p>
        </w:tc>
      </w:tr>
      <w:tr w:rsidR="00DD6AEE" w:rsidRPr="004E2001" w:rsidTr="00AB1AA9">
        <w:tc>
          <w:tcPr>
            <w:tcW w:w="2081" w:type="dxa"/>
            <w:vAlign w:val="center"/>
          </w:tcPr>
          <w:p w:rsidR="00DD6AEE" w:rsidRPr="004E2001" w:rsidRDefault="00DD6AEE" w:rsidP="003F26F6">
            <w:pPr>
              <w:pStyle w:val="TableText0"/>
              <w:keepNext w:val="0"/>
            </w:pPr>
            <w:r w:rsidRPr="004E2001">
              <w:t>Study design</w:t>
            </w:r>
          </w:p>
        </w:tc>
        <w:tc>
          <w:tcPr>
            <w:tcW w:w="3956" w:type="dxa"/>
            <w:vAlign w:val="center"/>
          </w:tcPr>
          <w:p w:rsidR="00DD6AEE" w:rsidRPr="004E2001" w:rsidRDefault="00DD6AEE" w:rsidP="003F26F6">
            <w:pPr>
              <w:pStyle w:val="TableText0"/>
              <w:keepNext w:val="0"/>
            </w:pPr>
            <w:r w:rsidRPr="004E2001">
              <w:t>Phase 3, multi-centre, double-blind, parallel-group, randomised controlled trial (event-driven trial duration, median 2.1 years)</w:t>
            </w:r>
          </w:p>
        </w:tc>
        <w:tc>
          <w:tcPr>
            <w:tcW w:w="3957" w:type="dxa"/>
            <w:vAlign w:val="center"/>
          </w:tcPr>
          <w:p w:rsidR="00DD6AEE" w:rsidRPr="004E2001" w:rsidRDefault="00DD6AEE" w:rsidP="003F26F6">
            <w:pPr>
              <w:pStyle w:val="TableText0"/>
              <w:keepNext w:val="0"/>
              <w:jc w:val="both"/>
            </w:pPr>
            <w:r w:rsidRPr="004E2001">
              <w:t>Phase 3, multi-centre, double-blind, randomised controlled trial (event-driven trial duration, median 5.4 years)</w:t>
            </w:r>
          </w:p>
        </w:tc>
        <w:tc>
          <w:tcPr>
            <w:tcW w:w="3957" w:type="dxa"/>
            <w:vAlign w:val="center"/>
          </w:tcPr>
          <w:p w:rsidR="00DD6AEE" w:rsidRPr="004E2001" w:rsidRDefault="00DD6AEE" w:rsidP="003F26F6">
            <w:pPr>
              <w:pStyle w:val="TableText0"/>
              <w:keepNext w:val="0"/>
              <w:jc w:val="both"/>
            </w:pPr>
            <w:r w:rsidRPr="004E2001">
              <w:t>Phase 3, multi-centre, double-blind, randomised controlled trial (event-driven trial duration, median 3.2 years)</w:t>
            </w:r>
          </w:p>
        </w:tc>
      </w:tr>
      <w:tr w:rsidR="00DD6AEE" w:rsidRPr="004E2001" w:rsidTr="00AB1AA9">
        <w:tc>
          <w:tcPr>
            <w:tcW w:w="2081" w:type="dxa"/>
            <w:vAlign w:val="center"/>
          </w:tcPr>
          <w:p w:rsidR="00DD6AEE" w:rsidRPr="004E2001" w:rsidRDefault="00DD6AEE" w:rsidP="003F26F6">
            <w:pPr>
              <w:pStyle w:val="TableText0"/>
              <w:keepNext w:val="0"/>
            </w:pPr>
            <w:r w:rsidRPr="004E2001">
              <w:t>Population</w:t>
            </w:r>
          </w:p>
        </w:tc>
        <w:tc>
          <w:tcPr>
            <w:tcW w:w="3956" w:type="dxa"/>
            <w:vAlign w:val="center"/>
          </w:tcPr>
          <w:p w:rsidR="00DD6AEE" w:rsidRPr="004E2001" w:rsidRDefault="00DD6AEE" w:rsidP="003F26F6">
            <w:pPr>
              <w:jc w:val="left"/>
              <w:rPr>
                <w:rFonts w:ascii="Arial Narrow" w:hAnsi="Arial Narrow"/>
                <w:sz w:val="20"/>
                <w:szCs w:val="20"/>
              </w:rPr>
            </w:pPr>
            <w:r w:rsidRPr="004E2001">
              <w:rPr>
                <w:rFonts w:ascii="Arial Narrow" w:hAnsi="Arial Narrow"/>
                <w:sz w:val="20"/>
                <w:szCs w:val="20"/>
              </w:rPr>
              <w:t>Patients with type 2 diabetes aged at least 50 years with HbA1c &gt; 7.0% and were treatment-naïve, or had been treated with up to 2 oral anti-diabetic agents, with or without insulin; and had high cardiovascular risk (N = 3,297)</w:t>
            </w:r>
          </w:p>
        </w:tc>
        <w:tc>
          <w:tcPr>
            <w:tcW w:w="3957" w:type="dxa"/>
            <w:vAlign w:val="center"/>
          </w:tcPr>
          <w:p w:rsidR="00DD6AEE" w:rsidRPr="004E2001" w:rsidRDefault="00DD6AEE" w:rsidP="003F26F6">
            <w:pPr>
              <w:pStyle w:val="TableText0"/>
              <w:keepNext w:val="0"/>
              <w:jc w:val="both"/>
            </w:pPr>
            <w:r w:rsidRPr="004E2001">
              <w:t>Patients with type 2 diabetes aged at least 50 years with HbA1c of 6.5 to 9.5% and were treatment-naïve or treated with up to 2 oral anti-diabetic agents, with or without basal insulin, with a BMI or ≥ 23 kg/m</w:t>
            </w:r>
            <w:r w:rsidRPr="004E2001">
              <w:rPr>
                <w:vertAlign w:val="superscript"/>
              </w:rPr>
              <w:t>2</w:t>
            </w:r>
            <w:r w:rsidR="00055A9B" w:rsidRPr="004E2001">
              <w:t xml:space="preserve">; </w:t>
            </w:r>
            <w:r w:rsidRPr="004E2001">
              <w:t>and had high cardiovascular risk (N = 9,901)</w:t>
            </w:r>
          </w:p>
        </w:tc>
        <w:tc>
          <w:tcPr>
            <w:tcW w:w="3957" w:type="dxa"/>
            <w:vAlign w:val="center"/>
          </w:tcPr>
          <w:p w:rsidR="00DD6AEE" w:rsidRPr="004E2001" w:rsidRDefault="00DD6AEE" w:rsidP="003F26F6">
            <w:pPr>
              <w:pStyle w:val="TableText0"/>
              <w:keepNext w:val="0"/>
              <w:jc w:val="both"/>
            </w:pPr>
            <w:r w:rsidRPr="004E2001">
              <w:t>Patients with type 2 diabetes with HbA1c of 6.5 to 10% and were treatment-naïve, or treated with up to 3 oral anti-diabetic agents or insulin either alone or in combination with up to 2 oral anti-diabetic agents, with any level of cardiovascular risk (70:30 ratio of prior CV event to no CV event) (N = 14,752)</w:t>
            </w:r>
          </w:p>
        </w:tc>
      </w:tr>
      <w:tr w:rsidR="00DD6AEE" w:rsidRPr="004E2001" w:rsidTr="00AB1AA9">
        <w:tc>
          <w:tcPr>
            <w:tcW w:w="2081" w:type="dxa"/>
            <w:vAlign w:val="center"/>
          </w:tcPr>
          <w:p w:rsidR="00DD6AEE" w:rsidRPr="004E2001" w:rsidRDefault="00DD6AEE" w:rsidP="003F26F6">
            <w:pPr>
              <w:pStyle w:val="TableText0"/>
              <w:keepNext w:val="0"/>
            </w:pPr>
            <w:r w:rsidRPr="004E2001">
              <w:t>Intervention</w:t>
            </w:r>
          </w:p>
        </w:tc>
        <w:tc>
          <w:tcPr>
            <w:tcW w:w="3956" w:type="dxa"/>
            <w:vAlign w:val="center"/>
          </w:tcPr>
          <w:p w:rsidR="00DD6AEE" w:rsidRPr="004E2001" w:rsidRDefault="00DD6AEE" w:rsidP="003F26F6">
            <w:pPr>
              <w:pStyle w:val="TableText0"/>
              <w:keepNext w:val="0"/>
              <w:jc w:val="both"/>
              <w:rPr>
                <w:szCs w:val="20"/>
              </w:rPr>
            </w:pPr>
            <w:r w:rsidRPr="004E2001">
              <w:rPr>
                <w:szCs w:val="20"/>
              </w:rPr>
              <w:t>Fixed dose escalation over 4-8 weeks starting with 0.25 mg weekly, then:</w:t>
            </w:r>
          </w:p>
          <w:p w:rsidR="00DD6AEE" w:rsidRPr="004E2001" w:rsidRDefault="00DD6AEE" w:rsidP="003F26F6">
            <w:pPr>
              <w:pStyle w:val="TableText0"/>
              <w:keepNext w:val="0"/>
              <w:jc w:val="both"/>
            </w:pPr>
            <w:r w:rsidRPr="004E2001">
              <w:rPr>
                <w:szCs w:val="20"/>
              </w:rPr>
              <w:t>semaglutide 0.5 mg SC injection once weekly; or semaglutide 1.0 mg SC injection once weekly</w:t>
            </w:r>
          </w:p>
        </w:tc>
        <w:tc>
          <w:tcPr>
            <w:tcW w:w="3957" w:type="dxa"/>
            <w:vAlign w:val="center"/>
          </w:tcPr>
          <w:p w:rsidR="00DD6AEE" w:rsidRPr="004E2001" w:rsidRDefault="00DD6AEE" w:rsidP="003F26F6">
            <w:pPr>
              <w:pStyle w:val="TableText0"/>
              <w:keepNext w:val="0"/>
              <w:jc w:val="both"/>
            </w:pPr>
            <w:r w:rsidRPr="004E2001">
              <w:t xml:space="preserve">Dulaglutide 1.5 mg SC injection once weekly </w:t>
            </w:r>
          </w:p>
        </w:tc>
        <w:tc>
          <w:tcPr>
            <w:tcW w:w="3957" w:type="dxa"/>
            <w:vAlign w:val="center"/>
          </w:tcPr>
          <w:p w:rsidR="00DD6AEE" w:rsidRPr="004E2001" w:rsidRDefault="00DD6AEE" w:rsidP="003F26F6">
            <w:pPr>
              <w:pStyle w:val="TableText0"/>
              <w:keepNext w:val="0"/>
              <w:jc w:val="both"/>
            </w:pPr>
            <w:r w:rsidRPr="004E2001">
              <w:t>Exenatide 2.0 mg SC injection once weekly</w:t>
            </w:r>
          </w:p>
        </w:tc>
      </w:tr>
      <w:tr w:rsidR="00DD6AEE" w:rsidRPr="004E2001" w:rsidTr="00AB1AA9">
        <w:tc>
          <w:tcPr>
            <w:tcW w:w="2081" w:type="dxa"/>
            <w:vAlign w:val="center"/>
          </w:tcPr>
          <w:p w:rsidR="00DD6AEE" w:rsidRPr="004E2001" w:rsidRDefault="00DD6AEE" w:rsidP="003F26F6">
            <w:pPr>
              <w:pStyle w:val="TableText0"/>
              <w:keepNext w:val="0"/>
            </w:pPr>
            <w:r w:rsidRPr="004E2001">
              <w:t>Comparator</w:t>
            </w:r>
          </w:p>
        </w:tc>
        <w:tc>
          <w:tcPr>
            <w:tcW w:w="3956" w:type="dxa"/>
            <w:vAlign w:val="center"/>
          </w:tcPr>
          <w:p w:rsidR="00DD6AEE" w:rsidRPr="004E2001" w:rsidRDefault="00DD6AEE" w:rsidP="003F26F6">
            <w:pPr>
              <w:pStyle w:val="TableText0"/>
              <w:keepNext w:val="0"/>
              <w:jc w:val="both"/>
            </w:pPr>
            <w:r w:rsidRPr="004E2001">
              <w:t>Placebo</w:t>
            </w:r>
          </w:p>
        </w:tc>
        <w:tc>
          <w:tcPr>
            <w:tcW w:w="3957" w:type="dxa"/>
            <w:vAlign w:val="center"/>
          </w:tcPr>
          <w:p w:rsidR="00DD6AEE" w:rsidRPr="004E2001" w:rsidRDefault="00DD6AEE" w:rsidP="003F26F6">
            <w:pPr>
              <w:pStyle w:val="TableText0"/>
              <w:keepNext w:val="0"/>
              <w:jc w:val="both"/>
            </w:pPr>
            <w:r w:rsidRPr="004E2001">
              <w:t>Placebo</w:t>
            </w:r>
          </w:p>
        </w:tc>
        <w:tc>
          <w:tcPr>
            <w:tcW w:w="3957" w:type="dxa"/>
            <w:vAlign w:val="center"/>
          </w:tcPr>
          <w:p w:rsidR="00DD6AEE" w:rsidRPr="004E2001" w:rsidRDefault="00DD6AEE" w:rsidP="003F26F6">
            <w:pPr>
              <w:pStyle w:val="TableText0"/>
              <w:keepNext w:val="0"/>
              <w:jc w:val="both"/>
            </w:pPr>
            <w:r w:rsidRPr="004E2001">
              <w:t xml:space="preserve">Placebo </w:t>
            </w:r>
          </w:p>
        </w:tc>
      </w:tr>
      <w:tr w:rsidR="00DD6AEE" w:rsidRPr="004E2001" w:rsidTr="00AB1AA9">
        <w:tc>
          <w:tcPr>
            <w:tcW w:w="2081" w:type="dxa"/>
            <w:vAlign w:val="center"/>
          </w:tcPr>
          <w:p w:rsidR="00DD6AEE" w:rsidRPr="004E2001" w:rsidRDefault="00DD6AEE" w:rsidP="003F26F6">
            <w:pPr>
              <w:pStyle w:val="TableText0"/>
              <w:keepNext w:val="0"/>
            </w:pPr>
            <w:r w:rsidRPr="004E2001">
              <w:t>Primary outcome</w:t>
            </w:r>
          </w:p>
        </w:tc>
        <w:tc>
          <w:tcPr>
            <w:tcW w:w="3956" w:type="dxa"/>
            <w:vAlign w:val="center"/>
          </w:tcPr>
          <w:p w:rsidR="00DD6AEE" w:rsidRPr="004E2001" w:rsidRDefault="00DD6AEE" w:rsidP="003F26F6">
            <w:pPr>
              <w:pStyle w:val="TableText0"/>
              <w:keepNext w:val="0"/>
              <w:jc w:val="both"/>
            </w:pPr>
            <w:r w:rsidRPr="004E2001">
              <w:t xml:space="preserve">Time to first cardiovascular event (cardiovascular death, non-fatal myocardial infarction or non-fatal stroke) [non-inferiority] </w:t>
            </w:r>
          </w:p>
        </w:tc>
        <w:tc>
          <w:tcPr>
            <w:tcW w:w="3957" w:type="dxa"/>
            <w:vAlign w:val="center"/>
          </w:tcPr>
          <w:p w:rsidR="00DD6AEE" w:rsidRPr="004E2001" w:rsidRDefault="00DD6AEE" w:rsidP="003F26F6">
            <w:pPr>
              <w:pStyle w:val="TableText0"/>
              <w:keepNext w:val="0"/>
              <w:jc w:val="both"/>
            </w:pPr>
            <w:r w:rsidRPr="004E2001">
              <w:t>Time to first cardiovascular event (cardiovascular death, non-fatal myocardial infarction or non-fatal stroke) [superiority]</w:t>
            </w:r>
          </w:p>
        </w:tc>
        <w:tc>
          <w:tcPr>
            <w:tcW w:w="3957" w:type="dxa"/>
            <w:vAlign w:val="center"/>
          </w:tcPr>
          <w:p w:rsidR="00DD6AEE" w:rsidRPr="004E2001" w:rsidRDefault="00DD6AEE" w:rsidP="003F26F6">
            <w:pPr>
              <w:pStyle w:val="TableText0"/>
              <w:keepNext w:val="0"/>
              <w:jc w:val="both"/>
            </w:pPr>
            <w:r w:rsidRPr="004E2001">
              <w:t>Time to first cardiovascular event (cardiovascular death, non-fatal myocardial infarction or non-fatal stroke) [non-inferiority and superiority]</w:t>
            </w:r>
          </w:p>
        </w:tc>
      </w:tr>
      <w:tr w:rsidR="00DD6AEE" w:rsidRPr="004E2001" w:rsidTr="00AB1AA9">
        <w:tc>
          <w:tcPr>
            <w:tcW w:w="13951" w:type="dxa"/>
            <w:gridSpan w:val="4"/>
            <w:vAlign w:val="center"/>
          </w:tcPr>
          <w:p w:rsidR="00DD6AEE" w:rsidRPr="004E2001" w:rsidRDefault="00DD6AEE" w:rsidP="003F26F6">
            <w:pPr>
              <w:pStyle w:val="TableText0"/>
              <w:keepNext w:val="0"/>
              <w:jc w:val="both"/>
            </w:pPr>
            <w:r w:rsidRPr="004E2001">
              <w:t>Key results (hazard ratios compared to placebo)</w:t>
            </w:r>
          </w:p>
        </w:tc>
      </w:tr>
      <w:tr w:rsidR="00DD6AEE" w:rsidRPr="004E2001" w:rsidTr="00AB1AA9">
        <w:tc>
          <w:tcPr>
            <w:tcW w:w="2081" w:type="dxa"/>
            <w:vAlign w:val="center"/>
          </w:tcPr>
          <w:p w:rsidR="00DD6AEE" w:rsidRPr="004E2001" w:rsidRDefault="00DD6AEE" w:rsidP="003F26F6">
            <w:pPr>
              <w:pStyle w:val="TableText0"/>
              <w:keepNext w:val="0"/>
            </w:pPr>
            <w:r w:rsidRPr="004E2001">
              <w:t>Time to first cardiovascular event</w:t>
            </w:r>
          </w:p>
        </w:tc>
        <w:tc>
          <w:tcPr>
            <w:tcW w:w="3956" w:type="dxa"/>
            <w:vAlign w:val="center"/>
          </w:tcPr>
          <w:p w:rsidR="00DD6AEE" w:rsidRPr="004E2001" w:rsidRDefault="00DD6AEE" w:rsidP="003F26F6">
            <w:pPr>
              <w:pStyle w:val="TableText0"/>
              <w:keepNext w:val="0"/>
              <w:jc w:val="center"/>
            </w:pPr>
            <w:r w:rsidRPr="004E2001">
              <w:t>Semaglutide (pooled): 108/1648 (6.6%)</w:t>
            </w:r>
          </w:p>
          <w:p w:rsidR="00DD6AEE" w:rsidRPr="004E2001" w:rsidRDefault="00DD6AEE" w:rsidP="003F26F6">
            <w:pPr>
              <w:pStyle w:val="TableText0"/>
              <w:keepNext w:val="0"/>
              <w:jc w:val="center"/>
            </w:pPr>
            <w:r w:rsidRPr="004E2001">
              <w:t>Placebo: 146/1649 (8.9%)</w:t>
            </w:r>
          </w:p>
          <w:p w:rsidR="00DD6AEE" w:rsidRPr="004E2001" w:rsidRDefault="00DD6AEE" w:rsidP="003F26F6">
            <w:pPr>
              <w:pStyle w:val="TableText0"/>
              <w:keepNext w:val="0"/>
              <w:jc w:val="center"/>
            </w:pPr>
            <w:r w:rsidRPr="004E2001">
              <w:t>HR 0.77 (0.55, 1.08)</w:t>
            </w:r>
          </w:p>
        </w:tc>
        <w:tc>
          <w:tcPr>
            <w:tcW w:w="3957" w:type="dxa"/>
            <w:vAlign w:val="center"/>
          </w:tcPr>
          <w:p w:rsidR="00DD6AEE" w:rsidRPr="004E2001" w:rsidRDefault="00DD6AEE" w:rsidP="003F26F6">
            <w:pPr>
              <w:pStyle w:val="TableText0"/>
              <w:keepNext w:val="0"/>
              <w:jc w:val="center"/>
            </w:pPr>
            <w:r w:rsidRPr="004E2001">
              <w:t xml:space="preserve">Dulaglutide: 594/4949 (12.0%) </w:t>
            </w:r>
          </w:p>
          <w:p w:rsidR="00DD6AEE" w:rsidRPr="004E2001" w:rsidRDefault="00DD6AEE" w:rsidP="003F26F6">
            <w:pPr>
              <w:pStyle w:val="TableText0"/>
              <w:keepNext w:val="0"/>
              <w:jc w:val="center"/>
            </w:pPr>
            <w:r w:rsidRPr="004E2001">
              <w:t>Placebo: 663/4952 (13.4%)</w:t>
            </w:r>
          </w:p>
          <w:p w:rsidR="00DD6AEE" w:rsidRPr="004E2001" w:rsidRDefault="00DD6AEE" w:rsidP="003F26F6">
            <w:pPr>
              <w:pStyle w:val="TableText0"/>
              <w:keepNext w:val="0"/>
              <w:jc w:val="center"/>
            </w:pPr>
            <w:r w:rsidRPr="004E2001">
              <w:t>HR 0.88 (0.79, 0.99)</w:t>
            </w:r>
          </w:p>
        </w:tc>
        <w:tc>
          <w:tcPr>
            <w:tcW w:w="3957" w:type="dxa"/>
            <w:vAlign w:val="center"/>
          </w:tcPr>
          <w:p w:rsidR="00DD6AEE" w:rsidRPr="004E2001" w:rsidRDefault="00DD6AEE" w:rsidP="003F26F6">
            <w:pPr>
              <w:pStyle w:val="TableText0"/>
              <w:keepNext w:val="0"/>
              <w:jc w:val="center"/>
            </w:pPr>
            <w:r w:rsidRPr="004E2001">
              <w:t>Exenatide: 839/7356 (11.4%)</w:t>
            </w:r>
          </w:p>
          <w:p w:rsidR="00DD6AEE" w:rsidRPr="004E2001" w:rsidRDefault="00DD6AEE" w:rsidP="003F26F6">
            <w:pPr>
              <w:pStyle w:val="TableText0"/>
              <w:keepNext w:val="0"/>
              <w:jc w:val="center"/>
            </w:pPr>
            <w:r w:rsidRPr="004E2001">
              <w:t>Placebo: 905/7396 (12.2%)</w:t>
            </w:r>
          </w:p>
          <w:p w:rsidR="00DD6AEE" w:rsidRPr="004E2001" w:rsidRDefault="00DD6AEE" w:rsidP="003F26F6">
            <w:pPr>
              <w:pStyle w:val="TableText0"/>
              <w:keepNext w:val="0"/>
              <w:jc w:val="center"/>
            </w:pPr>
            <w:r w:rsidRPr="004E2001">
              <w:t>HR 0.91 (0.83, 1.00)</w:t>
            </w:r>
          </w:p>
        </w:tc>
      </w:tr>
      <w:tr w:rsidR="00DD6AEE" w:rsidRPr="004E2001" w:rsidTr="00AB1AA9">
        <w:tc>
          <w:tcPr>
            <w:tcW w:w="2081" w:type="dxa"/>
            <w:vAlign w:val="center"/>
          </w:tcPr>
          <w:p w:rsidR="00DD6AEE" w:rsidRPr="004E2001" w:rsidRDefault="00DD6AEE" w:rsidP="003F26F6">
            <w:pPr>
              <w:pStyle w:val="TableText0"/>
              <w:keepNext w:val="0"/>
            </w:pPr>
            <w:r w:rsidRPr="004E2001">
              <w:t>Time to cardiovascular death</w:t>
            </w:r>
          </w:p>
        </w:tc>
        <w:tc>
          <w:tcPr>
            <w:tcW w:w="3956" w:type="dxa"/>
            <w:vAlign w:val="center"/>
          </w:tcPr>
          <w:p w:rsidR="00DD6AEE" w:rsidRPr="004E2001" w:rsidRDefault="00DD6AEE" w:rsidP="003F26F6">
            <w:pPr>
              <w:pStyle w:val="TableText0"/>
              <w:keepNext w:val="0"/>
              <w:jc w:val="center"/>
            </w:pPr>
            <w:r w:rsidRPr="004E2001">
              <w:t>Semaglutide (pooled): 44/1648 (2.7%)</w:t>
            </w:r>
          </w:p>
          <w:p w:rsidR="00DD6AEE" w:rsidRPr="004E2001" w:rsidRDefault="00DD6AEE" w:rsidP="003F26F6">
            <w:pPr>
              <w:pStyle w:val="TableText0"/>
              <w:keepNext w:val="0"/>
              <w:jc w:val="center"/>
            </w:pPr>
            <w:r w:rsidRPr="004E2001">
              <w:t>Placebo: 46/1649 (2.8%)</w:t>
            </w:r>
          </w:p>
          <w:p w:rsidR="00DD6AEE" w:rsidRPr="004E2001" w:rsidRDefault="00DD6AEE" w:rsidP="003F26F6">
            <w:pPr>
              <w:pStyle w:val="TableText0"/>
              <w:keepNext w:val="0"/>
              <w:jc w:val="center"/>
            </w:pPr>
            <w:r w:rsidRPr="004E2001">
              <w:t>HR 1.02 (0.55, 1.86)</w:t>
            </w:r>
          </w:p>
        </w:tc>
        <w:tc>
          <w:tcPr>
            <w:tcW w:w="3957" w:type="dxa"/>
            <w:vAlign w:val="center"/>
          </w:tcPr>
          <w:p w:rsidR="00DD6AEE" w:rsidRPr="004E2001" w:rsidRDefault="00DD6AEE" w:rsidP="003F26F6">
            <w:pPr>
              <w:pStyle w:val="TableText0"/>
              <w:keepNext w:val="0"/>
              <w:jc w:val="center"/>
            </w:pPr>
            <w:r w:rsidRPr="004E2001">
              <w:t>Dulaglutide: 317/4949 (6.4%)</w:t>
            </w:r>
          </w:p>
          <w:p w:rsidR="00DD6AEE" w:rsidRPr="004E2001" w:rsidRDefault="00DD6AEE" w:rsidP="003F26F6">
            <w:pPr>
              <w:pStyle w:val="TableText0"/>
              <w:keepNext w:val="0"/>
              <w:jc w:val="center"/>
            </w:pPr>
            <w:r w:rsidRPr="004E2001">
              <w:t>Placebo: 346/4952 (7.0%)</w:t>
            </w:r>
          </w:p>
          <w:p w:rsidR="00DD6AEE" w:rsidRPr="004E2001" w:rsidRDefault="00DD6AEE" w:rsidP="003F26F6">
            <w:pPr>
              <w:pStyle w:val="TableText0"/>
              <w:keepNext w:val="0"/>
              <w:jc w:val="center"/>
            </w:pPr>
            <w:r w:rsidRPr="004E2001">
              <w:t>HR 0.91 (0.78, 1.06)</w:t>
            </w:r>
          </w:p>
        </w:tc>
        <w:tc>
          <w:tcPr>
            <w:tcW w:w="3957" w:type="dxa"/>
            <w:vAlign w:val="center"/>
          </w:tcPr>
          <w:p w:rsidR="00DD6AEE" w:rsidRPr="004E2001" w:rsidRDefault="00DD6AEE" w:rsidP="003F26F6">
            <w:pPr>
              <w:pStyle w:val="TableText0"/>
              <w:keepNext w:val="0"/>
              <w:jc w:val="center"/>
            </w:pPr>
            <w:r w:rsidRPr="004E2001">
              <w:t>Exenatide: 340/7356 (4.6%)</w:t>
            </w:r>
          </w:p>
          <w:p w:rsidR="00DD6AEE" w:rsidRPr="004E2001" w:rsidRDefault="00DD6AEE" w:rsidP="003F26F6">
            <w:pPr>
              <w:pStyle w:val="TableText0"/>
              <w:keepNext w:val="0"/>
              <w:jc w:val="center"/>
            </w:pPr>
            <w:r w:rsidRPr="004E2001">
              <w:t>Placebo: 383/7396 (5.2%)</w:t>
            </w:r>
          </w:p>
          <w:p w:rsidR="00DD6AEE" w:rsidRPr="004E2001" w:rsidRDefault="00DD6AEE" w:rsidP="003F26F6">
            <w:pPr>
              <w:pStyle w:val="TableText0"/>
              <w:keepNext w:val="0"/>
              <w:jc w:val="center"/>
            </w:pPr>
            <w:r w:rsidRPr="004E2001">
              <w:t>HR 0.88 (0.76, 1.02)</w:t>
            </w:r>
          </w:p>
        </w:tc>
      </w:tr>
      <w:tr w:rsidR="00DD6AEE" w:rsidRPr="004E2001" w:rsidTr="00AB1AA9">
        <w:tc>
          <w:tcPr>
            <w:tcW w:w="2081" w:type="dxa"/>
            <w:vAlign w:val="center"/>
          </w:tcPr>
          <w:p w:rsidR="00DD6AEE" w:rsidRPr="004E2001" w:rsidRDefault="00DD6AEE" w:rsidP="003F26F6">
            <w:pPr>
              <w:pStyle w:val="TableText0"/>
              <w:keepNext w:val="0"/>
            </w:pPr>
            <w:r w:rsidRPr="004E2001">
              <w:t>Time to non-fatal MI</w:t>
            </w:r>
          </w:p>
        </w:tc>
        <w:tc>
          <w:tcPr>
            <w:tcW w:w="3956" w:type="dxa"/>
            <w:vAlign w:val="center"/>
          </w:tcPr>
          <w:p w:rsidR="00DD6AEE" w:rsidRPr="004E2001" w:rsidRDefault="00DD6AEE" w:rsidP="003F26F6">
            <w:pPr>
              <w:pStyle w:val="TableText0"/>
              <w:keepNext w:val="0"/>
              <w:jc w:val="center"/>
            </w:pPr>
            <w:r w:rsidRPr="004E2001">
              <w:t>Semaglutide (pooled): 47/1648 (2.9%)</w:t>
            </w:r>
          </w:p>
          <w:p w:rsidR="00DD6AEE" w:rsidRPr="004E2001" w:rsidRDefault="00DD6AEE" w:rsidP="003F26F6">
            <w:pPr>
              <w:pStyle w:val="TableText0"/>
              <w:keepNext w:val="0"/>
              <w:jc w:val="center"/>
            </w:pPr>
            <w:r w:rsidRPr="004E2001">
              <w:t>Placebo: 64/1649 (3.9%)</w:t>
            </w:r>
          </w:p>
          <w:p w:rsidR="00DD6AEE" w:rsidRPr="004E2001" w:rsidRDefault="00DD6AEE" w:rsidP="003F26F6">
            <w:pPr>
              <w:pStyle w:val="TableText0"/>
              <w:keepNext w:val="0"/>
              <w:jc w:val="center"/>
            </w:pPr>
            <w:r w:rsidRPr="004E2001">
              <w:t xml:space="preserve">HR 0.88 (0.52, 1.48) </w:t>
            </w:r>
          </w:p>
        </w:tc>
        <w:tc>
          <w:tcPr>
            <w:tcW w:w="3957" w:type="dxa"/>
            <w:vAlign w:val="center"/>
          </w:tcPr>
          <w:p w:rsidR="00DD6AEE" w:rsidRPr="004E2001" w:rsidRDefault="00DD6AEE" w:rsidP="003F26F6">
            <w:pPr>
              <w:pStyle w:val="TableText0"/>
              <w:keepNext w:val="0"/>
              <w:jc w:val="center"/>
            </w:pPr>
            <w:r w:rsidRPr="004E2001">
              <w:t>Dulaglutide: 205/4949 (4.1%)</w:t>
            </w:r>
          </w:p>
          <w:p w:rsidR="00DD6AEE" w:rsidRPr="004E2001" w:rsidRDefault="00DD6AEE" w:rsidP="003F26F6">
            <w:pPr>
              <w:pStyle w:val="TableText0"/>
              <w:keepNext w:val="0"/>
              <w:jc w:val="center"/>
            </w:pPr>
            <w:r w:rsidRPr="004E2001">
              <w:t>Placebo: 212/4952 (4.3%)</w:t>
            </w:r>
          </w:p>
          <w:p w:rsidR="00DD6AEE" w:rsidRPr="004E2001" w:rsidRDefault="00DD6AEE" w:rsidP="003F26F6">
            <w:pPr>
              <w:pStyle w:val="TableText0"/>
              <w:keepNext w:val="0"/>
              <w:jc w:val="center"/>
            </w:pPr>
            <w:r w:rsidRPr="004E2001">
              <w:t>HR 0.96 (0.79, 1.16)</w:t>
            </w:r>
          </w:p>
        </w:tc>
        <w:tc>
          <w:tcPr>
            <w:tcW w:w="3957" w:type="dxa"/>
            <w:vAlign w:val="center"/>
          </w:tcPr>
          <w:p w:rsidR="00DD6AEE" w:rsidRPr="004E2001" w:rsidRDefault="00DD6AEE" w:rsidP="003F26F6">
            <w:pPr>
              <w:pStyle w:val="TableText0"/>
              <w:keepNext w:val="0"/>
              <w:jc w:val="center"/>
            </w:pPr>
            <w:r w:rsidRPr="004E2001">
              <w:t xml:space="preserve">NR </w:t>
            </w:r>
          </w:p>
        </w:tc>
      </w:tr>
      <w:tr w:rsidR="00DD6AEE" w:rsidRPr="004E2001" w:rsidTr="00AB1AA9">
        <w:tc>
          <w:tcPr>
            <w:tcW w:w="2081" w:type="dxa"/>
            <w:vAlign w:val="center"/>
          </w:tcPr>
          <w:p w:rsidR="00DD6AEE" w:rsidRPr="004E2001" w:rsidRDefault="00DD6AEE" w:rsidP="003F26F6">
            <w:pPr>
              <w:pStyle w:val="TableText0"/>
              <w:keepNext w:val="0"/>
            </w:pPr>
            <w:r w:rsidRPr="004E2001">
              <w:t>Time to non-fatal stroke</w:t>
            </w:r>
          </w:p>
        </w:tc>
        <w:tc>
          <w:tcPr>
            <w:tcW w:w="3956" w:type="dxa"/>
            <w:vAlign w:val="center"/>
          </w:tcPr>
          <w:p w:rsidR="00DD6AEE" w:rsidRPr="004E2001" w:rsidRDefault="00DD6AEE" w:rsidP="003F26F6">
            <w:pPr>
              <w:pStyle w:val="TableText0"/>
              <w:keepNext w:val="0"/>
              <w:jc w:val="center"/>
            </w:pPr>
            <w:r w:rsidRPr="004E2001">
              <w:t>Semaglutide (pooled): 27/1648 (1.6%)</w:t>
            </w:r>
          </w:p>
          <w:p w:rsidR="00DD6AEE" w:rsidRPr="004E2001" w:rsidRDefault="00DD6AEE" w:rsidP="003F26F6">
            <w:pPr>
              <w:pStyle w:val="TableText0"/>
              <w:keepNext w:val="0"/>
              <w:jc w:val="center"/>
            </w:pPr>
            <w:r w:rsidRPr="004E2001">
              <w:t>Placebo: 44/1649 (2.7%)</w:t>
            </w:r>
          </w:p>
          <w:p w:rsidR="00DD6AEE" w:rsidRPr="004E2001" w:rsidRDefault="00DD6AEE" w:rsidP="003F26F6">
            <w:pPr>
              <w:pStyle w:val="TableText0"/>
              <w:keepNext w:val="0"/>
              <w:jc w:val="center"/>
            </w:pPr>
            <w:r w:rsidRPr="004E2001">
              <w:t>HR 0.57 (0.31, 1.06)</w:t>
            </w:r>
          </w:p>
        </w:tc>
        <w:tc>
          <w:tcPr>
            <w:tcW w:w="3957" w:type="dxa"/>
            <w:vAlign w:val="center"/>
          </w:tcPr>
          <w:p w:rsidR="00DD6AEE" w:rsidRPr="004E2001" w:rsidRDefault="00DD6AEE" w:rsidP="003F26F6">
            <w:pPr>
              <w:pStyle w:val="TableText0"/>
              <w:keepNext w:val="0"/>
              <w:jc w:val="center"/>
            </w:pPr>
            <w:r w:rsidRPr="004E2001">
              <w:t>Dulaglutide: 135/4949 (2.7%)</w:t>
            </w:r>
          </w:p>
          <w:p w:rsidR="00DD6AEE" w:rsidRPr="004E2001" w:rsidRDefault="00DD6AEE" w:rsidP="003F26F6">
            <w:pPr>
              <w:pStyle w:val="TableText0"/>
              <w:keepNext w:val="0"/>
              <w:jc w:val="center"/>
            </w:pPr>
            <w:r w:rsidRPr="004E2001">
              <w:t>Placebo: 175/4952 (3.5%)</w:t>
            </w:r>
          </w:p>
          <w:p w:rsidR="00DD6AEE" w:rsidRPr="004E2001" w:rsidRDefault="00DD6AEE" w:rsidP="003F26F6">
            <w:pPr>
              <w:pStyle w:val="TableText0"/>
              <w:keepNext w:val="0"/>
              <w:jc w:val="center"/>
            </w:pPr>
            <w:r w:rsidRPr="004E2001">
              <w:t>HR 0.76 (0.61, 0.95)</w:t>
            </w:r>
          </w:p>
        </w:tc>
        <w:tc>
          <w:tcPr>
            <w:tcW w:w="3957" w:type="dxa"/>
            <w:vAlign w:val="center"/>
          </w:tcPr>
          <w:p w:rsidR="00DD6AEE" w:rsidRPr="004E2001" w:rsidRDefault="00DD6AEE" w:rsidP="003F26F6">
            <w:pPr>
              <w:pStyle w:val="TableText0"/>
              <w:keepNext w:val="0"/>
              <w:jc w:val="center"/>
            </w:pPr>
            <w:r w:rsidRPr="004E2001">
              <w:t>NR</w:t>
            </w:r>
          </w:p>
        </w:tc>
      </w:tr>
      <w:tr w:rsidR="00DD6AEE" w:rsidRPr="004E2001" w:rsidTr="00AB1AA9">
        <w:tc>
          <w:tcPr>
            <w:tcW w:w="2081" w:type="dxa"/>
            <w:vAlign w:val="center"/>
          </w:tcPr>
          <w:p w:rsidR="00DD6AEE" w:rsidRPr="004E2001" w:rsidRDefault="00DD6AEE" w:rsidP="003F26F6">
            <w:pPr>
              <w:pStyle w:val="TableText0"/>
              <w:keepNext w:val="0"/>
            </w:pPr>
            <w:r w:rsidRPr="004E2001">
              <w:lastRenderedPageBreak/>
              <w:t>Change in HbA1c (%)</w:t>
            </w:r>
          </w:p>
        </w:tc>
        <w:tc>
          <w:tcPr>
            <w:tcW w:w="3956" w:type="dxa"/>
            <w:vAlign w:val="center"/>
          </w:tcPr>
          <w:p w:rsidR="00DD6AEE" w:rsidRPr="004E2001" w:rsidRDefault="00DD6AEE" w:rsidP="003F26F6">
            <w:pPr>
              <w:pStyle w:val="TableText0"/>
              <w:keepNext w:val="0"/>
              <w:jc w:val="center"/>
              <w:rPr>
                <w:u w:val="single"/>
              </w:rPr>
            </w:pPr>
            <w:r w:rsidRPr="004E2001">
              <w:rPr>
                <w:u w:val="single"/>
              </w:rPr>
              <w:t>Semaglutide 0.5 mg</w:t>
            </w:r>
          </w:p>
          <w:p w:rsidR="00DD6AEE" w:rsidRPr="004E2001" w:rsidRDefault="00DD6AEE" w:rsidP="003F26F6">
            <w:pPr>
              <w:pStyle w:val="TableText0"/>
              <w:keepNext w:val="0"/>
              <w:jc w:val="center"/>
            </w:pPr>
            <w:r w:rsidRPr="004E2001">
              <w:t>Baseline: 8.67</w:t>
            </w:r>
          </w:p>
          <w:p w:rsidR="00DD6AEE" w:rsidRPr="004E2001" w:rsidRDefault="00DD6AEE" w:rsidP="003F26F6">
            <w:pPr>
              <w:pStyle w:val="TableText0"/>
              <w:keepNext w:val="0"/>
              <w:jc w:val="center"/>
            </w:pPr>
            <w:r w:rsidRPr="004E2001">
              <w:t>Endpoint: 7.61</w:t>
            </w:r>
          </w:p>
          <w:p w:rsidR="00DD6AEE" w:rsidRPr="004E2001" w:rsidRDefault="00DD6AEE" w:rsidP="003F26F6">
            <w:pPr>
              <w:pStyle w:val="TableText0"/>
              <w:keepNext w:val="0"/>
              <w:jc w:val="center"/>
            </w:pPr>
            <w:r w:rsidRPr="004E2001">
              <w:t>Change: -1.09</w:t>
            </w:r>
          </w:p>
          <w:p w:rsidR="00DD6AEE" w:rsidRPr="004E2001" w:rsidRDefault="00DD6AEE" w:rsidP="003F26F6">
            <w:pPr>
              <w:pStyle w:val="TableText0"/>
              <w:keepNext w:val="0"/>
              <w:jc w:val="center"/>
              <w:rPr>
                <w:vertAlign w:val="superscript"/>
              </w:rPr>
            </w:pPr>
            <w:r w:rsidRPr="004E2001">
              <w:t>Drift: 0.30 per year</w:t>
            </w:r>
            <w:r w:rsidRPr="004E2001">
              <w:rPr>
                <w:vertAlign w:val="superscript"/>
              </w:rPr>
              <w:t>a</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rPr>
                <w:u w:val="single"/>
              </w:rPr>
            </w:pPr>
            <w:r w:rsidRPr="004E2001">
              <w:rPr>
                <w:u w:val="single"/>
              </w:rPr>
              <w:t>Placebo 0.5 mg</w:t>
            </w:r>
          </w:p>
          <w:p w:rsidR="00DD6AEE" w:rsidRPr="004E2001" w:rsidRDefault="00DD6AEE" w:rsidP="003F26F6">
            <w:pPr>
              <w:pStyle w:val="TableText0"/>
              <w:keepNext w:val="0"/>
              <w:jc w:val="center"/>
            </w:pPr>
            <w:r w:rsidRPr="004E2001">
              <w:t>Baseline: 8.70</w:t>
            </w:r>
          </w:p>
          <w:p w:rsidR="00DD6AEE" w:rsidRPr="004E2001" w:rsidRDefault="00DD6AEE" w:rsidP="003F26F6">
            <w:pPr>
              <w:pStyle w:val="TableText0"/>
              <w:keepNext w:val="0"/>
              <w:jc w:val="center"/>
            </w:pPr>
            <w:r w:rsidRPr="004E2001">
              <w:t xml:space="preserve">Endpoint: 8.26 </w:t>
            </w:r>
          </w:p>
          <w:p w:rsidR="00DD6AEE" w:rsidRPr="004E2001" w:rsidRDefault="00DD6AEE" w:rsidP="003F26F6">
            <w:pPr>
              <w:pStyle w:val="TableText0"/>
              <w:keepNext w:val="0"/>
              <w:jc w:val="center"/>
            </w:pPr>
            <w:r w:rsidRPr="004E2001">
              <w:t>Change: -0.44</w:t>
            </w:r>
          </w:p>
          <w:p w:rsidR="00DD6AEE" w:rsidRPr="004E2001" w:rsidRDefault="00DD6AEE" w:rsidP="003F26F6">
            <w:pPr>
              <w:pStyle w:val="TableText0"/>
              <w:keepNext w:val="0"/>
              <w:jc w:val="center"/>
            </w:pPr>
            <w:r w:rsidRPr="004E2001">
              <w:t>No observable drift</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rPr>
                <w:u w:val="single"/>
              </w:rPr>
            </w:pPr>
            <w:r w:rsidRPr="004E2001">
              <w:rPr>
                <w:u w:val="single"/>
              </w:rPr>
              <w:t>Semaglutide 1.0 mg</w:t>
            </w:r>
          </w:p>
          <w:p w:rsidR="00DD6AEE" w:rsidRPr="004E2001" w:rsidRDefault="00DD6AEE" w:rsidP="003F26F6">
            <w:pPr>
              <w:pStyle w:val="TableText0"/>
              <w:keepNext w:val="0"/>
              <w:jc w:val="center"/>
            </w:pPr>
            <w:r w:rsidRPr="004E2001">
              <w:t>Baseline: 8.73</w:t>
            </w:r>
          </w:p>
          <w:p w:rsidR="00DD6AEE" w:rsidRPr="004E2001" w:rsidRDefault="00DD6AEE" w:rsidP="003F26F6">
            <w:pPr>
              <w:pStyle w:val="TableText0"/>
              <w:keepNext w:val="0"/>
              <w:jc w:val="center"/>
            </w:pPr>
            <w:r w:rsidRPr="004E2001">
              <w:t>Endpoint: 7.29</w:t>
            </w:r>
          </w:p>
          <w:p w:rsidR="00DD6AEE" w:rsidRPr="004E2001" w:rsidRDefault="00DD6AEE" w:rsidP="003F26F6">
            <w:pPr>
              <w:pStyle w:val="TableText0"/>
              <w:keepNext w:val="0"/>
              <w:jc w:val="center"/>
            </w:pPr>
            <w:r w:rsidRPr="004E2001">
              <w:t>Change: -1.41</w:t>
            </w:r>
          </w:p>
          <w:p w:rsidR="00DD6AEE" w:rsidRPr="004E2001" w:rsidRDefault="00DD6AEE" w:rsidP="003F26F6">
            <w:pPr>
              <w:pStyle w:val="TableText0"/>
              <w:keepNext w:val="0"/>
              <w:jc w:val="center"/>
              <w:rPr>
                <w:vertAlign w:val="superscript"/>
              </w:rPr>
            </w:pPr>
            <w:r w:rsidRPr="004E2001">
              <w:t>Drift: 0.23 per year</w:t>
            </w:r>
            <w:r w:rsidRPr="004E2001">
              <w:rPr>
                <w:vertAlign w:val="superscript"/>
              </w:rPr>
              <w:t>a</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pPr>
            <w:r w:rsidRPr="004E2001">
              <w:rPr>
                <w:u w:val="single"/>
              </w:rPr>
              <w:t>Placebo 1.0 mg</w:t>
            </w:r>
          </w:p>
          <w:p w:rsidR="00DD6AEE" w:rsidRPr="004E2001" w:rsidRDefault="00DD6AEE" w:rsidP="003F26F6">
            <w:pPr>
              <w:pStyle w:val="TableText0"/>
              <w:keepNext w:val="0"/>
              <w:jc w:val="center"/>
            </w:pPr>
            <w:r w:rsidRPr="004E2001">
              <w:t>Baseline: 8.70</w:t>
            </w:r>
          </w:p>
          <w:p w:rsidR="00DD6AEE" w:rsidRPr="004E2001" w:rsidRDefault="00DD6AEE" w:rsidP="003F26F6">
            <w:pPr>
              <w:pStyle w:val="TableText0"/>
              <w:keepNext w:val="0"/>
              <w:jc w:val="center"/>
            </w:pPr>
            <w:r w:rsidRPr="004E2001">
              <w:t>Endpoint: 8.34</w:t>
            </w:r>
          </w:p>
          <w:p w:rsidR="00DD6AEE" w:rsidRPr="004E2001" w:rsidRDefault="00DD6AEE" w:rsidP="003F26F6">
            <w:pPr>
              <w:pStyle w:val="TableText0"/>
              <w:keepNext w:val="0"/>
              <w:jc w:val="center"/>
            </w:pPr>
            <w:r w:rsidRPr="004E2001">
              <w:t>Change: -0.36</w:t>
            </w:r>
          </w:p>
          <w:p w:rsidR="00DD6AEE" w:rsidRPr="004E2001" w:rsidRDefault="00DD6AEE" w:rsidP="003F26F6">
            <w:pPr>
              <w:pStyle w:val="TableText0"/>
              <w:keepNext w:val="0"/>
              <w:jc w:val="center"/>
              <w:rPr>
                <w:vertAlign w:val="superscript"/>
              </w:rPr>
            </w:pPr>
            <w:r w:rsidRPr="004E2001">
              <w:t>No observable drift</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pPr>
            <w:r w:rsidRPr="004E2001">
              <w:t>Semaglutide 0.5 mg vs placebo: -0.66</w:t>
            </w:r>
          </w:p>
          <w:p w:rsidR="00DD6AEE" w:rsidRPr="004E2001" w:rsidRDefault="00DD6AEE" w:rsidP="003F26F6">
            <w:pPr>
              <w:pStyle w:val="TableText0"/>
              <w:keepNext w:val="0"/>
              <w:jc w:val="center"/>
            </w:pPr>
            <w:r w:rsidRPr="004E2001">
              <w:t>Semaglutide 1.0 mg vs placebo: -1.05</w:t>
            </w:r>
          </w:p>
        </w:tc>
        <w:tc>
          <w:tcPr>
            <w:tcW w:w="3957" w:type="dxa"/>
            <w:vAlign w:val="center"/>
          </w:tcPr>
          <w:p w:rsidR="00DD6AEE" w:rsidRPr="004E2001" w:rsidRDefault="00DD6AEE" w:rsidP="003F26F6">
            <w:pPr>
              <w:pStyle w:val="TableText0"/>
              <w:keepNext w:val="0"/>
              <w:jc w:val="center"/>
              <w:rPr>
                <w:u w:val="single"/>
              </w:rPr>
            </w:pPr>
            <w:r w:rsidRPr="004E2001">
              <w:rPr>
                <w:u w:val="single"/>
              </w:rPr>
              <w:t>Dulaglutide 1.5 mg</w:t>
            </w:r>
          </w:p>
          <w:p w:rsidR="00DD6AEE" w:rsidRPr="004E2001" w:rsidRDefault="00DD6AEE" w:rsidP="003F26F6">
            <w:pPr>
              <w:pStyle w:val="TableText0"/>
              <w:keepNext w:val="0"/>
              <w:jc w:val="center"/>
            </w:pPr>
            <w:r w:rsidRPr="004E2001">
              <w:t>Baseline: 7.3</w:t>
            </w:r>
          </w:p>
          <w:p w:rsidR="00DD6AEE" w:rsidRPr="004E2001" w:rsidRDefault="00DD6AEE" w:rsidP="003F26F6">
            <w:pPr>
              <w:pStyle w:val="TableText0"/>
              <w:keepNext w:val="0"/>
              <w:jc w:val="center"/>
            </w:pPr>
            <w:r w:rsidRPr="004E2001">
              <w:t>Endpoint: NR</w:t>
            </w:r>
          </w:p>
          <w:p w:rsidR="00DD6AEE" w:rsidRPr="004E2001" w:rsidRDefault="00DD6AEE" w:rsidP="003F26F6">
            <w:pPr>
              <w:pStyle w:val="TableText0"/>
              <w:keepNext w:val="0"/>
              <w:jc w:val="center"/>
            </w:pPr>
            <w:r w:rsidRPr="004E2001">
              <w:t xml:space="preserve">Change: -0.46 </w:t>
            </w:r>
          </w:p>
          <w:p w:rsidR="00DD6AEE" w:rsidRPr="004E2001" w:rsidRDefault="00DD6AEE" w:rsidP="003F26F6">
            <w:pPr>
              <w:pStyle w:val="TableText0"/>
              <w:keepNext w:val="0"/>
              <w:jc w:val="center"/>
              <w:rPr>
                <w:vertAlign w:val="superscript"/>
              </w:rPr>
            </w:pPr>
            <w:r w:rsidRPr="004E2001">
              <w:t>Drift: 0.09 per year</w:t>
            </w:r>
            <w:r w:rsidRPr="004E2001">
              <w:rPr>
                <w:vertAlign w:val="superscript"/>
              </w:rPr>
              <w:t>b</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rPr>
                <w:u w:val="single"/>
              </w:rPr>
            </w:pPr>
            <w:r w:rsidRPr="004E2001">
              <w:rPr>
                <w:u w:val="single"/>
              </w:rPr>
              <w:t>Placebo</w:t>
            </w:r>
          </w:p>
          <w:p w:rsidR="00DD6AEE" w:rsidRPr="004E2001" w:rsidRDefault="00DD6AEE" w:rsidP="003F26F6">
            <w:pPr>
              <w:pStyle w:val="TableText0"/>
              <w:keepNext w:val="0"/>
              <w:jc w:val="center"/>
            </w:pPr>
            <w:r w:rsidRPr="004E2001">
              <w:t>Baseline: 7.4</w:t>
            </w:r>
          </w:p>
          <w:p w:rsidR="00DD6AEE" w:rsidRPr="004E2001" w:rsidRDefault="00DD6AEE" w:rsidP="003F26F6">
            <w:pPr>
              <w:pStyle w:val="TableText0"/>
              <w:keepNext w:val="0"/>
              <w:jc w:val="center"/>
            </w:pPr>
            <w:r w:rsidRPr="004E2001">
              <w:t>Endpoint: NR</w:t>
            </w:r>
          </w:p>
          <w:p w:rsidR="00DD6AEE" w:rsidRPr="004E2001" w:rsidRDefault="00DD6AEE" w:rsidP="003F26F6">
            <w:pPr>
              <w:pStyle w:val="TableText0"/>
              <w:keepNext w:val="0"/>
              <w:jc w:val="center"/>
            </w:pPr>
            <w:r w:rsidRPr="004E2001">
              <w:t>Change: 0.16</w:t>
            </w:r>
          </w:p>
          <w:p w:rsidR="00DD6AEE" w:rsidRPr="004E2001" w:rsidRDefault="00DD6AEE" w:rsidP="003F26F6">
            <w:pPr>
              <w:pStyle w:val="TableText0"/>
              <w:keepNext w:val="0"/>
              <w:jc w:val="center"/>
            </w:pPr>
            <w:r w:rsidRPr="004E2001">
              <w:t>Drift: 0.04 per year</w:t>
            </w:r>
            <w:r w:rsidRPr="004E2001">
              <w:rPr>
                <w:vertAlign w:val="superscript"/>
              </w:rPr>
              <w:t>b</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pPr>
            <w:r w:rsidRPr="004E2001">
              <w:t>Dulaglutide 1.5 mg vs placebo: -0.61</w:t>
            </w:r>
          </w:p>
          <w:p w:rsidR="00DD6AEE" w:rsidRPr="004E2001" w:rsidRDefault="00DD6AEE" w:rsidP="003F26F6">
            <w:pPr>
              <w:pStyle w:val="TableText0"/>
              <w:keepNext w:val="0"/>
              <w:jc w:val="center"/>
            </w:pPr>
          </w:p>
        </w:tc>
        <w:tc>
          <w:tcPr>
            <w:tcW w:w="3957" w:type="dxa"/>
            <w:vAlign w:val="center"/>
          </w:tcPr>
          <w:p w:rsidR="00DD6AEE" w:rsidRPr="004E2001" w:rsidRDefault="00DD6AEE" w:rsidP="003F26F6">
            <w:pPr>
              <w:pStyle w:val="TableText0"/>
              <w:keepNext w:val="0"/>
              <w:jc w:val="center"/>
              <w:rPr>
                <w:u w:val="single"/>
              </w:rPr>
            </w:pPr>
            <w:r w:rsidRPr="004E2001">
              <w:rPr>
                <w:u w:val="single"/>
              </w:rPr>
              <w:t>Exenatide 2.0 mg</w:t>
            </w:r>
          </w:p>
          <w:p w:rsidR="00DD6AEE" w:rsidRPr="004E2001" w:rsidRDefault="00DD6AEE" w:rsidP="003F26F6">
            <w:pPr>
              <w:pStyle w:val="TableText0"/>
              <w:keepNext w:val="0"/>
              <w:jc w:val="center"/>
            </w:pPr>
            <w:r w:rsidRPr="004E2001">
              <w:t>Baseline: NR</w:t>
            </w:r>
          </w:p>
          <w:p w:rsidR="00DD6AEE" w:rsidRPr="004E2001" w:rsidRDefault="00DD6AEE" w:rsidP="003F26F6">
            <w:pPr>
              <w:pStyle w:val="TableText0"/>
              <w:keepNext w:val="0"/>
              <w:jc w:val="center"/>
            </w:pPr>
            <w:r w:rsidRPr="004E2001">
              <w:t>Endpoint: NR</w:t>
            </w:r>
          </w:p>
          <w:p w:rsidR="00DD6AEE" w:rsidRPr="004E2001" w:rsidRDefault="00DD6AEE" w:rsidP="003F26F6">
            <w:pPr>
              <w:pStyle w:val="TableText0"/>
              <w:keepNext w:val="0"/>
              <w:jc w:val="center"/>
            </w:pPr>
            <w:r w:rsidRPr="004E2001">
              <w:t>Change: NR</w:t>
            </w:r>
          </w:p>
          <w:p w:rsidR="00DD6AEE" w:rsidRPr="004E2001" w:rsidRDefault="00DD6AEE" w:rsidP="003F26F6">
            <w:pPr>
              <w:pStyle w:val="TableText0"/>
              <w:keepNext w:val="0"/>
              <w:jc w:val="center"/>
              <w:rPr>
                <w:vertAlign w:val="superscript"/>
              </w:rPr>
            </w:pPr>
            <w:r w:rsidRPr="004E2001">
              <w:t>Drift: 0.10 per year</w:t>
            </w:r>
            <w:r w:rsidRPr="004E2001">
              <w:rPr>
                <w:vertAlign w:val="superscript"/>
              </w:rPr>
              <w:t>c</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rPr>
                <w:u w:val="single"/>
              </w:rPr>
            </w:pPr>
            <w:r w:rsidRPr="004E2001">
              <w:rPr>
                <w:u w:val="single"/>
              </w:rPr>
              <w:t>Placebo</w:t>
            </w:r>
          </w:p>
          <w:p w:rsidR="00DD6AEE" w:rsidRPr="004E2001" w:rsidRDefault="00DD6AEE" w:rsidP="003F26F6">
            <w:pPr>
              <w:pStyle w:val="TableText0"/>
              <w:keepNext w:val="0"/>
              <w:jc w:val="center"/>
            </w:pPr>
            <w:r w:rsidRPr="004E2001">
              <w:t>Baseline: NR</w:t>
            </w:r>
          </w:p>
          <w:p w:rsidR="00DD6AEE" w:rsidRPr="004E2001" w:rsidRDefault="00DD6AEE" w:rsidP="003F26F6">
            <w:pPr>
              <w:pStyle w:val="TableText0"/>
              <w:keepNext w:val="0"/>
              <w:jc w:val="center"/>
            </w:pPr>
            <w:r w:rsidRPr="004E2001">
              <w:t>Endpoint: NR</w:t>
            </w:r>
          </w:p>
          <w:p w:rsidR="00DD6AEE" w:rsidRPr="004E2001" w:rsidRDefault="00DD6AEE" w:rsidP="003F26F6">
            <w:pPr>
              <w:pStyle w:val="TableText0"/>
              <w:keepNext w:val="0"/>
              <w:jc w:val="center"/>
            </w:pPr>
            <w:r w:rsidRPr="004E2001">
              <w:t>Change: NR</w:t>
            </w:r>
          </w:p>
          <w:p w:rsidR="00DD6AEE" w:rsidRPr="004E2001" w:rsidRDefault="00DD6AEE" w:rsidP="003F26F6">
            <w:pPr>
              <w:pStyle w:val="TableText0"/>
              <w:keepNext w:val="0"/>
              <w:jc w:val="center"/>
              <w:rPr>
                <w:vertAlign w:val="superscript"/>
              </w:rPr>
            </w:pPr>
            <w:r w:rsidRPr="004E2001">
              <w:t>No observable drift</w:t>
            </w:r>
          </w:p>
          <w:p w:rsidR="00DD6AEE" w:rsidRPr="004E2001" w:rsidRDefault="00DD6AEE" w:rsidP="003F26F6">
            <w:pPr>
              <w:pStyle w:val="TableText0"/>
              <w:keepNext w:val="0"/>
            </w:pPr>
          </w:p>
          <w:p w:rsidR="00DD6AEE" w:rsidRPr="004E2001" w:rsidRDefault="00DD6AEE" w:rsidP="003F26F6">
            <w:pPr>
              <w:pStyle w:val="TableText0"/>
              <w:keepNext w:val="0"/>
              <w:jc w:val="center"/>
            </w:pPr>
            <w:r w:rsidRPr="004E2001">
              <w:t>Exenatide 2.0 mg vs placebo: -0.53</w:t>
            </w:r>
          </w:p>
        </w:tc>
      </w:tr>
      <w:tr w:rsidR="00DD6AEE" w:rsidRPr="004E2001" w:rsidTr="00AB1AA9">
        <w:tc>
          <w:tcPr>
            <w:tcW w:w="2081" w:type="dxa"/>
            <w:vAlign w:val="center"/>
          </w:tcPr>
          <w:p w:rsidR="00DD6AEE" w:rsidRPr="004E2001" w:rsidRDefault="00DD6AEE" w:rsidP="003F26F6">
            <w:pPr>
              <w:pStyle w:val="TableText0"/>
              <w:keepNext w:val="0"/>
            </w:pPr>
            <w:r w:rsidRPr="004E2001">
              <w:t>Change in body weight (kg)</w:t>
            </w:r>
          </w:p>
        </w:tc>
        <w:tc>
          <w:tcPr>
            <w:tcW w:w="3956" w:type="dxa"/>
            <w:vAlign w:val="center"/>
          </w:tcPr>
          <w:p w:rsidR="00DD6AEE" w:rsidRPr="004E2001" w:rsidRDefault="00DD6AEE" w:rsidP="003F26F6">
            <w:pPr>
              <w:pStyle w:val="TableText0"/>
              <w:keepNext w:val="0"/>
              <w:jc w:val="center"/>
              <w:rPr>
                <w:u w:val="single"/>
              </w:rPr>
            </w:pPr>
            <w:r w:rsidRPr="004E2001">
              <w:rPr>
                <w:u w:val="single"/>
              </w:rPr>
              <w:t>Semaglutide 0.5 mg</w:t>
            </w:r>
          </w:p>
          <w:p w:rsidR="00DD6AEE" w:rsidRPr="004E2001" w:rsidRDefault="00DD6AEE" w:rsidP="003F26F6">
            <w:pPr>
              <w:pStyle w:val="TableText0"/>
              <w:keepNext w:val="0"/>
              <w:jc w:val="center"/>
            </w:pPr>
            <w:r w:rsidRPr="004E2001">
              <w:t>Baseline: 91.8</w:t>
            </w:r>
          </w:p>
          <w:p w:rsidR="00DD6AEE" w:rsidRPr="004E2001" w:rsidRDefault="00DD6AEE" w:rsidP="003F26F6">
            <w:pPr>
              <w:pStyle w:val="TableText0"/>
              <w:keepNext w:val="0"/>
              <w:jc w:val="center"/>
            </w:pPr>
            <w:r w:rsidRPr="004E2001">
              <w:t>Endpoint: 88.5</w:t>
            </w:r>
          </w:p>
          <w:p w:rsidR="00DD6AEE" w:rsidRPr="004E2001" w:rsidRDefault="00DD6AEE" w:rsidP="003F26F6">
            <w:pPr>
              <w:pStyle w:val="TableText0"/>
              <w:keepNext w:val="0"/>
              <w:jc w:val="center"/>
            </w:pPr>
            <w:r w:rsidRPr="004E2001">
              <w:t>Change: -3.57</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rPr>
                <w:u w:val="single"/>
              </w:rPr>
            </w:pPr>
            <w:r w:rsidRPr="004E2001">
              <w:rPr>
                <w:u w:val="single"/>
              </w:rPr>
              <w:t>Semaglutide 1.0 mg</w:t>
            </w:r>
          </w:p>
          <w:p w:rsidR="00DD6AEE" w:rsidRPr="004E2001" w:rsidRDefault="00DD6AEE" w:rsidP="003F26F6">
            <w:pPr>
              <w:pStyle w:val="TableText0"/>
              <w:keepNext w:val="0"/>
              <w:jc w:val="center"/>
            </w:pPr>
            <w:r w:rsidRPr="004E2001">
              <w:lastRenderedPageBreak/>
              <w:t>Baseline: 91.8</w:t>
            </w:r>
          </w:p>
          <w:p w:rsidR="00DD6AEE" w:rsidRPr="004E2001" w:rsidRDefault="00DD6AEE" w:rsidP="003F26F6">
            <w:pPr>
              <w:pStyle w:val="TableText0"/>
              <w:keepNext w:val="0"/>
              <w:jc w:val="center"/>
            </w:pPr>
            <w:r w:rsidRPr="004E2001">
              <w:t>Endpoint: 87.2</w:t>
            </w:r>
          </w:p>
          <w:p w:rsidR="00DD6AEE" w:rsidRPr="004E2001" w:rsidRDefault="00DD6AEE" w:rsidP="003F26F6">
            <w:pPr>
              <w:pStyle w:val="TableText0"/>
              <w:keepNext w:val="0"/>
              <w:jc w:val="center"/>
            </w:pPr>
            <w:r w:rsidRPr="004E2001">
              <w:t>Change: -4.9</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pPr>
            <w:r w:rsidRPr="004E2001">
              <w:t>Semaglutide 0.5 mg vs placebo: -2.87</w:t>
            </w:r>
          </w:p>
          <w:p w:rsidR="00DD6AEE" w:rsidRPr="004E2001" w:rsidRDefault="00DD6AEE" w:rsidP="003F26F6">
            <w:pPr>
              <w:pStyle w:val="TableText0"/>
              <w:keepNext w:val="0"/>
              <w:jc w:val="center"/>
            </w:pPr>
            <w:r w:rsidRPr="004E2001">
              <w:t>Semaglutide 1.0 mg vs placebo: -4.35</w:t>
            </w:r>
          </w:p>
        </w:tc>
        <w:tc>
          <w:tcPr>
            <w:tcW w:w="3957" w:type="dxa"/>
            <w:vAlign w:val="center"/>
          </w:tcPr>
          <w:p w:rsidR="00DD6AEE" w:rsidRPr="004E2001" w:rsidRDefault="00DD6AEE" w:rsidP="003F26F6">
            <w:pPr>
              <w:pStyle w:val="TableText0"/>
              <w:keepNext w:val="0"/>
              <w:jc w:val="center"/>
              <w:rPr>
                <w:u w:val="single"/>
              </w:rPr>
            </w:pPr>
            <w:r w:rsidRPr="004E2001">
              <w:rPr>
                <w:u w:val="single"/>
              </w:rPr>
              <w:lastRenderedPageBreak/>
              <w:t>Dulaglutide 1.5 mg</w:t>
            </w:r>
          </w:p>
          <w:p w:rsidR="00DD6AEE" w:rsidRPr="004E2001" w:rsidRDefault="00DD6AEE" w:rsidP="003F26F6">
            <w:pPr>
              <w:pStyle w:val="TableText0"/>
              <w:keepNext w:val="0"/>
              <w:jc w:val="center"/>
            </w:pPr>
            <w:r w:rsidRPr="004E2001">
              <w:t>Baseline: 88.7</w:t>
            </w:r>
          </w:p>
          <w:p w:rsidR="00DD6AEE" w:rsidRPr="004E2001" w:rsidRDefault="00DD6AEE" w:rsidP="003F26F6">
            <w:pPr>
              <w:pStyle w:val="TableText0"/>
              <w:keepNext w:val="0"/>
              <w:jc w:val="center"/>
            </w:pPr>
            <w:r w:rsidRPr="004E2001">
              <w:t>Endpoint: NR</w:t>
            </w:r>
          </w:p>
          <w:p w:rsidR="00DD6AEE" w:rsidRPr="004E2001" w:rsidRDefault="00DD6AEE" w:rsidP="003F26F6">
            <w:pPr>
              <w:pStyle w:val="TableText0"/>
              <w:keepNext w:val="0"/>
              <w:jc w:val="center"/>
            </w:pPr>
            <w:r w:rsidRPr="004E2001">
              <w:t>Change: NR</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pPr>
            <w:r w:rsidRPr="004E2001">
              <w:t>Dulaglutide 1.5 mg vs placebo: -1.46</w:t>
            </w:r>
          </w:p>
        </w:tc>
        <w:tc>
          <w:tcPr>
            <w:tcW w:w="3957" w:type="dxa"/>
            <w:vAlign w:val="center"/>
          </w:tcPr>
          <w:p w:rsidR="00DD6AEE" w:rsidRPr="004E2001" w:rsidRDefault="00DD6AEE" w:rsidP="003F26F6">
            <w:pPr>
              <w:pStyle w:val="TableText0"/>
              <w:keepNext w:val="0"/>
              <w:jc w:val="center"/>
              <w:rPr>
                <w:u w:val="single"/>
              </w:rPr>
            </w:pPr>
            <w:r w:rsidRPr="004E2001">
              <w:rPr>
                <w:u w:val="single"/>
              </w:rPr>
              <w:t>Exenatide 2.0 mg</w:t>
            </w:r>
          </w:p>
          <w:p w:rsidR="00DD6AEE" w:rsidRPr="004E2001" w:rsidRDefault="00DD6AEE" w:rsidP="003F26F6">
            <w:pPr>
              <w:pStyle w:val="TableText0"/>
              <w:keepNext w:val="0"/>
              <w:jc w:val="center"/>
            </w:pPr>
            <w:r w:rsidRPr="004E2001">
              <w:t>Baseline: NR</w:t>
            </w:r>
          </w:p>
          <w:p w:rsidR="00DD6AEE" w:rsidRPr="004E2001" w:rsidRDefault="00DD6AEE" w:rsidP="003F26F6">
            <w:pPr>
              <w:pStyle w:val="TableText0"/>
              <w:keepNext w:val="0"/>
              <w:jc w:val="center"/>
            </w:pPr>
            <w:r w:rsidRPr="004E2001">
              <w:t>Endpoint: NR</w:t>
            </w:r>
          </w:p>
          <w:p w:rsidR="00DD6AEE" w:rsidRPr="004E2001" w:rsidRDefault="00DD6AEE" w:rsidP="003F26F6">
            <w:pPr>
              <w:pStyle w:val="TableText0"/>
              <w:keepNext w:val="0"/>
              <w:jc w:val="center"/>
            </w:pPr>
            <w:r w:rsidRPr="004E2001">
              <w:t>Change: NR</w:t>
            </w:r>
          </w:p>
          <w:p w:rsidR="00DD6AEE" w:rsidRPr="004E2001" w:rsidRDefault="00DD6AEE" w:rsidP="003F26F6">
            <w:pPr>
              <w:pStyle w:val="TableText0"/>
              <w:keepNext w:val="0"/>
              <w:jc w:val="center"/>
            </w:pPr>
          </w:p>
          <w:p w:rsidR="00DD6AEE" w:rsidRPr="004E2001" w:rsidRDefault="00DD6AEE" w:rsidP="003F26F6">
            <w:pPr>
              <w:pStyle w:val="TableText0"/>
              <w:keepNext w:val="0"/>
              <w:jc w:val="center"/>
            </w:pPr>
          </w:p>
        </w:tc>
      </w:tr>
    </w:tbl>
    <w:p w:rsidR="00DD6AEE" w:rsidRPr="004E2001" w:rsidRDefault="00DD6AEE" w:rsidP="003F26F6">
      <w:pPr>
        <w:pStyle w:val="TableFooter"/>
      </w:pPr>
      <w:r w:rsidRPr="004E2001">
        <w:t>Source: Marso 2016 publication and trial report of the SUSTAIN 6 trial; Gerstein 2018 and Gerstein 2019 publications (plus supplementary appendix) of the REWIND trial, Holman 2017 publication of the EXSCEL trial</w:t>
      </w:r>
    </w:p>
    <w:p w:rsidR="00DD6AEE" w:rsidRPr="004E2001" w:rsidRDefault="00DD6AEE" w:rsidP="003F26F6">
      <w:pPr>
        <w:pStyle w:val="TableFooter"/>
      </w:pPr>
      <w:r w:rsidRPr="004E2001">
        <w:t>Abbreviations: BMI, body mass index; MI, myocardial infarction; NR, not reported</w:t>
      </w:r>
    </w:p>
    <w:p w:rsidR="00DD6AEE" w:rsidRPr="004E2001" w:rsidRDefault="00DD6AEE" w:rsidP="003F26F6">
      <w:pPr>
        <w:pStyle w:val="TableFooter"/>
      </w:pPr>
      <w:r w:rsidRPr="004E2001">
        <w:rPr>
          <w:vertAlign w:val="superscript"/>
        </w:rPr>
        <w:t>a</w:t>
      </w:r>
      <w:r w:rsidRPr="004E2001">
        <w:t xml:space="preserve"> Semaglutide estimates based on the nadir of HbA1c (%) at 4 months and endpoint; Figure 12-1 of the SUSTAIN 6 trial report</w:t>
      </w:r>
    </w:p>
    <w:p w:rsidR="00DD6AEE" w:rsidRPr="004E2001" w:rsidRDefault="00DD6AEE" w:rsidP="003F26F6">
      <w:pPr>
        <w:pStyle w:val="TableFooter"/>
      </w:pPr>
      <w:r w:rsidRPr="004E2001">
        <w:rPr>
          <w:vertAlign w:val="superscript"/>
        </w:rPr>
        <w:t xml:space="preserve">b </w:t>
      </w:r>
      <w:r w:rsidRPr="004E2001">
        <w:t>Dulaglutide</w:t>
      </w:r>
      <w:r w:rsidRPr="004E2001">
        <w:rPr>
          <w:vertAlign w:val="superscript"/>
        </w:rPr>
        <w:t xml:space="preserve"> </w:t>
      </w:r>
      <w:r w:rsidRPr="004E2001">
        <w:t>estimate based on the nadir of HbA1c (%) at 3 months and endpoint; Placebo estimate based on HbA1c (%) from baseline to endpoint; Figure 4, Gerstein 2019 publication</w:t>
      </w:r>
    </w:p>
    <w:p w:rsidR="00055A9B" w:rsidRPr="004E2001" w:rsidRDefault="00DD6AEE" w:rsidP="003F26F6">
      <w:pPr>
        <w:pStyle w:val="TableFooter"/>
        <w:sectPr w:rsidR="00055A9B" w:rsidRPr="004E2001" w:rsidSect="0068664E">
          <w:pgSz w:w="16840" w:h="11907" w:orient="landscape" w:code="9"/>
          <w:pgMar w:top="1440" w:right="1440" w:bottom="1440" w:left="1440" w:header="1440" w:footer="1440" w:gutter="0"/>
          <w:cols w:space="708"/>
          <w:docGrid w:linePitch="360"/>
        </w:sectPr>
      </w:pPr>
      <w:r w:rsidRPr="004E2001">
        <w:rPr>
          <w:vertAlign w:val="superscript"/>
        </w:rPr>
        <w:t>c</w:t>
      </w:r>
      <w:r w:rsidRPr="004E2001">
        <w:t xml:space="preserve"> Exenatide estimate based on the nadir of HbA1c (%) at 6 months and endpoint; Fig</w:t>
      </w:r>
      <w:r w:rsidR="005027C1">
        <w:t xml:space="preserve">ure 1, Holman 2017 publication </w:t>
      </w:r>
    </w:p>
    <w:p w:rsidR="00DD6AEE" w:rsidRPr="004E2001" w:rsidRDefault="00DD6AEE" w:rsidP="003F26F6">
      <w:pPr>
        <w:pStyle w:val="TableFooter"/>
      </w:pPr>
    </w:p>
    <w:p w:rsidR="00327D67" w:rsidRPr="004E2001" w:rsidRDefault="00327D67" w:rsidP="0076592A">
      <w:pPr>
        <w:pStyle w:val="ListParagraph"/>
        <w:numPr>
          <w:ilvl w:val="1"/>
          <w:numId w:val="2"/>
        </w:numPr>
        <w:spacing w:before="120"/>
        <w:jc w:val="both"/>
      </w:pPr>
      <w:r w:rsidRPr="004E2001">
        <w:t>Longer-term data from the SUSTAIN 6 trial indicate the differences in HbA1c between low and high dose semaglutide versus placebo remained statistically significant over 2 years, but the difference attenuated over time. The data suggest a drift in HbA1c from a nadir of 4 months to the 2-year endpoint in both low (from 7.1% to 7.6%) and high dose semaglutide (from 6.9% to 7.3%) arms. There was no observable drift in the placebo arm. It was unclear whether the observed drift was due to loss of efficacy, issues with compliance or disease progression. Data from the REWIND and EXSCEL trials suggest smaller drifts in HbA1c for both dulaglutide (nadir of 6.6% at 5 months to 7.0% at 5 years) and exenatide once weekly (nadir of 7.3% at 6 months to 7.7% at 5 years). There was a relatively small drift in the placebo arm of the REWIND trial and no observable drift in the placebo arm of the EXSCEL trial.</w:t>
      </w:r>
    </w:p>
    <w:p w:rsidR="00F71867" w:rsidRPr="004E2001" w:rsidRDefault="00327D67" w:rsidP="0076592A">
      <w:pPr>
        <w:pStyle w:val="ListParagraph"/>
        <w:numPr>
          <w:ilvl w:val="1"/>
          <w:numId w:val="2"/>
        </w:numPr>
        <w:spacing w:before="120" w:after="0"/>
        <w:jc w:val="both"/>
      </w:pPr>
      <w:r w:rsidRPr="004E2001">
        <w:t xml:space="preserve">Weight loss results from the SUSTAIN 6 trial indicate that treatment effects with both low and high dose semaglutide were sustained over 2 years. These results were consistent with results for dulaglutide from the REWIND trial showing sustained weight loss over 5 years. Although weight loss associated with exenatide </w:t>
      </w:r>
      <w:r w:rsidR="00473ACE" w:rsidRPr="004E2001">
        <w:t xml:space="preserve">in the EXSCEL trial </w:t>
      </w:r>
      <w:r w:rsidRPr="004E2001">
        <w:t xml:space="preserve">remained statistically significant compared with placebo, there was a small drift in weight for both arms over 5 years (median follow-up of 3.2 years). </w:t>
      </w:r>
      <w:r w:rsidR="00BE0E1B" w:rsidRPr="004E2001">
        <w:t>The ESC considered that the long term impact of weight loss achieved is unknown</w:t>
      </w:r>
      <w:r w:rsidR="00F71867" w:rsidRPr="004E2001">
        <w:t>, particularly when treatment was stopped/switched</w:t>
      </w:r>
      <w:r w:rsidR="00F71867" w:rsidRPr="004E2001">
        <w:rPr>
          <w:i/>
        </w:rPr>
        <w:t>.</w:t>
      </w:r>
      <w:r w:rsidR="00AA09B4" w:rsidRPr="004E2001">
        <w:rPr>
          <w:rFonts w:cstheme="minorHAnsi"/>
          <w:i/>
        </w:rPr>
        <w:t xml:space="preserve"> </w:t>
      </w:r>
      <w:r w:rsidR="00871530">
        <w:rPr>
          <w:rFonts w:cstheme="minorHAnsi"/>
        </w:rPr>
        <w:t xml:space="preserve">The Pre-PBAC Response </w:t>
      </w:r>
      <w:r w:rsidR="00EF68B6" w:rsidRPr="00DB7B23">
        <w:rPr>
          <w:rFonts w:cstheme="minorHAnsi"/>
        </w:rPr>
        <w:t>acknowledged that i</w:t>
      </w:r>
      <w:r w:rsidR="00AA09B4" w:rsidRPr="00DB7B23">
        <w:rPr>
          <w:rFonts w:cstheme="minorHAnsi"/>
        </w:rPr>
        <w:t>t remains unclear whether these outcomes would be maintained over time horizons greater than 1-2 years and/or in the event of treatment switching or intensification, given currently available clinical data.</w:t>
      </w:r>
    </w:p>
    <w:p w:rsidR="00327D67" w:rsidRPr="004E2001" w:rsidRDefault="00327D67" w:rsidP="0076592A"/>
    <w:p w:rsidR="00366978" w:rsidRPr="004E2001" w:rsidRDefault="00366978" w:rsidP="0076592A">
      <w:pPr>
        <w:pStyle w:val="Heading3"/>
      </w:pPr>
      <w:r w:rsidRPr="004E2001">
        <w:t>Assessment of differences between the trial settings and the Australian setting</w:t>
      </w:r>
    </w:p>
    <w:p w:rsidR="00366978" w:rsidRPr="004E2001" w:rsidRDefault="00366978" w:rsidP="0076592A"/>
    <w:p w:rsidR="00BE043E" w:rsidRPr="004E2001" w:rsidRDefault="003B718D" w:rsidP="0076592A">
      <w:pPr>
        <w:pStyle w:val="ListParagraph"/>
        <w:numPr>
          <w:ilvl w:val="1"/>
          <w:numId w:val="2"/>
        </w:numPr>
        <w:jc w:val="both"/>
      </w:pPr>
      <w:r w:rsidRPr="004E2001">
        <w:t>The submission claimed that patient characteristics in all included trials were broadly similar to the Australian PBS population with type 2 diabetes in relation to key baseline demographic and disease characteristics.</w:t>
      </w:r>
      <w:r w:rsidR="002D794F" w:rsidRPr="004E2001">
        <w:t xml:space="preserve"> The submission did not adequately address the applicability of these trials to the PBS population. In particular,</w:t>
      </w:r>
      <w:r w:rsidRPr="004E2001">
        <w:t xml:space="preserve"> </w:t>
      </w:r>
      <w:r w:rsidR="002D794F" w:rsidRPr="004E2001">
        <w:t>i</w:t>
      </w:r>
      <w:r w:rsidR="00FE088E" w:rsidRPr="004E2001">
        <w:t xml:space="preserve">t was unclear whether baseline </w:t>
      </w:r>
      <w:r w:rsidR="00AE2B07" w:rsidRPr="004E2001">
        <w:t>HbA1c</w:t>
      </w:r>
      <w:r w:rsidR="00FE088E" w:rsidRPr="004E2001">
        <w:t xml:space="preserve"> levels and BMI from the SUSTAIN trials are representative of the requested PBS population. </w:t>
      </w:r>
    </w:p>
    <w:p w:rsidR="00BE043E" w:rsidRPr="004E2001" w:rsidRDefault="00BE043E" w:rsidP="0076592A">
      <w:pPr>
        <w:pStyle w:val="ListParagraph"/>
        <w:numPr>
          <w:ilvl w:val="1"/>
          <w:numId w:val="2"/>
        </w:numPr>
        <w:jc w:val="both"/>
      </w:pPr>
      <w:r w:rsidRPr="004E2001">
        <w:t>B</w:t>
      </w:r>
      <w:r w:rsidR="00FE088E" w:rsidRPr="004E2001">
        <w:t>aseline HbA1c levels in the key trials were relatively high</w:t>
      </w:r>
      <w:r w:rsidR="00B96704" w:rsidRPr="004E2001">
        <w:t xml:space="preserve"> (ranging from 8.2% to 8.36%)</w:t>
      </w:r>
      <w:r w:rsidR="00FE088E" w:rsidRPr="004E2001">
        <w:t xml:space="preserve"> compared with published treatment targets for glycaemic control (6.5% or 7.0%)</w:t>
      </w:r>
      <w:r w:rsidR="00516FFD" w:rsidRPr="004E2001">
        <w:t xml:space="preserve"> and</w:t>
      </w:r>
      <w:r w:rsidR="00FE088E" w:rsidRPr="004E2001">
        <w:t xml:space="preserve"> </w:t>
      </w:r>
      <w:r w:rsidR="00516FFD" w:rsidRPr="004E2001">
        <w:t xml:space="preserve">were higher than those in the Australian </w:t>
      </w:r>
      <w:r w:rsidR="00B96704" w:rsidRPr="004E2001">
        <w:t>community setting who would become suitable for GLP-1 therapies</w:t>
      </w:r>
      <w:r w:rsidR="00516FFD" w:rsidRPr="004E2001">
        <w:t xml:space="preserve">. </w:t>
      </w:r>
      <w:r w:rsidRPr="004E2001">
        <w:t xml:space="preserve">Post-hoc </w:t>
      </w:r>
      <w:r w:rsidR="00366978" w:rsidRPr="004E2001">
        <w:t xml:space="preserve">subgroup </w:t>
      </w:r>
      <w:r w:rsidRPr="004E2001">
        <w:t>analyses</w:t>
      </w:r>
      <w:r w:rsidR="00366978" w:rsidRPr="004E2001">
        <w:t xml:space="preserve"> by baseline HbA1c levels</w:t>
      </w:r>
      <w:r w:rsidRPr="004E2001">
        <w:t xml:space="preserve"> using data from the SUSTAIN 3 (Petri et al 2018) and</w:t>
      </w:r>
      <w:r w:rsidR="00473ACE" w:rsidRPr="004E2001">
        <w:t xml:space="preserve"> SUSTAIN</w:t>
      </w:r>
      <w:r w:rsidRPr="004E2001">
        <w:t xml:space="preserve"> 7 trials (abstract only, Pratley 2018) </w:t>
      </w:r>
      <w:r w:rsidR="00366978" w:rsidRPr="004E2001">
        <w:t>indicated</w:t>
      </w:r>
      <w:r w:rsidRPr="004E2001">
        <w:t xml:space="preserve"> </w:t>
      </w:r>
      <w:r w:rsidR="00366978" w:rsidRPr="004E2001">
        <w:t>that</w:t>
      </w:r>
      <w:r w:rsidRPr="004E2001">
        <w:t xml:space="preserve"> </w:t>
      </w:r>
      <w:r w:rsidR="001A382B" w:rsidRPr="004E2001">
        <w:t xml:space="preserve">the relative </w:t>
      </w:r>
      <w:r w:rsidRPr="004E2001">
        <w:t>change in HbA1c with semaglutide</w:t>
      </w:r>
      <w:r w:rsidR="00366978" w:rsidRPr="004E2001">
        <w:t xml:space="preserve"> remained statistically significantly greater than the comparator arms</w:t>
      </w:r>
      <w:r w:rsidRPr="004E2001">
        <w:t>, however, the absolute changes were smaller in patients with lower baseline HbA1c</w:t>
      </w:r>
      <w:r w:rsidR="00516FFD" w:rsidRPr="004E2001">
        <w:t xml:space="preserve">, and thus likely to be smaller in </w:t>
      </w:r>
      <w:r w:rsidR="002A5317" w:rsidRPr="004E2001">
        <w:t>Australian</w:t>
      </w:r>
      <w:r w:rsidR="00516FFD" w:rsidRPr="004E2001">
        <w:t xml:space="preserve"> clinical practice</w:t>
      </w:r>
      <w:r w:rsidRPr="004E2001">
        <w:t>.</w:t>
      </w:r>
    </w:p>
    <w:p w:rsidR="002D794F" w:rsidRPr="004E2001" w:rsidRDefault="00D566EE" w:rsidP="0076592A">
      <w:pPr>
        <w:pStyle w:val="ListParagraph"/>
        <w:numPr>
          <w:ilvl w:val="1"/>
          <w:numId w:val="2"/>
        </w:numPr>
        <w:jc w:val="both"/>
      </w:pPr>
      <w:r w:rsidRPr="004E2001">
        <w:lastRenderedPageBreak/>
        <w:t>T</w:t>
      </w:r>
      <w:r w:rsidR="002D794F" w:rsidRPr="004E2001">
        <w:t>he trial populations included a relatively high proportion of obese patients (60-70%) which may not be representative of clinical practice</w:t>
      </w:r>
      <w:r w:rsidRPr="004E2001">
        <w:t>.</w:t>
      </w:r>
      <w:r w:rsidR="002D794F" w:rsidRPr="004E2001">
        <w:t xml:space="preserve"> Australian studies suggest that the majority of patients are overweight rather than obese (Shamshirgaran 2018 and Fremantle Diabetes studies)</w:t>
      </w:r>
      <w:r w:rsidRPr="004E2001">
        <w:t xml:space="preserve">, </w:t>
      </w:r>
      <w:r w:rsidR="002D794F" w:rsidRPr="004E2001">
        <w:t>therefore</w:t>
      </w:r>
      <w:r w:rsidRPr="004E2001">
        <w:t>,</w:t>
      </w:r>
      <w:r w:rsidR="002D794F" w:rsidRPr="004E2001">
        <w:t xml:space="preserve"> </w:t>
      </w:r>
      <w:r w:rsidRPr="004E2001">
        <w:t xml:space="preserve">trial-based BMI may </w:t>
      </w:r>
      <w:r w:rsidR="002D794F" w:rsidRPr="004E2001">
        <w:t>overestimate the baseline BMI in the PBS population. A post-hoc subgroup analysis of weight loss by baseli</w:t>
      </w:r>
      <w:r w:rsidR="00366978" w:rsidRPr="004E2001">
        <w:t xml:space="preserve">ne BMI </w:t>
      </w:r>
      <w:r w:rsidR="002D794F" w:rsidRPr="004E2001">
        <w:t>suggests numerically lower changes in body weight with semaglutide in categories of normal or overweight compared with those who are obese or morbidly obese (Ahren et al 2018).</w:t>
      </w:r>
      <w:r w:rsidR="00593739" w:rsidRPr="004E2001">
        <w:t xml:space="preserve"> The ESC considered that the proportion of obese patients in the studies was greater than the Australian setting and that this may impact on the extent of weight loss that could be achieved. </w:t>
      </w:r>
    </w:p>
    <w:p w:rsidR="001F1E61" w:rsidRPr="004E2001" w:rsidRDefault="001F1E61" w:rsidP="0076592A">
      <w:pPr>
        <w:pStyle w:val="ListParagraph"/>
        <w:numPr>
          <w:ilvl w:val="1"/>
          <w:numId w:val="2"/>
        </w:numPr>
        <w:jc w:val="both"/>
      </w:pPr>
      <w:r w:rsidRPr="004E2001">
        <w:t xml:space="preserve">The submission noted that the SUSTAIN trials used fixed dose treatment regimens while the draft product information recommends flexible dose titration to achieve glycaemic control. The submission claimed that the majority of patients in clinical practice will titrate to the highest dose (1.0 mg) although it was acknowledged that long term treatment with lower dose semaglutide (0.5 mg) was also plausible. </w:t>
      </w:r>
      <w:r w:rsidR="00D26AD7" w:rsidRPr="004E2001">
        <w:t>The</w:t>
      </w:r>
      <w:r w:rsidR="00516FFD" w:rsidRPr="004E2001">
        <w:t xml:space="preserve"> ESC considered t</w:t>
      </w:r>
      <w:r w:rsidRPr="004E2001">
        <w:t>his claim was not reasonable, as the dose of semaglutide in practice will likely vary based on glyc</w:t>
      </w:r>
      <w:r w:rsidR="00473ACE" w:rsidRPr="004E2001">
        <w:t>a</w:t>
      </w:r>
      <w:r w:rsidRPr="004E2001">
        <w:t xml:space="preserve">emic targets and the tolerability of treatments in individual patients (e.g. the fixed dose 1.0 mg may overestimate both the mean reduction in HbA1c and the incidence of adverse events as </w:t>
      </w:r>
      <w:r w:rsidR="00D566EE" w:rsidRPr="004E2001">
        <w:t>not all patients would</w:t>
      </w:r>
      <w:r w:rsidRPr="004E2001">
        <w:t xml:space="preserve"> require </w:t>
      </w:r>
      <w:r w:rsidR="00D566EE" w:rsidRPr="004E2001">
        <w:t>up-titration</w:t>
      </w:r>
      <w:r w:rsidRPr="004E2001">
        <w:t>).</w:t>
      </w:r>
      <w:r w:rsidR="00516FFD" w:rsidRPr="004E2001">
        <w:t xml:space="preserve"> </w:t>
      </w:r>
    </w:p>
    <w:p w:rsidR="006E4204" w:rsidRPr="004E2001" w:rsidRDefault="006E4204" w:rsidP="0076592A">
      <w:pPr>
        <w:pStyle w:val="ListParagraph"/>
        <w:numPr>
          <w:ilvl w:val="1"/>
          <w:numId w:val="2"/>
        </w:numPr>
        <w:jc w:val="both"/>
      </w:pPr>
      <w:r w:rsidRPr="004E2001">
        <w:t>The submission noted that while both low dose and high dose semaglutide achieve statistically significant results in terms of HbA1c and weight loss, high dose semaglutide is associated with numerically greater changes in these measures. There was no formal comparison of efficacy and safety between the two doses. Although the magnitude of difference between the doses remains unclear, the absolute change in HbA1c and weight loss is likely to be lower with low dose semaglutide than with high dose semaglutide.</w:t>
      </w:r>
    </w:p>
    <w:p w:rsidR="00500F63" w:rsidRPr="004E2001" w:rsidRDefault="00500F63" w:rsidP="0076592A">
      <w:pPr>
        <w:pStyle w:val="ListParagraph"/>
        <w:numPr>
          <w:ilvl w:val="1"/>
          <w:numId w:val="2"/>
        </w:numPr>
        <w:jc w:val="both"/>
      </w:pPr>
      <w:r w:rsidRPr="004E2001">
        <w:t>There were sparse data for both low and high dose semaglutide when used as dual therapy with sulfonylurea due to limited numbers of patients on sulfonylurea monotherapy at baseline in the trials. There were no data for semaglutide treatment as add-on therapy to patients using either metformin or sulfonylurea monotherapy at baseline due to a contraindication or intolerance to either treatment, which is part of the eligibility criteria for semaglutide use as dual therapy under the proposed restriction.</w:t>
      </w:r>
      <w:r w:rsidR="00593739" w:rsidRPr="004E2001">
        <w:t xml:space="preserve"> The ESC </w:t>
      </w:r>
      <w:r w:rsidR="00516FFD" w:rsidRPr="004E2001">
        <w:t>agreed with</w:t>
      </w:r>
      <w:r w:rsidR="00593739" w:rsidRPr="004E2001">
        <w:t xml:space="preserve"> the assertion of the sponsor in the PSCR t</w:t>
      </w:r>
      <w:r w:rsidR="00EE2D6C" w:rsidRPr="004E2001">
        <w:t>hat is was unreasonable to demonstrate all comparisons due to the large number of possible combinations</w:t>
      </w:r>
      <w:r w:rsidR="00593739" w:rsidRPr="004E2001">
        <w:t>.</w:t>
      </w:r>
    </w:p>
    <w:p w:rsidR="00B60939" w:rsidRPr="004E2001" w:rsidRDefault="00B60939" w:rsidP="0076592A">
      <w:pPr>
        <w:pStyle w:val="Heading2"/>
      </w:pPr>
      <w:bookmarkStart w:id="9" w:name="_Toc19615255"/>
      <w:r w:rsidRPr="004E2001">
        <w:t>Comparative harms</w:t>
      </w:r>
      <w:bookmarkEnd w:id="9"/>
    </w:p>
    <w:p w:rsidR="00B60939" w:rsidRPr="004E2001" w:rsidRDefault="00B60939" w:rsidP="0076592A">
      <w:pPr>
        <w:ind w:left="720" w:hanging="720"/>
      </w:pPr>
    </w:p>
    <w:p w:rsidR="00B60939" w:rsidRPr="004E2001" w:rsidRDefault="00D65D3E" w:rsidP="0076592A">
      <w:pPr>
        <w:pStyle w:val="ListParagraph"/>
        <w:numPr>
          <w:ilvl w:val="1"/>
          <w:numId w:val="2"/>
        </w:numPr>
        <w:jc w:val="both"/>
      </w:pPr>
      <w:r w:rsidRPr="004E2001">
        <w:t xml:space="preserve">Safety data from the short-term key trials (SUSTAIN 3 and 7) are presented below based on the ‘on-treatment without rescue medication’ observation periods. The in-trial observation period including all trial-related events and assessments were used </w:t>
      </w:r>
      <w:r w:rsidRPr="004E2001">
        <w:lastRenderedPageBreak/>
        <w:t>for supportive analyses only. The trial reports noted no clinically relevant differences in safety observations between the two observation periods.</w:t>
      </w:r>
    </w:p>
    <w:p w:rsidR="00D65D3E" w:rsidRPr="004E2001" w:rsidRDefault="00D65D3E" w:rsidP="0076592A">
      <w:pPr>
        <w:pStyle w:val="ListParagraph"/>
        <w:numPr>
          <w:ilvl w:val="1"/>
          <w:numId w:val="2"/>
        </w:numPr>
        <w:jc w:val="both"/>
      </w:pPr>
      <w:r w:rsidRPr="004E2001">
        <w:t xml:space="preserve">The table below summarises the overall safety data from the SUSTAIN 3 trial of high dose semaglutide versus exenatide once weekly (56 weeks). </w:t>
      </w:r>
    </w:p>
    <w:p w:rsidR="00E257A4" w:rsidRPr="004E2001" w:rsidRDefault="00E257A4" w:rsidP="003F26F6">
      <w:pPr>
        <w:pStyle w:val="TableHeading0"/>
        <w:spacing w:after="0"/>
        <w:jc w:val="both"/>
      </w:pPr>
      <w:r w:rsidRPr="004E2001">
        <w:t xml:space="preserve">Table </w:t>
      </w:r>
      <w:r w:rsidR="00DD6AEE" w:rsidRPr="004E2001">
        <w:t>9</w:t>
      </w:r>
      <w:r w:rsidRPr="004E2001">
        <w:t xml:space="preserve">: Summary of key adverse events in the SUSTAIN 3 trial (on-treatment without rescue medication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9: Summary of key adverse events in the SUSTAIN 3 trial (on-treatment without rescue medication analysis) "/>
      </w:tblPr>
      <w:tblGrid>
        <w:gridCol w:w="3607"/>
        <w:gridCol w:w="1352"/>
        <w:gridCol w:w="1353"/>
        <w:gridCol w:w="1352"/>
        <w:gridCol w:w="1353"/>
      </w:tblGrid>
      <w:tr w:rsidR="00BE3662" w:rsidRPr="004E2001" w:rsidTr="0073419A">
        <w:trPr>
          <w:tblHeader/>
        </w:trPr>
        <w:tc>
          <w:tcPr>
            <w:tcW w:w="3607" w:type="dxa"/>
            <w:vMerge w:val="restart"/>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Adverse event</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Semaglutide 1.0 mg</w:t>
            </w:r>
          </w:p>
          <w:p w:rsidR="00BE3662" w:rsidRPr="004E2001" w:rsidRDefault="00BE3662" w:rsidP="003F26F6">
            <w:pPr>
              <w:pStyle w:val="TableText0"/>
              <w:keepNext w:val="0"/>
              <w:jc w:val="center"/>
              <w:rPr>
                <w:b/>
              </w:rPr>
            </w:pPr>
            <w:r w:rsidRPr="004E2001">
              <w:rPr>
                <w:b/>
              </w:rPr>
              <w:t>N=404</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Exenatide 2.0 mg</w:t>
            </w:r>
          </w:p>
          <w:p w:rsidR="00BE3662" w:rsidRPr="004E2001" w:rsidRDefault="00BE3662" w:rsidP="003F26F6">
            <w:pPr>
              <w:pStyle w:val="TableText0"/>
              <w:keepNext w:val="0"/>
              <w:jc w:val="center"/>
              <w:rPr>
                <w:b/>
              </w:rPr>
            </w:pPr>
            <w:r w:rsidRPr="004E2001">
              <w:rPr>
                <w:b/>
              </w:rPr>
              <w:t xml:space="preserve">N=405 </w:t>
            </w:r>
          </w:p>
        </w:tc>
      </w:tr>
      <w:tr w:rsidR="00BE3662" w:rsidRPr="004E2001" w:rsidTr="0073419A">
        <w:trPr>
          <w:tblHeader/>
        </w:trPr>
        <w:tc>
          <w:tcPr>
            <w:tcW w:w="3607" w:type="dxa"/>
            <w:vMerge/>
            <w:tcBorders>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p>
        </w:tc>
        <w:tc>
          <w:tcPr>
            <w:tcW w:w="1352"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Incidence, n (%)</w:t>
            </w:r>
          </w:p>
        </w:tc>
        <w:tc>
          <w:tcPr>
            <w:tcW w:w="1353"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Event rate per 100 patient-years</w:t>
            </w:r>
          </w:p>
        </w:tc>
        <w:tc>
          <w:tcPr>
            <w:tcW w:w="1352"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Incidence, n (%)</w:t>
            </w:r>
          </w:p>
        </w:tc>
        <w:tc>
          <w:tcPr>
            <w:tcW w:w="1353"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rPr>
                <w:b/>
              </w:rPr>
            </w:pPr>
            <w:r w:rsidRPr="004E2001">
              <w:rPr>
                <w:b/>
              </w:rPr>
              <w:t>Event rate per 100 patient-years</w:t>
            </w:r>
          </w:p>
        </w:tc>
      </w:tr>
      <w:tr w:rsidR="00BE3662" w:rsidRPr="004E2001" w:rsidTr="0073419A">
        <w:trPr>
          <w:trHeight w:val="70"/>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Any adverse event</w:t>
            </w:r>
          </w:p>
        </w:tc>
        <w:tc>
          <w:tcPr>
            <w:tcW w:w="1352"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rPr>
                <w:highlight w:val="yellow"/>
              </w:rPr>
            </w:pPr>
            <w:r w:rsidRPr="004E2001">
              <w:t>303 (75.0)</w:t>
            </w:r>
          </w:p>
        </w:tc>
        <w:tc>
          <w:tcPr>
            <w:tcW w:w="1353"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jc w:val="center"/>
            </w:pPr>
            <w:r w:rsidRPr="004E2001">
              <w:t>374.7</w:t>
            </w:r>
          </w:p>
        </w:tc>
        <w:tc>
          <w:tcPr>
            <w:tcW w:w="1352"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pPr>
            <w:r w:rsidRPr="004E2001">
              <w:t>309 (76.3)</w:t>
            </w:r>
          </w:p>
        </w:tc>
        <w:tc>
          <w:tcPr>
            <w:tcW w:w="1353"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jc w:val="center"/>
            </w:pPr>
            <w:r w:rsidRPr="004E2001">
              <w:t>370.4</w:t>
            </w:r>
          </w:p>
        </w:tc>
      </w:tr>
      <w:tr w:rsidR="00BE3662" w:rsidRPr="004E2001" w:rsidTr="0073419A">
        <w:trPr>
          <w:trHeight w:val="70"/>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Serious adverse event</w:t>
            </w:r>
          </w:p>
        </w:tc>
        <w:tc>
          <w:tcPr>
            <w:tcW w:w="1352"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38 (9.4)</w:t>
            </w:r>
          </w:p>
        </w:tc>
        <w:tc>
          <w:tcPr>
            <w:tcW w:w="1353"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12.6</w:t>
            </w:r>
          </w:p>
        </w:tc>
        <w:tc>
          <w:tcPr>
            <w:tcW w:w="1352"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24 (5.9)</w:t>
            </w:r>
          </w:p>
        </w:tc>
        <w:tc>
          <w:tcPr>
            <w:tcW w:w="1353"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6.6</w:t>
            </w:r>
          </w:p>
        </w:tc>
      </w:tr>
      <w:tr w:rsidR="00BE3662" w:rsidRPr="004E2001" w:rsidTr="0073419A">
        <w:trPr>
          <w:trHeight w:val="70"/>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Discontinuation due to adverse event</w:t>
            </w:r>
          </w:p>
        </w:tc>
        <w:tc>
          <w:tcPr>
            <w:tcW w:w="1352"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38 (9.4)</w:t>
            </w:r>
          </w:p>
        </w:tc>
        <w:tc>
          <w:tcPr>
            <w:tcW w:w="1353"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11.6</w:t>
            </w:r>
          </w:p>
        </w:tc>
        <w:tc>
          <w:tcPr>
            <w:tcW w:w="1352"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29 (7.2)</w:t>
            </w:r>
          </w:p>
        </w:tc>
        <w:tc>
          <w:tcPr>
            <w:tcW w:w="1353" w:type="dxa"/>
            <w:tcBorders>
              <w:left w:val="single" w:sz="4" w:space="0" w:color="auto"/>
              <w:right w:val="single" w:sz="4" w:space="0" w:color="auto"/>
            </w:tcBorders>
            <w:vAlign w:val="center"/>
          </w:tcPr>
          <w:p w:rsidR="00BE3662" w:rsidRPr="004E2001" w:rsidRDefault="00BE3662" w:rsidP="003F26F6">
            <w:pPr>
              <w:pStyle w:val="TableText0"/>
              <w:jc w:val="center"/>
            </w:pPr>
            <w:r w:rsidRPr="004E2001">
              <w:t>11.5</w:t>
            </w:r>
          </w:p>
        </w:tc>
      </w:tr>
      <w:tr w:rsidR="00BE3662" w:rsidRPr="004E2001" w:rsidTr="0073419A">
        <w:trPr>
          <w:trHeight w:val="70"/>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Deaths</w:t>
            </w:r>
          </w:p>
        </w:tc>
        <w:tc>
          <w:tcPr>
            <w:tcW w:w="1352" w:type="dxa"/>
            <w:tcBorders>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pPr>
            <w:r w:rsidRPr="004E2001">
              <w:t>2 (0.5)</w:t>
            </w:r>
          </w:p>
        </w:tc>
        <w:tc>
          <w:tcPr>
            <w:tcW w:w="1353" w:type="dxa"/>
            <w:tcBorders>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pPr>
            <w:r w:rsidRPr="004E2001">
              <w:t>0.5</w:t>
            </w:r>
          </w:p>
        </w:tc>
        <w:tc>
          <w:tcPr>
            <w:tcW w:w="1352" w:type="dxa"/>
            <w:tcBorders>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pPr>
            <w:r w:rsidRPr="004E2001">
              <w:t>0 (0)</w:t>
            </w:r>
          </w:p>
        </w:tc>
        <w:tc>
          <w:tcPr>
            <w:tcW w:w="1353" w:type="dxa"/>
            <w:tcBorders>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jc w:val="center"/>
            </w:pPr>
            <w:r w:rsidRPr="004E2001">
              <w:t>0</w:t>
            </w:r>
          </w:p>
        </w:tc>
      </w:tr>
      <w:tr w:rsidR="00BE3662" w:rsidRPr="004E2001" w:rsidTr="0073419A">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rPr>
                <w:b/>
              </w:rPr>
            </w:pPr>
            <w:r w:rsidRPr="004E2001">
              <w:rPr>
                <w:b/>
              </w:rPr>
              <w:t>Adverse events of special interest</w:t>
            </w:r>
          </w:p>
        </w:tc>
      </w:tr>
      <w:tr w:rsidR="00BE3662" w:rsidRPr="004E2001" w:rsidTr="0073419A">
        <w:trPr>
          <w:trHeight w:val="240"/>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 xml:space="preserve">Gastrointestinal adverse event </w:t>
            </w:r>
          </w:p>
        </w:tc>
        <w:tc>
          <w:tcPr>
            <w:tcW w:w="1352"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pPr>
            <w:r w:rsidRPr="004E2001">
              <w:t>169 (41.8)</w:t>
            </w:r>
          </w:p>
        </w:tc>
        <w:tc>
          <w:tcPr>
            <w:tcW w:w="1353"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pPr>
            <w:r w:rsidRPr="004E2001">
              <w:t>133.1</w:t>
            </w:r>
          </w:p>
        </w:tc>
        <w:tc>
          <w:tcPr>
            <w:tcW w:w="1352"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pPr>
            <w:r w:rsidRPr="004E2001">
              <w:t>135 (33.3)</w:t>
            </w:r>
          </w:p>
        </w:tc>
        <w:tc>
          <w:tcPr>
            <w:tcW w:w="1353" w:type="dxa"/>
            <w:tcBorders>
              <w:top w:val="single" w:sz="4" w:space="0" w:color="auto"/>
              <w:left w:val="single" w:sz="4" w:space="0" w:color="auto"/>
              <w:right w:val="single" w:sz="4" w:space="0" w:color="auto"/>
            </w:tcBorders>
            <w:vAlign w:val="center"/>
          </w:tcPr>
          <w:p w:rsidR="00BE3662" w:rsidRPr="004E2001" w:rsidRDefault="00BE3662" w:rsidP="003F26F6">
            <w:pPr>
              <w:pStyle w:val="TableText0"/>
              <w:keepNext w:val="0"/>
              <w:jc w:val="center"/>
            </w:pPr>
            <w:r w:rsidRPr="004E2001">
              <w:t>83.6</w:t>
            </w:r>
          </w:p>
        </w:tc>
      </w:tr>
      <w:tr w:rsidR="00BE3662" w:rsidRPr="004E2001" w:rsidTr="0073419A">
        <w:trPr>
          <w:trHeight w:val="237"/>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Injection-site nodules</w:t>
            </w:r>
          </w:p>
        </w:tc>
        <w:tc>
          <w:tcPr>
            <w:tcW w:w="1352"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0 (0)</w:t>
            </w:r>
          </w:p>
        </w:tc>
        <w:tc>
          <w:tcPr>
            <w:tcW w:w="1353"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0</w:t>
            </w:r>
          </w:p>
        </w:tc>
        <w:tc>
          <w:tcPr>
            <w:tcW w:w="1352"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49 (12.1)</w:t>
            </w:r>
          </w:p>
        </w:tc>
        <w:tc>
          <w:tcPr>
            <w:tcW w:w="1353"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13.5</w:t>
            </w:r>
          </w:p>
        </w:tc>
      </w:tr>
      <w:tr w:rsidR="00BE3662" w:rsidRPr="004E2001" w:rsidTr="0073419A">
        <w:trPr>
          <w:trHeight w:val="237"/>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Hepatobiliary disorders</w:t>
            </w:r>
          </w:p>
        </w:tc>
        <w:tc>
          <w:tcPr>
            <w:tcW w:w="1352"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8 (2.0)</w:t>
            </w:r>
          </w:p>
        </w:tc>
        <w:tc>
          <w:tcPr>
            <w:tcW w:w="1353"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1.9</w:t>
            </w:r>
          </w:p>
        </w:tc>
        <w:tc>
          <w:tcPr>
            <w:tcW w:w="1352"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3 (0.7)</w:t>
            </w:r>
          </w:p>
        </w:tc>
        <w:tc>
          <w:tcPr>
            <w:tcW w:w="1353"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0.7</w:t>
            </w:r>
          </w:p>
        </w:tc>
      </w:tr>
      <w:tr w:rsidR="00BE3662" w:rsidRPr="004E2001" w:rsidTr="0073419A">
        <w:trPr>
          <w:trHeight w:val="237"/>
        </w:trPr>
        <w:tc>
          <w:tcPr>
            <w:tcW w:w="3607" w:type="dxa"/>
            <w:tcBorders>
              <w:top w:val="single" w:sz="4" w:space="0" w:color="auto"/>
              <w:left w:val="single" w:sz="4" w:space="0" w:color="auto"/>
              <w:bottom w:val="single" w:sz="4" w:space="0" w:color="auto"/>
              <w:right w:val="single" w:sz="4" w:space="0" w:color="auto"/>
            </w:tcBorders>
            <w:vAlign w:val="center"/>
          </w:tcPr>
          <w:p w:rsidR="00BE3662" w:rsidRPr="004E2001" w:rsidRDefault="00BE3662" w:rsidP="003F26F6">
            <w:pPr>
              <w:pStyle w:val="TableText0"/>
              <w:keepNext w:val="0"/>
            </w:pPr>
            <w:r w:rsidRPr="004E2001">
              <w:t>Severe hypoglycaemia or blood glucose-confirmed symptomatic</w:t>
            </w:r>
          </w:p>
        </w:tc>
        <w:tc>
          <w:tcPr>
            <w:tcW w:w="1352"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29 (7.2)</w:t>
            </w:r>
          </w:p>
        </w:tc>
        <w:tc>
          <w:tcPr>
            <w:tcW w:w="1353"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9.9</w:t>
            </w:r>
          </w:p>
        </w:tc>
        <w:tc>
          <w:tcPr>
            <w:tcW w:w="1352"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28 (6.9)</w:t>
            </w:r>
          </w:p>
        </w:tc>
        <w:tc>
          <w:tcPr>
            <w:tcW w:w="1353" w:type="dxa"/>
            <w:tcBorders>
              <w:left w:val="single" w:sz="4" w:space="0" w:color="auto"/>
              <w:right w:val="single" w:sz="4" w:space="0" w:color="auto"/>
            </w:tcBorders>
            <w:vAlign w:val="center"/>
          </w:tcPr>
          <w:p w:rsidR="00BE3662" w:rsidRPr="004E2001" w:rsidRDefault="00BE3662" w:rsidP="003F26F6">
            <w:pPr>
              <w:pStyle w:val="TableText0"/>
              <w:keepNext w:val="0"/>
              <w:jc w:val="center"/>
            </w:pPr>
            <w:r w:rsidRPr="004E2001">
              <w:t>11.3</w:t>
            </w:r>
          </w:p>
        </w:tc>
      </w:tr>
    </w:tbl>
    <w:p w:rsidR="00BE3662" w:rsidRPr="004E2001" w:rsidRDefault="00BE3662" w:rsidP="003F26F6">
      <w:pPr>
        <w:pStyle w:val="TableFooter"/>
      </w:pPr>
      <w:r w:rsidRPr="004E2001">
        <w:t>Source: Table 14.3.1.1, p 1060; Table 14.3.1.51, p 1249; Table 12-13, p 223; Table 12-9, p 216 of the SUSTAIN 3 trial report</w:t>
      </w:r>
    </w:p>
    <w:p w:rsidR="00BE3662" w:rsidRPr="004E2001" w:rsidRDefault="00BE3662" w:rsidP="003F26F6">
      <w:pPr>
        <w:pStyle w:val="TableFooter"/>
      </w:pPr>
      <w:r w:rsidRPr="004E2001">
        <w:t>Note: Diabetic retinopathy was not reported as an adverse event of special interest in the trial</w:t>
      </w:r>
    </w:p>
    <w:p w:rsidR="00BE3662" w:rsidRPr="004E2001" w:rsidRDefault="00BE3662" w:rsidP="003F26F6">
      <w:pPr>
        <w:pStyle w:val="BodyText"/>
      </w:pPr>
    </w:p>
    <w:p w:rsidR="00E257A4" w:rsidRPr="004E2001" w:rsidRDefault="003D20E8" w:rsidP="0076592A">
      <w:pPr>
        <w:pStyle w:val="ListParagraph"/>
        <w:numPr>
          <w:ilvl w:val="1"/>
          <w:numId w:val="2"/>
        </w:numPr>
        <w:jc w:val="both"/>
      </w:pPr>
      <w:r w:rsidRPr="004E2001">
        <w:t xml:space="preserve">The overall incidence of any adverse event was similar between treatment arms. There </w:t>
      </w:r>
      <w:r w:rsidR="00297009" w:rsidRPr="004E2001">
        <w:t xml:space="preserve">was a </w:t>
      </w:r>
      <w:r w:rsidRPr="004E2001">
        <w:t xml:space="preserve">higher rate of serious adverse events </w:t>
      </w:r>
      <w:r w:rsidR="000A7FC2" w:rsidRPr="004E2001">
        <w:t>with</w:t>
      </w:r>
      <w:r w:rsidRPr="004E2001">
        <w:t xml:space="preserve"> semaglutide arm </w:t>
      </w:r>
      <w:r w:rsidR="000A7FC2" w:rsidRPr="004E2001">
        <w:t xml:space="preserve">compared with exenatide </w:t>
      </w:r>
      <w:r w:rsidRPr="004E2001">
        <w:t>primarily due to differences in gastrointestinal disorders and neoplasms.</w:t>
      </w:r>
      <w:r w:rsidR="00FA6F37" w:rsidRPr="004E2001">
        <w:t xml:space="preserve"> More patients treated with semaglutide discontinued treatment prematurely compared to exenatide, primarily due to gastrointestinal disorders.</w:t>
      </w:r>
      <w:r w:rsidRPr="004E2001">
        <w:t xml:space="preserve"> Two deaths </w:t>
      </w:r>
      <w:r w:rsidR="000A7FC2" w:rsidRPr="004E2001">
        <w:t>occurred in the semaglutide arm</w:t>
      </w:r>
      <w:r w:rsidRPr="004E2001">
        <w:t xml:space="preserve"> that were unrelated to treatment.</w:t>
      </w:r>
    </w:p>
    <w:p w:rsidR="003D20E8" w:rsidRPr="004E2001" w:rsidRDefault="000A7FC2" w:rsidP="0076592A">
      <w:pPr>
        <w:pStyle w:val="ListParagraph"/>
        <w:numPr>
          <w:ilvl w:val="1"/>
          <w:numId w:val="2"/>
        </w:numPr>
        <w:jc w:val="both"/>
      </w:pPr>
      <w:r w:rsidRPr="004E2001">
        <w:t xml:space="preserve">The most frequently reported class of adverse events was gastrointestinal disorders </w:t>
      </w:r>
      <w:r w:rsidR="00D543D4" w:rsidRPr="004E2001">
        <w:t xml:space="preserve">(nausea, diarrhoea, vomiting) </w:t>
      </w:r>
      <w:r w:rsidRPr="004E2001">
        <w:t>followed by nasopharyngitis and headache. Semaglutide was associated with a</w:t>
      </w:r>
      <w:r w:rsidR="003D20E8" w:rsidRPr="004E2001">
        <w:t xml:space="preserve"> higher rate of gastrointestinal adverse events </w:t>
      </w:r>
      <w:r w:rsidRPr="004E2001">
        <w:t xml:space="preserve">(majority </w:t>
      </w:r>
      <w:r w:rsidR="00077E39" w:rsidRPr="004E2001">
        <w:t xml:space="preserve">were </w:t>
      </w:r>
      <w:r w:rsidRPr="004E2001">
        <w:t>of mild to moderate severity) whereas</w:t>
      </w:r>
      <w:r w:rsidR="003D20E8" w:rsidRPr="004E2001">
        <w:t xml:space="preserve"> exenatide</w:t>
      </w:r>
      <w:r w:rsidRPr="004E2001">
        <w:t xml:space="preserve"> was more commonly associated with injection-site nodules</w:t>
      </w:r>
      <w:r w:rsidR="000B70C6" w:rsidRPr="004E2001">
        <w:t xml:space="preserve">. </w:t>
      </w:r>
      <w:r w:rsidR="00FA6F37" w:rsidRPr="004E2001">
        <w:t xml:space="preserve">The rate of severe hypoglycaemia events with exenatide was higher than with semaglutide, however, this may be an effect of the imbalance in dual/triple therapy use between arms (more patients on triple therapy in the exenatide arm). </w:t>
      </w:r>
    </w:p>
    <w:p w:rsidR="003D20E8" w:rsidRPr="004E2001" w:rsidRDefault="003D20E8" w:rsidP="0076592A">
      <w:pPr>
        <w:pStyle w:val="ListParagraph"/>
        <w:numPr>
          <w:ilvl w:val="1"/>
          <w:numId w:val="2"/>
        </w:numPr>
        <w:jc w:val="both"/>
      </w:pPr>
      <w:r w:rsidRPr="004E2001">
        <w:t>Overall safety data from the low and high dose arms for semaglutide and dulaglutide from t</w:t>
      </w:r>
      <w:r w:rsidR="0067006C" w:rsidRPr="004E2001">
        <w:t>he SUSTAIN 7 trial (40 weeks) are</w:t>
      </w:r>
      <w:r w:rsidRPr="004E2001">
        <w:t xml:space="preserve"> summarised in the table below.</w:t>
      </w:r>
    </w:p>
    <w:p w:rsidR="00E257A4" w:rsidRPr="004E2001" w:rsidRDefault="00E257A4" w:rsidP="003F26F6">
      <w:pPr>
        <w:pStyle w:val="TableHeading0"/>
        <w:spacing w:after="0"/>
        <w:jc w:val="both"/>
      </w:pPr>
      <w:r w:rsidRPr="004E2001">
        <w:lastRenderedPageBreak/>
        <w:t xml:space="preserve">Table </w:t>
      </w:r>
      <w:r w:rsidR="00DD6AEE" w:rsidRPr="004E2001">
        <w:t>10</w:t>
      </w:r>
      <w:r w:rsidRPr="004E2001">
        <w:t xml:space="preserve">: Summary of key adverse events in the SUSTAIN 7 trial (on-treatment without rescue medication analysis) </w:t>
      </w:r>
    </w:p>
    <w:tbl>
      <w:tblPr>
        <w:tblStyle w:val="TableGrid"/>
        <w:tblW w:w="5000" w:type="pct"/>
        <w:tblLook w:val="04A0" w:firstRow="1" w:lastRow="0" w:firstColumn="1" w:lastColumn="0" w:noHBand="0" w:noVBand="1"/>
        <w:tblCaption w:val="Table 10: Summary of key adverse events in the SUSTAIN 7 trial (on-treatment without rescue medication analysis) "/>
      </w:tblPr>
      <w:tblGrid>
        <w:gridCol w:w="1945"/>
        <w:gridCol w:w="881"/>
        <w:gridCol w:w="887"/>
        <w:gridCol w:w="881"/>
        <w:gridCol w:w="887"/>
        <w:gridCol w:w="881"/>
        <w:gridCol w:w="887"/>
        <w:gridCol w:w="881"/>
        <w:gridCol w:w="887"/>
      </w:tblGrid>
      <w:tr w:rsidR="00BE3662" w:rsidRPr="004E2001" w:rsidTr="00F91046">
        <w:trPr>
          <w:tblHeader/>
        </w:trPr>
        <w:tc>
          <w:tcPr>
            <w:tcW w:w="1956" w:type="dxa"/>
            <w:vMerge w:val="restart"/>
            <w:vAlign w:val="center"/>
          </w:tcPr>
          <w:p w:rsidR="00BE3662" w:rsidRPr="004E2001" w:rsidRDefault="00BE3662" w:rsidP="003F26F6">
            <w:pPr>
              <w:pStyle w:val="TableHeading0"/>
              <w:spacing w:after="0"/>
              <w:jc w:val="both"/>
            </w:pPr>
            <w:r w:rsidRPr="004E2001">
              <w:t>Adverse event</w:t>
            </w:r>
          </w:p>
        </w:tc>
        <w:tc>
          <w:tcPr>
            <w:tcW w:w="1776" w:type="dxa"/>
            <w:gridSpan w:val="2"/>
            <w:vAlign w:val="center"/>
          </w:tcPr>
          <w:p w:rsidR="00BE3662" w:rsidRPr="004E2001" w:rsidRDefault="00BE3662" w:rsidP="003F26F6">
            <w:pPr>
              <w:pStyle w:val="TableHeading0"/>
              <w:spacing w:after="0"/>
              <w:jc w:val="center"/>
            </w:pPr>
            <w:r w:rsidRPr="004E2001">
              <w:t>Semaglutide 0.5 mg</w:t>
            </w:r>
          </w:p>
          <w:p w:rsidR="00BE3662" w:rsidRPr="004E2001" w:rsidRDefault="00BE3662" w:rsidP="003F26F6">
            <w:pPr>
              <w:pStyle w:val="TableHeading0"/>
              <w:spacing w:after="0"/>
              <w:jc w:val="center"/>
            </w:pPr>
            <w:r w:rsidRPr="004E2001">
              <w:t>N=301</w:t>
            </w:r>
          </w:p>
        </w:tc>
        <w:tc>
          <w:tcPr>
            <w:tcW w:w="1776" w:type="dxa"/>
            <w:gridSpan w:val="2"/>
            <w:vAlign w:val="center"/>
          </w:tcPr>
          <w:p w:rsidR="00BE3662" w:rsidRPr="004E2001" w:rsidRDefault="00BE3662" w:rsidP="003F26F6">
            <w:pPr>
              <w:pStyle w:val="TableHeading0"/>
              <w:spacing w:after="0"/>
              <w:jc w:val="center"/>
            </w:pPr>
            <w:r w:rsidRPr="004E2001">
              <w:t>Dulaglutide 0.75 mg</w:t>
            </w:r>
          </w:p>
          <w:p w:rsidR="00BE3662" w:rsidRPr="004E2001" w:rsidRDefault="00BE3662" w:rsidP="003F26F6">
            <w:pPr>
              <w:pStyle w:val="TableHeading0"/>
              <w:spacing w:after="0"/>
              <w:jc w:val="center"/>
            </w:pPr>
            <w:r w:rsidRPr="004E2001">
              <w:t>N=299</w:t>
            </w:r>
          </w:p>
        </w:tc>
        <w:tc>
          <w:tcPr>
            <w:tcW w:w="1776" w:type="dxa"/>
            <w:gridSpan w:val="2"/>
            <w:vAlign w:val="center"/>
          </w:tcPr>
          <w:p w:rsidR="00BE3662" w:rsidRPr="004E2001" w:rsidRDefault="00BE3662" w:rsidP="003F26F6">
            <w:pPr>
              <w:pStyle w:val="TableHeading0"/>
              <w:spacing w:after="0"/>
              <w:jc w:val="center"/>
            </w:pPr>
            <w:r w:rsidRPr="004E2001">
              <w:t>Semaglutide 1.0 mg</w:t>
            </w:r>
          </w:p>
          <w:p w:rsidR="00BE3662" w:rsidRPr="004E2001" w:rsidRDefault="00BE3662" w:rsidP="003F26F6">
            <w:pPr>
              <w:pStyle w:val="TableHeading0"/>
              <w:spacing w:after="0"/>
              <w:jc w:val="center"/>
            </w:pPr>
            <w:r w:rsidRPr="004E2001">
              <w:t>N=300</w:t>
            </w:r>
          </w:p>
        </w:tc>
        <w:tc>
          <w:tcPr>
            <w:tcW w:w="1776" w:type="dxa"/>
            <w:gridSpan w:val="2"/>
            <w:vAlign w:val="center"/>
          </w:tcPr>
          <w:p w:rsidR="00BE3662" w:rsidRPr="004E2001" w:rsidRDefault="00BE3662" w:rsidP="003F26F6">
            <w:pPr>
              <w:pStyle w:val="TableHeading0"/>
              <w:spacing w:after="0"/>
              <w:jc w:val="center"/>
            </w:pPr>
            <w:r w:rsidRPr="004E2001">
              <w:t>Dulaglutide 1.5 mg</w:t>
            </w:r>
          </w:p>
          <w:p w:rsidR="00BE3662" w:rsidRPr="004E2001" w:rsidRDefault="00BE3662" w:rsidP="003F26F6">
            <w:pPr>
              <w:pStyle w:val="TableHeading0"/>
              <w:spacing w:after="0"/>
              <w:jc w:val="center"/>
            </w:pPr>
            <w:r w:rsidRPr="004E2001">
              <w:t>N=299</w:t>
            </w:r>
          </w:p>
        </w:tc>
      </w:tr>
      <w:tr w:rsidR="00BE3662" w:rsidRPr="004E2001" w:rsidTr="00F91046">
        <w:trPr>
          <w:tblHeader/>
        </w:trPr>
        <w:tc>
          <w:tcPr>
            <w:tcW w:w="1956" w:type="dxa"/>
            <w:vMerge/>
            <w:vAlign w:val="center"/>
          </w:tcPr>
          <w:p w:rsidR="00BE3662" w:rsidRPr="004E2001" w:rsidRDefault="00BE3662" w:rsidP="003F26F6">
            <w:pPr>
              <w:pStyle w:val="TableHeading0"/>
              <w:spacing w:after="0"/>
              <w:jc w:val="both"/>
            </w:pPr>
          </w:p>
        </w:tc>
        <w:tc>
          <w:tcPr>
            <w:tcW w:w="888" w:type="dxa"/>
            <w:vAlign w:val="center"/>
          </w:tcPr>
          <w:p w:rsidR="00BE3662" w:rsidRPr="004E2001" w:rsidRDefault="00BE3662" w:rsidP="003F26F6">
            <w:pPr>
              <w:pStyle w:val="TableHeading0"/>
              <w:spacing w:after="0"/>
              <w:jc w:val="center"/>
            </w:pPr>
            <w:r w:rsidRPr="004E2001">
              <w:t>n (%)</w:t>
            </w:r>
          </w:p>
        </w:tc>
        <w:tc>
          <w:tcPr>
            <w:tcW w:w="888" w:type="dxa"/>
            <w:vAlign w:val="center"/>
          </w:tcPr>
          <w:p w:rsidR="00BE3662" w:rsidRPr="004E2001" w:rsidRDefault="00BE3662" w:rsidP="003F26F6">
            <w:pPr>
              <w:pStyle w:val="TableHeading0"/>
              <w:spacing w:after="0"/>
              <w:jc w:val="center"/>
            </w:pPr>
            <w:r w:rsidRPr="004E2001">
              <w:t>Rate / 100 patient-years</w:t>
            </w:r>
          </w:p>
        </w:tc>
        <w:tc>
          <w:tcPr>
            <w:tcW w:w="888" w:type="dxa"/>
            <w:vAlign w:val="center"/>
          </w:tcPr>
          <w:p w:rsidR="00BE3662" w:rsidRPr="004E2001" w:rsidRDefault="00BE3662" w:rsidP="003F26F6">
            <w:pPr>
              <w:pStyle w:val="TableHeading0"/>
              <w:spacing w:after="0"/>
              <w:jc w:val="center"/>
            </w:pPr>
            <w:r w:rsidRPr="004E2001">
              <w:t>n (%)</w:t>
            </w:r>
          </w:p>
        </w:tc>
        <w:tc>
          <w:tcPr>
            <w:tcW w:w="888" w:type="dxa"/>
            <w:vAlign w:val="center"/>
          </w:tcPr>
          <w:p w:rsidR="00BE3662" w:rsidRPr="004E2001" w:rsidRDefault="00BE3662" w:rsidP="003F26F6">
            <w:pPr>
              <w:pStyle w:val="TableHeading0"/>
              <w:spacing w:after="0"/>
              <w:jc w:val="center"/>
            </w:pPr>
            <w:r w:rsidRPr="004E2001">
              <w:t>Rate / 100 patient-years</w:t>
            </w:r>
          </w:p>
        </w:tc>
        <w:tc>
          <w:tcPr>
            <w:tcW w:w="888" w:type="dxa"/>
            <w:vAlign w:val="center"/>
          </w:tcPr>
          <w:p w:rsidR="00BE3662" w:rsidRPr="004E2001" w:rsidRDefault="00BE3662" w:rsidP="003F26F6">
            <w:pPr>
              <w:pStyle w:val="TableHeading0"/>
              <w:spacing w:after="0"/>
              <w:jc w:val="center"/>
            </w:pPr>
            <w:r w:rsidRPr="004E2001">
              <w:t>n (%)</w:t>
            </w:r>
          </w:p>
        </w:tc>
        <w:tc>
          <w:tcPr>
            <w:tcW w:w="888" w:type="dxa"/>
            <w:vAlign w:val="center"/>
          </w:tcPr>
          <w:p w:rsidR="00BE3662" w:rsidRPr="004E2001" w:rsidRDefault="00BE3662" w:rsidP="003F26F6">
            <w:pPr>
              <w:pStyle w:val="TableHeading0"/>
              <w:spacing w:after="0"/>
              <w:jc w:val="center"/>
            </w:pPr>
            <w:r w:rsidRPr="004E2001">
              <w:t>Rate / 100 patient-years</w:t>
            </w:r>
          </w:p>
        </w:tc>
        <w:tc>
          <w:tcPr>
            <w:tcW w:w="888" w:type="dxa"/>
            <w:vAlign w:val="center"/>
          </w:tcPr>
          <w:p w:rsidR="00BE3662" w:rsidRPr="004E2001" w:rsidRDefault="00BE3662" w:rsidP="003F26F6">
            <w:pPr>
              <w:pStyle w:val="TableHeading0"/>
              <w:spacing w:after="0"/>
              <w:jc w:val="center"/>
            </w:pPr>
            <w:r w:rsidRPr="004E2001">
              <w:t>n (%)</w:t>
            </w:r>
          </w:p>
        </w:tc>
        <w:tc>
          <w:tcPr>
            <w:tcW w:w="888" w:type="dxa"/>
            <w:vAlign w:val="center"/>
          </w:tcPr>
          <w:p w:rsidR="00BE3662" w:rsidRPr="004E2001" w:rsidRDefault="00BE3662" w:rsidP="003F26F6">
            <w:pPr>
              <w:pStyle w:val="TableHeading0"/>
              <w:spacing w:after="0"/>
              <w:jc w:val="center"/>
            </w:pPr>
            <w:r w:rsidRPr="004E2001">
              <w:t>Rate / 100 patient-years</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Any adverse event</w:t>
            </w:r>
          </w:p>
        </w:tc>
        <w:tc>
          <w:tcPr>
            <w:tcW w:w="888" w:type="dxa"/>
            <w:vAlign w:val="center"/>
          </w:tcPr>
          <w:p w:rsidR="00BE3662" w:rsidRPr="004E2001" w:rsidRDefault="00BE3662" w:rsidP="003F26F6">
            <w:pPr>
              <w:pStyle w:val="TableHeading0"/>
              <w:spacing w:after="0"/>
              <w:jc w:val="center"/>
              <w:rPr>
                <w:b w:val="0"/>
              </w:rPr>
            </w:pPr>
            <w:r w:rsidRPr="004E2001">
              <w:rPr>
                <w:b w:val="0"/>
              </w:rPr>
              <w:t>204 (68)</w:t>
            </w:r>
          </w:p>
        </w:tc>
        <w:tc>
          <w:tcPr>
            <w:tcW w:w="888" w:type="dxa"/>
            <w:vAlign w:val="center"/>
          </w:tcPr>
          <w:p w:rsidR="00BE3662" w:rsidRPr="004E2001" w:rsidRDefault="00BE3662" w:rsidP="003F26F6">
            <w:pPr>
              <w:pStyle w:val="TableHeading0"/>
              <w:spacing w:after="0"/>
              <w:jc w:val="center"/>
              <w:rPr>
                <w:b w:val="0"/>
              </w:rPr>
            </w:pPr>
            <w:r w:rsidRPr="004E2001">
              <w:rPr>
                <w:b w:val="0"/>
              </w:rPr>
              <w:t>412.7</w:t>
            </w:r>
          </w:p>
        </w:tc>
        <w:tc>
          <w:tcPr>
            <w:tcW w:w="888" w:type="dxa"/>
            <w:vAlign w:val="center"/>
          </w:tcPr>
          <w:p w:rsidR="00BE3662" w:rsidRPr="004E2001" w:rsidRDefault="00BE3662" w:rsidP="003F26F6">
            <w:pPr>
              <w:pStyle w:val="TableHeading0"/>
              <w:spacing w:after="0"/>
              <w:jc w:val="center"/>
              <w:rPr>
                <w:b w:val="0"/>
              </w:rPr>
            </w:pPr>
            <w:r w:rsidRPr="004E2001">
              <w:rPr>
                <w:b w:val="0"/>
              </w:rPr>
              <w:t>186 (62)</w:t>
            </w:r>
          </w:p>
        </w:tc>
        <w:tc>
          <w:tcPr>
            <w:tcW w:w="888" w:type="dxa"/>
            <w:vAlign w:val="center"/>
          </w:tcPr>
          <w:p w:rsidR="00BE3662" w:rsidRPr="004E2001" w:rsidRDefault="00BE3662" w:rsidP="003F26F6">
            <w:pPr>
              <w:pStyle w:val="TableHeading0"/>
              <w:spacing w:after="0"/>
              <w:jc w:val="center"/>
              <w:rPr>
                <w:b w:val="0"/>
              </w:rPr>
            </w:pPr>
            <w:r w:rsidRPr="004E2001">
              <w:rPr>
                <w:b w:val="0"/>
              </w:rPr>
              <w:t>326.2</w:t>
            </w:r>
          </w:p>
        </w:tc>
        <w:tc>
          <w:tcPr>
            <w:tcW w:w="888" w:type="dxa"/>
            <w:vAlign w:val="center"/>
          </w:tcPr>
          <w:p w:rsidR="00BE3662" w:rsidRPr="004E2001" w:rsidRDefault="00BE3662" w:rsidP="003F26F6">
            <w:pPr>
              <w:pStyle w:val="TableHeading0"/>
              <w:spacing w:after="0"/>
              <w:jc w:val="center"/>
              <w:rPr>
                <w:b w:val="0"/>
              </w:rPr>
            </w:pPr>
            <w:r w:rsidRPr="004E2001">
              <w:rPr>
                <w:b w:val="0"/>
              </w:rPr>
              <w:t>207 (69)</w:t>
            </w:r>
          </w:p>
        </w:tc>
        <w:tc>
          <w:tcPr>
            <w:tcW w:w="888" w:type="dxa"/>
            <w:vAlign w:val="center"/>
          </w:tcPr>
          <w:p w:rsidR="00BE3662" w:rsidRPr="004E2001" w:rsidRDefault="00BE3662" w:rsidP="003F26F6">
            <w:pPr>
              <w:pStyle w:val="TableHeading0"/>
              <w:spacing w:after="0"/>
              <w:jc w:val="center"/>
              <w:rPr>
                <w:b w:val="0"/>
              </w:rPr>
            </w:pPr>
            <w:r w:rsidRPr="004E2001">
              <w:rPr>
                <w:b w:val="0"/>
              </w:rPr>
              <w:t>439.7</w:t>
            </w:r>
          </w:p>
        </w:tc>
        <w:tc>
          <w:tcPr>
            <w:tcW w:w="888" w:type="dxa"/>
            <w:vAlign w:val="center"/>
          </w:tcPr>
          <w:p w:rsidR="00BE3662" w:rsidRPr="004E2001" w:rsidRDefault="00BE3662" w:rsidP="003F26F6">
            <w:pPr>
              <w:pStyle w:val="TableHeading0"/>
              <w:spacing w:after="0"/>
              <w:jc w:val="center"/>
              <w:rPr>
                <w:b w:val="0"/>
              </w:rPr>
            </w:pPr>
            <w:r w:rsidRPr="004E2001">
              <w:rPr>
                <w:b w:val="0"/>
              </w:rPr>
              <w:t>221 (74)</w:t>
            </w:r>
          </w:p>
        </w:tc>
        <w:tc>
          <w:tcPr>
            <w:tcW w:w="888" w:type="dxa"/>
            <w:vAlign w:val="center"/>
          </w:tcPr>
          <w:p w:rsidR="00BE3662" w:rsidRPr="004E2001" w:rsidRDefault="00BE3662" w:rsidP="003F26F6">
            <w:pPr>
              <w:pStyle w:val="TableHeading0"/>
              <w:spacing w:after="0"/>
              <w:jc w:val="center"/>
              <w:rPr>
                <w:b w:val="0"/>
              </w:rPr>
            </w:pPr>
            <w:r w:rsidRPr="004E2001">
              <w:rPr>
                <w:b w:val="0"/>
              </w:rPr>
              <w:t>402.6</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Serious adverse event</w:t>
            </w:r>
          </w:p>
        </w:tc>
        <w:tc>
          <w:tcPr>
            <w:tcW w:w="888" w:type="dxa"/>
            <w:vAlign w:val="center"/>
          </w:tcPr>
          <w:p w:rsidR="00BE3662" w:rsidRPr="004E2001" w:rsidRDefault="00BE3662" w:rsidP="003F26F6">
            <w:pPr>
              <w:pStyle w:val="TableHeading0"/>
              <w:spacing w:after="0"/>
              <w:jc w:val="center"/>
              <w:rPr>
                <w:b w:val="0"/>
              </w:rPr>
            </w:pPr>
            <w:r w:rsidRPr="004E2001">
              <w:rPr>
                <w:b w:val="0"/>
              </w:rPr>
              <w:t>17 (6)</w:t>
            </w:r>
          </w:p>
        </w:tc>
        <w:tc>
          <w:tcPr>
            <w:tcW w:w="888" w:type="dxa"/>
            <w:vAlign w:val="center"/>
          </w:tcPr>
          <w:p w:rsidR="00BE3662" w:rsidRPr="004E2001" w:rsidRDefault="00BE3662" w:rsidP="003F26F6">
            <w:pPr>
              <w:pStyle w:val="TableHeading0"/>
              <w:spacing w:after="0"/>
              <w:jc w:val="center"/>
              <w:rPr>
                <w:b w:val="0"/>
              </w:rPr>
            </w:pPr>
            <w:r w:rsidRPr="004E2001">
              <w:rPr>
                <w:b w:val="0"/>
              </w:rPr>
              <w:t>9.8</w:t>
            </w:r>
          </w:p>
        </w:tc>
        <w:tc>
          <w:tcPr>
            <w:tcW w:w="888" w:type="dxa"/>
            <w:vAlign w:val="center"/>
          </w:tcPr>
          <w:p w:rsidR="00BE3662" w:rsidRPr="004E2001" w:rsidRDefault="00BE3662" w:rsidP="003F26F6">
            <w:pPr>
              <w:pStyle w:val="TableHeading0"/>
              <w:spacing w:after="0"/>
              <w:jc w:val="center"/>
              <w:rPr>
                <w:b w:val="0"/>
              </w:rPr>
            </w:pPr>
            <w:r w:rsidRPr="004E2001">
              <w:rPr>
                <w:b w:val="0"/>
              </w:rPr>
              <w:t>24 (8)</w:t>
            </w:r>
          </w:p>
        </w:tc>
        <w:tc>
          <w:tcPr>
            <w:tcW w:w="888" w:type="dxa"/>
            <w:vAlign w:val="center"/>
          </w:tcPr>
          <w:p w:rsidR="00BE3662" w:rsidRPr="004E2001" w:rsidRDefault="00BE3662" w:rsidP="003F26F6">
            <w:pPr>
              <w:pStyle w:val="TableHeading0"/>
              <w:spacing w:after="0"/>
              <w:jc w:val="center"/>
              <w:rPr>
                <w:b w:val="0"/>
              </w:rPr>
            </w:pPr>
            <w:r w:rsidRPr="004E2001">
              <w:rPr>
                <w:b w:val="0"/>
              </w:rPr>
              <w:t>13.8</w:t>
            </w:r>
          </w:p>
        </w:tc>
        <w:tc>
          <w:tcPr>
            <w:tcW w:w="888" w:type="dxa"/>
            <w:vAlign w:val="center"/>
          </w:tcPr>
          <w:p w:rsidR="00BE3662" w:rsidRPr="004E2001" w:rsidRDefault="00BE3662" w:rsidP="003F26F6">
            <w:pPr>
              <w:pStyle w:val="TableHeading0"/>
              <w:spacing w:after="0"/>
              <w:jc w:val="center"/>
              <w:rPr>
                <w:b w:val="0"/>
              </w:rPr>
            </w:pPr>
            <w:r w:rsidRPr="004E2001">
              <w:rPr>
                <w:b w:val="0"/>
              </w:rPr>
              <w:t>23 (8)</w:t>
            </w:r>
          </w:p>
        </w:tc>
        <w:tc>
          <w:tcPr>
            <w:tcW w:w="888" w:type="dxa"/>
            <w:vAlign w:val="center"/>
          </w:tcPr>
          <w:p w:rsidR="00BE3662" w:rsidRPr="004E2001" w:rsidRDefault="00BE3662" w:rsidP="003F26F6">
            <w:pPr>
              <w:pStyle w:val="TableHeading0"/>
              <w:spacing w:after="0"/>
              <w:jc w:val="center"/>
              <w:rPr>
                <w:b w:val="0"/>
              </w:rPr>
            </w:pPr>
            <w:r w:rsidRPr="004E2001">
              <w:rPr>
                <w:b w:val="0"/>
              </w:rPr>
              <w:t>11.7</w:t>
            </w:r>
          </w:p>
        </w:tc>
        <w:tc>
          <w:tcPr>
            <w:tcW w:w="888" w:type="dxa"/>
            <w:vAlign w:val="center"/>
          </w:tcPr>
          <w:p w:rsidR="00BE3662" w:rsidRPr="004E2001" w:rsidRDefault="00BE3662" w:rsidP="003F26F6">
            <w:pPr>
              <w:pStyle w:val="TableHeading0"/>
              <w:spacing w:after="0"/>
              <w:jc w:val="center"/>
              <w:rPr>
                <w:b w:val="0"/>
              </w:rPr>
            </w:pPr>
            <w:r w:rsidRPr="004E2001">
              <w:rPr>
                <w:b w:val="0"/>
              </w:rPr>
              <w:t>22 (7)</w:t>
            </w:r>
          </w:p>
        </w:tc>
        <w:tc>
          <w:tcPr>
            <w:tcW w:w="888" w:type="dxa"/>
            <w:vAlign w:val="center"/>
          </w:tcPr>
          <w:p w:rsidR="00BE3662" w:rsidRPr="004E2001" w:rsidRDefault="00BE3662" w:rsidP="003F26F6">
            <w:pPr>
              <w:pStyle w:val="TableHeading0"/>
              <w:spacing w:after="0"/>
              <w:jc w:val="center"/>
              <w:rPr>
                <w:b w:val="0"/>
              </w:rPr>
            </w:pPr>
            <w:r w:rsidRPr="004E2001">
              <w:rPr>
                <w:b w:val="0"/>
              </w:rPr>
              <w:t>13.9</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Discontinuation due to adverse event</w:t>
            </w:r>
          </w:p>
        </w:tc>
        <w:tc>
          <w:tcPr>
            <w:tcW w:w="888" w:type="dxa"/>
            <w:vAlign w:val="center"/>
          </w:tcPr>
          <w:p w:rsidR="00BE3662" w:rsidRPr="004E2001" w:rsidRDefault="00BE3662" w:rsidP="003F26F6">
            <w:pPr>
              <w:pStyle w:val="TableHeading0"/>
              <w:spacing w:after="0"/>
              <w:jc w:val="center"/>
              <w:rPr>
                <w:b w:val="0"/>
              </w:rPr>
            </w:pPr>
            <w:r w:rsidRPr="004E2001">
              <w:rPr>
                <w:b w:val="0"/>
              </w:rPr>
              <w:t>24 (8)</w:t>
            </w:r>
          </w:p>
        </w:tc>
        <w:tc>
          <w:tcPr>
            <w:tcW w:w="888" w:type="dxa"/>
            <w:vAlign w:val="center"/>
          </w:tcPr>
          <w:p w:rsidR="00BE3662" w:rsidRPr="004E2001" w:rsidRDefault="00BE3662" w:rsidP="003F26F6">
            <w:pPr>
              <w:pStyle w:val="TableHeading0"/>
              <w:spacing w:after="0"/>
              <w:jc w:val="center"/>
              <w:rPr>
                <w:b w:val="0"/>
              </w:rPr>
            </w:pPr>
            <w:r w:rsidRPr="004E2001">
              <w:rPr>
                <w:b w:val="0"/>
              </w:rPr>
              <w:t>19.7</w:t>
            </w:r>
          </w:p>
        </w:tc>
        <w:tc>
          <w:tcPr>
            <w:tcW w:w="888" w:type="dxa"/>
            <w:vAlign w:val="center"/>
          </w:tcPr>
          <w:p w:rsidR="00BE3662" w:rsidRPr="004E2001" w:rsidRDefault="00BE3662" w:rsidP="003F26F6">
            <w:pPr>
              <w:pStyle w:val="TableHeading0"/>
              <w:spacing w:after="0"/>
              <w:jc w:val="center"/>
              <w:rPr>
                <w:b w:val="0"/>
              </w:rPr>
            </w:pPr>
            <w:r w:rsidRPr="004E2001">
              <w:rPr>
                <w:b w:val="0"/>
              </w:rPr>
              <w:t>14 (5)</w:t>
            </w:r>
          </w:p>
        </w:tc>
        <w:tc>
          <w:tcPr>
            <w:tcW w:w="888" w:type="dxa"/>
            <w:vAlign w:val="center"/>
          </w:tcPr>
          <w:p w:rsidR="00BE3662" w:rsidRPr="004E2001" w:rsidRDefault="00BE3662" w:rsidP="003F26F6">
            <w:pPr>
              <w:pStyle w:val="TableHeading0"/>
              <w:spacing w:after="0"/>
              <w:jc w:val="center"/>
              <w:rPr>
                <w:b w:val="0"/>
              </w:rPr>
            </w:pPr>
            <w:r w:rsidRPr="004E2001">
              <w:rPr>
                <w:b w:val="0"/>
              </w:rPr>
              <w:t>9.4</w:t>
            </w:r>
          </w:p>
        </w:tc>
        <w:tc>
          <w:tcPr>
            <w:tcW w:w="888" w:type="dxa"/>
            <w:vAlign w:val="center"/>
          </w:tcPr>
          <w:p w:rsidR="00BE3662" w:rsidRPr="004E2001" w:rsidRDefault="00BE3662" w:rsidP="003F26F6">
            <w:pPr>
              <w:pStyle w:val="TableHeading0"/>
              <w:spacing w:after="0"/>
              <w:jc w:val="center"/>
              <w:rPr>
                <w:b w:val="0"/>
              </w:rPr>
            </w:pPr>
            <w:r w:rsidRPr="004E2001">
              <w:rPr>
                <w:b w:val="0"/>
              </w:rPr>
              <w:t>29 (10)</w:t>
            </w:r>
          </w:p>
        </w:tc>
        <w:tc>
          <w:tcPr>
            <w:tcW w:w="888" w:type="dxa"/>
            <w:vAlign w:val="center"/>
          </w:tcPr>
          <w:p w:rsidR="00BE3662" w:rsidRPr="004E2001" w:rsidRDefault="00BE3662" w:rsidP="003F26F6">
            <w:pPr>
              <w:pStyle w:val="TableHeading0"/>
              <w:spacing w:after="0"/>
              <w:jc w:val="center"/>
              <w:rPr>
                <w:b w:val="0"/>
              </w:rPr>
            </w:pPr>
            <w:r w:rsidRPr="004E2001">
              <w:rPr>
                <w:b w:val="0"/>
              </w:rPr>
              <w:t>28.6</w:t>
            </w:r>
          </w:p>
        </w:tc>
        <w:tc>
          <w:tcPr>
            <w:tcW w:w="888" w:type="dxa"/>
            <w:vAlign w:val="center"/>
          </w:tcPr>
          <w:p w:rsidR="00BE3662" w:rsidRPr="004E2001" w:rsidRDefault="00BE3662" w:rsidP="003F26F6">
            <w:pPr>
              <w:pStyle w:val="TableHeading0"/>
              <w:spacing w:after="0"/>
              <w:jc w:val="center"/>
              <w:rPr>
                <w:b w:val="0"/>
              </w:rPr>
            </w:pPr>
            <w:r w:rsidRPr="004E2001">
              <w:rPr>
                <w:b w:val="0"/>
              </w:rPr>
              <w:t>20 (7)</w:t>
            </w:r>
          </w:p>
        </w:tc>
        <w:tc>
          <w:tcPr>
            <w:tcW w:w="888" w:type="dxa"/>
            <w:vAlign w:val="center"/>
          </w:tcPr>
          <w:p w:rsidR="00BE3662" w:rsidRPr="004E2001" w:rsidRDefault="00BE3662" w:rsidP="003F26F6">
            <w:pPr>
              <w:pStyle w:val="TableHeading0"/>
              <w:spacing w:after="0"/>
              <w:jc w:val="center"/>
              <w:rPr>
                <w:b w:val="0"/>
              </w:rPr>
            </w:pPr>
            <w:r w:rsidRPr="004E2001">
              <w:rPr>
                <w:b w:val="0"/>
              </w:rPr>
              <w:t>21.5</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Deaths</w:t>
            </w:r>
          </w:p>
        </w:tc>
        <w:tc>
          <w:tcPr>
            <w:tcW w:w="888" w:type="dxa"/>
            <w:vAlign w:val="center"/>
          </w:tcPr>
          <w:p w:rsidR="00BE3662" w:rsidRPr="004E2001" w:rsidRDefault="00BE3662" w:rsidP="003F26F6">
            <w:pPr>
              <w:pStyle w:val="TableHeading0"/>
              <w:spacing w:after="0"/>
              <w:jc w:val="center"/>
              <w:rPr>
                <w:b w:val="0"/>
              </w:rPr>
            </w:pPr>
            <w:r w:rsidRPr="004E2001">
              <w:rPr>
                <w:b w:val="0"/>
              </w:rPr>
              <w:t>1 (&lt;1)</w:t>
            </w:r>
          </w:p>
        </w:tc>
        <w:tc>
          <w:tcPr>
            <w:tcW w:w="888" w:type="dxa"/>
            <w:vAlign w:val="center"/>
          </w:tcPr>
          <w:p w:rsidR="00BE3662" w:rsidRPr="004E2001" w:rsidRDefault="00BE3662" w:rsidP="003F26F6">
            <w:pPr>
              <w:pStyle w:val="TableHeading0"/>
              <w:spacing w:after="0"/>
              <w:jc w:val="center"/>
              <w:rPr>
                <w:b w:val="0"/>
              </w:rPr>
            </w:pPr>
            <w:r w:rsidRPr="004E2001">
              <w:rPr>
                <w:b w:val="0"/>
              </w:rPr>
              <w:t>0.4</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0.8</w:t>
            </w:r>
          </w:p>
        </w:tc>
        <w:tc>
          <w:tcPr>
            <w:tcW w:w="888" w:type="dxa"/>
            <w:vAlign w:val="center"/>
          </w:tcPr>
          <w:p w:rsidR="00BE3662" w:rsidRPr="004E2001" w:rsidRDefault="00BE3662" w:rsidP="003F26F6">
            <w:pPr>
              <w:pStyle w:val="TableHeading0"/>
              <w:spacing w:after="0"/>
              <w:jc w:val="center"/>
              <w:rPr>
                <w:b w:val="0"/>
              </w:rPr>
            </w:pPr>
            <w:r w:rsidRPr="004E2001">
              <w:rPr>
                <w:b w:val="0"/>
              </w:rPr>
              <w:t>1 (&lt;1)</w:t>
            </w:r>
          </w:p>
        </w:tc>
        <w:tc>
          <w:tcPr>
            <w:tcW w:w="888" w:type="dxa"/>
            <w:vAlign w:val="center"/>
          </w:tcPr>
          <w:p w:rsidR="00BE3662" w:rsidRPr="004E2001" w:rsidRDefault="00BE3662" w:rsidP="003F26F6">
            <w:pPr>
              <w:pStyle w:val="TableHeading0"/>
              <w:spacing w:after="0"/>
              <w:jc w:val="center"/>
              <w:rPr>
                <w:b w:val="0"/>
              </w:rPr>
            </w:pPr>
            <w:r w:rsidRPr="004E2001">
              <w:rPr>
                <w:b w:val="0"/>
              </w:rPr>
              <w:t>0.4</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2.0</w:t>
            </w:r>
          </w:p>
        </w:tc>
      </w:tr>
      <w:tr w:rsidR="00BE3662" w:rsidRPr="004E2001" w:rsidTr="00F91046">
        <w:tc>
          <w:tcPr>
            <w:tcW w:w="9060" w:type="dxa"/>
            <w:gridSpan w:val="9"/>
            <w:vAlign w:val="center"/>
          </w:tcPr>
          <w:p w:rsidR="00BE3662" w:rsidRPr="004E2001" w:rsidRDefault="00BE3662" w:rsidP="003F26F6">
            <w:pPr>
              <w:pStyle w:val="TableHeading0"/>
              <w:spacing w:after="0"/>
            </w:pPr>
            <w:r w:rsidRPr="004E2001">
              <w:t>Adverse events of special interest</w:t>
            </w:r>
          </w:p>
        </w:tc>
      </w:tr>
      <w:tr w:rsidR="00BE3662" w:rsidRPr="004E2001" w:rsidTr="00F91046">
        <w:tc>
          <w:tcPr>
            <w:tcW w:w="1956" w:type="dxa"/>
            <w:vAlign w:val="center"/>
          </w:tcPr>
          <w:p w:rsidR="00BE3662" w:rsidRPr="004E2001" w:rsidRDefault="00BE3662" w:rsidP="003F26F6">
            <w:pPr>
              <w:pStyle w:val="TableText0"/>
              <w:keepNext w:val="0"/>
            </w:pPr>
            <w:r w:rsidRPr="004E2001">
              <w:t xml:space="preserve">GI adverse event </w:t>
            </w:r>
          </w:p>
        </w:tc>
        <w:tc>
          <w:tcPr>
            <w:tcW w:w="888" w:type="dxa"/>
            <w:vAlign w:val="center"/>
          </w:tcPr>
          <w:p w:rsidR="00BE3662" w:rsidRPr="004E2001" w:rsidRDefault="00BE3662" w:rsidP="003F26F6">
            <w:pPr>
              <w:pStyle w:val="TableHeading0"/>
              <w:spacing w:after="0"/>
              <w:jc w:val="center"/>
              <w:rPr>
                <w:b w:val="0"/>
              </w:rPr>
            </w:pPr>
            <w:r w:rsidRPr="004E2001">
              <w:rPr>
                <w:b w:val="0"/>
              </w:rPr>
              <w:t>129 (43)</w:t>
            </w:r>
          </w:p>
        </w:tc>
        <w:tc>
          <w:tcPr>
            <w:tcW w:w="888" w:type="dxa"/>
            <w:vAlign w:val="center"/>
          </w:tcPr>
          <w:p w:rsidR="00BE3662" w:rsidRPr="004E2001" w:rsidRDefault="00BE3662" w:rsidP="003F26F6">
            <w:pPr>
              <w:pStyle w:val="TableHeading0"/>
              <w:spacing w:after="0"/>
              <w:jc w:val="center"/>
              <w:rPr>
                <w:b w:val="0"/>
              </w:rPr>
            </w:pPr>
            <w:r w:rsidRPr="004E2001">
              <w:rPr>
                <w:b w:val="0"/>
              </w:rPr>
              <w:t>168.3</w:t>
            </w:r>
          </w:p>
        </w:tc>
        <w:tc>
          <w:tcPr>
            <w:tcW w:w="888" w:type="dxa"/>
            <w:vAlign w:val="center"/>
          </w:tcPr>
          <w:p w:rsidR="00BE3662" w:rsidRPr="004E2001" w:rsidRDefault="00BE3662" w:rsidP="003F26F6">
            <w:pPr>
              <w:pStyle w:val="TableHeading0"/>
              <w:spacing w:after="0"/>
              <w:jc w:val="center"/>
              <w:rPr>
                <w:b w:val="0"/>
              </w:rPr>
            </w:pPr>
            <w:r w:rsidRPr="004E2001">
              <w:rPr>
                <w:b w:val="0"/>
              </w:rPr>
              <w:t>100 (33)</w:t>
            </w:r>
          </w:p>
        </w:tc>
        <w:tc>
          <w:tcPr>
            <w:tcW w:w="888" w:type="dxa"/>
            <w:vAlign w:val="center"/>
          </w:tcPr>
          <w:p w:rsidR="00BE3662" w:rsidRPr="004E2001" w:rsidRDefault="00BE3662" w:rsidP="003F26F6">
            <w:pPr>
              <w:pStyle w:val="TableHeading0"/>
              <w:spacing w:after="0"/>
              <w:jc w:val="center"/>
              <w:rPr>
                <w:b w:val="0"/>
              </w:rPr>
            </w:pPr>
            <w:r w:rsidRPr="004E2001">
              <w:rPr>
                <w:b w:val="0"/>
              </w:rPr>
              <w:t>104.5</w:t>
            </w:r>
          </w:p>
        </w:tc>
        <w:tc>
          <w:tcPr>
            <w:tcW w:w="888" w:type="dxa"/>
            <w:vAlign w:val="center"/>
          </w:tcPr>
          <w:p w:rsidR="00BE3662" w:rsidRPr="004E2001" w:rsidRDefault="00BE3662" w:rsidP="003F26F6">
            <w:pPr>
              <w:pStyle w:val="TableHeading0"/>
              <w:spacing w:after="0"/>
              <w:jc w:val="center"/>
              <w:rPr>
                <w:b w:val="0"/>
              </w:rPr>
            </w:pPr>
            <w:r w:rsidRPr="004E2001">
              <w:rPr>
                <w:b w:val="0"/>
              </w:rPr>
              <w:t>133 (44)</w:t>
            </w:r>
          </w:p>
        </w:tc>
        <w:tc>
          <w:tcPr>
            <w:tcW w:w="888" w:type="dxa"/>
            <w:vAlign w:val="center"/>
          </w:tcPr>
          <w:p w:rsidR="00BE3662" w:rsidRPr="004E2001" w:rsidRDefault="00BE3662" w:rsidP="003F26F6">
            <w:pPr>
              <w:pStyle w:val="TableHeading0"/>
              <w:spacing w:after="0"/>
              <w:jc w:val="center"/>
              <w:rPr>
                <w:b w:val="0"/>
              </w:rPr>
            </w:pPr>
            <w:r w:rsidRPr="004E2001">
              <w:rPr>
                <w:b w:val="0"/>
              </w:rPr>
              <w:t>215.7</w:t>
            </w:r>
          </w:p>
        </w:tc>
        <w:tc>
          <w:tcPr>
            <w:tcW w:w="888" w:type="dxa"/>
            <w:vAlign w:val="center"/>
          </w:tcPr>
          <w:p w:rsidR="00BE3662" w:rsidRPr="004E2001" w:rsidRDefault="00BE3662" w:rsidP="003F26F6">
            <w:pPr>
              <w:pStyle w:val="TableHeading0"/>
              <w:spacing w:after="0"/>
              <w:jc w:val="center"/>
              <w:rPr>
                <w:b w:val="0"/>
              </w:rPr>
            </w:pPr>
            <w:r w:rsidRPr="004E2001">
              <w:rPr>
                <w:b w:val="0"/>
              </w:rPr>
              <w:t>143 (48)</w:t>
            </w:r>
          </w:p>
        </w:tc>
        <w:tc>
          <w:tcPr>
            <w:tcW w:w="888" w:type="dxa"/>
            <w:vAlign w:val="center"/>
          </w:tcPr>
          <w:p w:rsidR="00BE3662" w:rsidRPr="004E2001" w:rsidRDefault="00BE3662" w:rsidP="003F26F6">
            <w:pPr>
              <w:pStyle w:val="TableHeading0"/>
              <w:spacing w:after="0"/>
              <w:jc w:val="center"/>
              <w:rPr>
                <w:b w:val="0"/>
              </w:rPr>
            </w:pPr>
            <w:r w:rsidRPr="004E2001">
              <w:rPr>
                <w:b w:val="0"/>
              </w:rPr>
              <w:t>165.4</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Injection-site reactions</w:t>
            </w:r>
          </w:p>
        </w:tc>
        <w:tc>
          <w:tcPr>
            <w:tcW w:w="888" w:type="dxa"/>
            <w:vAlign w:val="center"/>
          </w:tcPr>
          <w:p w:rsidR="00BE3662" w:rsidRPr="004E2001" w:rsidRDefault="00BE3662" w:rsidP="003F26F6">
            <w:pPr>
              <w:pStyle w:val="TableHeading0"/>
              <w:spacing w:after="0"/>
              <w:jc w:val="center"/>
              <w:rPr>
                <w:b w:val="0"/>
              </w:rPr>
            </w:pPr>
            <w:r w:rsidRPr="004E2001">
              <w:rPr>
                <w:b w:val="0"/>
              </w:rPr>
              <w:t>4 (1)</w:t>
            </w:r>
          </w:p>
        </w:tc>
        <w:tc>
          <w:tcPr>
            <w:tcW w:w="888" w:type="dxa"/>
            <w:vAlign w:val="center"/>
          </w:tcPr>
          <w:p w:rsidR="00BE3662" w:rsidRPr="004E2001" w:rsidRDefault="00BE3662" w:rsidP="003F26F6">
            <w:pPr>
              <w:pStyle w:val="TableHeading0"/>
              <w:spacing w:after="0"/>
              <w:jc w:val="center"/>
              <w:rPr>
                <w:b w:val="0"/>
              </w:rPr>
            </w:pPr>
            <w:r w:rsidRPr="004E2001">
              <w:rPr>
                <w:b w:val="0"/>
              </w:rPr>
              <w:t>2.1</w:t>
            </w:r>
          </w:p>
        </w:tc>
        <w:tc>
          <w:tcPr>
            <w:tcW w:w="888" w:type="dxa"/>
            <w:vAlign w:val="center"/>
          </w:tcPr>
          <w:p w:rsidR="00BE3662" w:rsidRPr="004E2001" w:rsidRDefault="00BE3662" w:rsidP="003F26F6">
            <w:pPr>
              <w:pStyle w:val="TableHeading0"/>
              <w:spacing w:after="0"/>
              <w:jc w:val="center"/>
              <w:rPr>
                <w:b w:val="0"/>
              </w:rPr>
            </w:pPr>
            <w:r w:rsidRPr="004E2001">
              <w:rPr>
                <w:b w:val="0"/>
              </w:rPr>
              <w:t>4 (1)</w:t>
            </w:r>
          </w:p>
        </w:tc>
        <w:tc>
          <w:tcPr>
            <w:tcW w:w="888" w:type="dxa"/>
            <w:vAlign w:val="center"/>
          </w:tcPr>
          <w:p w:rsidR="00BE3662" w:rsidRPr="004E2001" w:rsidRDefault="00BE3662" w:rsidP="003F26F6">
            <w:pPr>
              <w:pStyle w:val="TableHeading0"/>
              <w:spacing w:after="0"/>
              <w:jc w:val="center"/>
              <w:rPr>
                <w:b w:val="0"/>
              </w:rPr>
            </w:pPr>
            <w:r w:rsidRPr="004E2001">
              <w:rPr>
                <w:b w:val="0"/>
              </w:rPr>
              <w:t>3.7</w:t>
            </w:r>
          </w:p>
        </w:tc>
        <w:tc>
          <w:tcPr>
            <w:tcW w:w="888" w:type="dxa"/>
            <w:vAlign w:val="center"/>
          </w:tcPr>
          <w:p w:rsidR="00BE3662" w:rsidRPr="004E2001" w:rsidRDefault="00BE3662" w:rsidP="003F26F6">
            <w:pPr>
              <w:pStyle w:val="TableHeading0"/>
              <w:spacing w:after="0"/>
              <w:jc w:val="center"/>
              <w:rPr>
                <w:b w:val="0"/>
              </w:rPr>
            </w:pPr>
            <w:r w:rsidRPr="004E2001">
              <w:rPr>
                <w:b w:val="0"/>
              </w:rPr>
              <w:t>6 (2)</w:t>
            </w:r>
          </w:p>
        </w:tc>
        <w:tc>
          <w:tcPr>
            <w:tcW w:w="888" w:type="dxa"/>
            <w:vAlign w:val="center"/>
          </w:tcPr>
          <w:p w:rsidR="00BE3662" w:rsidRPr="004E2001" w:rsidRDefault="00BE3662" w:rsidP="003F26F6">
            <w:pPr>
              <w:pStyle w:val="TableHeading0"/>
              <w:spacing w:after="0"/>
              <w:jc w:val="center"/>
              <w:rPr>
                <w:b w:val="0"/>
              </w:rPr>
            </w:pPr>
            <w:r w:rsidRPr="004E2001">
              <w:rPr>
                <w:b w:val="0"/>
              </w:rPr>
              <w:t>2.6</w:t>
            </w:r>
          </w:p>
        </w:tc>
        <w:tc>
          <w:tcPr>
            <w:tcW w:w="888" w:type="dxa"/>
            <w:vAlign w:val="center"/>
          </w:tcPr>
          <w:p w:rsidR="00BE3662" w:rsidRPr="004E2001" w:rsidRDefault="00BE3662" w:rsidP="003F26F6">
            <w:pPr>
              <w:pStyle w:val="TableHeading0"/>
              <w:spacing w:after="0"/>
              <w:jc w:val="center"/>
              <w:rPr>
                <w:b w:val="0"/>
              </w:rPr>
            </w:pPr>
            <w:r w:rsidRPr="004E2001">
              <w:rPr>
                <w:b w:val="0"/>
              </w:rPr>
              <w:t>8 (3)</w:t>
            </w:r>
          </w:p>
        </w:tc>
        <w:tc>
          <w:tcPr>
            <w:tcW w:w="888" w:type="dxa"/>
            <w:vAlign w:val="center"/>
          </w:tcPr>
          <w:p w:rsidR="00BE3662" w:rsidRPr="004E2001" w:rsidRDefault="00BE3662" w:rsidP="003F26F6">
            <w:pPr>
              <w:pStyle w:val="TableHeading0"/>
              <w:spacing w:after="0"/>
              <w:jc w:val="center"/>
              <w:rPr>
                <w:b w:val="0"/>
              </w:rPr>
            </w:pPr>
            <w:r w:rsidRPr="004E2001">
              <w:rPr>
                <w:b w:val="0"/>
              </w:rPr>
              <w:t>7.2</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Gallbladder disorders</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0.9</w:t>
            </w:r>
          </w:p>
        </w:tc>
        <w:tc>
          <w:tcPr>
            <w:tcW w:w="888" w:type="dxa"/>
            <w:vAlign w:val="center"/>
          </w:tcPr>
          <w:p w:rsidR="00BE3662" w:rsidRPr="004E2001" w:rsidRDefault="00BE3662" w:rsidP="003F26F6">
            <w:pPr>
              <w:pStyle w:val="TableHeading0"/>
              <w:spacing w:after="0"/>
              <w:jc w:val="center"/>
              <w:rPr>
                <w:b w:val="0"/>
              </w:rPr>
            </w:pPr>
            <w:r w:rsidRPr="004E2001">
              <w:rPr>
                <w:b w:val="0"/>
              </w:rPr>
              <w:t>4 (1)</w:t>
            </w:r>
          </w:p>
        </w:tc>
        <w:tc>
          <w:tcPr>
            <w:tcW w:w="888" w:type="dxa"/>
            <w:vAlign w:val="center"/>
          </w:tcPr>
          <w:p w:rsidR="00BE3662" w:rsidRPr="004E2001" w:rsidRDefault="00BE3662" w:rsidP="003F26F6">
            <w:pPr>
              <w:pStyle w:val="TableHeading0"/>
              <w:spacing w:after="0"/>
              <w:jc w:val="center"/>
              <w:rPr>
                <w:b w:val="0"/>
              </w:rPr>
            </w:pPr>
            <w:r w:rsidRPr="004E2001">
              <w:rPr>
                <w:b w:val="0"/>
              </w:rPr>
              <w:t>1.6</w:t>
            </w:r>
          </w:p>
        </w:tc>
        <w:tc>
          <w:tcPr>
            <w:tcW w:w="888" w:type="dxa"/>
            <w:vAlign w:val="center"/>
          </w:tcPr>
          <w:p w:rsidR="00BE3662" w:rsidRPr="004E2001" w:rsidRDefault="00BE3662" w:rsidP="003F26F6">
            <w:pPr>
              <w:pStyle w:val="TableHeading0"/>
              <w:spacing w:after="0"/>
              <w:jc w:val="center"/>
              <w:rPr>
                <w:b w:val="0"/>
              </w:rPr>
            </w:pPr>
            <w:r w:rsidRPr="004E2001">
              <w:rPr>
                <w:b w:val="0"/>
              </w:rPr>
              <w:t>4 (1)</w:t>
            </w:r>
          </w:p>
        </w:tc>
        <w:tc>
          <w:tcPr>
            <w:tcW w:w="888" w:type="dxa"/>
            <w:vAlign w:val="center"/>
          </w:tcPr>
          <w:p w:rsidR="00BE3662" w:rsidRPr="004E2001" w:rsidRDefault="00BE3662" w:rsidP="003F26F6">
            <w:pPr>
              <w:pStyle w:val="TableHeading0"/>
              <w:spacing w:after="0"/>
              <w:jc w:val="center"/>
              <w:rPr>
                <w:b w:val="0"/>
              </w:rPr>
            </w:pPr>
            <w:r w:rsidRPr="004E2001">
              <w:rPr>
                <w:b w:val="0"/>
              </w:rPr>
              <w:t>2.2</w:t>
            </w:r>
          </w:p>
        </w:tc>
        <w:tc>
          <w:tcPr>
            <w:tcW w:w="888" w:type="dxa"/>
            <w:vAlign w:val="center"/>
          </w:tcPr>
          <w:p w:rsidR="00BE3662" w:rsidRPr="004E2001" w:rsidRDefault="00BE3662" w:rsidP="003F26F6">
            <w:pPr>
              <w:pStyle w:val="TableHeading0"/>
              <w:spacing w:after="0"/>
              <w:jc w:val="center"/>
              <w:rPr>
                <w:b w:val="0"/>
              </w:rPr>
            </w:pPr>
            <w:r w:rsidRPr="004E2001">
              <w:rPr>
                <w:b w:val="0"/>
              </w:rPr>
              <w:t>8 (3)</w:t>
            </w:r>
          </w:p>
        </w:tc>
        <w:tc>
          <w:tcPr>
            <w:tcW w:w="888" w:type="dxa"/>
            <w:vAlign w:val="center"/>
          </w:tcPr>
          <w:p w:rsidR="00BE3662" w:rsidRPr="004E2001" w:rsidRDefault="00BE3662" w:rsidP="003F26F6">
            <w:pPr>
              <w:pStyle w:val="TableHeading0"/>
              <w:spacing w:after="0"/>
              <w:jc w:val="center"/>
              <w:rPr>
                <w:b w:val="0"/>
              </w:rPr>
            </w:pPr>
            <w:r w:rsidRPr="004E2001">
              <w:rPr>
                <w:b w:val="0"/>
              </w:rPr>
              <w:t>3.8</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Severe hypoglycaemia or blood glucose-confirmed symptomatic</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1.3</w:t>
            </w:r>
          </w:p>
        </w:tc>
        <w:tc>
          <w:tcPr>
            <w:tcW w:w="888" w:type="dxa"/>
            <w:vAlign w:val="center"/>
          </w:tcPr>
          <w:p w:rsidR="00BE3662" w:rsidRPr="004E2001" w:rsidRDefault="00BE3662" w:rsidP="003F26F6">
            <w:pPr>
              <w:pStyle w:val="TableHeading0"/>
              <w:spacing w:after="0"/>
              <w:jc w:val="center"/>
              <w:rPr>
                <w:b w:val="0"/>
              </w:rPr>
            </w:pPr>
            <w:r w:rsidRPr="004E2001">
              <w:rPr>
                <w:b w:val="0"/>
              </w:rPr>
              <w:t>3 (1)</w:t>
            </w:r>
          </w:p>
        </w:tc>
        <w:tc>
          <w:tcPr>
            <w:tcW w:w="888" w:type="dxa"/>
            <w:vAlign w:val="center"/>
          </w:tcPr>
          <w:p w:rsidR="00BE3662" w:rsidRPr="004E2001" w:rsidRDefault="00BE3662" w:rsidP="003F26F6">
            <w:pPr>
              <w:pStyle w:val="TableHeading0"/>
              <w:spacing w:after="0"/>
              <w:jc w:val="center"/>
              <w:rPr>
                <w:b w:val="0"/>
              </w:rPr>
            </w:pPr>
            <w:r w:rsidRPr="004E2001">
              <w:rPr>
                <w:b w:val="0"/>
              </w:rPr>
              <w:t>1.2</w:t>
            </w:r>
          </w:p>
        </w:tc>
        <w:tc>
          <w:tcPr>
            <w:tcW w:w="888" w:type="dxa"/>
            <w:vAlign w:val="center"/>
          </w:tcPr>
          <w:p w:rsidR="00BE3662" w:rsidRPr="004E2001" w:rsidRDefault="00BE3662" w:rsidP="003F26F6">
            <w:pPr>
              <w:pStyle w:val="TableHeading0"/>
              <w:spacing w:after="0"/>
              <w:jc w:val="center"/>
              <w:rPr>
                <w:b w:val="0"/>
              </w:rPr>
            </w:pPr>
            <w:r w:rsidRPr="004E2001">
              <w:rPr>
                <w:b w:val="0"/>
              </w:rPr>
              <w:t>5 (2)</w:t>
            </w:r>
          </w:p>
        </w:tc>
        <w:tc>
          <w:tcPr>
            <w:tcW w:w="888" w:type="dxa"/>
            <w:vAlign w:val="center"/>
          </w:tcPr>
          <w:p w:rsidR="00BE3662" w:rsidRPr="004E2001" w:rsidRDefault="00BE3662" w:rsidP="003F26F6">
            <w:pPr>
              <w:pStyle w:val="TableHeading0"/>
              <w:spacing w:after="0"/>
              <w:jc w:val="center"/>
              <w:rPr>
                <w:b w:val="0"/>
              </w:rPr>
            </w:pPr>
            <w:r w:rsidRPr="004E2001">
              <w:rPr>
                <w:b w:val="0"/>
              </w:rPr>
              <w:t>3.0</w:t>
            </w:r>
          </w:p>
        </w:tc>
        <w:tc>
          <w:tcPr>
            <w:tcW w:w="888" w:type="dxa"/>
            <w:vAlign w:val="center"/>
          </w:tcPr>
          <w:p w:rsidR="00BE3662" w:rsidRPr="004E2001" w:rsidRDefault="00BE3662" w:rsidP="003F26F6">
            <w:pPr>
              <w:pStyle w:val="TableHeading0"/>
              <w:spacing w:after="0"/>
              <w:jc w:val="center"/>
              <w:rPr>
                <w:b w:val="0"/>
              </w:rPr>
            </w:pPr>
            <w:r w:rsidRPr="004E2001">
              <w:rPr>
                <w:b w:val="0"/>
              </w:rPr>
              <w:t>5 (2)</w:t>
            </w:r>
          </w:p>
        </w:tc>
        <w:tc>
          <w:tcPr>
            <w:tcW w:w="888" w:type="dxa"/>
            <w:vAlign w:val="center"/>
          </w:tcPr>
          <w:p w:rsidR="00BE3662" w:rsidRPr="004E2001" w:rsidRDefault="00BE3662" w:rsidP="003F26F6">
            <w:pPr>
              <w:pStyle w:val="TableHeading0"/>
              <w:spacing w:after="0"/>
              <w:jc w:val="center"/>
              <w:rPr>
                <w:b w:val="0"/>
              </w:rPr>
            </w:pPr>
            <w:r w:rsidRPr="004E2001">
              <w:rPr>
                <w:b w:val="0"/>
              </w:rPr>
              <w:t>2.1</w:t>
            </w:r>
          </w:p>
        </w:tc>
      </w:tr>
      <w:tr w:rsidR="00BE3662" w:rsidRPr="004E2001" w:rsidTr="00F91046">
        <w:tc>
          <w:tcPr>
            <w:tcW w:w="1956" w:type="dxa"/>
            <w:vAlign w:val="center"/>
          </w:tcPr>
          <w:p w:rsidR="00BE3662" w:rsidRPr="004E2001" w:rsidRDefault="00BE3662" w:rsidP="003F26F6">
            <w:pPr>
              <w:pStyle w:val="TableHeading0"/>
              <w:spacing w:after="0"/>
              <w:rPr>
                <w:b w:val="0"/>
              </w:rPr>
            </w:pPr>
            <w:r w:rsidRPr="004E2001">
              <w:rPr>
                <w:b w:val="0"/>
              </w:rPr>
              <w:t>Diabetic retinopathy</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0.8</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0.8</w:t>
            </w:r>
          </w:p>
        </w:tc>
        <w:tc>
          <w:tcPr>
            <w:tcW w:w="888" w:type="dxa"/>
            <w:vAlign w:val="center"/>
          </w:tcPr>
          <w:p w:rsidR="00BE3662" w:rsidRPr="004E2001" w:rsidRDefault="00BE3662" w:rsidP="003F26F6">
            <w:pPr>
              <w:pStyle w:val="TableHeading0"/>
              <w:spacing w:after="0"/>
              <w:jc w:val="center"/>
              <w:rPr>
                <w:b w:val="0"/>
              </w:rPr>
            </w:pPr>
            <w:r w:rsidRPr="004E2001">
              <w:rPr>
                <w:b w:val="0"/>
              </w:rPr>
              <w:t>2 (1)</w:t>
            </w:r>
          </w:p>
        </w:tc>
        <w:tc>
          <w:tcPr>
            <w:tcW w:w="888" w:type="dxa"/>
            <w:vAlign w:val="center"/>
          </w:tcPr>
          <w:p w:rsidR="00BE3662" w:rsidRPr="004E2001" w:rsidRDefault="00BE3662" w:rsidP="003F26F6">
            <w:pPr>
              <w:pStyle w:val="TableHeading0"/>
              <w:spacing w:after="0"/>
              <w:jc w:val="center"/>
              <w:rPr>
                <w:b w:val="0"/>
              </w:rPr>
            </w:pPr>
            <w:r w:rsidRPr="004E2001">
              <w:rPr>
                <w:b w:val="0"/>
              </w:rPr>
              <w:t>0.8</w:t>
            </w:r>
          </w:p>
        </w:tc>
        <w:tc>
          <w:tcPr>
            <w:tcW w:w="888" w:type="dxa"/>
            <w:vAlign w:val="center"/>
          </w:tcPr>
          <w:p w:rsidR="00BE3662" w:rsidRPr="004E2001" w:rsidRDefault="00BE3662" w:rsidP="003F26F6">
            <w:pPr>
              <w:pStyle w:val="TableHeading0"/>
              <w:spacing w:after="0"/>
              <w:jc w:val="center"/>
              <w:rPr>
                <w:b w:val="0"/>
              </w:rPr>
            </w:pPr>
            <w:r w:rsidRPr="004E2001">
              <w:rPr>
                <w:b w:val="0"/>
              </w:rPr>
              <w:t>3 (1)</w:t>
            </w:r>
          </w:p>
        </w:tc>
        <w:tc>
          <w:tcPr>
            <w:tcW w:w="888" w:type="dxa"/>
            <w:vAlign w:val="center"/>
          </w:tcPr>
          <w:p w:rsidR="00BE3662" w:rsidRPr="004E2001" w:rsidRDefault="00BE3662" w:rsidP="003F26F6">
            <w:pPr>
              <w:pStyle w:val="TableHeading0"/>
              <w:spacing w:after="0"/>
              <w:jc w:val="center"/>
              <w:rPr>
                <w:b w:val="0"/>
              </w:rPr>
            </w:pPr>
            <w:r w:rsidRPr="004E2001">
              <w:rPr>
                <w:b w:val="0"/>
              </w:rPr>
              <w:t>1.2</w:t>
            </w:r>
          </w:p>
        </w:tc>
      </w:tr>
    </w:tbl>
    <w:p w:rsidR="00BE3662" w:rsidRPr="004E2001" w:rsidRDefault="00BE3662" w:rsidP="003F26F6">
      <w:pPr>
        <w:pStyle w:val="TableFooter"/>
      </w:pPr>
      <w:r w:rsidRPr="004E2001">
        <w:t>Source: Table 4, Pratley 2019 publication for the SUSTAIN 7 trial; Table 12-12, p 213 of the SUSTAIN 7 trial report</w:t>
      </w:r>
    </w:p>
    <w:p w:rsidR="00BE3662" w:rsidRPr="004E2001" w:rsidRDefault="00BE3662" w:rsidP="003F26F6">
      <w:pPr>
        <w:pStyle w:val="TableFooter"/>
      </w:pPr>
      <w:r w:rsidRPr="004E2001">
        <w:t>Abbreviation: GI, gastrointestinal</w:t>
      </w:r>
    </w:p>
    <w:p w:rsidR="00E257A4" w:rsidRPr="004E2001" w:rsidRDefault="00E257A4" w:rsidP="003F26F6"/>
    <w:p w:rsidR="003D20E8" w:rsidRPr="004E2001" w:rsidRDefault="003D20E8" w:rsidP="0076592A">
      <w:pPr>
        <w:pStyle w:val="ListParagraph"/>
        <w:numPr>
          <w:ilvl w:val="1"/>
          <w:numId w:val="2"/>
        </w:numPr>
        <w:jc w:val="both"/>
      </w:pPr>
      <w:r w:rsidRPr="004E2001">
        <w:t xml:space="preserve">The overall incidence of any adverse event was similar between treatment arms, however, the rate of adverse events </w:t>
      </w:r>
      <w:r w:rsidR="0067006C" w:rsidRPr="004E2001">
        <w:t>was</w:t>
      </w:r>
      <w:r w:rsidRPr="004E2001">
        <w:t xml:space="preserve"> lower with the dulaglutide 0.75 mg dose. </w:t>
      </w:r>
      <w:r w:rsidR="00F9392A" w:rsidRPr="004E2001">
        <w:t>T</w:t>
      </w:r>
      <w:r w:rsidRPr="004E2001">
        <w:t xml:space="preserve">he </w:t>
      </w:r>
      <w:r w:rsidR="00CD4298" w:rsidRPr="004E2001">
        <w:t>incidence of</w:t>
      </w:r>
      <w:r w:rsidR="0067006C" w:rsidRPr="004E2001">
        <w:t xml:space="preserve"> serious adverse events was</w:t>
      </w:r>
      <w:r w:rsidRPr="004E2001">
        <w:t xml:space="preserve"> similar between arms. </w:t>
      </w:r>
      <w:r w:rsidR="000A7FC2" w:rsidRPr="004E2001">
        <w:t>There were six deaths reported in the trial, all of which were assessed as unlikely to be related to treatments</w:t>
      </w:r>
      <w:r w:rsidR="004E2001">
        <w:t xml:space="preserve">. </w:t>
      </w:r>
    </w:p>
    <w:p w:rsidR="00D566EE" w:rsidRPr="004E2001" w:rsidRDefault="003D20E8" w:rsidP="0076592A">
      <w:pPr>
        <w:pStyle w:val="ListParagraph"/>
        <w:numPr>
          <w:ilvl w:val="1"/>
          <w:numId w:val="2"/>
        </w:numPr>
        <w:jc w:val="both"/>
      </w:pPr>
      <w:r w:rsidRPr="004E2001">
        <w:t xml:space="preserve">The most frequently reported class of adverse events was gastrointestinal disorders </w:t>
      </w:r>
      <w:r w:rsidR="00D543D4" w:rsidRPr="004E2001">
        <w:t xml:space="preserve">(nausea, diarrhoea, vomiting) </w:t>
      </w:r>
      <w:r w:rsidRPr="004E2001">
        <w:t>followed by nasopharyngitis and headache. The rate of gastrointestinal adverse events was highest in the semaglutide 1.0 mg arm, similar between the semaglutide 0.5 mg and dulaglutide 1.5 mg arms and lowest in the dulaglutide 0.75 mg arm. The rates of other most commonly reported adverse events were similar between treatment arms.</w:t>
      </w:r>
      <w:r w:rsidR="000A7FC2" w:rsidRPr="004E2001">
        <w:t xml:space="preserve"> There were no observable differences in events of diabetic retinopathy between arms. However, the total number of events was small as patients with known proliferative retinopathy or maculopathy requiring acute treatment were excluded from the trial.</w:t>
      </w:r>
    </w:p>
    <w:p w:rsidR="00F9392A" w:rsidRPr="004E2001" w:rsidRDefault="00251B9C" w:rsidP="0076592A">
      <w:pPr>
        <w:pStyle w:val="ListParagraph"/>
        <w:numPr>
          <w:ilvl w:val="1"/>
          <w:numId w:val="2"/>
        </w:numPr>
        <w:jc w:val="both"/>
      </w:pPr>
      <w:r w:rsidRPr="004E2001">
        <w:t xml:space="preserve">An expanded assessment of harms identified important risks including gastrointestinal adverse events (nausea, vomiting, diarrhoea), acute gallstone disease (cholelithiasis), </w:t>
      </w:r>
      <w:r w:rsidR="00DA599D" w:rsidRPr="004E2001">
        <w:t>and severe</w:t>
      </w:r>
      <w:r w:rsidRPr="004E2001">
        <w:t xml:space="preserve"> hypoglycaemia in combination with sulfonylurea and/or insulin and diabetic retinopathy complications. Important potential risks include acute pancreatitis, serious allergic reactions, medullary thyroid cancer and pancreatic cancer. Missing information included use in pregnancy and lactation as well as patients with severe hepatic impairment.</w:t>
      </w:r>
      <w:r w:rsidR="00F9392A" w:rsidRPr="004E2001">
        <w:t xml:space="preserve"> </w:t>
      </w:r>
    </w:p>
    <w:p w:rsidR="00251B9C" w:rsidRPr="004E2001" w:rsidRDefault="00F9392A" w:rsidP="0076592A">
      <w:pPr>
        <w:pStyle w:val="ListParagraph"/>
        <w:numPr>
          <w:ilvl w:val="1"/>
          <w:numId w:val="2"/>
        </w:numPr>
        <w:jc w:val="both"/>
      </w:pPr>
      <w:r w:rsidRPr="004E2001">
        <w:t xml:space="preserve">Treatment with semaglutide is associated with a rapid initial decline in blood glucose, and analyses from the SUSTAIN 6 trial indicate that this is the most likely mechanism underlying the increased risk of diabetic retinopathy complications with semaglutide </w:t>
      </w:r>
      <w:r w:rsidRPr="004E2001">
        <w:lastRenderedPageBreak/>
        <w:t>treatment. This effect was primarily seen in the subset of patients with longer duration of diabetes, history of diabetic retinopathy at baseline, a high baseline HbA1c and insulin use. A Phase 3 trial is currently ongoing to evaluate the long term effects of semaglutide on diabetic retinopathy (FOCUS, NCT03811561; expected completion in 2025).</w:t>
      </w:r>
    </w:p>
    <w:p w:rsidR="00251B9C" w:rsidRPr="004E2001" w:rsidRDefault="00251B9C" w:rsidP="0076592A">
      <w:pPr>
        <w:pStyle w:val="ListParagraph"/>
        <w:numPr>
          <w:ilvl w:val="1"/>
          <w:numId w:val="2"/>
        </w:numPr>
        <w:jc w:val="both"/>
      </w:pPr>
      <w:r w:rsidRPr="004E2001">
        <w:t xml:space="preserve">Gastrointestinal adverse events are a known GLP-1 receptor-mediated action and a known class effect of other GLP-1 analogues. However, the rate of gastrointestinal adverse events was higher with semaglutide compared to other GLP-1 comparators as well as all comparators based on a pooled analysis from the broader SUSTAIN trial program </w:t>
      </w:r>
      <w:r w:rsidR="00F1524A" w:rsidRPr="004E2001">
        <w:t>provided in the Periodic Safety Update Report (1 December 2018 to 31 May 2019)</w:t>
      </w:r>
      <w:r w:rsidRPr="004E2001">
        <w:t xml:space="preserve">. </w:t>
      </w:r>
      <w:r w:rsidR="00EC28BA" w:rsidRPr="004E2001">
        <w:t>The ESC considered that the high rates of gastrointestinal adverse events for semaglutide may affect titration to 1.0</w:t>
      </w:r>
      <w:r w:rsidR="00DF0140" w:rsidRPr="004E2001">
        <w:t xml:space="preserve"> </w:t>
      </w:r>
      <w:r w:rsidR="00EC28BA" w:rsidRPr="004E2001">
        <w:t xml:space="preserve">mg. The difference in HbA1c and weight loss </w:t>
      </w:r>
      <w:r w:rsidR="000A1A1D" w:rsidRPr="004E2001">
        <w:t xml:space="preserve">is attenuated at the lower semaglutide dose. </w:t>
      </w:r>
    </w:p>
    <w:p w:rsidR="006A048B" w:rsidRPr="004E2001" w:rsidRDefault="006A048B" w:rsidP="0076592A">
      <w:pPr>
        <w:pStyle w:val="ListParagraph"/>
        <w:numPr>
          <w:ilvl w:val="1"/>
          <w:numId w:val="2"/>
        </w:numPr>
        <w:jc w:val="both"/>
      </w:pPr>
      <w:r w:rsidRPr="004E2001">
        <w:t>The submission presented selected safety data for hypoglycaemia adverse events from the SUSTAIN 4 trial (open-label trial of semaglutide</w:t>
      </w:r>
      <w:r w:rsidR="009B08D8" w:rsidRPr="004E2001">
        <w:t xml:space="preserve"> 0.5 mg or 1.0 mg</w:t>
      </w:r>
      <w:r w:rsidRPr="004E2001">
        <w:t xml:space="preserve"> versus insulin glargine). </w:t>
      </w:r>
      <w:r w:rsidR="009B08D8" w:rsidRPr="004E2001">
        <w:t>The data suggest</w:t>
      </w:r>
      <w:r w:rsidR="00265B5C" w:rsidRPr="004E2001">
        <w:t>ed</w:t>
      </w:r>
      <w:r w:rsidR="009B08D8" w:rsidRPr="004E2001">
        <w:t xml:space="preserve"> that the rate of hypoglycaemic events were higher in the insulin glargine arm compared with both strengths of semaglutide. </w:t>
      </w:r>
      <w:r w:rsidRPr="004E2001">
        <w:t xml:space="preserve">The data </w:t>
      </w:r>
      <w:r w:rsidR="008E4BE2" w:rsidRPr="004E2001">
        <w:t>were</w:t>
      </w:r>
      <w:r w:rsidRPr="004E2001">
        <w:t xml:space="preserve"> </w:t>
      </w:r>
      <w:r w:rsidR="009B08D8" w:rsidRPr="004E2001">
        <w:t xml:space="preserve">only </w:t>
      </w:r>
      <w:r w:rsidRPr="004E2001">
        <w:t xml:space="preserve">used to inform hypoglycaemia event rates for the </w:t>
      </w:r>
      <w:r w:rsidR="009B08D8" w:rsidRPr="004E2001">
        <w:t xml:space="preserve">insulin glargine arm </w:t>
      </w:r>
      <w:r w:rsidRPr="004E2001">
        <w:t xml:space="preserve">in the economic model. </w:t>
      </w:r>
      <w:r w:rsidR="009B08D8" w:rsidRPr="004E2001">
        <w:t>Data comparing the full safety profiles of semaglutide versus insulin glargine were not presented in the submission</w:t>
      </w:r>
      <w:r w:rsidR="004E2001">
        <w:t xml:space="preserve">. </w:t>
      </w:r>
    </w:p>
    <w:p w:rsidR="00ED7C6F" w:rsidRPr="004E2001" w:rsidRDefault="00F9392A" w:rsidP="0076592A">
      <w:pPr>
        <w:pStyle w:val="ListParagraph"/>
        <w:numPr>
          <w:ilvl w:val="1"/>
          <w:numId w:val="2"/>
        </w:numPr>
        <w:jc w:val="both"/>
      </w:pPr>
      <w:r w:rsidRPr="004E2001">
        <w:t>The submission presented a post-hoc, chi-squared analysis of gastrointestinal adverse events and weight loss targets for treatment arms of semaglutide, exenatide and dulaglutide from the SUSTAIN 3 and 7 trials. The submission claimed the results suggest</w:t>
      </w:r>
      <w:r w:rsidR="00265B5C" w:rsidRPr="004E2001">
        <w:t>ed</w:t>
      </w:r>
      <w:r w:rsidRPr="004E2001">
        <w:t xml:space="preserve"> no correlation between the greater weight loss achieved with semaglutide and the increased gastrointestinal adverse events. This claim was inadequately supported as the analysis did not appear </w:t>
      </w:r>
      <w:r w:rsidR="00297009" w:rsidRPr="004E2001">
        <w:t xml:space="preserve">to be </w:t>
      </w:r>
      <w:r w:rsidRPr="004E2001">
        <w:t xml:space="preserve">robust. This was a simple </w:t>
      </w:r>
      <w:r w:rsidR="00262DAA" w:rsidRPr="004E2001">
        <w:t>analysis</w:t>
      </w:r>
      <w:r w:rsidRPr="004E2001">
        <w:t xml:space="preserve"> that did not control for other factors associated with weight loss (e.g. age, sex, baseline weight). The semaglutide group in the analysis was also based on inappropriately combined, unadjusted data from trials with different populations. </w:t>
      </w:r>
    </w:p>
    <w:p w:rsidR="00F9392A" w:rsidRPr="004E2001" w:rsidRDefault="00077E39" w:rsidP="0076592A">
      <w:pPr>
        <w:pStyle w:val="ListParagraph"/>
        <w:numPr>
          <w:ilvl w:val="1"/>
          <w:numId w:val="2"/>
        </w:numPr>
        <w:jc w:val="both"/>
      </w:pPr>
      <w:r w:rsidRPr="004E2001">
        <w:t>Other studies using pooled data from the broader SUSTAIN trial program and another based on other GLP-1 studies (DURATION trial program</w:t>
      </w:r>
      <w:r w:rsidR="0067006C" w:rsidRPr="004E2001">
        <w:t xml:space="preserve"> for exenatide once weekly</w:t>
      </w:r>
      <w:r w:rsidRPr="004E2001">
        <w:t>) suggest that gastrointestinal adverse events are a likely contributor to the weight loss effect associated with GLP-1 analogues (Ahren et al 2018 and Horowitz et al 2016). However, the magnitude of weight loss that can be attributed to the occurrence of gastrointestinal events remains unclear.</w:t>
      </w:r>
    </w:p>
    <w:p w:rsidR="003F26F6" w:rsidRPr="004E2001" w:rsidRDefault="003F26F6">
      <w:pPr>
        <w:jc w:val="left"/>
        <w:rPr>
          <w:b/>
          <w:i/>
          <w:sz w:val="28"/>
        </w:rPr>
      </w:pPr>
      <w:bookmarkStart w:id="10" w:name="_Toc19615256"/>
      <w:r w:rsidRPr="004E2001">
        <w:br w:type="page"/>
      </w:r>
    </w:p>
    <w:p w:rsidR="007F1017" w:rsidRPr="004E2001" w:rsidRDefault="007F1017" w:rsidP="003F26F6">
      <w:pPr>
        <w:pStyle w:val="Heading2"/>
      </w:pPr>
      <w:r w:rsidRPr="004E2001">
        <w:lastRenderedPageBreak/>
        <w:t>Benefits/harms</w:t>
      </w:r>
      <w:bookmarkEnd w:id="10"/>
    </w:p>
    <w:p w:rsidR="004151CF" w:rsidRPr="004E2001" w:rsidRDefault="004151CF" w:rsidP="003F26F6"/>
    <w:p w:rsidR="0023209F" w:rsidRPr="004E2001" w:rsidRDefault="00F1524A" w:rsidP="0076592A">
      <w:pPr>
        <w:pStyle w:val="ListParagraph"/>
        <w:numPr>
          <w:ilvl w:val="1"/>
          <w:numId w:val="2"/>
        </w:numPr>
        <w:spacing w:after="0"/>
        <w:jc w:val="both"/>
      </w:pPr>
      <w:r w:rsidRPr="004E2001">
        <w:rPr>
          <w:rFonts w:cs="Calibri"/>
          <w:snapToGrid/>
        </w:rPr>
        <w:t xml:space="preserve">On the basis of direct evidence presented in the submission, for every 100 patients </w:t>
      </w:r>
      <w:r w:rsidR="00BF4691" w:rsidRPr="004E2001">
        <w:rPr>
          <w:rFonts w:cs="Calibri"/>
          <w:snapToGrid/>
        </w:rPr>
        <w:t xml:space="preserve">with type 2 diabetes treated with semaglutide </w:t>
      </w:r>
      <w:r w:rsidR="00536E8A" w:rsidRPr="004E2001">
        <w:rPr>
          <w:rFonts w:cs="Calibri"/>
          <w:snapToGrid/>
        </w:rPr>
        <w:t xml:space="preserve">1.0 mg once weekly </w:t>
      </w:r>
      <w:r w:rsidR="00BF4691" w:rsidRPr="004E2001">
        <w:rPr>
          <w:rFonts w:cs="Calibri"/>
          <w:snapToGrid/>
        </w:rPr>
        <w:t>in comparison to exenatide once weekly</w:t>
      </w:r>
      <w:r w:rsidR="00536E8A" w:rsidRPr="004E2001">
        <w:rPr>
          <w:rFonts w:cs="Calibri"/>
          <w:snapToGrid/>
        </w:rPr>
        <w:t>,</w:t>
      </w:r>
      <w:r w:rsidR="00BF4691" w:rsidRPr="004E2001">
        <w:rPr>
          <w:rFonts w:cs="Calibri"/>
          <w:snapToGrid/>
        </w:rPr>
        <w:t xml:space="preserve"> </w:t>
      </w:r>
      <w:r w:rsidR="00536E8A" w:rsidRPr="004E2001">
        <w:rPr>
          <w:rFonts w:cs="Calibri"/>
          <w:snapToGrid/>
        </w:rPr>
        <w:t>as dual or triple therapy with metformin and/or sulfonylurea</w:t>
      </w:r>
      <w:r w:rsidR="00BF4691" w:rsidRPr="004E2001">
        <w:rPr>
          <w:rFonts w:cs="Calibri"/>
          <w:snapToGrid/>
        </w:rPr>
        <w:t>:</w:t>
      </w:r>
    </w:p>
    <w:p w:rsidR="00BF4691" w:rsidRPr="004E2001" w:rsidRDefault="00BF4691" w:rsidP="0076592A">
      <w:pPr>
        <w:pStyle w:val="ListParagraph"/>
        <w:numPr>
          <w:ilvl w:val="0"/>
          <w:numId w:val="8"/>
        </w:numPr>
        <w:spacing w:after="0"/>
        <w:ind w:left="1077" w:hanging="357"/>
        <w:jc w:val="both"/>
      </w:pPr>
      <w:r w:rsidRPr="004E2001">
        <w:t>Approximately 27 more patients</w:t>
      </w:r>
      <w:r w:rsidR="0067006C" w:rsidRPr="004E2001">
        <w:t xml:space="preserve"> would achieve</w:t>
      </w:r>
      <w:r w:rsidRPr="004E2001">
        <w:t xml:space="preserve"> an HbA1c target of less </w:t>
      </w:r>
      <w:r w:rsidR="00D543D4" w:rsidRPr="004E2001">
        <w:t>than</w:t>
      </w:r>
      <w:r w:rsidR="00615CF1" w:rsidRPr="004E2001">
        <w:t xml:space="preserve"> 7</w:t>
      </w:r>
      <w:r w:rsidRPr="004E2001">
        <w:t>%</w:t>
      </w:r>
      <w:r w:rsidR="00261A6F" w:rsidRPr="004E2001">
        <w:t xml:space="preserve"> over 56 weeks</w:t>
      </w:r>
    </w:p>
    <w:p w:rsidR="00BF4691" w:rsidRPr="004E2001" w:rsidRDefault="00BF4691" w:rsidP="0076592A">
      <w:pPr>
        <w:pStyle w:val="ListParagraph"/>
        <w:numPr>
          <w:ilvl w:val="0"/>
          <w:numId w:val="8"/>
        </w:numPr>
        <w:spacing w:after="0"/>
        <w:ind w:left="1077" w:hanging="357"/>
        <w:jc w:val="both"/>
      </w:pPr>
      <w:r w:rsidRPr="004E2001">
        <w:t>Approxim</w:t>
      </w:r>
      <w:r w:rsidR="0067006C" w:rsidRPr="004E2001">
        <w:t>ately 35 more patients would achieve</w:t>
      </w:r>
      <w:r w:rsidRPr="004E2001">
        <w:t xml:space="preserve"> </w:t>
      </w:r>
      <w:r w:rsidR="00615CF1" w:rsidRPr="004E2001">
        <w:t>at least</w:t>
      </w:r>
      <w:r w:rsidRPr="004E2001">
        <w:t xml:space="preserve"> 5% weight loss</w:t>
      </w:r>
      <w:r w:rsidR="00261A6F" w:rsidRPr="004E2001">
        <w:t xml:space="preserve"> over 56 weeks</w:t>
      </w:r>
    </w:p>
    <w:p w:rsidR="00BF4691" w:rsidRPr="004E2001" w:rsidRDefault="00BF4691" w:rsidP="0076592A">
      <w:pPr>
        <w:pStyle w:val="ListParagraph"/>
        <w:numPr>
          <w:ilvl w:val="0"/>
          <w:numId w:val="8"/>
        </w:numPr>
        <w:spacing w:after="0"/>
        <w:ind w:left="1077" w:hanging="357"/>
        <w:jc w:val="both"/>
      </w:pPr>
      <w:r w:rsidRPr="004E2001">
        <w:t xml:space="preserve">Approximately </w:t>
      </w:r>
      <w:r w:rsidR="00261A6F" w:rsidRPr="004E2001">
        <w:t xml:space="preserve">50 </w:t>
      </w:r>
      <w:r w:rsidR="00FA6F37" w:rsidRPr="004E2001">
        <w:t xml:space="preserve">more </w:t>
      </w:r>
      <w:r w:rsidRPr="004E2001">
        <w:t>gastrointestinal adverse event</w:t>
      </w:r>
      <w:r w:rsidR="00FA6F37" w:rsidRPr="004E2001">
        <w:t>s</w:t>
      </w:r>
      <w:r w:rsidR="00261A6F" w:rsidRPr="004E2001">
        <w:t xml:space="preserve"> </w:t>
      </w:r>
      <w:r w:rsidR="00EB04F9" w:rsidRPr="004E2001">
        <w:t xml:space="preserve">would occur </w:t>
      </w:r>
      <w:r w:rsidR="00261A6F" w:rsidRPr="004E2001">
        <w:t>over 12 months</w:t>
      </w:r>
    </w:p>
    <w:p w:rsidR="00BF4691" w:rsidRPr="004E2001" w:rsidRDefault="00536E8A" w:rsidP="0076592A">
      <w:pPr>
        <w:pStyle w:val="ListParagraph"/>
        <w:numPr>
          <w:ilvl w:val="0"/>
          <w:numId w:val="8"/>
        </w:numPr>
        <w:spacing w:after="0"/>
        <w:ind w:left="1077" w:hanging="357"/>
        <w:jc w:val="both"/>
      </w:pPr>
      <w:r w:rsidRPr="004E2001">
        <w:t>No patients would experience an injection-site nodule</w:t>
      </w:r>
      <w:r w:rsidR="00261A6F" w:rsidRPr="004E2001">
        <w:t xml:space="preserve"> over 12 months</w:t>
      </w:r>
    </w:p>
    <w:p w:rsidR="006F4349" w:rsidRPr="004E2001" w:rsidRDefault="006F4349" w:rsidP="0076592A">
      <w:pPr>
        <w:ind w:left="720"/>
      </w:pPr>
    </w:p>
    <w:p w:rsidR="00BF4691" w:rsidRPr="004E2001" w:rsidRDefault="00536E8A" w:rsidP="0076592A">
      <w:pPr>
        <w:pStyle w:val="ListParagraph"/>
        <w:numPr>
          <w:ilvl w:val="1"/>
          <w:numId w:val="2"/>
        </w:numPr>
        <w:spacing w:after="0"/>
        <w:jc w:val="both"/>
        <w:rPr>
          <w:rStyle w:val="CommentReference"/>
          <w:rFonts w:ascii="Calibri" w:hAnsi="Calibri"/>
          <w:b w:val="0"/>
          <w:sz w:val="24"/>
          <w:szCs w:val="22"/>
        </w:rPr>
      </w:pPr>
      <w:r w:rsidRPr="004E2001">
        <w:rPr>
          <w:rStyle w:val="CommentReference"/>
          <w:rFonts w:ascii="Calibri" w:hAnsi="Calibri"/>
          <w:b w:val="0"/>
          <w:sz w:val="24"/>
          <w:szCs w:val="22"/>
        </w:rPr>
        <w:t>On the basis of direct evidence presented in the submission, for every 100 patients with type 2 diabetes treated with semaglutide 1.0 mg once weekly in comparison to dulaglutide 1.5 mg once weekly as dual therapy with metformin:</w:t>
      </w:r>
    </w:p>
    <w:p w:rsidR="00536E8A" w:rsidRPr="004E2001" w:rsidRDefault="00536E8A" w:rsidP="0076592A">
      <w:pPr>
        <w:pStyle w:val="ListParagraph"/>
        <w:numPr>
          <w:ilvl w:val="0"/>
          <w:numId w:val="9"/>
        </w:numPr>
        <w:spacing w:after="0"/>
        <w:ind w:left="1077" w:hanging="357"/>
        <w:jc w:val="both"/>
        <w:rPr>
          <w:rStyle w:val="CommentReference"/>
          <w:rFonts w:ascii="Calibri" w:hAnsi="Calibri"/>
          <w:b w:val="0"/>
          <w:sz w:val="24"/>
          <w:szCs w:val="22"/>
        </w:rPr>
      </w:pPr>
      <w:r w:rsidRPr="004E2001">
        <w:rPr>
          <w:rStyle w:val="CommentReference"/>
          <w:rFonts w:ascii="Calibri" w:hAnsi="Calibri"/>
          <w:b w:val="0"/>
          <w:sz w:val="24"/>
          <w:szCs w:val="22"/>
        </w:rPr>
        <w:t xml:space="preserve">Approximately </w:t>
      </w:r>
      <w:r w:rsidR="00D543D4" w:rsidRPr="004E2001">
        <w:rPr>
          <w:rStyle w:val="CommentReference"/>
          <w:rFonts w:ascii="Calibri" w:hAnsi="Calibri"/>
          <w:b w:val="0"/>
          <w:sz w:val="24"/>
          <w:szCs w:val="22"/>
        </w:rPr>
        <w:t xml:space="preserve">12 more patients </w:t>
      </w:r>
      <w:r w:rsidR="0067006C" w:rsidRPr="004E2001">
        <w:rPr>
          <w:rStyle w:val="CommentReference"/>
          <w:rFonts w:ascii="Calibri" w:hAnsi="Calibri"/>
          <w:b w:val="0"/>
          <w:sz w:val="24"/>
          <w:szCs w:val="22"/>
        </w:rPr>
        <w:t>would achieve</w:t>
      </w:r>
      <w:r w:rsidR="00D543D4" w:rsidRPr="004E2001">
        <w:rPr>
          <w:rStyle w:val="CommentReference"/>
          <w:rFonts w:ascii="Calibri" w:hAnsi="Calibri"/>
          <w:b w:val="0"/>
          <w:sz w:val="24"/>
          <w:szCs w:val="22"/>
        </w:rPr>
        <w:t xml:space="preserve"> an HbA1</w:t>
      </w:r>
      <w:r w:rsidR="00615CF1" w:rsidRPr="004E2001">
        <w:rPr>
          <w:rStyle w:val="CommentReference"/>
          <w:rFonts w:ascii="Calibri" w:hAnsi="Calibri"/>
          <w:b w:val="0"/>
          <w:sz w:val="24"/>
          <w:szCs w:val="22"/>
        </w:rPr>
        <w:t>c target of less than 7</w:t>
      </w:r>
      <w:r w:rsidR="00D543D4" w:rsidRPr="004E2001">
        <w:rPr>
          <w:rStyle w:val="CommentReference"/>
          <w:rFonts w:ascii="Calibri" w:hAnsi="Calibri"/>
          <w:b w:val="0"/>
          <w:sz w:val="24"/>
          <w:szCs w:val="22"/>
        </w:rPr>
        <w:t>%</w:t>
      </w:r>
      <w:r w:rsidR="006F4349" w:rsidRPr="004E2001">
        <w:rPr>
          <w:rStyle w:val="CommentReference"/>
          <w:rFonts w:ascii="Calibri" w:hAnsi="Calibri"/>
          <w:b w:val="0"/>
          <w:sz w:val="24"/>
          <w:szCs w:val="22"/>
        </w:rPr>
        <w:t xml:space="preserve"> over 40 weeks</w:t>
      </w:r>
    </w:p>
    <w:p w:rsidR="00D543D4" w:rsidRPr="004E2001" w:rsidRDefault="00D543D4" w:rsidP="0076592A">
      <w:pPr>
        <w:pStyle w:val="ListParagraph"/>
        <w:numPr>
          <w:ilvl w:val="0"/>
          <w:numId w:val="9"/>
        </w:numPr>
        <w:spacing w:after="0"/>
        <w:ind w:left="1077" w:hanging="357"/>
        <w:jc w:val="both"/>
        <w:rPr>
          <w:rStyle w:val="CommentReference"/>
          <w:rFonts w:ascii="Calibri" w:hAnsi="Calibri"/>
          <w:b w:val="0"/>
          <w:sz w:val="24"/>
          <w:szCs w:val="22"/>
        </w:rPr>
      </w:pPr>
      <w:r w:rsidRPr="004E2001">
        <w:rPr>
          <w:rStyle w:val="CommentReference"/>
          <w:rFonts w:ascii="Calibri" w:hAnsi="Calibri"/>
          <w:b w:val="0"/>
          <w:sz w:val="24"/>
          <w:szCs w:val="22"/>
        </w:rPr>
        <w:t>Approxim</w:t>
      </w:r>
      <w:r w:rsidR="0067006C" w:rsidRPr="004E2001">
        <w:rPr>
          <w:rStyle w:val="CommentReference"/>
          <w:rFonts w:ascii="Calibri" w:hAnsi="Calibri"/>
          <w:b w:val="0"/>
          <w:sz w:val="24"/>
          <w:szCs w:val="22"/>
        </w:rPr>
        <w:t>ately 33 more patients would achieve</w:t>
      </w:r>
      <w:r w:rsidRPr="004E2001">
        <w:rPr>
          <w:rStyle w:val="CommentReference"/>
          <w:rFonts w:ascii="Calibri" w:hAnsi="Calibri"/>
          <w:b w:val="0"/>
          <w:sz w:val="24"/>
          <w:szCs w:val="22"/>
        </w:rPr>
        <w:t xml:space="preserve"> </w:t>
      </w:r>
      <w:r w:rsidR="00615CF1" w:rsidRPr="004E2001">
        <w:rPr>
          <w:rStyle w:val="CommentReference"/>
          <w:rFonts w:ascii="Calibri" w:hAnsi="Calibri"/>
          <w:b w:val="0"/>
          <w:sz w:val="24"/>
          <w:szCs w:val="22"/>
        </w:rPr>
        <w:t>at least</w:t>
      </w:r>
      <w:r w:rsidRPr="004E2001">
        <w:rPr>
          <w:rStyle w:val="CommentReference"/>
          <w:rFonts w:ascii="Calibri" w:hAnsi="Calibri"/>
          <w:b w:val="0"/>
          <w:sz w:val="24"/>
          <w:szCs w:val="22"/>
        </w:rPr>
        <w:t xml:space="preserve"> 5% weight loss</w:t>
      </w:r>
      <w:r w:rsidR="006F4349" w:rsidRPr="004E2001">
        <w:rPr>
          <w:rStyle w:val="CommentReference"/>
          <w:rFonts w:ascii="Calibri" w:hAnsi="Calibri"/>
          <w:b w:val="0"/>
          <w:sz w:val="24"/>
          <w:szCs w:val="22"/>
        </w:rPr>
        <w:t xml:space="preserve"> over 40 weeks</w:t>
      </w:r>
    </w:p>
    <w:p w:rsidR="00D543D4" w:rsidRPr="004E2001" w:rsidRDefault="00D543D4" w:rsidP="0076592A">
      <w:pPr>
        <w:pStyle w:val="ListParagraph"/>
        <w:numPr>
          <w:ilvl w:val="0"/>
          <w:numId w:val="9"/>
        </w:numPr>
        <w:ind w:left="1077" w:hanging="357"/>
        <w:jc w:val="both"/>
        <w:rPr>
          <w:rStyle w:val="CommentReference"/>
          <w:rFonts w:ascii="Calibri" w:hAnsi="Calibri"/>
          <w:b w:val="0"/>
          <w:sz w:val="24"/>
          <w:szCs w:val="22"/>
        </w:rPr>
      </w:pPr>
      <w:r w:rsidRPr="004E2001">
        <w:rPr>
          <w:rStyle w:val="CommentReference"/>
          <w:rFonts w:ascii="Calibri" w:hAnsi="Calibri"/>
          <w:b w:val="0"/>
          <w:sz w:val="24"/>
          <w:szCs w:val="22"/>
        </w:rPr>
        <w:t xml:space="preserve">Approximately </w:t>
      </w:r>
      <w:r w:rsidR="006F4349" w:rsidRPr="004E2001">
        <w:rPr>
          <w:rStyle w:val="CommentReference"/>
          <w:rFonts w:ascii="Calibri" w:hAnsi="Calibri"/>
          <w:b w:val="0"/>
          <w:sz w:val="24"/>
          <w:szCs w:val="22"/>
        </w:rPr>
        <w:t xml:space="preserve">50 </w:t>
      </w:r>
      <w:r w:rsidR="000B70C6" w:rsidRPr="004E2001">
        <w:rPr>
          <w:rStyle w:val="CommentReference"/>
          <w:rFonts w:ascii="Calibri" w:hAnsi="Calibri"/>
          <w:b w:val="0"/>
          <w:sz w:val="24"/>
          <w:szCs w:val="22"/>
        </w:rPr>
        <w:t>more</w:t>
      </w:r>
      <w:r w:rsidR="001B4A23" w:rsidRPr="004E2001">
        <w:rPr>
          <w:rStyle w:val="CommentReference"/>
          <w:rFonts w:ascii="Calibri" w:hAnsi="Calibri"/>
          <w:b w:val="0"/>
          <w:sz w:val="24"/>
          <w:szCs w:val="22"/>
        </w:rPr>
        <w:t xml:space="preserve"> gastrointestinal adverse event</w:t>
      </w:r>
      <w:r w:rsidR="000B70C6" w:rsidRPr="004E2001">
        <w:rPr>
          <w:rStyle w:val="CommentReference"/>
          <w:rFonts w:ascii="Calibri" w:hAnsi="Calibri"/>
          <w:b w:val="0"/>
          <w:sz w:val="24"/>
          <w:szCs w:val="22"/>
        </w:rPr>
        <w:t>s</w:t>
      </w:r>
      <w:r w:rsidR="006F4349" w:rsidRPr="004E2001">
        <w:rPr>
          <w:rStyle w:val="CommentReference"/>
          <w:rFonts w:ascii="Calibri" w:hAnsi="Calibri"/>
          <w:b w:val="0"/>
          <w:sz w:val="24"/>
          <w:szCs w:val="22"/>
        </w:rPr>
        <w:t xml:space="preserve"> </w:t>
      </w:r>
      <w:r w:rsidR="00EB04F9" w:rsidRPr="004E2001">
        <w:rPr>
          <w:rStyle w:val="CommentReference"/>
          <w:rFonts w:ascii="Calibri" w:hAnsi="Calibri"/>
          <w:b w:val="0"/>
          <w:sz w:val="24"/>
          <w:szCs w:val="22"/>
        </w:rPr>
        <w:t xml:space="preserve">would occur </w:t>
      </w:r>
      <w:r w:rsidR="006F4349" w:rsidRPr="004E2001">
        <w:rPr>
          <w:rStyle w:val="CommentReference"/>
          <w:rFonts w:ascii="Calibri" w:hAnsi="Calibri"/>
          <w:b w:val="0"/>
          <w:sz w:val="24"/>
          <w:szCs w:val="22"/>
        </w:rPr>
        <w:t>over 12 months</w:t>
      </w:r>
    </w:p>
    <w:p w:rsidR="00B60939" w:rsidRPr="004E2001" w:rsidRDefault="00B60939" w:rsidP="0076592A">
      <w:pPr>
        <w:pStyle w:val="Heading2"/>
      </w:pPr>
      <w:bookmarkStart w:id="11" w:name="_Toc19615257"/>
      <w:r w:rsidRPr="004E2001">
        <w:t>Clinical claim</w:t>
      </w:r>
      <w:bookmarkEnd w:id="11"/>
    </w:p>
    <w:p w:rsidR="00B60939" w:rsidRPr="004E2001" w:rsidRDefault="00B60939" w:rsidP="0076592A">
      <w:pPr>
        <w:ind w:left="720" w:hanging="720"/>
      </w:pPr>
    </w:p>
    <w:p w:rsidR="00D05510" w:rsidRPr="004E2001" w:rsidRDefault="00D05510" w:rsidP="0076592A">
      <w:pPr>
        <w:pStyle w:val="ListParagraph"/>
        <w:numPr>
          <w:ilvl w:val="1"/>
          <w:numId w:val="2"/>
        </w:numPr>
        <w:jc w:val="both"/>
      </w:pPr>
      <w:r w:rsidRPr="004E2001">
        <w:t xml:space="preserve">The submission described semaglutide 1.0 mg once weekly as superior in terms of efficacy and non-inferior in terms of safety compared with exenatide 2.0 mg once weekly when used as dual or triple therapy with metformin and/or sulfonylurea. The </w:t>
      </w:r>
      <w:r w:rsidR="005E42D0" w:rsidRPr="004E2001">
        <w:t xml:space="preserve">ESC considered the </w:t>
      </w:r>
      <w:r w:rsidRPr="004E2001">
        <w:t xml:space="preserve">efficacy claim was reasonable in terms of </w:t>
      </w:r>
      <w:r w:rsidR="00EB04F9" w:rsidRPr="004E2001">
        <w:t xml:space="preserve">statistically significant </w:t>
      </w:r>
      <w:r w:rsidRPr="004E2001">
        <w:t xml:space="preserve">change in HbA1c and weight loss. However, the </w:t>
      </w:r>
      <w:r w:rsidR="00223F73" w:rsidRPr="004E2001">
        <w:t>clinical importance of the</w:t>
      </w:r>
      <w:r w:rsidR="004772D3" w:rsidRPr="004E2001">
        <w:t xml:space="preserve">se </w:t>
      </w:r>
      <w:r w:rsidR="00223F73" w:rsidRPr="004E2001">
        <w:t>differences remains unclear</w:t>
      </w:r>
      <w:r w:rsidRPr="004E2001">
        <w:t>. In terms of safety, high dose semaglutide was potentially inferior compared to exenatide once weekly</w:t>
      </w:r>
      <w:r w:rsidR="006E1FF9" w:rsidRPr="004E2001">
        <w:t xml:space="preserve"> due to the increased risk of gastrointestinal adverse events</w:t>
      </w:r>
      <w:r w:rsidRPr="004E2001">
        <w:t>.</w:t>
      </w:r>
      <w:r w:rsidR="000B0764" w:rsidRPr="004E2001">
        <w:rPr>
          <w:i/>
        </w:rPr>
        <w:t xml:space="preserve"> </w:t>
      </w:r>
    </w:p>
    <w:p w:rsidR="00D74DC9" w:rsidRPr="004E2001" w:rsidRDefault="00D74DC9" w:rsidP="0076592A">
      <w:pPr>
        <w:pStyle w:val="ListParagraph"/>
        <w:numPr>
          <w:ilvl w:val="1"/>
          <w:numId w:val="2"/>
        </w:numPr>
        <w:jc w:val="both"/>
      </w:pPr>
      <w:r w:rsidRPr="004E2001">
        <w:t>The submission did not make a clinical claim for semaglutide 0.5 mg versus exenatide 2.0 mg once weekly in dual or triple therapy with metformin and/or sulfonylurea.</w:t>
      </w:r>
    </w:p>
    <w:p w:rsidR="00D05510" w:rsidRPr="004E2001" w:rsidRDefault="00D05510" w:rsidP="0076592A">
      <w:pPr>
        <w:pStyle w:val="ListParagraph"/>
        <w:numPr>
          <w:ilvl w:val="1"/>
          <w:numId w:val="2"/>
        </w:numPr>
        <w:jc w:val="both"/>
      </w:pPr>
      <w:r w:rsidRPr="004E2001">
        <w:t>The submission described semaglutide 0.5 mg once weekly as superior in terms of efficacy and non-inferior in terms of safety compared with dulaglutide 1.5 mg once weekly in dual therapy with metformin or sulfonylurea. The efficacy claim was inadequately supported by the data. Low dose semaglutide was potentially non-inferior in terms of change in HbA1c and weight loss and safety compared with dulaglutide 1.5 mg once weekly.</w:t>
      </w:r>
    </w:p>
    <w:p w:rsidR="00D05510" w:rsidRPr="004E2001" w:rsidRDefault="00D05510" w:rsidP="0076592A">
      <w:pPr>
        <w:pStyle w:val="ListParagraph"/>
        <w:numPr>
          <w:ilvl w:val="1"/>
          <w:numId w:val="2"/>
        </w:numPr>
        <w:jc w:val="both"/>
      </w:pPr>
      <w:r w:rsidRPr="004E2001">
        <w:lastRenderedPageBreak/>
        <w:t xml:space="preserve">The submission described semaglutide 1.0 mg once weekly as superior in terms of efficacy and non-inferior in terms of safety compared with dulaglutide 1.5 mg once weekly in dual therapy with metformin or sulfonylurea. The efficacy claim </w:t>
      </w:r>
      <w:r w:rsidR="004772D3" w:rsidRPr="004E2001">
        <w:t xml:space="preserve">may be </w:t>
      </w:r>
      <w:r w:rsidRPr="004E2001">
        <w:t xml:space="preserve">reasonable in terms of </w:t>
      </w:r>
      <w:r w:rsidR="00EB04F9" w:rsidRPr="004E2001">
        <w:t xml:space="preserve">statistically significant </w:t>
      </w:r>
      <w:r w:rsidRPr="004E2001">
        <w:t>change in HbA1c and weight loss</w:t>
      </w:r>
      <w:r w:rsidR="004772D3" w:rsidRPr="004E2001">
        <w:t xml:space="preserve">. However, it was unclear whether the incremental gain in reduction in HbA1c and body weight was clinically important. </w:t>
      </w:r>
      <w:r w:rsidRPr="004E2001">
        <w:t xml:space="preserve">In terms of safety, high dose semaglutide </w:t>
      </w:r>
      <w:r w:rsidR="005E42D0" w:rsidRPr="004E2001">
        <w:t>was non-</w:t>
      </w:r>
      <w:r w:rsidRPr="004E2001">
        <w:t>inferior to dulaglutide 1.5 mg.</w:t>
      </w:r>
      <w:r w:rsidR="003F52F5" w:rsidRPr="004E2001">
        <w:t xml:space="preserve"> </w:t>
      </w:r>
    </w:p>
    <w:p w:rsidR="00D05510" w:rsidRPr="004E2001" w:rsidRDefault="00D05510" w:rsidP="0076592A">
      <w:pPr>
        <w:pStyle w:val="ListParagraph"/>
        <w:numPr>
          <w:ilvl w:val="1"/>
          <w:numId w:val="2"/>
        </w:numPr>
        <w:jc w:val="both"/>
      </w:pPr>
      <w:r w:rsidRPr="004E2001">
        <w:t>The submission did not make a clinical claim for semaglutide 0.5 mg or 1.0 mg once weekly versus dulaglutide 1.5 mg once weekly in triple therapy with metformin and sulfonylurea.</w:t>
      </w:r>
    </w:p>
    <w:p w:rsidR="00F32DAD" w:rsidRPr="004E2001" w:rsidRDefault="00F32DAD" w:rsidP="0076592A">
      <w:pPr>
        <w:pStyle w:val="ListParagraph"/>
        <w:numPr>
          <w:ilvl w:val="1"/>
          <w:numId w:val="2"/>
        </w:numPr>
        <w:jc w:val="both"/>
      </w:pPr>
      <w:r w:rsidRPr="004E2001">
        <w:t>The ESC considered there was insufficient evidence of superiority of semaglutide over both comparators, but particularly dulaglutide, given the gaps in the clinical data presented. This is a particular issue if there is higher use of 0.5 mg semaglu</w:t>
      </w:r>
      <w:r w:rsidR="002A5317" w:rsidRPr="004E2001">
        <w:t>t</w:t>
      </w:r>
      <w:r w:rsidRPr="004E2001">
        <w:t xml:space="preserve">ide </w:t>
      </w:r>
      <w:r w:rsidR="008255E0" w:rsidRPr="004E2001">
        <w:t>as a result of</w:t>
      </w:r>
      <w:r w:rsidRPr="004E2001">
        <w:t xml:space="preserve"> the gastrointestinal side effects</w:t>
      </w:r>
      <w:r w:rsidR="00FB2F50">
        <w:t xml:space="preserve"> associated with 1.0 mg semaglutide</w:t>
      </w:r>
      <w:r w:rsidRPr="004E2001">
        <w:t>. It was unclear (in the context of previous PBAC considerations) that the comparative HbA1c and weight outcomes demonstrated in the SUSTAIN trials demonstrated superior and clinically important outcomes in the longer term for semaglutide over the com</w:t>
      </w:r>
      <w:r w:rsidR="00265B5C" w:rsidRPr="004E2001">
        <w:t>parators</w:t>
      </w:r>
      <w:r w:rsidRPr="004E2001">
        <w:t xml:space="preserve">. An increased focus on CVD outcomes is warranted but no comparative data between semaglutide and dulaglutide was provided. </w:t>
      </w:r>
    </w:p>
    <w:p w:rsidR="00CA272B" w:rsidRPr="004E2001" w:rsidRDefault="00F32DAD" w:rsidP="0076592A">
      <w:pPr>
        <w:pStyle w:val="ListParagraph"/>
        <w:numPr>
          <w:ilvl w:val="1"/>
          <w:numId w:val="2"/>
        </w:numPr>
        <w:jc w:val="both"/>
      </w:pPr>
      <w:r w:rsidRPr="004E2001">
        <w:t>As there is no acceptable basis for the superiority claim over dulaglutide, t</w:t>
      </w:r>
      <w:r w:rsidR="00CA272B" w:rsidRPr="004E2001">
        <w:t>he ESC c</w:t>
      </w:r>
      <w:r w:rsidRPr="004E2001">
        <w:t>onclude</w:t>
      </w:r>
      <w:r w:rsidR="00CA272B" w:rsidRPr="004E2001">
        <w:t xml:space="preserve">d that semaglutide was </w:t>
      </w:r>
      <w:r w:rsidR="00FE76F1" w:rsidRPr="004E2001">
        <w:t xml:space="preserve">likely </w:t>
      </w:r>
      <w:r w:rsidR="00CA272B" w:rsidRPr="004E2001">
        <w:t>non-inferior in terms of efficacy to dulaglutide</w:t>
      </w:r>
      <w:r w:rsidR="00256555">
        <w:t>.</w:t>
      </w:r>
    </w:p>
    <w:p w:rsidR="006430C3" w:rsidRPr="004E2001" w:rsidRDefault="009C46F7" w:rsidP="0076592A">
      <w:pPr>
        <w:pStyle w:val="ListParagraph"/>
        <w:numPr>
          <w:ilvl w:val="1"/>
          <w:numId w:val="2"/>
        </w:numPr>
        <w:ind w:left="810" w:hanging="810"/>
        <w:jc w:val="both"/>
        <w:rPr>
          <w:szCs w:val="20"/>
          <w:lang w:eastAsia="en-US"/>
        </w:rPr>
      </w:pPr>
      <w:r w:rsidRPr="004E2001">
        <w:rPr>
          <w:szCs w:val="20"/>
          <w:lang w:eastAsia="en-US"/>
        </w:rPr>
        <w:t xml:space="preserve">The PBAC considered that the claim of superior comparative effectiveness was </w:t>
      </w:r>
      <w:r w:rsidR="009E612B" w:rsidRPr="004E2001">
        <w:rPr>
          <w:szCs w:val="20"/>
          <w:lang w:eastAsia="en-US"/>
        </w:rPr>
        <w:t>reasonable in</w:t>
      </w:r>
      <w:r w:rsidR="008255E0" w:rsidRPr="004E2001">
        <w:rPr>
          <w:szCs w:val="20"/>
          <w:lang w:eastAsia="en-US"/>
        </w:rPr>
        <w:t xml:space="preserve"> relation to exenatide, </w:t>
      </w:r>
      <w:r w:rsidR="006430C3" w:rsidRPr="004E2001">
        <w:rPr>
          <w:szCs w:val="20"/>
          <w:lang w:eastAsia="en-US"/>
        </w:rPr>
        <w:t xml:space="preserve">although the sustainability and clinical importance of these benefits long-term remained unclear. </w:t>
      </w:r>
    </w:p>
    <w:p w:rsidR="009C46F7" w:rsidRPr="004E2001" w:rsidRDefault="006430C3" w:rsidP="0076592A">
      <w:pPr>
        <w:pStyle w:val="ListParagraph"/>
        <w:numPr>
          <w:ilvl w:val="1"/>
          <w:numId w:val="2"/>
        </w:numPr>
        <w:ind w:left="810" w:hanging="810"/>
        <w:jc w:val="both"/>
        <w:rPr>
          <w:szCs w:val="20"/>
          <w:lang w:eastAsia="en-US"/>
        </w:rPr>
      </w:pPr>
      <w:r w:rsidRPr="004E2001">
        <w:t xml:space="preserve">The PBAC considered the </w:t>
      </w:r>
      <w:r w:rsidRPr="004E2001">
        <w:rPr>
          <w:szCs w:val="20"/>
          <w:lang w:eastAsia="en-US"/>
        </w:rPr>
        <w:t xml:space="preserve">claim of superior comparative effectiveness </w:t>
      </w:r>
      <w:r w:rsidR="009C46F7" w:rsidRPr="004E2001">
        <w:rPr>
          <w:szCs w:val="20"/>
          <w:lang w:eastAsia="en-US"/>
        </w:rPr>
        <w:t>was not adequately supported by the data</w:t>
      </w:r>
      <w:r w:rsidR="008255E0" w:rsidRPr="004E2001">
        <w:rPr>
          <w:szCs w:val="20"/>
          <w:lang w:eastAsia="en-US"/>
        </w:rPr>
        <w:t xml:space="preserve"> in relation to dulaglutide</w:t>
      </w:r>
      <w:r w:rsidR="009C46F7" w:rsidRPr="004E2001">
        <w:rPr>
          <w:szCs w:val="20"/>
          <w:lang w:eastAsia="en-US"/>
        </w:rPr>
        <w:t>.</w:t>
      </w:r>
    </w:p>
    <w:p w:rsidR="009C46F7" w:rsidRPr="004E2001" w:rsidRDefault="009C46F7" w:rsidP="0076592A">
      <w:pPr>
        <w:pStyle w:val="ListParagraph"/>
        <w:numPr>
          <w:ilvl w:val="1"/>
          <w:numId w:val="2"/>
        </w:numPr>
        <w:ind w:left="810" w:hanging="810"/>
        <w:jc w:val="both"/>
        <w:rPr>
          <w:szCs w:val="20"/>
        </w:rPr>
      </w:pPr>
      <w:r w:rsidRPr="004E2001">
        <w:rPr>
          <w:szCs w:val="20"/>
          <w:lang w:eastAsia="en-US"/>
        </w:rPr>
        <w:t>The PBAC considered that the claim of non-inferior comparative safety was reasonable</w:t>
      </w:r>
      <w:r w:rsidR="008255E0" w:rsidRPr="004E2001">
        <w:rPr>
          <w:szCs w:val="20"/>
          <w:lang w:eastAsia="en-US"/>
        </w:rPr>
        <w:t xml:space="preserve"> in relation to exenatide or dulaglutide</w:t>
      </w:r>
      <w:r w:rsidR="00256555">
        <w:rPr>
          <w:szCs w:val="20"/>
          <w:lang w:eastAsia="en-US"/>
        </w:rPr>
        <w:t xml:space="preserve">, but may be inferior to exenatide based on </w:t>
      </w:r>
      <w:r w:rsidR="00AA0860">
        <w:rPr>
          <w:szCs w:val="20"/>
          <w:lang w:eastAsia="en-US"/>
        </w:rPr>
        <w:t>gastrointestinal</w:t>
      </w:r>
      <w:r w:rsidR="00256555">
        <w:rPr>
          <w:szCs w:val="20"/>
          <w:lang w:eastAsia="en-US"/>
        </w:rPr>
        <w:t xml:space="preserve"> events</w:t>
      </w:r>
      <w:r w:rsidRPr="004E2001">
        <w:rPr>
          <w:szCs w:val="20"/>
          <w:lang w:eastAsia="en-US"/>
        </w:rPr>
        <w:t>.</w:t>
      </w:r>
    </w:p>
    <w:p w:rsidR="00B60939" w:rsidRPr="004E2001" w:rsidRDefault="00B60939" w:rsidP="0076592A">
      <w:pPr>
        <w:pStyle w:val="Heading2"/>
      </w:pPr>
      <w:bookmarkStart w:id="12" w:name="_Toc19615258"/>
      <w:r w:rsidRPr="004E2001">
        <w:t>Economic analysis</w:t>
      </w:r>
      <w:bookmarkEnd w:id="12"/>
      <w:r w:rsidR="00491B3A" w:rsidRPr="004E2001">
        <w:t xml:space="preserve"> </w:t>
      </w:r>
    </w:p>
    <w:p w:rsidR="00275C5A" w:rsidRPr="004E2001" w:rsidRDefault="00275C5A" w:rsidP="0076592A"/>
    <w:p w:rsidR="00722FD3" w:rsidRPr="004E2001" w:rsidRDefault="00722FD3" w:rsidP="0076592A">
      <w:pPr>
        <w:pStyle w:val="ListParagraph"/>
        <w:numPr>
          <w:ilvl w:val="1"/>
          <w:numId w:val="2"/>
        </w:numPr>
        <w:jc w:val="both"/>
      </w:pPr>
      <w:r w:rsidRPr="004E2001">
        <w:t>The submission presented a modelled economic evaluation of semaglutide 1.0 mg versus exenatide once weekly (based on the SUSTAIN-3 trial) as dual/triple therapy for type 2 diabetes. The submission also presented a supportive modelled economic evaluation of  semaglutide 0.5 mg or 1.0 mg versus dulaglutide once weekly (based on the SUSTAIN-7 trial) as dual therapy for type 2 diabetes. The economic evaluations were based on changes in HbA1c, BMI and other biomarkers reported in the clinical trials as well as other modelled variables. The economic evaluations were presented as cost-utility analyses.</w:t>
      </w:r>
    </w:p>
    <w:p w:rsidR="00722FD3" w:rsidRPr="004E2001" w:rsidRDefault="00722FD3" w:rsidP="0076592A">
      <w:pPr>
        <w:pStyle w:val="ListParagraph"/>
        <w:numPr>
          <w:ilvl w:val="1"/>
          <w:numId w:val="2"/>
        </w:numPr>
        <w:jc w:val="both"/>
      </w:pPr>
      <w:r w:rsidRPr="004E2001">
        <w:lastRenderedPageBreak/>
        <w:t>The cost effectiveness of semaglutide 0.5 mg compared to exenatide once weekly was unknown as no economic analysis was presented in the submission. Additionally, the cost effectiveness of semaglutide versus dulaglutide as triple therapy was also unknown as no analysis was presented in the submission.</w:t>
      </w:r>
    </w:p>
    <w:p w:rsidR="00722FD3" w:rsidRPr="004E2001" w:rsidRDefault="00722FD3" w:rsidP="0076592A">
      <w:pPr>
        <w:pStyle w:val="ListParagraph"/>
        <w:numPr>
          <w:ilvl w:val="1"/>
          <w:numId w:val="2"/>
        </w:numPr>
        <w:jc w:val="both"/>
      </w:pPr>
      <w:r w:rsidRPr="004E2001">
        <w:t>The clinical data presented in the submission did not adequately support a superiority claim for semaglutide 0.5 mg compared with dulaglutide</w:t>
      </w:r>
      <w:r w:rsidR="00EF3AA2" w:rsidRPr="004E2001">
        <w:t xml:space="preserve"> 1.5 mg</w:t>
      </w:r>
      <w:r w:rsidRPr="004E2001">
        <w:t xml:space="preserve"> once weekly and therefore a cost-utility analysis may not be appropriate for this comparison.</w:t>
      </w:r>
      <w:r w:rsidR="00C14CDB" w:rsidRPr="004E2001">
        <w:t xml:space="preserve"> The ESC considered that a cost-minimisation to dulaglutide was more appropriate.</w:t>
      </w:r>
    </w:p>
    <w:p w:rsidR="00722FD3" w:rsidRPr="004E2001" w:rsidRDefault="00722FD3" w:rsidP="003F26F6">
      <w:pPr>
        <w:pStyle w:val="TableHeading0"/>
        <w:spacing w:after="0"/>
      </w:pPr>
      <w:r w:rsidRPr="004E2001">
        <w:t xml:space="preserve">Table </w:t>
      </w:r>
      <w:r w:rsidR="00623924" w:rsidRPr="004E2001">
        <w:t>1</w:t>
      </w:r>
      <w:r w:rsidR="00DD6AEE" w:rsidRPr="004E2001">
        <w:t>1</w:t>
      </w:r>
      <w:r w:rsidRPr="004E2001">
        <w:t>: Key components of the economic evaluation</w:t>
      </w:r>
    </w:p>
    <w:tbl>
      <w:tblPr>
        <w:tblW w:w="4991"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1: Key components of the economic evaluation"/>
      </w:tblPr>
      <w:tblGrid>
        <w:gridCol w:w="1833"/>
        <w:gridCol w:w="7168"/>
      </w:tblGrid>
      <w:tr w:rsidR="00722FD3" w:rsidRPr="004E2001" w:rsidTr="00C56F83">
        <w:trPr>
          <w:tblHeader/>
        </w:trPr>
        <w:tc>
          <w:tcPr>
            <w:tcW w:w="1018" w:type="pct"/>
            <w:shd w:val="clear" w:color="auto" w:fill="auto"/>
          </w:tcPr>
          <w:p w:rsidR="00722FD3" w:rsidRPr="004E2001" w:rsidRDefault="00722FD3" w:rsidP="003F26F6">
            <w:pPr>
              <w:pStyle w:val="TableText0"/>
              <w:rPr>
                <w:b/>
              </w:rPr>
            </w:pPr>
            <w:r w:rsidRPr="004E2001">
              <w:rPr>
                <w:b/>
              </w:rPr>
              <w:t xml:space="preserve">Component </w:t>
            </w:r>
          </w:p>
        </w:tc>
        <w:tc>
          <w:tcPr>
            <w:tcW w:w="3982" w:type="pct"/>
            <w:shd w:val="clear" w:color="auto" w:fill="auto"/>
          </w:tcPr>
          <w:p w:rsidR="00722FD3" w:rsidRPr="004E2001" w:rsidRDefault="00722FD3" w:rsidP="003F26F6">
            <w:pPr>
              <w:pStyle w:val="TableText0"/>
              <w:rPr>
                <w:b/>
              </w:rPr>
            </w:pPr>
            <w:r w:rsidRPr="004E2001">
              <w:rPr>
                <w:b/>
              </w:rPr>
              <w:t>Description</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pPr>
            <w:r w:rsidRPr="004E2001">
              <w:t xml:space="preserve">Type of analysis </w:t>
            </w:r>
          </w:p>
        </w:tc>
        <w:tc>
          <w:tcPr>
            <w:tcW w:w="3982"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Cost-utility analysis</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Outcomes</w:t>
            </w:r>
          </w:p>
        </w:tc>
        <w:tc>
          <w:tcPr>
            <w:tcW w:w="3982" w:type="pct"/>
            <w:shd w:val="clear" w:color="auto" w:fill="auto"/>
            <w:vAlign w:val="center"/>
          </w:tcPr>
          <w:p w:rsidR="00722FD3" w:rsidRPr="004E2001" w:rsidRDefault="00722FD3" w:rsidP="003F26F6">
            <w:pPr>
              <w:pStyle w:val="TableText0"/>
            </w:pPr>
            <w:r w:rsidRPr="004E2001">
              <w:t>Quality-adjusted life years</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Time horizon</w:t>
            </w:r>
          </w:p>
        </w:tc>
        <w:tc>
          <w:tcPr>
            <w:tcW w:w="3982"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10 years</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Methods used to generate results</w:t>
            </w:r>
          </w:p>
        </w:tc>
        <w:tc>
          <w:tcPr>
            <w:tcW w:w="3982"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 xml:space="preserve">IHE DCM model; Markov cohort analysis </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pPr>
            <w:r w:rsidRPr="004E2001">
              <w:t>Treatments</w:t>
            </w:r>
          </w:p>
        </w:tc>
        <w:tc>
          <w:tcPr>
            <w:tcW w:w="3982" w:type="pct"/>
            <w:shd w:val="clear" w:color="auto" w:fill="auto"/>
            <w:vAlign w:val="center"/>
          </w:tcPr>
          <w:p w:rsidR="00722FD3" w:rsidRPr="004E2001" w:rsidRDefault="00722FD3" w:rsidP="003F26F6">
            <w:pPr>
              <w:pStyle w:val="TableText0"/>
            </w:pPr>
            <w:r w:rsidRPr="004E2001">
              <w:t>Sequential treatment with semaglutide 0.5 mg, semaglutide 1.0 mg, exenatide once weekly or  dulaglutide once weekly followed by insulin</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Health states</w:t>
            </w:r>
          </w:p>
        </w:tc>
        <w:tc>
          <w:tcPr>
            <w:tcW w:w="3982" w:type="pct"/>
            <w:shd w:val="clear" w:color="auto" w:fill="auto"/>
            <w:vAlign w:val="center"/>
          </w:tcPr>
          <w:p w:rsidR="00722FD3" w:rsidRPr="004E2001" w:rsidRDefault="00722FD3" w:rsidP="003F26F6">
            <w:pPr>
              <w:pStyle w:val="TableText0"/>
            </w:pPr>
            <w:r w:rsidRPr="004E2001">
              <w:t>Seven independent diabetes complication modules (eye disease, lower extremity disease, kidney disease, ischaemic heart disease, myocardial infarction, stroke, heart failure), one adverse event module (hypoglycaemia) and death. Overall, there were approximately 12,000 health state combinations</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Cycle length</w:t>
            </w:r>
          </w:p>
        </w:tc>
        <w:tc>
          <w:tcPr>
            <w:tcW w:w="3982" w:type="pct"/>
            <w:shd w:val="clear" w:color="auto" w:fill="auto"/>
            <w:vAlign w:val="center"/>
          </w:tcPr>
          <w:p w:rsidR="00722FD3" w:rsidRPr="004E2001" w:rsidRDefault="00722FD3" w:rsidP="003F26F6">
            <w:pPr>
              <w:pStyle w:val="TableText0"/>
            </w:pPr>
            <w:r w:rsidRPr="004E2001">
              <w:t>1 year (with half-cycle correction)</w:t>
            </w:r>
          </w:p>
        </w:tc>
      </w:tr>
      <w:tr w:rsidR="00722FD3" w:rsidRPr="004E2001" w:rsidTr="00C56F83">
        <w:trPr>
          <w:tblHeader/>
        </w:trPr>
        <w:tc>
          <w:tcPr>
            <w:tcW w:w="1018" w:type="pct"/>
            <w:shd w:val="clear" w:color="auto" w:fill="auto"/>
            <w:vAlign w:val="center"/>
          </w:tcPr>
          <w:p w:rsidR="00722FD3" w:rsidRPr="004E2001" w:rsidRDefault="00722FD3" w:rsidP="003F26F6">
            <w:pPr>
              <w:pStyle w:val="TableText0"/>
            </w:pPr>
            <w:r w:rsidRPr="004E2001">
              <w:t xml:space="preserve">Transition probability </w:t>
            </w:r>
          </w:p>
        </w:tc>
        <w:tc>
          <w:tcPr>
            <w:tcW w:w="3982" w:type="pct"/>
            <w:shd w:val="clear" w:color="auto" w:fill="auto"/>
            <w:vAlign w:val="center"/>
          </w:tcPr>
          <w:p w:rsidR="00722FD3" w:rsidRPr="004E2001" w:rsidRDefault="00722FD3" w:rsidP="003F26F6">
            <w:pPr>
              <w:rPr>
                <w:rFonts w:ascii="Arial Narrow" w:hAnsi="Arial Narrow"/>
                <w:sz w:val="20"/>
                <w:szCs w:val="20"/>
              </w:rPr>
            </w:pPr>
            <w:r w:rsidRPr="004E2001">
              <w:rPr>
                <w:rFonts w:ascii="Arial Narrow" w:hAnsi="Arial Narrow"/>
                <w:sz w:val="20"/>
                <w:szCs w:val="20"/>
              </w:rPr>
              <w:t>Progression of biomarkers</w:t>
            </w:r>
            <w:r w:rsidR="00D2103A" w:rsidRPr="004E2001">
              <w:rPr>
                <w:rFonts w:ascii="Arial Narrow" w:hAnsi="Arial Narrow"/>
                <w:sz w:val="20"/>
                <w:szCs w:val="20"/>
              </w:rPr>
              <w:t xml:space="preserve"> (</w:t>
            </w:r>
            <w:r w:rsidR="00720AD5" w:rsidRPr="004E2001">
              <w:rPr>
                <w:rFonts w:ascii="Arial Narrow" w:hAnsi="Arial Narrow"/>
                <w:sz w:val="20"/>
                <w:szCs w:val="20"/>
              </w:rPr>
              <w:t>HbA1c, BMI, blood pressure, heart rate, lipid profile and renal function</w:t>
            </w:r>
            <w:r w:rsidR="00D2103A" w:rsidRPr="004E2001">
              <w:rPr>
                <w:rFonts w:ascii="Arial Narrow" w:hAnsi="Arial Narrow"/>
                <w:sz w:val="20"/>
                <w:szCs w:val="20"/>
              </w:rPr>
              <w:t>)</w:t>
            </w:r>
            <w:r w:rsidRPr="004E2001">
              <w:rPr>
                <w:rFonts w:ascii="Arial Narrow" w:hAnsi="Arial Narrow"/>
                <w:sz w:val="20"/>
                <w:szCs w:val="20"/>
              </w:rPr>
              <w:t xml:space="preserve"> based on key clinical trial and supporting data</w:t>
            </w:r>
          </w:p>
          <w:p w:rsidR="00722FD3" w:rsidRPr="004E2001" w:rsidRDefault="00722FD3" w:rsidP="003F26F6">
            <w:pPr>
              <w:rPr>
                <w:rFonts w:ascii="Arial Narrow" w:hAnsi="Arial Narrow"/>
                <w:sz w:val="20"/>
                <w:szCs w:val="20"/>
              </w:rPr>
            </w:pPr>
            <w:r w:rsidRPr="004E2001">
              <w:rPr>
                <w:rFonts w:ascii="Arial Narrow" w:hAnsi="Arial Narrow"/>
                <w:sz w:val="20"/>
                <w:szCs w:val="20"/>
              </w:rPr>
              <w:t>Treatment decisions and pathways based on local guidelines and clinical practice</w:t>
            </w:r>
          </w:p>
          <w:p w:rsidR="00722FD3" w:rsidRPr="004E2001" w:rsidRDefault="00722FD3" w:rsidP="003F26F6">
            <w:pPr>
              <w:rPr>
                <w:rFonts w:ascii="Arial Narrow" w:hAnsi="Arial Narrow"/>
                <w:sz w:val="20"/>
                <w:szCs w:val="20"/>
              </w:rPr>
            </w:pPr>
            <w:r w:rsidRPr="004E2001">
              <w:rPr>
                <w:rFonts w:ascii="Arial Narrow" w:hAnsi="Arial Narrow"/>
                <w:sz w:val="20"/>
                <w:szCs w:val="20"/>
              </w:rPr>
              <w:t>Complication and mortality rates based on type 2 diabetes risk equations</w:t>
            </w:r>
          </w:p>
        </w:tc>
      </w:tr>
      <w:tr w:rsidR="00722FD3" w:rsidRPr="004E2001" w:rsidTr="00C56F83">
        <w:trPr>
          <w:tblHeader/>
        </w:trPr>
        <w:tc>
          <w:tcPr>
            <w:tcW w:w="1018" w:type="pct"/>
            <w:tcBorders>
              <w:bottom w:val="single" w:sz="4" w:space="0" w:color="auto"/>
            </w:tcBorders>
            <w:shd w:val="clear" w:color="auto" w:fill="auto"/>
            <w:vAlign w:val="center"/>
          </w:tcPr>
          <w:p w:rsidR="00722FD3" w:rsidRPr="004E2001" w:rsidRDefault="00722FD3" w:rsidP="003F26F6">
            <w:pPr>
              <w:pStyle w:val="TableText0"/>
            </w:pPr>
            <w:r w:rsidRPr="004E2001">
              <w:t>Discount rate</w:t>
            </w:r>
          </w:p>
        </w:tc>
        <w:tc>
          <w:tcPr>
            <w:tcW w:w="3982" w:type="pct"/>
            <w:tcBorders>
              <w:bottom w:val="single" w:sz="4" w:space="0" w:color="auto"/>
            </w:tcBorders>
            <w:shd w:val="clear" w:color="auto" w:fill="auto"/>
            <w:vAlign w:val="center"/>
          </w:tcPr>
          <w:p w:rsidR="00722FD3" w:rsidRPr="004E2001" w:rsidRDefault="00722FD3" w:rsidP="003F26F6">
            <w:pPr>
              <w:pStyle w:val="TableText0"/>
            </w:pPr>
            <w:r w:rsidRPr="004E2001">
              <w:t>5% for costs and outcomes</w:t>
            </w:r>
          </w:p>
        </w:tc>
      </w:tr>
      <w:tr w:rsidR="00722FD3" w:rsidRPr="004E2001" w:rsidTr="00C56F83">
        <w:trPr>
          <w:tblHeader/>
        </w:trPr>
        <w:tc>
          <w:tcPr>
            <w:tcW w:w="1018" w:type="pct"/>
            <w:tcBorders>
              <w:bottom w:val="single" w:sz="4" w:space="0" w:color="auto"/>
            </w:tcBorders>
            <w:shd w:val="clear" w:color="auto" w:fill="auto"/>
            <w:vAlign w:val="center"/>
          </w:tcPr>
          <w:p w:rsidR="00722FD3" w:rsidRPr="004E2001" w:rsidRDefault="00722FD3" w:rsidP="003F26F6">
            <w:pPr>
              <w:pStyle w:val="TableText0"/>
              <w:rPr>
                <w:rFonts w:ascii="Times" w:eastAsia="Times New Roman" w:hAnsi="Times" w:cs="Times New Roman"/>
                <w:szCs w:val="20"/>
              </w:rPr>
            </w:pPr>
            <w:r w:rsidRPr="004E2001">
              <w:t>Software package</w:t>
            </w:r>
          </w:p>
        </w:tc>
        <w:tc>
          <w:tcPr>
            <w:tcW w:w="3982" w:type="pct"/>
            <w:tcBorders>
              <w:bottom w:val="single" w:sz="4" w:space="0" w:color="auto"/>
            </w:tcBorders>
            <w:shd w:val="clear" w:color="auto" w:fill="auto"/>
            <w:vAlign w:val="center"/>
          </w:tcPr>
          <w:p w:rsidR="00722FD3" w:rsidRPr="004E2001" w:rsidRDefault="00722FD3" w:rsidP="003F26F6">
            <w:pPr>
              <w:pStyle w:val="TableText0"/>
            </w:pPr>
            <w:r w:rsidRPr="004E2001">
              <w:t>Excel 2016 with Visual Basic plugins</w:t>
            </w:r>
          </w:p>
        </w:tc>
      </w:tr>
    </w:tbl>
    <w:p w:rsidR="00722FD3" w:rsidRPr="004E2001" w:rsidRDefault="00722FD3" w:rsidP="003F26F6">
      <w:pPr>
        <w:pStyle w:val="TableFooter"/>
      </w:pPr>
      <w:r w:rsidRPr="004E2001">
        <w:t>Source: Table 3-</w:t>
      </w:r>
      <w:r w:rsidR="00265B5C" w:rsidRPr="004E2001">
        <w:t>1</w:t>
      </w:r>
      <w:r w:rsidRPr="004E2001">
        <w:t xml:space="preserve"> (p 161) of the submission</w:t>
      </w:r>
    </w:p>
    <w:p w:rsidR="00720AD5" w:rsidRPr="004E2001" w:rsidRDefault="00720AD5" w:rsidP="003F26F6">
      <w:pPr>
        <w:pStyle w:val="TableFooter"/>
      </w:pPr>
      <w:r w:rsidRPr="004E2001">
        <w:t>Abbreviations: IHE DCM, Institute of Health Economics Diabetes Cohort Model</w:t>
      </w:r>
    </w:p>
    <w:p w:rsidR="00722FD3" w:rsidRPr="004E2001" w:rsidRDefault="00722FD3" w:rsidP="003F26F6"/>
    <w:p w:rsidR="00722FD3" w:rsidRPr="004E2001" w:rsidRDefault="00722FD3" w:rsidP="0076592A">
      <w:pPr>
        <w:pStyle w:val="ListParagraph"/>
        <w:numPr>
          <w:ilvl w:val="1"/>
          <w:numId w:val="2"/>
        </w:numPr>
        <w:jc w:val="both"/>
      </w:pPr>
      <w:r w:rsidRPr="004E2001">
        <w:t>Patients start the model with a variety of different diabetes complications, dependent on the baseline patient characteristics. During each cycle, a patient simultaneously goes through each of the modules and can experience up to one event from each of the diabetes complication modules and multiple events from the adverse event module. Patients may also die from diabetes complications or other causes.</w:t>
      </w:r>
    </w:p>
    <w:p w:rsidR="00722FD3" w:rsidRPr="004E2001" w:rsidRDefault="00722FD3" w:rsidP="0076592A">
      <w:pPr>
        <w:pStyle w:val="ListParagraph"/>
        <w:numPr>
          <w:ilvl w:val="1"/>
          <w:numId w:val="2"/>
        </w:numPr>
        <w:spacing w:after="0"/>
        <w:jc w:val="both"/>
      </w:pPr>
      <w:r w:rsidRPr="004E2001">
        <w:t>A brief summary of the states included in each of the modules is presented below:</w:t>
      </w:r>
    </w:p>
    <w:p w:rsidR="00722FD3" w:rsidRPr="004E2001" w:rsidRDefault="00722FD3" w:rsidP="0076592A">
      <w:pPr>
        <w:pStyle w:val="ListParagraph"/>
        <w:numPr>
          <w:ilvl w:val="0"/>
          <w:numId w:val="21"/>
        </w:numPr>
        <w:spacing w:after="0"/>
        <w:jc w:val="both"/>
      </w:pPr>
      <w:r w:rsidRPr="004E2001">
        <w:t>Eye diseases: None, background retinopathy, proliferative retinopathy, macular oedema, macular oedema and proliferative retinopathy, severe visual loss</w:t>
      </w:r>
    </w:p>
    <w:p w:rsidR="00722FD3" w:rsidRPr="004E2001" w:rsidRDefault="00722FD3" w:rsidP="0076592A">
      <w:pPr>
        <w:pStyle w:val="ListParagraph"/>
        <w:numPr>
          <w:ilvl w:val="0"/>
          <w:numId w:val="21"/>
        </w:numPr>
        <w:spacing w:after="0"/>
        <w:jc w:val="both"/>
      </w:pPr>
      <w:r w:rsidRPr="004E2001">
        <w:t>Lower extremity disease: None, symptomatic neuropathy, peripheral vascular disease, lower extremity amputation, history of lower extremity amputation</w:t>
      </w:r>
    </w:p>
    <w:p w:rsidR="00722FD3" w:rsidRPr="004E2001" w:rsidRDefault="00722FD3" w:rsidP="0076592A">
      <w:pPr>
        <w:pStyle w:val="ListParagraph"/>
        <w:numPr>
          <w:ilvl w:val="0"/>
          <w:numId w:val="21"/>
        </w:numPr>
        <w:spacing w:after="0"/>
        <w:jc w:val="both"/>
      </w:pPr>
      <w:r w:rsidRPr="004E2001">
        <w:t>Kidney disease: None, microalbuminuria, macroalbuminuria, end stage renal disease</w:t>
      </w:r>
    </w:p>
    <w:p w:rsidR="00722FD3" w:rsidRPr="004E2001" w:rsidRDefault="00722FD3" w:rsidP="0076592A">
      <w:pPr>
        <w:pStyle w:val="ListParagraph"/>
        <w:numPr>
          <w:ilvl w:val="0"/>
          <w:numId w:val="21"/>
        </w:numPr>
        <w:spacing w:after="0"/>
        <w:jc w:val="both"/>
      </w:pPr>
      <w:r w:rsidRPr="004E2001">
        <w:t>Ischaemic heart disease: None, ischaemic heart disease</w:t>
      </w:r>
    </w:p>
    <w:p w:rsidR="00722FD3" w:rsidRPr="004E2001" w:rsidRDefault="00722FD3" w:rsidP="0076592A">
      <w:pPr>
        <w:pStyle w:val="ListParagraph"/>
        <w:numPr>
          <w:ilvl w:val="0"/>
          <w:numId w:val="21"/>
        </w:numPr>
        <w:spacing w:after="0"/>
        <w:jc w:val="both"/>
      </w:pPr>
      <w:r w:rsidRPr="004E2001">
        <w:lastRenderedPageBreak/>
        <w:t>Myocardial infarction: None, first myocardial infarction, history of single myocardial infarction, subsequent myocardial infarction, history of multiple myocardial infarction</w:t>
      </w:r>
    </w:p>
    <w:p w:rsidR="00722FD3" w:rsidRPr="004E2001" w:rsidRDefault="00722FD3" w:rsidP="0076592A">
      <w:pPr>
        <w:pStyle w:val="ListParagraph"/>
        <w:numPr>
          <w:ilvl w:val="0"/>
          <w:numId w:val="21"/>
        </w:numPr>
        <w:spacing w:after="0"/>
        <w:jc w:val="both"/>
      </w:pPr>
      <w:r w:rsidRPr="004E2001">
        <w:t>Stroke: None, first stroke, history of single stroke, subsequent stroke, history of multiple stroke</w:t>
      </w:r>
    </w:p>
    <w:p w:rsidR="00722FD3" w:rsidRPr="004E2001" w:rsidRDefault="00722FD3" w:rsidP="0076592A">
      <w:pPr>
        <w:pStyle w:val="ListParagraph"/>
        <w:numPr>
          <w:ilvl w:val="0"/>
          <w:numId w:val="21"/>
        </w:numPr>
        <w:jc w:val="both"/>
      </w:pPr>
      <w:r w:rsidRPr="004E2001">
        <w:t>Heart failure: None, heart failure</w:t>
      </w:r>
    </w:p>
    <w:p w:rsidR="00722FD3" w:rsidRPr="004E2001" w:rsidRDefault="00722FD3" w:rsidP="0076592A">
      <w:pPr>
        <w:pStyle w:val="ListParagraph"/>
        <w:numPr>
          <w:ilvl w:val="1"/>
          <w:numId w:val="2"/>
        </w:numPr>
        <w:jc w:val="both"/>
      </w:pPr>
      <w:r w:rsidRPr="004E2001">
        <w:t>All patients begin the model with uncontrolled diabetes. Patients are initially treated with GLP-1 therapies until their HbA1c levels increase to 8% after which they switch to insulin glargine. Patients are then assumed to remain on fixed dose insulin glargine until their HbA1c levels again increase to 8% after which they switch to an insulin intensification regimen (insulin glargine with insulin aspart).</w:t>
      </w:r>
      <w:r w:rsidR="00DE3351" w:rsidRPr="004E2001">
        <w:t xml:space="preserve"> The ESC considered that in practice HbA1c levels are </w:t>
      </w:r>
      <w:r w:rsidR="009C3AD6" w:rsidRPr="004E2001">
        <w:t>often</w:t>
      </w:r>
      <w:r w:rsidR="00DE3351" w:rsidRPr="004E2001">
        <w:t xml:space="preserve"> </w:t>
      </w:r>
      <w:r w:rsidR="00E35E64" w:rsidRPr="004E2001">
        <w:t>greater</w:t>
      </w:r>
      <w:r w:rsidR="00DE3351" w:rsidRPr="004E2001">
        <w:t xml:space="preserve"> than 8% before switching to insulin. </w:t>
      </w:r>
    </w:p>
    <w:p w:rsidR="00722FD3" w:rsidRPr="004E2001" w:rsidRDefault="00722FD3" w:rsidP="0076592A">
      <w:pPr>
        <w:pStyle w:val="ListParagraph"/>
        <w:numPr>
          <w:ilvl w:val="1"/>
          <w:numId w:val="2"/>
        </w:numPr>
        <w:jc w:val="both"/>
      </w:pPr>
      <w:r w:rsidRPr="004E2001">
        <w:t xml:space="preserve">The use of a sequential treatment approach has major consequences </w:t>
      </w:r>
      <w:r w:rsidR="005D5736" w:rsidRPr="004E2001">
        <w:t>for</w:t>
      </w:r>
      <w:r w:rsidRPr="004E2001">
        <w:t xml:space="preserve"> the interpretation of the economic model. The economic model appropriately assumes that patients who are uncontrolled (based on HbA1c levels) on one treatment regimen would simply be switched to another effective treatment regimen. This approach minimises the impact of any specific therapy on the incidence of microvascular and macrovascular complications. As a consequence, the incremental differences that drive the model are based on benefits other than diabetes complications such as weight loss, delay in insulin use and reduced hypoglycaemia events. </w:t>
      </w:r>
      <w:r w:rsidR="002C30F6" w:rsidRPr="004E2001">
        <w:t xml:space="preserve">The ESC considered that </w:t>
      </w:r>
      <w:r w:rsidR="009F2A50" w:rsidRPr="004E2001">
        <w:t>a</w:t>
      </w:r>
      <w:r w:rsidR="002C30F6" w:rsidRPr="004E2001">
        <w:t xml:space="preserve"> </w:t>
      </w:r>
      <w:r w:rsidR="009F2A50" w:rsidRPr="004E2001">
        <w:t>sequ</w:t>
      </w:r>
      <w:r w:rsidR="00040424" w:rsidRPr="004E2001">
        <w:t>e</w:t>
      </w:r>
      <w:r w:rsidR="009F2A50" w:rsidRPr="004E2001">
        <w:t>ntial treatment approach</w:t>
      </w:r>
      <w:r w:rsidR="002C30F6" w:rsidRPr="004E2001">
        <w:t xml:space="preserve"> was reasonabl</w:t>
      </w:r>
      <w:r w:rsidR="00B41E81" w:rsidRPr="004E2001">
        <w:t>e</w:t>
      </w:r>
      <w:r w:rsidR="009F2A50" w:rsidRPr="004E2001">
        <w:t>, although the sustained incremental benefit</w:t>
      </w:r>
      <w:r w:rsidR="00B41E81" w:rsidRPr="004E2001">
        <w:t xml:space="preserve"> and long-term plateau in BMI after switching to insulin was not plausible or supported by clinical evidence</w:t>
      </w:r>
      <w:r w:rsidR="002C30F6" w:rsidRPr="004E2001">
        <w:t>.</w:t>
      </w:r>
      <w:r w:rsidR="00D06D1D" w:rsidRPr="004E2001">
        <w:t xml:space="preserve"> </w:t>
      </w:r>
    </w:p>
    <w:p w:rsidR="00722FD3" w:rsidRPr="004E2001" w:rsidRDefault="00722FD3" w:rsidP="0076592A">
      <w:pPr>
        <w:pStyle w:val="ListParagraph"/>
        <w:numPr>
          <w:ilvl w:val="1"/>
          <w:numId w:val="2"/>
        </w:numPr>
        <w:jc w:val="both"/>
      </w:pPr>
      <w:r w:rsidRPr="004E2001">
        <w:t xml:space="preserve">Due to the sequential structure of the model, the evaluation focused on the key drivers of the modelled benefit rather than the more traditional focus on diabetes complications. The table below summarises the </w:t>
      </w:r>
      <w:r w:rsidR="00D2103A" w:rsidRPr="004E2001">
        <w:t xml:space="preserve">key drivers of the </w:t>
      </w:r>
      <w:r w:rsidRPr="004E2001">
        <w:t>modelled benefits included in the economic analyses.</w:t>
      </w:r>
      <w:r w:rsidR="00496787" w:rsidRPr="004E2001">
        <w:t xml:space="preserve"> The ESC noted the relative incremental QALYs from micro- and macrovascular complications was considerably smaller than was estimated for insulin use, weight change and hypoglycaemia.</w:t>
      </w:r>
    </w:p>
    <w:p w:rsidR="00722FD3" w:rsidRPr="004E2001" w:rsidRDefault="00722FD3" w:rsidP="003F26F6">
      <w:pPr>
        <w:pStyle w:val="TableHeading0"/>
        <w:spacing w:after="0"/>
        <w:rPr>
          <w:b w:val="0"/>
        </w:rPr>
      </w:pPr>
      <w:r w:rsidRPr="004E2001">
        <w:rPr>
          <w:rStyle w:val="CommentReference"/>
          <w:b/>
        </w:rPr>
        <w:t>Table 1</w:t>
      </w:r>
      <w:r w:rsidR="00DD6AEE" w:rsidRPr="004E2001">
        <w:rPr>
          <w:rStyle w:val="CommentReference"/>
          <w:b/>
        </w:rPr>
        <w:t>2</w:t>
      </w:r>
      <w:r w:rsidRPr="004E2001">
        <w:rPr>
          <w:rStyle w:val="CommentReference"/>
          <w:b/>
        </w:rPr>
        <w:t xml:space="preserve">: </w:t>
      </w:r>
      <w:r w:rsidR="00D2103A" w:rsidRPr="004E2001">
        <w:rPr>
          <w:rStyle w:val="CommentReference"/>
          <w:b/>
        </w:rPr>
        <w:t>Key drivers of the m</w:t>
      </w:r>
      <w:r w:rsidRPr="004E2001">
        <w:rPr>
          <w:rStyle w:val="CommentReference"/>
          <w:b/>
        </w:rPr>
        <w:t>odelled benefits included in the economic analyses</w:t>
      </w:r>
    </w:p>
    <w:tbl>
      <w:tblPr>
        <w:tblStyle w:val="TableGrid"/>
        <w:tblW w:w="5000" w:type="pct"/>
        <w:tblLook w:val="04A0" w:firstRow="1" w:lastRow="0" w:firstColumn="1" w:lastColumn="0" w:noHBand="0" w:noVBand="1"/>
        <w:tblCaption w:val="Table 12: Key drivers of the modelled benefits included in the economic analyses"/>
      </w:tblPr>
      <w:tblGrid>
        <w:gridCol w:w="2254"/>
        <w:gridCol w:w="2254"/>
        <w:gridCol w:w="2254"/>
        <w:gridCol w:w="2255"/>
      </w:tblGrid>
      <w:tr w:rsidR="00722FD3" w:rsidRPr="004E2001" w:rsidTr="00C56F83">
        <w:trPr>
          <w:tblHeader/>
        </w:trPr>
        <w:tc>
          <w:tcPr>
            <w:tcW w:w="2254" w:type="dxa"/>
            <w:vMerge w:val="restart"/>
            <w:vAlign w:val="center"/>
          </w:tcPr>
          <w:p w:rsidR="00722FD3" w:rsidRPr="004E2001" w:rsidRDefault="00722FD3" w:rsidP="003F26F6">
            <w:pPr>
              <w:pStyle w:val="TableText0"/>
              <w:rPr>
                <w:b/>
              </w:rPr>
            </w:pPr>
            <w:r w:rsidRPr="004E2001">
              <w:rPr>
                <w:b/>
              </w:rPr>
              <w:t>Analyses</w:t>
            </w:r>
          </w:p>
        </w:tc>
        <w:tc>
          <w:tcPr>
            <w:tcW w:w="6763" w:type="dxa"/>
            <w:gridSpan w:val="3"/>
            <w:vAlign w:val="center"/>
          </w:tcPr>
          <w:p w:rsidR="00722FD3" w:rsidRPr="004E2001" w:rsidRDefault="00722FD3" w:rsidP="003F26F6">
            <w:pPr>
              <w:pStyle w:val="TableText0"/>
              <w:jc w:val="center"/>
              <w:rPr>
                <w:b/>
              </w:rPr>
            </w:pPr>
            <w:r w:rsidRPr="004E2001">
              <w:rPr>
                <w:b/>
              </w:rPr>
              <w:t>Incremental differences in QALYs</w:t>
            </w:r>
          </w:p>
        </w:tc>
      </w:tr>
      <w:tr w:rsidR="00722FD3" w:rsidRPr="004E2001" w:rsidTr="00C56F83">
        <w:trPr>
          <w:tblHeader/>
        </w:trPr>
        <w:tc>
          <w:tcPr>
            <w:tcW w:w="2254" w:type="dxa"/>
            <w:vMerge/>
            <w:vAlign w:val="center"/>
          </w:tcPr>
          <w:p w:rsidR="00722FD3" w:rsidRPr="004E2001" w:rsidRDefault="00722FD3" w:rsidP="003F26F6">
            <w:pPr>
              <w:pStyle w:val="TableText0"/>
            </w:pPr>
          </w:p>
        </w:tc>
        <w:tc>
          <w:tcPr>
            <w:tcW w:w="2254" w:type="dxa"/>
            <w:vAlign w:val="center"/>
          </w:tcPr>
          <w:p w:rsidR="00722FD3" w:rsidRPr="004E2001" w:rsidRDefault="00722FD3" w:rsidP="003F26F6">
            <w:pPr>
              <w:pStyle w:val="TableText0"/>
              <w:jc w:val="center"/>
              <w:rPr>
                <w:b/>
              </w:rPr>
            </w:pPr>
            <w:r w:rsidRPr="004E2001">
              <w:rPr>
                <w:b/>
              </w:rPr>
              <w:t>SEMA 1.0 mg vs EXE</w:t>
            </w:r>
          </w:p>
        </w:tc>
        <w:tc>
          <w:tcPr>
            <w:tcW w:w="2254" w:type="dxa"/>
            <w:vAlign w:val="center"/>
          </w:tcPr>
          <w:p w:rsidR="00722FD3" w:rsidRPr="004E2001" w:rsidRDefault="00722FD3" w:rsidP="003F26F6">
            <w:pPr>
              <w:pStyle w:val="TableText0"/>
              <w:jc w:val="center"/>
              <w:rPr>
                <w:b/>
              </w:rPr>
            </w:pPr>
            <w:r w:rsidRPr="004E2001">
              <w:rPr>
                <w:b/>
              </w:rPr>
              <w:t>SEMA 0.5 mg vs DULA</w:t>
            </w:r>
          </w:p>
        </w:tc>
        <w:tc>
          <w:tcPr>
            <w:tcW w:w="2255" w:type="dxa"/>
            <w:vAlign w:val="center"/>
          </w:tcPr>
          <w:p w:rsidR="00722FD3" w:rsidRPr="004E2001" w:rsidRDefault="00722FD3" w:rsidP="003F26F6">
            <w:pPr>
              <w:pStyle w:val="TableText0"/>
              <w:jc w:val="center"/>
              <w:rPr>
                <w:b/>
              </w:rPr>
            </w:pPr>
            <w:r w:rsidRPr="004E2001">
              <w:rPr>
                <w:b/>
              </w:rPr>
              <w:t>SEMA 1.0 mg vs DULA</w:t>
            </w:r>
          </w:p>
        </w:tc>
      </w:tr>
      <w:tr w:rsidR="00722FD3" w:rsidRPr="004E2001" w:rsidTr="00C56F83">
        <w:trPr>
          <w:tblHeader/>
        </w:trPr>
        <w:tc>
          <w:tcPr>
            <w:tcW w:w="2254" w:type="dxa"/>
            <w:vAlign w:val="center"/>
          </w:tcPr>
          <w:p w:rsidR="00722FD3" w:rsidRPr="004E2001" w:rsidRDefault="00722FD3" w:rsidP="003F26F6">
            <w:pPr>
              <w:pStyle w:val="TableText0"/>
            </w:pPr>
            <w:r w:rsidRPr="004E2001">
              <w:t>Insulin use</w:t>
            </w:r>
          </w:p>
        </w:tc>
        <w:tc>
          <w:tcPr>
            <w:tcW w:w="2254" w:type="dxa"/>
            <w:vAlign w:val="center"/>
          </w:tcPr>
          <w:p w:rsidR="00722FD3" w:rsidRPr="004E2001" w:rsidRDefault="00722FD3" w:rsidP="003F26F6">
            <w:pPr>
              <w:pStyle w:val="TableText0"/>
              <w:jc w:val="center"/>
            </w:pPr>
            <w:r w:rsidRPr="004E2001">
              <w:t>0.079</w:t>
            </w:r>
          </w:p>
        </w:tc>
        <w:tc>
          <w:tcPr>
            <w:tcW w:w="2254" w:type="dxa"/>
            <w:vAlign w:val="center"/>
          </w:tcPr>
          <w:p w:rsidR="00722FD3" w:rsidRPr="004E2001" w:rsidRDefault="00722FD3" w:rsidP="003F26F6">
            <w:pPr>
              <w:pStyle w:val="TableText0"/>
              <w:jc w:val="center"/>
            </w:pPr>
            <w:r w:rsidRPr="004E2001">
              <w:t>0.036</w:t>
            </w:r>
          </w:p>
        </w:tc>
        <w:tc>
          <w:tcPr>
            <w:tcW w:w="2255" w:type="dxa"/>
            <w:vAlign w:val="center"/>
          </w:tcPr>
          <w:p w:rsidR="00722FD3" w:rsidRPr="004E2001" w:rsidRDefault="00722FD3" w:rsidP="003F26F6">
            <w:pPr>
              <w:pStyle w:val="TableText0"/>
              <w:jc w:val="center"/>
            </w:pPr>
            <w:r w:rsidRPr="004E2001">
              <w:t>0.069</w:t>
            </w:r>
          </w:p>
        </w:tc>
      </w:tr>
      <w:tr w:rsidR="00722FD3" w:rsidRPr="004E2001" w:rsidTr="00C56F83">
        <w:trPr>
          <w:tblHeader/>
        </w:trPr>
        <w:tc>
          <w:tcPr>
            <w:tcW w:w="2254" w:type="dxa"/>
            <w:vAlign w:val="center"/>
          </w:tcPr>
          <w:p w:rsidR="00722FD3" w:rsidRPr="004E2001" w:rsidRDefault="00722FD3" w:rsidP="003F26F6">
            <w:pPr>
              <w:pStyle w:val="TableText0"/>
            </w:pPr>
            <w:r w:rsidRPr="004E2001">
              <w:t>Weight change</w:t>
            </w:r>
          </w:p>
        </w:tc>
        <w:tc>
          <w:tcPr>
            <w:tcW w:w="2254" w:type="dxa"/>
            <w:vAlign w:val="center"/>
          </w:tcPr>
          <w:p w:rsidR="00722FD3" w:rsidRPr="004E2001" w:rsidRDefault="00722FD3" w:rsidP="003F26F6">
            <w:pPr>
              <w:pStyle w:val="TableText0"/>
              <w:jc w:val="center"/>
            </w:pPr>
            <w:r w:rsidRPr="004E2001">
              <w:t>0.074</w:t>
            </w:r>
          </w:p>
        </w:tc>
        <w:tc>
          <w:tcPr>
            <w:tcW w:w="2254" w:type="dxa"/>
            <w:vAlign w:val="center"/>
          </w:tcPr>
          <w:p w:rsidR="00722FD3" w:rsidRPr="004E2001" w:rsidRDefault="00722FD3" w:rsidP="003F26F6">
            <w:pPr>
              <w:pStyle w:val="TableText0"/>
              <w:jc w:val="center"/>
            </w:pPr>
            <w:r w:rsidRPr="004E2001">
              <w:t>0.031</w:t>
            </w:r>
          </w:p>
        </w:tc>
        <w:tc>
          <w:tcPr>
            <w:tcW w:w="2255" w:type="dxa"/>
            <w:vAlign w:val="center"/>
          </w:tcPr>
          <w:p w:rsidR="00722FD3" w:rsidRPr="004E2001" w:rsidRDefault="00722FD3" w:rsidP="003F26F6">
            <w:pPr>
              <w:pStyle w:val="TableText0"/>
              <w:jc w:val="center"/>
            </w:pPr>
            <w:r w:rsidRPr="004E2001">
              <w:t>0.068</w:t>
            </w:r>
          </w:p>
        </w:tc>
      </w:tr>
      <w:tr w:rsidR="00722FD3" w:rsidRPr="004E2001" w:rsidTr="00C56F83">
        <w:trPr>
          <w:tblHeader/>
        </w:trPr>
        <w:tc>
          <w:tcPr>
            <w:tcW w:w="2254" w:type="dxa"/>
            <w:vAlign w:val="center"/>
          </w:tcPr>
          <w:p w:rsidR="00722FD3" w:rsidRPr="004E2001" w:rsidRDefault="00722FD3" w:rsidP="003F26F6">
            <w:pPr>
              <w:pStyle w:val="TableText0"/>
            </w:pPr>
            <w:r w:rsidRPr="004E2001">
              <w:t>Hypoglycaemia</w:t>
            </w:r>
          </w:p>
        </w:tc>
        <w:tc>
          <w:tcPr>
            <w:tcW w:w="2254" w:type="dxa"/>
            <w:vAlign w:val="center"/>
          </w:tcPr>
          <w:p w:rsidR="00722FD3" w:rsidRPr="004E2001" w:rsidRDefault="00722FD3" w:rsidP="003F26F6">
            <w:pPr>
              <w:pStyle w:val="TableText0"/>
              <w:jc w:val="center"/>
            </w:pPr>
            <w:r w:rsidRPr="004E2001">
              <w:t>0.053</w:t>
            </w:r>
          </w:p>
        </w:tc>
        <w:tc>
          <w:tcPr>
            <w:tcW w:w="2254" w:type="dxa"/>
            <w:vAlign w:val="center"/>
          </w:tcPr>
          <w:p w:rsidR="00722FD3" w:rsidRPr="004E2001" w:rsidRDefault="00722FD3" w:rsidP="003F26F6">
            <w:pPr>
              <w:pStyle w:val="TableText0"/>
              <w:jc w:val="center"/>
            </w:pPr>
            <w:r w:rsidRPr="004E2001">
              <w:t>0.023</w:t>
            </w:r>
          </w:p>
        </w:tc>
        <w:tc>
          <w:tcPr>
            <w:tcW w:w="2255" w:type="dxa"/>
            <w:vAlign w:val="center"/>
          </w:tcPr>
          <w:p w:rsidR="00722FD3" w:rsidRPr="004E2001" w:rsidRDefault="00722FD3" w:rsidP="003F26F6">
            <w:pPr>
              <w:pStyle w:val="TableText0"/>
              <w:jc w:val="center"/>
            </w:pPr>
            <w:r w:rsidRPr="004E2001">
              <w:t>0.052</w:t>
            </w:r>
          </w:p>
        </w:tc>
      </w:tr>
      <w:tr w:rsidR="00722FD3" w:rsidRPr="004E2001" w:rsidTr="00C56F83">
        <w:trPr>
          <w:tblHeader/>
        </w:trPr>
        <w:tc>
          <w:tcPr>
            <w:tcW w:w="2254" w:type="dxa"/>
            <w:vAlign w:val="center"/>
          </w:tcPr>
          <w:p w:rsidR="00722FD3" w:rsidRPr="004E2001" w:rsidRDefault="00720AD5" w:rsidP="003F26F6">
            <w:pPr>
              <w:pStyle w:val="TableText0"/>
            </w:pPr>
            <w:r w:rsidRPr="004E2001">
              <w:t>Micro- and macrovascular</w:t>
            </w:r>
            <w:r w:rsidR="00722FD3" w:rsidRPr="004E2001">
              <w:t xml:space="preserve"> complications</w:t>
            </w:r>
          </w:p>
        </w:tc>
        <w:tc>
          <w:tcPr>
            <w:tcW w:w="2254" w:type="dxa"/>
            <w:vAlign w:val="center"/>
          </w:tcPr>
          <w:p w:rsidR="00722FD3" w:rsidRPr="004E2001" w:rsidRDefault="00722FD3" w:rsidP="003F26F6">
            <w:pPr>
              <w:pStyle w:val="TableText0"/>
              <w:jc w:val="center"/>
            </w:pPr>
            <w:r w:rsidRPr="004E2001">
              <w:t>0.006</w:t>
            </w:r>
          </w:p>
        </w:tc>
        <w:tc>
          <w:tcPr>
            <w:tcW w:w="2254" w:type="dxa"/>
            <w:vAlign w:val="center"/>
          </w:tcPr>
          <w:p w:rsidR="00722FD3" w:rsidRPr="004E2001" w:rsidRDefault="00722FD3" w:rsidP="003F26F6">
            <w:pPr>
              <w:pStyle w:val="TableText0"/>
              <w:jc w:val="center"/>
            </w:pPr>
            <w:r w:rsidRPr="004E2001">
              <w:t>-0.001</w:t>
            </w:r>
          </w:p>
        </w:tc>
        <w:tc>
          <w:tcPr>
            <w:tcW w:w="2255" w:type="dxa"/>
            <w:vAlign w:val="center"/>
          </w:tcPr>
          <w:p w:rsidR="00722FD3" w:rsidRPr="004E2001" w:rsidRDefault="00722FD3" w:rsidP="003F26F6">
            <w:pPr>
              <w:pStyle w:val="TableText0"/>
              <w:jc w:val="center"/>
            </w:pPr>
            <w:r w:rsidRPr="004E2001">
              <w:t>0.004</w:t>
            </w:r>
          </w:p>
        </w:tc>
      </w:tr>
    </w:tbl>
    <w:p w:rsidR="00722FD3" w:rsidRPr="004E2001" w:rsidRDefault="00722FD3" w:rsidP="003F26F6">
      <w:pPr>
        <w:pStyle w:val="TableFooter"/>
      </w:pPr>
      <w:r w:rsidRPr="004E2001">
        <w:t>Source: IHE DCM 4.3 Australia Excel model with corrections for errors in BMI change with insulin, hypoglycaemia event rates and sulfonylurea drug costs with insulin; and removing BMI rounding in calculation of overweight disutility</w:t>
      </w:r>
    </w:p>
    <w:p w:rsidR="00722FD3" w:rsidRPr="004E2001" w:rsidRDefault="00722FD3" w:rsidP="003F26F6">
      <w:pPr>
        <w:pStyle w:val="TableFooter"/>
      </w:pPr>
      <w:r w:rsidRPr="004E2001">
        <w:t>Abbreviations: QALY, quality-adjusted life year</w:t>
      </w:r>
    </w:p>
    <w:p w:rsidR="00722FD3" w:rsidRPr="004E2001" w:rsidRDefault="00722FD3" w:rsidP="003F26F6"/>
    <w:p w:rsidR="006E13A8" w:rsidRPr="004E2001" w:rsidRDefault="00FF3D05" w:rsidP="0076592A">
      <w:pPr>
        <w:pStyle w:val="ListParagraph"/>
        <w:numPr>
          <w:ilvl w:val="1"/>
          <w:numId w:val="2"/>
        </w:numPr>
        <w:jc w:val="both"/>
      </w:pPr>
      <w:r w:rsidRPr="004E2001">
        <w:t xml:space="preserve">During the evaluation, a number of errors were identified and corrected in the economic analyses. However, due to the inherent complexity of the model (approximately 12,000 combinations of health states, constructed from a large </w:t>
      </w:r>
      <w:r w:rsidRPr="004E2001">
        <w:lastRenderedPageBreak/>
        <w:t xml:space="preserve">number of inputs with 17,000 lines of Visual Basic code) </w:t>
      </w:r>
      <w:r w:rsidR="006E13A8" w:rsidRPr="004E2001">
        <w:t>it was not possible during the evaluation period to check and validate all the modelled estimates. The evaluation focused instead on checking the key model inputs.</w:t>
      </w:r>
    </w:p>
    <w:p w:rsidR="00722FD3" w:rsidRPr="004E2001" w:rsidRDefault="00722FD3" w:rsidP="0076592A">
      <w:pPr>
        <w:pStyle w:val="ListParagraph"/>
        <w:numPr>
          <w:ilvl w:val="1"/>
          <w:numId w:val="2"/>
        </w:numPr>
        <w:jc w:val="both"/>
      </w:pPr>
      <w:r w:rsidRPr="004E2001">
        <w:t>Key drivers of the economic model are summarised in the table below.</w:t>
      </w:r>
    </w:p>
    <w:p w:rsidR="00722FD3" w:rsidRPr="004E2001" w:rsidRDefault="00722FD3" w:rsidP="003F26F6">
      <w:pPr>
        <w:keepNext/>
        <w:rPr>
          <w:rStyle w:val="CommentReference"/>
        </w:rPr>
      </w:pPr>
      <w:r w:rsidRPr="004E2001">
        <w:rPr>
          <w:rStyle w:val="CommentReference"/>
        </w:rPr>
        <w:t>Table 1</w:t>
      </w:r>
      <w:r w:rsidR="00DD6AEE" w:rsidRPr="004E2001">
        <w:rPr>
          <w:rStyle w:val="CommentReference"/>
        </w:rPr>
        <w:t>3</w:t>
      </w:r>
      <w:r w:rsidRPr="004E2001">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model"/>
      </w:tblPr>
      <w:tblGrid>
        <w:gridCol w:w="1367"/>
        <w:gridCol w:w="6370"/>
        <w:gridCol w:w="1280"/>
      </w:tblGrid>
      <w:tr w:rsidR="00722FD3" w:rsidRPr="004E2001" w:rsidTr="00722FD3">
        <w:trPr>
          <w:tblHeader/>
        </w:trPr>
        <w:tc>
          <w:tcPr>
            <w:tcW w:w="758" w:type="pct"/>
            <w:shd w:val="clear" w:color="auto" w:fill="auto"/>
            <w:vAlign w:val="center"/>
          </w:tcPr>
          <w:p w:rsidR="00722FD3" w:rsidRPr="004E2001" w:rsidRDefault="00722FD3" w:rsidP="003F26F6">
            <w:pPr>
              <w:pStyle w:val="Tabletext"/>
              <w:keepNext/>
              <w:rPr>
                <w:b/>
              </w:rPr>
            </w:pPr>
            <w:r w:rsidRPr="004E2001">
              <w:rPr>
                <w:b/>
              </w:rPr>
              <w:t>Description</w:t>
            </w:r>
          </w:p>
        </w:tc>
        <w:tc>
          <w:tcPr>
            <w:tcW w:w="3532" w:type="pct"/>
            <w:shd w:val="clear" w:color="auto" w:fill="auto"/>
            <w:vAlign w:val="center"/>
          </w:tcPr>
          <w:p w:rsidR="00722FD3" w:rsidRPr="004E2001" w:rsidRDefault="00722FD3" w:rsidP="003F26F6">
            <w:pPr>
              <w:pStyle w:val="Tabletext"/>
              <w:keepNext/>
              <w:jc w:val="center"/>
              <w:rPr>
                <w:b/>
              </w:rPr>
            </w:pPr>
            <w:r w:rsidRPr="004E2001">
              <w:rPr>
                <w:b/>
              </w:rPr>
              <w:t>Method/Value</w:t>
            </w:r>
          </w:p>
        </w:tc>
        <w:tc>
          <w:tcPr>
            <w:tcW w:w="710" w:type="pct"/>
            <w:shd w:val="clear" w:color="auto" w:fill="auto"/>
            <w:vAlign w:val="center"/>
          </w:tcPr>
          <w:p w:rsidR="00722FD3" w:rsidRPr="004E2001" w:rsidRDefault="00722FD3" w:rsidP="003F26F6">
            <w:pPr>
              <w:pStyle w:val="Tabletext"/>
              <w:keepNext/>
              <w:jc w:val="center"/>
              <w:rPr>
                <w:b/>
              </w:rPr>
            </w:pPr>
            <w:r w:rsidRPr="004E2001">
              <w:rPr>
                <w:b/>
              </w:rPr>
              <w:t>Impact</w:t>
            </w:r>
          </w:p>
        </w:tc>
      </w:tr>
      <w:tr w:rsidR="00722FD3" w:rsidRPr="004E2001" w:rsidTr="00722FD3">
        <w:tc>
          <w:tcPr>
            <w:tcW w:w="758" w:type="pct"/>
            <w:shd w:val="clear" w:color="auto" w:fill="auto"/>
            <w:vAlign w:val="center"/>
          </w:tcPr>
          <w:p w:rsidR="00722FD3" w:rsidRPr="004E2001" w:rsidRDefault="00722FD3" w:rsidP="003F26F6">
            <w:pPr>
              <w:pStyle w:val="Tabletext"/>
              <w:keepNext/>
            </w:pPr>
            <w:r w:rsidRPr="004E2001">
              <w:t>Delay in insulin use</w:t>
            </w:r>
          </w:p>
        </w:tc>
        <w:tc>
          <w:tcPr>
            <w:tcW w:w="3532" w:type="pct"/>
            <w:shd w:val="clear" w:color="auto" w:fill="auto"/>
            <w:vAlign w:val="center"/>
          </w:tcPr>
          <w:p w:rsidR="00722FD3" w:rsidRPr="004E2001" w:rsidRDefault="00722FD3" w:rsidP="003F26F6">
            <w:pPr>
              <w:pStyle w:val="Tabletext"/>
              <w:keepNext/>
            </w:pPr>
            <w:r w:rsidRPr="004E2001">
              <w:t>The delay in insulin use was dependent on modelled baseline HbA1c, treatment effects, biomarker drift and treatment thresholds.</w:t>
            </w:r>
          </w:p>
          <w:p w:rsidR="00722FD3" w:rsidRPr="004E2001" w:rsidRDefault="00722FD3" w:rsidP="003F26F6">
            <w:pPr>
              <w:pStyle w:val="Tabletext"/>
              <w:keepNext/>
            </w:pPr>
          </w:p>
          <w:p w:rsidR="00722FD3" w:rsidRPr="004E2001" w:rsidRDefault="00722FD3" w:rsidP="003F26F6">
            <w:pPr>
              <w:pStyle w:val="Tabletext"/>
              <w:keepNext/>
            </w:pPr>
            <w:r w:rsidRPr="004E2001">
              <w:t xml:space="preserve">Modelled baseline </w:t>
            </w:r>
            <w:r w:rsidR="00AE2B07" w:rsidRPr="004E2001">
              <w:t>HbA1c</w:t>
            </w:r>
            <w:r w:rsidRPr="004E2001">
              <w:t xml:space="preserve"> was based on the SUSTAIN 3, 7 trials. Baseline HbA1c levels in the key trials were relatively high compared with published treatment targets for glycaemic control and may not be representative of the target PBS population.</w:t>
            </w:r>
          </w:p>
          <w:p w:rsidR="00722FD3" w:rsidRPr="004E2001" w:rsidRDefault="00722FD3" w:rsidP="003F26F6">
            <w:pPr>
              <w:pStyle w:val="Tabletext"/>
              <w:keepNext/>
            </w:pPr>
          </w:p>
          <w:p w:rsidR="00722FD3" w:rsidRPr="004E2001" w:rsidRDefault="00722FD3" w:rsidP="003F26F6">
            <w:pPr>
              <w:pStyle w:val="Tabletext"/>
              <w:keepNext/>
            </w:pPr>
            <w:r w:rsidRPr="004E2001">
              <w:t>The treatment effects of GLP-1 therapies on biomarkers were estimated based on the SUSTAIN 3, 7 trials. The absolute changes reported in the SUSTAIN trials are dependent on baseline values that may be higher than the target PBS population.</w:t>
            </w:r>
          </w:p>
          <w:p w:rsidR="00722FD3" w:rsidRPr="004E2001" w:rsidRDefault="00722FD3" w:rsidP="003F26F6">
            <w:pPr>
              <w:pStyle w:val="Tabletext"/>
              <w:keepNext/>
            </w:pPr>
          </w:p>
          <w:p w:rsidR="00722FD3" w:rsidRPr="004E2001" w:rsidRDefault="00722FD3" w:rsidP="003F26F6">
            <w:pPr>
              <w:pStyle w:val="Tabletext"/>
              <w:keepNext/>
            </w:pPr>
            <w:r w:rsidRPr="004E2001">
              <w:t xml:space="preserve">The economic model incorporated an upward drift in HbA1c over time with GLP-1 therapies based on </w:t>
            </w:r>
            <w:r w:rsidR="00C53A60" w:rsidRPr="004E2001">
              <w:t xml:space="preserve">the longer-term </w:t>
            </w:r>
            <w:r w:rsidRPr="004E2001">
              <w:t>SUSTAIN 6 trial. The SUSTAIN</w:t>
            </w:r>
            <w:r w:rsidR="009D3257" w:rsidRPr="004E2001">
              <w:t xml:space="preserve"> </w:t>
            </w:r>
            <w:r w:rsidRPr="004E2001">
              <w:t>6 trial had limited applicability to the target PBS population as the majority of patients were already using insulin and were allowed to use various other treatments for glycaemic control. Longer-term trials for other GLP-1 therapies have reported substantially lower HbA1c drift estimates compared to the SUSTAIN</w:t>
            </w:r>
            <w:r w:rsidR="009D3257" w:rsidRPr="004E2001">
              <w:t xml:space="preserve"> </w:t>
            </w:r>
            <w:r w:rsidRPr="004E2001">
              <w:t>6 trial.</w:t>
            </w:r>
            <w:r w:rsidR="008D00BD" w:rsidRPr="004E2001">
              <w:t xml:space="preserve"> The ESC consider</w:t>
            </w:r>
            <w:r w:rsidR="00E35E64" w:rsidRPr="004E2001">
              <w:t>e</w:t>
            </w:r>
            <w:r w:rsidR="008D00BD" w:rsidRPr="004E2001">
              <w:t xml:space="preserve">d that the HbA1c drift was higher than other estimates and that the </w:t>
            </w:r>
            <w:r w:rsidR="00E35E64" w:rsidRPr="004E2001">
              <w:t>I</w:t>
            </w:r>
            <w:r w:rsidR="008D00BD" w:rsidRPr="004E2001">
              <w:t xml:space="preserve">CER was </w:t>
            </w:r>
            <w:r w:rsidR="007B2F45" w:rsidRPr="004E2001">
              <w:t>s</w:t>
            </w:r>
            <w:r w:rsidR="008D00BD" w:rsidRPr="004E2001">
              <w:t xml:space="preserve">ensitive to this assumption. </w:t>
            </w:r>
          </w:p>
          <w:p w:rsidR="00722FD3" w:rsidRPr="004E2001" w:rsidRDefault="00722FD3" w:rsidP="003F26F6">
            <w:pPr>
              <w:pStyle w:val="Tabletext"/>
              <w:keepNext/>
            </w:pPr>
          </w:p>
          <w:p w:rsidR="00722FD3" w:rsidRPr="004E2001" w:rsidRDefault="00722FD3" w:rsidP="003F26F6">
            <w:pPr>
              <w:pStyle w:val="Tabletext"/>
              <w:keepNext/>
            </w:pPr>
            <w:r w:rsidRPr="004E2001">
              <w:t xml:space="preserve">The submission assumed patients would switch to insulin therapy after their </w:t>
            </w:r>
            <w:r w:rsidR="00AE2B07" w:rsidRPr="004E2001">
              <w:t>HbA1c</w:t>
            </w:r>
            <w:r w:rsidRPr="004E2001">
              <w:t xml:space="preserve"> levels reach </w:t>
            </w:r>
            <w:r w:rsidR="00C53A60" w:rsidRPr="004E2001">
              <w:t xml:space="preserve">a </w:t>
            </w:r>
            <w:r w:rsidRPr="004E2001">
              <w:t>specific threshold based on local expert advice and previous published economic models.</w:t>
            </w:r>
            <w:r w:rsidR="00C53A60" w:rsidRPr="004E2001">
              <w:t xml:space="preserve"> The submission assumed that insulin therapy would be intensified if patients reached the same threshold again.</w:t>
            </w:r>
            <w:r w:rsidRPr="004E2001">
              <w:t xml:space="preserve"> It was unclear whether the nominated thresholds were reasonable as they were substantially higher than the treatment targets for glycaemic control in published treatment guidelines and it was unclear whether physicians would wait until a patient’s HbA1c reached these thresholds before initiating insulin therapy</w:t>
            </w:r>
            <w:r w:rsidR="0072089E" w:rsidRPr="004E2001">
              <w:t>.</w:t>
            </w:r>
          </w:p>
        </w:tc>
        <w:tc>
          <w:tcPr>
            <w:tcW w:w="710" w:type="pct"/>
            <w:shd w:val="clear" w:color="auto" w:fill="auto"/>
            <w:vAlign w:val="center"/>
          </w:tcPr>
          <w:p w:rsidR="00722FD3" w:rsidRPr="004E2001" w:rsidRDefault="00722FD3" w:rsidP="003F26F6">
            <w:pPr>
              <w:pStyle w:val="Tabletext"/>
              <w:keepNext/>
              <w:jc w:val="center"/>
            </w:pPr>
            <w:r w:rsidRPr="004E2001">
              <w:t>High, direction unclear</w:t>
            </w:r>
          </w:p>
        </w:tc>
      </w:tr>
      <w:tr w:rsidR="00722FD3" w:rsidRPr="004E2001" w:rsidTr="00722FD3">
        <w:tc>
          <w:tcPr>
            <w:tcW w:w="758" w:type="pct"/>
            <w:shd w:val="clear" w:color="auto" w:fill="auto"/>
            <w:vAlign w:val="center"/>
          </w:tcPr>
          <w:p w:rsidR="00722FD3" w:rsidRPr="004E2001" w:rsidRDefault="00722FD3" w:rsidP="003F26F6">
            <w:pPr>
              <w:pStyle w:val="Tabletext"/>
            </w:pPr>
            <w:r w:rsidRPr="004E2001">
              <w:t>Change in BMI over time</w:t>
            </w:r>
          </w:p>
        </w:tc>
        <w:tc>
          <w:tcPr>
            <w:tcW w:w="3532" w:type="pct"/>
            <w:shd w:val="clear" w:color="auto" w:fill="auto"/>
            <w:vAlign w:val="center"/>
          </w:tcPr>
          <w:p w:rsidR="00722FD3" w:rsidRPr="004E2001" w:rsidRDefault="00722FD3" w:rsidP="003F26F6">
            <w:pPr>
              <w:pStyle w:val="Tabletext"/>
            </w:pPr>
            <w:r w:rsidRPr="004E2001">
              <w:t>The change in BMI over time was dependent on modelled baseline BMI, treatment effects, delay in insulin use and residual treatment effects.</w:t>
            </w:r>
          </w:p>
          <w:p w:rsidR="00722FD3" w:rsidRPr="004E2001" w:rsidRDefault="00722FD3" w:rsidP="003F26F6">
            <w:pPr>
              <w:pStyle w:val="Tabletext"/>
            </w:pPr>
          </w:p>
          <w:p w:rsidR="00722FD3" w:rsidRPr="004E2001" w:rsidRDefault="00722FD3" w:rsidP="003F26F6">
            <w:pPr>
              <w:pStyle w:val="Tabletext"/>
            </w:pPr>
            <w:r w:rsidRPr="004E2001">
              <w:t xml:space="preserve">Modelled baseline BMI </w:t>
            </w:r>
            <w:r w:rsidR="00C53A60" w:rsidRPr="004E2001">
              <w:t>and treatment effects of GLP-1 therapies were</w:t>
            </w:r>
            <w:r w:rsidRPr="004E2001">
              <w:t xml:space="preserve"> based on the SUSTAIN 3, 7 trials. The trial populations included a relatively high proportion of obese patients which may not be representative of clinical practice (Australian studies suggest that the majority of patients are overweight rather than obese)</w:t>
            </w:r>
            <w:r w:rsidR="009D3257" w:rsidRPr="004E2001">
              <w:t>.</w:t>
            </w:r>
            <w:r w:rsidR="00C53A60" w:rsidRPr="004E2001">
              <w:t xml:space="preserve"> The SUSTAIN clinical trials generally showed that patients with higher baseline BMI values had larger absolute reductions in BMI with treatment (Ahren et al 2018).</w:t>
            </w:r>
          </w:p>
          <w:p w:rsidR="00722FD3" w:rsidRPr="004E2001" w:rsidRDefault="00722FD3" w:rsidP="003F26F6">
            <w:pPr>
              <w:pStyle w:val="Tabletext"/>
            </w:pPr>
          </w:p>
          <w:p w:rsidR="00722FD3" w:rsidRPr="004E2001" w:rsidRDefault="00722FD3" w:rsidP="003F26F6">
            <w:pPr>
              <w:pStyle w:val="Tabletext"/>
            </w:pPr>
            <w:r w:rsidRPr="004E2001">
              <w:t>The delay in insulin was modelled based on other variables and was highly uncertain (see above).</w:t>
            </w:r>
          </w:p>
          <w:p w:rsidR="00722FD3" w:rsidRPr="004E2001" w:rsidRDefault="00722FD3" w:rsidP="003F26F6">
            <w:pPr>
              <w:pStyle w:val="Tabletext"/>
            </w:pPr>
          </w:p>
          <w:p w:rsidR="00722FD3" w:rsidRPr="004E2001" w:rsidRDefault="00722FD3" w:rsidP="003F26F6">
            <w:pPr>
              <w:pStyle w:val="Tabletext"/>
              <w:rPr>
                <w:i/>
              </w:rPr>
            </w:pPr>
            <w:r w:rsidRPr="004E2001">
              <w:t>The submission assumed that incremental differences in BMI between GLP-1 therapies would be maintained after patients switch to insulin therapy. This assumption was not justified in the submission. The</w:t>
            </w:r>
            <w:r w:rsidR="00E35E64" w:rsidRPr="004E2001">
              <w:t xml:space="preserve"> ESC noted that the</w:t>
            </w:r>
            <w:r w:rsidRPr="004E2001">
              <w:t xml:space="preserve"> PBAC has previously considered that the assumption of ongoing benefits after switching to insulin is inappropriate (exenatide once weekly, July 2011 PSD).</w:t>
            </w:r>
          </w:p>
        </w:tc>
        <w:tc>
          <w:tcPr>
            <w:tcW w:w="710" w:type="pct"/>
            <w:shd w:val="clear" w:color="auto" w:fill="auto"/>
            <w:vAlign w:val="center"/>
          </w:tcPr>
          <w:p w:rsidR="00722FD3" w:rsidRPr="004E2001" w:rsidRDefault="00722FD3" w:rsidP="003F26F6">
            <w:pPr>
              <w:pStyle w:val="Tabletext"/>
              <w:jc w:val="center"/>
            </w:pPr>
            <w:r w:rsidRPr="004E2001">
              <w:t>High, favours semaglutide</w:t>
            </w:r>
          </w:p>
        </w:tc>
      </w:tr>
      <w:tr w:rsidR="00722FD3" w:rsidRPr="004E2001" w:rsidTr="00722FD3">
        <w:tc>
          <w:tcPr>
            <w:tcW w:w="758" w:type="pct"/>
            <w:shd w:val="clear" w:color="auto" w:fill="auto"/>
            <w:vAlign w:val="center"/>
          </w:tcPr>
          <w:p w:rsidR="00722FD3" w:rsidRPr="004E2001" w:rsidRDefault="00722FD3" w:rsidP="003F26F6">
            <w:pPr>
              <w:pStyle w:val="Tabletext"/>
            </w:pPr>
            <w:r w:rsidRPr="004E2001">
              <w:t>Hypoglycaemia event</w:t>
            </w:r>
            <w:r w:rsidR="00C53A60" w:rsidRPr="004E2001">
              <w:t>s</w:t>
            </w:r>
          </w:p>
        </w:tc>
        <w:tc>
          <w:tcPr>
            <w:tcW w:w="3532" w:type="pct"/>
            <w:shd w:val="clear" w:color="auto" w:fill="auto"/>
            <w:vAlign w:val="center"/>
          </w:tcPr>
          <w:p w:rsidR="00722FD3" w:rsidRPr="004E2001" w:rsidRDefault="00722FD3" w:rsidP="003F26F6">
            <w:pPr>
              <w:pStyle w:val="Tabletext"/>
            </w:pPr>
            <w:r w:rsidRPr="004E2001">
              <w:t>Hypoglycaemia event rates with GLP-1 therapies were estimated based on the SUSTAIN 3</w:t>
            </w:r>
            <w:r w:rsidR="008E4BE2" w:rsidRPr="004E2001">
              <w:t xml:space="preserve"> and SUSTAIN </w:t>
            </w:r>
            <w:r w:rsidRPr="004E2001">
              <w:t>7 trials.</w:t>
            </w:r>
          </w:p>
          <w:p w:rsidR="00722FD3" w:rsidRPr="004E2001" w:rsidRDefault="00722FD3" w:rsidP="003F26F6">
            <w:pPr>
              <w:pStyle w:val="Tabletext"/>
            </w:pPr>
          </w:p>
          <w:p w:rsidR="00722FD3" w:rsidRPr="004E2001" w:rsidRDefault="00722FD3" w:rsidP="003F26F6">
            <w:pPr>
              <w:pStyle w:val="Tabletext"/>
            </w:pPr>
            <w:r w:rsidRPr="004E2001">
              <w:t>Hypoglycaemia event rates with insulin were estimated based on the SUSTAIN-4 trial (open-label RCT comparing semaglutide with insulin glargine).</w:t>
            </w:r>
          </w:p>
          <w:p w:rsidR="00722FD3" w:rsidRPr="004E2001" w:rsidRDefault="00722FD3" w:rsidP="003F26F6">
            <w:pPr>
              <w:pStyle w:val="Tabletext"/>
            </w:pPr>
          </w:p>
          <w:p w:rsidR="00C53A60" w:rsidRPr="004E2001" w:rsidRDefault="00722FD3" w:rsidP="003F26F6">
            <w:pPr>
              <w:pStyle w:val="Tabletext"/>
            </w:pPr>
            <w:r w:rsidRPr="004E2001">
              <w:t>The estimated hypoglycaemia event rates used in the model appear to be highly uncertain with major differences between trial populations and inconsistent patterns between semaglutide dose strengths.</w:t>
            </w:r>
            <w:r w:rsidR="00C53A60" w:rsidRPr="004E2001">
              <w:t xml:space="preserve"> In particular, hypoglyc</w:t>
            </w:r>
            <w:r w:rsidR="00473ACE" w:rsidRPr="004E2001">
              <w:t>a</w:t>
            </w:r>
            <w:r w:rsidR="00C53A60" w:rsidRPr="004E2001">
              <w:t>emia rates observed with semaglutide treatment in the SUSTAIN 4 trial were substantially higher than the SUSTAIN 3 and 7 trials. This suggests that the study population in the SUSTAIN 4 trial was at higher risk of hypoglyc</w:t>
            </w:r>
            <w:r w:rsidR="00473ACE" w:rsidRPr="004E2001">
              <w:t>a</w:t>
            </w:r>
            <w:r w:rsidR="00C53A60" w:rsidRPr="004E2001">
              <w:t>emia compared to the other trials. Therefore, comparing hypoglyc</w:t>
            </w:r>
            <w:r w:rsidR="00473ACE" w:rsidRPr="004E2001">
              <w:t>a</w:t>
            </w:r>
            <w:r w:rsidR="00C53A60" w:rsidRPr="004E2001">
              <w:t>emia rates between trials (rather than within trials) is likely to overestimate the incremental difference between semaglutide and insulin therapy.</w:t>
            </w:r>
          </w:p>
          <w:p w:rsidR="00C53A60" w:rsidRPr="004E2001" w:rsidRDefault="00C53A60" w:rsidP="003F26F6">
            <w:pPr>
              <w:pStyle w:val="Tabletext"/>
            </w:pPr>
          </w:p>
          <w:p w:rsidR="00C53A60" w:rsidRPr="004E2001" w:rsidRDefault="00C53A60" w:rsidP="003F26F6">
            <w:pPr>
              <w:pStyle w:val="Tabletext"/>
            </w:pPr>
            <w:r w:rsidRPr="004E2001">
              <w:t>Hypoglyc</w:t>
            </w:r>
            <w:r w:rsidR="00473ACE" w:rsidRPr="004E2001">
              <w:t>a</w:t>
            </w:r>
            <w:r w:rsidRPr="004E2001">
              <w:t>emia disutility values were based on a published systematic review (Beaudet et al 2014). Estimates were based on fear of hypoglyc</w:t>
            </w:r>
            <w:r w:rsidR="00473ACE" w:rsidRPr="004E2001">
              <w:t>a</w:t>
            </w:r>
            <w:r w:rsidRPr="004E2001">
              <w:t>emia in patients with a symptomatic episode requiring or not requiring external intervention in past 3 months.</w:t>
            </w:r>
            <w:r w:rsidR="00C82041" w:rsidRPr="004E2001">
              <w:t xml:space="preserve"> </w:t>
            </w:r>
          </w:p>
          <w:p w:rsidR="00C53A60" w:rsidRPr="004E2001" w:rsidRDefault="00C53A60" w:rsidP="003F26F6">
            <w:pPr>
              <w:pStyle w:val="Tabletext"/>
            </w:pPr>
          </w:p>
          <w:p w:rsidR="00C53A60" w:rsidRPr="004E2001" w:rsidRDefault="00C53A60" w:rsidP="003F26F6">
            <w:pPr>
              <w:pStyle w:val="Tabletext"/>
            </w:pPr>
            <w:r w:rsidRPr="004E2001">
              <w:t>There were important differences in hypoglycaemia severity definitions between the trial data and the utility data (mild events: asymptomatic vs. symptomatic episodes without external intervention; moderate event: symptomatic episodes without external intervention vs. symptomatic episodes with/without external intervention). Severe events appeared to be consistent between data sources.</w:t>
            </w:r>
          </w:p>
          <w:p w:rsidR="00C53A60" w:rsidRPr="004E2001" w:rsidRDefault="00C53A60" w:rsidP="003F26F6">
            <w:pPr>
              <w:pStyle w:val="Tabletext"/>
            </w:pPr>
          </w:p>
          <w:p w:rsidR="001B6947" w:rsidRPr="004E2001" w:rsidRDefault="00C53A60" w:rsidP="003F26F6">
            <w:pPr>
              <w:pStyle w:val="Tabletext"/>
            </w:pPr>
            <w:r w:rsidRPr="004E2001">
              <w:t xml:space="preserve">The submission assumed that these disutility values could be applied to patients who experienced one or more hypoglycaemia event in a 12 month period. This assumption may not be reasonable as the impact of each hypoglycaemia episode is likely to diminish over time. </w:t>
            </w:r>
            <w:r w:rsidR="001B6947" w:rsidRPr="004E2001">
              <w:t>The ESC noted that PBAC had not previously accepted arguments for disutilities due to fear of hypoglycaemic events as these may only apply to a small sub-set of hypoglycaemic events (see insulin detemir and insulin glargine PSDs, March 2006).</w:t>
            </w:r>
          </w:p>
          <w:p w:rsidR="00C53A60" w:rsidRPr="004E2001" w:rsidRDefault="00C53A60" w:rsidP="003F26F6">
            <w:pPr>
              <w:pStyle w:val="Tabletext"/>
            </w:pPr>
          </w:p>
          <w:p w:rsidR="00C53A60" w:rsidRPr="004E2001" w:rsidRDefault="00C53A60" w:rsidP="003F26F6">
            <w:pPr>
              <w:pStyle w:val="Tabletext"/>
            </w:pPr>
            <w:r w:rsidRPr="004E2001">
              <w:t xml:space="preserve">The submission estimated hypoglycaemia event costs based on the assumption that mild episodes would be managed by GPs, moderate episodes would require an emergency room visit and severe episodes would require hospitalisation. </w:t>
            </w:r>
          </w:p>
          <w:p w:rsidR="00C53A60" w:rsidRPr="004E2001" w:rsidRDefault="00C53A60" w:rsidP="003F26F6">
            <w:pPr>
              <w:pStyle w:val="Tabletext"/>
            </w:pPr>
          </w:p>
          <w:p w:rsidR="00722FD3" w:rsidRPr="004E2001" w:rsidRDefault="00C53A60" w:rsidP="003F26F6">
            <w:pPr>
              <w:pStyle w:val="Tabletext"/>
            </w:pPr>
            <w:r w:rsidRPr="004E2001">
              <w:t>These assumptions were not adequately justified and were not consistent with the trial data used to inform hypoglycaemia rates. In the trial data, only severe episodes required external intervention which could include the administration of carbohydrate, glucagon or other corrective action (and therefore may not require hospitalisation).</w:t>
            </w:r>
          </w:p>
        </w:tc>
        <w:tc>
          <w:tcPr>
            <w:tcW w:w="710" w:type="pct"/>
            <w:shd w:val="clear" w:color="auto" w:fill="auto"/>
            <w:vAlign w:val="center"/>
          </w:tcPr>
          <w:p w:rsidR="00722FD3" w:rsidRPr="004E2001" w:rsidRDefault="00722FD3" w:rsidP="003F26F6">
            <w:pPr>
              <w:pStyle w:val="Tabletext"/>
              <w:jc w:val="center"/>
            </w:pPr>
            <w:r w:rsidRPr="004E2001">
              <w:lastRenderedPageBreak/>
              <w:t>High, favours semaglutide</w:t>
            </w:r>
          </w:p>
        </w:tc>
      </w:tr>
      <w:tr w:rsidR="00722FD3" w:rsidRPr="004E2001" w:rsidTr="00722FD3">
        <w:tc>
          <w:tcPr>
            <w:tcW w:w="758" w:type="pct"/>
            <w:shd w:val="clear" w:color="auto" w:fill="auto"/>
            <w:vAlign w:val="center"/>
          </w:tcPr>
          <w:p w:rsidR="00722FD3" w:rsidRPr="004E2001" w:rsidRDefault="00722FD3" w:rsidP="003F26F6">
            <w:pPr>
              <w:pStyle w:val="Tabletext"/>
            </w:pPr>
            <w:r w:rsidRPr="004E2001">
              <w:t>Insulin disutility</w:t>
            </w:r>
          </w:p>
        </w:tc>
        <w:tc>
          <w:tcPr>
            <w:tcW w:w="3532" w:type="pct"/>
            <w:shd w:val="clear" w:color="auto" w:fill="auto"/>
            <w:vAlign w:val="center"/>
          </w:tcPr>
          <w:p w:rsidR="00722FD3" w:rsidRPr="004E2001" w:rsidRDefault="00722FD3" w:rsidP="003F26F6">
            <w:pPr>
              <w:pStyle w:val="Tabletext"/>
            </w:pPr>
            <w:r w:rsidRPr="004E2001">
              <w:t xml:space="preserve">Insulin disutility was estimated based on the CODE-2 study (large cross-sectional survey of Type 2 diabetes patients in Europe). </w:t>
            </w:r>
          </w:p>
          <w:p w:rsidR="00722FD3" w:rsidRPr="004E2001" w:rsidRDefault="00722FD3" w:rsidP="003F26F6">
            <w:pPr>
              <w:pStyle w:val="Tabletext"/>
            </w:pPr>
          </w:p>
          <w:p w:rsidR="00722FD3" w:rsidRPr="004E2001" w:rsidRDefault="00722FD3" w:rsidP="003F26F6">
            <w:pPr>
              <w:pStyle w:val="Tabletext"/>
            </w:pPr>
            <w:r w:rsidRPr="004E2001">
              <w:t>Typically, the disutility associated with insulin treatment is associated with fear of hypoglycaemia, weight gain, injection burden and more advanced disease. However, as the model already incorporates utility impacts for hypoglycaemia, weight gain and advanced disease there is the potential for substantial double counting between utility estimates. Additionally, the CODE-2 study did not capture data on patients using injectables other than insulin (e.g. GLP-1 therapies) and therefore may overestimate the impact of injection burden.</w:t>
            </w:r>
          </w:p>
          <w:p w:rsidR="00722FD3" w:rsidRPr="004E2001" w:rsidRDefault="00722FD3" w:rsidP="003F26F6">
            <w:pPr>
              <w:pStyle w:val="Tabletext"/>
            </w:pPr>
          </w:p>
          <w:p w:rsidR="00722FD3" w:rsidRPr="004E2001" w:rsidRDefault="00722FD3" w:rsidP="003F26F6">
            <w:pPr>
              <w:pStyle w:val="Tabletext"/>
            </w:pPr>
            <w:r w:rsidRPr="004E2001">
              <w:t xml:space="preserve">A direct comparison of semaglutide and insulin glargine in the open-label SUSTAIN-4 trial indicated that treatment with semaglutide was associated with improvements in treatment satisfaction and some small improvements in quality of life measures (role </w:t>
            </w:r>
            <w:r w:rsidRPr="004E2001">
              <w:lastRenderedPageBreak/>
              <w:t>emotional and general health using the SF-36 measure for semaglutide 1.0 mg only). However, the results of the SUSTAIN-4 trial also indicated that semaglutide was associated with a higher incidence of adverse events compared to insulin glargine (primarily due to nausea, vomiting and diarrhoea). Overall, the results of the SUSTAIN-4 trial do not support a large utility difference between semaglutide treatment and insulin therapy.</w:t>
            </w:r>
          </w:p>
        </w:tc>
        <w:tc>
          <w:tcPr>
            <w:tcW w:w="710" w:type="pct"/>
            <w:shd w:val="clear" w:color="auto" w:fill="auto"/>
            <w:vAlign w:val="center"/>
          </w:tcPr>
          <w:p w:rsidR="00722FD3" w:rsidRPr="004E2001" w:rsidRDefault="00722FD3" w:rsidP="003F26F6">
            <w:pPr>
              <w:pStyle w:val="Tabletext"/>
              <w:jc w:val="center"/>
            </w:pPr>
            <w:r w:rsidRPr="004E2001">
              <w:lastRenderedPageBreak/>
              <w:t>High, favours semaglutide</w:t>
            </w:r>
          </w:p>
        </w:tc>
      </w:tr>
      <w:tr w:rsidR="00722FD3" w:rsidRPr="004E2001" w:rsidTr="00722FD3">
        <w:tc>
          <w:tcPr>
            <w:tcW w:w="758" w:type="pct"/>
            <w:shd w:val="clear" w:color="auto" w:fill="auto"/>
            <w:vAlign w:val="center"/>
          </w:tcPr>
          <w:p w:rsidR="00722FD3" w:rsidRPr="004E2001" w:rsidRDefault="00722FD3" w:rsidP="003F26F6">
            <w:pPr>
              <w:pStyle w:val="Tabletext"/>
            </w:pPr>
            <w:r w:rsidRPr="004E2001">
              <w:t>Time horizon</w:t>
            </w:r>
          </w:p>
        </w:tc>
        <w:tc>
          <w:tcPr>
            <w:tcW w:w="3532" w:type="pct"/>
            <w:shd w:val="clear" w:color="auto" w:fill="auto"/>
            <w:vAlign w:val="center"/>
          </w:tcPr>
          <w:p w:rsidR="00722FD3" w:rsidRPr="004E2001" w:rsidRDefault="00722FD3" w:rsidP="003F26F6">
            <w:pPr>
              <w:pStyle w:val="Tabletext"/>
              <w:rPr>
                <w:i/>
              </w:rPr>
            </w:pPr>
            <w:r w:rsidRPr="004E2001">
              <w:t>The submission nominated a 10 year time horizon for the economic analysis on the basis that this represented a reasonable compromise between the lifelong duration of the disease, the potential duration of GLP-1 therapy (3-7 years), the potential longer term benefits arising from delayed insulin use, the limited extent of follow up in the relevant randomised trials and likely future evolutions in the management of type 2 diabetes. The appropriateness of the time horizon is highly dependent on the potential duration of GLP-1 therapy which in turn is dependent on baseline HbA1c, treatment effects, biomarker drift and treatment thresholds. A number of plausible variations in these characteristics can lead to substantially longer or shorter GLP-1 treatment durations.</w:t>
            </w:r>
            <w:r w:rsidR="00AA69C8" w:rsidRPr="004E2001">
              <w:t xml:space="preserve"> The ESC considered that the 10 year time horizon was appropriate</w:t>
            </w:r>
            <w:r w:rsidR="00EC078A" w:rsidRPr="004E2001">
              <w:t xml:space="preserve"> based on the submission’s justification</w:t>
            </w:r>
            <w:r w:rsidR="00AA69C8" w:rsidRPr="004E2001">
              <w:t xml:space="preserve">. </w:t>
            </w:r>
          </w:p>
        </w:tc>
        <w:tc>
          <w:tcPr>
            <w:tcW w:w="710" w:type="pct"/>
            <w:shd w:val="clear" w:color="auto" w:fill="auto"/>
            <w:vAlign w:val="center"/>
          </w:tcPr>
          <w:p w:rsidR="00722FD3" w:rsidRPr="004E2001" w:rsidRDefault="00722FD3" w:rsidP="003F26F6">
            <w:pPr>
              <w:pStyle w:val="Tabletext"/>
              <w:jc w:val="center"/>
            </w:pPr>
            <w:r w:rsidRPr="004E2001">
              <w:t>High, direction unclear</w:t>
            </w:r>
          </w:p>
        </w:tc>
      </w:tr>
    </w:tbl>
    <w:p w:rsidR="00722FD3" w:rsidRPr="004E2001" w:rsidRDefault="00722FD3" w:rsidP="003F26F6"/>
    <w:p w:rsidR="00C53A60" w:rsidRPr="004E2001" w:rsidRDefault="00C53A60" w:rsidP="0076592A">
      <w:pPr>
        <w:pStyle w:val="ListParagraph"/>
        <w:numPr>
          <w:ilvl w:val="1"/>
          <w:numId w:val="2"/>
        </w:numPr>
        <w:jc w:val="both"/>
      </w:pPr>
      <w:r w:rsidRPr="004E2001">
        <w:t>The model included additional differences in blood pressure, heart rate, lipid profile and renal function between GLP-1 therapies (semaglutide, exenatide, dulaglutide). The inclusion of these treatment effects was not adequately justified as there was no statistically significant difference between treatment arms for most of these variables in the SUSTAIN clinical trials.</w:t>
      </w:r>
      <w:r w:rsidR="00AA69C8" w:rsidRPr="004E2001">
        <w:t xml:space="preserve"> </w:t>
      </w:r>
      <w:r w:rsidR="005B2627" w:rsidRPr="004E2001">
        <w:t xml:space="preserve">The </w:t>
      </w:r>
      <w:r w:rsidR="00AA69C8" w:rsidRPr="004E2001">
        <w:t xml:space="preserve">ESC </w:t>
      </w:r>
      <w:r w:rsidR="00D27711" w:rsidRPr="004E2001">
        <w:t>consider</w:t>
      </w:r>
      <w:r w:rsidR="00AA69C8" w:rsidRPr="004E2001">
        <w:t>ed that the</w:t>
      </w:r>
      <w:r w:rsidR="00D27711" w:rsidRPr="004E2001">
        <w:t xml:space="preserve"> assumption that these biomarkers revert back to baseline when patients switch from GLP-1 to insulin was inappropriate, however their inclusion in the economic model </w:t>
      </w:r>
      <w:r w:rsidR="00D808A8" w:rsidRPr="004E2001">
        <w:t xml:space="preserve">did not significantly impact </w:t>
      </w:r>
      <w:r w:rsidR="00AA69C8" w:rsidRPr="004E2001">
        <w:t>the ICER.</w:t>
      </w:r>
    </w:p>
    <w:p w:rsidR="00722FD3" w:rsidRPr="004E2001" w:rsidRDefault="00722FD3" w:rsidP="0076592A">
      <w:pPr>
        <w:pStyle w:val="ListParagraph"/>
        <w:numPr>
          <w:ilvl w:val="1"/>
          <w:numId w:val="2"/>
        </w:numPr>
        <w:jc w:val="both"/>
      </w:pPr>
      <w:r w:rsidRPr="004E2001">
        <w:t>The model assumed that there would be no other differences in adverse events between GLP-1 therapies. This assumption may not be reasonable as semaglutide appears to have a higher incidence of gastrointestinal events compared to other GLP-1 therapies.</w:t>
      </w:r>
    </w:p>
    <w:p w:rsidR="00722FD3" w:rsidRPr="004E2001" w:rsidRDefault="00722FD3" w:rsidP="0076592A">
      <w:pPr>
        <w:pStyle w:val="ListParagraph"/>
        <w:numPr>
          <w:ilvl w:val="1"/>
          <w:numId w:val="2"/>
        </w:numPr>
        <w:jc w:val="both"/>
      </w:pPr>
      <w:r w:rsidRPr="004E2001">
        <w:t xml:space="preserve">The submission also assumed there would be no other differences in adverse events between semaglutide and insulin glargine. This assumption was not reasonable. </w:t>
      </w:r>
      <w:r w:rsidR="00982BC8" w:rsidRPr="004E2001">
        <w:t>In the SUSTAIN 4 trial, s</w:t>
      </w:r>
      <w:r w:rsidRPr="004E2001">
        <w:t xml:space="preserve">emaglutide was associated with both a higher incidence and rate of adverse events compared to insulin glargine. These differences were mainly driven by the occurrence of gastrointestinal events (i.e. nausea, </w:t>
      </w:r>
      <w:r w:rsidR="007E3EB0" w:rsidRPr="004E2001">
        <w:t>diarrhoea</w:t>
      </w:r>
      <w:r w:rsidRPr="004E2001">
        <w:t xml:space="preserve"> and vomiting).</w:t>
      </w:r>
    </w:p>
    <w:p w:rsidR="00722FD3" w:rsidRPr="004E2001" w:rsidRDefault="00722FD3" w:rsidP="0076592A">
      <w:pPr>
        <w:pStyle w:val="ListParagraph"/>
        <w:numPr>
          <w:ilvl w:val="1"/>
          <w:numId w:val="2"/>
        </w:numPr>
        <w:jc w:val="both"/>
      </w:pPr>
      <w:r w:rsidRPr="004E2001">
        <w:t xml:space="preserve">The results of the modelled economic evaluation </w:t>
      </w:r>
      <w:r w:rsidR="00090932" w:rsidRPr="004E2001">
        <w:t xml:space="preserve">based on published prices </w:t>
      </w:r>
      <w:r w:rsidRPr="004E2001">
        <w:t>are summarised below</w:t>
      </w:r>
      <w:r w:rsidR="00C53A60" w:rsidRPr="004E2001">
        <w:t>.</w:t>
      </w:r>
      <w:r w:rsidR="00090932" w:rsidRPr="004E2001">
        <w:t xml:space="preserve"> </w:t>
      </w:r>
    </w:p>
    <w:p w:rsidR="00C53A60" w:rsidRPr="004E2001" w:rsidRDefault="00C53A60" w:rsidP="0076592A">
      <w:pPr>
        <w:pStyle w:val="ListParagraph"/>
        <w:numPr>
          <w:ilvl w:val="1"/>
          <w:numId w:val="2"/>
        </w:numPr>
        <w:jc w:val="both"/>
      </w:pPr>
      <w:r w:rsidRPr="004E2001">
        <w:t>During the evaluation, the base case economic analysis was respecified to include a correction in BMI change with insulin, a correction in sulfonylurea drug costs with insulin, a correction in hypoglycaemia event rates</w:t>
      </w:r>
      <w:r w:rsidR="000421B3" w:rsidRPr="004E2001">
        <w:t>,</w:t>
      </w:r>
      <w:r w:rsidRPr="004E2001">
        <w:t xml:space="preserve"> and removal of BMI rounding for the purpose of calculating the overweight disutility.</w:t>
      </w:r>
    </w:p>
    <w:p w:rsidR="00722FD3" w:rsidRPr="004E2001" w:rsidRDefault="00722FD3" w:rsidP="003F26F6">
      <w:pPr>
        <w:keepNext/>
        <w:rPr>
          <w:rStyle w:val="CommentReference"/>
        </w:rPr>
      </w:pPr>
      <w:r w:rsidRPr="004E2001">
        <w:rPr>
          <w:rStyle w:val="CommentReference"/>
        </w:rPr>
        <w:lastRenderedPageBreak/>
        <w:t>Table 1</w:t>
      </w:r>
      <w:r w:rsidR="00DD6AEE" w:rsidRPr="004E2001">
        <w:rPr>
          <w:rStyle w:val="CommentReference"/>
        </w:rPr>
        <w:t>4</w:t>
      </w:r>
      <w:r w:rsidRPr="004E2001">
        <w:rPr>
          <w:rStyle w:val="CommentReference"/>
        </w:rPr>
        <w:t>: Results of the economic evaluation (semaglutide vs exenatide once weekly)</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economic evaluation (semaglutide vs exenatide once weekly)"/>
      </w:tblPr>
      <w:tblGrid>
        <w:gridCol w:w="2757"/>
        <w:gridCol w:w="2451"/>
        <w:gridCol w:w="2300"/>
        <w:gridCol w:w="1531"/>
      </w:tblGrid>
      <w:tr w:rsidR="00722FD3" w:rsidRPr="004E2001" w:rsidTr="00867AEB">
        <w:trPr>
          <w:tblHeader/>
        </w:trPr>
        <w:tc>
          <w:tcPr>
            <w:tcW w:w="1525" w:type="pct"/>
            <w:vAlign w:val="center"/>
          </w:tcPr>
          <w:p w:rsidR="00722FD3" w:rsidRPr="004E2001" w:rsidRDefault="00722FD3" w:rsidP="003F26F6">
            <w:pPr>
              <w:pStyle w:val="Tabletext"/>
              <w:keepNext/>
              <w:rPr>
                <w:b/>
              </w:rPr>
            </w:pPr>
            <w:r w:rsidRPr="004E2001">
              <w:rPr>
                <w:b/>
              </w:rPr>
              <w:t>Component</w:t>
            </w:r>
          </w:p>
        </w:tc>
        <w:tc>
          <w:tcPr>
            <w:tcW w:w="1356" w:type="pct"/>
            <w:vAlign w:val="center"/>
          </w:tcPr>
          <w:p w:rsidR="00722FD3" w:rsidRPr="004E2001" w:rsidRDefault="00722FD3" w:rsidP="003F26F6">
            <w:pPr>
              <w:pStyle w:val="Tabletext"/>
              <w:keepNext/>
              <w:jc w:val="center"/>
              <w:rPr>
                <w:b/>
              </w:rPr>
            </w:pPr>
            <w:r w:rsidRPr="004E2001">
              <w:rPr>
                <w:b/>
              </w:rPr>
              <w:t>Semaglutide 1.0 mg</w:t>
            </w:r>
          </w:p>
        </w:tc>
        <w:tc>
          <w:tcPr>
            <w:tcW w:w="1272" w:type="pct"/>
            <w:vAlign w:val="center"/>
          </w:tcPr>
          <w:p w:rsidR="00722FD3" w:rsidRPr="004E2001" w:rsidRDefault="00722FD3" w:rsidP="003F26F6">
            <w:pPr>
              <w:pStyle w:val="Tabletext"/>
              <w:keepNext/>
              <w:jc w:val="center"/>
              <w:rPr>
                <w:b/>
              </w:rPr>
            </w:pPr>
            <w:r w:rsidRPr="004E2001">
              <w:rPr>
                <w:b/>
              </w:rPr>
              <w:t>Exenatide once weekly</w:t>
            </w:r>
          </w:p>
        </w:tc>
        <w:tc>
          <w:tcPr>
            <w:tcW w:w="847" w:type="pct"/>
            <w:vAlign w:val="center"/>
          </w:tcPr>
          <w:p w:rsidR="00722FD3" w:rsidRPr="004E2001" w:rsidRDefault="00722FD3" w:rsidP="003F26F6">
            <w:pPr>
              <w:pStyle w:val="Tabletext"/>
              <w:keepNext/>
              <w:jc w:val="center"/>
              <w:rPr>
                <w:b/>
              </w:rPr>
            </w:pPr>
            <w:r w:rsidRPr="004E2001">
              <w:rPr>
                <w:b/>
              </w:rPr>
              <w:t>Increment</w:t>
            </w:r>
          </w:p>
        </w:tc>
      </w:tr>
      <w:tr w:rsidR="00722FD3" w:rsidRPr="004E2001" w:rsidTr="00867AEB">
        <w:tc>
          <w:tcPr>
            <w:tcW w:w="1525" w:type="pct"/>
            <w:vAlign w:val="center"/>
          </w:tcPr>
          <w:p w:rsidR="00722FD3" w:rsidRPr="004E2001" w:rsidRDefault="00722FD3" w:rsidP="003F26F6">
            <w:pPr>
              <w:pStyle w:val="Tabletext"/>
              <w:keepNext/>
              <w:rPr>
                <w:rFonts w:ascii="Times" w:hAnsi="Times"/>
              </w:rPr>
            </w:pPr>
            <w:r w:rsidRPr="004E2001">
              <w:t>Costs</w:t>
            </w:r>
          </w:p>
        </w:tc>
        <w:tc>
          <w:tcPr>
            <w:tcW w:w="1356" w:type="pct"/>
          </w:tcPr>
          <w:p w:rsidR="00722FD3" w:rsidRPr="004E2001" w:rsidRDefault="00722FD3" w:rsidP="003F26F6">
            <w:pPr>
              <w:pStyle w:val="Tabletext"/>
              <w:keepNext/>
              <w:jc w:val="center"/>
              <w:rPr>
                <w:rFonts w:ascii="Times" w:hAnsi="Times"/>
              </w:rPr>
            </w:pPr>
            <w:r w:rsidRPr="004E2001">
              <w:t>$</w:t>
            </w:r>
            <w:r w:rsidR="0076592A">
              <w:rPr>
                <w:noProof/>
                <w:color w:val="000000"/>
                <w:highlight w:val="black"/>
              </w:rPr>
              <w:t>'''''''''''''''''</w:t>
            </w:r>
          </w:p>
        </w:tc>
        <w:tc>
          <w:tcPr>
            <w:tcW w:w="1272" w:type="pct"/>
          </w:tcPr>
          <w:p w:rsidR="00722FD3" w:rsidRPr="004E2001" w:rsidRDefault="00722FD3" w:rsidP="003F26F6">
            <w:pPr>
              <w:pStyle w:val="Tabletext"/>
              <w:keepNext/>
              <w:jc w:val="center"/>
              <w:rPr>
                <w:rFonts w:ascii="Times" w:hAnsi="Times"/>
              </w:rPr>
            </w:pPr>
            <w:r w:rsidRPr="004E2001">
              <w:t>$</w:t>
            </w:r>
            <w:r w:rsidR="0076592A">
              <w:rPr>
                <w:noProof/>
                <w:color w:val="000000"/>
                <w:highlight w:val="black"/>
              </w:rPr>
              <w:t>'''''''''''''''''</w:t>
            </w:r>
          </w:p>
        </w:tc>
        <w:tc>
          <w:tcPr>
            <w:tcW w:w="847" w:type="pct"/>
          </w:tcPr>
          <w:p w:rsidR="00722FD3" w:rsidRPr="004E2001" w:rsidRDefault="00722FD3" w:rsidP="003F26F6">
            <w:pPr>
              <w:pStyle w:val="Tabletext"/>
              <w:keepNext/>
              <w:jc w:val="center"/>
              <w:rPr>
                <w:rFonts w:ascii="Times" w:hAnsi="Times"/>
              </w:rPr>
            </w:pPr>
            <w:r w:rsidRPr="004E2001">
              <w:t>$</w:t>
            </w:r>
            <w:r w:rsidR="0076592A">
              <w:rPr>
                <w:noProof/>
                <w:color w:val="000000"/>
                <w:highlight w:val="black"/>
              </w:rPr>
              <w:t>'''''''''''''</w:t>
            </w:r>
          </w:p>
        </w:tc>
      </w:tr>
      <w:tr w:rsidR="00722FD3" w:rsidRPr="004E2001" w:rsidTr="00867AEB">
        <w:tc>
          <w:tcPr>
            <w:tcW w:w="1525" w:type="pct"/>
            <w:vAlign w:val="center"/>
          </w:tcPr>
          <w:p w:rsidR="00722FD3" w:rsidRPr="004E2001" w:rsidRDefault="00722FD3" w:rsidP="003F26F6">
            <w:pPr>
              <w:pStyle w:val="Tabletext"/>
              <w:keepNext/>
              <w:rPr>
                <w:rFonts w:ascii="Times" w:hAnsi="Times"/>
              </w:rPr>
            </w:pPr>
            <w:r w:rsidRPr="004E2001">
              <w:t>QALYs</w:t>
            </w:r>
          </w:p>
        </w:tc>
        <w:tc>
          <w:tcPr>
            <w:tcW w:w="1356" w:type="pct"/>
          </w:tcPr>
          <w:p w:rsidR="00722FD3" w:rsidRPr="004E2001" w:rsidRDefault="00722FD3" w:rsidP="003F26F6">
            <w:pPr>
              <w:pStyle w:val="Tabletext"/>
              <w:keepNext/>
              <w:jc w:val="center"/>
            </w:pPr>
            <w:r w:rsidRPr="004E2001">
              <w:t>5.661</w:t>
            </w:r>
          </w:p>
        </w:tc>
        <w:tc>
          <w:tcPr>
            <w:tcW w:w="1272" w:type="pct"/>
          </w:tcPr>
          <w:p w:rsidR="00722FD3" w:rsidRPr="004E2001" w:rsidRDefault="00722FD3" w:rsidP="003F26F6">
            <w:pPr>
              <w:pStyle w:val="Tabletext"/>
              <w:keepNext/>
              <w:jc w:val="center"/>
            </w:pPr>
            <w:r w:rsidRPr="004E2001">
              <w:t>5.446</w:t>
            </w:r>
          </w:p>
        </w:tc>
        <w:tc>
          <w:tcPr>
            <w:tcW w:w="847" w:type="pct"/>
          </w:tcPr>
          <w:p w:rsidR="00722FD3" w:rsidRPr="004E2001" w:rsidRDefault="00722FD3" w:rsidP="003F26F6">
            <w:pPr>
              <w:pStyle w:val="Tabletext"/>
              <w:keepNext/>
              <w:jc w:val="center"/>
            </w:pPr>
            <w:r w:rsidRPr="004E2001">
              <w:t>0.215</w:t>
            </w:r>
          </w:p>
        </w:tc>
      </w:tr>
      <w:tr w:rsidR="00722FD3" w:rsidRPr="004E2001" w:rsidTr="00867AEB">
        <w:tc>
          <w:tcPr>
            <w:tcW w:w="4153" w:type="pct"/>
            <w:gridSpan w:val="3"/>
            <w:vAlign w:val="center"/>
          </w:tcPr>
          <w:p w:rsidR="00722FD3" w:rsidRPr="004E2001" w:rsidRDefault="00722FD3" w:rsidP="003F26F6">
            <w:pPr>
              <w:pStyle w:val="Tabletext"/>
              <w:keepNext/>
              <w:jc w:val="right"/>
              <w:rPr>
                <w:rFonts w:ascii="Times" w:hAnsi="Times"/>
              </w:rPr>
            </w:pPr>
            <w:r w:rsidRPr="004E2001">
              <w:t>Incremental cost per QALY gained</w:t>
            </w:r>
          </w:p>
        </w:tc>
        <w:tc>
          <w:tcPr>
            <w:tcW w:w="847" w:type="pct"/>
            <w:vAlign w:val="center"/>
          </w:tcPr>
          <w:p w:rsidR="00722FD3" w:rsidRPr="004E2001" w:rsidRDefault="00722FD3" w:rsidP="003F26F6">
            <w:pPr>
              <w:pStyle w:val="Tabletext"/>
              <w:keepNext/>
              <w:jc w:val="center"/>
            </w:pPr>
            <w:r w:rsidRPr="004E2001">
              <w:t>$</w:t>
            </w:r>
            <w:r w:rsidR="0076592A">
              <w:rPr>
                <w:noProof/>
                <w:color w:val="000000"/>
                <w:highlight w:val="black"/>
              </w:rPr>
              <w:t>'''''''''''''</w:t>
            </w:r>
          </w:p>
        </w:tc>
      </w:tr>
    </w:tbl>
    <w:p w:rsidR="00722FD3" w:rsidRPr="004E2001" w:rsidRDefault="00722FD3" w:rsidP="003F26F6">
      <w:pPr>
        <w:pStyle w:val="TableFooter"/>
        <w:keepNext/>
      </w:pPr>
      <w:r w:rsidRPr="004E2001">
        <w:t>Source: IHE DCM 4.3 Australia Excel model with corrections for errors in BMI change with insulin, hypoglycaemic event rates and sulfonylurea drug costs with insulin; and removing BMI rounding in calculation of overweight disutility</w:t>
      </w:r>
    </w:p>
    <w:p w:rsidR="00722FD3" w:rsidRPr="004E2001" w:rsidRDefault="00722FD3" w:rsidP="003F26F6">
      <w:pPr>
        <w:rPr>
          <w:rStyle w:val="CommentReference"/>
        </w:rPr>
      </w:pPr>
    </w:p>
    <w:p w:rsidR="00722FD3" w:rsidRPr="004E2001" w:rsidRDefault="00722FD3" w:rsidP="0076592A">
      <w:pPr>
        <w:pStyle w:val="ListParagraph"/>
        <w:numPr>
          <w:ilvl w:val="1"/>
          <w:numId w:val="2"/>
        </w:numPr>
        <w:jc w:val="both"/>
      </w:pPr>
      <w:r w:rsidRPr="004E2001">
        <w:t xml:space="preserve">Based on the economic model, treatment with semaglutide was associated with a cost per QALY gained of </w:t>
      </w:r>
      <w:r w:rsidR="001D51AB">
        <w:t xml:space="preserve">less than </w:t>
      </w:r>
      <w:r w:rsidRPr="004E2001">
        <w:t>$</w:t>
      </w:r>
      <w:r w:rsidR="001D51AB">
        <w:t>15,000</w:t>
      </w:r>
      <w:r w:rsidRPr="004E2001">
        <w:t xml:space="preserve"> compared to exenatide once weekly when used as part of dual/triple therapy for type 2 diabetes.</w:t>
      </w:r>
      <w:r w:rsidR="00C53A60" w:rsidRPr="004E2001">
        <w:t xml:space="preserve"> Over the 10-year time horizon of the economic model, treatment with semaglutide was associated with a 2 year delay in the time to insulin, an average 1.41 kg/m</w:t>
      </w:r>
      <w:r w:rsidR="00C53A60" w:rsidRPr="004E2001">
        <w:rPr>
          <w:vertAlign w:val="superscript"/>
        </w:rPr>
        <w:t>2</w:t>
      </w:r>
      <w:r w:rsidR="00C53A60" w:rsidRPr="004E2001">
        <w:t xml:space="preserve"> reduction in BMI and 3 fewer hypoglycaemia events per patient compared to exenatide once weekly. There were minimal differences in microvascular and macrovascular complications between treatment arms.</w:t>
      </w:r>
      <w:r w:rsidR="002C30F6" w:rsidRPr="004E2001">
        <w:t xml:space="preserve"> The ESC noted that key driver</w:t>
      </w:r>
      <w:r w:rsidR="00DC7C5E" w:rsidRPr="004E2001">
        <w:t>s</w:t>
      </w:r>
      <w:r w:rsidR="002C30F6" w:rsidRPr="004E2001">
        <w:t xml:space="preserve"> of QALY gain were i</w:t>
      </w:r>
      <w:r w:rsidR="00DC7C5E" w:rsidRPr="004E2001">
        <w:t>nsulin therapy, weight and hypo</w:t>
      </w:r>
      <w:r w:rsidR="002C30F6" w:rsidRPr="004E2001">
        <w:t>glyca</w:t>
      </w:r>
      <w:r w:rsidR="002A5317" w:rsidRPr="004E2001">
        <w:t>em</w:t>
      </w:r>
      <w:r w:rsidR="002C30F6" w:rsidRPr="004E2001">
        <w:t xml:space="preserve">ia. The ESC </w:t>
      </w:r>
      <w:r w:rsidR="000421B3" w:rsidRPr="004E2001">
        <w:t>noted</w:t>
      </w:r>
      <w:r w:rsidR="002C30F6" w:rsidRPr="004E2001">
        <w:t xml:space="preserve"> that the insulin therapy utility decrement was derived through a cross sectional analysis of UK data, valued using the UK algorithm. The ESC noted that the QALY gains from weight</w:t>
      </w:r>
      <w:r w:rsidR="000421B3" w:rsidRPr="004E2001">
        <w:t xml:space="preserve"> change</w:t>
      </w:r>
      <w:r w:rsidR="002C30F6" w:rsidRPr="004E2001">
        <w:t xml:space="preserve"> were affected by the assumption of long-term difference and considered that this was not justified. The ESC noted that the definition of hypoglycaemia in the trials differed from the valuation study and considered that this probably biased</w:t>
      </w:r>
      <w:r w:rsidR="002A5317" w:rsidRPr="004E2001">
        <w:t xml:space="preserve"> in favour of</w:t>
      </w:r>
      <w:r w:rsidR="002C30F6" w:rsidRPr="004E2001">
        <w:t xml:space="preserve"> semaglutide. </w:t>
      </w:r>
    </w:p>
    <w:p w:rsidR="00722FD3" w:rsidRPr="004E2001" w:rsidRDefault="00722FD3" w:rsidP="00C56F83">
      <w:pPr>
        <w:keepNext/>
        <w:keepLines/>
        <w:rPr>
          <w:rStyle w:val="CommentReference"/>
        </w:rPr>
      </w:pPr>
      <w:r w:rsidRPr="004E2001">
        <w:rPr>
          <w:rStyle w:val="CommentReference"/>
        </w:rPr>
        <w:t>Table 1</w:t>
      </w:r>
      <w:r w:rsidR="00DD6AEE" w:rsidRPr="004E2001">
        <w:rPr>
          <w:rStyle w:val="CommentReference"/>
        </w:rPr>
        <w:t>5</w:t>
      </w:r>
      <w:r w:rsidRPr="004E2001">
        <w:rPr>
          <w:rStyle w:val="CommentReference"/>
        </w:rPr>
        <w:t>: Results of the economic evaluation (semaglutide vs dulaglutide once weekly)</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economic evaluation (semaglutide vs dulaglutide once weekly)"/>
      </w:tblPr>
      <w:tblGrid>
        <w:gridCol w:w="2757"/>
        <w:gridCol w:w="2451"/>
        <w:gridCol w:w="2300"/>
        <w:gridCol w:w="1531"/>
      </w:tblGrid>
      <w:tr w:rsidR="00722FD3" w:rsidRPr="004E2001" w:rsidTr="00867AEB">
        <w:trPr>
          <w:tblHeader/>
        </w:trPr>
        <w:tc>
          <w:tcPr>
            <w:tcW w:w="1525" w:type="pct"/>
            <w:vAlign w:val="center"/>
          </w:tcPr>
          <w:p w:rsidR="00722FD3" w:rsidRPr="004E2001" w:rsidRDefault="00722FD3" w:rsidP="00C56F83">
            <w:pPr>
              <w:pStyle w:val="Tabletext"/>
              <w:keepNext/>
              <w:keepLines/>
              <w:rPr>
                <w:b/>
                <w:szCs w:val="20"/>
              </w:rPr>
            </w:pPr>
            <w:r w:rsidRPr="004E2001">
              <w:rPr>
                <w:b/>
                <w:szCs w:val="20"/>
              </w:rPr>
              <w:t>Component</w:t>
            </w:r>
          </w:p>
        </w:tc>
        <w:tc>
          <w:tcPr>
            <w:tcW w:w="1356" w:type="pct"/>
            <w:tcBorders>
              <w:bottom w:val="single" w:sz="4" w:space="0" w:color="auto"/>
            </w:tcBorders>
            <w:vAlign w:val="center"/>
          </w:tcPr>
          <w:p w:rsidR="00722FD3" w:rsidRPr="004E2001" w:rsidRDefault="00722FD3" w:rsidP="00C56F83">
            <w:pPr>
              <w:pStyle w:val="Tabletext"/>
              <w:keepNext/>
              <w:keepLines/>
              <w:jc w:val="center"/>
              <w:rPr>
                <w:b/>
                <w:szCs w:val="20"/>
              </w:rPr>
            </w:pPr>
            <w:r w:rsidRPr="004E2001">
              <w:rPr>
                <w:b/>
                <w:szCs w:val="20"/>
              </w:rPr>
              <w:t>Semaglutide 0.5 mg</w:t>
            </w:r>
          </w:p>
        </w:tc>
        <w:tc>
          <w:tcPr>
            <w:tcW w:w="1272" w:type="pct"/>
            <w:tcBorders>
              <w:bottom w:val="single" w:sz="4" w:space="0" w:color="auto"/>
            </w:tcBorders>
            <w:vAlign w:val="center"/>
          </w:tcPr>
          <w:p w:rsidR="00722FD3" w:rsidRPr="004E2001" w:rsidRDefault="00722FD3" w:rsidP="00C56F83">
            <w:pPr>
              <w:pStyle w:val="Tabletext"/>
              <w:keepNext/>
              <w:keepLines/>
              <w:jc w:val="center"/>
              <w:rPr>
                <w:b/>
                <w:szCs w:val="20"/>
              </w:rPr>
            </w:pPr>
            <w:r w:rsidRPr="004E2001">
              <w:rPr>
                <w:b/>
                <w:szCs w:val="20"/>
              </w:rPr>
              <w:t>Dulaglutide once weekly</w:t>
            </w:r>
          </w:p>
        </w:tc>
        <w:tc>
          <w:tcPr>
            <w:tcW w:w="847" w:type="pct"/>
            <w:tcBorders>
              <w:bottom w:val="single" w:sz="4" w:space="0" w:color="auto"/>
            </w:tcBorders>
            <w:vAlign w:val="center"/>
          </w:tcPr>
          <w:p w:rsidR="00722FD3" w:rsidRPr="004E2001" w:rsidRDefault="00722FD3" w:rsidP="00C56F83">
            <w:pPr>
              <w:pStyle w:val="Tabletext"/>
              <w:keepNext/>
              <w:keepLines/>
              <w:jc w:val="center"/>
              <w:rPr>
                <w:b/>
                <w:szCs w:val="20"/>
              </w:rPr>
            </w:pPr>
            <w:r w:rsidRPr="004E2001">
              <w:rPr>
                <w:b/>
                <w:szCs w:val="20"/>
              </w:rPr>
              <w:t>Increment</w:t>
            </w:r>
          </w:p>
        </w:tc>
      </w:tr>
      <w:tr w:rsidR="00722FD3" w:rsidRPr="004E2001" w:rsidTr="00867AEB">
        <w:tc>
          <w:tcPr>
            <w:tcW w:w="1525" w:type="pct"/>
            <w:vAlign w:val="center"/>
          </w:tcPr>
          <w:p w:rsidR="00722FD3" w:rsidRPr="004E2001" w:rsidRDefault="00722FD3" w:rsidP="00C56F83">
            <w:pPr>
              <w:pStyle w:val="Tabletext"/>
              <w:keepNext/>
              <w:keepLines/>
              <w:rPr>
                <w:szCs w:val="20"/>
              </w:rPr>
            </w:pPr>
            <w:r w:rsidRPr="004E2001">
              <w:rPr>
                <w:szCs w:val="20"/>
              </w:rPr>
              <w:t>Costs</w:t>
            </w:r>
          </w:p>
        </w:tc>
        <w:tc>
          <w:tcPr>
            <w:tcW w:w="1356" w:type="pct"/>
            <w:tcBorders>
              <w:top w:val="single" w:sz="4" w:space="0" w:color="auto"/>
              <w:left w:val="single" w:sz="4" w:space="0" w:color="D9D9D9"/>
              <w:bottom w:val="single" w:sz="4" w:space="0" w:color="auto"/>
              <w:right w:val="single" w:sz="4" w:space="0" w:color="auto"/>
            </w:tcBorders>
            <w:shd w:val="clear" w:color="000000" w:fill="FFFFFF"/>
            <w:vAlign w:val="center"/>
          </w:tcPr>
          <w:p w:rsidR="00722FD3" w:rsidRPr="004E2001" w:rsidRDefault="00722FD3" w:rsidP="00C56F83">
            <w:pPr>
              <w:pStyle w:val="Tabletext"/>
              <w:keepNext/>
              <w:keepLines/>
              <w:jc w:val="center"/>
              <w:rPr>
                <w:szCs w:val="20"/>
              </w:rPr>
            </w:pPr>
            <w:r w:rsidRPr="004E2001">
              <w:rPr>
                <w:rFonts w:cs="Arial"/>
                <w:szCs w:val="20"/>
              </w:rPr>
              <w:t>$</w:t>
            </w:r>
            <w:r w:rsidR="0076592A">
              <w:rPr>
                <w:rFonts w:cs="Arial"/>
                <w:noProof/>
                <w:color w:val="000000"/>
                <w:szCs w:val="20"/>
                <w:highlight w:val="black"/>
              </w:rPr>
              <w:t>'''''''''''''''''</w:t>
            </w:r>
          </w:p>
        </w:tc>
        <w:tc>
          <w:tcPr>
            <w:tcW w:w="1272" w:type="pct"/>
            <w:tcBorders>
              <w:top w:val="single" w:sz="4" w:space="0" w:color="auto"/>
              <w:left w:val="single" w:sz="4" w:space="0" w:color="auto"/>
              <w:bottom w:val="single" w:sz="4" w:space="0" w:color="auto"/>
              <w:right w:val="single" w:sz="4" w:space="0" w:color="auto"/>
            </w:tcBorders>
            <w:shd w:val="clear" w:color="000000" w:fill="FFFFFF"/>
            <w:vAlign w:val="center"/>
          </w:tcPr>
          <w:p w:rsidR="00722FD3" w:rsidRPr="004E2001" w:rsidRDefault="00722FD3" w:rsidP="00C56F83">
            <w:pPr>
              <w:pStyle w:val="Tabletext"/>
              <w:keepNext/>
              <w:keepLines/>
              <w:jc w:val="center"/>
              <w:rPr>
                <w:szCs w:val="20"/>
              </w:rPr>
            </w:pPr>
            <w:r w:rsidRPr="004E2001">
              <w:rPr>
                <w:rFonts w:cs="Arial"/>
                <w:szCs w:val="20"/>
              </w:rPr>
              <w:t>$</w:t>
            </w:r>
            <w:r w:rsidR="0076592A">
              <w:rPr>
                <w:rFonts w:cs="Arial"/>
                <w:noProof/>
                <w:color w:val="000000"/>
                <w:szCs w:val="20"/>
                <w:highlight w:val="black"/>
              </w:rPr>
              <w:t>'''''''''''''''</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722FD3" w:rsidRPr="004E2001" w:rsidRDefault="00722FD3" w:rsidP="00C56F83">
            <w:pPr>
              <w:pStyle w:val="Tabletext"/>
              <w:keepNext/>
              <w:keepLines/>
              <w:jc w:val="center"/>
              <w:rPr>
                <w:szCs w:val="20"/>
              </w:rPr>
            </w:pPr>
            <w:r w:rsidRPr="004E2001">
              <w:rPr>
                <w:rFonts w:cs="Arial"/>
                <w:szCs w:val="20"/>
              </w:rPr>
              <w:t>$</w:t>
            </w:r>
            <w:r w:rsidR="0076592A">
              <w:rPr>
                <w:rFonts w:cs="Arial"/>
                <w:noProof/>
                <w:color w:val="000000"/>
                <w:szCs w:val="20"/>
                <w:highlight w:val="black"/>
              </w:rPr>
              <w:t>''''''''''''''</w:t>
            </w:r>
          </w:p>
        </w:tc>
      </w:tr>
      <w:tr w:rsidR="00722FD3" w:rsidRPr="004E2001" w:rsidTr="00867AEB">
        <w:tc>
          <w:tcPr>
            <w:tcW w:w="1525" w:type="pct"/>
            <w:vAlign w:val="center"/>
          </w:tcPr>
          <w:p w:rsidR="00722FD3" w:rsidRPr="004E2001" w:rsidRDefault="00722FD3" w:rsidP="00C56F83">
            <w:pPr>
              <w:pStyle w:val="Tabletext"/>
              <w:keepNext/>
              <w:keepLines/>
              <w:rPr>
                <w:szCs w:val="20"/>
              </w:rPr>
            </w:pPr>
            <w:r w:rsidRPr="004E2001">
              <w:rPr>
                <w:szCs w:val="20"/>
              </w:rPr>
              <w:t>QALYs</w:t>
            </w:r>
          </w:p>
        </w:tc>
        <w:tc>
          <w:tcPr>
            <w:tcW w:w="1356" w:type="pct"/>
            <w:tcBorders>
              <w:top w:val="single" w:sz="4" w:space="0" w:color="auto"/>
              <w:left w:val="single" w:sz="4" w:space="0" w:color="D9D9D9"/>
              <w:bottom w:val="single" w:sz="4" w:space="0" w:color="auto"/>
              <w:right w:val="single" w:sz="4" w:space="0" w:color="auto"/>
            </w:tcBorders>
            <w:shd w:val="clear" w:color="000000" w:fill="FFFFFF"/>
            <w:vAlign w:val="center"/>
          </w:tcPr>
          <w:p w:rsidR="00722FD3" w:rsidRPr="004E2001" w:rsidRDefault="00722FD3" w:rsidP="00C56F83">
            <w:pPr>
              <w:pStyle w:val="Tabletext"/>
              <w:keepNext/>
              <w:keepLines/>
              <w:jc w:val="center"/>
              <w:rPr>
                <w:szCs w:val="20"/>
              </w:rPr>
            </w:pPr>
            <w:r w:rsidRPr="004E2001">
              <w:rPr>
                <w:rFonts w:cs="Arial"/>
                <w:color w:val="000000"/>
                <w:szCs w:val="20"/>
              </w:rPr>
              <w:t>5.796</w:t>
            </w:r>
          </w:p>
        </w:tc>
        <w:tc>
          <w:tcPr>
            <w:tcW w:w="1272" w:type="pct"/>
            <w:tcBorders>
              <w:top w:val="single" w:sz="4" w:space="0" w:color="auto"/>
              <w:left w:val="single" w:sz="4" w:space="0" w:color="auto"/>
              <w:bottom w:val="single" w:sz="4" w:space="0" w:color="auto"/>
              <w:right w:val="single" w:sz="4" w:space="0" w:color="auto"/>
            </w:tcBorders>
            <w:shd w:val="clear" w:color="000000" w:fill="FFFFFF"/>
            <w:vAlign w:val="center"/>
          </w:tcPr>
          <w:p w:rsidR="00722FD3" w:rsidRPr="004E2001" w:rsidRDefault="00722FD3" w:rsidP="00C56F83">
            <w:pPr>
              <w:pStyle w:val="Tabletext"/>
              <w:keepNext/>
              <w:keepLines/>
              <w:jc w:val="center"/>
              <w:rPr>
                <w:szCs w:val="20"/>
              </w:rPr>
            </w:pPr>
            <w:r w:rsidRPr="004E2001">
              <w:rPr>
                <w:rFonts w:cs="Arial"/>
                <w:color w:val="000000"/>
                <w:szCs w:val="20"/>
              </w:rPr>
              <w:t>5.706</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722FD3" w:rsidRPr="004E2001" w:rsidRDefault="00722FD3" w:rsidP="00C56F83">
            <w:pPr>
              <w:pStyle w:val="Tabletext"/>
              <w:keepNext/>
              <w:keepLines/>
              <w:jc w:val="center"/>
              <w:rPr>
                <w:szCs w:val="20"/>
              </w:rPr>
            </w:pPr>
            <w:r w:rsidRPr="004E2001">
              <w:rPr>
                <w:rFonts w:cs="Arial"/>
                <w:color w:val="000000"/>
                <w:szCs w:val="20"/>
              </w:rPr>
              <w:t>0.090</w:t>
            </w:r>
          </w:p>
        </w:tc>
      </w:tr>
      <w:tr w:rsidR="00722FD3" w:rsidRPr="004E2001" w:rsidTr="00867AEB">
        <w:tc>
          <w:tcPr>
            <w:tcW w:w="4153" w:type="pct"/>
            <w:gridSpan w:val="3"/>
            <w:vAlign w:val="center"/>
          </w:tcPr>
          <w:p w:rsidR="00722FD3" w:rsidRPr="004E2001" w:rsidRDefault="00722FD3" w:rsidP="00C56F83">
            <w:pPr>
              <w:pStyle w:val="Tabletext"/>
              <w:keepNext/>
              <w:keepLines/>
              <w:jc w:val="right"/>
              <w:rPr>
                <w:szCs w:val="20"/>
              </w:rPr>
            </w:pPr>
            <w:r w:rsidRPr="004E2001">
              <w:rPr>
                <w:szCs w:val="20"/>
              </w:rPr>
              <w:t>Incremental cost per QALY gained</w:t>
            </w:r>
          </w:p>
        </w:tc>
        <w:tc>
          <w:tcPr>
            <w:tcW w:w="847" w:type="pct"/>
            <w:vAlign w:val="center"/>
          </w:tcPr>
          <w:p w:rsidR="00722FD3" w:rsidRPr="004E2001" w:rsidRDefault="00722FD3" w:rsidP="00C56F83">
            <w:pPr>
              <w:pStyle w:val="Tabletext"/>
              <w:keepNext/>
              <w:keepLines/>
              <w:jc w:val="center"/>
              <w:rPr>
                <w:szCs w:val="20"/>
              </w:rPr>
            </w:pPr>
            <w:r w:rsidRPr="004E2001">
              <w:rPr>
                <w:szCs w:val="20"/>
              </w:rPr>
              <w:t>$</w:t>
            </w:r>
            <w:r w:rsidR="0076592A">
              <w:rPr>
                <w:noProof/>
                <w:color w:val="000000"/>
                <w:szCs w:val="20"/>
                <w:highlight w:val="black"/>
              </w:rPr>
              <w:t>'''''''''''''''</w:t>
            </w:r>
          </w:p>
        </w:tc>
      </w:tr>
      <w:tr w:rsidR="00722FD3" w:rsidRPr="004E2001" w:rsidTr="00867AEB">
        <w:trPr>
          <w:tblHeader/>
        </w:trPr>
        <w:tc>
          <w:tcPr>
            <w:tcW w:w="1525" w:type="pct"/>
            <w:vAlign w:val="center"/>
          </w:tcPr>
          <w:p w:rsidR="00722FD3" w:rsidRPr="004E2001" w:rsidRDefault="00722FD3" w:rsidP="00C56F83">
            <w:pPr>
              <w:pStyle w:val="Tabletext"/>
              <w:keepNext/>
              <w:keepLines/>
              <w:rPr>
                <w:b/>
                <w:szCs w:val="20"/>
              </w:rPr>
            </w:pPr>
            <w:r w:rsidRPr="004E2001">
              <w:rPr>
                <w:b/>
                <w:szCs w:val="20"/>
              </w:rPr>
              <w:t>Component</w:t>
            </w:r>
          </w:p>
        </w:tc>
        <w:tc>
          <w:tcPr>
            <w:tcW w:w="1356" w:type="pct"/>
            <w:vAlign w:val="center"/>
          </w:tcPr>
          <w:p w:rsidR="00722FD3" w:rsidRPr="004E2001" w:rsidRDefault="00722FD3" w:rsidP="00C56F83">
            <w:pPr>
              <w:pStyle w:val="Tabletext"/>
              <w:keepNext/>
              <w:keepLines/>
              <w:jc w:val="center"/>
              <w:rPr>
                <w:b/>
                <w:szCs w:val="20"/>
              </w:rPr>
            </w:pPr>
            <w:r w:rsidRPr="004E2001">
              <w:rPr>
                <w:b/>
                <w:szCs w:val="20"/>
              </w:rPr>
              <w:t>Semaglutide 1.0 mg</w:t>
            </w:r>
          </w:p>
        </w:tc>
        <w:tc>
          <w:tcPr>
            <w:tcW w:w="1272" w:type="pct"/>
            <w:vAlign w:val="center"/>
          </w:tcPr>
          <w:p w:rsidR="00722FD3" w:rsidRPr="004E2001" w:rsidRDefault="00722FD3" w:rsidP="00C56F83">
            <w:pPr>
              <w:pStyle w:val="Tabletext"/>
              <w:keepNext/>
              <w:keepLines/>
              <w:jc w:val="center"/>
              <w:rPr>
                <w:b/>
                <w:szCs w:val="20"/>
              </w:rPr>
            </w:pPr>
            <w:r w:rsidRPr="004E2001">
              <w:rPr>
                <w:b/>
                <w:szCs w:val="20"/>
              </w:rPr>
              <w:t>Dulaglutide once weekly</w:t>
            </w:r>
          </w:p>
        </w:tc>
        <w:tc>
          <w:tcPr>
            <w:tcW w:w="847" w:type="pct"/>
            <w:vAlign w:val="center"/>
          </w:tcPr>
          <w:p w:rsidR="00722FD3" w:rsidRPr="004E2001" w:rsidRDefault="00722FD3" w:rsidP="00C56F83">
            <w:pPr>
              <w:pStyle w:val="Tabletext"/>
              <w:keepNext/>
              <w:keepLines/>
              <w:jc w:val="center"/>
              <w:rPr>
                <w:b/>
                <w:szCs w:val="20"/>
              </w:rPr>
            </w:pPr>
            <w:r w:rsidRPr="004E2001">
              <w:rPr>
                <w:b/>
                <w:szCs w:val="20"/>
              </w:rPr>
              <w:t>Increment</w:t>
            </w:r>
          </w:p>
        </w:tc>
      </w:tr>
      <w:tr w:rsidR="00722FD3" w:rsidRPr="004E2001" w:rsidTr="00867AEB">
        <w:tc>
          <w:tcPr>
            <w:tcW w:w="1525" w:type="pct"/>
            <w:vAlign w:val="center"/>
          </w:tcPr>
          <w:p w:rsidR="00722FD3" w:rsidRPr="004E2001" w:rsidRDefault="00722FD3" w:rsidP="00C56F83">
            <w:pPr>
              <w:pStyle w:val="Tabletext"/>
              <w:keepNext/>
              <w:keepLines/>
              <w:rPr>
                <w:szCs w:val="20"/>
              </w:rPr>
            </w:pPr>
            <w:r w:rsidRPr="004E2001">
              <w:rPr>
                <w:szCs w:val="20"/>
              </w:rPr>
              <w:t>Costs</w:t>
            </w:r>
          </w:p>
        </w:tc>
        <w:tc>
          <w:tcPr>
            <w:tcW w:w="1356" w:type="pct"/>
          </w:tcPr>
          <w:p w:rsidR="00722FD3" w:rsidRPr="004E2001" w:rsidRDefault="00722FD3" w:rsidP="00C56F83">
            <w:pPr>
              <w:pStyle w:val="Tabletext"/>
              <w:keepNext/>
              <w:keepLines/>
              <w:jc w:val="center"/>
              <w:rPr>
                <w:szCs w:val="20"/>
              </w:rPr>
            </w:pPr>
            <w:r w:rsidRPr="004E2001">
              <w:t>$</w:t>
            </w:r>
            <w:r w:rsidR="0076592A">
              <w:rPr>
                <w:noProof/>
                <w:color w:val="000000"/>
                <w:highlight w:val="black"/>
              </w:rPr>
              <w:t>'''''''''''''''''</w:t>
            </w:r>
          </w:p>
        </w:tc>
        <w:tc>
          <w:tcPr>
            <w:tcW w:w="1272" w:type="pct"/>
          </w:tcPr>
          <w:p w:rsidR="00722FD3" w:rsidRPr="004E2001" w:rsidRDefault="00722FD3" w:rsidP="00C56F83">
            <w:pPr>
              <w:pStyle w:val="Tabletext"/>
              <w:keepNext/>
              <w:keepLines/>
              <w:jc w:val="center"/>
              <w:rPr>
                <w:szCs w:val="20"/>
              </w:rPr>
            </w:pPr>
            <w:r w:rsidRPr="004E2001">
              <w:t>$</w:t>
            </w:r>
            <w:r w:rsidR="0076592A">
              <w:rPr>
                <w:noProof/>
                <w:color w:val="000000"/>
                <w:highlight w:val="black"/>
              </w:rPr>
              <w:t>''''''''''''''''</w:t>
            </w:r>
          </w:p>
        </w:tc>
        <w:tc>
          <w:tcPr>
            <w:tcW w:w="847" w:type="pct"/>
          </w:tcPr>
          <w:p w:rsidR="00722FD3" w:rsidRPr="004E2001" w:rsidRDefault="00722FD3" w:rsidP="00C56F83">
            <w:pPr>
              <w:pStyle w:val="Tabletext"/>
              <w:keepNext/>
              <w:keepLines/>
              <w:jc w:val="center"/>
              <w:rPr>
                <w:szCs w:val="20"/>
              </w:rPr>
            </w:pPr>
            <w:r w:rsidRPr="004E2001">
              <w:t>$</w:t>
            </w:r>
            <w:r w:rsidR="0076592A">
              <w:rPr>
                <w:noProof/>
                <w:color w:val="000000"/>
                <w:highlight w:val="black"/>
              </w:rPr>
              <w:t>'''''''''''''</w:t>
            </w:r>
          </w:p>
        </w:tc>
      </w:tr>
      <w:tr w:rsidR="00722FD3" w:rsidRPr="004E2001" w:rsidTr="00867AEB">
        <w:tc>
          <w:tcPr>
            <w:tcW w:w="1525" w:type="pct"/>
            <w:vAlign w:val="center"/>
          </w:tcPr>
          <w:p w:rsidR="00722FD3" w:rsidRPr="004E2001" w:rsidRDefault="00722FD3" w:rsidP="00C56F83">
            <w:pPr>
              <w:pStyle w:val="Tabletext"/>
              <w:keepNext/>
              <w:keepLines/>
              <w:rPr>
                <w:szCs w:val="20"/>
              </w:rPr>
            </w:pPr>
            <w:r w:rsidRPr="004E2001">
              <w:rPr>
                <w:szCs w:val="20"/>
              </w:rPr>
              <w:t>QALYs</w:t>
            </w:r>
          </w:p>
        </w:tc>
        <w:tc>
          <w:tcPr>
            <w:tcW w:w="1356" w:type="pct"/>
          </w:tcPr>
          <w:p w:rsidR="00722FD3" w:rsidRPr="004E2001" w:rsidRDefault="00722FD3" w:rsidP="00C56F83">
            <w:pPr>
              <w:pStyle w:val="Tabletext"/>
              <w:keepNext/>
              <w:keepLines/>
              <w:jc w:val="center"/>
              <w:rPr>
                <w:szCs w:val="20"/>
              </w:rPr>
            </w:pPr>
            <w:r w:rsidRPr="004E2001">
              <w:t>5.900</w:t>
            </w:r>
          </w:p>
        </w:tc>
        <w:tc>
          <w:tcPr>
            <w:tcW w:w="1272" w:type="pct"/>
          </w:tcPr>
          <w:p w:rsidR="00722FD3" w:rsidRPr="004E2001" w:rsidRDefault="00722FD3" w:rsidP="00C56F83">
            <w:pPr>
              <w:pStyle w:val="Tabletext"/>
              <w:keepNext/>
              <w:keepLines/>
              <w:jc w:val="center"/>
              <w:rPr>
                <w:szCs w:val="20"/>
              </w:rPr>
            </w:pPr>
            <w:r w:rsidRPr="004E2001">
              <w:t>5.706</w:t>
            </w:r>
          </w:p>
        </w:tc>
        <w:tc>
          <w:tcPr>
            <w:tcW w:w="847" w:type="pct"/>
          </w:tcPr>
          <w:p w:rsidR="00722FD3" w:rsidRPr="004E2001" w:rsidRDefault="00722FD3" w:rsidP="00C56F83">
            <w:pPr>
              <w:pStyle w:val="Tabletext"/>
              <w:keepNext/>
              <w:keepLines/>
              <w:jc w:val="center"/>
              <w:rPr>
                <w:szCs w:val="20"/>
              </w:rPr>
            </w:pPr>
            <w:r w:rsidRPr="004E2001">
              <w:t>0.194</w:t>
            </w:r>
          </w:p>
        </w:tc>
      </w:tr>
      <w:tr w:rsidR="00722FD3" w:rsidRPr="004E2001" w:rsidTr="00867AEB">
        <w:tc>
          <w:tcPr>
            <w:tcW w:w="4153" w:type="pct"/>
            <w:gridSpan w:val="3"/>
            <w:vAlign w:val="center"/>
          </w:tcPr>
          <w:p w:rsidR="00722FD3" w:rsidRPr="004E2001" w:rsidRDefault="00722FD3" w:rsidP="00C56F83">
            <w:pPr>
              <w:pStyle w:val="Tabletext"/>
              <w:keepNext/>
              <w:keepLines/>
              <w:jc w:val="right"/>
              <w:rPr>
                <w:szCs w:val="20"/>
              </w:rPr>
            </w:pPr>
            <w:r w:rsidRPr="004E2001">
              <w:rPr>
                <w:szCs w:val="20"/>
              </w:rPr>
              <w:t>Incremental cost per QALY gained</w:t>
            </w:r>
          </w:p>
        </w:tc>
        <w:tc>
          <w:tcPr>
            <w:tcW w:w="847" w:type="pct"/>
            <w:vAlign w:val="center"/>
          </w:tcPr>
          <w:p w:rsidR="00722FD3" w:rsidRPr="004E2001" w:rsidRDefault="00722FD3" w:rsidP="00C56F83">
            <w:pPr>
              <w:pStyle w:val="Tabletext"/>
              <w:keepNext/>
              <w:keepLines/>
              <w:jc w:val="center"/>
              <w:rPr>
                <w:szCs w:val="20"/>
              </w:rPr>
            </w:pPr>
            <w:r w:rsidRPr="004E2001">
              <w:rPr>
                <w:szCs w:val="20"/>
              </w:rPr>
              <w:t>$</w:t>
            </w:r>
            <w:r w:rsidR="0076592A">
              <w:rPr>
                <w:noProof/>
                <w:color w:val="000000"/>
                <w:szCs w:val="20"/>
                <w:highlight w:val="black"/>
              </w:rPr>
              <w:t>'''''''''''''</w:t>
            </w:r>
          </w:p>
        </w:tc>
      </w:tr>
    </w:tbl>
    <w:p w:rsidR="00722FD3" w:rsidRPr="004E2001" w:rsidRDefault="00722FD3" w:rsidP="00C56F83">
      <w:pPr>
        <w:pStyle w:val="TableFooter"/>
        <w:keepNext/>
        <w:keepLines/>
      </w:pPr>
      <w:r w:rsidRPr="004E2001">
        <w:t>Source: IHE DCM 4.3 Australia Excel model with corrections for errors in BMI change with insulin, hypoglycaemia event rates and sulfonylurea drug costs with insulin; and removing BMI rounding in calculation of overweight disutility</w:t>
      </w:r>
    </w:p>
    <w:p w:rsidR="00722FD3" w:rsidRPr="004E2001" w:rsidRDefault="00722FD3" w:rsidP="003F26F6"/>
    <w:p w:rsidR="00EE5F54" w:rsidRPr="004E2001" w:rsidRDefault="00722FD3" w:rsidP="0076592A">
      <w:pPr>
        <w:pStyle w:val="ListParagraph"/>
        <w:numPr>
          <w:ilvl w:val="1"/>
          <w:numId w:val="2"/>
        </w:numPr>
        <w:jc w:val="both"/>
      </w:pPr>
      <w:r w:rsidRPr="004E2001">
        <w:t>Based on the economic model, treatment with semaglutide 0.5 mg was associated with a cost per QALY gained of</w:t>
      </w:r>
      <w:r w:rsidR="001D51AB">
        <w:t xml:space="preserve"> less than</w:t>
      </w:r>
      <w:r w:rsidRPr="004E2001">
        <w:t xml:space="preserve"> $</w:t>
      </w:r>
      <w:r w:rsidR="001D51AB">
        <w:t>15,000</w:t>
      </w:r>
      <w:r w:rsidRPr="004E2001">
        <w:t xml:space="preserve"> compared to dulaglutide once weekly when used as part of dual therapy for type 2 diabetes. </w:t>
      </w:r>
      <w:r w:rsidR="00EE5F54" w:rsidRPr="004E2001">
        <w:t>Over the 10-year time horizon of the economic model, treatment with semaglutide 0.5 mg was associated with a 1 year delay in the time to insulin, an average 0.59 kg/m</w:t>
      </w:r>
      <w:r w:rsidR="00EE5F54" w:rsidRPr="004E2001">
        <w:rPr>
          <w:vertAlign w:val="superscript"/>
        </w:rPr>
        <w:t>2</w:t>
      </w:r>
      <w:r w:rsidR="00EE5F54" w:rsidRPr="004E2001">
        <w:t xml:space="preserve"> reduction in BMI and 1 fewer hypoglycaemia events per patient compared to dulaglutide once weekly. There were minimal differences in microvascular and macrovascular complications between treatment arms.</w:t>
      </w:r>
    </w:p>
    <w:p w:rsidR="00722FD3" w:rsidRPr="004E2001" w:rsidRDefault="00722FD3" w:rsidP="0076592A">
      <w:pPr>
        <w:pStyle w:val="ListParagraph"/>
        <w:numPr>
          <w:ilvl w:val="1"/>
          <w:numId w:val="2"/>
        </w:numPr>
        <w:jc w:val="both"/>
      </w:pPr>
      <w:r w:rsidRPr="004E2001">
        <w:t xml:space="preserve">Treatment with semaglutide 1.0 mg was associated with a cost per QALY gained of </w:t>
      </w:r>
      <w:r w:rsidR="001D51AB">
        <w:t xml:space="preserve">less than </w:t>
      </w:r>
      <w:r w:rsidRPr="004E2001">
        <w:t>$</w:t>
      </w:r>
      <w:r w:rsidR="001D51AB">
        <w:t>15,000</w:t>
      </w:r>
      <w:r w:rsidRPr="004E2001">
        <w:t xml:space="preserve"> compared to dulaglutide once weekly when used as part of dual therapy for type 2 diabetes.</w:t>
      </w:r>
      <w:r w:rsidR="00EE5F54" w:rsidRPr="004E2001">
        <w:t xml:space="preserve"> Over the 10-year time horizon of the economic model, treatment with semaglutide 1.0 mg was associated with a 2 year delay in the time to insulin, an </w:t>
      </w:r>
      <w:r w:rsidR="00EE5F54" w:rsidRPr="004E2001">
        <w:lastRenderedPageBreak/>
        <w:t>average 1.31 kg/m</w:t>
      </w:r>
      <w:r w:rsidR="00EE5F54" w:rsidRPr="004E2001">
        <w:rPr>
          <w:vertAlign w:val="superscript"/>
        </w:rPr>
        <w:t>2</w:t>
      </w:r>
      <w:r w:rsidR="00EE5F54" w:rsidRPr="004E2001">
        <w:t xml:space="preserve"> reduction in BMI and 3 fewer hypoglycaemia events per patient compared to dulaglutide once weekly. There were minimal differences in microvascular and macrovascular complications between treatment arms.</w:t>
      </w:r>
    </w:p>
    <w:p w:rsidR="00722FD3" w:rsidRPr="004E2001" w:rsidRDefault="00722FD3" w:rsidP="0076592A">
      <w:pPr>
        <w:pStyle w:val="ListParagraph"/>
        <w:numPr>
          <w:ilvl w:val="1"/>
          <w:numId w:val="2"/>
        </w:numPr>
        <w:jc w:val="both"/>
      </w:pPr>
      <w:r w:rsidRPr="004E2001">
        <w:t>The results of key sensitivity analyses are summarised below.</w:t>
      </w:r>
    </w:p>
    <w:p w:rsidR="00722FD3" w:rsidRPr="004E2001" w:rsidRDefault="00722FD3" w:rsidP="0076592A">
      <w:pPr>
        <w:pStyle w:val="TableHeading0"/>
        <w:keepLines/>
        <w:spacing w:after="0"/>
      </w:pPr>
      <w:r w:rsidRPr="004E2001">
        <w:lastRenderedPageBreak/>
        <w:t>Table 1</w:t>
      </w:r>
      <w:r w:rsidR="00DD6AEE" w:rsidRPr="004E2001">
        <w:t>6</w:t>
      </w:r>
      <w:r w:rsidRPr="004E2001">
        <w:t>: Results of sensitivity analyses</w:t>
      </w:r>
    </w:p>
    <w:tbl>
      <w:tblPr>
        <w:tblStyle w:val="TableGrid"/>
        <w:tblW w:w="5000" w:type="pct"/>
        <w:tblLook w:val="04A0" w:firstRow="1" w:lastRow="0" w:firstColumn="1" w:lastColumn="0" w:noHBand="0" w:noVBand="1"/>
        <w:tblCaption w:val="Table 16: Results of sensitivity analyses"/>
      </w:tblPr>
      <w:tblGrid>
        <w:gridCol w:w="4671"/>
        <w:gridCol w:w="1448"/>
        <w:gridCol w:w="1449"/>
        <w:gridCol w:w="1449"/>
      </w:tblGrid>
      <w:tr w:rsidR="00722FD3" w:rsidRPr="004E2001" w:rsidTr="00C56F83">
        <w:trPr>
          <w:tblHeader/>
        </w:trPr>
        <w:tc>
          <w:tcPr>
            <w:tcW w:w="4671" w:type="dxa"/>
            <w:vMerge w:val="restart"/>
            <w:vAlign w:val="center"/>
          </w:tcPr>
          <w:p w:rsidR="00722FD3" w:rsidRPr="004E2001" w:rsidRDefault="00722FD3" w:rsidP="0076592A">
            <w:pPr>
              <w:pStyle w:val="TableText0"/>
              <w:keepLines/>
              <w:rPr>
                <w:b/>
              </w:rPr>
            </w:pPr>
            <w:r w:rsidRPr="004E2001">
              <w:rPr>
                <w:b/>
              </w:rPr>
              <w:t>Analyses</w:t>
            </w:r>
          </w:p>
        </w:tc>
        <w:tc>
          <w:tcPr>
            <w:tcW w:w="4346" w:type="dxa"/>
            <w:gridSpan w:val="3"/>
            <w:vAlign w:val="center"/>
          </w:tcPr>
          <w:p w:rsidR="00722FD3" w:rsidRPr="004E2001" w:rsidRDefault="00722FD3" w:rsidP="0076592A">
            <w:pPr>
              <w:pStyle w:val="TableText0"/>
              <w:keepLines/>
              <w:jc w:val="center"/>
              <w:rPr>
                <w:b/>
              </w:rPr>
            </w:pPr>
            <w:r w:rsidRPr="004E2001">
              <w:rPr>
                <w:b/>
              </w:rPr>
              <w:t>ICER per QALY</w:t>
            </w:r>
          </w:p>
        </w:tc>
      </w:tr>
      <w:tr w:rsidR="00722FD3" w:rsidRPr="004E2001" w:rsidTr="00C56F83">
        <w:trPr>
          <w:tblHeader/>
        </w:trPr>
        <w:tc>
          <w:tcPr>
            <w:tcW w:w="4671" w:type="dxa"/>
            <w:vMerge/>
            <w:tcBorders>
              <w:bottom w:val="single" w:sz="4" w:space="0" w:color="auto"/>
            </w:tcBorders>
            <w:vAlign w:val="center"/>
          </w:tcPr>
          <w:p w:rsidR="00722FD3" w:rsidRPr="004E2001" w:rsidRDefault="00722FD3" w:rsidP="0076592A">
            <w:pPr>
              <w:pStyle w:val="TableText0"/>
              <w:keepLines/>
            </w:pPr>
          </w:p>
        </w:tc>
        <w:tc>
          <w:tcPr>
            <w:tcW w:w="1448" w:type="dxa"/>
            <w:tcBorders>
              <w:bottom w:val="single" w:sz="4" w:space="0" w:color="auto"/>
            </w:tcBorders>
            <w:vAlign w:val="center"/>
          </w:tcPr>
          <w:p w:rsidR="00722FD3" w:rsidRPr="004E2001" w:rsidRDefault="00722FD3" w:rsidP="0076592A">
            <w:pPr>
              <w:pStyle w:val="TableText0"/>
              <w:keepLines/>
              <w:jc w:val="center"/>
              <w:rPr>
                <w:b/>
              </w:rPr>
            </w:pPr>
            <w:r w:rsidRPr="004E2001">
              <w:rPr>
                <w:b/>
              </w:rPr>
              <w:t>SEMA 1.0 mg vs EXE</w:t>
            </w:r>
          </w:p>
        </w:tc>
        <w:tc>
          <w:tcPr>
            <w:tcW w:w="1449" w:type="dxa"/>
            <w:tcBorders>
              <w:bottom w:val="single" w:sz="4" w:space="0" w:color="auto"/>
            </w:tcBorders>
            <w:vAlign w:val="center"/>
          </w:tcPr>
          <w:p w:rsidR="00722FD3" w:rsidRPr="004E2001" w:rsidRDefault="00722FD3" w:rsidP="0076592A">
            <w:pPr>
              <w:pStyle w:val="TableText0"/>
              <w:keepLines/>
              <w:jc w:val="center"/>
              <w:rPr>
                <w:b/>
              </w:rPr>
            </w:pPr>
            <w:r w:rsidRPr="004E2001">
              <w:rPr>
                <w:b/>
              </w:rPr>
              <w:t>SEMA 0.5 mg vs DULA</w:t>
            </w:r>
          </w:p>
        </w:tc>
        <w:tc>
          <w:tcPr>
            <w:tcW w:w="1449" w:type="dxa"/>
            <w:tcBorders>
              <w:bottom w:val="single" w:sz="4" w:space="0" w:color="auto"/>
            </w:tcBorders>
            <w:vAlign w:val="center"/>
          </w:tcPr>
          <w:p w:rsidR="00722FD3" w:rsidRPr="004E2001" w:rsidRDefault="00722FD3" w:rsidP="0076592A">
            <w:pPr>
              <w:pStyle w:val="TableText0"/>
              <w:keepLines/>
              <w:jc w:val="center"/>
              <w:rPr>
                <w:b/>
              </w:rPr>
            </w:pPr>
            <w:r w:rsidRPr="004E2001">
              <w:rPr>
                <w:b/>
              </w:rPr>
              <w:t>SEMA 1.0 mg vs DULA</w:t>
            </w:r>
          </w:p>
        </w:tc>
      </w:tr>
      <w:tr w:rsidR="00722FD3" w:rsidRPr="004E2001" w:rsidTr="00C56F83">
        <w:trPr>
          <w:tblHeader/>
        </w:trPr>
        <w:tc>
          <w:tcPr>
            <w:tcW w:w="4671" w:type="dxa"/>
            <w:tcBorders>
              <w:bottom w:val="single" w:sz="4" w:space="0" w:color="auto"/>
            </w:tcBorders>
            <w:vAlign w:val="center"/>
          </w:tcPr>
          <w:p w:rsidR="00722FD3" w:rsidRPr="004E2001" w:rsidRDefault="00722FD3" w:rsidP="0076592A">
            <w:pPr>
              <w:pStyle w:val="TableText0"/>
              <w:keepLines/>
            </w:pPr>
            <w:r w:rsidRPr="004E2001">
              <w:t>Base case</w:t>
            </w:r>
          </w:p>
        </w:tc>
        <w:tc>
          <w:tcPr>
            <w:tcW w:w="1448" w:type="dxa"/>
            <w:tcBorders>
              <w:bottom w:val="single" w:sz="4" w:space="0" w:color="auto"/>
            </w:tcBorders>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tcBorders>
              <w:bottom w:val="single" w:sz="4" w:space="0" w:color="auto"/>
            </w:tcBorders>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tcBorders>
              <w:bottom w:val="single" w:sz="4" w:space="0" w:color="auto"/>
            </w:tcBorders>
            <w:vAlign w:val="center"/>
          </w:tcPr>
          <w:p w:rsidR="00722FD3" w:rsidRPr="004E2001" w:rsidRDefault="00722FD3" w:rsidP="0076592A">
            <w:pPr>
              <w:pStyle w:val="TableText0"/>
              <w:keepLines/>
              <w:jc w:val="center"/>
            </w:pPr>
            <w:r w:rsidRPr="004E2001">
              <w:t>$</w:t>
            </w:r>
            <w:r w:rsidR="0076592A">
              <w:rPr>
                <w:noProof/>
                <w:color w:val="000000"/>
                <w:highlight w:val="black"/>
              </w:rPr>
              <w:t>''''''''''''</w:t>
            </w:r>
          </w:p>
        </w:tc>
      </w:tr>
      <w:tr w:rsidR="00722FD3" w:rsidRPr="004E2001" w:rsidTr="00C56F83">
        <w:trPr>
          <w:tblHeader/>
        </w:trPr>
        <w:tc>
          <w:tcPr>
            <w:tcW w:w="9017" w:type="dxa"/>
            <w:gridSpan w:val="4"/>
            <w:tcBorders>
              <w:bottom w:val="single" w:sz="4" w:space="0" w:color="auto"/>
            </w:tcBorders>
            <w:vAlign w:val="center"/>
          </w:tcPr>
          <w:p w:rsidR="00722FD3" w:rsidRPr="004E2001" w:rsidRDefault="00722FD3" w:rsidP="0076592A">
            <w:pPr>
              <w:pStyle w:val="TableText0"/>
              <w:keepLines/>
              <w:rPr>
                <w:b/>
                <w:i/>
              </w:rPr>
            </w:pPr>
            <w:r w:rsidRPr="004E2001">
              <w:rPr>
                <w:b/>
              </w:rPr>
              <w:t>Time horizon</w:t>
            </w:r>
            <w:r w:rsidR="001D7E2C" w:rsidRPr="004E2001">
              <w:rPr>
                <w:b/>
              </w:rPr>
              <w:t xml:space="preserve"> (base case 10 years)</w:t>
            </w:r>
          </w:p>
        </w:tc>
      </w:tr>
      <w:tr w:rsidR="00722FD3" w:rsidRPr="004E2001" w:rsidTr="00C56F83">
        <w:trPr>
          <w:tblHeader/>
        </w:trPr>
        <w:tc>
          <w:tcPr>
            <w:tcW w:w="4671" w:type="dxa"/>
            <w:tcBorders>
              <w:top w:val="single" w:sz="4" w:space="0" w:color="auto"/>
              <w:bottom w:val="single" w:sz="4" w:space="0" w:color="auto"/>
            </w:tcBorders>
            <w:vAlign w:val="center"/>
          </w:tcPr>
          <w:p w:rsidR="00722FD3" w:rsidRPr="004E2001" w:rsidRDefault="00722FD3" w:rsidP="0076592A">
            <w:pPr>
              <w:pStyle w:val="TableText0"/>
              <w:keepLines/>
            </w:pPr>
            <w:r w:rsidRPr="004E2001">
              <w:t>5 years</w:t>
            </w:r>
          </w:p>
        </w:tc>
        <w:tc>
          <w:tcPr>
            <w:tcW w:w="1448" w:type="dxa"/>
            <w:tcBorders>
              <w:top w:val="single" w:sz="4" w:space="0" w:color="auto"/>
              <w:bottom w:val="single" w:sz="4" w:space="0" w:color="auto"/>
            </w:tcBorders>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Borders>
              <w:bottom w:val="single" w:sz="4" w:space="0" w:color="auto"/>
            </w:tcBorders>
            <w:vAlign w:val="center"/>
          </w:tcPr>
          <w:p w:rsidR="00722FD3" w:rsidRPr="004E2001" w:rsidRDefault="00722FD3" w:rsidP="0076592A">
            <w:pPr>
              <w:pStyle w:val="TableText0"/>
              <w:keepLines/>
            </w:pPr>
            <w:r w:rsidRPr="004E2001">
              <w:t>20 years</w:t>
            </w:r>
          </w:p>
        </w:tc>
        <w:tc>
          <w:tcPr>
            <w:tcW w:w="1448" w:type="dxa"/>
            <w:tcBorders>
              <w:bottom w:val="single" w:sz="4" w:space="0" w:color="auto"/>
            </w:tcBorders>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Borders>
              <w:bottom w:val="single" w:sz="4" w:space="0" w:color="auto"/>
            </w:tcBorders>
            <w:vAlign w:val="center"/>
          </w:tcPr>
          <w:p w:rsidR="00722FD3" w:rsidRPr="004E2001" w:rsidRDefault="00722FD3" w:rsidP="0076592A">
            <w:pPr>
              <w:pStyle w:val="TableText0"/>
              <w:keepLines/>
              <w:rPr>
                <w:b/>
              </w:rPr>
            </w:pPr>
            <w:r w:rsidRPr="004E2001">
              <w:rPr>
                <w:b/>
              </w:rPr>
              <w:t>Baseline HbA1c</w:t>
            </w:r>
          </w:p>
        </w:tc>
      </w:tr>
      <w:tr w:rsidR="00722FD3" w:rsidRPr="004E2001" w:rsidTr="00C56F83">
        <w:trPr>
          <w:tblHeader/>
        </w:trPr>
        <w:tc>
          <w:tcPr>
            <w:tcW w:w="4671" w:type="dxa"/>
            <w:vAlign w:val="center"/>
          </w:tcPr>
          <w:p w:rsidR="00722FD3" w:rsidRPr="004E2001" w:rsidRDefault="00722FD3" w:rsidP="0076592A">
            <w:pPr>
              <w:pStyle w:val="TableText0"/>
              <w:keepLines/>
            </w:pPr>
            <w:r w:rsidRPr="004E2001">
              <w:t>8.0%</w:t>
            </w:r>
          </w:p>
        </w:tc>
        <w:tc>
          <w:tcPr>
            <w:tcW w:w="1448" w:type="dxa"/>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Borders>
              <w:bottom w:val="single" w:sz="4" w:space="0" w:color="auto"/>
            </w:tcBorders>
            <w:vAlign w:val="center"/>
          </w:tcPr>
          <w:p w:rsidR="00722FD3" w:rsidRPr="004E2001" w:rsidRDefault="00722FD3" w:rsidP="0076592A">
            <w:pPr>
              <w:pStyle w:val="TableText0"/>
              <w:keepLines/>
            </w:pPr>
            <w:r w:rsidRPr="004E2001">
              <w:t>7.5%</w:t>
            </w:r>
          </w:p>
        </w:tc>
        <w:tc>
          <w:tcPr>
            <w:tcW w:w="1448" w:type="dxa"/>
            <w:tcBorders>
              <w:bottom w:val="single" w:sz="4" w:space="0" w:color="auto"/>
            </w:tcBorders>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Borders>
              <w:bottom w:val="single" w:sz="4" w:space="0" w:color="auto"/>
            </w:tcBorders>
            <w:vAlign w:val="center"/>
          </w:tcPr>
          <w:p w:rsidR="00722FD3" w:rsidRPr="004E2001" w:rsidRDefault="00722FD3" w:rsidP="0076592A">
            <w:pPr>
              <w:pStyle w:val="TableText0"/>
              <w:keepLines/>
              <w:rPr>
                <w:b/>
              </w:rPr>
            </w:pPr>
            <w:r w:rsidRPr="004E2001">
              <w:rPr>
                <w:b/>
              </w:rPr>
              <w:t>HbA1c drift</w:t>
            </w:r>
          </w:p>
        </w:tc>
      </w:tr>
      <w:tr w:rsidR="00722FD3" w:rsidRPr="004E2001" w:rsidTr="00C56F83">
        <w:trPr>
          <w:tblHeader/>
        </w:trPr>
        <w:tc>
          <w:tcPr>
            <w:tcW w:w="4671" w:type="dxa"/>
          </w:tcPr>
          <w:p w:rsidR="00722FD3" w:rsidRPr="004E2001" w:rsidRDefault="00722FD3" w:rsidP="0076592A">
            <w:pPr>
              <w:pStyle w:val="TableText0"/>
              <w:keepLines/>
            </w:pPr>
            <w:r w:rsidRPr="004E2001">
              <w:rPr>
                <w:rFonts w:cs="Times New Roman"/>
                <w:szCs w:val="20"/>
              </w:rPr>
              <w:t>+0.15 on GLP-1 therapies</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Borders>
              <w:bottom w:val="single" w:sz="4" w:space="0" w:color="auto"/>
            </w:tcBorders>
          </w:tcPr>
          <w:p w:rsidR="00722FD3" w:rsidRPr="004E2001" w:rsidRDefault="00722FD3" w:rsidP="0076592A">
            <w:pPr>
              <w:pStyle w:val="TableText0"/>
              <w:keepLines/>
            </w:pPr>
            <w:r w:rsidRPr="004E2001">
              <w:rPr>
                <w:rFonts w:cs="Times New Roman"/>
                <w:szCs w:val="20"/>
              </w:rPr>
              <w:t>+0.10 on GLP-1 therapies</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pPr>
            <w:r w:rsidRPr="004E2001">
              <w:rPr>
                <w:rFonts w:cs="Times New Roman"/>
                <w:szCs w:val="20"/>
              </w:rPr>
              <w:t>+0.10 on insulin</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Pr>
          <w:p w:rsidR="00722FD3" w:rsidRPr="004E2001" w:rsidRDefault="00722FD3" w:rsidP="0076592A">
            <w:pPr>
              <w:pStyle w:val="TableText0"/>
              <w:keepLines/>
              <w:rPr>
                <w:b/>
              </w:rPr>
            </w:pPr>
            <w:r w:rsidRPr="004E2001">
              <w:rPr>
                <w:b/>
              </w:rPr>
              <w:t>Semaglutide treatment effects</w:t>
            </w:r>
          </w:p>
        </w:tc>
      </w:tr>
      <w:tr w:rsidR="00722FD3" w:rsidRPr="004E2001" w:rsidTr="00C56F83">
        <w:trPr>
          <w:tblHeader/>
        </w:trPr>
        <w:tc>
          <w:tcPr>
            <w:tcW w:w="4671" w:type="dxa"/>
          </w:tcPr>
          <w:p w:rsidR="00722FD3" w:rsidRPr="004E2001" w:rsidRDefault="00722FD3" w:rsidP="0076592A">
            <w:pPr>
              <w:pStyle w:val="TableText0"/>
              <w:keepLines/>
            </w:pPr>
            <w:r w:rsidRPr="004E2001">
              <w:rPr>
                <w:rFonts w:cs="Times New Roman"/>
              </w:rPr>
              <w:t>HbA1c reduction Upper CI</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722FD3" w:rsidRPr="004E2001" w:rsidRDefault="00722FD3" w:rsidP="0076592A">
            <w:pPr>
              <w:pStyle w:val="TableText0"/>
              <w:keepLines/>
              <w:jc w:val="center"/>
            </w:pPr>
            <w:r w:rsidRPr="004E2001">
              <w:rPr>
                <w:szCs w:val="20"/>
              </w:rPr>
              <w:t>$</w:t>
            </w:r>
            <w:r w:rsidR="0076592A">
              <w:rPr>
                <w:noProof/>
                <w:color w:val="000000"/>
                <w:szCs w:val="2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Borders>
              <w:top w:val="single" w:sz="4" w:space="0" w:color="auto"/>
            </w:tcBorders>
          </w:tcPr>
          <w:p w:rsidR="00722FD3" w:rsidRPr="004E2001" w:rsidRDefault="00722FD3" w:rsidP="0076592A">
            <w:pPr>
              <w:pStyle w:val="TableText0"/>
              <w:keepLines/>
            </w:pPr>
            <w:r w:rsidRPr="004E2001">
              <w:rPr>
                <w:rFonts w:cs="Times New Roman"/>
              </w:rPr>
              <w:t>HbA1c reduction Lower CI</w:t>
            </w:r>
          </w:p>
        </w:tc>
        <w:tc>
          <w:tcPr>
            <w:tcW w:w="1448" w:type="dxa"/>
            <w:tcBorders>
              <w:top w:val="single" w:sz="4" w:space="0" w:color="auto"/>
            </w:tcBorders>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pPr>
            <w:r w:rsidRPr="004E2001">
              <w:rPr>
                <w:rFonts w:cs="Times New Roman"/>
              </w:rPr>
              <w:t>BMI reduction Upper CI</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pPr>
            <w:r w:rsidRPr="004E2001">
              <w:rPr>
                <w:rFonts w:cs="Times New Roman"/>
              </w:rPr>
              <w:t>BMI reduction Lower CI</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event rates increased by 20%</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event rates decreased by 20%</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Pr>
          <w:p w:rsidR="00722FD3" w:rsidRPr="004E2001" w:rsidRDefault="00722FD3" w:rsidP="0076592A">
            <w:pPr>
              <w:pStyle w:val="TableText0"/>
              <w:keepLines/>
              <w:rPr>
                <w:b/>
              </w:rPr>
            </w:pPr>
            <w:r w:rsidRPr="004E2001">
              <w:rPr>
                <w:b/>
              </w:rPr>
              <w:t>Insulin treatment effects</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HbA1c reduction Upper CI</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Borders>
              <w:top w:val="single" w:sz="4" w:space="0" w:color="auto"/>
            </w:tcBorders>
          </w:tcPr>
          <w:p w:rsidR="00722FD3" w:rsidRPr="004E2001" w:rsidRDefault="00722FD3" w:rsidP="0076592A">
            <w:pPr>
              <w:pStyle w:val="TableText0"/>
              <w:keepLines/>
              <w:rPr>
                <w:rFonts w:cs="Times New Roman"/>
              </w:rPr>
            </w:pPr>
            <w:r w:rsidRPr="004E2001">
              <w:rPr>
                <w:rFonts w:cs="Times New Roman"/>
              </w:rPr>
              <w:t>HbA1c reduction Lower CI</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BMI increase Lower CI</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BMI increase Upper CI</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rHeight w:val="111"/>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event rates doubled</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event rates halved</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Pr>
          <w:p w:rsidR="00722FD3" w:rsidRPr="004E2001" w:rsidRDefault="00722FD3" w:rsidP="0076592A">
            <w:pPr>
              <w:pStyle w:val="TableText0"/>
              <w:keepLines/>
              <w:rPr>
                <w:b/>
              </w:rPr>
            </w:pPr>
            <w:r w:rsidRPr="004E2001">
              <w:rPr>
                <w:b/>
              </w:rPr>
              <w:t>Other treatment effects</w:t>
            </w:r>
          </w:p>
        </w:tc>
      </w:tr>
      <w:tr w:rsidR="00722FD3" w:rsidRPr="004E2001" w:rsidTr="00C56F83">
        <w:trPr>
          <w:tblHeader/>
        </w:trPr>
        <w:tc>
          <w:tcPr>
            <w:tcW w:w="4671" w:type="dxa"/>
          </w:tcPr>
          <w:p w:rsidR="00722FD3" w:rsidRPr="004E2001" w:rsidRDefault="00722FD3" w:rsidP="0076592A">
            <w:pPr>
              <w:pStyle w:val="TableText0"/>
              <w:keepLines/>
              <w:rPr>
                <w:rFonts w:cs="Times New Roman"/>
                <w:vertAlign w:val="superscript"/>
              </w:rPr>
            </w:pPr>
            <w:r w:rsidRPr="004E2001">
              <w:rPr>
                <w:rFonts w:cs="Times New Roman"/>
              </w:rPr>
              <w:t>Remove other biomarker treatment effects</w:t>
            </w:r>
            <w:r w:rsidR="00EE5F54" w:rsidRPr="004E2001">
              <w:rPr>
                <w:rFonts w:cs="Times New Roman"/>
                <w:vertAlign w:val="superscript"/>
              </w:rPr>
              <w:t>a</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No residual treatment effects after both arms switched to insulin (set same as comparator)</w:t>
            </w:r>
          </w:p>
        </w:tc>
        <w:tc>
          <w:tcPr>
            <w:tcW w:w="1448" w:type="dxa"/>
            <w:vAlign w:val="center"/>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vAlign w:val="center"/>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vAlign w:val="center"/>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Pr>
          <w:p w:rsidR="00722FD3" w:rsidRPr="004E2001" w:rsidRDefault="00722FD3" w:rsidP="0076592A">
            <w:pPr>
              <w:pStyle w:val="TableText0"/>
              <w:keepLines/>
              <w:rPr>
                <w:b/>
              </w:rPr>
            </w:pPr>
            <w:r w:rsidRPr="004E2001">
              <w:rPr>
                <w:b/>
              </w:rPr>
              <w:t>Diabetes complications</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Remove event costs, states costs and disutility loss</w:t>
            </w:r>
          </w:p>
        </w:tc>
        <w:tc>
          <w:tcPr>
            <w:tcW w:w="1448" w:type="dxa"/>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vAlign w:val="center"/>
          </w:tcPr>
          <w:p w:rsidR="00722FD3" w:rsidRPr="004E2001" w:rsidRDefault="00722FD3" w:rsidP="0076592A">
            <w:pPr>
              <w:pStyle w:val="TableText0"/>
              <w:keepLines/>
              <w:jc w:val="center"/>
            </w:pPr>
            <w:r w:rsidRPr="004E2001">
              <w:t>$</w:t>
            </w:r>
            <w:r w:rsidR="0076592A">
              <w:rPr>
                <w:noProof/>
                <w:color w:val="000000"/>
                <w:highlight w:val="black"/>
              </w:rPr>
              <w:t>'''''''''''''''''</w:t>
            </w:r>
          </w:p>
        </w:tc>
        <w:tc>
          <w:tcPr>
            <w:tcW w:w="1449" w:type="dxa"/>
            <w:vAlign w:val="center"/>
          </w:tcPr>
          <w:p w:rsidR="00722FD3" w:rsidRPr="004E2001" w:rsidRDefault="00722FD3" w:rsidP="0076592A">
            <w:pPr>
              <w:pStyle w:val="TableText0"/>
              <w:keepLines/>
              <w:jc w:val="center"/>
            </w:pPr>
            <w:r w:rsidRPr="004E2001">
              <w:t>$</w:t>
            </w:r>
            <w:r w:rsidR="0076592A">
              <w:rPr>
                <w:noProof/>
                <w:color w:val="000000"/>
                <w:highlight w:val="black"/>
              </w:rPr>
              <w:t>''''''''''''''''</w:t>
            </w:r>
          </w:p>
        </w:tc>
      </w:tr>
      <w:tr w:rsidR="00722FD3" w:rsidRPr="004E2001" w:rsidTr="00C56F83">
        <w:trPr>
          <w:tblHeader/>
        </w:trPr>
        <w:tc>
          <w:tcPr>
            <w:tcW w:w="9017" w:type="dxa"/>
            <w:gridSpan w:val="4"/>
          </w:tcPr>
          <w:p w:rsidR="00722FD3" w:rsidRPr="004E2001" w:rsidRDefault="00722FD3" w:rsidP="0076592A">
            <w:pPr>
              <w:pStyle w:val="TableText0"/>
              <w:keepLines/>
              <w:rPr>
                <w:b/>
              </w:rPr>
            </w:pPr>
            <w:r w:rsidRPr="004E2001">
              <w:rPr>
                <w:b/>
              </w:rPr>
              <w:t>Treatment-related disutility values</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Decrease insulin disutility to 0.000</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 xml:space="preserve">Increase insulin disutility to -0.100 </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Decrease BMI disutility to 0.000 per 1 BMI increase</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Increase BMI disutility to -0.010 per 1 BMI increase</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 xml:space="preserve"> Hypoglycaemia disutility values doubled</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disutility values halved</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9017" w:type="dxa"/>
            <w:gridSpan w:val="4"/>
          </w:tcPr>
          <w:p w:rsidR="00722FD3" w:rsidRPr="004E2001" w:rsidRDefault="00722FD3" w:rsidP="0076592A">
            <w:pPr>
              <w:pStyle w:val="TableText0"/>
              <w:keepLines/>
              <w:rPr>
                <w:b/>
              </w:rPr>
            </w:pPr>
            <w:r w:rsidRPr="004E2001">
              <w:rPr>
                <w:b/>
              </w:rPr>
              <w:t>Treatment-related costs</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costs doubled</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r w:rsidR="00722FD3" w:rsidRPr="004E2001" w:rsidTr="00C56F83">
        <w:trPr>
          <w:tblHeader/>
        </w:trPr>
        <w:tc>
          <w:tcPr>
            <w:tcW w:w="4671" w:type="dxa"/>
          </w:tcPr>
          <w:p w:rsidR="00722FD3" w:rsidRPr="004E2001" w:rsidRDefault="00722FD3" w:rsidP="0076592A">
            <w:pPr>
              <w:pStyle w:val="TableText0"/>
              <w:keepLines/>
              <w:rPr>
                <w:rFonts w:cs="Times New Roman"/>
              </w:rPr>
            </w:pPr>
            <w:r w:rsidRPr="004E2001">
              <w:rPr>
                <w:rFonts w:cs="Times New Roman"/>
              </w:rPr>
              <w:t>Hypoglycaemia costs removed</w:t>
            </w:r>
          </w:p>
        </w:tc>
        <w:tc>
          <w:tcPr>
            <w:tcW w:w="1448"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c>
          <w:tcPr>
            <w:tcW w:w="1449" w:type="dxa"/>
          </w:tcPr>
          <w:p w:rsidR="00722FD3" w:rsidRPr="004E2001" w:rsidRDefault="00722FD3" w:rsidP="0076592A">
            <w:pPr>
              <w:pStyle w:val="TableText0"/>
              <w:keepLines/>
              <w:jc w:val="center"/>
            </w:pPr>
            <w:r w:rsidRPr="004E2001">
              <w:rPr>
                <w:rFonts w:cs="Times New Roman"/>
              </w:rPr>
              <w:t>$</w:t>
            </w:r>
            <w:r w:rsidR="0076592A">
              <w:rPr>
                <w:rFonts w:cs="Times New Roman"/>
                <w:noProof/>
                <w:color w:val="000000"/>
                <w:highlight w:val="black"/>
              </w:rPr>
              <w:t>''''''''''''''''</w:t>
            </w:r>
          </w:p>
        </w:tc>
      </w:tr>
    </w:tbl>
    <w:p w:rsidR="00722FD3" w:rsidRPr="004E2001" w:rsidRDefault="00722FD3" w:rsidP="0076592A">
      <w:pPr>
        <w:pStyle w:val="TableFooter"/>
        <w:keepNext/>
        <w:keepLines/>
      </w:pPr>
      <w:r w:rsidRPr="004E2001">
        <w:t>Source: IHE DCM 4.3 Australia Excel model with corrections for errors in BMI change with insulin, hypoglycaemia event rates and sulfonylurea drug costs with insulin; and removing BMI rounding in calculation of overweight disutility</w:t>
      </w:r>
    </w:p>
    <w:p w:rsidR="00722FD3" w:rsidRPr="004E2001" w:rsidRDefault="00722FD3" w:rsidP="0076592A">
      <w:pPr>
        <w:pStyle w:val="TableFooter"/>
        <w:keepNext/>
        <w:keepLines/>
      </w:pPr>
      <w:r w:rsidRPr="004E2001">
        <w:t>Abbreviations: CI, confidence interval; ICER, incremental cost effectiveness ratio; QALY, quality-adjusted life year</w:t>
      </w:r>
    </w:p>
    <w:p w:rsidR="00722FD3" w:rsidRPr="004E2001" w:rsidRDefault="00EE5F54" w:rsidP="0076592A">
      <w:pPr>
        <w:pStyle w:val="TableFooter"/>
        <w:keepNext/>
        <w:keepLines/>
      </w:pPr>
      <w:r w:rsidRPr="004E2001">
        <w:rPr>
          <w:vertAlign w:val="superscript"/>
        </w:rPr>
        <w:t>a</w:t>
      </w:r>
      <w:r w:rsidRPr="004E2001">
        <w:t xml:space="preserve"> Differences in blood pressure, heart rate, lipid profile and renal function between GLP-1 therapies</w:t>
      </w:r>
    </w:p>
    <w:p w:rsidR="00EE5F54" w:rsidRPr="004E2001" w:rsidRDefault="00EE5F54" w:rsidP="003F26F6"/>
    <w:p w:rsidR="00E213C0" w:rsidRDefault="00E213C0" w:rsidP="0076592A">
      <w:r>
        <w:t xml:space="preserve">The redacted </w:t>
      </w:r>
      <w:r w:rsidR="00654C4B">
        <w:t>table shows ICERs in the range of less than $15,000/QALY - $45,000/QALY.</w:t>
      </w:r>
    </w:p>
    <w:p w:rsidR="00E213C0" w:rsidRDefault="00E213C0" w:rsidP="0076592A"/>
    <w:p w:rsidR="00722FD3" w:rsidRPr="004E2001" w:rsidRDefault="00722FD3" w:rsidP="0076592A">
      <w:pPr>
        <w:pStyle w:val="ListParagraph"/>
        <w:numPr>
          <w:ilvl w:val="1"/>
          <w:numId w:val="2"/>
        </w:numPr>
        <w:jc w:val="both"/>
      </w:pPr>
      <w:r w:rsidRPr="004E2001">
        <w:lastRenderedPageBreak/>
        <w:t>The results of the sensitivity analyses indicated that the comparison of semaglutide versus exenatide once weekly was most sensitive to hypoglycaemia event rates, insulin disutility and BMI disutility. Additional multivariate analyses conducted during the evaluation indicated that the results were highly sensitive to the interaction between delay to insulin use, change in weight and hypoglycaemia event rates. The incremental cost per QALY for these plausible scenarios ranged from $</w:t>
      </w:r>
      <w:r w:rsidR="001D51AB">
        <w:t>15,000 - $45,000</w:t>
      </w:r>
      <w:r w:rsidRPr="004E2001">
        <w:t xml:space="preserve"> to $</w:t>
      </w:r>
      <w:r w:rsidR="001D51AB">
        <w:t>105,000 - $200,000</w:t>
      </w:r>
      <w:r w:rsidR="000421B3" w:rsidRPr="004E2001">
        <w:t>.</w:t>
      </w:r>
    </w:p>
    <w:p w:rsidR="00722FD3" w:rsidRPr="004E2001" w:rsidRDefault="00722FD3" w:rsidP="0076592A">
      <w:pPr>
        <w:pStyle w:val="ListParagraph"/>
        <w:numPr>
          <w:ilvl w:val="1"/>
          <w:numId w:val="2"/>
        </w:numPr>
        <w:jc w:val="both"/>
      </w:pPr>
      <w:r w:rsidRPr="004E2001">
        <w:t>The results of the sensitivity analyses indicated that the comparison of semaglutide 0.5 mg versus dulaglutide once weekly was most sensitive to time horizon, baseline HbA1c, HbA1c drift, change in HbA1c with semaglutide treatment, hypoglycaemic event rates and costs. Additional multivariate analyses conducted during the evaluation indicated that the results were highly sensitive to the interaction between delay to insulin use, change in weight and hypoglycaemia event rates. The incremental cost per QALY for these plausible scenarios ranged from $</w:t>
      </w:r>
      <w:r w:rsidR="001D51AB">
        <w:t>15,000 - $45,000</w:t>
      </w:r>
      <w:r w:rsidRPr="004E2001">
        <w:t xml:space="preserve"> to $</w:t>
      </w:r>
      <w:r w:rsidR="001D51AB">
        <w:t>45,000 - $75,000</w:t>
      </w:r>
      <w:r w:rsidRPr="004E2001">
        <w:t>.</w:t>
      </w:r>
    </w:p>
    <w:p w:rsidR="00722FD3" w:rsidRPr="004E2001" w:rsidRDefault="00722FD3" w:rsidP="0076592A">
      <w:pPr>
        <w:pStyle w:val="ListParagraph"/>
        <w:numPr>
          <w:ilvl w:val="1"/>
          <w:numId w:val="2"/>
        </w:numPr>
        <w:jc w:val="both"/>
      </w:pPr>
      <w:r w:rsidRPr="004E2001">
        <w:t>The results of the sensitivity analyses indicated that the comparison of semaglutide 1.0 mg versus dulaglutide once weekly was most sensitive to time horizon, hypoglycaemia event rates and costs, insulin disutility and BMI disutility</w:t>
      </w:r>
      <w:r w:rsidR="004E2001">
        <w:t xml:space="preserve">. </w:t>
      </w:r>
      <w:r w:rsidRPr="004E2001">
        <w:t>Additional multivariate analyses conducted during the evaluation indicated that the results were highly sensitive to the interaction between delay to insulin use, change in weight and hypoglycaemia event rates. The incremental cost per QALY for these plausible scenarios ranged from</w:t>
      </w:r>
      <w:r w:rsidR="001D51AB">
        <w:t xml:space="preserve"> less than</w:t>
      </w:r>
      <w:r w:rsidRPr="004E2001">
        <w:t xml:space="preserve"> $</w:t>
      </w:r>
      <w:r w:rsidR="001D51AB">
        <w:t>15,000</w:t>
      </w:r>
      <w:r w:rsidRPr="004E2001">
        <w:t xml:space="preserve"> to $</w:t>
      </w:r>
      <w:r w:rsidR="001D51AB">
        <w:t>15,000 - $45,000</w:t>
      </w:r>
      <w:r w:rsidRPr="004E2001">
        <w:t>.</w:t>
      </w:r>
    </w:p>
    <w:p w:rsidR="00722FD3" w:rsidRPr="004E2001" w:rsidRDefault="00722FD3" w:rsidP="0076592A">
      <w:pPr>
        <w:pStyle w:val="Heading2"/>
      </w:pPr>
      <w:bookmarkStart w:id="13" w:name="_Toc371170711"/>
      <w:bookmarkStart w:id="14" w:name="_Toc19615259"/>
      <w:r w:rsidRPr="004E2001">
        <w:t>Drug cost/patient/year</w:t>
      </w:r>
      <w:bookmarkEnd w:id="13"/>
      <w:bookmarkEnd w:id="14"/>
    </w:p>
    <w:p w:rsidR="00722FD3" w:rsidRPr="004E2001" w:rsidRDefault="00722FD3" w:rsidP="0076592A">
      <w:pPr>
        <w:keepNext/>
      </w:pPr>
    </w:p>
    <w:p w:rsidR="00722FD3" w:rsidRPr="004E2001" w:rsidRDefault="00722FD3" w:rsidP="0076592A">
      <w:pPr>
        <w:pStyle w:val="ListParagraph"/>
        <w:keepNext/>
        <w:numPr>
          <w:ilvl w:val="1"/>
          <w:numId w:val="2"/>
        </w:numPr>
        <w:jc w:val="both"/>
      </w:pPr>
      <w:r w:rsidRPr="004E2001">
        <w:t>The submission proposed a flat pricing structure for both dose strengths of semaglutide (0.5 mg and 1.0 mg). The estimated drug cost for semaglutide per patient per year was $</w:t>
      </w:r>
      <w:r w:rsidR="0076592A">
        <w:rPr>
          <w:noProof/>
          <w:color w:val="000000"/>
          <w:highlight w:val="black"/>
        </w:rPr>
        <w:t>''''''''''</w:t>
      </w:r>
      <w:r w:rsidRPr="004E2001">
        <w:t xml:space="preserve"> (based on published DPMQ per script $</w:t>
      </w:r>
      <w:r w:rsidR="0076592A">
        <w:rPr>
          <w:noProof/>
          <w:color w:val="000000"/>
          <w:highlight w:val="black"/>
        </w:rPr>
        <w:t>''''''''''''</w:t>
      </w:r>
      <w:r w:rsidRPr="004E2001">
        <w:t xml:space="preserve"> / 28 days per script x 365 day per year). </w:t>
      </w:r>
    </w:p>
    <w:p w:rsidR="00722FD3" w:rsidRPr="004E2001" w:rsidRDefault="00722FD3" w:rsidP="0076592A">
      <w:pPr>
        <w:pStyle w:val="ListParagraph"/>
        <w:keepNext/>
        <w:numPr>
          <w:ilvl w:val="1"/>
          <w:numId w:val="2"/>
        </w:numPr>
        <w:jc w:val="both"/>
      </w:pPr>
      <w:r w:rsidRPr="004E2001">
        <w:t>The estimated drug cost for exenatide once weekly per patient per year was $1,710 (based on published DPMQ per script $131.15 / 28 days per script x 365 day per year).</w:t>
      </w:r>
    </w:p>
    <w:p w:rsidR="00722FD3" w:rsidRPr="004E2001" w:rsidRDefault="00722FD3" w:rsidP="0076592A">
      <w:pPr>
        <w:pStyle w:val="ListParagraph"/>
        <w:keepNext/>
        <w:numPr>
          <w:ilvl w:val="1"/>
          <w:numId w:val="2"/>
        </w:numPr>
        <w:jc w:val="both"/>
      </w:pPr>
      <w:r w:rsidRPr="004E2001">
        <w:t>The estimated drug cost for dulaglutide once weekly per patient per year was $1,710 (based on published DPMQ per script $131.15 / 28 days per script x 365 day per year).</w:t>
      </w:r>
    </w:p>
    <w:p w:rsidR="00CF0365" w:rsidRPr="004E2001" w:rsidRDefault="00CF0365" w:rsidP="003F26F6">
      <w:pPr>
        <w:pStyle w:val="BodyText"/>
        <w:spacing w:after="120"/>
        <w:rPr>
          <w:rFonts w:asciiTheme="minorHAnsi" w:hAnsiTheme="minorHAnsi"/>
          <w:i/>
        </w:rPr>
      </w:pPr>
      <w:r w:rsidRPr="004E2001">
        <w:rPr>
          <w:rFonts w:asciiTheme="minorHAnsi" w:hAnsiTheme="minorHAnsi"/>
          <w:i/>
        </w:rPr>
        <w:t>For more detail on PBAC’s view, see section 7 PBAC outcome.</w:t>
      </w:r>
    </w:p>
    <w:p w:rsidR="00B60939" w:rsidRPr="004E2001" w:rsidRDefault="00B60939" w:rsidP="00C56F83">
      <w:pPr>
        <w:pStyle w:val="Heading2"/>
        <w:keepNext/>
        <w:keepLines/>
      </w:pPr>
      <w:bookmarkStart w:id="15" w:name="_Toc19615260"/>
      <w:r w:rsidRPr="004E2001">
        <w:t>Estimated PBS usage &amp; financial implications</w:t>
      </w:r>
      <w:bookmarkEnd w:id="15"/>
    </w:p>
    <w:p w:rsidR="00B60939" w:rsidRPr="004E2001" w:rsidRDefault="00B60939" w:rsidP="00C56F83">
      <w:pPr>
        <w:keepNext/>
        <w:keepLines/>
        <w:rPr>
          <w:b/>
          <w:i/>
        </w:rPr>
      </w:pPr>
    </w:p>
    <w:p w:rsidR="0072416F" w:rsidRPr="004E2001" w:rsidRDefault="00C25D9C" w:rsidP="0076592A">
      <w:pPr>
        <w:pStyle w:val="ListParagraph"/>
        <w:keepNext/>
        <w:keepLines/>
        <w:numPr>
          <w:ilvl w:val="1"/>
          <w:numId w:val="2"/>
        </w:numPr>
        <w:jc w:val="both"/>
      </w:pPr>
      <w:r w:rsidRPr="004E2001">
        <w:t xml:space="preserve">This submission </w:t>
      </w:r>
      <w:r w:rsidR="00F6341D" w:rsidRPr="004E2001">
        <w:t>was</w:t>
      </w:r>
      <w:r w:rsidRPr="004E2001">
        <w:t xml:space="preserve"> not considered by DUSC</w:t>
      </w:r>
      <w:r w:rsidR="0000625C" w:rsidRPr="004E2001">
        <w:t>. The submission used a market share approach to estimate the utilisation and financial impact of listing semaglutide on the PBS/RPBS as part of dual/triple therapy for type 2 diabetes.</w:t>
      </w:r>
    </w:p>
    <w:p w:rsidR="0000625C" w:rsidRPr="004E2001" w:rsidRDefault="0000625C" w:rsidP="0076592A">
      <w:pPr>
        <w:pStyle w:val="ListParagraph"/>
        <w:numPr>
          <w:ilvl w:val="1"/>
          <w:numId w:val="2"/>
        </w:numPr>
        <w:jc w:val="both"/>
      </w:pPr>
      <w:r w:rsidRPr="004E2001">
        <w:t xml:space="preserve">The estimated budget impact was based on published PBS prices. The submission acknowledged that exenatide once weekly and dulaglutide once weekly are subject to </w:t>
      </w:r>
      <w:r w:rsidRPr="004E2001">
        <w:lastRenderedPageBreak/>
        <w:t>Special Pricing Arrangements and therefore the published prices will overestimate the costs of these drugs.</w:t>
      </w:r>
      <w:r w:rsidR="00090932" w:rsidRPr="004E2001">
        <w:t xml:space="preserve"> </w:t>
      </w:r>
    </w:p>
    <w:p w:rsidR="0000625C" w:rsidRPr="004E2001" w:rsidRDefault="0000625C" w:rsidP="0076592A">
      <w:pPr>
        <w:pStyle w:val="ListParagraph"/>
        <w:numPr>
          <w:ilvl w:val="1"/>
          <w:numId w:val="2"/>
        </w:numPr>
        <w:jc w:val="both"/>
      </w:pPr>
      <w:r w:rsidRPr="004E2001">
        <w:t>The submission only provided 5 years of estimates due to the high degree of uncertainty associated with the GLP-1 market. The submission noted that updated estimates, including a six year forecast, could be provided closer to the time of listing should the PBAC make a positive recommendation. Crude sixth year estimates were calculated during the evaluation based on the data and assumptions used in the submission</w:t>
      </w:r>
      <w:r w:rsidR="00130E2D" w:rsidRPr="004E2001">
        <w:t>.</w:t>
      </w:r>
    </w:p>
    <w:p w:rsidR="00C25D9C" w:rsidRPr="004E2001" w:rsidRDefault="002A2F50" w:rsidP="003F26F6">
      <w:pPr>
        <w:keepNext/>
      </w:pPr>
      <w:r w:rsidRPr="004E2001">
        <w:rPr>
          <w:rStyle w:val="CommentReference"/>
        </w:rPr>
        <w:lastRenderedPageBreak/>
        <w:t xml:space="preserve">Table </w:t>
      </w:r>
      <w:r w:rsidR="00623924" w:rsidRPr="004E2001">
        <w:rPr>
          <w:rStyle w:val="CommentReference"/>
        </w:rPr>
        <w:t>1</w:t>
      </w:r>
      <w:r w:rsidR="00DD6AEE" w:rsidRPr="004E2001">
        <w:rPr>
          <w:rStyle w:val="CommentReference"/>
        </w:rPr>
        <w:t>7</w:t>
      </w:r>
      <w:r w:rsidRPr="004E2001">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Estimated use and financial implications"/>
      </w:tblPr>
      <w:tblGrid>
        <w:gridCol w:w="2411"/>
        <w:gridCol w:w="1084"/>
        <w:gridCol w:w="1086"/>
        <w:gridCol w:w="1086"/>
        <w:gridCol w:w="1084"/>
        <w:gridCol w:w="1185"/>
        <w:gridCol w:w="1081"/>
      </w:tblGrid>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rPr>
                <w:rFonts w:ascii="Arial Narrow" w:eastAsia="Calibri" w:hAnsi="Arial Narrow" w:cs="Times New Roman"/>
                <w:sz w:val="20"/>
                <w:szCs w:val="20"/>
              </w:rPr>
            </w:pP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Year 1</w:t>
            </w:r>
          </w:p>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(2020)</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Year 2</w:t>
            </w:r>
          </w:p>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(2021)</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Year 3</w:t>
            </w:r>
          </w:p>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(2022)</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Year 4</w:t>
            </w:r>
          </w:p>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(2023)</w:t>
            </w:r>
          </w:p>
        </w:tc>
        <w:tc>
          <w:tcPr>
            <w:tcW w:w="610" w:type="pct"/>
            <w:tcBorders>
              <w:bottom w:val="single" w:sz="4" w:space="0" w:color="auto"/>
              <w:right w:val="single" w:sz="4" w:space="0" w:color="auto"/>
            </w:tcBorders>
            <w:shd w:val="clear" w:color="auto" w:fill="auto"/>
            <w:vAlign w:val="center"/>
          </w:tcPr>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 xml:space="preserve">Year 5 </w:t>
            </w:r>
          </w:p>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(2024)</w:t>
            </w:r>
          </w:p>
        </w:tc>
        <w:tc>
          <w:tcPr>
            <w:tcW w:w="607" w:type="pct"/>
            <w:tcBorders>
              <w:bottom w:val="single" w:sz="4" w:space="0" w:color="auto"/>
              <w:right w:val="single" w:sz="4" w:space="0" w:color="auto"/>
            </w:tcBorders>
            <w:vAlign w:val="center"/>
          </w:tcPr>
          <w:p w:rsidR="0000625C" w:rsidRPr="004E2001" w:rsidRDefault="0000625C" w:rsidP="003F26F6">
            <w:pPr>
              <w:keepNext/>
              <w:jc w:val="center"/>
              <w:rPr>
                <w:rFonts w:ascii="Arial Narrow" w:eastAsia="Calibri" w:hAnsi="Arial Narrow" w:cs="Times New Roman"/>
                <w:b/>
                <w:bCs/>
                <w:sz w:val="20"/>
                <w:szCs w:val="20"/>
              </w:rPr>
            </w:pPr>
            <w:r w:rsidRPr="004E2001">
              <w:rPr>
                <w:rFonts w:ascii="Arial Narrow" w:eastAsia="Calibri" w:hAnsi="Arial Narrow" w:cs="Times New Roman"/>
                <w:b/>
                <w:bCs/>
                <w:sz w:val="20"/>
                <w:szCs w:val="20"/>
              </w:rPr>
              <w:t xml:space="preserve">Year 6 </w:t>
            </w:r>
          </w:p>
          <w:p w:rsidR="0000625C" w:rsidRPr="004E2001" w:rsidRDefault="0000625C" w:rsidP="003F26F6">
            <w:pPr>
              <w:keepNext/>
              <w:jc w:val="center"/>
              <w:rPr>
                <w:rFonts w:ascii="Arial Narrow" w:eastAsia="Calibri" w:hAnsi="Arial Narrow" w:cs="Times New Roman"/>
                <w:b/>
                <w:bCs/>
                <w:sz w:val="20"/>
                <w:szCs w:val="20"/>
                <w:vertAlign w:val="superscript"/>
              </w:rPr>
            </w:pPr>
            <w:r w:rsidRPr="004E2001">
              <w:rPr>
                <w:rFonts w:ascii="Arial Narrow" w:eastAsia="Calibri" w:hAnsi="Arial Narrow" w:cs="Times New Roman"/>
                <w:b/>
                <w:bCs/>
                <w:sz w:val="20"/>
                <w:szCs w:val="20"/>
              </w:rPr>
              <w:t>(2025)</w:t>
            </w:r>
            <w:r w:rsidRPr="004E2001">
              <w:rPr>
                <w:rFonts w:ascii="Arial Narrow" w:eastAsia="Calibri" w:hAnsi="Arial Narrow" w:cs="Times New Roman"/>
                <w:b/>
                <w:bCs/>
                <w:sz w:val="20"/>
                <w:szCs w:val="20"/>
                <w:vertAlign w:val="superscript"/>
              </w:rPr>
              <w:t>a</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Exenatide 5mcg twice daily scripts</w:t>
            </w:r>
          </w:p>
        </w:tc>
        <w:tc>
          <w:tcPr>
            <w:tcW w:w="609" w:type="pct"/>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09"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right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07" w:type="pct"/>
            <w:tcBorders>
              <w:bottom w:val="single" w:sz="4" w:space="0" w:color="auto"/>
              <w:right w:val="single" w:sz="4" w:space="0" w:color="auto"/>
            </w:tcBorders>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950AA2" w:rsidRPr="004E2001" w:rsidRDefault="00950AA2"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 xml:space="preserve">Semaglutide </w:t>
            </w:r>
            <w:r w:rsidR="0000625C" w:rsidRPr="004E2001">
              <w:rPr>
                <w:rFonts w:ascii="Arial Narrow" w:eastAsia="Calibri" w:hAnsi="Arial Narrow" w:cs="Times New Roman"/>
                <w:sz w:val="20"/>
                <w:szCs w:val="20"/>
              </w:rPr>
              <w:t xml:space="preserve">scripts </w:t>
            </w:r>
          </w:p>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(1.07 adjustment factor)</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Exenatide 10mcg twice daily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09" w:type="pct"/>
            <w:tcBorders>
              <w:bottom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right w:val="single" w:sz="4" w:space="0" w:color="auto"/>
            </w:tcBorders>
            <w:shd w:val="clear" w:color="auto" w:fill="auto"/>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07" w:type="pct"/>
            <w:tcBorders>
              <w:bottom w:val="single" w:sz="4" w:space="0" w:color="auto"/>
              <w:right w:val="single" w:sz="4" w:space="0" w:color="auto"/>
            </w:tcBorders>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950AA2" w:rsidRPr="004E2001" w:rsidRDefault="00950AA2"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scripts</w:t>
            </w:r>
            <w:r w:rsidR="0000625C" w:rsidRPr="004E2001">
              <w:rPr>
                <w:rFonts w:ascii="Arial Narrow" w:eastAsia="Calibri" w:hAnsi="Arial Narrow" w:cs="Times New Roman"/>
                <w:sz w:val="20"/>
                <w:szCs w:val="20"/>
              </w:rPr>
              <w:t xml:space="preserve"> </w:t>
            </w:r>
          </w:p>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(1.07 adjustment factor)</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Exenatide once weekly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25%</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c>
          <w:tcPr>
            <w:tcW w:w="610" w:type="pct"/>
            <w:tcBorders>
              <w:bottom w:val="single" w:sz="4" w:space="0" w:color="auto"/>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c>
          <w:tcPr>
            <w:tcW w:w="607" w:type="pct"/>
            <w:tcBorders>
              <w:bottom w:val="single" w:sz="4" w:space="0" w:color="auto"/>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00625C" w:rsidRPr="004E2001" w:rsidRDefault="00950AA2"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w:t>
            </w:r>
            <w:r w:rsidR="0000625C" w:rsidRPr="004E2001">
              <w:rPr>
                <w:rFonts w:ascii="Arial Narrow" w:eastAsia="Calibri" w:hAnsi="Arial Narrow" w:cs="Times New Roman"/>
                <w:sz w:val="20"/>
                <w:szCs w:val="20"/>
              </w:rPr>
              <w:t xml:space="preserve"> scripts </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Dulaglutide once weekly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vertAlign w:val="superscript"/>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10%</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25%</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c>
          <w:tcPr>
            <w:tcW w:w="610" w:type="pct"/>
            <w:tcBorders>
              <w:bottom w:val="single" w:sz="4" w:space="0" w:color="auto"/>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c>
          <w:tcPr>
            <w:tcW w:w="607" w:type="pct"/>
            <w:tcBorders>
              <w:bottom w:val="single" w:sz="4" w:space="0" w:color="auto"/>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50%</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00625C" w:rsidRPr="004E2001" w:rsidRDefault="00950AA2" w:rsidP="003F26F6">
            <w:pPr>
              <w:keepNext/>
              <w:jc w:val="left"/>
              <w:rPr>
                <w:rFonts w:ascii="Arial Narrow" w:hAnsi="Arial Narrow"/>
                <w:sz w:val="20"/>
                <w:szCs w:val="20"/>
              </w:rPr>
            </w:pPr>
            <w:r w:rsidRPr="004E2001">
              <w:rPr>
                <w:rFonts w:ascii="Arial Narrow" w:eastAsia="Calibri" w:hAnsi="Arial Narrow" w:cs="Times New Roman"/>
                <w:sz w:val="20"/>
                <w:szCs w:val="20"/>
              </w:rPr>
              <w:t>Semaglutide</w:t>
            </w:r>
            <w:r w:rsidR="0000625C" w:rsidRPr="004E2001">
              <w:rPr>
                <w:rFonts w:ascii="Arial Narrow" w:eastAsia="Calibri" w:hAnsi="Arial Narrow" w:cs="Times New Roman"/>
                <w:sz w:val="20"/>
                <w:szCs w:val="20"/>
              </w:rPr>
              <w:t xml:space="preserve"> scripts </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Sitagliptin (all dose</w:t>
            </w:r>
            <w:r w:rsidR="009218D8" w:rsidRPr="004E2001">
              <w:rPr>
                <w:rFonts w:ascii="Arial Narrow" w:hAnsi="Arial Narrow"/>
                <w:sz w:val="20"/>
                <w:szCs w:val="20"/>
              </w:rPr>
              <w:t>s</w:t>
            </w:r>
            <w:r w:rsidRPr="004E2001">
              <w:rPr>
                <w:rFonts w:ascii="Arial Narrow" w:hAnsi="Arial Narrow"/>
                <w:sz w:val="20"/>
                <w:szCs w:val="20"/>
              </w:rPr>
              <w:t>)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2%</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3%</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4%</w:t>
            </w:r>
          </w:p>
        </w:tc>
        <w:tc>
          <w:tcPr>
            <w:tcW w:w="610" w:type="pct"/>
            <w:tcBorders>
              <w:bottom w:val="single" w:sz="4" w:space="0" w:color="auto"/>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w:t>
            </w:r>
          </w:p>
        </w:tc>
        <w:tc>
          <w:tcPr>
            <w:tcW w:w="607" w:type="pct"/>
            <w:tcBorders>
              <w:bottom w:val="single" w:sz="4" w:space="0" w:color="auto"/>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6%</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00625C" w:rsidRPr="004E2001" w:rsidRDefault="00950AA2"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scripts</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hAnsi="Arial Narrow"/>
                <w:sz w:val="20"/>
                <w:szCs w:val="20"/>
              </w:rPr>
              <w:t>Empagliflozin (all dose</w:t>
            </w:r>
            <w:r w:rsidR="009218D8" w:rsidRPr="004E2001">
              <w:rPr>
                <w:rFonts w:ascii="Arial Narrow" w:hAnsi="Arial Narrow"/>
                <w:sz w:val="20"/>
                <w:szCs w:val="20"/>
              </w:rPr>
              <w:t>s</w:t>
            </w:r>
            <w:r w:rsidRPr="004E2001">
              <w:rPr>
                <w:rFonts w:ascii="Arial Narrow" w:hAnsi="Arial Narrow"/>
                <w:sz w:val="20"/>
                <w:szCs w:val="20"/>
              </w:rPr>
              <w:t>)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2%</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3%</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4%</w:t>
            </w:r>
          </w:p>
        </w:tc>
        <w:tc>
          <w:tcPr>
            <w:tcW w:w="610" w:type="pct"/>
            <w:tcBorders>
              <w:bottom w:val="single" w:sz="4" w:space="0" w:color="auto"/>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5%</w:t>
            </w:r>
          </w:p>
        </w:tc>
        <w:tc>
          <w:tcPr>
            <w:tcW w:w="607" w:type="pct"/>
            <w:tcBorders>
              <w:bottom w:val="single" w:sz="4" w:space="0" w:color="auto"/>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6%</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950AA2" w:rsidRPr="004E2001" w:rsidRDefault="00950AA2"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scripts</w:t>
            </w:r>
          </w:p>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(1.07 adjustment factor)</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Insulin glargine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bottom w:val="single" w:sz="4" w:space="0" w:color="auto"/>
            </w:tcBorders>
            <w:shd w:val="clear" w:color="auto" w:fill="auto"/>
            <w:vAlign w:val="center"/>
          </w:tcPr>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substitution rate</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0%</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0%</w:t>
            </w:r>
          </w:p>
        </w:tc>
        <w:tc>
          <w:tcPr>
            <w:tcW w:w="610"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0%</w:t>
            </w:r>
          </w:p>
        </w:tc>
        <w:tc>
          <w:tcPr>
            <w:tcW w:w="609" w:type="pct"/>
            <w:tcBorders>
              <w:bottom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6%</w:t>
            </w:r>
          </w:p>
        </w:tc>
        <w:tc>
          <w:tcPr>
            <w:tcW w:w="610" w:type="pct"/>
            <w:tcBorders>
              <w:bottom w:val="single" w:sz="4" w:space="0" w:color="auto"/>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12%</w:t>
            </w:r>
          </w:p>
        </w:tc>
        <w:tc>
          <w:tcPr>
            <w:tcW w:w="607" w:type="pct"/>
            <w:tcBorders>
              <w:bottom w:val="single" w:sz="4" w:space="0" w:color="auto"/>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12%</w:t>
            </w:r>
          </w:p>
        </w:tc>
      </w:tr>
      <w:tr w:rsidR="0000625C" w:rsidRPr="004E2001" w:rsidTr="00C56F83">
        <w:trPr>
          <w:tblHeader/>
        </w:trPr>
        <w:tc>
          <w:tcPr>
            <w:tcW w:w="1345" w:type="pct"/>
            <w:tcBorders>
              <w:left w:val="single" w:sz="4" w:space="0" w:color="auto"/>
              <w:bottom w:val="double" w:sz="4" w:space="0" w:color="auto"/>
            </w:tcBorders>
            <w:shd w:val="clear" w:color="auto" w:fill="auto"/>
            <w:vAlign w:val="center"/>
          </w:tcPr>
          <w:p w:rsidR="00950AA2" w:rsidRPr="004E2001" w:rsidRDefault="00950AA2"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Semaglutide scripts</w:t>
            </w:r>
            <w:r w:rsidR="0000625C" w:rsidRPr="004E2001">
              <w:rPr>
                <w:rFonts w:ascii="Arial Narrow" w:eastAsia="Calibri" w:hAnsi="Arial Narrow" w:cs="Times New Roman"/>
                <w:sz w:val="20"/>
                <w:szCs w:val="20"/>
              </w:rPr>
              <w:t xml:space="preserve"> </w:t>
            </w:r>
          </w:p>
          <w:p w:rsidR="0000625C" w:rsidRPr="004E2001" w:rsidRDefault="0000625C" w:rsidP="003F26F6">
            <w:pPr>
              <w:keepNext/>
              <w:jc w:val="left"/>
              <w:rPr>
                <w:rFonts w:ascii="Arial Narrow" w:eastAsia="Calibri" w:hAnsi="Arial Narrow" w:cs="Times New Roman"/>
                <w:sz w:val="20"/>
                <w:szCs w:val="20"/>
              </w:rPr>
            </w:pPr>
            <w:r w:rsidRPr="004E2001">
              <w:rPr>
                <w:rFonts w:ascii="Arial Narrow" w:eastAsia="Calibri" w:hAnsi="Arial Narrow" w:cs="Times New Roman"/>
                <w:sz w:val="20"/>
                <w:szCs w:val="20"/>
              </w:rPr>
              <w:t>(6.70 adjustment factor)</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tcBorders>
              <w:bottom w:val="doub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bottom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bottom w:val="double" w:sz="4" w:space="0" w:color="auto"/>
              <w:right w:val="single" w:sz="4" w:space="0" w:color="auto"/>
            </w:tcBorders>
            <w:vAlign w:val="center"/>
          </w:tcPr>
          <w:p w:rsidR="0000625C" w:rsidRPr="0076592A" w:rsidRDefault="0076592A" w:rsidP="003F26F6">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0625C" w:rsidRPr="004E2001" w:rsidTr="00C56F83">
        <w:trPr>
          <w:tblHeader/>
        </w:trPr>
        <w:tc>
          <w:tcPr>
            <w:tcW w:w="1345" w:type="pct"/>
            <w:tcBorders>
              <w:top w:val="double" w:sz="4" w:space="0" w:color="auto"/>
              <w:left w:val="single" w:sz="4" w:space="0" w:color="auto"/>
            </w:tcBorders>
            <w:shd w:val="clear" w:color="auto" w:fill="auto"/>
            <w:vAlign w:val="center"/>
          </w:tcPr>
          <w:p w:rsidR="0000625C" w:rsidRPr="004E2001" w:rsidRDefault="0000625C" w:rsidP="003F26F6">
            <w:pPr>
              <w:keepNext/>
              <w:jc w:val="left"/>
              <w:rPr>
                <w:rFonts w:ascii="Arial Narrow" w:hAnsi="Arial Narrow"/>
                <w:b/>
                <w:sz w:val="20"/>
                <w:szCs w:val="20"/>
              </w:rPr>
            </w:pPr>
            <w:r w:rsidRPr="004E2001">
              <w:rPr>
                <w:rFonts w:ascii="Arial Narrow" w:hAnsi="Arial Narrow"/>
                <w:b/>
                <w:sz w:val="20"/>
                <w:szCs w:val="20"/>
              </w:rPr>
              <w:t>Total semaglutide scripts</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10"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09" w:type="pct"/>
            <w:tcBorders>
              <w:top w:val="double" w:sz="4" w:space="0" w:color="auto"/>
            </w:tcBorders>
            <w:shd w:val="clear" w:color="auto" w:fill="auto"/>
            <w:vAlign w:val="center"/>
          </w:tcPr>
          <w:p w:rsidR="0000625C" w:rsidRPr="0076592A" w:rsidRDefault="0076592A" w:rsidP="003F26F6">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10" w:type="pct"/>
            <w:tcBorders>
              <w:top w:val="double" w:sz="4" w:space="0" w:color="auto"/>
              <w:right w:val="single" w:sz="4" w:space="0" w:color="auto"/>
            </w:tcBorders>
            <w:shd w:val="clear" w:color="auto" w:fill="auto"/>
            <w:vAlign w:val="center"/>
          </w:tcPr>
          <w:p w:rsidR="0000625C" w:rsidRPr="0076592A" w:rsidRDefault="0076592A" w:rsidP="003F26F6">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07" w:type="pct"/>
            <w:tcBorders>
              <w:top w:val="double" w:sz="4" w:space="0" w:color="auto"/>
              <w:right w:val="single" w:sz="4" w:space="0" w:color="auto"/>
            </w:tcBorders>
            <w:vAlign w:val="center"/>
          </w:tcPr>
          <w:p w:rsidR="0000625C" w:rsidRPr="0076592A" w:rsidRDefault="0076592A" w:rsidP="003F26F6">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Published cost of semaglutide scripts ($147.58)</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highlight w:val="yellow"/>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highlight w:val="yellow"/>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highlight w:val="yellow"/>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highlight w:val="yellow"/>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highlight w:val="yellow"/>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 xml:space="preserve">Patient co-payments </w:t>
            </w:r>
          </w:p>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($15.13 per script)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b/>
                <w:sz w:val="20"/>
                <w:szCs w:val="20"/>
              </w:rPr>
            </w:pPr>
            <w:r w:rsidRPr="004E2001">
              <w:rPr>
                <w:rFonts w:ascii="Arial Narrow" w:hAnsi="Arial Narrow"/>
                <w:b/>
                <w:sz w:val="20"/>
                <w:szCs w:val="20"/>
              </w:rPr>
              <w:t>Total cost less co-payment</w:t>
            </w:r>
          </w:p>
        </w:tc>
        <w:tc>
          <w:tcPr>
            <w:tcW w:w="609" w:type="pct"/>
            <w:shd w:val="clear" w:color="auto" w:fill="auto"/>
            <w:vAlign w:val="center"/>
          </w:tcPr>
          <w:p w:rsidR="0000625C" w:rsidRPr="004E2001" w:rsidRDefault="0000625C" w:rsidP="003F26F6">
            <w:pPr>
              <w:keepNext/>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Pr="004E2001">
              <w:rPr>
                <w:rFonts w:ascii="Arial Narrow" w:hAnsi="Arial Narrow"/>
                <w:sz w:val="20"/>
                <w:szCs w:val="20"/>
              </w:rPr>
              <w:t>exenatide 5mcg twice daily</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Pr="004E2001">
              <w:rPr>
                <w:rFonts w:ascii="Arial Narrow" w:hAnsi="Arial Narrow"/>
                <w:sz w:val="20"/>
                <w:szCs w:val="20"/>
              </w:rPr>
              <w:t>exenatide 10mcg twice daily</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Pr="004E2001">
              <w:rPr>
                <w:rFonts w:ascii="Arial Narrow" w:hAnsi="Arial Narrow"/>
                <w:sz w:val="20"/>
                <w:szCs w:val="20"/>
              </w:rPr>
              <w:t>exenatide once weekly</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009218D8" w:rsidRPr="004E2001">
              <w:rPr>
                <w:rFonts w:ascii="Arial Narrow" w:hAnsi="Arial Narrow"/>
                <w:sz w:val="20"/>
                <w:szCs w:val="20"/>
              </w:rPr>
              <w:t>dulaglutide once weekly</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Pr="004E2001">
              <w:rPr>
                <w:rFonts w:ascii="Arial Narrow" w:hAnsi="Arial Narrow"/>
                <w:sz w:val="20"/>
                <w:szCs w:val="20"/>
              </w:rPr>
              <w:t>s</w:t>
            </w:r>
            <w:r w:rsidR="009218D8" w:rsidRPr="004E2001">
              <w:rPr>
                <w:rFonts w:ascii="Arial Narrow" w:hAnsi="Arial Narrow"/>
                <w:sz w:val="20"/>
                <w:szCs w:val="20"/>
              </w:rPr>
              <w:t>itagliptin (all dose</w:t>
            </w:r>
            <w:r w:rsidR="00130E2D" w:rsidRPr="004E2001">
              <w:rPr>
                <w:rFonts w:ascii="Arial Narrow" w:hAnsi="Arial Narrow"/>
                <w:sz w:val="20"/>
                <w:szCs w:val="20"/>
              </w:rPr>
              <w:t>s</w:t>
            </w:r>
            <w:r w:rsidR="009218D8" w:rsidRPr="004E2001">
              <w:rPr>
                <w:rFonts w:ascii="Arial Narrow" w:hAnsi="Arial Narrow"/>
                <w:sz w:val="20"/>
                <w:szCs w:val="20"/>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keepNext/>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Pr="004E2001">
              <w:rPr>
                <w:rFonts w:ascii="Arial Narrow" w:hAnsi="Arial Narrow"/>
                <w:sz w:val="20"/>
                <w:szCs w:val="20"/>
              </w:rPr>
              <w:t>emp</w:t>
            </w:r>
            <w:r w:rsidR="009218D8" w:rsidRPr="004E2001">
              <w:rPr>
                <w:rFonts w:ascii="Arial Narrow" w:hAnsi="Arial Narrow"/>
                <w:sz w:val="20"/>
                <w:szCs w:val="20"/>
              </w:rPr>
              <w:t>agliflozin (all doses)</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keepNext/>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jc w:val="left"/>
              <w:rPr>
                <w:rFonts w:ascii="Arial Narrow" w:hAnsi="Arial Narrow"/>
                <w:sz w:val="20"/>
                <w:szCs w:val="20"/>
              </w:rPr>
            </w:pPr>
            <w:r w:rsidRPr="004E2001">
              <w:rPr>
                <w:rFonts w:ascii="Arial Narrow" w:hAnsi="Arial Narrow"/>
                <w:sz w:val="20"/>
                <w:szCs w:val="20"/>
              </w:rPr>
              <w:t>Cost offsets for substituted</w:t>
            </w:r>
            <w:r w:rsidRPr="004E2001">
              <w:t xml:space="preserve"> </w:t>
            </w:r>
            <w:r w:rsidR="009218D8" w:rsidRPr="004E2001">
              <w:rPr>
                <w:rFonts w:ascii="Arial Narrow" w:hAnsi="Arial Narrow"/>
                <w:sz w:val="20"/>
                <w:szCs w:val="20"/>
              </w:rPr>
              <w:t>insulin glargine</w:t>
            </w:r>
          </w:p>
        </w:tc>
        <w:tc>
          <w:tcPr>
            <w:tcW w:w="609" w:type="pct"/>
            <w:shd w:val="clear" w:color="auto" w:fill="auto"/>
            <w:vAlign w:val="center"/>
          </w:tcPr>
          <w:p w:rsidR="0000625C" w:rsidRPr="004E2001" w:rsidRDefault="0000625C" w:rsidP="003F26F6">
            <w:pPr>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shd w:val="clear" w:color="auto" w:fill="auto"/>
            <w:vAlign w:val="center"/>
          </w:tcPr>
          <w:p w:rsidR="0000625C" w:rsidRPr="004E2001" w:rsidRDefault="0000625C" w:rsidP="003F26F6">
            <w:pPr>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9" w:type="pct"/>
            <w:shd w:val="clear" w:color="auto" w:fill="auto"/>
            <w:vAlign w:val="center"/>
          </w:tcPr>
          <w:p w:rsidR="0000625C" w:rsidRPr="004E2001" w:rsidRDefault="0000625C" w:rsidP="003F26F6">
            <w:pPr>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jc w:val="center"/>
              <w:rPr>
                <w:rFonts w:ascii="Arial Narrow" w:hAnsi="Arial Narrow"/>
                <w:sz w:val="20"/>
                <w:szCs w:val="20"/>
              </w:rPr>
            </w:pPr>
            <w:r w:rsidRPr="004E2001">
              <w:rPr>
                <w:rFonts w:ascii="Arial Narrow" w:hAnsi="Arial Narrow"/>
                <w:sz w:val="20"/>
                <w:szCs w:val="20"/>
              </w:rPr>
              <w:t>-$</w:t>
            </w:r>
            <w:r w:rsidR="0076592A">
              <w:rPr>
                <w:rFonts w:ascii="Arial Narrow" w:hAnsi="Arial Narrow"/>
                <w:noProof/>
                <w:color w:val="000000"/>
                <w:sz w:val="20"/>
                <w:szCs w:val="20"/>
                <w:highlight w:val="black"/>
              </w:rPr>
              <w:t>''''''''''''''''''''''''''</w:t>
            </w:r>
          </w:p>
        </w:tc>
      </w:tr>
      <w:tr w:rsidR="0000625C" w:rsidRPr="004E2001" w:rsidTr="00C56F83">
        <w:trPr>
          <w:tblHeader/>
        </w:trPr>
        <w:tc>
          <w:tcPr>
            <w:tcW w:w="1345" w:type="pct"/>
            <w:tcBorders>
              <w:left w:val="single" w:sz="4" w:space="0" w:color="auto"/>
            </w:tcBorders>
            <w:shd w:val="clear" w:color="auto" w:fill="auto"/>
            <w:vAlign w:val="center"/>
          </w:tcPr>
          <w:p w:rsidR="0000625C" w:rsidRPr="004E2001" w:rsidRDefault="0000625C" w:rsidP="003F26F6">
            <w:pPr>
              <w:jc w:val="left"/>
              <w:rPr>
                <w:rFonts w:ascii="Arial Narrow" w:hAnsi="Arial Narrow"/>
                <w:sz w:val="20"/>
                <w:szCs w:val="20"/>
                <w:vertAlign w:val="superscript"/>
              </w:rPr>
            </w:pPr>
            <w:r w:rsidRPr="004E2001">
              <w:rPr>
                <w:rFonts w:ascii="Arial Narrow" w:hAnsi="Arial Narrow"/>
                <w:b/>
                <w:sz w:val="20"/>
                <w:szCs w:val="20"/>
              </w:rPr>
              <w:t>Net cost to PBS/RPBS</w:t>
            </w:r>
            <w:r w:rsidRPr="004E2001">
              <w:rPr>
                <w:rFonts w:ascii="Arial Narrow" w:hAnsi="Arial Narrow"/>
                <w:b/>
                <w:sz w:val="20"/>
                <w:szCs w:val="20"/>
                <w:vertAlign w:val="superscript"/>
              </w:rPr>
              <w:t>b</w:t>
            </w:r>
          </w:p>
        </w:tc>
        <w:tc>
          <w:tcPr>
            <w:tcW w:w="609" w:type="pct"/>
            <w:shd w:val="clear" w:color="auto" w:fill="auto"/>
            <w:vAlign w:val="center"/>
          </w:tcPr>
          <w:p w:rsidR="0000625C" w:rsidRPr="004E2001" w:rsidRDefault="0000625C" w:rsidP="003F26F6">
            <w:pPr>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10" w:type="pct"/>
            <w:shd w:val="clear" w:color="auto" w:fill="auto"/>
            <w:vAlign w:val="center"/>
          </w:tcPr>
          <w:p w:rsidR="0000625C" w:rsidRPr="004E2001" w:rsidRDefault="0000625C" w:rsidP="003F26F6">
            <w:pPr>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10" w:type="pct"/>
            <w:shd w:val="clear" w:color="auto" w:fill="auto"/>
            <w:vAlign w:val="center"/>
          </w:tcPr>
          <w:p w:rsidR="0000625C" w:rsidRPr="004E2001" w:rsidRDefault="0000625C" w:rsidP="003F26F6">
            <w:pPr>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09" w:type="pct"/>
            <w:shd w:val="clear" w:color="auto" w:fill="auto"/>
            <w:vAlign w:val="center"/>
          </w:tcPr>
          <w:p w:rsidR="0000625C" w:rsidRPr="004E2001" w:rsidRDefault="0000625C" w:rsidP="003F26F6">
            <w:pPr>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10" w:type="pct"/>
            <w:tcBorders>
              <w:right w:val="single" w:sz="4" w:space="0" w:color="auto"/>
            </w:tcBorders>
            <w:shd w:val="clear" w:color="auto" w:fill="auto"/>
            <w:vAlign w:val="center"/>
          </w:tcPr>
          <w:p w:rsidR="0000625C" w:rsidRPr="004E2001" w:rsidRDefault="0000625C" w:rsidP="003F26F6">
            <w:pPr>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c>
          <w:tcPr>
            <w:tcW w:w="607" w:type="pct"/>
            <w:tcBorders>
              <w:right w:val="single" w:sz="4" w:space="0" w:color="auto"/>
            </w:tcBorders>
            <w:vAlign w:val="center"/>
          </w:tcPr>
          <w:p w:rsidR="0000625C" w:rsidRPr="004E2001" w:rsidRDefault="0000625C" w:rsidP="003F26F6">
            <w:pPr>
              <w:jc w:val="center"/>
              <w:rPr>
                <w:rFonts w:ascii="Arial Narrow" w:hAnsi="Arial Narrow"/>
                <w:b/>
                <w:sz w:val="20"/>
                <w:szCs w:val="20"/>
              </w:rPr>
            </w:pPr>
            <w:r w:rsidRPr="004E2001">
              <w:rPr>
                <w:rFonts w:ascii="Arial Narrow" w:hAnsi="Arial Narrow"/>
                <w:b/>
                <w:sz w:val="20"/>
                <w:szCs w:val="20"/>
              </w:rPr>
              <w:t>$</w:t>
            </w:r>
            <w:r w:rsidR="0076592A">
              <w:rPr>
                <w:rFonts w:ascii="Arial Narrow" w:hAnsi="Arial Narrow"/>
                <w:b/>
                <w:noProof/>
                <w:color w:val="000000"/>
                <w:sz w:val="20"/>
                <w:szCs w:val="20"/>
                <w:highlight w:val="black"/>
              </w:rPr>
              <w:t>'''''''''''''''''''''''</w:t>
            </w:r>
          </w:p>
        </w:tc>
      </w:tr>
    </w:tbl>
    <w:p w:rsidR="0000625C" w:rsidRPr="004E2001" w:rsidRDefault="0000625C" w:rsidP="003F26F6">
      <w:pPr>
        <w:pStyle w:val="TableFooter"/>
      </w:pPr>
      <w:r w:rsidRPr="004E2001">
        <w:t>Source: Table 4-3 (p 204), Table 4-4 (p 206), Table 4-6 (p 209), Table 4-7 (p 210), Table 4-8 (p 211), Table 4-9 (p 212), Table 4-10 (p 212) of the submission</w:t>
      </w:r>
    </w:p>
    <w:p w:rsidR="0000625C" w:rsidRPr="004E2001" w:rsidRDefault="0000625C" w:rsidP="003F26F6">
      <w:pPr>
        <w:pStyle w:val="TableFooter"/>
      </w:pPr>
      <w:r w:rsidRPr="004E2001">
        <w:lastRenderedPageBreak/>
        <w:t>Abbreviations: DPMQ, dispensed price per maximum quantity; PBS, Pharmaceutical Benefits Scheme; RPBS, Repatriation Pharmaceutical Benefits Scheme</w:t>
      </w:r>
    </w:p>
    <w:p w:rsidR="009218D8" w:rsidRPr="004E2001" w:rsidRDefault="009218D8" w:rsidP="003F26F6">
      <w:pPr>
        <w:pStyle w:val="TableFooter"/>
      </w:pPr>
      <w:r w:rsidRPr="004E2001">
        <w:t>Note: Cost offsets based on published DPMQ minus average patient co-payment</w:t>
      </w:r>
    </w:p>
    <w:p w:rsidR="0000625C" w:rsidRPr="004E2001" w:rsidRDefault="0000625C" w:rsidP="003F26F6">
      <w:pPr>
        <w:pStyle w:val="TableFooter"/>
      </w:pPr>
      <w:r w:rsidRPr="004E2001">
        <w:rPr>
          <w:vertAlign w:val="superscript"/>
        </w:rPr>
        <w:t xml:space="preserve">a </w:t>
      </w:r>
      <w:r w:rsidRPr="004E2001">
        <w:t>Calculated during the evaluation based on following assumptions; exenatide 5mcg twice daily 0% growth, 10% substitution; exenatide 10mcg twice daily 0% growth, 10% substitution; exenatide once weekly 0% growth, 50% substitution; exenatide once weekly 0% growth (based on trend), 50% substitution; sitagliptin (all dose strengths) 0% growth, 6% sub</w:t>
      </w:r>
      <w:r w:rsidR="00130E2D" w:rsidRPr="004E2001">
        <w:t>stitution (based on trend); emp</w:t>
      </w:r>
      <w:r w:rsidRPr="004E2001">
        <w:t>agliflozin 5% growth, 6% substitution (based on trend), insulin glargine 0% growth, 12% substitution (assumed same as previous year, basis for estimate unclear)</w:t>
      </w:r>
    </w:p>
    <w:p w:rsidR="00C25D9C" w:rsidRPr="004E2001" w:rsidRDefault="0000625C" w:rsidP="003F26F6">
      <w:pPr>
        <w:pStyle w:val="TableFooter"/>
      </w:pPr>
      <w:r w:rsidRPr="004E2001">
        <w:rPr>
          <w:vertAlign w:val="superscript"/>
        </w:rPr>
        <w:t>b</w:t>
      </w:r>
      <w:r w:rsidRPr="004E2001">
        <w:t xml:space="preserve"> The net cost to the PBS/RPBS was incorrectly estimated in the submission as the budget impact estimates did not include the cost offsets for sitagliptin and empagliflozin. These offsets were included during the evaluation. </w:t>
      </w:r>
    </w:p>
    <w:p w:rsidR="00654C4B" w:rsidRDefault="00654C4B" w:rsidP="0076592A">
      <w:pPr>
        <w:spacing w:before="120" w:after="120"/>
      </w:pPr>
      <w:r>
        <w:t xml:space="preserve">The redacted table </w:t>
      </w:r>
      <w:r w:rsidR="00B32F01">
        <w:t xml:space="preserve">shows that at Year 6, the estimated number of semaglutide scripts was over 200,000. </w:t>
      </w:r>
    </w:p>
    <w:p w:rsidR="00950AA2" w:rsidRPr="004E2001" w:rsidRDefault="00950AA2" w:rsidP="0076592A">
      <w:pPr>
        <w:pStyle w:val="ListParagraph"/>
        <w:numPr>
          <w:ilvl w:val="1"/>
          <w:numId w:val="2"/>
        </w:numPr>
        <w:jc w:val="both"/>
      </w:pPr>
      <w:r w:rsidRPr="004E2001">
        <w:t>The net cost of listing semaglutide for dual/triple therapy was estimated to be up to $</w:t>
      </w:r>
      <w:r w:rsidR="001D51AB">
        <w:t>30 - $60</w:t>
      </w:r>
      <w:r w:rsidRPr="004E2001">
        <w:t xml:space="preserve"> million in the fifth year of listing (sixth year $</w:t>
      </w:r>
      <w:r w:rsidR="001D51AB">
        <w:t>30 - $60</w:t>
      </w:r>
      <w:r w:rsidRPr="004E2001">
        <w:t xml:space="preserve"> million). The estimated cumulative net cost over five years was $</w:t>
      </w:r>
      <w:r w:rsidR="001D51AB">
        <w:t>60 - $100</w:t>
      </w:r>
      <w:r w:rsidRPr="004E2001">
        <w:t xml:space="preserve"> million (cumulative cost over six years</w:t>
      </w:r>
      <w:r w:rsidR="00CA6F80">
        <w:t xml:space="preserve"> of more than</w:t>
      </w:r>
      <w:r w:rsidRPr="004E2001">
        <w:t xml:space="preserve"> $</w:t>
      </w:r>
      <w:r w:rsidR="00CA6F80">
        <w:t>100</w:t>
      </w:r>
      <w:r w:rsidRPr="004E2001">
        <w:t xml:space="preserve"> million).</w:t>
      </w:r>
    </w:p>
    <w:p w:rsidR="00950AA2" w:rsidRPr="004E2001" w:rsidRDefault="00950AA2" w:rsidP="0076592A">
      <w:pPr>
        <w:pStyle w:val="ListParagraph"/>
        <w:numPr>
          <w:ilvl w:val="1"/>
          <w:numId w:val="2"/>
        </w:numPr>
        <w:jc w:val="both"/>
      </w:pPr>
      <w:r w:rsidRPr="004E2001">
        <w:t>The utilisation/financial estimates for semaglutide as dual/triple therapy were highly uncertain due to the following issues:</w:t>
      </w:r>
    </w:p>
    <w:p w:rsidR="00950AA2" w:rsidRPr="004E2001" w:rsidRDefault="00950AA2" w:rsidP="0076592A">
      <w:pPr>
        <w:pStyle w:val="ListParagraph"/>
        <w:numPr>
          <w:ilvl w:val="0"/>
          <w:numId w:val="1"/>
        </w:numPr>
        <w:ind w:left="1077" w:hanging="357"/>
        <w:jc w:val="both"/>
      </w:pPr>
      <w:r w:rsidRPr="004E2001">
        <w:t xml:space="preserve">The submission used sitagliptin and empagliflozin as proxies for the </w:t>
      </w:r>
      <w:r w:rsidR="00D9396F" w:rsidRPr="004E2001">
        <w:t xml:space="preserve">DPP4 </w:t>
      </w:r>
      <w:r w:rsidRPr="004E2001">
        <w:t xml:space="preserve">and </w:t>
      </w:r>
      <w:r w:rsidR="00D9396F" w:rsidRPr="004E2001">
        <w:t xml:space="preserve">SGLT2 inhibitor </w:t>
      </w:r>
      <w:r w:rsidRPr="004E2001">
        <w:t xml:space="preserve">markets respectively. </w:t>
      </w:r>
      <w:r w:rsidR="00EA3A24" w:rsidRPr="004E2001">
        <w:t xml:space="preserve">There was no justification provided as to why these drugs were selected to represent all SGLT2 and DPP4 inhibitor use. </w:t>
      </w:r>
      <w:r w:rsidRPr="004E2001">
        <w:t xml:space="preserve">The approach in the submission does not account for the substantial number of scripts attributable to other members of each class, fixed dose combinations with metformin and </w:t>
      </w:r>
      <w:r w:rsidR="00D9396F" w:rsidRPr="004E2001">
        <w:t>DPP4</w:t>
      </w:r>
      <w:r w:rsidRPr="004E2001">
        <w:t>/</w:t>
      </w:r>
      <w:r w:rsidR="00D9396F" w:rsidRPr="004E2001">
        <w:t xml:space="preserve">SGLT2 inhibitor </w:t>
      </w:r>
      <w:r w:rsidRPr="004E2001">
        <w:t>fixed dose combinations. The size and projected growth of these markets were substantially underestimated</w:t>
      </w:r>
      <w:r w:rsidR="004E2001">
        <w:t xml:space="preserve">. </w:t>
      </w:r>
    </w:p>
    <w:p w:rsidR="00950AA2" w:rsidRPr="004E2001" w:rsidRDefault="00950AA2" w:rsidP="0076592A">
      <w:pPr>
        <w:pStyle w:val="ListParagraph"/>
        <w:numPr>
          <w:ilvl w:val="0"/>
          <w:numId w:val="1"/>
        </w:numPr>
        <w:jc w:val="both"/>
      </w:pPr>
      <w:r w:rsidRPr="004E2001">
        <w:t xml:space="preserve">The submission acknowledged that the GLP-1 market dynamics </w:t>
      </w:r>
      <w:r w:rsidR="00D9396F" w:rsidRPr="004E2001">
        <w:t>are</w:t>
      </w:r>
      <w:r w:rsidRPr="004E2001">
        <w:t xml:space="preserve"> highly uncertain</w:t>
      </w:r>
      <w:r w:rsidR="00D9396F" w:rsidRPr="004E2001">
        <w:t>:</w:t>
      </w:r>
    </w:p>
    <w:p w:rsidR="00950AA2" w:rsidRPr="004E2001" w:rsidRDefault="00950AA2" w:rsidP="0076592A">
      <w:pPr>
        <w:pStyle w:val="ListParagraph"/>
        <w:numPr>
          <w:ilvl w:val="1"/>
          <w:numId w:val="1"/>
        </w:numPr>
        <w:ind w:left="1451" w:hanging="357"/>
        <w:jc w:val="both"/>
      </w:pPr>
      <w:r w:rsidRPr="004E2001">
        <w:t>The PBS script data used to predict the growth of dulaglutide was based on limited data</w:t>
      </w:r>
      <w:r w:rsidR="00D9396F" w:rsidRPr="004E2001">
        <w:t>,</w:t>
      </w:r>
      <w:r w:rsidRPr="004E2001">
        <w:t xml:space="preserve"> which was not adjusted for the PBS listing date that was halfway through 2018 (June to December 2018 estimates only). Updated script estimates to May 2019 suggest that dulaglutide utilisation will potentially be larger than exenatide once weekly by 2020, which is earlier than predicted in the submission;  </w:t>
      </w:r>
    </w:p>
    <w:p w:rsidR="00950AA2" w:rsidRPr="004E2001" w:rsidRDefault="00950AA2" w:rsidP="0076592A">
      <w:pPr>
        <w:pStyle w:val="ListParagraph"/>
        <w:numPr>
          <w:ilvl w:val="1"/>
          <w:numId w:val="1"/>
        </w:numPr>
        <w:ind w:left="1451" w:hanging="357"/>
        <w:jc w:val="both"/>
      </w:pPr>
      <w:r w:rsidRPr="004E2001">
        <w:t xml:space="preserve">The data suggest that the uptake of dulaglutide is being drawn from the broader diabetes market, outside of the GLP-1 market previously dominated by exenatide. There is a high risk of a similar trend occurring should semaglutide be listed on the PBS, particularly given its clinical claims of greater reduction in both HbA1c and body weight compared to other GLP-1 therapies; </w:t>
      </w:r>
    </w:p>
    <w:p w:rsidR="00950AA2" w:rsidRPr="004E2001" w:rsidRDefault="00950AA2" w:rsidP="0076592A">
      <w:pPr>
        <w:pStyle w:val="ListParagraph"/>
        <w:numPr>
          <w:ilvl w:val="1"/>
          <w:numId w:val="1"/>
        </w:numPr>
        <w:ind w:left="1451" w:hanging="357"/>
        <w:jc w:val="both"/>
      </w:pPr>
      <w:r w:rsidRPr="004E2001">
        <w:t xml:space="preserve">In the first year of listing, there were </w:t>
      </w:r>
      <w:r w:rsidR="00CA6F80">
        <w:t>100,000 – 200,000</w:t>
      </w:r>
      <w:r w:rsidRPr="004E2001">
        <w:t xml:space="preserve"> scripts for dulaglutide (June 2018 to May 2019) which is much larger than estimated for semaglutide of </w:t>
      </w:r>
      <w:r w:rsidR="00CA6F80">
        <w:t>50,000 – 100,000</w:t>
      </w:r>
      <w:r w:rsidRPr="004E2001">
        <w:t xml:space="preserve">; </w:t>
      </w:r>
    </w:p>
    <w:p w:rsidR="00950AA2" w:rsidRPr="004E2001" w:rsidRDefault="00950AA2" w:rsidP="0076592A">
      <w:pPr>
        <w:pStyle w:val="ListParagraph"/>
        <w:numPr>
          <w:ilvl w:val="1"/>
          <w:numId w:val="1"/>
        </w:numPr>
        <w:ind w:left="1451" w:hanging="357"/>
        <w:jc w:val="both"/>
      </w:pPr>
      <w:r w:rsidRPr="004E2001">
        <w:t xml:space="preserve">The submission assumed that 100% of exenatide twice daily market is for dual/triple therapy, however it likely that a substantial proportion of current </w:t>
      </w:r>
      <w:r w:rsidRPr="004E2001">
        <w:lastRenderedPageBreak/>
        <w:t>use is for combination with insulin. The implications of this assumption is unclear;</w:t>
      </w:r>
    </w:p>
    <w:p w:rsidR="00950AA2" w:rsidRPr="004E2001" w:rsidRDefault="00950AA2" w:rsidP="0076592A">
      <w:pPr>
        <w:pStyle w:val="ListParagraph"/>
        <w:numPr>
          <w:ilvl w:val="1"/>
          <w:numId w:val="1"/>
        </w:numPr>
        <w:ind w:left="1451" w:hanging="357"/>
        <w:jc w:val="both"/>
      </w:pPr>
      <w:r w:rsidRPr="004E2001">
        <w:t>The potential introduction of an oral formulation of semaglutide is likely to be highly disruptive to the GLP-1 market and the broader diabetes market</w:t>
      </w:r>
      <w:r w:rsidR="00D9396F" w:rsidRPr="004E2001">
        <w:t>.</w:t>
      </w:r>
    </w:p>
    <w:p w:rsidR="00950AA2" w:rsidRPr="004E2001" w:rsidRDefault="00950AA2" w:rsidP="0076592A">
      <w:pPr>
        <w:pStyle w:val="ListParagraph"/>
        <w:numPr>
          <w:ilvl w:val="0"/>
          <w:numId w:val="1"/>
        </w:numPr>
        <w:jc w:val="both"/>
      </w:pPr>
      <w:r w:rsidRPr="004E2001">
        <w:t>Cost-offsets due to substitution of insulin glargine were more likely to be delayed costs rather than true offsets as insulin may still be used with disease progression. Additionally, the estimates were based</w:t>
      </w:r>
      <w:r w:rsidR="00C67B0E" w:rsidRPr="004E2001">
        <w:t xml:space="preserve"> on</w:t>
      </w:r>
      <w:r w:rsidRPr="004E2001">
        <w:t xml:space="preserve"> highly uncertain assumptions surrounding HbA1c and delay in insulin use in the economic model (baseline HbA1c, treatment effect, magnitude of HbA1c drift and treatment thresholds). In many plausible scenarios the delay could occur after the projected financial estimates window</w:t>
      </w:r>
      <w:r w:rsidR="00D9396F" w:rsidRPr="004E2001">
        <w:t>.</w:t>
      </w:r>
      <w:r w:rsidRPr="004E2001">
        <w:t xml:space="preserve"> </w:t>
      </w:r>
    </w:p>
    <w:p w:rsidR="00950AA2" w:rsidRPr="004E2001" w:rsidRDefault="00950AA2" w:rsidP="0076592A">
      <w:pPr>
        <w:pStyle w:val="ListParagraph"/>
        <w:numPr>
          <w:ilvl w:val="0"/>
          <w:numId w:val="1"/>
        </w:numPr>
        <w:ind w:left="1077" w:hanging="357"/>
        <w:jc w:val="both"/>
      </w:pPr>
      <w:r w:rsidRPr="004E2001">
        <w:t xml:space="preserve">Substitution rates used to estimate cost offsets were assumed with no explanatory rationale provided in the submission. </w:t>
      </w:r>
      <w:r w:rsidR="00D06D1D" w:rsidRPr="004E2001">
        <w:t xml:space="preserve">The ESC considered that the rates of substitution were not justified and that the actual rates of substitution could be much higher if substitution patterns increased within plausible bounds. </w:t>
      </w:r>
    </w:p>
    <w:p w:rsidR="00CF0365" w:rsidRPr="004E2001" w:rsidRDefault="00D06D1D" w:rsidP="0076592A">
      <w:pPr>
        <w:pStyle w:val="ListParagraph"/>
        <w:numPr>
          <w:ilvl w:val="1"/>
          <w:numId w:val="2"/>
        </w:numPr>
        <w:jc w:val="both"/>
      </w:pPr>
      <w:r w:rsidRPr="004E2001">
        <w:t>The ESC considered t</w:t>
      </w:r>
      <w:r w:rsidR="00DD4F48" w:rsidRPr="004E2001">
        <w:t xml:space="preserve">he estimated cost of listing semaglutide on the PBS was associated with significant uncertainties due to a substantially underestimated size and projected growth of the </w:t>
      </w:r>
      <w:r w:rsidR="003B7A6E" w:rsidRPr="004E2001">
        <w:t>DPP4</w:t>
      </w:r>
      <w:r w:rsidR="00DD4F48" w:rsidRPr="004E2001">
        <w:t>/</w:t>
      </w:r>
      <w:r w:rsidR="003B7A6E" w:rsidRPr="004E2001">
        <w:t xml:space="preserve">SGLT2 </w:t>
      </w:r>
      <w:r w:rsidR="002A5317" w:rsidRPr="004E2001">
        <w:t>inhibitor</w:t>
      </w:r>
      <w:r w:rsidR="00DD4F48" w:rsidRPr="004E2001">
        <w:t xml:space="preserve"> market, highly uncertain GLP-1 market dynamics, cost-offsets attributed to delay in insulin use and assumed substitution rates used to estimate cost-offsets. </w:t>
      </w:r>
    </w:p>
    <w:p w:rsidR="009C46F7" w:rsidRPr="004E2001" w:rsidRDefault="009C46F7" w:rsidP="0076592A">
      <w:pPr>
        <w:pStyle w:val="ListParagraph"/>
        <w:numPr>
          <w:ilvl w:val="1"/>
          <w:numId w:val="2"/>
        </w:numPr>
        <w:jc w:val="both"/>
      </w:pPr>
      <w:r w:rsidRPr="004E2001">
        <w:t xml:space="preserve">The PBAC noted </w:t>
      </w:r>
      <w:r w:rsidR="00CF0365" w:rsidRPr="004E2001">
        <w:t>t</w:t>
      </w:r>
      <w:r w:rsidRPr="004E2001">
        <w:t xml:space="preserve">he net cost to the PBS </w:t>
      </w:r>
      <w:r w:rsidR="00A9163E" w:rsidRPr="004E2001">
        <w:t>would</w:t>
      </w:r>
      <w:r w:rsidRPr="004E2001">
        <w:t xml:space="preserve"> reduce </w:t>
      </w:r>
      <w:r w:rsidR="00A9163E">
        <w:t xml:space="preserve">from that proposed in the submission, </w:t>
      </w:r>
      <w:r w:rsidRPr="004E2001">
        <w:t>once the effective pric</w:t>
      </w:r>
      <w:r w:rsidR="00087AE4" w:rsidRPr="004E2001">
        <w:t xml:space="preserve">e of </w:t>
      </w:r>
      <w:r w:rsidR="00AB7DA4" w:rsidRPr="004E2001">
        <w:t xml:space="preserve">exenatide and dulaglutide </w:t>
      </w:r>
      <w:r w:rsidR="00087AE4" w:rsidRPr="004E2001">
        <w:t>is applied</w:t>
      </w:r>
      <w:r w:rsidR="002469EE" w:rsidRPr="004E2001">
        <w:t xml:space="preserve"> and the semaglutide price is reduced based</w:t>
      </w:r>
      <w:r w:rsidR="00CC2234" w:rsidRPr="004E2001">
        <w:t xml:space="preserve"> on</w:t>
      </w:r>
      <w:r w:rsidR="002469EE" w:rsidRPr="004E2001">
        <w:t xml:space="preserve"> a cost-mini</w:t>
      </w:r>
      <w:r w:rsidR="00DA599D" w:rsidRPr="004E2001">
        <w:t>mi</w:t>
      </w:r>
      <w:r w:rsidR="002469EE" w:rsidRPr="004E2001">
        <w:t>sation to dulaglutide</w:t>
      </w:r>
      <w:r w:rsidR="00087AE4" w:rsidRPr="004E2001">
        <w:t>.</w:t>
      </w:r>
    </w:p>
    <w:p w:rsidR="00576972" w:rsidRPr="004E2001" w:rsidRDefault="00576972" w:rsidP="0076592A">
      <w:pPr>
        <w:pStyle w:val="Heading2"/>
        <w:spacing w:after="120"/>
      </w:pPr>
      <w:bookmarkStart w:id="16" w:name="_Toc19615261"/>
      <w:r w:rsidRPr="004E2001">
        <w:t>Quality Use of Medicines</w:t>
      </w:r>
      <w:bookmarkEnd w:id="16"/>
    </w:p>
    <w:p w:rsidR="00D009F4" w:rsidRPr="004E2001" w:rsidRDefault="00D009F4" w:rsidP="0076592A">
      <w:pPr>
        <w:pStyle w:val="ListParagraph"/>
        <w:numPr>
          <w:ilvl w:val="1"/>
          <w:numId w:val="2"/>
        </w:numPr>
        <w:jc w:val="both"/>
      </w:pPr>
      <w:r w:rsidRPr="004E2001">
        <w:t>The draft product information and additional post-market surveillance safety data include special warnings and precautions with semaglutide (injectable) due to its safety profile, particularly surrounding the management of gastrointestinal adverse events and diabetic retinopathy:</w:t>
      </w:r>
    </w:p>
    <w:p w:rsidR="00D009F4" w:rsidRPr="004E2001" w:rsidRDefault="00D009F4" w:rsidP="0076592A">
      <w:pPr>
        <w:pStyle w:val="ListParagraph"/>
        <w:numPr>
          <w:ilvl w:val="0"/>
          <w:numId w:val="10"/>
        </w:numPr>
        <w:ind w:left="1077" w:hanging="357"/>
        <w:jc w:val="both"/>
      </w:pPr>
      <w:r w:rsidRPr="004E2001">
        <w:t>Fixed dose escalation is recommended to improve gastrointestinal tolerability when initiating semaglutide treatment;</w:t>
      </w:r>
    </w:p>
    <w:p w:rsidR="00D009F4" w:rsidRPr="004E2001" w:rsidRDefault="00D009F4" w:rsidP="0076592A">
      <w:pPr>
        <w:pStyle w:val="ListParagraph"/>
        <w:numPr>
          <w:ilvl w:val="0"/>
          <w:numId w:val="10"/>
        </w:numPr>
        <w:ind w:left="1077" w:hanging="357"/>
        <w:jc w:val="both"/>
      </w:pPr>
      <w:r w:rsidRPr="004E2001">
        <w:t>Gastrointestinal effects may cause dehydration, which could cause a deterioration of renal function; and this should be considered in patients with impaired renal function;</w:t>
      </w:r>
    </w:p>
    <w:p w:rsidR="00D009F4" w:rsidRPr="004E2001" w:rsidRDefault="00D009F4" w:rsidP="0076592A">
      <w:pPr>
        <w:pStyle w:val="ListParagraph"/>
        <w:numPr>
          <w:ilvl w:val="0"/>
          <w:numId w:val="10"/>
        </w:numPr>
        <w:ind w:left="1077" w:hanging="357"/>
        <w:jc w:val="both"/>
      </w:pPr>
      <w:r w:rsidRPr="004E2001">
        <w:t>Gastrointestinal effects such as nausea, vomiting and diarrhoea may impact treatment compliance;</w:t>
      </w:r>
    </w:p>
    <w:p w:rsidR="00856D16" w:rsidRPr="004E2001" w:rsidRDefault="00D009F4" w:rsidP="0076592A">
      <w:pPr>
        <w:pStyle w:val="ListParagraph"/>
        <w:numPr>
          <w:ilvl w:val="0"/>
          <w:numId w:val="10"/>
        </w:numPr>
        <w:jc w:val="both"/>
      </w:pPr>
      <w:r w:rsidRPr="004E2001">
        <w:t xml:space="preserve">Temporary worsening of diabetic retinopathy is a known </w:t>
      </w:r>
      <w:r w:rsidR="00A64B49" w:rsidRPr="004E2001">
        <w:t>adverse</w:t>
      </w:r>
      <w:r w:rsidRPr="004E2001">
        <w:t xml:space="preserve"> e</w:t>
      </w:r>
      <w:r w:rsidR="00A64B49" w:rsidRPr="004E2001">
        <w:t>vent</w:t>
      </w:r>
      <w:r w:rsidRPr="004E2001">
        <w:t xml:space="preserve"> associated with rapid blood glucose reduction, particularly during treatment initiation</w:t>
      </w:r>
      <w:r w:rsidR="00223F73" w:rsidRPr="004E2001">
        <w:t>/titration</w:t>
      </w:r>
      <w:r w:rsidRPr="004E2001">
        <w:t xml:space="preserve">. Patients may require additional monitoring during </w:t>
      </w:r>
      <w:r w:rsidR="00A64B49" w:rsidRPr="004E2001">
        <w:t xml:space="preserve">treatment </w:t>
      </w:r>
      <w:r w:rsidR="00A64B49" w:rsidRPr="004E2001">
        <w:lastRenderedPageBreak/>
        <w:t xml:space="preserve">initiation/titration </w:t>
      </w:r>
      <w:r w:rsidRPr="004E2001">
        <w:t>and any detected changes in the retina should be appropriately managed in order to prevent further complications.  </w:t>
      </w:r>
    </w:p>
    <w:p w:rsidR="005027C1" w:rsidRPr="004E2001" w:rsidRDefault="00B94A47" w:rsidP="0076592A">
      <w:pPr>
        <w:pStyle w:val="BodyText"/>
        <w:spacing w:after="120"/>
        <w:jc w:val="both"/>
        <w:rPr>
          <w:rFonts w:asciiTheme="minorHAnsi" w:hAnsiTheme="minorHAnsi"/>
          <w:i/>
        </w:rPr>
      </w:pPr>
      <w:r w:rsidRPr="004E2001">
        <w:rPr>
          <w:rFonts w:asciiTheme="minorHAnsi" w:hAnsiTheme="minorHAnsi"/>
          <w:i/>
        </w:rPr>
        <w:t>For more detail on PBAC’s view, see section 7 PBAC outcome.</w:t>
      </w:r>
    </w:p>
    <w:p w:rsidR="005667A6" w:rsidRPr="004E2001" w:rsidRDefault="005667A6" w:rsidP="0076592A">
      <w:pPr>
        <w:pStyle w:val="2-SectionHeading"/>
        <w:jc w:val="both"/>
      </w:pPr>
      <w:r w:rsidRPr="004E2001">
        <w:t>PBAC Outcome</w:t>
      </w:r>
    </w:p>
    <w:p w:rsidR="005171AF" w:rsidRPr="004E2001" w:rsidRDefault="005F59B6" w:rsidP="0076592A">
      <w:pPr>
        <w:numPr>
          <w:ilvl w:val="1"/>
          <w:numId w:val="2"/>
        </w:numPr>
        <w:spacing w:after="120"/>
        <w:rPr>
          <w:rFonts w:asciiTheme="minorHAnsi" w:hAnsiTheme="minorHAnsi"/>
          <w:bCs/>
        </w:rPr>
      </w:pPr>
      <w:r w:rsidRPr="004E2001">
        <w:rPr>
          <w:rFonts w:asciiTheme="minorHAnsi" w:hAnsiTheme="minorHAnsi"/>
          <w:bCs/>
        </w:rPr>
        <w:t>The PBAC recommended the listing of semaglu</w:t>
      </w:r>
      <w:r w:rsidR="00B609CF" w:rsidRPr="004E2001">
        <w:rPr>
          <w:rFonts w:asciiTheme="minorHAnsi" w:hAnsiTheme="minorHAnsi"/>
          <w:bCs/>
        </w:rPr>
        <w:t>t</w:t>
      </w:r>
      <w:r w:rsidRPr="004E2001">
        <w:rPr>
          <w:rFonts w:asciiTheme="minorHAnsi" w:hAnsiTheme="minorHAnsi"/>
          <w:bCs/>
        </w:rPr>
        <w:t>ide</w:t>
      </w:r>
      <w:r w:rsidR="00C4581A" w:rsidRPr="004E2001">
        <w:rPr>
          <w:rFonts w:asciiTheme="minorHAnsi" w:hAnsiTheme="minorHAnsi"/>
          <w:bCs/>
        </w:rPr>
        <w:t xml:space="preserve"> (injectable</w:t>
      </w:r>
      <w:r w:rsidR="00C01016" w:rsidRPr="004E2001">
        <w:t>) for treatment of patients with type 2 diabetes who have inadequate glycaemic control, as dual therapy in combination with metformin or a sulfonylurea where either of these is contraindicated or not tolerated; or triple therapy in combination with metformin and a sulfonylurea.</w:t>
      </w:r>
    </w:p>
    <w:p w:rsidR="005171AF" w:rsidRPr="004E2001" w:rsidRDefault="005171AF" w:rsidP="0076592A">
      <w:pPr>
        <w:numPr>
          <w:ilvl w:val="1"/>
          <w:numId w:val="2"/>
        </w:numPr>
        <w:spacing w:after="120"/>
        <w:rPr>
          <w:rFonts w:asciiTheme="minorHAnsi" w:hAnsiTheme="minorHAnsi"/>
          <w:bCs/>
        </w:rPr>
      </w:pPr>
      <w:r w:rsidRPr="004E2001">
        <w:rPr>
          <w:rFonts w:asciiTheme="minorHAnsi" w:hAnsiTheme="minorHAnsi"/>
          <w:bCs/>
        </w:rPr>
        <w:t>The PBAC’s recommendation for listing was based on, among other matters, its assessment, as described above, that the cost-effectiveness of semaglutide would be acceptable if it were cost-minimised against dulaglutide.</w:t>
      </w:r>
    </w:p>
    <w:p w:rsidR="005F59B6" w:rsidRPr="004E2001" w:rsidRDefault="005171AF" w:rsidP="0076592A">
      <w:pPr>
        <w:numPr>
          <w:ilvl w:val="1"/>
          <w:numId w:val="2"/>
        </w:numPr>
        <w:spacing w:after="120"/>
        <w:rPr>
          <w:rFonts w:asciiTheme="minorHAnsi" w:hAnsiTheme="minorHAnsi"/>
          <w:bCs/>
        </w:rPr>
      </w:pPr>
      <w:r w:rsidRPr="004E2001">
        <w:rPr>
          <w:rFonts w:asciiTheme="minorHAnsi" w:hAnsiTheme="minorHAnsi"/>
          <w:bCs/>
        </w:rPr>
        <w:t xml:space="preserve">The PBAC recommended </w:t>
      </w:r>
      <w:r w:rsidR="00C01016" w:rsidRPr="004E2001">
        <w:rPr>
          <w:rFonts w:asciiTheme="minorHAnsi" w:hAnsiTheme="minorHAnsi"/>
          <w:bCs/>
        </w:rPr>
        <w:t xml:space="preserve">semaglutide be listed as </w:t>
      </w:r>
      <w:r w:rsidR="00B609CF" w:rsidRPr="004E2001">
        <w:rPr>
          <w:rFonts w:asciiTheme="minorHAnsi" w:hAnsiTheme="minorHAnsi"/>
          <w:bCs/>
        </w:rPr>
        <w:t>an Authority Required (</w:t>
      </w:r>
      <w:r w:rsidR="00482E8D" w:rsidRPr="004E2001">
        <w:rPr>
          <w:rFonts w:asciiTheme="minorHAnsi" w:hAnsiTheme="minorHAnsi"/>
          <w:bCs/>
        </w:rPr>
        <w:t>STREAMLINED</w:t>
      </w:r>
      <w:r w:rsidR="00B609CF" w:rsidRPr="004E2001">
        <w:rPr>
          <w:rFonts w:asciiTheme="minorHAnsi" w:hAnsiTheme="minorHAnsi"/>
          <w:bCs/>
        </w:rPr>
        <w:t>)</w:t>
      </w:r>
      <w:r w:rsidR="00D62DA4" w:rsidRPr="004E2001">
        <w:rPr>
          <w:rFonts w:asciiTheme="minorHAnsi" w:hAnsiTheme="minorHAnsi"/>
          <w:bCs/>
        </w:rPr>
        <w:t xml:space="preserve"> </w:t>
      </w:r>
      <w:r w:rsidR="00944B35" w:rsidRPr="004E2001">
        <w:rPr>
          <w:rFonts w:asciiTheme="minorHAnsi" w:hAnsiTheme="minorHAnsi"/>
          <w:bCs/>
        </w:rPr>
        <w:t xml:space="preserve">benefit </w:t>
      </w:r>
      <w:r w:rsidR="00C01016" w:rsidRPr="004E2001">
        <w:t>with</w:t>
      </w:r>
      <w:r w:rsidR="00D62DA4" w:rsidRPr="004E2001">
        <w:t xml:space="preserve"> a </w:t>
      </w:r>
      <w:r w:rsidR="00B609CF" w:rsidRPr="004E2001">
        <w:rPr>
          <w:rFonts w:asciiTheme="minorHAnsi" w:hAnsiTheme="minorHAnsi"/>
          <w:bCs/>
        </w:rPr>
        <w:t xml:space="preserve">maximum quantity of 1 pen device </w:t>
      </w:r>
      <w:r w:rsidR="00C01016" w:rsidRPr="004E2001">
        <w:rPr>
          <w:rFonts w:asciiTheme="minorHAnsi" w:hAnsiTheme="minorHAnsi"/>
          <w:bCs/>
        </w:rPr>
        <w:t>and</w:t>
      </w:r>
      <w:r w:rsidR="00B609CF" w:rsidRPr="004E2001">
        <w:rPr>
          <w:rFonts w:asciiTheme="minorHAnsi" w:hAnsiTheme="minorHAnsi"/>
          <w:bCs/>
        </w:rPr>
        <w:t xml:space="preserve"> 5 repeats.</w:t>
      </w:r>
    </w:p>
    <w:p w:rsidR="00C01016" w:rsidRPr="004E2001" w:rsidRDefault="009628F1" w:rsidP="0076592A">
      <w:pPr>
        <w:numPr>
          <w:ilvl w:val="1"/>
          <w:numId w:val="2"/>
        </w:numPr>
        <w:spacing w:after="120"/>
      </w:pPr>
      <w:r w:rsidRPr="004E2001">
        <w:rPr>
          <w:rFonts w:asciiTheme="minorHAnsi" w:hAnsiTheme="minorHAnsi"/>
          <w:bCs/>
        </w:rPr>
        <w:t xml:space="preserve">The PBAC </w:t>
      </w:r>
      <w:r w:rsidR="00C01016" w:rsidRPr="004E2001">
        <w:rPr>
          <w:rFonts w:asciiTheme="minorHAnsi" w:hAnsiTheme="minorHAnsi"/>
          <w:bCs/>
        </w:rPr>
        <w:t>advised</w:t>
      </w:r>
      <w:r w:rsidRPr="004E2001">
        <w:rPr>
          <w:rFonts w:asciiTheme="minorHAnsi" w:hAnsiTheme="minorHAnsi"/>
          <w:bCs/>
        </w:rPr>
        <w:t xml:space="preserve"> that both exenatide and dulaglutide should be considered comparators to semaglutide</w:t>
      </w:r>
      <w:r w:rsidR="00C01016" w:rsidRPr="004E2001">
        <w:rPr>
          <w:rFonts w:asciiTheme="minorHAnsi" w:hAnsiTheme="minorHAnsi"/>
          <w:bCs/>
        </w:rPr>
        <w:t xml:space="preserve">. </w:t>
      </w:r>
    </w:p>
    <w:p w:rsidR="006C6FA6" w:rsidRPr="004E2001" w:rsidRDefault="006C6FA6" w:rsidP="0076592A">
      <w:pPr>
        <w:numPr>
          <w:ilvl w:val="1"/>
          <w:numId w:val="2"/>
        </w:numPr>
        <w:spacing w:after="120"/>
        <w:rPr>
          <w:rFonts w:asciiTheme="minorHAnsi" w:hAnsiTheme="minorHAnsi"/>
          <w:bCs/>
        </w:rPr>
      </w:pPr>
      <w:r w:rsidRPr="004E2001">
        <w:rPr>
          <w:rFonts w:asciiTheme="minorHAnsi" w:hAnsiTheme="minorHAnsi"/>
          <w:bCs/>
        </w:rPr>
        <w:t xml:space="preserve">The PBAC noted the proposed MCIDs for HbA1c and weight loss in the submission but considered the clinical importance of the nominated MCIDs was unclear. The PBAC considered a 0.5% reduction in HbA1c as suggested by the ESC was more relevant than the 0.3% proposed by the submission for a superiority claim. This outcome was met for semaglutide 1.0 mg in the comparison with exenatide 2.0 mg in the SUSTAIN 3 trial, but was not </w:t>
      </w:r>
      <w:r w:rsidR="00473044" w:rsidRPr="004E2001">
        <w:rPr>
          <w:rFonts w:asciiTheme="minorHAnsi" w:hAnsiTheme="minorHAnsi"/>
          <w:bCs/>
        </w:rPr>
        <w:t xml:space="preserve">met </w:t>
      </w:r>
      <w:r w:rsidRPr="004E2001">
        <w:rPr>
          <w:rFonts w:asciiTheme="minorHAnsi" w:hAnsiTheme="minorHAnsi"/>
          <w:bCs/>
        </w:rPr>
        <w:t xml:space="preserve">in the comparison with dulaglutide 1.5 mg in SUSTAIN 7. </w:t>
      </w:r>
      <w:r w:rsidR="009D5FFF" w:rsidRPr="004E2001">
        <w:rPr>
          <w:rFonts w:asciiTheme="minorHAnsi" w:hAnsiTheme="minorHAnsi"/>
          <w:bCs/>
        </w:rPr>
        <w:t xml:space="preserve">However, in the context of the changing treatment algorithms based on patient-centred outcomes (see section 4 above), the clinical relevance of this </w:t>
      </w:r>
      <w:r w:rsidR="00D87873" w:rsidRPr="004E2001">
        <w:rPr>
          <w:rFonts w:asciiTheme="minorHAnsi" w:hAnsiTheme="minorHAnsi"/>
          <w:bCs/>
        </w:rPr>
        <w:t xml:space="preserve">surrogate </w:t>
      </w:r>
      <w:r w:rsidR="009D5FFF" w:rsidRPr="004E2001">
        <w:rPr>
          <w:rFonts w:asciiTheme="minorHAnsi" w:hAnsiTheme="minorHAnsi"/>
          <w:bCs/>
        </w:rPr>
        <w:t>outcome</w:t>
      </w:r>
      <w:r w:rsidR="00D87873" w:rsidRPr="004E2001">
        <w:rPr>
          <w:rFonts w:asciiTheme="minorHAnsi" w:hAnsiTheme="minorHAnsi"/>
          <w:bCs/>
        </w:rPr>
        <w:t xml:space="preserve"> may shift. </w:t>
      </w:r>
    </w:p>
    <w:p w:rsidR="006C6FA6" w:rsidRPr="004E2001" w:rsidRDefault="006C6FA6" w:rsidP="0076592A">
      <w:pPr>
        <w:numPr>
          <w:ilvl w:val="1"/>
          <w:numId w:val="2"/>
        </w:numPr>
        <w:spacing w:after="120"/>
        <w:rPr>
          <w:rFonts w:asciiTheme="minorHAnsi" w:hAnsiTheme="minorHAnsi"/>
          <w:bCs/>
        </w:rPr>
      </w:pPr>
      <w:r w:rsidRPr="004E2001">
        <w:rPr>
          <w:rFonts w:asciiTheme="minorHAnsi" w:hAnsiTheme="minorHAnsi"/>
          <w:bCs/>
        </w:rPr>
        <w:t>The PBAC considered the weight loss outcomes from the SUSTAIN trials in the context of how significant weight loss was specified in the r</w:t>
      </w:r>
      <w:r w:rsidR="006D488A" w:rsidRPr="004E2001">
        <w:rPr>
          <w:rFonts w:asciiTheme="minorHAnsi" w:hAnsiTheme="minorHAnsi"/>
          <w:bCs/>
        </w:rPr>
        <w:t>egulatory draft guidance</w:t>
      </w:r>
      <w:r w:rsidRPr="004E2001">
        <w:rPr>
          <w:rFonts w:asciiTheme="minorHAnsi" w:hAnsiTheme="minorHAnsi"/>
          <w:bCs/>
        </w:rPr>
        <w:t xml:space="preserve"> from the FDA (see paragraph 6.12). The PBAC </w:t>
      </w:r>
      <w:r w:rsidR="00C04019" w:rsidRPr="004E2001">
        <w:rPr>
          <w:rFonts w:asciiTheme="minorHAnsi" w:hAnsiTheme="minorHAnsi"/>
          <w:bCs/>
        </w:rPr>
        <w:t>noted</w:t>
      </w:r>
      <w:r w:rsidRPr="004E2001">
        <w:rPr>
          <w:rFonts w:asciiTheme="minorHAnsi" w:hAnsiTheme="minorHAnsi"/>
          <w:bCs/>
        </w:rPr>
        <w:t xml:space="preserve"> that </w:t>
      </w:r>
      <w:r w:rsidR="00C04019" w:rsidRPr="004E2001">
        <w:rPr>
          <w:rFonts w:asciiTheme="minorHAnsi" w:hAnsiTheme="minorHAnsi"/>
          <w:bCs/>
        </w:rPr>
        <w:t xml:space="preserve">when </w:t>
      </w:r>
      <w:r w:rsidR="00C04019" w:rsidRPr="004E2001">
        <w:t xml:space="preserve">using this suggested MCID for weight loss, </w:t>
      </w:r>
      <w:r w:rsidRPr="004E2001">
        <w:rPr>
          <w:rFonts w:asciiTheme="minorHAnsi" w:hAnsiTheme="minorHAnsi"/>
          <w:bCs/>
        </w:rPr>
        <w:t>in the comparisons against</w:t>
      </w:r>
      <w:r w:rsidR="00CC2234" w:rsidRPr="004E2001">
        <w:rPr>
          <w:rFonts w:asciiTheme="minorHAnsi" w:hAnsiTheme="minorHAnsi"/>
          <w:bCs/>
        </w:rPr>
        <w:t xml:space="preserve"> both</w:t>
      </w:r>
      <w:r w:rsidRPr="004E2001">
        <w:rPr>
          <w:rFonts w:asciiTheme="minorHAnsi" w:hAnsiTheme="minorHAnsi"/>
          <w:bCs/>
        </w:rPr>
        <w:t xml:space="preserve"> exenatide 2.0 mg and dulaglutide 1.5 mg, semaglutide 1.0 mg provided a meaningful difference in </w:t>
      </w:r>
      <w:r w:rsidR="00C04019" w:rsidRPr="004E2001">
        <w:rPr>
          <w:rFonts w:asciiTheme="minorHAnsi" w:hAnsiTheme="minorHAnsi"/>
          <w:bCs/>
        </w:rPr>
        <w:t>the proportion of pat</w:t>
      </w:r>
      <w:r w:rsidRPr="004E2001">
        <w:rPr>
          <w:rFonts w:asciiTheme="minorHAnsi" w:hAnsiTheme="minorHAnsi"/>
          <w:bCs/>
        </w:rPr>
        <w:t>i</w:t>
      </w:r>
      <w:r w:rsidR="00C04019" w:rsidRPr="004E2001">
        <w:rPr>
          <w:rFonts w:asciiTheme="minorHAnsi" w:hAnsiTheme="minorHAnsi"/>
          <w:bCs/>
        </w:rPr>
        <w:t>e</w:t>
      </w:r>
      <w:r w:rsidRPr="004E2001">
        <w:rPr>
          <w:rFonts w:asciiTheme="minorHAnsi" w:hAnsiTheme="minorHAnsi"/>
          <w:bCs/>
        </w:rPr>
        <w:t>n</w:t>
      </w:r>
      <w:r w:rsidR="00C04019" w:rsidRPr="004E2001">
        <w:rPr>
          <w:rFonts w:asciiTheme="minorHAnsi" w:hAnsiTheme="minorHAnsi"/>
          <w:bCs/>
        </w:rPr>
        <w:t>t</w:t>
      </w:r>
      <w:r w:rsidRPr="004E2001">
        <w:rPr>
          <w:rFonts w:asciiTheme="minorHAnsi" w:hAnsiTheme="minorHAnsi"/>
          <w:bCs/>
        </w:rPr>
        <w:t xml:space="preserve">s achieving </w:t>
      </w:r>
      <w:r w:rsidRPr="004E2001">
        <w:t>≥ 5% weight loss by study end</w:t>
      </w:r>
      <w:r w:rsidR="00C04019" w:rsidRPr="004E2001">
        <w:t xml:space="preserve"> </w:t>
      </w:r>
      <w:r w:rsidRPr="004E2001">
        <w:t>(56 weeks in SUSATIN 3 and 40 weeks in SUSTAIN 7).</w:t>
      </w:r>
      <w:r w:rsidRPr="004E2001">
        <w:rPr>
          <w:rFonts w:asciiTheme="minorHAnsi" w:hAnsiTheme="minorHAnsi"/>
          <w:bCs/>
        </w:rPr>
        <w:t xml:space="preserve"> However, the sustainability of this weight loss and its translation in</w:t>
      </w:r>
      <w:r w:rsidR="006D488A" w:rsidRPr="004E2001">
        <w:rPr>
          <w:rFonts w:asciiTheme="minorHAnsi" w:hAnsiTheme="minorHAnsi"/>
          <w:bCs/>
        </w:rPr>
        <w:t>to long-term clinical benefits remain</w:t>
      </w:r>
      <w:r w:rsidRPr="004E2001">
        <w:rPr>
          <w:rFonts w:asciiTheme="minorHAnsi" w:hAnsiTheme="minorHAnsi"/>
          <w:bCs/>
        </w:rPr>
        <w:t>s unclear</w:t>
      </w:r>
      <w:r w:rsidR="004E2001">
        <w:rPr>
          <w:rFonts w:asciiTheme="minorHAnsi" w:hAnsiTheme="minorHAnsi"/>
          <w:bCs/>
        </w:rPr>
        <w:t xml:space="preserve">. </w:t>
      </w:r>
    </w:p>
    <w:p w:rsidR="00671FC1" w:rsidRPr="004E2001" w:rsidRDefault="00671FC1" w:rsidP="0076592A">
      <w:pPr>
        <w:numPr>
          <w:ilvl w:val="1"/>
          <w:numId w:val="2"/>
        </w:numPr>
        <w:spacing w:after="120"/>
        <w:rPr>
          <w:rFonts w:asciiTheme="minorHAnsi" w:hAnsiTheme="minorHAnsi"/>
          <w:bCs/>
        </w:rPr>
      </w:pPr>
      <w:r w:rsidRPr="004E2001">
        <w:rPr>
          <w:rFonts w:asciiTheme="minorHAnsi" w:hAnsiTheme="minorHAnsi"/>
          <w:bCs/>
        </w:rPr>
        <w:t xml:space="preserve">The PBAC considered that the baseline HbA1c and weight of the clinical trial populations were greater than the Australian population presenting in general practice and that the results expected from treatment may </w:t>
      </w:r>
      <w:r w:rsidR="006D488A" w:rsidRPr="004E2001">
        <w:rPr>
          <w:rFonts w:asciiTheme="minorHAnsi" w:hAnsiTheme="minorHAnsi"/>
          <w:bCs/>
        </w:rPr>
        <w:t xml:space="preserve">therefore </w:t>
      </w:r>
      <w:r w:rsidRPr="004E2001">
        <w:rPr>
          <w:rFonts w:asciiTheme="minorHAnsi" w:hAnsiTheme="minorHAnsi"/>
          <w:bCs/>
        </w:rPr>
        <w:t xml:space="preserve">be lower than seen in the SUSTAIN trials. </w:t>
      </w:r>
    </w:p>
    <w:p w:rsidR="006201AF" w:rsidRPr="004E2001" w:rsidRDefault="006201AF" w:rsidP="0076592A">
      <w:pPr>
        <w:pStyle w:val="ListParagraph"/>
        <w:numPr>
          <w:ilvl w:val="1"/>
          <w:numId w:val="2"/>
        </w:numPr>
        <w:jc w:val="both"/>
      </w:pPr>
      <w:r w:rsidRPr="004E2001">
        <w:rPr>
          <w:bCs/>
        </w:rPr>
        <w:lastRenderedPageBreak/>
        <w:t xml:space="preserve">The PBAC noted the inclusion of the cardiovascular outcomes trial SUSTAIN 6. The PBAC </w:t>
      </w:r>
      <w:r w:rsidR="00765AE5" w:rsidRPr="004E2001">
        <w:rPr>
          <w:bCs/>
        </w:rPr>
        <w:t>not</w:t>
      </w:r>
      <w:r w:rsidRPr="004E2001">
        <w:rPr>
          <w:bCs/>
        </w:rPr>
        <w:t>ed th</w:t>
      </w:r>
      <w:r w:rsidR="00CC2234" w:rsidRPr="004E2001">
        <w:rPr>
          <w:bCs/>
        </w:rPr>
        <w:t>at</w:t>
      </w:r>
      <w:r w:rsidRPr="004E2001">
        <w:rPr>
          <w:bCs/>
        </w:rPr>
        <w:t xml:space="preserve"> </w:t>
      </w:r>
      <w:r w:rsidRPr="004E2001">
        <w:t xml:space="preserve">treatment with semaglutide (0.5 mg or 1.0 mg) was not associated with an increased risk of cardiovascular events compared with placebo based on the 3 point MACE outcome (HR 0.74; 95% CI 0.58, 0.95; p &lt; 0.001 for non-inferiority). </w:t>
      </w:r>
      <w:r w:rsidR="00765AE5" w:rsidRPr="004E2001">
        <w:t>The PBAC consider</w:t>
      </w:r>
      <w:r w:rsidR="006D488A" w:rsidRPr="004E2001">
        <w:t>e</w:t>
      </w:r>
      <w:r w:rsidR="00765AE5" w:rsidRPr="004E2001">
        <w:t xml:space="preserve">d the interpretation of the </w:t>
      </w:r>
      <w:r w:rsidR="006D488A" w:rsidRPr="004E2001">
        <w:t xml:space="preserve">positive </w:t>
      </w:r>
      <w:r w:rsidR="00765AE5" w:rsidRPr="004E2001">
        <w:t>results was limited due to: t</w:t>
      </w:r>
      <w:r w:rsidRPr="004E2001">
        <w:t xml:space="preserve">he results </w:t>
      </w:r>
      <w:r w:rsidR="00765AE5" w:rsidRPr="004E2001">
        <w:t>being</w:t>
      </w:r>
      <w:r w:rsidRPr="004E2001">
        <w:t xml:space="preserve"> primarily driven by a decrease in the risk of non-fatal stroke and non-fatal myocardial infarction</w:t>
      </w:r>
      <w:r w:rsidR="00765AE5" w:rsidRPr="004E2001">
        <w:t xml:space="preserve"> (no difference in cardiovascular deaths); t</w:t>
      </w:r>
      <w:r w:rsidRPr="004E2001">
        <w:t>esting for superiority for the primary outcome was conducted post-hoc and not adjusted for multiplicity</w:t>
      </w:r>
      <w:r w:rsidR="00765AE5" w:rsidRPr="004E2001">
        <w:t xml:space="preserve">; and median duration of follow-up was </w:t>
      </w:r>
      <w:r w:rsidR="006D488A" w:rsidRPr="004E2001">
        <w:t xml:space="preserve">only </w:t>
      </w:r>
      <w:r w:rsidR="00765AE5" w:rsidRPr="004E2001">
        <w:t>2.1 years</w:t>
      </w:r>
      <w:r w:rsidRPr="004E2001">
        <w:t xml:space="preserve">. </w:t>
      </w:r>
    </w:p>
    <w:p w:rsidR="006C6FA6" w:rsidRPr="004E2001" w:rsidRDefault="006C6FA6" w:rsidP="0076592A">
      <w:pPr>
        <w:numPr>
          <w:ilvl w:val="1"/>
          <w:numId w:val="2"/>
        </w:numPr>
        <w:spacing w:after="120"/>
        <w:rPr>
          <w:rFonts w:asciiTheme="minorHAnsi" w:hAnsiTheme="minorHAnsi"/>
          <w:bCs/>
        </w:rPr>
      </w:pPr>
      <w:r w:rsidRPr="004E2001">
        <w:rPr>
          <w:rFonts w:asciiTheme="minorHAnsi" w:hAnsiTheme="minorHAnsi"/>
          <w:bCs/>
        </w:rPr>
        <w:t xml:space="preserve">The PBAC noted </w:t>
      </w:r>
      <w:r w:rsidR="00F46F8C" w:rsidRPr="004E2001">
        <w:t>an increased risk of diabetic retinopathy complications compared with placebo in the SUSTAIN 6 trial (HR 1.76, 95% CI 1.11, 2.78).</w:t>
      </w:r>
      <w:r w:rsidRPr="004E2001">
        <w:rPr>
          <w:rFonts w:asciiTheme="minorHAnsi" w:hAnsiTheme="minorHAnsi"/>
          <w:bCs/>
        </w:rPr>
        <w:t xml:space="preserve"> </w:t>
      </w:r>
      <w:r w:rsidR="005E42D0" w:rsidRPr="004E2001">
        <w:rPr>
          <w:rFonts w:asciiTheme="minorHAnsi" w:hAnsiTheme="minorHAnsi"/>
          <w:bCs/>
        </w:rPr>
        <w:t xml:space="preserve">It was also noted there were higher rates of gastrointestinal adverse events for semaglutide 1.0 mg compared to exenatide 2.0 mg. </w:t>
      </w:r>
      <w:r w:rsidR="00F46F8C" w:rsidRPr="004E2001">
        <w:rPr>
          <w:rFonts w:asciiTheme="minorHAnsi" w:hAnsiTheme="minorHAnsi"/>
          <w:bCs/>
        </w:rPr>
        <w:t>H</w:t>
      </w:r>
      <w:r w:rsidRPr="004E2001">
        <w:rPr>
          <w:rFonts w:asciiTheme="minorHAnsi" w:hAnsiTheme="minorHAnsi"/>
          <w:bCs/>
        </w:rPr>
        <w:t>owever</w:t>
      </w:r>
      <w:r w:rsidR="00F46F8C" w:rsidRPr="004E2001">
        <w:rPr>
          <w:rFonts w:asciiTheme="minorHAnsi" w:hAnsiTheme="minorHAnsi"/>
          <w:bCs/>
        </w:rPr>
        <w:t>,</w:t>
      </w:r>
      <w:r w:rsidRPr="004E2001">
        <w:rPr>
          <w:rFonts w:asciiTheme="minorHAnsi" w:hAnsiTheme="minorHAnsi"/>
          <w:bCs/>
        </w:rPr>
        <w:t xml:space="preserve"> </w:t>
      </w:r>
      <w:r w:rsidR="005E42D0" w:rsidRPr="004E2001">
        <w:rPr>
          <w:rFonts w:asciiTheme="minorHAnsi" w:hAnsiTheme="minorHAnsi"/>
          <w:bCs/>
        </w:rPr>
        <w:t>on balance</w:t>
      </w:r>
      <w:r w:rsidRPr="004E2001">
        <w:rPr>
          <w:rFonts w:asciiTheme="minorHAnsi" w:hAnsiTheme="minorHAnsi"/>
          <w:bCs/>
        </w:rPr>
        <w:t xml:space="preserve"> it was considered that the claim of non-inferior safety was reasonable for sem</w:t>
      </w:r>
      <w:r w:rsidR="00CC2234" w:rsidRPr="004E2001">
        <w:rPr>
          <w:rFonts w:asciiTheme="minorHAnsi" w:hAnsiTheme="minorHAnsi"/>
          <w:bCs/>
        </w:rPr>
        <w:t>a</w:t>
      </w:r>
      <w:r w:rsidRPr="004E2001">
        <w:rPr>
          <w:rFonts w:asciiTheme="minorHAnsi" w:hAnsiTheme="minorHAnsi"/>
          <w:bCs/>
        </w:rPr>
        <w:t>glutide 1.0 mg compared to both exenatide 2.0 mg and dulaglutide 1.5 mg</w:t>
      </w:r>
      <w:r w:rsidR="00E82105">
        <w:rPr>
          <w:rFonts w:asciiTheme="minorHAnsi" w:hAnsiTheme="minorHAnsi"/>
          <w:bCs/>
        </w:rPr>
        <w:t xml:space="preserve"> noting that there may be an increased number of </w:t>
      </w:r>
      <w:r w:rsidR="00AA0860">
        <w:rPr>
          <w:rFonts w:asciiTheme="minorHAnsi" w:hAnsiTheme="minorHAnsi"/>
          <w:bCs/>
        </w:rPr>
        <w:t>gastrointestinal</w:t>
      </w:r>
      <w:r w:rsidR="00E82105">
        <w:rPr>
          <w:rFonts w:asciiTheme="minorHAnsi" w:hAnsiTheme="minorHAnsi"/>
          <w:bCs/>
        </w:rPr>
        <w:t xml:space="preserve"> events </w:t>
      </w:r>
      <w:r w:rsidR="00AA0860">
        <w:rPr>
          <w:rFonts w:asciiTheme="minorHAnsi" w:hAnsiTheme="minorHAnsi"/>
          <w:bCs/>
        </w:rPr>
        <w:t xml:space="preserve">with semaglutide 1.0 mg </w:t>
      </w:r>
      <w:r w:rsidR="00E82105">
        <w:rPr>
          <w:rFonts w:asciiTheme="minorHAnsi" w:hAnsiTheme="minorHAnsi"/>
          <w:bCs/>
        </w:rPr>
        <w:t>compared to exenatide</w:t>
      </w:r>
      <w:r w:rsidR="00AA0860">
        <w:rPr>
          <w:rFonts w:asciiTheme="minorHAnsi" w:hAnsiTheme="minorHAnsi"/>
          <w:bCs/>
        </w:rPr>
        <w:t xml:space="preserve"> 2.0 mg</w:t>
      </w:r>
      <w:r w:rsidR="004E2001">
        <w:rPr>
          <w:rFonts w:asciiTheme="minorHAnsi" w:hAnsiTheme="minorHAnsi"/>
          <w:bCs/>
        </w:rPr>
        <w:t xml:space="preserve">. </w:t>
      </w:r>
      <w:r w:rsidRPr="004E2001">
        <w:rPr>
          <w:rFonts w:asciiTheme="minorHAnsi" w:hAnsiTheme="minorHAnsi"/>
          <w:bCs/>
        </w:rPr>
        <w:t xml:space="preserve"> </w:t>
      </w:r>
    </w:p>
    <w:p w:rsidR="00087AE4" w:rsidRPr="004E2001" w:rsidRDefault="00C01016" w:rsidP="0076592A">
      <w:pPr>
        <w:numPr>
          <w:ilvl w:val="1"/>
          <w:numId w:val="2"/>
        </w:numPr>
        <w:spacing w:after="120"/>
        <w:rPr>
          <w:rFonts w:asciiTheme="minorHAnsi" w:hAnsiTheme="minorHAnsi"/>
          <w:bCs/>
        </w:rPr>
      </w:pPr>
      <w:r w:rsidRPr="004E2001">
        <w:rPr>
          <w:rFonts w:asciiTheme="minorHAnsi" w:hAnsiTheme="minorHAnsi"/>
          <w:bCs/>
        </w:rPr>
        <w:t>U</w:t>
      </w:r>
      <w:r w:rsidRPr="004E2001">
        <w:t xml:space="preserve">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The PBAC considered </w:t>
      </w:r>
      <w:r w:rsidR="00C4581A" w:rsidRPr="004E2001">
        <w:rPr>
          <w:rFonts w:asciiTheme="minorHAnsi" w:hAnsiTheme="minorHAnsi"/>
          <w:bCs/>
        </w:rPr>
        <w:t>that there was insufficient evidence to accept a superiority claim</w:t>
      </w:r>
      <w:r w:rsidRPr="004E2001">
        <w:rPr>
          <w:rFonts w:asciiTheme="minorHAnsi" w:hAnsiTheme="minorHAnsi"/>
          <w:bCs/>
        </w:rPr>
        <w:t xml:space="preserve"> for semaglutide</w:t>
      </w:r>
      <w:r w:rsidR="00C4581A" w:rsidRPr="004E2001">
        <w:rPr>
          <w:rFonts w:asciiTheme="minorHAnsi" w:hAnsiTheme="minorHAnsi"/>
          <w:bCs/>
        </w:rPr>
        <w:t xml:space="preserve"> over dulaglutide</w:t>
      </w:r>
      <w:r w:rsidR="00D62DA4" w:rsidRPr="004E2001">
        <w:rPr>
          <w:rFonts w:asciiTheme="minorHAnsi" w:hAnsiTheme="minorHAnsi"/>
          <w:bCs/>
        </w:rPr>
        <w:t xml:space="preserve"> </w:t>
      </w:r>
      <w:r w:rsidR="00D62DA4" w:rsidRPr="004E2001">
        <w:rPr>
          <w:bCs/>
        </w:rPr>
        <w:t xml:space="preserve">and that </w:t>
      </w:r>
      <w:r w:rsidR="00D62DA4" w:rsidRPr="004E2001">
        <w:rPr>
          <w:rFonts w:asciiTheme="minorHAnsi" w:hAnsiTheme="minorHAnsi"/>
          <w:bCs/>
        </w:rPr>
        <w:t>there was low certainty in the modelled benefits</w:t>
      </w:r>
      <w:r w:rsidR="007D3FF0" w:rsidRPr="004E2001">
        <w:rPr>
          <w:rFonts w:asciiTheme="minorHAnsi" w:hAnsiTheme="minorHAnsi"/>
          <w:bCs/>
        </w:rPr>
        <w:t xml:space="preserve"> over both exenatide and dulaglutide</w:t>
      </w:r>
      <w:r w:rsidR="00D62DA4" w:rsidRPr="004E2001">
        <w:rPr>
          <w:rFonts w:asciiTheme="minorHAnsi" w:hAnsiTheme="minorHAnsi"/>
          <w:bCs/>
        </w:rPr>
        <w:t xml:space="preserve">. </w:t>
      </w:r>
      <w:r w:rsidR="00107EC1" w:rsidRPr="004E2001">
        <w:rPr>
          <w:rFonts w:asciiTheme="minorHAnsi" w:hAnsiTheme="minorHAnsi"/>
          <w:bCs/>
        </w:rPr>
        <w:t>The PBAC therefore recommended semaglutide on the basis of non-inferiority to dulaglutide.</w:t>
      </w:r>
    </w:p>
    <w:p w:rsidR="00A3241D" w:rsidRPr="004E2001" w:rsidRDefault="003C5265" w:rsidP="0076592A">
      <w:pPr>
        <w:pStyle w:val="ListParagraph"/>
        <w:numPr>
          <w:ilvl w:val="1"/>
          <w:numId w:val="2"/>
        </w:numPr>
        <w:spacing w:before="120"/>
        <w:jc w:val="both"/>
      </w:pPr>
      <w:r w:rsidRPr="004E2001">
        <w:rPr>
          <w:bCs/>
        </w:rPr>
        <w:t xml:space="preserve">The PBAC noted that the effects of semaglutide compared to dulaglutide </w:t>
      </w:r>
      <w:r w:rsidR="00A313AE" w:rsidRPr="004E2001">
        <w:rPr>
          <w:bCs/>
        </w:rPr>
        <w:t xml:space="preserve">1.5 mg </w:t>
      </w:r>
      <w:r w:rsidRPr="004E2001">
        <w:rPr>
          <w:bCs/>
        </w:rPr>
        <w:t>are attenuated if not titrated to the maximum dose (1</w:t>
      </w:r>
      <w:r w:rsidR="00E54E4A" w:rsidRPr="004E2001">
        <w:rPr>
          <w:bCs/>
        </w:rPr>
        <w:t xml:space="preserve">.0 </w:t>
      </w:r>
      <w:r w:rsidRPr="004E2001">
        <w:rPr>
          <w:bCs/>
        </w:rPr>
        <w:t xml:space="preserve">mg). The PBAC considered that this was an important consideration due to the high </w:t>
      </w:r>
      <w:r w:rsidR="009E612B" w:rsidRPr="004E2001">
        <w:rPr>
          <w:bCs/>
        </w:rPr>
        <w:t>gastrointestinal</w:t>
      </w:r>
      <w:r w:rsidRPr="004E2001">
        <w:rPr>
          <w:bCs/>
        </w:rPr>
        <w:t xml:space="preserve"> side effect profile of semaglutide 1</w:t>
      </w:r>
      <w:r w:rsidR="00E54E4A" w:rsidRPr="004E2001">
        <w:rPr>
          <w:bCs/>
        </w:rPr>
        <w:t xml:space="preserve">.0 </w:t>
      </w:r>
      <w:r w:rsidR="00482E8D" w:rsidRPr="004E2001">
        <w:rPr>
          <w:bCs/>
        </w:rPr>
        <w:t xml:space="preserve">mg and </w:t>
      </w:r>
      <w:r w:rsidR="00C01016" w:rsidRPr="004E2001">
        <w:rPr>
          <w:bCs/>
        </w:rPr>
        <w:t xml:space="preserve">that it was probable that </w:t>
      </w:r>
      <w:r w:rsidR="007D3FF0" w:rsidRPr="004E2001">
        <w:rPr>
          <w:bCs/>
        </w:rPr>
        <w:t xml:space="preserve">a substantial number of </w:t>
      </w:r>
      <w:r w:rsidR="00C01016" w:rsidRPr="004E2001">
        <w:rPr>
          <w:bCs/>
        </w:rPr>
        <w:t xml:space="preserve">patients will use semaglutide 0.5 mg </w:t>
      </w:r>
      <w:r w:rsidR="007D3FF0" w:rsidRPr="004E2001">
        <w:rPr>
          <w:bCs/>
        </w:rPr>
        <w:t xml:space="preserve">in preference to the 1.0 mg strength </w:t>
      </w:r>
      <w:r w:rsidR="00C01016" w:rsidRPr="004E2001">
        <w:rPr>
          <w:bCs/>
        </w:rPr>
        <w:t>due to the relatively high response rates to HbA1c and weight loss targets</w:t>
      </w:r>
      <w:r w:rsidR="00482E8D" w:rsidRPr="004E2001">
        <w:rPr>
          <w:bCs/>
        </w:rPr>
        <w:t>.</w:t>
      </w:r>
      <w:r w:rsidR="00A3241D" w:rsidRPr="004E2001">
        <w:rPr>
          <w:bCs/>
        </w:rPr>
        <w:t xml:space="preserve"> </w:t>
      </w:r>
      <w:r w:rsidR="00E7675B" w:rsidRPr="004E2001">
        <w:rPr>
          <w:bCs/>
        </w:rPr>
        <w:t xml:space="preserve">The PBAC noted the </w:t>
      </w:r>
      <w:r w:rsidR="00DA599D" w:rsidRPr="004E2001">
        <w:rPr>
          <w:bCs/>
        </w:rPr>
        <w:t>availability</w:t>
      </w:r>
      <w:r w:rsidR="00E7675B" w:rsidRPr="004E2001">
        <w:rPr>
          <w:bCs/>
        </w:rPr>
        <w:t xml:space="preserve"> of semaglutide in overseas markets could have provided some information on the proportion of use of the 0.5 mg versus 1 mg strength in clinical practice. </w:t>
      </w:r>
    </w:p>
    <w:p w:rsidR="00775915" w:rsidRPr="004E2001" w:rsidRDefault="00107EC1" w:rsidP="0076592A">
      <w:pPr>
        <w:pStyle w:val="ListParagraph"/>
        <w:numPr>
          <w:ilvl w:val="1"/>
          <w:numId w:val="2"/>
        </w:numPr>
        <w:jc w:val="both"/>
      </w:pPr>
      <w:r w:rsidRPr="004E2001">
        <w:t>The cost-utility analysis presented by the submission was not accepted given the clinical claim of superiority was not adequately supported. The PBAC noted the issues raised by the ESC and the evaluation with respect to the uncertainty in the drivers including disutil</w:t>
      </w:r>
      <w:r w:rsidR="00CC2234" w:rsidRPr="004E2001">
        <w:t>i</w:t>
      </w:r>
      <w:r w:rsidRPr="004E2001">
        <w:t>ties due to insulin use, weight change and hypoglycaemia (see Table 13 above)</w:t>
      </w:r>
      <w:r w:rsidR="004E2001">
        <w:t xml:space="preserve">. </w:t>
      </w:r>
    </w:p>
    <w:p w:rsidR="00775915" w:rsidRPr="004E2001" w:rsidRDefault="00775915" w:rsidP="0076592A">
      <w:pPr>
        <w:pStyle w:val="ListParagraph"/>
        <w:numPr>
          <w:ilvl w:val="1"/>
          <w:numId w:val="2"/>
        </w:numPr>
        <w:jc w:val="both"/>
        <w:rPr>
          <w:rFonts w:cstheme="minorHAnsi"/>
        </w:rPr>
      </w:pPr>
      <w:r w:rsidRPr="004E2001">
        <w:rPr>
          <w:rFonts w:cstheme="minorHAnsi"/>
        </w:rPr>
        <w:t xml:space="preserve">The Pre-PBAC Response stated that if the PBAC did not support the cost-utility approach, alternative recognition in the form of a price advantage, reflecting the mix of clinically relevant benefits in terms of HbA1c over exenatide and weight loss over </w:t>
      </w:r>
      <w:r w:rsidRPr="004E2001">
        <w:rPr>
          <w:rFonts w:cstheme="minorHAnsi"/>
        </w:rPr>
        <w:lastRenderedPageBreak/>
        <w:t>both comparators, with different but comparable safety, would be appropriate. The PBAC did not accept that a price premium was warranted given superiority was not accepted and the sustainability and clinical meaning of any initial benefit in weight loss was uncertain.</w:t>
      </w:r>
    </w:p>
    <w:p w:rsidR="00615101" w:rsidRPr="00CF4D40" w:rsidRDefault="006749E7" w:rsidP="0076592A">
      <w:pPr>
        <w:pStyle w:val="ListParagraph"/>
        <w:numPr>
          <w:ilvl w:val="1"/>
          <w:numId w:val="2"/>
        </w:numPr>
        <w:spacing w:before="120"/>
        <w:jc w:val="both"/>
      </w:pPr>
      <w:r w:rsidRPr="004E2001">
        <w:rPr>
          <w:bCs/>
        </w:rPr>
        <w:t>T</w:t>
      </w:r>
      <w:r w:rsidR="00000156" w:rsidRPr="004E2001">
        <w:rPr>
          <w:bCs/>
        </w:rPr>
        <w:t xml:space="preserve">he </w:t>
      </w:r>
      <w:r w:rsidRPr="00CF4D40">
        <w:rPr>
          <w:bCs/>
        </w:rPr>
        <w:t xml:space="preserve">recommended </w:t>
      </w:r>
      <w:r w:rsidR="00000156" w:rsidRPr="00CF4D40">
        <w:rPr>
          <w:bCs/>
        </w:rPr>
        <w:t>equi-effective doses</w:t>
      </w:r>
      <w:r w:rsidRPr="00CF4D40">
        <w:rPr>
          <w:bCs/>
        </w:rPr>
        <w:t xml:space="preserve"> for the cost-mini</w:t>
      </w:r>
      <w:r w:rsidR="00DA599D" w:rsidRPr="00CF4D40">
        <w:rPr>
          <w:bCs/>
        </w:rPr>
        <w:t>mi</w:t>
      </w:r>
      <w:r w:rsidRPr="00CF4D40">
        <w:rPr>
          <w:bCs/>
        </w:rPr>
        <w:t>sation</w:t>
      </w:r>
      <w:r w:rsidR="00DA599D" w:rsidRPr="00CF4D40">
        <w:rPr>
          <w:bCs/>
        </w:rPr>
        <w:t xml:space="preserve"> </w:t>
      </w:r>
      <w:r w:rsidRPr="00CF4D40">
        <w:rPr>
          <w:bCs/>
        </w:rPr>
        <w:t>to dulaglutide are</w:t>
      </w:r>
      <w:r w:rsidR="00CF4D40" w:rsidRPr="00CF4D40">
        <w:rPr>
          <w:bCs/>
        </w:rPr>
        <w:t xml:space="preserve"> as follows</w:t>
      </w:r>
      <w:r w:rsidR="00000156" w:rsidRPr="00CF4D40">
        <w:rPr>
          <w:bCs/>
        </w:rPr>
        <w:t>:</w:t>
      </w:r>
      <w:r w:rsidRPr="00CF4D40">
        <w:rPr>
          <w:bCs/>
        </w:rPr>
        <w:t xml:space="preserve"> </w:t>
      </w:r>
      <w:r w:rsidR="00CF4D40" w:rsidRPr="00CF4D40">
        <w:t>when used in combination with metformin (dual therapy) and in combination with metformin plus a sulfonylurea (triple therapy)</w:t>
      </w:r>
      <w:r w:rsidR="001E69FD">
        <w:t xml:space="preserve"> </w:t>
      </w:r>
      <w:r w:rsidRPr="00CF4D40">
        <w:rPr>
          <w:bCs/>
        </w:rPr>
        <w:t xml:space="preserve">semaglutide 1.0 mg </w:t>
      </w:r>
      <w:r w:rsidR="00CC2234" w:rsidRPr="00CF4D40">
        <w:rPr>
          <w:bCs/>
        </w:rPr>
        <w:t xml:space="preserve">once weekly </w:t>
      </w:r>
      <w:r w:rsidRPr="00CF4D40">
        <w:rPr>
          <w:bCs/>
        </w:rPr>
        <w:t>is equi-effective to dulaglutide 1.5 mg</w:t>
      </w:r>
      <w:r w:rsidR="00CC2234" w:rsidRPr="00CF4D40">
        <w:rPr>
          <w:bCs/>
        </w:rPr>
        <w:t xml:space="preserve"> once weekly</w:t>
      </w:r>
      <w:r w:rsidRPr="00CF4D40">
        <w:rPr>
          <w:bCs/>
        </w:rPr>
        <w:t>.</w:t>
      </w:r>
      <w:r w:rsidR="00615101" w:rsidRPr="00CF4D40">
        <w:rPr>
          <w:bCs/>
        </w:rPr>
        <w:t xml:space="preserve"> </w:t>
      </w:r>
    </w:p>
    <w:p w:rsidR="00000156" w:rsidRPr="004E2001" w:rsidRDefault="00000156" w:rsidP="0076592A">
      <w:pPr>
        <w:pStyle w:val="ListParagraph"/>
        <w:numPr>
          <w:ilvl w:val="1"/>
          <w:numId w:val="2"/>
        </w:numPr>
        <w:spacing w:before="120"/>
        <w:jc w:val="both"/>
      </w:pPr>
      <w:r w:rsidRPr="004E2001">
        <w:rPr>
          <w:bCs/>
        </w:rPr>
        <w:t xml:space="preserve">The PBAC did not consider that the </w:t>
      </w:r>
      <w:r w:rsidRPr="004E2001">
        <w:t xml:space="preserve">proposal for the same price for both presentations of semaglutide </w:t>
      </w:r>
      <w:r w:rsidRPr="004E2001">
        <w:rPr>
          <w:bCs/>
        </w:rPr>
        <w:t xml:space="preserve">was supported and </w:t>
      </w:r>
      <w:r w:rsidRPr="004E2001">
        <w:t xml:space="preserve">pricing </w:t>
      </w:r>
      <w:r w:rsidRPr="004E2001">
        <w:rPr>
          <w:rFonts w:cs="Calibri"/>
          <w:snapToGrid/>
        </w:rPr>
        <w:t xml:space="preserve">of the </w:t>
      </w:r>
      <w:r w:rsidR="006749E7" w:rsidRPr="004E2001">
        <w:rPr>
          <w:rFonts w:cs="Calibri"/>
          <w:snapToGrid/>
        </w:rPr>
        <w:t>0.5 mg</w:t>
      </w:r>
      <w:r w:rsidRPr="004E2001">
        <w:rPr>
          <w:rFonts w:cs="Calibri"/>
          <w:snapToGrid/>
        </w:rPr>
        <w:t xml:space="preserve"> dose of semaglutide would be determined by the Department according to usual methods.</w:t>
      </w:r>
      <w:r w:rsidRPr="004E2001">
        <w:t xml:space="preserve"> </w:t>
      </w:r>
    </w:p>
    <w:p w:rsidR="001938F1" w:rsidRPr="004E2001" w:rsidRDefault="001938F1" w:rsidP="0076592A">
      <w:pPr>
        <w:pStyle w:val="ListParagraph"/>
        <w:numPr>
          <w:ilvl w:val="1"/>
          <w:numId w:val="2"/>
        </w:numPr>
        <w:jc w:val="both"/>
      </w:pPr>
      <w:r w:rsidRPr="004E2001">
        <w:t xml:space="preserve">The PBAC </w:t>
      </w:r>
      <w:r w:rsidR="00C01016" w:rsidRPr="004E2001">
        <w:t>considered</w:t>
      </w:r>
      <w:r w:rsidRPr="004E2001">
        <w:t xml:space="preserve"> that the estimated cost of listing semaglutide on the PBS was associated with significant uncertainties due to a substantially underestimated size and projected growth of the DPP4/SGLT2 inhibitor market, highly uncertain GLP-1 market dynamics, cost-offsets attributed to delay in insulin use and assumed substitution rates used to estimate cost-offsets. </w:t>
      </w:r>
      <w:r w:rsidR="006749E7" w:rsidRPr="004E2001">
        <w:t xml:space="preserve">With the cost per patient of semaglutide 1.0 mg the same as dulaglutide 1.5 mg, the </w:t>
      </w:r>
      <w:r w:rsidR="00DA599D" w:rsidRPr="004E2001">
        <w:t>overall</w:t>
      </w:r>
      <w:r w:rsidR="006749E7" w:rsidRPr="004E2001">
        <w:t xml:space="preserve"> financial impact will be closer to nil. </w:t>
      </w:r>
    </w:p>
    <w:p w:rsidR="00D62DA4" w:rsidRPr="004E2001" w:rsidRDefault="00D62DA4" w:rsidP="0076592A">
      <w:pPr>
        <w:numPr>
          <w:ilvl w:val="1"/>
          <w:numId w:val="2"/>
        </w:numPr>
        <w:spacing w:after="120"/>
        <w:rPr>
          <w:rFonts w:asciiTheme="minorHAnsi" w:hAnsiTheme="minorHAnsi"/>
          <w:bCs/>
        </w:rPr>
      </w:pPr>
      <w:r w:rsidRPr="004E2001">
        <w:rPr>
          <w:rFonts w:asciiTheme="minorHAnsi" w:hAnsiTheme="minorHAnsi"/>
          <w:bCs/>
        </w:rPr>
        <w:t xml:space="preserve">The PBAC </w:t>
      </w:r>
      <w:r w:rsidR="00C01016" w:rsidRPr="004E2001">
        <w:rPr>
          <w:rFonts w:asciiTheme="minorHAnsi" w:hAnsiTheme="minorHAnsi"/>
          <w:bCs/>
        </w:rPr>
        <w:t>considered</w:t>
      </w:r>
      <w:r w:rsidRPr="004E2001">
        <w:rPr>
          <w:rFonts w:asciiTheme="minorHAnsi" w:hAnsiTheme="minorHAnsi"/>
          <w:bCs/>
        </w:rPr>
        <w:t xml:space="preserve"> that the management for type 2 diabetes has become increasingly complex due to the large number of medications available and changing treatment guidelines overseas. The PBAC noted that new </w:t>
      </w:r>
      <w:r w:rsidR="009E612B" w:rsidRPr="004E2001">
        <w:rPr>
          <w:rFonts w:asciiTheme="minorHAnsi" w:hAnsiTheme="minorHAnsi"/>
          <w:bCs/>
        </w:rPr>
        <w:t>Australian</w:t>
      </w:r>
      <w:r w:rsidRPr="004E2001">
        <w:rPr>
          <w:rFonts w:asciiTheme="minorHAnsi" w:hAnsiTheme="minorHAnsi"/>
          <w:bCs/>
        </w:rPr>
        <w:t xml:space="preserve"> guidelines for the management of t</w:t>
      </w:r>
      <w:r w:rsidR="009E612B" w:rsidRPr="004E2001">
        <w:rPr>
          <w:rFonts w:asciiTheme="minorHAnsi" w:hAnsiTheme="minorHAnsi"/>
          <w:bCs/>
        </w:rPr>
        <w:t>ype 2 diabetes are due to be publ</w:t>
      </w:r>
      <w:r w:rsidRPr="004E2001">
        <w:rPr>
          <w:rFonts w:asciiTheme="minorHAnsi" w:hAnsiTheme="minorHAnsi"/>
          <w:bCs/>
        </w:rPr>
        <w:t>ished in 2020 and are likely to be similar to the ADA/EASD guidelines. The PBAC considered that it may be appropriate to review the listings of medicines for type 2 diabetes once the guidelines are updated.</w:t>
      </w:r>
    </w:p>
    <w:p w:rsidR="005667A6" w:rsidRPr="004E2001" w:rsidRDefault="005667A6" w:rsidP="0076592A">
      <w:pPr>
        <w:numPr>
          <w:ilvl w:val="1"/>
          <w:numId w:val="2"/>
        </w:numPr>
        <w:spacing w:after="120"/>
        <w:rPr>
          <w:rFonts w:asciiTheme="minorHAnsi" w:hAnsiTheme="minorHAnsi"/>
          <w:bCs/>
        </w:rPr>
      </w:pPr>
      <w:r w:rsidRPr="004E2001">
        <w:rPr>
          <w:rFonts w:asciiTheme="minorHAnsi" w:hAnsiTheme="minorHAnsi"/>
          <w:bCs/>
        </w:rPr>
        <w:t xml:space="preserve">The PBAC </w:t>
      </w:r>
      <w:r w:rsidR="00681937" w:rsidRPr="004E2001">
        <w:rPr>
          <w:rFonts w:asciiTheme="minorHAnsi" w:hAnsiTheme="minorHAnsi"/>
          <w:bCs/>
        </w:rPr>
        <w:t>advised</w:t>
      </w:r>
      <w:r w:rsidR="005171AF" w:rsidRPr="004E2001">
        <w:rPr>
          <w:rFonts w:asciiTheme="minorHAnsi" w:hAnsiTheme="minorHAnsi"/>
          <w:bCs/>
        </w:rPr>
        <w:t xml:space="preserve"> </w:t>
      </w:r>
      <w:r w:rsidRPr="004E2001">
        <w:rPr>
          <w:rFonts w:asciiTheme="minorHAnsi" w:hAnsiTheme="minorHAnsi"/>
          <w:bCs/>
        </w:rPr>
        <w:t xml:space="preserve">that </w:t>
      </w:r>
      <w:r w:rsidR="005F59B6" w:rsidRPr="004E2001">
        <w:rPr>
          <w:rFonts w:asciiTheme="minorHAnsi" w:hAnsiTheme="minorHAnsi"/>
          <w:bCs/>
        </w:rPr>
        <w:t>semaglutide</w:t>
      </w:r>
      <w:r w:rsidR="008D072E">
        <w:rPr>
          <w:rFonts w:asciiTheme="minorHAnsi" w:hAnsiTheme="minorHAnsi"/>
          <w:bCs/>
        </w:rPr>
        <w:t xml:space="preserve"> should </w:t>
      </w:r>
      <w:r w:rsidRPr="004E2001">
        <w:rPr>
          <w:rFonts w:asciiTheme="minorHAnsi" w:hAnsiTheme="minorHAnsi"/>
          <w:bCs/>
        </w:rPr>
        <w:t>be treated as interchangeable</w:t>
      </w:r>
      <w:r w:rsidR="005171AF" w:rsidRPr="004E2001">
        <w:rPr>
          <w:rFonts w:asciiTheme="minorHAnsi" w:hAnsiTheme="minorHAnsi"/>
          <w:bCs/>
        </w:rPr>
        <w:t xml:space="preserve"> on an individual patient basis</w:t>
      </w:r>
      <w:r w:rsidRPr="004E2001">
        <w:rPr>
          <w:rFonts w:asciiTheme="minorHAnsi" w:hAnsiTheme="minorHAnsi"/>
          <w:bCs/>
        </w:rPr>
        <w:t xml:space="preserve"> with</w:t>
      </w:r>
      <w:r w:rsidR="008D072E">
        <w:rPr>
          <w:rFonts w:asciiTheme="minorHAnsi" w:hAnsiTheme="minorHAnsi"/>
          <w:bCs/>
        </w:rPr>
        <w:t xml:space="preserve"> dulaglutide and exenatide</w:t>
      </w:r>
      <w:r w:rsidRPr="004E2001">
        <w:rPr>
          <w:rFonts w:asciiTheme="minorHAnsi" w:hAnsiTheme="minorHAnsi"/>
          <w:bCs/>
        </w:rPr>
        <w:t>.</w:t>
      </w:r>
    </w:p>
    <w:p w:rsidR="005667A6" w:rsidRPr="004E2001" w:rsidRDefault="005667A6" w:rsidP="0076592A">
      <w:pPr>
        <w:numPr>
          <w:ilvl w:val="1"/>
          <w:numId w:val="2"/>
        </w:numPr>
        <w:spacing w:after="120"/>
        <w:rPr>
          <w:rFonts w:asciiTheme="minorHAnsi" w:hAnsiTheme="minorHAnsi"/>
          <w:bCs/>
        </w:rPr>
      </w:pPr>
      <w:r w:rsidRPr="004E2001">
        <w:rPr>
          <w:rFonts w:asciiTheme="minorHAnsi" w:hAnsiTheme="minorHAnsi"/>
          <w:bCs/>
        </w:rPr>
        <w:t xml:space="preserve">The PBAC advised that </w:t>
      </w:r>
      <w:r w:rsidR="00CE0A7E" w:rsidRPr="004E2001">
        <w:rPr>
          <w:rFonts w:asciiTheme="minorHAnsi" w:hAnsiTheme="minorHAnsi"/>
          <w:bCs/>
        </w:rPr>
        <w:t>semaglutide</w:t>
      </w:r>
      <w:r w:rsidRPr="004E2001">
        <w:rPr>
          <w:rFonts w:asciiTheme="minorHAnsi" w:hAnsiTheme="minorHAnsi"/>
          <w:bCs/>
        </w:rPr>
        <w:t xml:space="preserve"> is suitable for prescribing by nurse practitioners</w:t>
      </w:r>
      <w:r w:rsidR="004E2001">
        <w:rPr>
          <w:rFonts w:asciiTheme="minorHAnsi" w:hAnsiTheme="minorHAnsi"/>
          <w:bCs/>
        </w:rPr>
        <w:t xml:space="preserve">. </w:t>
      </w:r>
    </w:p>
    <w:p w:rsidR="005667A6" w:rsidRPr="004E2001" w:rsidRDefault="005667A6" w:rsidP="0076592A">
      <w:pPr>
        <w:numPr>
          <w:ilvl w:val="1"/>
          <w:numId w:val="2"/>
        </w:numPr>
        <w:spacing w:after="120"/>
        <w:rPr>
          <w:rFonts w:asciiTheme="minorHAnsi" w:hAnsiTheme="minorHAnsi"/>
          <w:bCs/>
        </w:rPr>
      </w:pPr>
      <w:r w:rsidRPr="004E2001">
        <w:rPr>
          <w:rFonts w:asciiTheme="minorHAnsi" w:hAnsiTheme="minorHAnsi"/>
          <w:bCs/>
        </w:rPr>
        <w:t xml:space="preserve">The PBAC recommended that the Early Supply Rule should not apply. </w:t>
      </w:r>
    </w:p>
    <w:p w:rsidR="00D43960" w:rsidRPr="004E2001" w:rsidRDefault="00895A4F" w:rsidP="0076592A">
      <w:pPr>
        <w:numPr>
          <w:ilvl w:val="1"/>
          <w:numId w:val="2"/>
        </w:numPr>
        <w:spacing w:after="120"/>
        <w:rPr>
          <w:rFonts w:asciiTheme="minorHAnsi" w:hAnsiTheme="minorHAnsi"/>
          <w:bCs/>
        </w:rPr>
      </w:pPr>
      <w:r w:rsidRPr="004E2001">
        <w:rPr>
          <w:rFonts w:asciiTheme="minorHAnsi" w:hAnsiTheme="minorHAnsi"/>
          <w:bCs/>
        </w:rPr>
        <w:t xml:space="preserve">The PBAC noted that its recommendation was on a cost-minimisation basis and advised that, because semaglutide is not expected to provide a substantial and clinically relevant improvement in efficacy, or reduction of toxicity, over dulaglutide, or not expected to address a high and urgent unmet clinical need given the presence of an alternative therapy, the criteria prescribed by the National Health (Pharmaceuticals and Vaccines – Cost Recovery) Regulations 2009 for Pricing Pathway A were not met. </w:t>
      </w:r>
    </w:p>
    <w:p w:rsidR="00681937" w:rsidRPr="004E2001" w:rsidRDefault="00681937" w:rsidP="0076592A">
      <w:pPr>
        <w:pStyle w:val="3Bodytext"/>
        <w:numPr>
          <w:ilvl w:val="1"/>
          <w:numId w:val="2"/>
        </w:numPr>
        <w:jc w:val="both"/>
        <w:rPr>
          <w:snapToGrid w:val="0"/>
        </w:rPr>
      </w:pPr>
      <w:r w:rsidRPr="004E2001">
        <w:rPr>
          <w:snapToGrid w:val="0"/>
        </w:rPr>
        <w:t xml:space="preserve">The PBAC noted that this submission is not eligible for an Independent Review as it received a positive recommendation. </w:t>
      </w:r>
    </w:p>
    <w:p w:rsidR="005667A6" w:rsidRPr="004E2001" w:rsidRDefault="005667A6" w:rsidP="003F26F6">
      <w:pPr>
        <w:spacing w:before="240"/>
        <w:rPr>
          <w:rFonts w:asciiTheme="minorHAnsi" w:hAnsiTheme="minorHAnsi"/>
          <w:b/>
          <w:bCs/>
        </w:rPr>
      </w:pPr>
      <w:r w:rsidRPr="004E2001">
        <w:rPr>
          <w:rFonts w:asciiTheme="minorHAnsi" w:hAnsiTheme="minorHAnsi"/>
          <w:b/>
          <w:bCs/>
        </w:rPr>
        <w:t>Outcome:</w:t>
      </w:r>
    </w:p>
    <w:p w:rsidR="005667A6" w:rsidRPr="00CA6F80" w:rsidRDefault="00CA6F80" w:rsidP="003F26F6">
      <w:pPr>
        <w:rPr>
          <w:rFonts w:asciiTheme="minorHAnsi" w:hAnsiTheme="minorHAnsi"/>
          <w:bCs/>
        </w:rPr>
      </w:pPr>
      <w:r>
        <w:rPr>
          <w:rFonts w:asciiTheme="minorHAnsi" w:hAnsiTheme="minorHAnsi"/>
          <w:bCs/>
        </w:rPr>
        <w:t xml:space="preserve">Recommended </w:t>
      </w:r>
    </w:p>
    <w:p w:rsidR="005667A6" w:rsidRPr="004E2001" w:rsidRDefault="005667A6" w:rsidP="003F26F6">
      <w:pPr>
        <w:pStyle w:val="2-SectionHeading"/>
        <w:rPr>
          <w:i/>
        </w:rPr>
      </w:pPr>
      <w:r w:rsidRPr="004E2001">
        <w:lastRenderedPageBreak/>
        <w:t>Recommended listing</w:t>
      </w:r>
    </w:p>
    <w:p w:rsidR="005667A6" w:rsidRPr="004E2001" w:rsidRDefault="005667A6" w:rsidP="003F26F6">
      <w:pPr>
        <w:numPr>
          <w:ilvl w:val="1"/>
          <w:numId w:val="2"/>
        </w:numPr>
        <w:spacing w:after="120"/>
        <w:rPr>
          <w:rFonts w:asciiTheme="minorHAnsi" w:hAnsiTheme="minorHAnsi"/>
          <w:bCs/>
        </w:rPr>
      </w:pPr>
      <w:r w:rsidRPr="004E2001">
        <w:rPr>
          <w:rFonts w:asciiTheme="minorHAnsi" w:hAnsiTheme="minorHAnsi"/>
          <w:bCs/>
        </w:rPr>
        <w:t>Add new item:</w:t>
      </w:r>
    </w:p>
    <w:tbl>
      <w:tblPr>
        <w:tblW w:w="5025" w:type="pct"/>
        <w:tblLayout w:type="fixed"/>
        <w:tblLook w:val="0000" w:firstRow="0" w:lastRow="0" w:firstColumn="0" w:lastColumn="0" w:noHBand="0" w:noVBand="0"/>
      </w:tblPr>
      <w:tblGrid>
        <w:gridCol w:w="2358"/>
        <w:gridCol w:w="831"/>
        <w:gridCol w:w="559"/>
        <w:gridCol w:w="835"/>
        <w:gridCol w:w="1527"/>
        <w:gridCol w:w="2917"/>
        <w:gridCol w:w="45"/>
      </w:tblGrid>
      <w:tr w:rsidR="0005348F" w:rsidRPr="004E2001" w:rsidTr="0005348F">
        <w:trPr>
          <w:cantSplit/>
          <w:trHeight w:val="20"/>
        </w:trPr>
        <w:tc>
          <w:tcPr>
            <w:tcW w:w="3189" w:type="dxa"/>
            <w:gridSpan w:val="2"/>
            <w:tcBorders>
              <w:bottom w:val="single" w:sz="4" w:space="0" w:color="auto"/>
            </w:tcBorders>
          </w:tcPr>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Name, Restriction,</w:t>
            </w:r>
          </w:p>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Manner of administration and form</w:t>
            </w:r>
          </w:p>
        </w:tc>
        <w:tc>
          <w:tcPr>
            <w:tcW w:w="559" w:type="dxa"/>
            <w:tcBorders>
              <w:bottom w:val="single" w:sz="4" w:space="0" w:color="auto"/>
            </w:tcBorders>
          </w:tcPr>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Max.</w:t>
            </w:r>
          </w:p>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Qty</w:t>
            </w:r>
          </w:p>
        </w:tc>
        <w:tc>
          <w:tcPr>
            <w:tcW w:w="835" w:type="dxa"/>
            <w:tcBorders>
              <w:bottom w:val="single" w:sz="4" w:space="0" w:color="auto"/>
            </w:tcBorders>
          </w:tcPr>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№.of</w:t>
            </w:r>
          </w:p>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Rpts</w:t>
            </w:r>
          </w:p>
        </w:tc>
        <w:tc>
          <w:tcPr>
            <w:tcW w:w="4489" w:type="dxa"/>
            <w:gridSpan w:val="3"/>
            <w:tcBorders>
              <w:bottom w:val="single" w:sz="4" w:space="0" w:color="auto"/>
            </w:tcBorders>
          </w:tcPr>
          <w:p w:rsidR="0005348F" w:rsidRPr="004E2001" w:rsidRDefault="0005348F" w:rsidP="003F26F6">
            <w:pPr>
              <w:keepNext/>
              <w:rPr>
                <w:rFonts w:ascii="Arial Narrow" w:hAnsi="Arial Narrow"/>
                <w:sz w:val="20"/>
                <w:szCs w:val="20"/>
              </w:rPr>
            </w:pPr>
            <w:r w:rsidRPr="004E2001">
              <w:rPr>
                <w:rFonts w:ascii="Arial Narrow" w:hAnsi="Arial Narrow"/>
                <w:sz w:val="20"/>
                <w:szCs w:val="20"/>
              </w:rPr>
              <w:t>Proprietary Name and Manufacturer</w:t>
            </w:r>
          </w:p>
        </w:tc>
      </w:tr>
      <w:tr w:rsidR="0005348F" w:rsidRPr="004E2001" w:rsidTr="0005348F">
        <w:trPr>
          <w:cantSplit/>
          <w:trHeight w:val="20"/>
        </w:trPr>
        <w:tc>
          <w:tcPr>
            <w:tcW w:w="3189" w:type="dxa"/>
            <w:gridSpan w:val="2"/>
          </w:tcPr>
          <w:p w:rsidR="0005348F" w:rsidRPr="004E2001" w:rsidRDefault="0005348F" w:rsidP="003F26F6">
            <w:pPr>
              <w:keepNext/>
              <w:ind w:left="-108"/>
              <w:rPr>
                <w:rFonts w:ascii="Arial Narrow" w:hAnsi="Arial Narrow"/>
                <w:sz w:val="20"/>
                <w:szCs w:val="20"/>
              </w:rPr>
            </w:pPr>
            <w:r w:rsidRPr="004E2001">
              <w:rPr>
                <w:rFonts w:ascii="Arial Narrow" w:hAnsi="Arial Narrow"/>
                <w:smallCaps/>
                <w:sz w:val="20"/>
                <w:szCs w:val="20"/>
              </w:rPr>
              <w:t>SEMAGLUTIDE</w:t>
            </w:r>
          </w:p>
          <w:p w:rsidR="0005348F" w:rsidRPr="00727BD7" w:rsidRDefault="0005348F" w:rsidP="00727BD7">
            <w:pPr>
              <w:keepNext/>
              <w:ind w:left="-108"/>
              <w:rPr>
                <w:rFonts w:ascii="Arial Narrow" w:hAnsi="Arial Narrow"/>
                <w:sz w:val="20"/>
                <w:szCs w:val="20"/>
              </w:rPr>
            </w:pPr>
            <w:r w:rsidRPr="004E2001">
              <w:rPr>
                <w:rFonts w:ascii="Arial Narrow" w:hAnsi="Arial Narrow"/>
                <w:sz w:val="20"/>
                <w:szCs w:val="20"/>
              </w:rPr>
              <w:t xml:space="preserve">1.34 mg/1 mL injection, </w:t>
            </w:r>
            <w:r w:rsidR="00727BD7">
              <w:rPr>
                <w:rFonts w:ascii="Arial Narrow" w:hAnsi="Arial Narrow"/>
                <w:sz w:val="20"/>
                <w:szCs w:val="20"/>
              </w:rPr>
              <w:t xml:space="preserve">1 x </w:t>
            </w:r>
            <w:r w:rsidRPr="004E2001">
              <w:rPr>
                <w:rFonts w:ascii="Arial Narrow" w:hAnsi="Arial Narrow"/>
                <w:sz w:val="20"/>
                <w:szCs w:val="20"/>
              </w:rPr>
              <w:t xml:space="preserve">1.5 mL </w:t>
            </w:r>
            <w:r w:rsidR="00727BD7">
              <w:rPr>
                <w:rFonts w:ascii="Arial Narrow" w:hAnsi="Arial Narrow"/>
                <w:sz w:val="20"/>
                <w:szCs w:val="20"/>
              </w:rPr>
              <w:t xml:space="preserve">pen device </w:t>
            </w:r>
          </w:p>
        </w:tc>
        <w:tc>
          <w:tcPr>
            <w:tcW w:w="559" w:type="dxa"/>
          </w:tcPr>
          <w:p w:rsidR="0005348F" w:rsidRPr="004E2001" w:rsidRDefault="0005348F" w:rsidP="003F26F6">
            <w:pPr>
              <w:keepNext/>
              <w:ind w:left="-108"/>
              <w:rPr>
                <w:rFonts w:ascii="Arial Narrow" w:hAnsi="Arial Narrow"/>
                <w:sz w:val="20"/>
                <w:szCs w:val="20"/>
              </w:rPr>
            </w:pPr>
          </w:p>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1</w:t>
            </w:r>
          </w:p>
        </w:tc>
        <w:tc>
          <w:tcPr>
            <w:tcW w:w="835" w:type="dxa"/>
          </w:tcPr>
          <w:p w:rsidR="0005348F" w:rsidRPr="004E2001" w:rsidRDefault="0005348F" w:rsidP="003F26F6">
            <w:pPr>
              <w:keepNext/>
              <w:ind w:left="-108"/>
              <w:rPr>
                <w:rFonts w:ascii="Arial Narrow" w:hAnsi="Arial Narrow"/>
                <w:sz w:val="20"/>
                <w:szCs w:val="20"/>
              </w:rPr>
            </w:pPr>
          </w:p>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5</w:t>
            </w:r>
          </w:p>
        </w:tc>
        <w:tc>
          <w:tcPr>
            <w:tcW w:w="1527" w:type="dxa"/>
          </w:tcPr>
          <w:p w:rsidR="0005348F" w:rsidRPr="004E2001" w:rsidRDefault="0005348F" w:rsidP="003F26F6">
            <w:pPr>
              <w:keepNext/>
              <w:rPr>
                <w:rFonts w:ascii="Arial Narrow" w:hAnsi="Arial Narrow"/>
                <w:sz w:val="20"/>
                <w:szCs w:val="20"/>
              </w:rPr>
            </w:pPr>
            <w:r w:rsidRPr="004E2001">
              <w:rPr>
                <w:rFonts w:ascii="Arial Narrow" w:hAnsi="Arial Narrow"/>
                <w:sz w:val="20"/>
                <w:szCs w:val="20"/>
              </w:rPr>
              <w:t>Ozempic</w:t>
            </w:r>
            <w:r w:rsidRPr="004E2001">
              <w:rPr>
                <w:rFonts w:ascii="Arial Narrow" w:hAnsi="Arial Narrow"/>
                <w:sz w:val="20"/>
                <w:szCs w:val="20"/>
                <w:vertAlign w:val="superscript"/>
              </w:rPr>
              <w:t>®</w:t>
            </w:r>
            <w:r w:rsidRPr="004E2001">
              <w:rPr>
                <w:rFonts w:ascii="Arial Narrow" w:hAnsi="Arial Narrow"/>
                <w:sz w:val="20"/>
                <w:szCs w:val="20"/>
              </w:rPr>
              <w:t xml:space="preserve"> </w:t>
            </w:r>
          </w:p>
        </w:tc>
        <w:tc>
          <w:tcPr>
            <w:tcW w:w="2962" w:type="dxa"/>
            <w:gridSpan w:val="2"/>
          </w:tcPr>
          <w:p w:rsidR="0005348F" w:rsidRPr="004E2001" w:rsidRDefault="0005348F" w:rsidP="003F26F6">
            <w:pPr>
              <w:keepNext/>
              <w:rPr>
                <w:rFonts w:ascii="Arial Narrow" w:hAnsi="Arial Narrow"/>
                <w:sz w:val="20"/>
                <w:szCs w:val="20"/>
              </w:rPr>
            </w:pPr>
            <w:r w:rsidRPr="004E2001">
              <w:rPr>
                <w:rFonts w:ascii="Arial Narrow" w:hAnsi="Arial Narrow"/>
                <w:sz w:val="20"/>
                <w:szCs w:val="20"/>
              </w:rPr>
              <w:t xml:space="preserve">Novo Nordisk </w:t>
            </w:r>
          </w:p>
        </w:tc>
      </w:tr>
      <w:tr w:rsidR="0005348F" w:rsidRPr="004E2001" w:rsidTr="0005348F">
        <w:trPr>
          <w:cantSplit/>
          <w:trHeight w:val="20"/>
        </w:trPr>
        <w:tc>
          <w:tcPr>
            <w:tcW w:w="3189" w:type="dxa"/>
            <w:gridSpan w:val="2"/>
          </w:tcPr>
          <w:p w:rsidR="0005348F" w:rsidRPr="004E2001" w:rsidRDefault="0005348F" w:rsidP="00727BD7">
            <w:pPr>
              <w:keepNext/>
              <w:ind w:left="-108"/>
              <w:rPr>
                <w:rFonts w:ascii="Arial Narrow" w:hAnsi="Arial Narrow"/>
                <w:smallCaps/>
                <w:sz w:val="20"/>
                <w:szCs w:val="20"/>
              </w:rPr>
            </w:pPr>
            <w:r w:rsidRPr="004E2001">
              <w:rPr>
                <w:rFonts w:ascii="Arial Narrow" w:hAnsi="Arial Narrow"/>
                <w:sz w:val="20"/>
                <w:szCs w:val="20"/>
              </w:rPr>
              <w:t xml:space="preserve">1.34 mg/1 mL injection, </w:t>
            </w:r>
            <w:r w:rsidR="00727BD7">
              <w:rPr>
                <w:rFonts w:ascii="Arial Narrow" w:hAnsi="Arial Narrow"/>
                <w:sz w:val="20"/>
                <w:szCs w:val="20"/>
              </w:rPr>
              <w:t xml:space="preserve">1 x </w:t>
            </w:r>
            <w:r w:rsidRPr="004E2001">
              <w:rPr>
                <w:rFonts w:ascii="Arial Narrow" w:hAnsi="Arial Narrow"/>
                <w:sz w:val="20"/>
                <w:szCs w:val="20"/>
              </w:rPr>
              <w:t>3 mL</w:t>
            </w:r>
            <w:r w:rsidR="00727BD7">
              <w:rPr>
                <w:rFonts w:ascii="Arial Narrow" w:hAnsi="Arial Narrow"/>
                <w:sz w:val="20"/>
                <w:szCs w:val="20"/>
              </w:rPr>
              <w:t xml:space="preserve"> </w:t>
            </w:r>
            <w:r w:rsidRPr="004E2001">
              <w:rPr>
                <w:rFonts w:ascii="Arial Narrow" w:hAnsi="Arial Narrow"/>
                <w:sz w:val="20"/>
                <w:szCs w:val="20"/>
              </w:rPr>
              <w:t>pen device</w:t>
            </w:r>
          </w:p>
        </w:tc>
        <w:tc>
          <w:tcPr>
            <w:tcW w:w="559" w:type="dxa"/>
          </w:tcPr>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1</w:t>
            </w:r>
          </w:p>
        </w:tc>
        <w:tc>
          <w:tcPr>
            <w:tcW w:w="835" w:type="dxa"/>
          </w:tcPr>
          <w:p w:rsidR="0005348F" w:rsidRPr="004E2001" w:rsidRDefault="0005348F" w:rsidP="003F26F6">
            <w:pPr>
              <w:keepNext/>
              <w:ind w:left="-108"/>
              <w:rPr>
                <w:rFonts w:ascii="Arial Narrow" w:hAnsi="Arial Narrow"/>
                <w:sz w:val="20"/>
                <w:szCs w:val="20"/>
              </w:rPr>
            </w:pPr>
            <w:r w:rsidRPr="004E2001">
              <w:rPr>
                <w:rFonts w:ascii="Arial Narrow" w:hAnsi="Arial Narrow"/>
                <w:sz w:val="20"/>
                <w:szCs w:val="20"/>
              </w:rPr>
              <w:t>5</w:t>
            </w:r>
          </w:p>
        </w:tc>
        <w:tc>
          <w:tcPr>
            <w:tcW w:w="1527" w:type="dxa"/>
          </w:tcPr>
          <w:p w:rsidR="0005348F" w:rsidRPr="004E2001" w:rsidRDefault="0005348F" w:rsidP="003F26F6">
            <w:pPr>
              <w:keepNext/>
              <w:rPr>
                <w:rFonts w:ascii="Arial Narrow" w:hAnsi="Arial Narrow"/>
                <w:sz w:val="20"/>
                <w:szCs w:val="20"/>
              </w:rPr>
            </w:pPr>
            <w:r w:rsidRPr="004E2001">
              <w:rPr>
                <w:rFonts w:ascii="Arial Narrow" w:hAnsi="Arial Narrow"/>
                <w:sz w:val="20"/>
                <w:szCs w:val="20"/>
              </w:rPr>
              <w:t>Ozempic</w:t>
            </w:r>
            <w:r w:rsidRPr="004E2001">
              <w:rPr>
                <w:rFonts w:ascii="Arial Narrow" w:hAnsi="Arial Narrow"/>
                <w:sz w:val="20"/>
                <w:szCs w:val="20"/>
                <w:vertAlign w:val="superscript"/>
              </w:rPr>
              <w:t>®</w:t>
            </w:r>
          </w:p>
        </w:tc>
        <w:tc>
          <w:tcPr>
            <w:tcW w:w="2962" w:type="dxa"/>
            <w:gridSpan w:val="2"/>
          </w:tcPr>
          <w:p w:rsidR="0005348F" w:rsidRPr="004E2001" w:rsidRDefault="0005348F" w:rsidP="003F26F6">
            <w:pPr>
              <w:keepNext/>
              <w:rPr>
                <w:rFonts w:ascii="Arial Narrow" w:hAnsi="Arial Narrow"/>
                <w:sz w:val="20"/>
                <w:szCs w:val="20"/>
              </w:rPr>
            </w:pPr>
            <w:r w:rsidRPr="004E2001">
              <w:rPr>
                <w:rFonts w:ascii="Arial Narrow" w:hAnsi="Arial Narrow"/>
                <w:sz w:val="20"/>
                <w:szCs w:val="20"/>
              </w:rPr>
              <w:t xml:space="preserve">Novo Nordisk </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Category / Program:</w:t>
            </w: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sz w:val="20"/>
                <w:szCs w:val="20"/>
              </w:rPr>
            </w:pPr>
            <w:r w:rsidRPr="004E2001">
              <w:rPr>
                <w:rFonts w:ascii="Arial Narrow" w:hAnsi="Arial Narrow"/>
                <w:sz w:val="20"/>
                <w:szCs w:val="20"/>
              </w:rPr>
              <w:t>GENERAL – General Schedule (Code GE)</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Prescriber type:</w:t>
            </w:r>
          </w:p>
          <w:p w:rsidR="0005348F" w:rsidRPr="004E2001" w:rsidRDefault="0005348F" w:rsidP="003F26F6">
            <w:pPr>
              <w:rPr>
                <w:rFonts w:ascii="Arial Narrow" w:hAnsi="Arial Narrow"/>
                <w:b/>
                <w:sz w:val="20"/>
                <w:szCs w:val="20"/>
              </w:rPr>
            </w:pP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sz w:val="20"/>
                <w:szCs w:val="20"/>
              </w:rPr>
            </w:pPr>
            <w:r w:rsidRPr="004E2001">
              <w:rPr>
                <w:rFonts w:ascii="Arial Narrow" w:hAnsi="Arial Narrow"/>
                <w:sz w:val="20"/>
                <w:szCs w:val="20"/>
              </w:rPr>
              <w:fldChar w:fldCharType="begin">
                <w:ffData>
                  <w:name w:val="Check1"/>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Dental  </w:t>
            </w:r>
            <w:r w:rsidRPr="004E2001">
              <w:rPr>
                <w:rFonts w:ascii="Arial Narrow" w:hAnsi="Arial Narrow"/>
                <w:sz w:val="20"/>
                <w:szCs w:val="20"/>
              </w:rPr>
              <w:fldChar w:fldCharType="begin">
                <w:ffData>
                  <w:name w:val=""/>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Medical Practitioners  </w:t>
            </w:r>
            <w:r w:rsidRPr="004E2001">
              <w:rPr>
                <w:rFonts w:ascii="Arial Narrow" w:hAnsi="Arial Narrow"/>
                <w:sz w:val="20"/>
                <w:szCs w:val="20"/>
              </w:rPr>
              <w:fldChar w:fldCharType="begin">
                <w:ffData>
                  <w:name w:val="Check3"/>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 xml:space="preserve">Nurse practitioners  </w:t>
            </w:r>
            <w:r w:rsidRPr="004E2001">
              <w:rPr>
                <w:rFonts w:ascii="Arial Narrow" w:hAnsi="Arial Narrow"/>
                <w:sz w:val="20"/>
                <w:szCs w:val="20"/>
              </w:rPr>
              <w:fldChar w:fldCharType="begin">
                <w:ffData>
                  <w:name w:val=""/>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Optometrists</w:t>
            </w:r>
          </w:p>
          <w:p w:rsidR="0005348F" w:rsidRPr="004E2001" w:rsidRDefault="0005348F" w:rsidP="003F26F6">
            <w:pPr>
              <w:rPr>
                <w:rFonts w:ascii="Arial Narrow" w:hAnsi="Arial Narrow"/>
                <w:sz w:val="20"/>
                <w:szCs w:val="20"/>
              </w:rPr>
            </w:pPr>
            <w:r w:rsidRPr="004E2001">
              <w:rPr>
                <w:rFonts w:ascii="Arial Narrow" w:hAnsi="Arial Narrow"/>
                <w:sz w:val="20"/>
                <w:szCs w:val="20"/>
              </w:rPr>
              <w:fldChar w:fldCharType="begin">
                <w:ffData>
                  <w:name w:val="Check5"/>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Midwives</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Condition:</w:t>
            </w: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pStyle w:val="Table"/>
              <w:rPr>
                <w:rFonts w:ascii="Arial Narrow" w:eastAsia="Times New Roman" w:hAnsi="Arial Narrow" w:cs="Times New Roman"/>
                <w:szCs w:val="20"/>
                <w:lang w:bidi="ar-SA"/>
              </w:rPr>
            </w:pPr>
            <w:r w:rsidRPr="004E2001">
              <w:rPr>
                <w:rFonts w:ascii="Arial Narrow" w:eastAsia="Times New Roman" w:hAnsi="Arial Narrow" w:cs="Times New Roman"/>
                <w:szCs w:val="20"/>
                <w:lang w:bidi="ar-SA"/>
              </w:rPr>
              <w:t>Diabetes mellitus type 2</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PBS Indication:</w:t>
            </w: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pStyle w:val="Table"/>
              <w:rPr>
                <w:rFonts w:ascii="Arial Narrow" w:eastAsia="Times New Roman" w:hAnsi="Arial Narrow" w:cs="Times New Roman"/>
                <w:szCs w:val="20"/>
                <w:lang w:bidi="ar-SA"/>
              </w:rPr>
            </w:pPr>
            <w:r w:rsidRPr="004E2001">
              <w:rPr>
                <w:rFonts w:ascii="Arial Narrow" w:eastAsia="Times New Roman" w:hAnsi="Arial Narrow" w:cs="Times New Roman"/>
                <w:szCs w:val="20"/>
                <w:lang w:bidi="ar-SA"/>
              </w:rPr>
              <w:t>Diabetes mellitus type 2</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Restriction Level / Method:</w:t>
            </w:r>
          </w:p>
          <w:p w:rsidR="0005348F" w:rsidRPr="004E2001" w:rsidRDefault="0005348F" w:rsidP="003F26F6">
            <w:pPr>
              <w:rPr>
                <w:rFonts w:ascii="Arial Narrow" w:hAnsi="Arial Narrow"/>
                <w:i/>
                <w:sz w:val="20"/>
                <w:szCs w:val="20"/>
              </w:rPr>
            </w:pPr>
          </w:p>
          <w:p w:rsidR="0005348F" w:rsidRPr="004E2001" w:rsidRDefault="0005348F" w:rsidP="003F26F6">
            <w:pPr>
              <w:rPr>
                <w:rFonts w:ascii="Arial Narrow" w:hAnsi="Arial Narrow"/>
                <w:i/>
                <w:sz w:val="20"/>
                <w:szCs w:val="20"/>
              </w:rPr>
            </w:pPr>
          </w:p>
          <w:p w:rsidR="0005348F" w:rsidRPr="004E2001" w:rsidRDefault="0005348F" w:rsidP="003F26F6">
            <w:pPr>
              <w:rPr>
                <w:rFonts w:ascii="Arial Narrow" w:hAnsi="Arial Narrow"/>
                <w:i/>
                <w:sz w:val="20"/>
                <w:szCs w:val="20"/>
              </w:rPr>
            </w:pP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sz w:val="20"/>
                <w:szCs w:val="20"/>
              </w:rPr>
            </w:pPr>
            <w:r w:rsidRPr="004E2001">
              <w:rPr>
                <w:rFonts w:ascii="Arial Narrow" w:hAnsi="Arial Narrow"/>
                <w:sz w:val="20"/>
                <w:szCs w:val="20"/>
              </w:rPr>
              <w:fldChar w:fldCharType="begin">
                <w:ffData>
                  <w:name w:val="Check1"/>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Restricted benefit</w:t>
            </w:r>
          </w:p>
          <w:p w:rsidR="0005348F" w:rsidRPr="004E2001" w:rsidRDefault="0005348F" w:rsidP="003F26F6">
            <w:pPr>
              <w:rPr>
                <w:rFonts w:ascii="Arial Narrow" w:hAnsi="Arial Narrow"/>
                <w:sz w:val="20"/>
                <w:szCs w:val="20"/>
              </w:rPr>
            </w:pPr>
            <w:r w:rsidRPr="004E2001">
              <w:rPr>
                <w:rFonts w:ascii="Arial Narrow" w:hAnsi="Arial Narrow"/>
                <w:sz w:val="20"/>
                <w:szCs w:val="20"/>
              </w:rPr>
              <w:fldChar w:fldCharType="begin">
                <w:ffData>
                  <w:name w:val=""/>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Authority Required – In Writing</w:t>
            </w:r>
          </w:p>
          <w:p w:rsidR="0005348F" w:rsidRPr="004E2001" w:rsidRDefault="0005348F" w:rsidP="003F26F6">
            <w:pPr>
              <w:rPr>
                <w:rFonts w:ascii="Arial Narrow" w:hAnsi="Arial Narrow"/>
                <w:sz w:val="20"/>
                <w:szCs w:val="20"/>
              </w:rPr>
            </w:pPr>
            <w:r w:rsidRPr="004E2001">
              <w:rPr>
                <w:rFonts w:ascii="Arial Narrow" w:hAnsi="Arial Narrow"/>
                <w:sz w:val="20"/>
                <w:szCs w:val="20"/>
              </w:rPr>
              <w:fldChar w:fldCharType="begin">
                <w:ffData>
                  <w:name w:val="Check3"/>
                  <w:enabled/>
                  <w:calcOnExit w:val="0"/>
                  <w:checkBox>
                    <w:sizeAuto/>
                    <w:default w:val="0"/>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Authority Required – Telephone/Electronic/Emergency</w:t>
            </w:r>
          </w:p>
          <w:p w:rsidR="0005348F" w:rsidRPr="004E2001" w:rsidRDefault="0005348F" w:rsidP="003F26F6">
            <w:pPr>
              <w:rPr>
                <w:rFonts w:ascii="Arial Narrow" w:hAnsi="Arial Narrow"/>
                <w:sz w:val="20"/>
                <w:szCs w:val="20"/>
              </w:rPr>
            </w:pPr>
            <w:r w:rsidRPr="004E2001">
              <w:rPr>
                <w:rFonts w:ascii="Arial Narrow" w:hAnsi="Arial Narrow"/>
                <w:sz w:val="20"/>
                <w:szCs w:val="20"/>
              </w:rPr>
              <w:fldChar w:fldCharType="begin">
                <w:ffData>
                  <w:name w:val=""/>
                  <w:enabled/>
                  <w:calcOnExit w:val="0"/>
                  <w:checkBox>
                    <w:sizeAuto/>
                    <w:default w:val="1"/>
                  </w:checkBox>
                </w:ffData>
              </w:fldChar>
            </w:r>
            <w:r w:rsidRPr="004E2001">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E2001">
              <w:rPr>
                <w:rFonts w:ascii="Arial Narrow" w:hAnsi="Arial Narrow"/>
                <w:sz w:val="20"/>
                <w:szCs w:val="20"/>
              </w:rPr>
              <w:fldChar w:fldCharType="end"/>
            </w:r>
            <w:r w:rsidRPr="004E2001">
              <w:rPr>
                <w:rFonts w:ascii="Arial Narrow" w:hAnsi="Arial Narrow"/>
                <w:sz w:val="20"/>
                <w:szCs w:val="20"/>
              </w:rPr>
              <w:t>Streamlined</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Clinical criteria:</w:t>
            </w:r>
          </w:p>
          <w:p w:rsidR="0005348F" w:rsidRPr="004E2001" w:rsidRDefault="0005348F" w:rsidP="003F26F6">
            <w:pPr>
              <w:rPr>
                <w:rFonts w:ascii="Arial Narrow" w:hAnsi="Arial Narrow"/>
                <w:b/>
                <w:sz w:val="20"/>
                <w:szCs w:val="20"/>
              </w:rPr>
            </w:pP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pStyle w:val="Table"/>
              <w:rPr>
                <w:rFonts w:ascii="Arial Narrow" w:hAnsi="Arial Narrow"/>
              </w:rPr>
            </w:pPr>
            <w:r w:rsidRPr="004E2001">
              <w:rPr>
                <w:rFonts w:ascii="Arial Narrow" w:hAnsi="Arial Narrow"/>
              </w:rPr>
              <w:t xml:space="preserve">The treatment must be in combination with metformin; </w:t>
            </w:r>
          </w:p>
          <w:p w:rsidR="0005348F" w:rsidRPr="004E2001" w:rsidRDefault="0005348F" w:rsidP="003F26F6">
            <w:pPr>
              <w:pStyle w:val="Table"/>
              <w:rPr>
                <w:rFonts w:ascii="Arial Narrow" w:hAnsi="Arial Narrow"/>
              </w:rPr>
            </w:pPr>
            <w:r w:rsidRPr="004E2001">
              <w:rPr>
                <w:rFonts w:ascii="Arial Narrow" w:hAnsi="Arial Narrow"/>
              </w:rPr>
              <w:t>OR</w:t>
            </w:r>
          </w:p>
          <w:p w:rsidR="0005348F" w:rsidRPr="004E2001" w:rsidRDefault="0005348F" w:rsidP="003F26F6">
            <w:pPr>
              <w:pStyle w:val="Table"/>
              <w:rPr>
                <w:rFonts w:ascii="Arial Narrow" w:hAnsi="Arial Narrow"/>
              </w:rPr>
            </w:pPr>
            <w:r w:rsidRPr="004E2001">
              <w:rPr>
                <w:rFonts w:ascii="Arial Narrow" w:hAnsi="Arial Narrow"/>
              </w:rPr>
              <w:t>The treatment must be in combination with a sulfonylurea,</w:t>
            </w:r>
          </w:p>
          <w:p w:rsidR="0005348F" w:rsidRPr="004E2001" w:rsidRDefault="0005348F" w:rsidP="003F26F6">
            <w:pPr>
              <w:pStyle w:val="Table"/>
              <w:rPr>
                <w:rFonts w:ascii="Arial Narrow" w:hAnsi="Arial Narrow"/>
              </w:rPr>
            </w:pPr>
            <w:r w:rsidRPr="004E2001">
              <w:rPr>
                <w:rFonts w:ascii="Arial Narrow" w:hAnsi="Arial Narrow"/>
              </w:rPr>
              <w:t>AND</w:t>
            </w:r>
          </w:p>
          <w:p w:rsidR="0005348F" w:rsidRPr="004E2001" w:rsidRDefault="0005348F" w:rsidP="003F26F6">
            <w:pPr>
              <w:pStyle w:val="Table"/>
              <w:rPr>
                <w:rFonts w:ascii="Arial Narrow" w:hAnsi="Arial Narrow"/>
              </w:rPr>
            </w:pPr>
          </w:p>
          <w:p w:rsidR="0005348F" w:rsidRPr="004E2001" w:rsidRDefault="0005348F" w:rsidP="003F26F6">
            <w:pPr>
              <w:pStyle w:val="Table"/>
              <w:rPr>
                <w:rFonts w:ascii="Arial Narrow" w:hAnsi="Arial Narrow"/>
              </w:rPr>
            </w:pPr>
            <w:r w:rsidRPr="004E2001">
              <w:rPr>
                <w:rFonts w:ascii="Arial Narrow" w:hAnsi="Arial Narrow"/>
              </w:rPr>
              <w:t xml:space="preserve">Patient must have a contraindication to a combination of metformin and a sulfonylurea; </w:t>
            </w:r>
          </w:p>
          <w:p w:rsidR="0005348F" w:rsidRPr="004E2001" w:rsidRDefault="0005348F" w:rsidP="003F26F6">
            <w:pPr>
              <w:pStyle w:val="Table"/>
              <w:rPr>
                <w:rFonts w:ascii="Arial Narrow" w:hAnsi="Arial Narrow"/>
              </w:rPr>
            </w:pPr>
            <w:r w:rsidRPr="004E2001">
              <w:rPr>
                <w:rFonts w:ascii="Arial Narrow" w:hAnsi="Arial Narrow"/>
              </w:rPr>
              <w:t>OR</w:t>
            </w:r>
          </w:p>
          <w:p w:rsidR="0005348F" w:rsidRPr="004E2001" w:rsidRDefault="0005348F" w:rsidP="003F26F6">
            <w:pPr>
              <w:pStyle w:val="Table"/>
              <w:rPr>
                <w:rFonts w:ascii="Arial Narrow" w:hAnsi="Arial Narrow"/>
              </w:rPr>
            </w:pPr>
            <w:r w:rsidRPr="004E2001">
              <w:rPr>
                <w:rFonts w:ascii="Arial Narrow" w:hAnsi="Arial Narrow"/>
              </w:rPr>
              <w:t>Patient must not have tolerated a combination of metformin and a sulfonylurea,</w:t>
            </w:r>
          </w:p>
          <w:p w:rsidR="0005348F" w:rsidRPr="004E2001" w:rsidRDefault="0005348F" w:rsidP="003F26F6">
            <w:pPr>
              <w:pStyle w:val="Table"/>
              <w:rPr>
                <w:rFonts w:ascii="Arial Narrow" w:hAnsi="Arial Narrow"/>
              </w:rPr>
            </w:pPr>
            <w:r w:rsidRPr="004E2001">
              <w:rPr>
                <w:rFonts w:ascii="Arial Narrow" w:hAnsi="Arial Narrow"/>
              </w:rPr>
              <w:t>AND</w:t>
            </w:r>
          </w:p>
          <w:p w:rsidR="0005348F" w:rsidRPr="004E2001" w:rsidRDefault="0005348F" w:rsidP="003F26F6">
            <w:pPr>
              <w:pStyle w:val="Table"/>
              <w:rPr>
                <w:rFonts w:ascii="Arial Narrow" w:hAnsi="Arial Narrow"/>
              </w:rPr>
            </w:pPr>
          </w:p>
          <w:p w:rsidR="0005348F" w:rsidRPr="004E2001" w:rsidRDefault="0005348F" w:rsidP="003F26F6">
            <w:pPr>
              <w:pStyle w:val="Table"/>
              <w:rPr>
                <w:rFonts w:ascii="Arial Narrow" w:hAnsi="Arial Narrow"/>
              </w:rPr>
            </w:pPr>
            <w:r w:rsidRPr="004E2001">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w:t>
            </w:r>
          </w:p>
          <w:p w:rsidR="0005348F" w:rsidRPr="004E2001" w:rsidRDefault="0005348F" w:rsidP="003F26F6">
            <w:pPr>
              <w:pStyle w:val="Table"/>
              <w:rPr>
                <w:rFonts w:ascii="Arial Narrow" w:hAnsi="Arial Narrow"/>
              </w:rPr>
            </w:pPr>
            <w:r w:rsidRPr="004E2001">
              <w:rPr>
                <w:rFonts w:ascii="Arial Narrow" w:hAnsi="Arial Narrow"/>
              </w:rPr>
              <w:t>OR</w:t>
            </w:r>
          </w:p>
          <w:p w:rsidR="0005348F" w:rsidRPr="004E2001" w:rsidRDefault="0005348F"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lastRenderedPageBreak/>
              <w:t>Prescriber Instructions:</w:t>
            </w:r>
          </w:p>
          <w:p w:rsidR="0005348F" w:rsidRPr="004E2001" w:rsidRDefault="0005348F" w:rsidP="003F26F6">
            <w:pPr>
              <w:rPr>
                <w:rFonts w:ascii="Arial Narrow" w:hAnsi="Arial Narrow"/>
                <w:sz w:val="20"/>
                <w:szCs w:val="20"/>
              </w:rPr>
            </w:pPr>
          </w:p>
        </w:tc>
        <w:tc>
          <w:tcPr>
            <w:tcW w:w="6669" w:type="dxa"/>
            <w:gridSpan w:val="5"/>
            <w:tcBorders>
              <w:top w:val="single" w:sz="4" w:space="0" w:color="auto"/>
              <w:left w:val="single" w:sz="4" w:space="0" w:color="auto"/>
              <w:bottom w:val="single" w:sz="4" w:space="0" w:color="auto"/>
              <w:right w:val="single" w:sz="4" w:space="0" w:color="auto"/>
            </w:tcBorders>
          </w:tcPr>
          <w:p w:rsidR="000F4229" w:rsidRPr="004E2001" w:rsidRDefault="0005348F" w:rsidP="003F26F6">
            <w:pPr>
              <w:pStyle w:val="Table"/>
              <w:spacing w:after="240"/>
              <w:rPr>
                <w:rFonts w:ascii="Arial Narrow" w:hAnsi="Arial Narrow"/>
              </w:rPr>
            </w:pPr>
            <w:r w:rsidRPr="004E2001">
              <w:rPr>
                <w:rFonts w:ascii="Arial Narrow" w:hAnsi="Arial Narrow"/>
              </w:rPr>
              <w:t xml:space="preserve">The date and level of the qualifying HbA1c measurement must be, or must have been, documented in the patient's medical records at the time treatment with a gliptin, a glitazone, a glucagon-like peptide-1 or an SGLT2 inhibitor is initiated. </w:t>
            </w:r>
          </w:p>
          <w:p w:rsidR="0005348F" w:rsidRPr="004E2001" w:rsidRDefault="0005348F" w:rsidP="003F26F6">
            <w:pPr>
              <w:pStyle w:val="Table"/>
              <w:spacing w:after="240"/>
              <w:rPr>
                <w:rFonts w:ascii="Arial Narrow" w:hAnsi="Arial Narrow"/>
              </w:rPr>
            </w:pPr>
            <w:r w:rsidRPr="004E2001">
              <w:rPr>
                <w:rFonts w:ascii="Arial Narrow" w:hAnsi="Arial Narrow"/>
              </w:rPr>
              <w:t xml:space="preserve">The HbA1c must be no more than 4 months old at the time treatment with a gliptin, a glitazone, a glucagon-like peptide-1 or an SGLT2 inhibitor was initiated. </w:t>
            </w:r>
          </w:p>
          <w:p w:rsidR="0005348F" w:rsidRPr="004E2001" w:rsidRDefault="0005348F" w:rsidP="003F26F6">
            <w:pPr>
              <w:pStyle w:val="Table"/>
              <w:spacing w:after="240"/>
              <w:rPr>
                <w:rFonts w:ascii="Arial Narrow" w:hAnsi="Arial Narrow"/>
              </w:rPr>
            </w:pPr>
            <w:r w:rsidRPr="004E2001">
              <w:rPr>
                <w:rFonts w:ascii="Arial Narrow" w:hAnsi="Arial Narrow"/>
              </w:rPr>
              <w:t>Blood glucose monitoring may be used as an alternative assessment to HbA1c levels in the following circumstances:</w:t>
            </w:r>
          </w:p>
          <w:p w:rsidR="0005348F" w:rsidRPr="004E2001" w:rsidRDefault="0005348F" w:rsidP="003F26F6">
            <w:pPr>
              <w:pStyle w:val="Table"/>
              <w:spacing w:after="240"/>
              <w:rPr>
                <w:rFonts w:ascii="Arial Narrow" w:hAnsi="Arial Narrow"/>
              </w:rPr>
            </w:pPr>
            <w:r w:rsidRPr="004E2001">
              <w:rPr>
                <w:rFonts w:ascii="Arial Narrow" w:hAnsi="Arial Narrow"/>
              </w:rPr>
              <w:t>(a) A clinical condition with reduced red blood cell survival, including haemolytic anaemias and haemoglobinopathies; and/or</w:t>
            </w:r>
          </w:p>
          <w:p w:rsidR="0005348F" w:rsidRPr="004E2001" w:rsidRDefault="0005348F" w:rsidP="003F26F6">
            <w:pPr>
              <w:pStyle w:val="Table"/>
              <w:spacing w:after="240"/>
              <w:rPr>
                <w:rFonts w:ascii="Arial Narrow" w:hAnsi="Arial Narrow"/>
              </w:rPr>
            </w:pPr>
            <w:r w:rsidRPr="004E2001">
              <w:rPr>
                <w:rFonts w:ascii="Arial Narrow" w:hAnsi="Arial Narrow"/>
              </w:rPr>
              <w:t>(b) Had red cell transfusion within the previous 3 months.</w:t>
            </w:r>
          </w:p>
          <w:p w:rsidR="0005348F" w:rsidRPr="004E2001" w:rsidRDefault="0005348F" w:rsidP="003F26F6">
            <w:pPr>
              <w:rPr>
                <w:rFonts w:ascii="Arial Narrow" w:hAnsi="Arial Narrow"/>
                <w:sz w:val="20"/>
                <w:szCs w:val="20"/>
              </w:rPr>
            </w:pPr>
            <w:r w:rsidRPr="004E2001">
              <w:rPr>
                <w:rFonts w:ascii="Arial Narrow" w:eastAsiaTheme="majorEastAsia" w:hAnsi="Arial Narrow" w:cstheme="majorBidi"/>
                <w:sz w:val="20"/>
                <w:lang w:bidi="en-US"/>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05348F" w:rsidRPr="004E2001" w:rsidTr="0005348F">
        <w:trPr>
          <w:gridAfter w:val="1"/>
          <w:wAfter w:w="45" w:type="dxa"/>
          <w:cantSplit/>
          <w:trHeight w:val="20"/>
        </w:trPr>
        <w:tc>
          <w:tcPr>
            <w:tcW w:w="2358" w:type="dxa"/>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hAnsi="Arial Narrow"/>
                <w:b/>
                <w:sz w:val="20"/>
                <w:szCs w:val="20"/>
              </w:rPr>
            </w:pPr>
            <w:r w:rsidRPr="004E2001">
              <w:rPr>
                <w:rFonts w:ascii="Arial Narrow" w:hAnsi="Arial Narrow"/>
                <w:b/>
                <w:sz w:val="20"/>
                <w:szCs w:val="20"/>
              </w:rPr>
              <w:t>Administrative Advice:</w:t>
            </w:r>
          </w:p>
          <w:p w:rsidR="0005348F" w:rsidRPr="004E2001" w:rsidRDefault="0005348F" w:rsidP="003F26F6">
            <w:pPr>
              <w:rPr>
                <w:rFonts w:ascii="Arial Narrow" w:hAnsi="Arial Narrow"/>
                <w:i/>
                <w:sz w:val="20"/>
                <w:szCs w:val="20"/>
              </w:rPr>
            </w:pPr>
          </w:p>
        </w:tc>
        <w:tc>
          <w:tcPr>
            <w:tcW w:w="6669" w:type="dxa"/>
            <w:gridSpan w:val="5"/>
            <w:tcBorders>
              <w:top w:val="single" w:sz="4" w:space="0" w:color="auto"/>
              <w:left w:val="single" w:sz="4" w:space="0" w:color="auto"/>
              <w:bottom w:val="single" w:sz="4" w:space="0" w:color="auto"/>
              <w:right w:val="single" w:sz="4" w:space="0" w:color="auto"/>
            </w:tcBorders>
          </w:tcPr>
          <w:p w:rsidR="0005348F" w:rsidRPr="004E2001" w:rsidRDefault="0005348F"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This drug is not PBS-subsidised for use as monotherapy or in combination with a dipeptidyl peptidase 4 inhibitor (gliptin), a thiazolidinedione (glitazone), an insulin or an SGLT2 inhibitor.</w:t>
            </w:r>
          </w:p>
          <w:p w:rsidR="0005348F" w:rsidRPr="004E2001" w:rsidRDefault="0005348F" w:rsidP="003F26F6">
            <w:pPr>
              <w:rPr>
                <w:rFonts w:ascii="Arial Narrow" w:eastAsiaTheme="majorEastAsia" w:hAnsi="Arial Narrow" w:cstheme="majorBidi"/>
                <w:sz w:val="20"/>
                <w:lang w:bidi="en-US"/>
              </w:rPr>
            </w:pPr>
          </w:p>
          <w:p w:rsidR="0005348F" w:rsidRPr="004E2001" w:rsidRDefault="0005348F" w:rsidP="003F26F6">
            <w:pPr>
              <w:rPr>
                <w:rFonts w:ascii="Arial Narrow" w:eastAsiaTheme="majorEastAsia" w:hAnsi="Arial Narrow" w:cstheme="majorBidi"/>
                <w:sz w:val="20"/>
                <w:lang w:bidi="en-US"/>
              </w:rPr>
            </w:pPr>
            <w:r w:rsidRPr="004E2001">
              <w:rPr>
                <w:rFonts w:ascii="Arial Narrow" w:eastAsiaTheme="majorEastAsia" w:hAnsi="Arial Narrow" w:cstheme="majorBidi"/>
                <w:sz w:val="20"/>
                <w:lang w:bidi="en-US"/>
              </w:rPr>
              <w:t>Special Pricing Arrangements Apply [TBC]</w:t>
            </w:r>
          </w:p>
        </w:tc>
      </w:tr>
    </w:tbl>
    <w:p w:rsidR="00814140" w:rsidRPr="004E2001" w:rsidRDefault="00814140" w:rsidP="003F26F6">
      <w:pPr>
        <w:jc w:val="left"/>
        <w:rPr>
          <w:rFonts w:asciiTheme="minorHAnsi" w:hAnsiTheme="minorHAnsi" w:cs="Calibri"/>
          <w:snapToGrid w:val="0"/>
        </w:rPr>
      </w:pPr>
    </w:p>
    <w:tbl>
      <w:tblPr>
        <w:tblW w:w="5000" w:type="pct"/>
        <w:tblLayout w:type="fixed"/>
        <w:tblLook w:val="0000" w:firstRow="0" w:lastRow="0" w:firstColumn="0" w:lastColumn="0" w:noHBand="0" w:noVBand="0"/>
      </w:tblPr>
      <w:tblGrid>
        <w:gridCol w:w="2361"/>
        <w:gridCol w:w="6656"/>
      </w:tblGrid>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Category / Program:</w:t>
            </w: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sz w:val="20"/>
                <w:szCs w:val="20"/>
              </w:rPr>
            </w:pPr>
            <w:r w:rsidRPr="00447E86">
              <w:rPr>
                <w:rFonts w:ascii="Arial Narrow" w:hAnsi="Arial Narrow"/>
                <w:sz w:val="20"/>
                <w:szCs w:val="20"/>
              </w:rPr>
              <w:t>GENERAL – General Schedule (Code GE)</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Prescriber type:</w:t>
            </w:r>
          </w:p>
          <w:p w:rsidR="001E69FD" w:rsidRPr="00447E86" w:rsidRDefault="001E69FD" w:rsidP="008B23AD">
            <w:pPr>
              <w:rPr>
                <w:rFonts w:ascii="Arial Narrow" w:hAnsi="Arial Narrow"/>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sz w:val="20"/>
                <w:szCs w:val="20"/>
              </w:rPr>
            </w:pPr>
            <w:r w:rsidRPr="00447E86">
              <w:rPr>
                <w:rFonts w:ascii="Arial Narrow" w:hAnsi="Arial Narrow"/>
                <w:sz w:val="20"/>
                <w:szCs w:val="20"/>
              </w:rPr>
              <w:fldChar w:fldCharType="begin">
                <w:ffData>
                  <w:name w:val="Check1"/>
                  <w:enabled/>
                  <w:calcOnExit w:val="0"/>
                  <w:checkBox>
                    <w:sizeAuto/>
                    <w:default w:val="0"/>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 xml:space="preserve">Dental  </w:t>
            </w:r>
            <w:r w:rsidRPr="00447E86">
              <w:rPr>
                <w:rFonts w:ascii="Arial Narrow" w:hAnsi="Arial Narrow"/>
                <w:sz w:val="20"/>
                <w:szCs w:val="20"/>
              </w:rPr>
              <w:fldChar w:fldCharType="begin">
                <w:ffData>
                  <w:name w:val=""/>
                  <w:enabled/>
                  <w:calcOnExit w:val="0"/>
                  <w:checkBox>
                    <w:sizeAuto/>
                    <w:default w:val="1"/>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 xml:space="preserve">Medical Practitioners  </w:t>
            </w:r>
            <w:r w:rsidRPr="00447E86">
              <w:rPr>
                <w:rFonts w:ascii="Arial Narrow" w:hAnsi="Arial Narrow"/>
                <w:sz w:val="20"/>
                <w:szCs w:val="20"/>
              </w:rPr>
              <w:fldChar w:fldCharType="begin">
                <w:ffData>
                  <w:name w:val="Check3"/>
                  <w:enabled/>
                  <w:calcOnExit w:val="0"/>
                  <w:checkBox>
                    <w:sizeAuto/>
                    <w:default w:val="1"/>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 xml:space="preserve">Nurse practitioners  </w:t>
            </w:r>
            <w:r w:rsidRPr="00447E86">
              <w:rPr>
                <w:rFonts w:ascii="Arial Narrow" w:hAnsi="Arial Narrow"/>
                <w:sz w:val="20"/>
                <w:szCs w:val="20"/>
              </w:rPr>
              <w:fldChar w:fldCharType="begin">
                <w:ffData>
                  <w:name w:val=""/>
                  <w:enabled/>
                  <w:calcOnExit w:val="0"/>
                  <w:checkBox>
                    <w:sizeAuto/>
                    <w:default w:val="0"/>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Optometrists</w:t>
            </w:r>
          </w:p>
          <w:p w:rsidR="001E69FD" w:rsidRPr="00447E86" w:rsidRDefault="001E69FD" w:rsidP="008B23AD">
            <w:pPr>
              <w:rPr>
                <w:rFonts w:ascii="Arial Narrow" w:hAnsi="Arial Narrow"/>
                <w:sz w:val="20"/>
                <w:szCs w:val="20"/>
              </w:rPr>
            </w:pPr>
            <w:r w:rsidRPr="00447E86">
              <w:rPr>
                <w:rFonts w:ascii="Arial Narrow" w:hAnsi="Arial Narrow"/>
                <w:sz w:val="20"/>
                <w:szCs w:val="20"/>
              </w:rPr>
              <w:fldChar w:fldCharType="begin">
                <w:ffData>
                  <w:name w:val="Check5"/>
                  <w:enabled/>
                  <w:calcOnExit w:val="0"/>
                  <w:checkBox>
                    <w:sizeAuto/>
                    <w:default w:val="0"/>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Midwives</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Condition:</w:t>
            </w: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pStyle w:val="Table"/>
              <w:rPr>
                <w:rFonts w:ascii="Arial Narrow" w:eastAsia="Times New Roman" w:hAnsi="Arial Narrow" w:cs="Times New Roman"/>
                <w:szCs w:val="20"/>
                <w:lang w:bidi="ar-SA"/>
              </w:rPr>
            </w:pPr>
            <w:r w:rsidRPr="00447E86">
              <w:rPr>
                <w:rFonts w:ascii="Arial Narrow" w:eastAsia="Times New Roman" w:hAnsi="Arial Narrow" w:cs="Times New Roman"/>
                <w:szCs w:val="20"/>
                <w:lang w:bidi="ar-SA"/>
              </w:rPr>
              <w:t>Diabetes mellitus type 2</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PBS Indication:</w:t>
            </w: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pStyle w:val="Table"/>
              <w:rPr>
                <w:rFonts w:ascii="Arial Narrow" w:eastAsia="Times New Roman" w:hAnsi="Arial Narrow" w:cs="Times New Roman"/>
                <w:szCs w:val="20"/>
                <w:lang w:bidi="ar-SA"/>
              </w:rPr>
            </w:pPr>
            <w:r w:rsidRPr="00447E86">
              <w:rPr>
                <w:rFonts w:ascii="Arial Narrow" w:eastAsia="Times New Roman" w:hAnsi="Arial Narrow" w:cs="Times New Roman"/>
                <w:szCs w:val="20"/>
                <w:lang w:bidi="ar-SA"/>
              </w:rPr>
              <w:t>Diabetes mellitus type 2</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Restriction Level / Method:</w:t>
            </w:r>
          </w:p>
          <w:p w:rsidR="001E69FD" w:rsidRPr="00447E86" w:rsidRDefault="001E69FD" w:rsidP="008B23AD">
            <w:pPr>
              <w:rPr>
                <w:rFonts w:ascii="Arial Narrow" w:hAnsi="Arial Narrow"/>
                <w:i/>
                <w:sz w:val="20"/>
                <w:szCs w:val="20"/>
              </w:rPr>
            </w:pPr>
          </w:p>
          <w:p w:rsidR="001E69FD" w:rsidRPr="00447E86" w:rsidRDefault="001E69FD" w:rsidP="008B23AD">
            <w:pPr>
              <w:rPr>
                <w:rFonts w:ascii="Arial Narrow" w:hAnsi="Arial Narrow"/>
                <w:i/>
                <w:sz w:val="20"/>
                <w:szCs w:val="20"/>
              </w:rPr>
            </w:pPr>
          </w:p>
          <w:p w:rsidR="001E69FD" w:rsidRPr="00447E86" w:rsidRDefault="001E69FD" w:rsidP="008B23AD">
            <w:pPr>
              <w:rPr>
                <w:rFonts w:ascii="Arial Narrow" w:hAnsi="Arial Narrow"/>
                <w:i/>
                <w:sz w:val="20"/>
                <w:szCs w:val="20"/>
              </w:rPr>
            </w:pP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sz w:val="20"/>
                <w:szCs w:val="20"/>
              </w:rPr>
            </w:pPr>
            <w:r w:rsidRPr="00447E86">
              <w:rPr>
                <w:rFonts w:ascii="Arial Narrow" w:hAnsi="Arial Narrow"/>
                <w:sz w:val="20"/>
                <w:szCs w:val="20"/>
              </w:rPr>
              <w:fldChar w:fldCharType="begin">
                <w:ffData>
                  <w:name w:val="Check1"/>
                  <w:enabled/>
                  <w:calcOnExit w:val="0"/>
                  <w:checkBox>
                    <w:sizeAuto/>
                    <w:default w:val="0"/>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Restricted benefit</w:t>
            </w:r>
          </w:p>
          <w:p w:rsidR="001E69FD" w:rsidRPr="00447E86" w:rsidRDefault="001E69FD" w:rsidP="008B23AD">
            <w:pPr>
              <w:rPr>
                <w:rFonts w:ascii="Arial Narrow" w:hAnsi="Arial Narrow"/>
                <w:sz w:val="20"/>
                <w:szCs w:val="20"/>
              </w:rPr>
            </w:pPr>
            <w:r w:rsidRPr="00447E86">
              <w:rPr>
                <w:rFonts w:ascii="Arial Narrow" w:hAnsi="Arial Narrow"/>
                <w:sz w:val="20"/>
                <w:szCs w:val="20"/>
              </w:rPr>
              <w:fldChar w:fldCharType="begin">
                <w:ffData>
                  <w:name w:val=""/>
                  <w:enabled/>
                  <w:calcOnExit w:val="0"/>
                  <w:checkBox>
                    <w:sizeAuto/>
                    <w:default w:val="0"/>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Authority Required – In Writing</w:t>
            </w:r>
          </w:p>
          <w:p w:rsidR="001E69FD" w:rsidRPr="00447E86" w:rsidRDefault="001E69FD" w:rsidP="008B23AD">
            <w:pPr>
              <w:rPr>
                <w:rFonts w:ascii="Arial Narrow" w:hAnsi="Arial Narrow"/>
                <w:sz w:val="20"/>
                <w:szCs w:val="20"/>
              </w:rPr>
            </w:pPr>
            <w:r w:rsidRPr="00447E86">
              <w:rPr>
                <w:rFonts w:ascii="Arial Narrow" w:hAnsi="Arial Narrow"/>
                <w:sz w:val="20"/>
                <w:szCs w:val="20"/>
              </w:rPr>
              <w:fldChar w:fldCharType="begin">
                <w:ffData>
                  <w:name w:val="Check3"/>
                  <w:enabled/>
                  <w:calcOnExit w:val="0"/>
                  <w:checkBox>
                    <w:sizeAuto/>
                    <w:default w:val="0"/>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Authority Required – Telephone/Electronic/Emergency</w:t>
            </w:r>
          </w:p>
          <w:p w:rsidR="001E69FD" w:rsidRPr="00447E86" w:rsidRDefault="001E69FD" w:rsidP="008B23AD">
            <w:pPr>
              <w:rPr>
                <w:rFonts w:ascii="Arial Narrow" w:hAnsi="Arial Narrow"/>
                <w:sz w:val="20"/>
                <w:szCs w:val="20"/>
              </w:rPr>
            </w:pPr>
            <w:r w:rsidRPr="00447E86">
              <w:rPr>
                <w:rFonts w:ascii="Arial Narrow" w:hAnsi="Arial Narrow"/>
                <w:sz w:val="20"/>
                <w:szCs w:val="20"/>
              </w:rPr>
              <w:fldChar w:fldCharType="begin">
                <w:ffData>
                  <w:name w:val=""/>
                  <w:enabled/>
                  <w:calcOnExit w:val="0"/>
                  <w:checkBox>
                    <w:sizeAuto/>
                    <w:default w:val="1"/>
                  </w:checkBox>
                </w:ffData>
              </w:fldChar>
            </w:r>
            <w:r w:rsidRPr="00447E86">
              <w:rPr>
                <w:rFonts w:ascii="Arial Narrow" w:hAnsi="Arial Narrow"/>
                <w:sz w:val="20"/>
                <w:szCs w:val="20"/>
              </w:rPr>
              <w:instrText xml:space="preserve"> FORMCHECKBOX </w:instrText>
            </w:r>
            <w:r w:rsidR="00324120">
              <w:rPr>
                <w:rFonts w:ascii="Arial Narrow" w:hAnsi="Arial Narrow"/>
                <w:sz w:val="20"/>
                <w:szCs w:val="20"/>
              </w:rPr>
            </w:r>
            <w:r w:rsidR="00324120">
              <w:rPr>
                <w:rFonts w:ascii="Arial Narrow" w:hAnsi="Arial Narrow"/>
                <w:sz w:val="20"/>
                <w:szCs w:val="20"/>
              </w:rPr>
              <w:fldChar w:fldCharType="separate"/>
            </w:r>
            <w:r w:rsidRPr="00447E86">
              <w:rPr>
                <w:rFonts w:ascii="Arial Narrow" w:hAnsi="Arial Narrow"/>
                <w:sz w:val="20"/>
                <w:szCs w:val="20"/>
              </w:rPr>
              <w:fldChar w:fldCharType="end"/>
            </w:r>
            <w:r w:rsidRPr="00447E86">
              <w:rPr>
                <w:rFonts w:ascii="Arial Narrow" w:hAnsi="Arial Narrow"/>
                <w:sz w:val="20"/>
                <w:szCs w:val="20"/>
              </w:rPr>
              <w:t>Streamlined</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Clinical criteria:</w:t>
            </w:r>
          </w:p>
          <w:p w:rsidR="001E69FD" w:rsidRPr="00447E86" w:rsidRDefault="001E69FD" w:rsidP="008B23AD">
            <w:pPr>
              <w:rPr>
                <w:rFonts w:ascii="Arial Narrow" w:hAnsi="Arial Narrow"/>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pStyle w:val="Table"/>
              <w:rPr>
                <w:rFonts w:ascii="Arial Narrow" w:hAnsi="Arial Narrow"/>
              </w:rPr>
            </w:pPr>
            <w:r w:rsidRPr="00447E86">
              <w:rPr>
                <w:rFonts w:ascii="Arial Narrow" w:hAnsi="Arial Narrow"/>
              </w:rPr>
              <w:t>The treatment must be in combination with metformin,</w:t>
            </w:r>
          </w:p>
          <w:p w:rsidR="001E69FD" w:rsidRPr="00447E86" w:rsidRDefault="001E69FD" w:rsidP="008B23AD">
            <w:pPr>
              <w:pStyle w:val="Table"/>
              <w:rPr>
                <w:rFonts w:ascii="Arial Narrow" w:hAnsi="Arial Narrow"/>
              </w:rPr>
            </w:pPr>
            <w:r w:rsidRPr="00447E86">
              <w:rPr>
                <w:rFonts w:ascii="Arial Narrow" w:hAnsi="Arial Narrow"/>
              </w:rPr>
              <w:t>AND</w:t>
            </w:r>
          </w:p>
          <w:p w:rsidR="001E69FD" w:rsidRPr="00447E86" w:rsidRDefault="001E69FD" w:rsidP="008B23AD">
            <w:pPr>
              <w:pStyle w:val="Table"/>
              <w:rPr>
                <w:rFonts w:ascii="Arial Narrow" w:hAnsi="Arial Narrow"/>
              </w:rPr>
            </w:pPr>
          </w:p>
          <w:p w:rsidR="001E69FD" w:rsidRPr="00447E86" w:rsidRDefault="001E69FD" w:rsidP="008B23AD">
            <w:pPr>
              <w:pStyle w:val="Table"/>
              <w:rPr>
                <w:rFonts w:ascii="Arial Narrow" w:hAnsi="Arial Narrow"/>
              </w:rPr>
            </w:pPr>
            <w:r w:rsidRPr="00447E86">
              <w:rPr>
                <w:rFonts w:ascii="Arial Narrow" w:hAnsi="Arial Narrow"/>
              </w:rPr>
              <w:t>The treatment must be in combination with a sulfonylurea,</w:t>
            </w:r>
          </w:p>
          <w:p w:rsidR="001E69FD" w:rsidRPr="00447E86" w:rsidRDefault="001E69FD" w:rsidP="008B23AD">
            <w:pPr>
              <w:pStyle w:val="Table"/>
              <w:rPr>
                <w:rFonts w:ascii="Arial Narrow" w:hAnsi="Arial Narrow"/>
              </w:rPr>
            </w:pPr>
            <w:r w:rsidRPr="00447E86">
              <w:rPr>
                <w:rFonts w:ascii="Arial Narrow" w:hAnsi="Arial Narrow"/>
              </w:rPr>
              <w:t>AND</w:t>
            </w:r>
          </w:p>
          <w:p w:rsidR="001E69FD" w:rsidRPr="00447E86" w:rsidRDefault="001E69FD" w:rsidP="008B23AD">
            <w:pPr>
              <w:pStyle w:val="Table"/>
              <w:rPr>
                <w:rFonts w:ascii="Arial Narrow" w:hAnsi="Arial Narrow"/>
              </w:rPr>
            </w:pPr>
          </w:p>
          <w:p w:rsidR="001E69FD" w:rsidRPr="00447E86" w:rsidRDefault="001E69FD" w:rsidP="008B23AD">
            <w:pPr>
              <w:pStyle w:val="Table"/>
              <w:rPr>
                <w:rFonts w:ascii="Arial Narrow" w:hAnsi="Arial Narrow"/>
              </w:rPr>
            </w:pPr>
            <w:r w:rsidRPr="00447E86">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w:t>
            </w:r>
          </w:p>
          <w:p w:rsidR="001E69FD" w:rsidRPr="00447E86" w:rsidRDefault="001E69FD" w:rsidP="008B23AD">
            <w:pPr>
              <w:pStyle w:val="Table"/>
              <w:rPr>
                <w:rFonts w:ascii="Arial Narrow" w:hAnsi="Arial Narrow"/>
              </w:rPr>
            </w:pPr>
            <w:r w:rsidRPr="00447E86">
              <w:rPr>
                <w:rFonts w:ascii="Arial Narrow" w:hAnsi="Arial Narrow"/>
              </w:rPr>
              <w:t>OR</w:t>
            </w:r>
          </w:p>
          <w:p w:rsidR="001E69FD" w:rsidRPr="00447E86" w:rsidRDefault="001E69FD" w:rsidP="008B23AD">
            <w:pPr>
              <w:rPr>
                <w:rFonts w:ascii="Arial Narrow" w:eastAsiaTheme="majorEastAsia" w:hAnsi="Arial Narrow" w:cstheme="majorBidi"/>
                <w:sz w:val="20"/>
                <w:lang w:bidi="en-US"/>
              </w:rPr>
            </w:pPr>
            <w:r w:rsidRPr="00447E86">
              <w:rPr>
                <w:rFonts w:ascii="Arial Narrow" w:eastAsiaTheme="majorEastAsia" w:hAnsi="Arial Narrow" w:cstheme="majorBidi"/>
                <w:sz w:val="20"/>
                <w:lang w:bidi="en-US"/>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lastRenderedPageBreak/>
              <w:t>Prescriber Instructions:</w:t>
            </w:r>
          </w:p>
          <w:p w:rsidR="001E69FD" w:rsidRPr="00447E86" w:rsidRDefault="001E69FD" w:rsidP="008B23AD">
            <w:pPr>
              <w:rPr>
                <w:rFonts w:ascii="Arial Narrow" w:hAnsi="Arial Narrow"/>
                <w:sz w:val="20"/>
                <w:szCs w:val="20"/>
              </w:rPr>
            </w:pPr>
          </w:p>
        </w:tc>
        <w:tc>
          <w:tcPr>
            <w:tcW w:w="6656" w:type="dxa"/>
            <w:tcBorders>
              <w:top w:val="single" w:sz="4" w:space="0" w:color="auto"/>
              <w:left w:val="single" w:sz="4" w:space="0" w:color="auto"/>
              <w:bottom w:val="single" w:sz="4" w:space="0" w:color="auto"/>
              <w:right w:val="single" w:sz="4" w:space="0" w:color="auto"/>
            </w:tcBorders>
          </w:tcPr>
          <w:p w:rsidR="001E69FD" w:rsidRPr="001E69FD" w:rsidRDefault="001E69FD" w:rsidP="008B23AD">
            <w:pPr>
              <w:pStyle w:val="Table"/>
              <w:spacing w:after="240"/>
              <w:rPr>
                <w:rFonts w:ascii="Arial Narrow" w:hAnsi="Arial Narrow"/>
              </w:rPr>
            </w:pPr>
            <w:r w:rsidRPr="001E69FD">
              <w:rPr>
                <w:rFonts w:ascii="Arial Narrow" w:hAnsi="Arial Narrow"/>
              </w:rPr>
              <w:t xml:space="preserve">The date and level of the qualifying HbA1c measurement must be, or must have been, documented in the patient's medical records at the time treatment with a gliptin, a glitazone, a glucagon-like peptide-1 or an SGLT2 inhibitor is initiated. The HbA1c must be no more than 4 months old at the time treatment with a gliptin, a glitazone, a glucagon-like peptide-1 or an SGLT2 inhibitor was initiated. </w:t>
            </w:r>
          </w:p>
          <w:p w:rsidR="001E69FD" w:rsidRPr="001E69FD" w:rsidRDefault="001E69FD" w:rsidP="008B23AD">
            <w:pPr>
              <w:pStyle w:val="Table"/>
              <w:spacing w:after="240"/>
              <w:rPr>
                <w:rFonts w:ascii="Arial Narrow" w:hAnsi="Arial Narrow"/>
              </w:rPr>
            </w:pPr>
            <w:r w:rsidRPr="001E69FD">
              <w:rPr>
                <w:rFonts w:ascii="Arial Narrow" w:hAnsi="Arial Narrow"/>
              </w:rPr>
              <w:t>Blood glucose monitoring may be used as an alternative assessment to HbA1c levels in the following circumstances:</w:t>
            </w:r>
          </w:p>
          <w:p w:rsidR="001E69FD" w:rsidRPr="001E69FD" w:rsidRDefault="001E69FD" w:rsidP="008B23AD">
            <w:pPr>
              <w:pStyle w:val="Table"/>
              <w:spacing w:after="240"/>
              <w:rPr>
                <w:rFonts w:ascii="Arial Narrow" w:hAnsi="Arial Narrow"/>
              </w:rPr>
            </w:pPr>
            <w:r w:rsidRPr="001E69FD">
              <w:rPr>
                <w:rFonts w:ascii="Arial Narrow" w:hAnsi="Arial Narrow"/>
              </w:rPr>
              <w:t>(a) A clinical condition with reduced red blood cell survival, including haemolytic anaemias and haemoglobinopathies; and/or</w:t>
            </w:r>
          </w:p>
          <w:p w:rsidR="001E69FD" w:rsidRPr="001E69FD" w:rsidRDefault="001E69FD" w:rsidP="008B23AD">
            <w:pPr>
              <w:pStyle w:val="Table"/>
              <w:spacing w:after="240"/>
              <w:rPr>
                <w:rFonts w:ascii="Arial Narrow" w:hAnsi="Arial Narrow"/>
              </w:rPr>
            </w:pPr>
            <w:r w:rsidRPr="001E69FD">
              <w:rPr>
                <w:rFonts w:ascii="Arial Narrow" w:hAnsi="Arial Narrow"/>
              </w:rPr>
              <w:t>(b) Had red cell transfusion within the previous 3 months.</w:t>
            </w:r>
          </w:p>
          <w:p w:rsidR="001E69FD" w:rsidRPr="00447E86" w:rsidRDefault="001E69FD" w:rsidP="008B23AD">
            <w:pPr>
              <w:rPr>
                <w:rFonts w:ascii="Arial Narrow" w:hAnsi="Arial Narrow"/>
                <w:sz w:val="20"/>
                <w:szCs w:val="20"/>
              </w:rPr>
            </w:pPr>
            <w:r w:rsidRPr="001E69FD">
              <w:rPr>
                <w:rFonts w:ascii="Arial Narrow" w:eastAsiaTheme="majorEastAsia" w:hAnsi="Arial Narrow" w:cstheme="majorBidi"/>
                <w:sz w:val="20"/>
                <w:lang w:bidi="en-US"/>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E69FD" w:rsidRPr="00447E86" w:rsidTr="001E69FD">
        <w:trPr>
          <w:cantSplit/>
          <w:trHeight w:val="20"/>
        </w:trPr>
        <w:tc>
          <w:tcPr>
            <w:tcW w:w="2361"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hAnsi="Arial Narrow"/>
                <w:b/>
                <w:sz w:val="20"/>
                <w:szCs w:val="20"/>
              </w:rPr>
            </w:pPr>
            <w:r w:rsidRPr="00447E86">
              <w:rPr>
                <w:rFonts w:ascii="Arial Narrow" w:hAnsi="Arial Narrow"/>
                <w:b/>
                <w:sz w:val="20"/>
                <w:szCs w:val="20"/>
              </w:rPr>
              <w:t>Administrative Advice:</w:t>
            </w:r>
          </w:p>
          <w:p w:rsidR="001E69FD" w:rsidRPr="00447E86" w:rsidRDefault="001E69FD" w:rsidP="008B23AD">
            <w:pPr>
              <w:rPr>
                <w:rFonts w:ascii="Arial Narrow" w:hAnsi="Arial Narrow"/>
                <w:i/>
                <w:sz w:val="20"/>
                <w:szCs w:val="20"/>
              </w:rPr>
            </w:pPr>
          </w:p>
        </w:tc>
        <w:tc>
          <w:tcPr>
            <w:tcW w:w="6656" w:type="dxa"/>
            <w:tcBorders>
              <w:top w:val="single" w:sz="4" w:space="0" w:color="auto"/>
              <w:left w:val="single" w:sz="4" w:space="0" w:color="auto"/>
              <w:bottom w:val="single" w:sz="4" w:space="0" w:color="auto"/>
              <w:right w:val="single" w:sz="4" w:space="0" w:color="auto"/>
            </w:tcBorders>
          </w:tcPr>
          <w:p w:rsidR="001E69FD" w:rsidRPr="00447E86" w:rsidRDefault="001E69FD" w:rsidP="008B23AD">
            <w:pPr>
              <w:rPr>
                <w:rFonts w:ascii="Arial Narrow" w:eastAsiaTheme="majorEastAsia" w:hAnsi="Arial Narrow" w:cstheme="majorBidi"/>
                <w:sz w:val="20"/>
                <w:lang w:bidi="en-US"/>
              </w:rPr>
            </w:pPr>
            <w:r w:rsidRPr="00447E86">
              <w:rPr>
                <w:rFonts w:ascii="Arial Narrow" w:eastAsiaTheme="majorEastAsia" w:hAnsi="Arial Narrow" w:cstheme="majorBidi"/>
                <w:sz w:val="20"/>
                <w:lang w:bidi="en-US"/>
              </w:rPr>
              <w:t>This drug is not PBS-subsidised for use as monotherapy or in combination with a dipeptidyl peptidase 4 inhibitor (gliptin), a thiazolidinedione (glitazone), an insulin or an SGLT2 inhibitor.</w:t>
            </w:r>
          </w:p>
          <w:p w:rsidR="001E69FD" w:rsidRPr="00447E86" w:rsidRDefault="001E69FD" w:rsidP="008B23AD">
            <w:pPr>
              <w:rPr>
                <w:rFonts w:ascii="Arial Narrow" w:eastAsiaTheme="majorEastAsia" w:hAnsi="Arial Narrow" w:cstheme="majorBidi"/>
                <w:sz w:val="20"/>
                <w:lang w:bidi="en-US"/>
              </w:rPr>
            </w:pPr>
          </w:p>
          <w:p w:rsidR="001E69FD" w:rsidRPr="00447E86" w:rsidRDefault="001E69FD" w:rsidP="008B23AD">
            <w:pPr>
              <w:rPr>
                <w:rFonts w:ascii="Arial Narrow" w:eastAsiaTheme="majorEastAsia" w:hAnsi="Arial Narrow" w:cstheme="majorBidi"/>
                <w:sz w:val="20"/>
                <w:lang w:bidi="en-US"/>
              </w:rPr>
            </w:pPr>
            <w:r w:rsidRPr="00447E86">
              <w:rPr>
                <w:rFonts w:ascii="Arial Narrow" w:eastAsiaTheme="majorEastAsia" w:hAnsi="Arial Narrow" w:cstheme="majorBidi"/>
                <w:sz w:val="20"/>
                <w:lang w:bidi="en-US"/>
              </w:rPr>
              <w:t>Special Pricing Arrangements Apply [TBC]</w:t>
            </w:r>
          </w:p>
        </w:tc>
      </w:tr>
    </w:tbl>
    <w:p w:rsidR="00790246" w:rsidRDefault="00790246" w:rsidP="001E69FD">
      <w:pPr>
        <w:pStyle w:val="Bodytextitalics"/>
        <w:tabs>
          <w:tab w:val="left" w:pos="720"/>
        </w:tabs>
        <w:ind w:left="0" w:firstLine="0"/>
      </w:pPr>
    </w:p>
    <w:p w:rsidR="002B6E03" w:rsidRPr="00324120" w:rsidRDefault="003063F9" w:rsidP="00324120">
      <w:pPr>
        <w:pStyle w:val="Bodytextitalics"/>
        <w:tabs>
          <w:tab w:val="left" w:pos="720"/>
        </w:tabs>
        <w:ind w:left="0" w:firstLine="0"/>
        <w:rPr>
          <w:b/>
          <w:caps/>
          <w:sz w:val="32"/>
        </w:rPr>
      </w:pPr>
      <w:r w:rsidRPr="004E2001">
        <w:t>This restriction may be subject to further review. Should there be any changes made to the restriction the Sponsor will be informed.</w:t>
      </w:r>
      <w:bookmarkStart w:id="17" w:name="_GoBack"/>
      <w:bookmarkEnd w:id="17"/>
    </w:p>
    <w:p w:rsidR="002B6E03" w:rsidRPr="002B6E03" w:rsidRDefault="002B6E03" w:rsidP="002B6E03">
      <w:pPr>
        <w:pStyle w:val="2-SectionHeading"/>
      </w:pPr>
      <w:r w:rsidRPr="002B6E03">
        <w:t>Context for Decision</w:t>
      </w:r>
    </w:p>
    <w:p w:rsidR="002B6E03" w:rsidRPr="002B6E03" w:rsidRDefault="00F062BA" w:rsidP="002B6E03">
      <w:pPr>
        <w:spacing w:line="276" w:lineRule="auto"/>
        <w:rPr>
          <w:rFonts w:asciiTheme="minorHAnsi" w:eastAsiaTheme="minorHAnsi" w:hAnsiTheme="minorHAnsi"/>
          <w:szCs w:val="22"/>
          <w:lang w:eastAsia="en-US"/>
        </w:rPr>
      </w:pPr>
      <w:r w:rsidRPr="00F062BA">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B7B23" w:rsidRPr="00DB7B23" w:rsidRDefault="00DB7B23" w:rsidP="00DB7B23">
      <w:pPr>
        <w:pStyle w:val="2-SectionHeading"/>
      </w:pPr>
      <w:r w:rsidRPr="00DB7B23">
        <w:t>Sponsor’s Comment</w:t>
      </w:r>
    </w:p>
    <w:p w:rsidR="005667A6" w:rsidRPr="00AE6884" w:rsidRDefault="00AE6884" w:rsidP="00AE6884">
      <w:pPr>
        <w:spacing w:after="120" w:line="276" w:lineRule="auto"/>
        <w:rPr>
          <w:rFonts w:asciiTheme="minorHAnsi" w:eastAsiaTheme="minorHAnsi" w:hAnsiTheme="minorHAnsi"/>
          <w:bCs/>
          <w:szCs w:val="22"/>
          <w:lang w:eastAsia="en-US"/>
        </w:rPr>
      </w:pPr>
      <w:r>
        <w:rPr>
          <w:rFonts w:asciiTheme="minorHAnsi" w:eastAsiaTheme="minorHAnsi" w:hAnsiTheme="minorHAnsi"/>
          <w:bCs/>
          <w:szCs w:val="22"/>
          <w:lang w:eastAsia="en-US"/>
        </w:rPr>
        <w:t>The sponsor had no comment.</w:t>
      </w:r>
    </w:p>
    <w:sectPr w:rsidR="005667A6" w:rsidRPr="00AE6884" w:rsidSect="0068664E">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DA147" w16cid:durableId="2186221A"/>
  <w16cid:commentId w16cid:paraId="75796430" w16cid:durableId="21861FF8"/>
  <w16cid:commentId w16cid:paraId="16CD8E22" w16cid:durableId="218625FA"/>
  <w16cid:commentId w16cid:paraId="678DFA49" w16cid:durableId="21863581"/>
  <w16cid:commentId w16cid:paraId="29544EC5" w16cid:durableId="21861FF9"/>
  <w16cid:commentId w16cid:paraId="768DAB38" w16cid:durableId="21864E75"/>
  <w16cid:commentId w16cid:paraId="23BEAD76" w16cid:durableId="21861FFA"/>
  <w16cid:commentId w16cid:paraId="5FE64496" w16cid:durableId="21864F38"/>
  <w16cid:commentId w16cid:paraId="2FD1F767" w16cid:durableId="21861FFB"/>
  <w16cid:commentId w16cid:paraId="05474A20" w16cid:durableId="21864F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2A" w:rsidRDefault="0076592A" w:rsidP="00124A51">
      <w:r>
        <w:separator/>
      </w:r>
    </w:p>
    <w:p w:rsidR="0076592A" w:rsidRDefault="0076592A"/>
  </w:endnote>
  <w:endnote w:type="continuationSeparator" w:id="0">
    <w:p w:rsidR="0076592A" w:rsidRDefault="0076592A" w:rsidP="00124A51">
      <w:r>
        <w:continuationSeparator/>
      </w:r>
    </w:p>
    <w:p w:rsidR="0076592A" w:rsidRDefault="00765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panose1 w:val="020B07040202020202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abon">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C6" w:rsidRDefault="00B56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C6" w:rsidRDefault="00B56AC6">
    <w:pPr>
      <w:pStyle w:val="Footer"/>
      <w:jc w:val="center"/>
    </w:pPr>
  </w:p>
  <w:p w:rsidR="00B56AC6" w:rsidRPr="00B94A47" w:rsidRDefault="00324120" w:rsidP="00B94A47">
    <w:pPr>
      <w:pStyle w:val="Footer"/>
      <w:jc w:val="center"/>
      <w:rPr>
        <w:b/>
      </w:rPr>
    </w:pPr>
    <w:sdt>
      <w:sdtPr>
        <w:rPr>
          <w:b/>
        </w:rPr>
        <w:id w:val="-1053002521"/>
        <w:docPartObj>
          <w:docPartGallery w:val="Page Numbers (Bottom of Page)"/>
          <w:docPartUnique/>
        </w:docPartObj>
      </w:sdtPr>
      <w:sdtEndPr>
        <w:rPr>
          <w:noProof/>
        </w:rPr>
      </w:sdtEndPr>
      <w:sdtContent>
        <w:r w:rsidR="00B56AC6" w:rsidRPr="00B94A47">
          <w:rPr>
            <w:b/>
          </w:rPr>
          <w:fldChar w:fldCharType="begin"/>
        </w:r>
        <w:r w:rsidR="00B56AC6" w:rsidRPr="00B94A47">
          <w:rPr>
            <w:b/>
          </w:rPr>
          <w:instrText xml:space="preserve"> PAGE   \* MERGEFORMAT </w:instrText>
        </w:r>
        <w:r w:rsidR="00B56AC6" w:rsidRPr="00B94A47">
          <w:rPr>
            <w:b/>
          </w:rPr>
          <w:fldChar w:fldCharType="separate"/>
        </w:r>
        <w:r>
          <w:rPr>
            <w:b/>
            <w:noProof/>
          </w:rPr>
          <w:t>46</w:t>
        </w:r>
        <w:r w:rsidR="00B56AC6" w:rsidRPr="00B94A47">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C6" w:rsidRDefault="00B5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2A" w:rsidRDefault="0076592A" w:rsidP="00124A51">
      <w:r>
        <w:separator/>
      </w:r>
    </w:p>
    <w:p w:rsidR="0076592A" w:rsidRDefault="0076592A"/>
  </w:footnote>
  <w:footnote w:type="continuationSeparator" w:id="0">
    <w:p w:rsidR="0076592A" w:rsidRDefault="0076592A" w:rsidP="00124A51">
      <w:r>
        <w:continuationSeparator/>
      </w:r>
    </w:p>
    <w:p w:rsidR="0076592A" w:rsidRDefault="0076592A"/>
  </w:footnote>
  <w:footnote w:id="1">
    <w:p w:rsidR="00B56AC6" w:rsidRPr="00417326" w:rsidRDefault="00B56AC6" w:rsidP="00417326">
      <w:pPr>
        <w:pStyle w:val="FootnoteText"/>
        <w:rPr>
          <w:rFonts w:asciiTheme="minorHAnsi" w:hAnsiTheme="minorHAnsi" w:cstheme="minorHAnsi"/>
        </w:rPr>
      </w:pPr>
      <w:r w:rsidRPr="00417326">
        <w:rPr>
          <w:rStyle w:val="FootnoteReference"/>
          <w:rFonts w:asciiTheme="minorHAnsi" w:hAnsiTheme="minorHAnsi" w:cstheme="minorHAnsi"/>
        </w:rPr>
        <w:footnoteRef/>
      </w:r>
      <w:r w:rsidRPr="00417326">
        <w:rPr>
          <w:rFonts w:asciiTheme="minorHAnsi" w:hAnsiTheme="minorHAnsi" w:cstheme="minorHAnsi"/>
        </w:rPr>
        <w:t xml:space="preserve"> Davies, M.J., D’Alessio, D.A., Fradkin, J. et al. </w:t>
      </w:r>
    </w:p>
    <w:p w:rsidR="00B56AC6" w:rsidRDefault="00B56AC6" w:rsidP="00417326">
      <w:pPr>
        <w:pStyle w:val="FootnoteText"/>
      </w:pPr>
      <w:r w:rsidRPr="00417326">
        <w:rPr>
          <w:rFonts w:asciiTheme="minorHAnsi" w:hAnsiTheme="minorHAnsi" w:cstheme="minorHAnsi"/>
        </w:rPr>
        <w:t>Jointly published</w:t>
      </w:r>
      <w:r>
        <w:rPr>
          <w:rFonts w:asciiTheme="minorHAnsi" w:hAnsiTheme="minorHAnsi" w:cstheme="minorHAnsi"/>
        </w:rPr>
        <w:t xml:space="preserve"> in</w:t>
      </w:r>
      <w:r w:rsidRPr="00417326">
        <w:rPr>
          <w:rFonts w:asciiTheme="minorHAnsi" w:hAnsiTheme="minorHAnsi" w:cstheme="minorHAnsi"/>
        </w:rPr>
        <w:t>:</w:t>
      </w:r>
      <w:r>
        <w:rPr>
          <w:rFonts w:asciiTheme="minorHAnsi" w:hAnsiTheme="minorHAnsi" w:cstheme="minorHAnsi"/>
        </w:rPr>
        <w:t xml:space="preserve"> </w:t>
      </w:r>
      <w:r w:rsidRPr="00417326">
        <w:rPr>
          <w:rFonts w:asciiTheme="minorHAnsi" w:hAnsiTheme="minorHAnsi" w:cstheme="minorHAnsi"/>
        </w:rPr>
        <w:t>Diabetes Care 2018 Dec; 41(12): 2669-2701</w:t>
      </w:r>
      <w:r>
        <w:rPr>
          <w:rFonts w:asciiTheme="minorHAnsi" w:hAnsiTheme="minorHAnsi" w:cstheme="minorHAnsi"/>
        </w:rPr>
        <w:t xml:space="preserve">; and </w:t>
      </w:r>
      <w:r w:rsidRPr="00417326">
        <w:rPr>
          <w:rFonts w:asciiTheme="minorHAnsi" w:hAnsiTheme="minorHAnsi" w:cstheme="minorHAnsi"/>
        </w:rPr>
        <w:t>Diabetologia 2018 Dec; 61(12): 2461 - 2498</w:t>
      </w:r>
    </w:p>
  </w:footnote>
  <w:footnote w:id="2">
    <w:p w:rsidR="00B56AC6" w:rsidRPr="00204F10" w:rsidRDefault="00B56AC6" w:rsidP="00922E58">
      <w:pPr>
        <w:pStyle w:val="FootnoteText"/>
        <w:rPr>
          <w:rFonts w:asciiTheme="minorHAnsi" w:hAnsiTheme="minorHAnsi" w:cstheme="minorHAnsi"/>
        </w:rPr>
      </w:pPr>
      <w:r w:rsidRPr="00204F10">
        <w:rPr>
          <w:rStyle w:val="FootnoteReference"/>
          <w:rFonts w:asciiTheme="minorHAnsi" w:hAnsiTheme="minorHAnsi" w:cstheme="minorHAnsi"/>
        </w:rPr>
        <w:footnoteRef/>
      </w:r>
      <w:r w:rsidRPr="00204F10">
        <w:rPr>
          <w:rFonts w:asciiTheme="minorHAnsi" w:hAnsiTheme="minorHAnsi" w:cstheme="minorHAnsi"/>
        </w:rPr>
        <w:t xml:space="preserve"> </w:t>
      </w:r>
      <w:hyperlink r:id="rId1" w:history="1">
        <w:r w:rsidRPr="00204F10">
          <w:rPr>
            <w:rStyle w:val="Hyperlink"/>
            <w:rFonts w:asciiTheme="minorHAnsi" w:hAnsiTheme="minorHAnsi" w:cstheme="minorHAnsi"/>
          </w:rPr>
          <w:t>http://t2d.diabetessociety.com.au/documents/vNuZ2sHG.pdf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C6" w:rsidRDefault="00B5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C6" w:rsidRPr="00056684" w:rsidRDefault="00B56AC6" w:rsidP="00B94A47">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2019</w:t>
    </w:r>
    <w:r w:rsidRPr="00056684">
      <w:rPr>
        <w:rFonts w:asciiTheme="minorHAnsi" w:hAnsiTheme="minorHAnsi"/>
        <w:i/>
        <w:color w:val="808080"/>
      </w:rPr>
      <w:t xml:space="preserve"> PBAC Meeting</w:t>
    </w:r>
  </w:p>
  <w:p w:rsidR="00B56AC6" w:rsidRPr="008C7ECB" w:rsidRDefault="00B56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C6" w:rsidRDefault="00B56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4CD5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F078C"/>
    <w:multiLevelType w:val="hybridMultilevel"/>
    <w:tmpl w:val="8C10CFBA"/>
    <w:lvl w:ilvl="0" w:tplc="0C4E4756">
      <w:start w:val="1"/>
      <w:numFmt w:val="lowerLetter"/>
      <w:pStyle w:val="NormalLetter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449A2"/>
    <w:multiLevelType w:val="multilevel"/>
    <w:tmpl w:val="5F5E2DF6"/>
    <w:lvl w:ilvl="0">
      <w:start w:val="1"/>
      <w:numFmt w:val="none"/>
      <w:pStyle w:val="AltLevel1"/>
      <w:lvlText w:val="B(i)."/>
      <w:lvlJc w:val="left"/>
      <w:pPr>
        <w:ind w:left="360" w:hanging="360"/>
      </w:pPr>
      <w:rPr>
        <w:rFonts w:hint="default"/>
      </w:rPr>
    </w:lvl>
    <w:lvl w:ilvl="1">
      <w:start w:val="1"/>
      <w:numFmt w:val="decimal"/>
      <w:pStyle w:val="AltLevel1"/>
      <w:lvlText w:val="B(i).%1%2."/>
      <w:lvlJc w:val="left"/>
      <w:pPr>
        <w:ind w:left="792" w:hanging="432"/>
      </w:pPr>
      <w:rPr>
        <w:rFonts w:hint="default"/>
      </w:rPr>
    </w:lvl>
    <w:lvl w:ilvl="2">
      <w:start w:val="1"/>
      <w:numFmt w:val="decimal"/>
      <w:lvlText w:val="B(i).%2.%3."/>
      <w:lvlJc w:val="left"/>
      <w:pPr>
        <w:ind w:left="1224" w:hanging="504"/>
      </w:pPr>
      <w:rPr>
        <w:rFonts w:hint="default"/>
      </w:rPr>
    </w:lvl>
    <w:lvl w:ilvl="3">
      <w:start w:val="1"/>
      <w:numFmt w:val="decimal"/>
      <w:lvlText w:val="B(i).%1%2.%3.%4."/>
      <w:lvlJc w:val="left"/>
      <w:pPr>
        <w:ind w:left="1728" w:hanging="648"/>
      </w:pPr>
      <w:rPr>
        <w:rFonts w:hint="default"/>
      </w:rPr>
    </w:lvl>
    <w:lvl w:ilvl="4">
      <w:start w:val="1"/>
      <w:numFmt w:val="decimal"/>
      <w:lvlText w:val="B(i).%1%2.%3.%4.%5."/>
      <w:lvlJc w:val="left"/>
      <w:pPr>
        <w:ind w:left="2232" w:hanging="792"/>
      </w:pPr>
      <w:rPr>
        <w:rFonts w:hint="default"/>
      </w:rPr>
    </w:lvl>
    <w:lvl w:ilvl="5">
      <w:start w:val="1"/>
      <w:numFmt w:val="decimal"/>
      <w:lvlText w:val="B(i).%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7A5ACE"/>
    <w:multiLevelType w:val="hybridMultilevel"/>
    <w:tmpl w:val="CC56A6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656BA3"/>
    <w:multiLevelType w:val="hybridMultilevel"/>
    <w:tmpl w:val="33BC3BEA"/>
    <w:styleLink w:val="Style221"/>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335"/>
    <w:multiLevelType w:val="hybridMultilevel"/>
    <w:tmpl w:val="1A2C83F4"/>
    <w:lvl w:ilvl="0" w:tplc="98940A90">
      <w:start w:val="1"/>
      <w:numFmt w:val="bullet"/>
      <w:lvlText w:val="•"/>
      <w:lvlJc w:val="left"/>
      <w:pPr>
        <w:tabs>
          <w:tab w:val="num" w:pos="720"/>
        </w:tabs>
        <w:ind w:left="720" w:hanging="360"/>
      </w:pPr>
      <w:rPr>
        <w:rFonts w:ascii="Arial" w:hAnsi="Arial" w:hint="default"/>
      </w:rPr>
    </w:lvl>
    <w:lvl w:ilvl="1" w:tplc="9E6C3D46" w:tentative="1">
      <w:start w:val="1"/>
      <w:numFmt w:val="bullet"/>
      <w:lvlText w:val="•"/>
      <w:lvlJc w:val="left"/>
      <w:pPr>
        <w:tabs>
          <w:tab w:val="num" w:pos="1440"/>
        </w:tabs>
        <w:ind w:left="1440" w:hanging="360"/>
      </w:pPr>
      <w:rPr>
        <w:rFonts w:ascii="Arial" w:hAnsi="Arial" w:hint="default"/>
      </w:rPr>
    </w:lvl>
    <w:lvl w:ilvl="2" w:tplc="1284C9DA" w:tentative="1">
      <w:start w:val="1"/>
      <w:numFmt w:val="bullet"/>
      <w:lvlText w:val="•"/>
      <w:lvlJc w:val="left"/>
      <w:pPr>
        <w:tabs>
          <w:tab w:val="num" w:pos="2160"/>
        </w:tabs>
        <w:ind w:left="2160" w:hanging="360"/>
      </w:pPr>
      <w:rPr>
        <w:rFonts w:ascii="Arial" w:hAnsi="Arial" w:hint="default"/>
      </w:rPr>
    </w:lvl>
    <w:lvl w:ilvl="3" w:tplc="3366399E" w:tentative="1">
      <w:start w:val="1"/>
      <w:numFmt w:val="bullet"/>
      <w:lvlText w:val="•"/>
      <w:lvlJc w:val="left"/>
      <w:pPr>
        <w:tabs>
          <w:tab w:val="num" w:pos="2880"/>
        </w:tabs>
        <w:ind w:left="2880" w:hanging="360"/>
      </w:pPr>
      <w:rPr>
        <w:rFonts w:ascii="Arial" w:hAnsi="Arial" w:hint="default"/>
      </w:rPr>
    </w:lvl>
    <w:lvl w:ilvl="4" w:tplc="DA4628D0" w:tentative="1">
      <w:start w:val="1"/>
      <w:numFmt w:val="bullet"/>
      <w:lvlText w:val="•"/>
      <w:lvlJc w:val="left"/>
      <w:pPr>
        <w:tabs>
          <w:tab w:val="num" w:pos="3600"/>
        </w:tabs>
        <w:ind w:left="3600" w:hanging="360"/>
      </w:pPr>
      <w:rPr>
        <w:rFonts w:ascii="Arial" w:hAnsi="Arial" w:hint="default"/>
      </w:rPr>
    </w:lvl>
    <w:lvl w:ilvl="5" w:tplc="3224DEFA" w:tentative="1">
      <w:start w:val="1"/>
      <w:numFmt w:val="bullet"/>
      <w:lvlText w:val="•"/>
      <w:lvlJc w:val="left"/>
      <w:pPr>
        <w:tabs>
          <w:tab w:val="num" w:pos="4320"/>
        </w:tabs>
        <w:ind w:left="4320" w:hanging="360"/>
      </w:pPr>
      <w:rPr>
        <w:rFonts w:ascii="Arial" w:hAnsi="Arial" w:hint="default"/>
      </w:rPr>
    </w:lvl>
    <w:lvl w:ilvl="6" w:tplc="C3FE66D8" w:tentative="1">
      <w:start w:val="1"/>
      <w:numFmt w:val="bullet"/>
      <w:lvlText w:val="•"/>
      <w:lvlJc w:val="left"/>
      <w:pPr>
        <w:tabs>
          <w:tab w:val="num" w:pos="5040"/>
        </w:tabs>
        <w:ind w:left="5040" w:hanging="360"/>
      </w:pPr>
      <w:rPr>
        <w:rFonts w:ascii="Arial" w:hAnsi="Arial" w:hint="default"/>
      </w:rPr>
    </w:lvl>
    <w:lvl w:ilvl="7" w:tplc="E616899C" w:tentative="1">
      <w:start w:val="1"/>
      <w:numFmt w:val="bullet"/>
      <w:lvlText w:val="•"/>
      <w:lvlJc w:val="left"/>
      <w:pPr>
        <w:tabs>
          <w:tab w:val="num" w:pos="5760"/>
        </w:tabs>
        <w:ind w:left="5760" w:hanging="360"/>
      </w:pPr>
      <w:rPr>
        <w:rFonts w:ascii="Arial" w:hAnsi="Arial" w:hint="default"/>
      </w:rPr>
    </w:lvl>
    <w:lvl w:ilvl="8" w:tplc="B80AD3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1579C2"/>
    <w:multiLevelType w:val="hybridMultilevel"/>
    <w:tmpl w:val="BEF0A3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445E4"/>
    <w:multiLevelType w:val="hybridMultilevel"/>
    <w:tmpl w:val="F386147E"/>
    <w:lvl w:ilvl="0" w:tplc="0C09000F">
      <w:start w:val="1"/>
      <w:numFmt w:val="decimal"/>
      <w:lvlText w:val="%1."/>
      <w:lvlJc w:val="left"/>
      <w:pPr>
        <w:tabs>
          <w:tab w:val="num" w:pos="1080"/>
        </w:tabs>
        <w:ind w:left="1080" w:hanging="360"/>
      </w:pPr>
      <w:rPr>
        <w:rFonts w:hint="default"/>
      </w:rPr>
    </w:lvl>
    <w:lvl w:ilvl="1" w:tplc="E67477B4">
      <w:start w:val="110"/>
      <w:numFmt w:val="bullet"/>
      <w:lvlText w:val="•"/>
      <w:lvlJc w:val="left"/>
      <w:pPr>
        <w:tabs>
          <w:tab w:val="num" w:pos="1800"/>
        </w:tabs>
        <w:ind w:left="1800" w:hanging="360"/>
      </w:pPr>
      <w:rPr>
        <w:rFonts w:ascii="Times New Roman" w:hAnsi="Times New Roman" w:hint="default"/>
      </w:rPr>
    </w:lvl>
    <w:lvl w:ilvl="2" w:tplc="91108F4E" w:tentative="1">
      <w:start w:val="1"/>
      <w:numFmt w:val="bullet"/>
      <w:lvlText w:val="•"/>
      <w:lvlJc w:val="left"/>
      <w:pPr>
        <w:tabs>
          <w:tab w:val="num" w:pos="2520"/>
        </w:tabs>
        <w:ind w:left="2520" w:hanging="360"/>
      </w:pPr>
      <w:rPr>
        <w:rFonts w:ascii="Times New Roman" w:hAnsi="Times New Roman" w:hint="default"/>
      </w:rPr>
    </w:lvl>
    <w:lvl w:ilvl="3" w:tplc="161465AE" w:tentative="1">
      <w:start w:val="1"/>
      <w:numFmt w:val="bullet"/>
      <w:lvlText w:val="•"/>
      <w:lvlJc w:val="left"/>
      <w:pPr>
        <w:tabs>
          <w:tab w:val="num" w:pos="3240"/>
        </w:tabs>
        <w:ind w:left="3240" w:hanging="360"/>
      </w:pPr>
      <w:rPr>
        <w:rFonts w:ascii="Times New Roman" w:hAnsi="Times New Roman" w:hint="default"/>
      </w:rPr>
    </w:lvl>
    <w:lvl w:ilvl="4" w:tplc="4B462C96" w:tentative="1">
      <w:start w:val="1"/>
      <w:numFmt w:val="bullet"/>
      <w:lvlText w:val="•"/>
      <w:lvlJc w:val="left"/>
      <w:pPr>
        <w:tabs>
          <w:tab w:val="num" w:pos="3960"/>
        </w:tabs>
        <w:ind w:left="3960" w:hanging="360"/>
      </w:pPr>
      <w:rPr>
        <w:rFonts w:ascii="Times New Roman" w:hAnsi="Times New Roman" w:hint="default"/>
      </w:rPr>
    </w:lvl>
    <w:lvl w:ilvl="5" w:tplc="C4F0C678" w:tentative="1">
      <w:start w:val="1"/>
      <w:numFmt w:val="bullet"/>
      <w:lvlText w:val="•"/>
      <w:lvlJc w:val="left"/>
      <w:pPr>
        <w:tabs>
          <w:tab w:val="num" w:pos="4680"/>
        </w:tabs>
        <w:ind w:left="4680" w:hanging="360"/>
      </w:pPr>
      <w:rPr>
        <w:rFonts w:ascii="Times New Roman" w:hAnsi="Times New Roman" w:hint="default"/>
      </w:rPr>
    </w:lvl>
    <w:lvl w:ilvl="6" w:tplc="89F85D56" w:tentative="1">
      <w:start w:val="1"/>
      <w:numFmt w:val="bullet"/>
      <w:lvlText w:val="•"/>
      <w:lvlJc w:val="left"/>
      <w:pPr>
        <w:tabs>
          <w:tab w:val="num" w:pos="5400"/>
        </w:tabs>
        <w:ind w:left="5400" w:hanging="360"/>
      </w:pPr>
      <w:rPr>
        <w:rFonts w:ascii="Times New Roman" w:hAnsi="Times New Roman" w:hint="default"/>
      </w:rPr>
    </w:lvl>
    <w:lvl w:ilvl="7" w:tplc="131C59E6" w:tentative="1">
      <w:start w:val="1"/>
      <w:numFmt w:val="bullet"/>
      <w:lvlText w:val="•"/>
      <w:lvlJc w:val="left"/>
      <w:pPr>
        <w:tabs>
          <w:tab w:val="num" w:pos="6120"/>
        </w:tabs>
        <w:ind w:left="6120" w:hanging="360"/>
      </w:pPr>
      <w:rPr>
        <w:rFonts w:ascii="Times New Roman" w:hAnsi="Times New Roman" w:hint="default"/>
      </w:rPr>
    </w:lvl>
    <w:lvl w:ilvl="8" w:tplc="26062A9C" w:tentative="1">
      <w:start w:val="1"/>
      <w:numFmt w:val="bullet"/>
      <w:lvlText w:val="•"/>
      <w:lvlJc w:val="left"/>
      <w:pPr>
        <w:tabs>
          <w:tab w:val="num" w:pos="6840"/>
        </w:tabs>
        <w:ind w:left="6840" w:hanging="360"/>
      </w:pPr>
      <w:rPr>
        <w:rFonts w:ascii="Times New Roman" w:hAnsi="Times New Roman" w:hint="default"/>
      </w:rPr>
    </w:lvl>
  </w:abstractNum>
  <w:abstractNum w:abstractNumId="13" w15:restartNumberingAfterBreak="0">
    <w:nsid w:val="386C41CB"/>
    <w:multiLevelType w:val="hybridMultilevel"/>
    <w:tmpl w:val="7F94C816"/>
    <w:lvl w:ilvl="0" w:tplc="B2308422">
      <w:start w:val="1"/>
      <w:numFmt w:val="decimal"/>
      <w:pStyle w:val="NormalNumberList"/>
      <w:lvlText w:val="%1."/>
      <w:lvlJc w:val="left"/>
      <w:pPr>
        <w:ind w:left="720" w:hanging="360"/>
      </w:pPr>
    </w:lvl>
    <w:lvl w:ilvl="1" w:tplc="824AB658">
      <w:start w:val="1"/>
      <w:numFmt w:val="lowerLetter"/>
      <w:lvlText w:val="%2."/>
      <w:lvlJc w:val="left"/>
      <w:pPr>
        <w:ind w:left="1440" w:hanging="360"/>
      </w:pPr>
    </w:lvl>
    <w:lvl w:ilvl="2" w:tplc="CC28A784" w:tentative="1">
      <w:start w:val="1"/>
      <w:numFmt w:val="lowerRoman"/>
      <w:lvlText w:val="%3."/>
      <w:lvlJc w:val="right"/>
      <w:pPr>
        <w:ind w:left="2160" w:hanging="180"/>
      </w:pPr>
    </w:lvl>
    <w:lvl w:ilvl="3" w:tplc="013E141A" w:tentative="1">
      <w:start w:val="1"/>
      <w:numFmt w:val="decimal"/>
      <w:lvlText w:val="%4."/>
      <w:lvlJc w:val="left"/>
      <w:pPr>
        <w:ind w:left="2880" w:hanging="360"/>
      </w:pPr>
    </w:lvl>
    <w:lvl w:ilvl="4" w:tplc="7A907D70" w:tentative="1">
      <w:start w:val="1"/>
      <w:numFmt w:val="lowerLetter"/>
      <w:lvlText w:val="%5."/>
      <w:lvlJc w:val="left"/>
      <w:pPr>
        <w:ind w:left="3600" w:hanging="360"/>
      </w:pPr>
    </w:lvl>
    <w:lvl w:ilvl="5" w:tplc="A00C6768" w:tentative="1">
      <w:start w:val="1"/>
      <w:numFmt w:val="lowerRoman"/>
      <w:lvlText w:val="%6."/>
      <w:lvlJc w:val="right"/>
      <w:pPr>
        <w:ind w:left="4320" w:hanging="180"/>
      </w:pPr>
    </w:lvl>
    <w:lvl w:ilvl="6" w:tplc="9A32DD80" w:tentative="1">
      <w:start w:val="1"/>
      <w:numFmt w:val="decimal"/>
      <w:lvlText w:val="%7."/>
      <w:lvlJc w:val="left"/>
      <w:pPr>
        <w:ind w:left="5040" w:hanging="360"/>
      </w:pPr>
    </w:lvl>
    <w:lvl w:ilvl="7" w:tplc="187470A2" w:tentative="1">
      <w:start w:val="1"/>
      <w:numFmt w:val="lowerLetter"/>
      <w:lvlText w:val="%8."/>
      <w:lvlJc w:val="left"/>
      <w:pPr>
        <w:ind w:left="5760" w:hanging="360"/>
      </w:pPr>
    </w:lvl>
    <w:lvl w:ilvl="8" w:tplc="7F2C53CA" w:tentative="1">
      <w:start w:val="1"/>
      <w:numFmt w:val="lowerRoman"/>
      <w:lvlText w:val="%9."/>
      <w:lvlJc w:val="right"/>
      <w:pPr>
        <w:ind w:left="6480" w:hanging="180"/>
      </w:pPr>
    </w:lvl>
  </w:abstractNum>
  <w:abstractNum w:abstractNumId="14" w15:restartNumberingAfterBreak="0">
    <w:nsid w:val="3A1E48E0"/>
    <w:multiLevelType w:val="hybridMultilevel"/>
    <w:tmpl w:val="FEE657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1C56A8"/>
    <w:multiLevelType w:val="hybridMultilevel"/>
    <w:tmpl w:val="685E5F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C34E2"/>
    <w:multiLevelType w:val="hybridMultilevel"/>
    <w:tmpl w:val="6A64FB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8C1F64"/>
    <w:multiLevelType w:val="hybridMultilevel"/>
    <w:tmpl w:val="6714F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5467C"/>
    <w:multiLevelType w:val="hybridMultilevel"/>
    <w:tmpl w:val="A0182D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C466D65"/>
    <w:multiLevelType w:val="hybridMultilevel"/>
    <w:tmpl w:val="2272FA46"/>
    <w:lvl w:ilvl="0" w:tplc="0C090001">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013369D"/>
    <w:multiLevelType w:val="multilevel"/>
    <w:tmpl w:val="118C999E"/>
    <w:styleLink w:val="Style2"/>
    <w:lvl w:ilvl="0">
      <w:start w:val="1"/>
      <w:numFmt w:val="upperLetter"/>
      <w:lvlText w:val="3.%1."/>
      <w:lvlJc w:val="left"/>
      <w:pPr>
        <w:ind w:left="1440" w:hanging="1440"/>
      </w:pPr>
      <w:rPr>
        <w:rFonts w:hint="default"/>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3.%1%2."/>
      <w:lvlJc w:val="left"/>
      <w:pPr>
        <w:ind w:left="1440" w:hanging="1440"/>
      </w:pPr>
      <w:rPr>
        <w:rFonts w:ascii="Verdana" w:hAnsi="Verdana" w:hint="default"/>
        <w:b/>
        <w:sz w:val="28"/>
      </w:rPr>
    </w:lvl>
    <w:lvl w:ilvl="2">
      <w:start w:val="1"/>
      <w:numFmt w:val="decimal"/>
      <w:lvlText w:val="%2.%1.%3."/>
      <w:lvlJc w:val="right"/>
      <w:pPr>
        <w:ind w:left="1440" w:hanging="1440"/>
      </w:pPr>
      <w:rPr>
        <w:rFonts w:hint="default"/>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24" w15:restartNumberingAfterBreak="0">
    <w:nsid w:val="52CD5A0B"/>
    <w:multiLevelType w:val="hybridMultilevel"/>
    <w:tmpl w:val="3FC0FBA8"/>
    <w:lvl w:ilvl="0" w:tplc="ED9E576A">
      <w:start w:val="1"/>
      <w:numFmt w:val="bullet"/>
      <w:lvlText w:val="•"/>
      <w:lvlJc w:val="left"/>
      <w:pPr>
        <w:tabs>
          <w:tab w:val="num" w:pos="720"/>
        </w:tabs>
        <w:ind w:left="720" w:hanging="360"/>
      </w:pPr>
      <w:rPr>
        <w:rFonts w:ascii="Times New Roman" w:hAnsi="Times New Roman" w:hint="default"/>
      </w:rPr>
    </w:lvl>
    <w:lvl w:ilvl="1" w:tplc="E67477B4">
      <w:start w:val="110"/>
      <w:numFmt w:val="bullet"/>
      <w:lvlText w:val="•"/>
      <w:lvlJc w:val="left"/>
      <w:pPr>
        <w:tabs>
          <w:tab w:val="num" w:pos="1440"/>
        </w:tabs>
        <w:ind w:left="1440" w:hanging="360"/>
      </w:pPr>
      <w:rPr>
        <w:rFonts w:ascii="Times New Roman" w:hAnsi="Times New Roman" w:hint="default"/>
      </w:rPr>
    </w:lvl>
    <w:lvl w:ilvl="2" w:tplc="91108F4E" w:tentative="1">
      <w:start w:val="1"/>
      <w:numFmt w:val="bullet"/>
      <w:lvlText w:val="•"/>
      <w:lvlJc w:val="left"/>
      <w:pPr>
        <w:tabs>
          <w:tab w:val="num" w:pos="2160"/>
        </w:tabs>
        <w:ind w:left="2160" w:hanging="360"/>
      </w:pPr>
      <w:rPr>
        <w:rFonts w:ascii="Times New Roman" w:hAnsi="Times New Roman" w:hint="default"/>
      </w:rPr>
    </w:lvl>
    <w:lvl w:ilvl="3" w:tplc="161465AE" w:tentative="1">
      <w:start w:val="1"/>
      <w:numFmt w:val="bullet"/>
      <w:lvlText w:val="•"/>
      <w:lvlJc w:val="left"/>
      <w:pPr>
        <w:tabs>
          <w:tab w:val="num" w:pos="2880"/>
        </w:tabs>
        <w:ind w:left="2880" w:hanging="360"/>
      </w:pPr>
      <w:rPr>
        <w:rFonts w:ascii="Times New Roman" w:hAnsi="Times New Roman" w:hint="default"/>
      </w:rPr>
    </w:lvl>
    <w:lvl w:ilvl="4" w:tplc="4B462C96" w:tentative="1">
      <w:start w:val="1"/>
      <w:numFmt w:val="bullet"/>
      <w:lvlText w:val="•"/>
      <w:lvlJc w:val="left"/>
      <w:pPr>
        <w:tabs>
          <w:tab w:val="num" w:pos="3600"/>
        </w:tabs>
        <w:ind w:left="3600" w:hanging="360"/>
      </w:pPr>
      <w:rPr>
        <w:rFonts w:ascii="Times New Roman" w:hAnsi="Times New Roman" w:hint="default"/>
      </w:rPr>
    </w:lvl>
    <w:lvl w:ilvl="5" w:tplc="C4F0C678" w:tentative="1">
      <w:start w:val="1"/>
      <w:numFmt w:val="bullet"/>
      <w:lvlText w:val="•"/>
      <w:lvlJc w:val="left"/>
      <w:pPr>
        <w:tabs>
          <w:tab w:val="num" w:pos="4320"/>
        </w:tabs>
        <w:ind w:left="4320" w:hanging="360"/>
      </w:pPr>
      <w:rPr>
        <w:rFonts w:ascii="Times New Roman" w:hAnsi="Times New Roman" w:hint="default"/>
      </w:rPr>
    </w:lvl>
    <w:lvl w:ilvl="6" w:tplc="89F85D56" w:tentative="1">
      <w:start w:val="1"/>
      <w:numFmt w:val="bullet"/>
      <w:lvlText w:val="•"/>
      <w:lvlJc w:val="left"/>
      <w:pPr>
        <w:tabs>
          <w:tab w:val="num" w:pos="5040"/>
        </w:tabs>
        <w:ind w:left="5040" w:hanging="360"/>
      </w:pPr>
      <w:rPr>
        <w:rFonts w:ascii="Times New Roman" w:hAnsi="Times New Roman" w:hint="default"/>
      </w:rPr>
    </w:lvl>
    <w:lvl w:ilvl="7" w:tplc="131C59E6" w:tentative="1">
      <w:start w:val="1"/>
      <w:numFmt w:val="bullet"/>
      <w:lvlText w:val="•"/>
      <w:lvlJc w:val="left"/>
      <w:pPr>
        <w:tabs>
          <w:tab w:val="num" w:pos="5760"/>
        </w:tabs>
        <w:ind w:left="5760" w:hanging="360"/>
      </w:pPr>
      <w:rPr>
        <w:rFonts w:ascii="Times New Roman" w:hAnsi="Times New Roman" w:hint="default"/>
      </w:rPr>
    </w:lvl>
    <w:lvl w:ilvl="8" w:tplc="26062A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1C3B11"/>
    <w:multiLevelType w:val="hybridMultilevel"/>
    <w:tmpl w:val="7EB200C4"/>
    <w:lvl w:ilvl="0" w:tplc="5ABA24A8">
      <w:start w:val="1"/>
      <w:numFmt w:val="decimal"/>
      <w:lvlText w:val="%1."/>
      <w:lvlJc w:val="left"/>
      <w:pPr>
        <w:tabs>
          <w:tab w:val="num" w:pos="1080"/>
        </w:tabs>
        <w:ind w:left="1080" w:hanging="360"/>
      </w:pPr>
      <w:rPr>
        <w:rFonts w:hint="default"/>
      </w:rPr>
    </w:lvl>
    <w:lvl w:ilvl="1" w:tplc="E67477B4">
      <w:start w:val="110"/>
      <w:numFmt w:val="bullet"/>
      <w:lvlText w:val="•"/>
      <w:lvlJc w:val="left"/>
      <w:pPr>
        <w:tabs>
          <w:tab w:val="num" w:pos="1800"/>
        </w:tabs>
        <w:ind w:left="1800" w:hanging="360"/>
      </w:pPr>
      <w:rPr>
        <w:rFonts w:ascii="Times New Roman" w:hAnsi="Times New Roman" w:hint="default"/>
      </w:rPr>
    </w:lvl>
    <w:lvl w:ilvl="2" w:tplc="91108F4E" w:tentative="1">
      <w:start w:val="1"/>
      <w:numFmt w:val="bullet"/>
      <w:lvlText w:val="•"/>
      <w:lvlJc w:val="left"/>
      <w:pPr>
        <w:tabs>
          <w:tab w:val="num" w:pos="2520"/>
        </w:tabs>
        <w:ind w:left="2520" w:hanging="360"/>
      </w:pPr>
      <w:rPr>
        <w:rFonts w:ascii="Times New Roman" w:hAnsi="Times New Roman" w:hint="default"/>
      </w:rPr>
    </w:lvl>
    <w:lvl w:ilvl="3" w:tplc="161465AE" w:tentative="1">
      <w:start w:val="1"/>
      <w:numFmt w:val="bullet"/>
      <w:lvlText w:val="•"/>
      <w:lvlJc w:val="left"/>
      <w:pPr>
        <w:tabs>
          <w:tab w:val="num" w:pos="3240"/>
        </w:tabs>
        <w:ind w:left="3240" w:hanging="360"/>
      </w:pPr>
      <w:rPr>
        <w:rFonts w:ascii="Times New Roman" w:hAnsi="Times New Roman" w:hint="default"/>
      </w:rPr>
    </w:lvl>
    <w:lvl w:ilvl="4" w:tplc="4B462C96" w:tentative="1">
      <w:start w:val="1"/>
      <w:numFmt w:val="bullet"/>
      <w:lvlText w:val="•"/>
      <w:lvlJc w:val="left"/>
      <w:pPr>
        <w:tabs>
          <w:tab w:val="num" w:pos="3960"/>
        </w:tabs>
        <w:ind w:left="3960" w:hanging="360"/>
      </w:pPr>
      <w:rPr>
        <w:rFonts w:ascii="Times New Roman" w:hAnsi="Times New Roman" w:hint="default"/>
      </w:rPr>
    </w:lvl>
    <w:lvl w:ilvl="5" w:tplc="C4F0C678" w:tentative="1">
      <w:start w:val="1"/>
      <w:numFmt w:val="bullet"/>
      <w:lvlText w:val="•"/>
      <w:lvlJc w:val="left"/>
      <w:pPr>
        <w:tabs>
          <w:tab w:val="num" w:pos="4680"/>
        </w:tabs>
        <w:ind w:left="4680" w:hanging="360"/>
      </w:pPr>
      <w:rPr>
        <w:rFonts w:ascii="Times New Roman" w:hAnsi="Times New Roman" w:hint="default"/>
      </w:rPr>
    </w:lvl>
    <w:lvl w:ilvl="6" w:tplc="89F85D56" w:tentative="1">
      <w:start w:val="1"/>
      <w:numFmt w:val="bullet"/>
      <w:lvlText w:val="•"/>
      <w:lvlJc w:val="left"/>
      <w:pPr>
        <w:tabs>
          <w:tab w:val="num" w:pos="5400"/>
        </w:tabs>
        <w:ind w:left="5400" w:hanging="360"/>
      </w:pPr>
      <w:rPr>
        <w:rFonts w:ascii="Times New Roman" w:hAnsi="Times New Roman" w:hint="default"/>
      </w:rPr>
    </w:lvl>
    <w:lvl w:ilvl="7" w:tplc="131C59E6" w:tentative="1">
      <w:start w:val="1"/>
      <w:numFmt w:val="bullet"/>
      <w:lvlText w:val="•"/>
      <w:lvlJc w:val="left"/>
      <w:pPr>
        <w:tabs>
          <w:tab w:val="num" w:pos="6120"/>
        </w:tabs>
        <w:ind w:left="6120" w:hanging="360"/>
      </w:pPr>
      <w:rPr>
        <w:rFonts w:ascii="Times New Roman" w:hAnsi="Times New Roman" w:hint="default"/>
      </w:rPr>
    </w:lvl>
    <w:lvl w:ilvl="8" w:tplc="26062A9C" w:tentative="1">
      <w:start w:val="1"/>
      <w:numFmt w:val="bullet"/>
      <w:lvlText w:val="•"/>
      <w:lvlJc w:val="left"/>
      <w:pPr>
        <w:tabs>
          <w:tab w:val="num" w:pos="6840"/>
        </w:tabs>
        <w:ind w:left="6840" w:hanging="360"/>
      </w:pPr>
      <w:rPr>
        <w:rFonts w:ascii="Times New Roman" w:hAnsi="Times New Roman" w:hint="default"/>
      </w:rPr>
    </w:lvl>
  </w:abstractNum>
  <w:abstractNum w:abstractNumId="27"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2E74AF"/>
    <w:multiLevelType w:val="hybridMultilevel"/>
    <w:tmpl w:val="0472E1D6"/>
    <w:lvl w:ilvl="0" w:tplc="B6A8DF66">
      <w:start w:val="1"/>
      <w:numFmt w:val="lowerLetter"/>
      <w:pStyle w:val="TableLetters"/>
      <w:lvlText w:val="%1)"/>
      <w:lvlJc w:val="left"/>
      <w:pPr>
        <w:ind w:left="397" w:hanging="17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64CF247B"/>
    <w:multiLevelType w:val="hybridMultilevel"/>
    <w:tmpl w:val="BEBA5A8A"/>
    <w:styleLink w:val="Style22"/>
    <w:lvl w:ilvl="0" w:tplc="4970CB8E">
      <w:start w:val="1"/>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830002"/>
    <w:multiLevelType w:val="hybridMultilevel"/>
    <w:tmpl w:val="E74858B2"/>
    <w:lvl w:ilvl="0" w:tplc="DC0AEA28">
      <w:start w:val="1"/>
      <w:numFmt w:val="decimal"/>
      <w:pStyle w:val="Table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162E78"/>
    <w:multiLevelType w:val="hybridMultilevel"/>
    <w:tmpl w:val="9C02A74A"/>
    <w:styleLink w:val="Style23"/>
    <w:lvl w:ilvl="0" w:tplc="366A03AC">
      <w:start w:val="1"/>
      <w:numFmt w:val="bullet"/>
      <w:lvlText w:val=""/>
      <w:lvlJc w:val="left"/>
      <w:pPr>
        <w:ind w:left="360" w:hanging="360"/>
      </w:pPr>
      <w:rPr>
        <w:rFonts w:ascii="Symbol" w:hAnsi="Symbol" w:hint="default"/>
      </w:rPr>
    </w:lvl>
    <w:lvl w:ilvl="1" w:tplc="FFFFFFFF" w:tentative="1">
      <w:start w:val="1"/>
      <w:numFmt w:val="bullet"/>
      <w:pStyle w:val="3-BodyTex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D033C"/>
    <w:multiLevelType w:val="multilevel"/>
    <w:tmpl w:val="7E0270A4"/>
    <w:lvl w:ilvl="0">
      <w:start w:val="1"/>
      <w:numFmt w:val="decimal"/>
      <w:pStyle w:val="2-SectionHeading"/>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42700"/>
    <w:multiLevelType w:val="hybridMultilevel"/>
    <w:tmpl w:val="8982E212"/>
    <w:lvl w:ilvl="0" w:tplc="06C64488">
      <w:start w:val="1"/>
      <w:numFmt w:val="bullet"/>
      <w:pStyle w:val="BoxTickbox"/>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1"/>
  </w:num>
  <w:num w:numId="4">
    <w:abstractNumId w:val="6"/>
  </w:num>
  <w:num w:numId="5">
    <w:abstractNumId w:val="20"/>
  </w:num>
  <w:num w:numId="6">
    <w:abstractNumId w:val="22"/>
  </w:num>
  <w:num w:numId="7">
    <w:abstractNumId w:val="16"/>
  </w:num>
  <w:num w:numId="8">
    <w:abstractNumId w:val="21"/>
  </w:num>
  <w:num w:numId="9">
    <w:abstractNumId w:val="10"/>
  </w:num>
  <w:num w:numId="10">
    <w:abstractNumId w:val="5"/>
  </w:num>
  <w:num w:numId="11">
    <w:abstractNumId w:val="19"/>
  </w:num>
  <w:num w:numId="12">
    <w:abstractNumId w:val="13"/>
  </w:num>
  <w:num w:numId="13">
    <w:abstractNumId w:val="2"/>
  </w:num>
  <w:num w:numId="14">
    <w:abstractNumId w:val="27"/>
  </w:num>
  <w:num w:numId="15">
    <w:abstractNumId w:val="28"/>
  </w:num>
  <w:num w:numId="16">
    <w:abstractNumId w:val="30"/>
  </w:num>
  <w:num w:numId="17">
    <w:abstractNumId w:val="4"/>
  </w:num>
  <w:num w:numId="18">
    <w:abstractNumId w:val="33"/>
  </w:num>
  <w:num w:numId="19">
    <w:abstractNumId w:val="23"/>
  </w:num>
  <w:num w:numId="20">
    <w:abstractNumId w:val="29"/>
  </w:num>
  <w:num w:numId="21">
    <w:abstractNumId w:val="14"/>
  </w:num>
  <w:num w:numId="22">
    <w:abstractNumId w:val="25"/>
  </w:num>
  <w:num w:numId="23">
    <w:abstractNumId w:val="3"/>
  </w:num>
  <w:num w:numId="24">
    <w:abstractNumId w:val="1"/>
  </w:num>
  <w:num w:numId="25">
    <w:abstractNumId w:val="9"/>
  </w:num>
  <w:num w:numId="26">
    <w:abstractNumId w:val="11"/>
  </w:num>
  <w:num w:numId="27">
    <w:abstractNumId w:val="8"/>
  </w:num>
  <w:num w:numId="28">
    <w:abstractNumId w:val="0"/>
  </w:num>
  <w:num w:numId="29">
    <w:abstractNumId w:val="32"/>
  </w:num>
  <w:num w:numId="30">
    <w:abstractNumId w:val="22"/>
  </w:num>
  <w:num w:numId="31">
    <w:abstractNumId w:val="22"/>
  </w:num>
  <w:num w:numId="32">
    <w:abstractNumId w:val="22"/>
  </w:num>
  <w:num w:numId="33">
    <w:abstractNumId w:val="15"/>
  </w:num>
  <w:num w:numId="34">
    <w:abstractNumId w:val="18"/>
  </w:num>
  <w:num w:numId="35">
    <w:abstractNumId w:val="22"/>
  </w:num>
  <w:num w:numId="36">
    <w:abstractNumId w:val="22"/>
  </w:num>
  <w:num w:numId="37">
    <w:abstractNumId w:val="7"/>
  </w:num>
  <w:num w:numId="38">
    <w:abstractNumId w:val="22"/>
  </w:num>
  <w:num w:numId="39">
    <w:abstractNumId w:val="24"/>
  </w:num>
  <w:num w:numId="40">
    <w:abstractNumId w:val="22"/>
  </w:num>
  <w:num w:numId="41">
    <w:abstractNumId w:val="12"/>
  </w:num>
  <w:num w:numId="42">
    <w:abstractNumId w:val="26"/>
  </w:num>
  <w:num w:numId="43">
    <w:abstractNumId w:val="22"/>
  </w:num>
  <w:num w:numId="44">
    <w:abstractNumId w:val="22"/>
  </w:num>
  <w:num w:numId="45">
    <w:abstractNumId w:val="2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32"/>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activeWritingStyle w:appName="MSWord" w:lang="fr-FR" w:vendorID="64" w:dllVersion="6" w:nlCheck="1" w:checkStyle="1"/>
  <w:activeWritingStyle w:appName="MSWord" w:lang="en-US" w:vendorID="64" w:dllVersion="6" w:nlCheck="1" w:checkStyle="1"/>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AU" w:vendorID="64" w:dllVersion="131078" w:nlCheck="1" w:checkStyle="0"/>
  <w:activeWritingStyle w:appName="MSWord" w:lang="en-GB" w:vendorID="64" w:dllVersion="131078" w:nlCheck="1" w:checkStyle="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156"/>
    <w:rsid w:val="00000790"/>
    <w:rsid w:val="0000110B"/>
    <w:rsid w:val="00002589"/>
    <w:rsid w:val="00003499"/>
    <w:rsid w:val="000039B7"/>
    <w:rsid w:val="00004FA1"/>
    <w:rsid w:val="0000625C"/>
    <w:rsid w:val="000065C6"/>
    <w:rsid w:val="00013247"/>
    <w:rsid w:val="00013708"/>
    <w:rsid w:val="00013CFF"/>
    <w:rsid w:val="00015886"/>
    <w:rsid w:val="000162EF"/>
    <w:rsid w:val="000163C8"/>
    <w:rsid w:val="00020742"/>
    <w:rsid w:val="00021019"/>
    <w:rsid w:val="0002109D"/>
    <w:rsid w:val="0002225F"/>
    <w:rsid w:val="0002282E"/>
    <w:rsid w:val="000231ED"/>
    <w:rsid w:val="00023763"/>
    <w:rsid w:val="00024627"/>
    <w:rsid w:val="00026338"/>
    <w:rsid w:val="00026BB2"/>
    <w:rsid w:val="00030D66"/>
    <w:rsid w:val="000328BF"/>
    <w:rsid w:val="00032AAA"/>
    <w:rsid w:val="00033863"/>
    <w:rsid w:val="00035DC0"/>
    <w:rsid w:val="00036829"/>
    <w:rsid w:val="00040424"/>
    <w:rsid w:val="00040895"/>
    <w:rsid w:val="000409B9"/>
    <w:rsid w:val="000411AB"/>
    <w:rsid w:val="00041898"/>
    <w:rsid w:val="000421B3"/>
    <w:rsid w:val="00042F78"/>
    <w:rsid w:val="00043C37"/>
    <w:rsid w:val="00045017"/>
    <w:rsid w:val="00045A2B"/>
    <w:rsid w:val="0004698F"/>
    <w:rsid w:val="00047AF1"/>
    <w:rsid w:val="000504EC"/>
    <w:rsid w:val="000515C0"/>
    <w:rsid w:val="00051BBF"/>
    <w:rsid w:val="000522BB"/>
    <w:rsid w:val="0005348F"/>
    <w:rsid w:val="000539D0"/>
    <w:rsid w:val="00054073"/>
    <w:rsid w:val="00054621"/>
    <w:rsid w:val="000546D7"/>
    <w:rsid w:val="00054C3C"/>
    <w:rsid w:val="00055A9B"/>
    <w:rsid w:val="00056626"/>
    <w:rsid w:val="00060598"/>
    <w:rsid w:val="0006083B"/>
    <w:rsid w:val="00064653"/>
    <w:rsid w:val="00066360"/>
    <w:rsid w:val="000665FC"/>
    <w:rsid w:val="000668FF"/>
    <w:rsid w:val="00070729"/>
    <w:rsid w:val="00071248"/>
    <w:rsid w:val="0007129A"/>
    <w:rsid w:val="000720B9"/>
    <w:rsid w:val="0007301E"/>
    <w:rsid w:val="0007332E"/>
    <w:rsid w:val="000736A7"/>
    <w:rsid w:val="000737F7"/>
    <w:rsid w:val="0007672F"/>
    <w:rsid w:val="000774F0"/>
    <w:rsid w:val="00077AB0"/>
    <w:rsid w:val="00077E39"/>
    <w:rsid w:val="00080909"/>
    <w:rsid w:val="000809F7"/>
    <w:rsid w:val="000812CA"/>
    <w:rsid w:val="00081891"/>
    <w:rsid w:val="00081BA0"/>
    <w:rsid w:val="00082003"/>
    <w:rsid w:val="000821BF"/>
    <w:rsid w:val="0008258D"/>
    <w:rsid w:val="0008317D"/>
    <w:rsid w:val="00083AAE"/>
    <w:rsid w:val="00083E99"/>
    <w:rsid w:val="000856C5"/>
    <w:rsid w:val="00087AE4"/>
    <w:rsid w:val="00090932"/>
    <w:rsid w:val="00090C7E"/>
    <w:rsid w:val="00091259"/>
    <w:rsid w:val="000913D1"/>
    <w:rsid w:val="00092600"/>
    <w:rsid w:val="0009262B"/>
    <w:rsid w:val="00092A72"/>
    <w:rsid w:val="00093310"/>
    <w:rsid w:val="0009445C"/>
    <w:rsid w:val="00095116"/>
    <w:rsid w:val="00095C43"/>
    <w:rsid w:val="00095FE5"/>
    <w:rsid w:val="00096284"/>
    <w:rsid w:val="000971D5"/>
    <w:rsid w:val="0009746E"/>
    <w:rsid w:val="00097622"/>
    <w:rsid w:val="000A0CB4"/>
    <w:rsid w:val="000A1A1D"/>
    <w:rsid w:val="000A26F7"/>
    <w:rsid w:val="000A348A"/>
    <w:rsid w:val="000A3C40"/>
    <w:rsid w:val="000A7D08"/>
    <w:rsid w:val="000A7FC2"/>
    <w:rsid w:val="000B0337"/>
    <w:rsid w:val="000B0670"/>
    <w:rsid w:val="000B0764"/>
    <w:rsid w:val="000B0E75"/>
    <w:rsid w:val="000B2DDA"/>
    <w:rsid w:val="000B501D"/>
    <w:rsid w:val="000B520C"/>
    <w:rsid w:val="000B5CC4"/>
    <w:rsid w:val="000B6CAC"/>
    <w:rsid w:val="000B70C6"/>
    <w:rsid w:val="000B7612"/>
    <w:rsid w:val="000C08D6"/>
    <w:rsid w:val="000C0B13"/>
    <w:rsid w:val="000C1D23"/>
    <w:rsid w:val="000C3DF9"/>
    <w:rsid w:val="000C4C86"/>
    <w:rsid w:val="000C6713"/>
    <w:rsid w:val="000C6D24"/>
    <w:rsid w:val="000D1AFE"/>
    <w:rsid w:val="000D1BFC"/>
    <w:rsid w:val="000D281A"/>
    <w:rsid w:val="000D2907"/>
    <w:rsid w:val="000D3066"/>
    <w:rsid w:val="000D326A"/>
    <w:rsid w:val="000D4D86"/>
    <w:rsid w:val="000D51FB"/>
    <w:rsid w:val="000E0E7D"/>
    <w:rsid w:val="000E135D"/>
    <w:rsid w:val="000E28B3"/>
    <w:rsid w:val="000E2B46"/>
    <w:rsid w:val="000E5B88"/>
    <w:rsid w:val="000E6754"/>
    <w:rsid w:val="000F00BA"/>
    <w:rsid w:val="000F030C"/>
    <w:rsid w:val="000F2271"/>
    <w:rsid w:val="000F23B1"/>
    <w:rsid w:val="000F2A46"/>
    <w:rsid w:val="000F2E50"/>
    <w:rsid w:val="000F316A"/>
    <w:rsid w:val="000F3C74"/>
    <w:rsid w:val="000F4229"/>
    <w:rsid w:val="000F4BB8"/>
    <w:rsid w:val="000F7127"/>
    <w:rsid w:val="00100F8A"/>
    <w:rsid w:val="00105AE2"/>
    <w:rsid w:val="00106B80"/>
    <w:rsid w:val="00107EC1"/>
    <w:rsid w:val="0011032E"/>
    <w:rsid w:val="0011052E"/>
    <w:rsid w:val="001117E4"/>
    <w:rsid w:val="00112294"/>
    <w:rsid w:val="0011348B"/>
    <w:rsid w:val="00115982"/>
    <w:rsid w:val="00116C53"/>
    <w:rsid w:val="00120598"/>
    <w:rsid w:val="00121799"/>
    <w:rsid w:val="0012179F"/>
    <w:rsid w:val="001222FC"/>
    <w:rsid w:val="00122CF5"/>
    <w:rsid w:val="0012314D"/>
    <w:rsid w:val="001242EA"/>
    <w:rsid w:val="00124A51"/>
    <w:rsid w:val="00124ABE"/>
    <w:rsid w:val="00125978"/>
    <w:rsid w:val="00126621"/>
    <w:rsid w:val="00127482"/>
    <w:rsid w:val="001301E9"/>
    <w:rsid w:val="00130E2D"/>
    <w:rsid w:val="00131515"/>
    <w:rsid w:val="00131D82"/>
    <w:rsid w:val="001332A7"/>
    <w:rsid w:val="00133846"/>
    <w:rsid w:val="00133A5F"/>
    <w:rsid w:val="00133D36"/>
    <w:rsid w:val="00137645"/>
    <w:rsid w:val="00137B3B"/>
    <w:rsid w:val="0014015A"/>
    <w:rsid w:val="00140E99"/>
    <w:rsid w:val="00142C65"/>
    <w:rsid w:val="00145152"/>
    <w:rsid w:val="00145540"/>
    <w:rsid w:val="001456B0"/>
    <w:rsid w:val="001468B0"/>
    <w:rsid w:val="00147212"/>
    <w:rsid w:val="00150230"/>
    <w:rsid w:val="0015207F"/>
    <w:rsid w:val="001540E1"/>
    <w:rsid w:val="001565E5"/>
    <w:rsid w:val="00157130"/>
    <w:rsid w:val="001576B1"/>
    <w:rsid w:val="0015798A"/>
    <w:rsid w:val="00160A4C"/>
    <w:rsid w:val="00162913"/>
    <w:rsid w:val="001637D2"/>
    <w:rsid w:val="00163EFF"/>
    <w:rsid w:val="0016452F"/>
    <w:rsid w:val="00165FA8"/>
    <w:rsid w:val="001661FB"/>
    <w:rsid w:val="00167FFC"/>
    <w:rsid w:val="00171EDB"/>
    <w:rsid w:val="0017231D"/>
    <w:rsid w:val="00173565"/>
    <w:rsid w:val="00173B07"/>
    <w:rsid w:val="0017630F"/>
    <w:rsid w:val="00181287"/>
    <w:rsid w:val="0018174F"/>
    <w:rsid w:val="00181D9C"/>
    <w:rsid w:val="0018246B"/>
    <w:rsid w:val="001830F2"/>
    <w:rsid w:val="00184918"/>
    <w:rsid w:val="00184EF9"/>
    <w:rsid w:val="00185783"/>
    <w:rsid w:val="0018752F"/>
    <w:rsid w:val="00190DB6"/>
    <w:rsid w:val="001938F1"/>
    <w:rsid w:val="00195222"/>
    <w:rsid w:val="001957BA"/>
    <w:rsid w:val="00195A81"/>
    <w:rsid w:val="00196793"/>
    <w:rsid w:val="001975D8"/>
    <w:rsid w:val="001A03B8"/>
    <w:rsid w:val="001A0AA2"/>
    <w:rsid w:val="001A353E"/>
    <w:rsid w:val="001A382B"/>
    <w:rsid w:val="001A3A61"/>
    <w:rsid w:val="001A43FA"/>
    <w:rsid w:val="001A59FB"/>
    <w:rsid w:val="001A6354"/>
    <w:rsid w:val="001A6E01"/>
    <w:rsid w:val="001A7AE8"/>
    <w:rsid w:val="001B1D07"/>
    <w:rsid w:val="001B204E"/>
    <w:rsid w:val="001B249B"/>
    <w:rsid w:val="001B2687"/>
    <w:rsid w:val="001B3443"/>
    <w:rsid w:val="001B4A23"/>
    <w:rsid w:val="001B4B27"/>
    <w:rsid w:val="001B4D20"/>
    <w:rsid w:val="001B6947"/>
    <w:rsid w:val="001B7307"/>
    <w:rsid w:val="001C2A9B"/>
    <w:rsid w:val="001C4299"/>
    <w:rsid w:val="001C55FB"/>
    <w:rsid w:val="001C5A2E"/>
    <w:rsid w:val="001C5F94"/>
    <w:rsid w:val="001C6342"/>
    <w:rsid w:val="001C6779"/>
    <w:rsid w:val="001C6E66"/>
    <w:rsid w:val="001C787A"/>
    <w:rsid w:val="001D02CF"/>
    <w:rsid w:val="001D2FFD"/>
    <w:rsid w:val="001D3526"/>
    <w:rsid w:val="001D51AB"/>
    <w:rsid w:val="001D6ED6"/>
    <w:rsid w:val="001D6F3E"/>
    <w:rsid w:val="001D7E2C"/>
    <w:rsid w:val="001E0A57"/>
    <w:rsid w:val="001E1D25"/>
    <w:rsid w:val="001E238E"/>
    <w:rsid w:val="001E2483"/>
    <w:rsid w:val="001E2B1E"/>
    <w:rsid w:val="001E2F4E"/>
    <w:rsid w:val="001E306E"/>
    <w:rsid w:val="001E30D4"/>
    <w:rsid w:val="001E4796"/>
    <w:rsid w:val="001E52EB"/>
    <w:rsid w:val="001E6004"/>
    <w:rsid w:val="001E61D2"/>
    <w:rsid w:val="001E69FD"/>
    <w:rsid w:val="001E713D"/>
    <w:rsid w:val="001E740C"/>
    <w:rsid w:val="001F05D4"/>
    <w:rsid w:val="001F0AB7"/>
    <w:rsid w:val="001F1235"/>
    <w:rsid w:val="001F1A58"/>
    <w:rsid w:val="001F1CB3"/>
    <w:rsid w:val="001F1E61"/>
    <w:rsid w:val="001F204A"/>
    <w:rsid w:val="001F2508"/>
    <w:rsid w:val="001F296F"/>
    <w:rsid w:val="001F2A27"/>
    <w:rsid w:val="001F2F51"/>
    <w:rsid w:val="001F38B5"/>
    <w:rsid w:val="001F4E37"/>
    <w:rsid w:val="001F52E7"/>
    <w:rsid w:val="001F5491"/>
    <w:rsid w:val="001F5997"/>
    <w:rsid w:val="001F6505"/>
    <w:rsid w:val="001F7361"/>
    <w:rsid w:val="002011B0"/>
    <w:rsid w:val="00201C93"/>
    <w:rsid w:val="00203181"/>
    <w:rsid w:val="00203783"/>
    <w:rsid w:val="0020385F"/>
    <w:rsid w:val="00204F10"/>
    <w:rsid w:val="00206ED9"/>
    <w:rsid w:val="00207021"/>
    <w:rsid w:val="0020732F"/>
    <w:rsid w:val="00207D00"/>
    <w:rsid w:val="002105C1"/>
    <w:rsid w:val="00212CC7"/>
    <w:rsid w:val="00212D05"/>
    <w:rsid w:val="00223B49"/>
    <w:rsid w:val="00223F73"/>
    <w:rsid w:val="002243A5"/>
    <w:rsid w:val="00224D8C"/>
    <w:rsid w:val="00224DD4"/>
    <w:rsid w:val="00224F17"/>
    <w:rsid w:val="00230931"/>
    <w:rsid w:val="002309CC"/>
    <w:rsid w:val="00231B7F"/>
    <w:rsid w:val="00231E49"/>
    <w:rsid w:val="0023209F"/>
    <w:rsid w:val="00234007"/>
    <w:rsid w:val="002351AF"/>
    <w:rsid w:val="00235D68"/>
    <w:rsid w:val="0023629D"/>
    <w:rsid w:val="00237255"/>
    <w:rsid w:val="002424AF"/>
    <w:rsid w:val="00242748"/>
    <w:rsid w:val="002439DC"/>
    <w:rsid w:val="00244DC8"/>
    <w:rsid w:val="002458BA"/>
    <w:rsid w:val="00245A3D"/>
    <w:rsid w:val="0024636C"/>
    <w:rsid w:val="002469EE"/>
    <w:rsid w:val="00246C95"/>
    <w:rsid w:val="00246FAF"/>
    <w:rsid w:val="00247925"/>
    <w:rsid w:val="00247E62"/>
    <w:rsid w:val="00247ED0"/>
    <w:rsid w:val="00251B9C"/>
    <w:rsid w:val="00252FC9"/>
    <w:rsid w:val="00254DCF"/>
    <w:rsid w:val="00254FF3"/>
    <w:rsid w:val="0025534B"/>
    <w:rsid w:val="0025535D"/>
    <w:rsid w:val="00255BB7"/>
    <w:rsid w:val="00256555"/>
    <w:rsid w:val="002565DA"/>
    <w:rsid w:val="00257150"/>
    <w:rsid w:val="00257541"/>
    <w:rsid w:val="00257BA6"/>
    <w:rsid w:val="00257DE7"/>
    <w:rsid w:val="00260317"/>
    <w:rsid w:val="00261A6F"/>
    <w:rsid w:val="00262A1A"/>
    <w:rsid w:val="00262A87"/>
    <w:rsid w:val="00262DAA"/>
    <w:rsid w:val="00262F46"/>
    <w:rsid w:val="002649A2"/>
    <w:rsid w:val="00264D26"/>
    <w:rsid w:val="00265B5C"/>
    <w:rsid w:val="00265C2E"/>
    <w:rsid w:val="002673E7"/>
    <w:rsid w:val="00267642"/>
    <w:rsid w:val="00267AEA"/>
    <w:rsid w:val="002700E6"/>
    <w:rsid w:val="00270F87"/>
    <w:rsid w:val="00271563"/>
    <w:rsid w:val="0027294B"/>
    <w:rsid w:val="0027401F"/>
    <w:rsid w:val="00275C5A"/>
    <w:rsid w:val="00280BE9"/>
    <w:rsid w:val="00280C2E"/>
    <w:rsid w:val="00281014"/>
    <w:rsid w:val="0028137D"/>
    <w:rsid w:val="00282EDC"/>
    <w:rsid w:val="0028444B"/>
    <w:rsid w:val="00287D49"/>
    <w:rsid w:val="00292595"/>
    <w:rsid w:val="00292E20"/>
    <w:rsid w:val="00293012"/>
    <w:rsid w:val="00297009"/>
    <w:rsid w:val="002A00FF"/>
    <w:rsid w:val="002A0B28"/>
    <w:rsid w:val="002A14AB"/>
    <w:rsid w:val="002A1E0F"/>
    <w:rsid w:val="002A2648"/>
    <w:rsid w:val="002A2F50"/>
    <w:rsid w:val="002A5317"/>
    <w:rsid w:val="002B04A2"/>
    <w:rsid w:val="002B09A4"/>
    <w:rsid w:val="002B1C1F"/>
    <w:rsid w:val="002B32F9"/>
    <w:rsid w:val="002B432F"/>
    <w:rsid w:val="002B62B3"/>
    <w:rsid w:val="002B6754"/>
    <w:rsid w:val="002B6CCE"/>
    <w:rsid w:val="002B6E03"/>
    <w:rsid w:val="002C0C8E"/>
    <w:rsid w:val="002C2510"/>
    <w:rsid w:val="002C2775"/>
    <w:rsid w:val="002C27C1"/>
    <w:rsid w:val="002C30F6"/>
    <w:rsid w:val="002C3657"/>
    <w:rsid w:val="002C3F41"/>
    <w:rsid w:val="002C5099"/>
    <w:rsid w:val="002C5889"/>
    <w:rsid w:val="002C6A77"/>
    <w:rsid w:val="002C708C"/>
    <w:rsid w:val="002C71CE"/>
    <w:rsid w:val="002D5339"/>
    <w:rsid w:val="002D56C5"/>
    <w:rsid w:val="002D577C"/>
    <w:rsid w:val="002D794F"/>
    <w:rsid w:val="002D7DE9"/>
    <w:rsid w:val="002E15B9"/>
    <w:rsid w:val="002E19BE"/>
    <w:rsid w:val="002E2158"/>
    <w:rsid w:val="002E36A2"/>
    <w:rsid w:val="002E36A7"/>
    <w:rsid w:val="002E3E68"/>
    <w:rsid w:val="002E74B0"/>
    <w:rsid w:val="002E7722"/>
    <w:rsid w:val="002E787D"/>
    <w:rsid w:val="002F07BA"/>
    <w:rsid w:val="002F0ABB"/>
    <w:rsid w:val="002F0DA9"/>
    <w:rsid w:val="002F1077"/>
    <w:rsid w:val="002F6082"/>
    <w:rsid w:val="002F643C"/>
    <w:rsid w:val="002F701D"/>
    <w:rsid w:val="002F71C0"/>
    <w:rsid w:val="002F75DE"/>
    <w:rsid w:val="00301017"/>
    <w:rsid w:val="0030155F"/>
    <w:rsid w:val="0030360A"/>
    <w:rsid w:val="00304260"/>
    <w:rsid w:val="003051A3"/>
    <w:rsid w:val="0030587B"/>
    <w:rsid w:val="003063F9"/>
    <w:rsid w:val="00306BB3"/>
    <w:rsid w:val="00306D98"/>
    <w:rsid w:val="0030728A"/>
    <w:rsid w:val="0030786C"/>
    <w:rsid w:val="0031031A"/>
    <w:rsid w:val="00310981"/>
    <w:rsid w:val="00310D86"/>
    <w:rsid w:val="00314B36"/>
    <w:rsid w:val="00315498"/>
    <w:rsid w:val="00315E76"/>
    <w:rsid w:val="003207FE"/>
    <w:rsid w:val="00320C6F"/>
    <w:rsid w:val="00322107"/>
    <w:rsid w:val="00322846"/>
    <w:rsid w:val="00324091"/>
    <w:rsid w:val="00324120"/>
    <w:rsid w:val="00326DA7"/>
    <w:rsid w:val="003270E4"/>
    <w:rsid w:val="00327D67"/>
    <w:rsid w:val="00330F5C"/>
    <w:rsid w:val="00335545"/>
    <w:rsid w:val="00335E2E"/>
    <w:rsid w:val="003366C9"/>
    <w:rsid w:val="003370BB"/>
    <w:rsid w:val="00337170"/>
    <w:rsid w:val="003371B0"/>
    <w:rsid w:val="00340DF1"/>
    <w:rsid w:val="00340FF1"/>
    <w:rsid w:val="00341382"/>
    <w:rsid w:val="00342D3F"/>
    <w:rsid w:val="00343D6A"/>
    <w:rsid w:val="00343DEB"/>
    <w:rsid w:val="003458F7"/>
    <w:rsid w:val="0034602F"/>
    <w:rsid w:val="00347B15"/>
    <w:rsid w:val="00347BC0"/>
    <w:rsid w:val="003517F9"/>
    <w:rsid w:val="003527C8"/>
    <w:rsid w:val="003535E3"/>
    <w:rsid w:val="0035620E"/>
    <w:rsid w:val="003605C2"/>
    <w:rsid w:val="003624C4"/>
    <w:rsid w:val="00363867"/>
    <w:rsid w:val="00364A1F"/>
    <w:rsid w:val="003654AC"/>
    <w:rsid w:val="00366978"/>
    <w:rsid w:val="003710CF"/>
    <w:rsid w:val="00372001"/>
    <w:rsid w:val="00372E9C"/>
    <w:rsid w:val="0037358A"/>
    <w:rsid w:val="00373CED"/>
    <w:rsid w:val="0037472A"/>
    <w:rsid w:val="00374F3C"/>
    <w:rsid w:val="003750F6"/>
    <w:rsid w:val="00375FC8"/>
    <w:rsid w:val="003760FC"/>
    <w:rsid w:val="003763DB"/>
    <w:rsid w:val="00376462"/>
    <w:rsid w:val="003833F5"/>
    <w:rsid w:val="0038365C"/>
    <w:rsid w:val="0038369B"/>
    <w:rsid w:val="00383B78"/>
    <w:rsid w:val="00385A9D"/>
    <w:rsid w:val="0038651A"/>
    <w:rsid w:val="00387F56"/>
    <w:rsid w:val="003902B1"/>
    <w:rsid w:val="00393289"/>
    <w:rsid w:val="00393BC2"/>
    <w:rsid w:val="003945FF"/>
    <w:rsid w:val="00396896"/>
    <w:rsid w:val="00396FD0"/>
    <w:rsid w:val="00397333"/>
    <w:rsid w:val="00397581"/>
    <w:rsid w:val="003A03A3"/>
    <w:rsid w:val="003A1A7A"/>
    <w:rsid w:val="003A2392"/>
    <w:rsid w:val="003A2831"/>
    <w:rsid w:val="003A3ED1"/>
    <w:rsid w:val="003A44BA"/>
    <w:rsid w:val="003A4819"/>
    <w:rsid w:val="003A4F0D"/>
    <w:rsid w:val="003A5B5C"/>
    <w:rsid w:val="003A7942"/>
    <w:rsid w:val="003B0CD9"/>
    <w:rsid w:val="003B0CE0"/>
    <w:rsid w:val="003B4337"/>
    <w:rsid w:val="003B4DEE"/>
    <w:rsid w:val="003B5B61"/>
    <w:rsid w:val="003B5E51"/>
    <w:rsid w:val="003B718D"/>
    <w:rsid w:val="003B7A6E"/>
    <w:rsid w:val="003C1654"/>
    <w:rsid w:val="003C5265"/>
    <w:rsid w:val="003C5C70"/>
    <w:rsid w:val="003C6378"/>
    <w:rsid w:val="003C7D19"/>
    <w:rsid w:val="003D1828"/>
    <w:rsid w:val="003D1DE4"/>
    <w:rsid w:val="003D20E8"/>
    <w:rsid w:val="003D2422"/>
    <w:rsid w:val="003D39A1"/>
    <w:rsid w:val="003D3FBF"/>
    <w:rsid w:val="003D4A30"/>
    <w:rsid w:val="003D517B"/>
    <w:rsid w:val="003D6800"/>
    <w:rsid w:val="003D79BB"/>
    <w:rsid w:val="003D7C98"/>
    <w:rsid w:val="003E0543"/>
    <w:rsid w:val="003E0EB3"/>
    <w:rsid w:val="003E2A92"/>
    <w:rsid w:val="003E666C"/>
    <w:rsid w:val="003E7406"/>
    <w:rsid w:val="003E7695"/>
    <w:rsid w:val="003E76D4"/>
    <w:rsid w:val="003F00D2"/>
    <w:rsid w:val="003F03F3"/>
    <w:rsid w:val="003F0D6D"/>
    <w:rsid w:val="003F241E"/>
    <w:rsid w:val="003F26F6"/>
    <w:rsid w:val="003F32E2"/>
    <w:rsid w:val="003F4156"/>
    <w:rsid w:val="003F4FA8"/>
    <w:rsid w:val="003F52F5"/>
    <w:rsid w:val="003F7CC0"/>
    <w:rsid w:val="00400B29"/>
    <w:rsid w:val="00403A55"/>
    <w:rsid w:val="00404D72"/>
    <w:rsid w:val="0040504B"/>
    <w:rsid w:val="004052D6"/>
    <w:rsid w:val="00405D16"/>
    <w:rsid w:val="00407D52"/>
    <w:rsid w:val="00410708"/>
    <w:rsid w:val="00410EC7"/>
    <w:rsid w:val="0041133F"/>
    <w:rsid w:val="00411B39"/>
    <w:rsid w:val="00412239"/>
    <w:rsid w:val="004130DF"/>
    <w:rsid w:val="00413A1E"/>
    <w:rsid w:val="00414476"/>
    <w:rsid w:val="00414C2E"/>
    <w:rsid w:val="004151CF"/>
    <w:rsid w:val="00416364"/>
    <w:rsid w:val="00417326"/>
    <w:rsid w:val="00420AA6"/>
    <w:rsid w:val="00420B9F"/>
    <w:rsid w:val="00422260"/>
    <w:rsid w:val="0042413F"/>
    <w:rsid w:val="00424FF2"/>
    <w:rsid w:val="004264D1"/>
    <w:rsid w:val="004272A2"/>
    <w:rsid w:val="004314FB"/>
    <w:rsid w:val="004319F8"/>
    <w:rsid w:val="00431E55"/>
    <w:rsid w:val="004321F6"/>
    <w:rsid w:val="00433044"/>
    <w:rsid w:val="004335EB"/>
    <w:rsid w:val="0043403E"/>
    <w:rsid w:val="00434E18"/>
    <w:rsid w:val="00437072"/>
    <w:rsid w:val="004375B9"/>
    <w:rsid w:val="0044045E"/>
    <w:rsid w:val="004406D4"/>
    <w:rsid w:val="00441598"/>
    <w:rsid w:val="00441D76"/>
    <w:rsid w:val="004428D0"/>
    <w:rsid w:val="00442FCF"/>
    <w:rsid w:val="004443A7"/>
    <w:rsid w:val="0044442C"/>
    <w:rsid w:val="00445941"/>
    <w:rsid w:val="004464EB"/>
    <w:rsid w:val="00447D26"/>
    <w:rsid w:val="00447E86"/>
    <w:rsid w:val="00453EA1"/>
    <w:rsid w:val="00454734"/>
    <w:rsid w:val="004548C9"/>
    <w:rsid w:val="00454DF1"/>
    <w:rsid w:val="00455D45"/>
    <w:rsid w:val="00457611"/>
    <w:rsid w:val="00461474"/>
    <w:rsid w:val="004618B4"/>
    <w:rsid w:val="00463EB7"/>
    <w:rsid w:val="00464595"/>
    <w:rsid w:val="00464A1B"/>
    <w:rsid w:val="00464C01"/>
    <w:rsid w:val="004704E7"/>
    <w:rsid w:val="00470944"/>
    <w:rsid w:val="00470D6B"/>
    <w:rsid w:val="0047192F"/>
    <w:rsid w:val="004724BD"/>
    <w:rsid w:val="00472A79"/>
    <w:rsid w:val="00473044"/>
    <w:rsid w:val="00473ACE"/>
    <w:rsid w:val="00473F19"/>
    <w:rsid w:val="004740D9"/>
    <w:rsid w:val="00474757"/>
    <w:rsid w:val="0047583D"/>
    <w:rsid w:val="00475E22"/>
    <w:rsid w:val="004772D3"/>
    <w:rsid w:val="0048088E"/>
    <w:rsid w:val="004812FD"/>
    <w:rsid w:val="00481904"/>
    <w:rsid w:val="00482720"/>
    <w:rsid w:val="00482E8D"/>
    <w:rsid w:val="004835E7"/>
    <w:rsid w:val="00485EFD"/>
    <w:rsid w:val="004867E2"/>
    <w:rsid w:val="00490AA2"/>
    <w:rsid w:val="00491339"/>
    <w:rsid w:val="00491B3A"/>
    <w:rsid w:val="00492CFD"/>
    <w:rsid w:val="00494DD5"/>
    <w:rsid w:val="004962D2"/>
    <w:rsid w:val="00496787"/>
    <w:rsid w:val="004A0DA1"/>
    <w:rsid w:val="004A140B"/>
    <w:rsid w:val="004A1FED"/>
    <w:rsid w:val="004A257E"/>
    <w:rsid w:val="004A52E9"/>
    <w:rsid w:val="004A579E"/>
    <w:rsid w:val="004A6597"/>
    <w:rsid w:val="004A7848"/>
    <w:rsid w:val="004B1CB4"/>
    <w:rsid w:val="004B2F18"/>
    <w:rsid w:val="004B3DDB"/>
    <w:rsid w:val="004B44FD"/>
    <w:rsid w:val="004B49F0"/>
    <w:rsid w:val="004B4AD5"/>
    <w:rsid w:val="004B5CFC"/>
    <w:rsid w:val="004B73C5"/>
    <w:rsid w:val="004B7480"/>
    <w:rsid w:val="004B774D"/>
    <w:rsid w:val="004B7FAB"/>
    <w:rsid w:val="004C012D"/>
    <w:rsid w:val="004C30C7"/>
    <w:rsid w:val="004C4AED"/>
    <w:rsid w:val="004D2C2D"/>
    <w:rsid w:val="004D36E3"/>
    <w:rsid w:val="004D7227"/>
    <w:rsid w:val="004D7606"/>
    <w:rsid w:val="004D7859"/>
    <w:rsid w:val="004E0E7F"/>
    <w:rsid w:val="004E0EB8"/>
    <w:rsid w:val="004E1FE6"/>
    <w:rsid w:val="004E2001"/>
    <w:rsid w:val="004E2ADC"/>
    <w:rsid w:val="004E43B2"/>
    <w:rsid w:val="004E445F"/>
    <w:rsid w:val="004E6D0A"/>
    <w:rsid w:val="004E7C42"/>
    <w:rsid w:val="004F0F5D"/>
    <w:rsid w:val="004F1D02"/>
    <w:rsid w:val="004F2679"/>
    <w:rsid w:val="004F2F21"/>
    <w:rsid w:val="004F3F6C"/>
    <w:rsid w:val="004F55CE"/>
    <w:rsid w:val="004F6913"/>
    <w:rsid w:val="004F6B7C"/>
    <w:rsid w:val="004F71FB"/>
    <w:rsid w:val="004F7865"/>
    <w:rsid w:val="00500959"/>
    <w:rsid w:val="00500F63"/>
    <w:rsid w:val="0050219B"/>
    <w:rsid w:val="005027C1"/>
    <w:rsid w:val="0050360D"/>
    <w:rsid w:val="00503F17"/>
    <w:rsid w:val="00506928"/>
    <w:rsid w:val="0051042A"/>
    <w:rsid w:val="00512095"/>
    <w:rsid w:val="005130EF"/>
    <w:rsid w:val="0051481F"/>
    <w:rsid w:val="005152B5"/>
    <w:rsid w:val="00516FFD"/>
    <w:rsid w:val="005171AF"/>
    <w:rsid w:val="00517E04"/>
    <w:rsid w:val="00520855"/>
    <w:rsid w:val="00521319"/>
    <w:rsid w:val="00522BC8"/>
    <w:rsid w:val="00523C28"/>
    <w:rsid w:val="00524257"/>
    <w:rsid w:val="005268A0"/>
    <w:rsid w:val="005274C9"/>
    <w:rsid w:val="0052766A"/>
    <w:rsid w:val="005276A9"/>
    <w:rsid w:val="00527F83"/>
    <w:rsid w:val="0053078C"/>
    <w:rsid w:val="005308A9"/>
    <w:rsid w:val="00530A15"/>
    <w:rsid w:val="0053165F"/>
    <w:rsid w:val="00531C52"/>
    <w:rsid w:val="00533E91"/>
    <w:rsid w:val="0053433D"/>
    <w:rsid w:val="00535AD8"/>
    <w:rsid w:val="00535E52"/>
    <w:rsid w:val="00536E8A"/>
    <w:rsid w:val="00536F42"/>
    <w:rsid w:val="00536FDD"/>
    <w:rsid w:val="00537182"/>
    <w:rsid w:val="00537CC5"/>
    <w:rsid w:val="00542743"/>
    <w:rsid w:val="00542C2D"/>
    <w:rsid w:val="005500DE"/>
    <w:rsid w:val="00551985"/>
    <w:rsid w:val="00551E4A"/>
    <w:rsid w:val="00552BD3"/>
    <w:rsid w:val="005534AC"/>
    <w:rsid w:val="00555109"/>
    <w:rsid w:val="00555856"/>
    <w:rsid w:val="00556206"/>
    <w:rsid w:val="00560327"/>
    <w:rsid w:val="00560B13"/>
    <w:rsid w:val="0056390B"/>
    <w:rsid w:val="005667A6"/>
    <w:rsid w:val="0056696F"/>
    <w:rsid w:val="0057003E"/>
    <w:rsid w:val="005709DF"/>
    <w:rsid w:val="00570BB8"/>
    <w:rsid w:val="00572269"/>
    <w:rsid w:val="0057244A"/>
    <w:rsid w:val="00574A0C"/>
    <w:rsid w:val="00575D8D"/>
    <w:rsid w:val="00576972"/>
    <w:rsid w:val="0058078E"/>
    <w:rsid w:val="005809BA"/>
    <w:rsid w:val="00581E85"/>
    <w:rsid w:val="00582FA0"/>
    <w:rsid w:val="00583699"/>
    <w:rsid w:val="00583A14"/>
    <w:rsid w:val="00584056"/>
    <w:rsid w:val="00585CDD"/>
    <w:rsid w:val="00585DC2"/>
    <w:rsid w:val="00587058"/>
    <w:rsid w:val="00587179"/>
    <w:rsid w:val="005905AB"/>
    <w:rsid w:val="00590BAE"/>
    <w:rsid w:val="00590F5B"/>
    <w:rsid w:val="005916E2"/>
    <w:rsid w:val="00591957"/>
    <w:rsid w:val="00591EDF"/>
    <w:rsid w:val="005935DE"/>
    <w:rsid w:val="00593739"/>
    <w:rsid w:val="005958E2"/>
    <w:rsid w:val="00597BF9"/>
    <w:rsid w:val="005A0233"/>
    <w:rsid w:val="005A05AE"/>
    <w:rsid w:val="005A373D"/>
    <w:rsid w:val="005A3889"/>
    <w:rsid w:val="005A41B7"/>
    <w:rsid w:val="005A43FA"/>
    <w:rsid w:val="005A581F"/>
    <w:rsid w:val="005B1A20"/>
    <w:rsid w:val="005B2078"/>
    <w:rsid w:val="005B2627"/>
    <w:rsid w:val="005B4E2B"/>
    <w:rsid w:val="005B4E2D"/>
    <w:rsid w:val="005B5445"/>
    <w:rsid w:val="005B5857"/>
    <w:rsid w:val="005B6309"/>
    <w:rsid w:val="005B7DF8"/>
    <w:rsid w:val="005C1B83"/>
    <w:rsid w:val="005C22C9"/>
    <w:rsid w:val="005C2D55"/>
    <w:rsid w:val="005C346B"/>
    <w:rsid w:val="005C466D"/>
    <w:rsid w:val="005C4E73"/>
    <w:rsid w:val="005C584D"/>
    <w:rsid w:val="005C6986"/>
    <w:rsid w:val="005D044D"/>
    <w:rsid w:val="005D0ABD"/>
    <w:rsid w:val="005D18AD"/>
    <w:rsid w:val="005D26B4"/>
    <w:rsid w:val="005D5736"/>
    <w:rsid w:val="005D5A49"/>
    <w:rsid w:val="005D5C30"/>
    <w:rsid w:val="005D608B"/>
    <w:rsid w:val="005D6F8B"/>
    <w:rsid w:val="005D7205"/>
    <w:rsid w:val="005E31EA"/>
    <w:rsid w:val="005E39D3"/>
    <w:rsid w:val="005E3FDB"/>
    <w:rsid w:val="005E42D0"/>
    <w:rsid w:val="005E6CBC"/>
    <w:rsid w:val="005E73C0"/>
    <w:rsid w:val="005F185B"/>
    <w:rsid w:val="005F2706"/>
    <w:rsid w:val="005F4796"/>
    <w:rsid w:val="005F47BB"/>
    <w:rsid w:val="005F4E04"/>
    <w:rsid w:val="005F59B6"/>
    <w:rsid w:val="005F6A8F"/>
    <w:rsid w:val="00600467"/>
    <w:rsid w:val="006014B6"/>
    <w:rsid w:val="00602F39"/>
    <w:rsid w:val="0060328C"/>
    <w:rsid w:val="006032D5"/>
    <w:rsid w:val="00603674"/>
    <w:rsid w:val="00603DB9"/>
    <w:rsid w:val="00603EB6"/>
    <w:rsid w:val="00606158"/>
    <w:rsid w:val="006071D6"/>
    <w:rsid w:val="00607669"/>
    <w:rsid w:val="006078C1"/>
    <w:rsid w:val="00607AFD"/>
    <w:rsid w:val="00610944"/>
    <w:rsid w:val="00612F97"/>
    <w:rsid w:val="0061345D"/>
    <w:rsid w:val="006140BB"/>
    <w:rsid w:val="00615101"/>
    <w:rsid w:val="00615CF1"/>
    <w:rsid w:val="00616802"/>
    <w:rsid w:val="00617E12"/>
    <w:rsid w:val="006201AF"/>
    <w:rsid w:val="00621095"/>
    <w:rsid w:val="00621477"/>
    <w:rsid w:val="00623328"/>
    <w:rsid w:val="00623924"/>
    <w:rsid w:val="00623A5B"/>
    <w:rsid w:val="006300B8"/>
    <w:rsid w:val="00630A77"/>
    <w:rsid w:val="0063158F"/>
    <w:rsid w:val="00631D6B"/>
    <w:rsid w:val="0063201F"/>
    <w:rsid w:val="00632F68"/>
    <w:rsid w:val="006330A1"/>
    <w:rsid w:val="0063479F"/>
    <w:rsid w:val="006353F0"/>
    <w:rsid w:val="00635E79"/>
    <w:rsid w:val="006364A1"/>
    <w:rsid w:val="006373B1"/>
    <w:rsid w:val="00637BFD"/>
    <w:rsid w:val="00640A17"/>
    <w:rsid w:val="00640C1F"/>
    <w:rsid w:val="00641231"/>
    <w:rsid w:val="00641C4E"/>
    <w:rsid w:val="006430C3"/>
    <w:rsid w:val="00644AB0"/>
    <w:rsid w:val="006471CC"/>
    <w:rsid w:val="00647201"/>
    <w:rsid w:val="006502BB"/>
    <w:rsid w:val="0065079F"/>
    <w:rsid w:val="0065379F"/>
    <w:rsid w:val="00654C4B"/>
    <w:rsid w:val="0065542D"/>
    <w:rsid w:val="00657099"/>
    <w:rsid w:val="006573FB"/>
    <w:rsid w:val="006579EE"/>
    <w:rsid w:val="00661C6B"/>
    <w:rsid w:val="00662306"/>
    <w:rsid w:val="00664003"/>
    <w:rsid w:val="0067006C"/>
    <w:rsid w:val="0067117A"/>
    <w:rsid w:val="00671390"/>
    <w:rsid w:val="00671FC1"/>
    <w:rsid w:val="0067258B"/>
    <w:rsid w:val="0067423B"/>
    <w:rsid w:val="006749E7"/>
    <w:rsid w:val="00674E42"/>
    <w:rsid w:val="006755DA"/>
    <w:rsid w:val="0067686C"/>
    <w:rsid w:val="006803BF"/>
    <w:rsid w:val="0068082D"/>
    <w:rsid w:val="00681937"/>
    <w:rsid w:val="00681F00"/>
    <w:rsid w:val="00682112"/>
    <w:rsid w:val="0068288C"/>
    <w:rsid w:val="00684470"/>
    <w:rsid w:val="006845DC"/>
    <w:rsid w:val="0068664E"/>
    <w:rsid w:val="00686957"/>
    <w:rsid w:val="006872BA"/>
    <w:rsid w:val="00690745"/>
    <w:rsid w:val="00691648"/>
    <w:rsid w:val="006917D7"/>
    <w:rsid w:val="0069232B"/>
    <w:rsid w:val="00694728"/>
    <w:rsid w:val="00694931"/>
    <w:rsid w:val="00694F44"/>
    <w:rsid w:val="00696DAF"/>
    <w:rsid w:val="006A048B"/>
    <w:rsid w:val="006A4D31"/>
    <w:rsid w:val="006A7E40"/>
    <w:rsid w:val="006A7E5F"/>
    <w:rsid w:val="006B17CA"/>
    <w:rsid w:val="006B261B"/>
    <w:rsid w:val="006B2C90"/>
    <w:rsid w:val="006B40A9"/>
    <w:rsid w:val="006B5005"/>
    <w:rsid w:val="006B5249"/>
    <w:rsid w:val="006B6DD0"/>
    <w:rsid w:val="006C113F"/>
    <w:rsid w:val="006C19DA"/>
    <w:rsid w:val="006C27C7"/>
    <w:rsid w:val="006C2A8E"/>
    <w:rsid w:val="006C3F91"/>
    <w:rsid w:val="006C4D87"/>
    <w:rsid w:val="006C5DB6"/>
    <w:rsid w:val="006C673C"/>
    <w:rsid w:val="006C6FA6"/>
    <w:rsid w:val="006D28D7"/>
    <w:rsid w:val="006D3C7D"/>
    <w:rsid w:val="006D488A"/>
    <w:rsid w:val="006D5D5F"/>
    <w:rsid w:val="006D7983"/>
    <w:rsid w:val="006E13A8"/>
    <w:rsid w:val="006E19D8"/>
    <w:rsid w:val="006E1FF9"/>
    <w:rsid w:val="006E4204"/>
    <w:rsid w:val="006E4DC0"/>
    <w:rsid w:val="006E4EC7"/>
    <w:rsid w:val="006E5AF0"/>
    <w:rsid w:val="006F271D"/>
    <w:rsid w:val="006F306C"/>
    <w:rsid w:val="006F4349"/>
    <w:rsid w:val="006F58EC"/>
    <w:rsid w:val="006F60C2"/>
    <w:rsid w:val="006F63A5"/>
    <w:rsid w:val="006F68BC"/>
    <w:rsid w:val="00700502"/>
    <w:rsid w:val="00700AE0"/>
    <w:rsid w:val="0070142B"/>
    <w:rsid w:val="00702311"/>
    <w:rsid w:val="0070276E"/>
    <w:rsid w:val="00702F8F"/>
    <w:rsid w:val="00711A36"/>
    <w:rsid w:val="00712121"/>
    <w:rsid w:val="007137F5"/>
    <w:rsid w:val="00714898"/>
    <w:rsid w:val="0071502A"/>
    <w:rsid w:val="0071529C"/>
    <w:rsid w:val="00715A54"/>
    <w:rsid w:val="00716682"/>
    <w:rsid w:val="00716DC3"/>
    <w:rsid w:val="007172AD"/>
    <w:rsid w:val="00717356"/>
    <w:rsid w:val="0072089E"/>
    <w:rsid w:val="00720ACF"/>
    <w:rsid w:val="00720AD5"/>
    <w:rsid w:val="00721840"/>
    <w:rsid w:val="00722545"/>
    <w:rsid w:val="00722B1B"/>
    <w:rsid w:val="00722BA4"/>
    <w:rsid w:val="00722FD3"/>
    <w:rsid w:val="00723901"/>
    <w:rsid w:val="0072416F"/>
    <w:rsid w:val="00725186"/>
    <w:rsid w:val="00727BD7"/>
    <w:rsid w:val="00727C94"/>
    <w:rsid w:val="00731EAE"/>
    <w:rsid w:val="0073419A"/>
    <w:rsid w:val="00735033"/>
    <w:rsid w:val="00735328"/>
    <w:rsid w:val="0073685B"/>
    <w:rsid w:val="007376A0"/>
    <w:rsid w:val="0073783F"/>
    <w:rsid w:val="007447EB"/>
    <w:rsid w:val="007449A9"/>
    <w:rsid w:val="007501E2"/>
    <w:rsid w:val="00750E0E"/>
    <w:rsid w:val="00751A7E"/>
    <w:rsid w:val="00751CDB"/>
    <w:rsid w:val="00752142"/>
    <w:rsid w:val="007523F9"/>
    <w:rsid w:val="007544B3"/>
    <w:rsid w:val="00754966"/>
    <w:rsid w:val="007565B2"/>
    <w:rsid w:val="00756929"/>
    <w:rsid w:val="007573E8"/>
    <w:rsid w:val="00760C4E"/>
    <w:rsid w:val="0076371D"/>
    <w:rsid w:val="007641D9"/>
    <w:rsid w:val="0076592A"/>
    <w:rsid w:val="00765A90"/>
    <w:rsid w:val="00765AE5"/>
    <w:rsid w:val="00765B1A"/>
    <w:rsid w:val="00765F34"/>
    <w:rsid w:val="00766521"/>
    <w:rsid w:val="00770876"/>
    <w:rsid w:val="00775365"/>
    <w:rsid w:val="00775879"/>
    <w:rsid w:val="00775915"/>
    <w:rsid w:val="007760E4"/>
    <w:rsid w:val="007767F8"/>
    <w:rsid w:val="00776F55"/>
    <w:rsid w:val="00777232"/>
    <w:rsid w:val="007803FE"/>
    <w:rsid w:val="00783B1D"/>
    <w:rsid w:val="00783DA9"/>
    <w:rsid w:val="007841E1"/>
    <w:rsid w:val="007842B7"/>
    <w:rsid w:val="007843F2"/>
    <w:rsid w:val="00784C63"/>
    <w:rsid w:val="00785101"/>
    <w:rsid w:val="00785BEC"/>
    <w:rsid w:val="00786CBF"/>
    <w:rsid w:val="007871CA"/>
    <w:rsid w:val="00787C41"/>
    <w:rsid w:val="00790246"/>
    <w:rsid w:val="007919A5"/>
    <w:rsid w:val="00791DF3"/>
    <w:rsid w:val="00793110"/>
    <w:rsid w:val="00794BE9"/>
    <w:rsid w:val="00795FA2"/>
    <w:rsid w:val="00796BE2"/>
    <w:rsid w:val="007A0A12"/>
    <w:rsid w:val="007A0D25"/>
    <w:rsid w:val="007A132D"/>
    <w:rsid w:val="007A1E17"/>
    <w:rsid w:val="007A2753"/>
    <w:rsid w:val="007A6AFA"/>
    <w:rsid w:val="007A7BC4"/>
    <w:rsid w:val="007B0530"/>
    <w:rsid w:val="007B0BD1"/>
    <w:rsid w:val="007B0D68"/>
    <w:rsid w:val="007B104F"/>
    <w:rsid w:val="007B251D"/>
    <w:rsid w:val="007B2F45"/>
    <w:rsid w:val="007B3784"/>
    <w:rsid w:val="007B4F58"/>
    <w:rsid w:val="007B528D"/>
    <w:rsid w:val="007B72AD"/>
    <w:rsid w:val="007B77D1"/>
    <w:rsid w:val="007C1874"/>
    <w:rsid w:val="007C1CD9"/>
    <w:rsid w:val="007C1D46"/>
    <w:rsid w:val="007C361D"/>
    <w:rsid w:val="007C4B84"/>
    <w:rsid w:val="007C4F0E"/>
    <w:rsid w:val="007C707C"/>
    <w:rsid w:val="007C741C"/>
    <w:rsid w:val="007C7AF4"/>
    <w:rsid w:val="007D004F"/>
    <w:rsid w:val="007D0831"/>
    <w:rsid w:val="007D0B38"/>
    <w:rsid w:val="007D3FF0"/>
    <w:rsid w:val="007D5440"/>
    <w:rsid w:val="007D6A79"/>
    <w:rsid w:val="007D6FEC"/>
    <w:rsid w:val="007D7B9D"/>
    <w:rsid w:val="007E0B4E"/>
    <w:rsid w:val="007E0C32"/>
    <w:rsid w:val="007E2319"/>
    <w:rsid w:val="007E30FB"/>
    <w:rsid w:val="007E35FC"/>
    <w:rsid w:val="007E3EB0"/>
    <w:rsid w:val="007E4D96"/>
    <w:rsid w:val="007E5BC5"/>
    <w:rsid w:val="007E7215"/>
    <w:rsid w:val="007F0810"/>
    <w:rsid w:val="007F1017"/>
    <w:rsid w:val="007F4A3F"/>
    <w:rsid w:val="007F4A61"/>
    <w:rsid w:val="007F61C2"/>
    <w:rsid w:val="007F6D7A"/>
    <w:rsid w:val="00803CF6"/>
    <w:rsid w:val="00805142"/>
    <w:rsid w:val="008057FB"/>
    <w:rsid w:val="00805E10"/>
    <w:rsid w:val="00806330"/>
    <w:rsid w:val="00807A8B"/>
    <w:rsid w:val="00811066"/>
    <w:rsid w:val="00811383"/>
    <w:rsid w:val="008113A8"/>
    <w:rsid w:val="00812149"/>
    <w:rsid w:val="00812CAC"/>
    <w:rsid w:val="00814140"/>
    <w:rsid w:val="0081518E"/>
    <w:rsid w:val="008166EF"/>
    <w:rsid w:val="008167A6"/>
    <w:rsid w:val="00816F54"/>
    <w:rsid w:val="00824034"/>
    <w:rsid w:val="00824673"/>
    <w:rsid w:val="00824C4F"/>
    <w:rsid w:val="008250CC"/>
    <w:rsid w:val="008255E0"/>
    <w:rsid w:val="00825751"/>
    <w:rsid w:val="008264EB"/>
    <w:rsid w:val="00826727"/>
    <w:rsid w:val="008279E9"/>
    <w:rsid w:val="008310FB"/>
    <w:rsid w:val="00831146"/>
    <w:rsid w:val="00833B05"/>
    <w:rsid w:val="008350EC"/>
    <w:rsid w:val="008362B4"/>
    <w:rsid w:val="00840CA2"/>
    <w:rsid w:val="0084374F"/>
    <w:rsid w:val="00843BED"/>
    <w:rsid w:val="0084540C"/>
    <w:rsid w:val="00845B94"/>
    <w:rsid w:val="00846FBE"/>
    <w:rsid w:val="00847617"/>
    <w:rsid w:val="00847CB3"/>
    <w:rsid w:val="00847DF5"/>
    <w:rsid w:val="00847E99"/>
    <w:rsid w:val="0085309D"/>
    <w:rsid w:val="00853483"/>
    <w:rsid w:val="00856897"/>
    <w:rsid w:val="00856D16"/>
    <w:rsid w:val="00856E9A"/>
    <w:rsid w:val="0086017B"/>
    <w:rsid w:val="0086075D"/>
    <w:rsid w:val="00861478"/>
    <w:rsid w:val="00861EE7"/>
    <w:rsid w:val="00862119"/>
    <w:rsid w:val="00862502"/>
    <w:rsid w:val="0086570B"/>
    <w:rsid w:val="008660D4"/>
    <w:rsid w:val="00867AEB"/>
    <w:rsid w:val="0087083D"/>
    <w:rsid w:val="00870D7B"/>
    <w:rsid w:val="00871530"/>
    <w:rsid w:val="00871FA9"/>
    <w:rsid w:val="008728E9"/>
    <w:rsid w:val="0087454C"/>
    <w:rsid w:val="00876AD5"/>
    <w:rsid w:val="00881118"/>
    <w:rsid w:val="00882874"/>
    <w:rsid w:val="00883787"/>
    <w:rsid w:val="00883A67"/>
    <w:rsid w:val="00884CD8"/>
    <w:rsid w:val="008867E9"/>
    <w:rsid w:val="00886CD2"/>
    <w:rsid w:val="00892A36"/>
    <w:rsid w:val="00892E89"/>
    <w:rsid w:val="00893239"/>
    <w:rsid w:val="00894489"/>
    <w:rsid w:val="00895A4F"/>
    <w:rsid w:val="008963A5"/>
    <w:rsid w:val="008A23C6"/>
    <w:rsid w:val="008A2A9A"/>
    <w:rsid w:val="008A3363"/>
    <w:rsid w:val="008A3371"/>
    <w:rsid w:val="008A3C3E"/>
    <w:rsid w:val="008A46EC"/>
    <w:rsid w:val="008A584A"/>
    <w:rsid w:val="008A6DAE"/>
    <w:rsid w:val="008A79DE"/>
    <w:rsid w:val="008B1757"/>
    <w:rsid w:val="008B178C"/>
    <w:rsid w:val="008B1D34"/>
    <w:rsid w:val="008B23AD"/>
    <w:rsid w:val="008B442C"/>
    <w:rsid w:val="008B499F"/>
    <w:rsid w:val="008B5832"/>
    <w:rsid w:val="008B5ACF"/>
    <w:rsid w:val="008B7A1A"/>
    <w:rsid w:val="008B7D7E"/>
    <w:rsid w:val="008C30DF"/>
    <w:rsid w:val="008C608A"/>
    <w:rsid w:val="008C76C8"/>
    <w:rsid w:val="008C7ECB"/>
    <w:rsid w:val="008D00BD"/>
    <w:rsid w:val="008D072E"/>
    <w:rsid w:val="008D3374"/>
    <w:rsid w:val="008D4755"/>
    <w:rsid w:val="008D4C3D"/>
    <w:rsid w:val="008D5940"/>
    <w:rsid w:val="008D6740"/>
    <w:rsid w:val="008D71A1"/>
    <w:rsid w:val="008D7A69"/>
    <w:rsid w:val="008E0289"/>
    <w:rsid w:val="008E0870"/>
    <w:rsid w:val="008E0D3C"/>
    <w:rsid w:val="008E1139"/>
    <w:rsid w:val="008E1A83"/>
    <w:rsid w:val="008E1B9E"/>
    <w:rsid w:val="008E4BE2"/>
    <w:rsid w:val="008E50E9"/>
    <w:rsid w:val="008E55AB"/>
    <w:rsid w:val="008E6553"/>
    <w:rsid w:val="008E784A"/>
    <w:rsid w:val="008F0015"/>
    <w:rsid w:val="008F120A"/>
    <w:rsid w:val="008F1C37"/>
    <w:rsid w:val="008F205A"/>
    <w:rsid w:val="008F27E0"/>
    <w:rsid w:val="008F296E"/>
    <w:rsid w:val="008F48EB"/>
    <w:rsid w:val="008F4F0B"/>
    <w:rsid w:val="008F6E10"/>
    <w:rsid w:val="00901409"/>
    <w:rsid w:val="00902B43"/>
    <w:rsid w:val="0090311A"/>
    <w:rsid w:val="00904467"/>
    <w:rsid w:val="009046C4"/>
    <w:rsid w:val="0090511A"/>
    <w:rsid w:val="009062A5"/>
    <w:rsid w:val="00906587"/>
    <w:rsid w:val="00911272"/>
    <w:rsid w:val="00911D3C"/>
    <w:rsid w:val="009135D6"/>
    <w:rsid w:val="00913711"/>
    <w:rsid w:val="00914C77"/>
    <w:rsid w:val="009157EC"/>
    <w:rsid w:val="009164FB"/>
    <w:rsid w:val="009176A6"/>
    <w:rsid w:val="009211C6"/>
    <w:rsid w:val="009218D8"/>
    <w:rsid w:val="00921D5A"/>
    <w:rsid w:val="00921FBE"/>
    <w:rsid w:val="00922E58"/>
    <w:rsid w:val="009230B4"/>
    <w:rsid w:val="0092369B"/>
    <w:rsid w:val="00925B3C"/>
    <w:rsid w:val="0093165A"/>
    <w:rsid w:val="00932440"/>
    <w:rsid w:val="00933C5E"/>
    <w:rsid w:val="0093404E"/>
    <w:rsid w:val="0094130E"/>
    <w:rsid w:val="0094171B"/>
    <w:rsid w:val="00942E18"/>
    <w:rsid w:val="00944B35"/>
    <w:rsid w:val="00950AA2"/>
    <w:rsid w:val="00950B6C"/>
    <w:rsid w:val="009510A2"/>
    <w:rsid w:val="00953257"/>
    <w:rsid w:val="00953287"/>
    <w:rsid w:val="00953802"/>
    <w:rsid w:val="00957D13"/>
    <w:rsid w:val="009604E7"/>
    <w:rsid w:val="009628F1"/>
    <w:rsid w:val="00962CB9"/>
    <w:rsid w:val="00964312"/>
    <w:rsid w:val="00965B8A"/>
    <w:rsid w:val="00965ED0"/>
    <w:rsid w:val="00967AF3"/>
    <w:rsid w:val="009717AC"/>
    <w:rsid w:val="00971833"/>
    <w:rsid w:val="00972A8B"/>
    <w:rsid w:val="00972E2F"/>
    <w:rsid w:val="0097418D"/>
    <w:rsid w:val="00975975"/>
    <w:rsid w:val="00977027"/>
    <w:rsid w:val="00982B83"/>
    <w:rsid w:val="00982BC8"/>
    <w:rsid w:val="00983E57"/>
    <w:rsid w:val="00984C50"/>
    <w:rsid w:val="0098675D"/>
    <w:rsid w:val="00992ADA"/>
    <w:rsid w:val="0099328F"/>
    <w:rsid w:val="009939FD"/>
    <w:rsid w:val="00993DC1"/>
    <w:rsid w:val="00996B1A"/>
    <w:rsid w:val="00996C07"/>
    <w:rsid w:val="009A11DE"/>
    <w:rsid w:val="009A13FE"/>
    <w:rsid w:val="009A1CBF"/>
    <w:rsid w:val="009A20AF"/>
    <w:rsid w:val="009A2883"/>
    <w:rsid w:val="009A58D0"/>
    <w:rsid w:val="009A7F10"/>
    <w:rsid w:val="009B08D8"/>
    <w:rsid w:val="009B1FB7"/>
    <w:rsid w:val="009B238F"/>
    <w:rsid w:val="009B28F3"/>
    <w:rsid w:val="009B3C60"/>
    <w:rsid w:val="009B3E26"/>
    <w:rsid w:val="009B554A"/>
    <w:rsid w:val="009C05A1"/>
    <w:rsid w:val="009C077F"/>
    <w:rsid w:val="009C19F4"/>
    <w:rsid w:val="009C22A6"/>
    <w:rsid w:val="009C2980"/>
    <w:rsid w:val="009C3AD6"/>
    <w:rsid w:val="009C40C3"/>
    <w:rsid w:val="009C46F7"/>
    <w:rsid w:val="009C493D"/>
    <w:rsid w:val="009C4B82"/>
    <w:rsid w:val="009C50AB"/>
    <w:rsid w:val="009C5F0E"/>
    <w:rsid w:val="009C623A"/>
    <w:rsid w:val="009C6CEA"/>
    <w:rsid w:val="009C6EE1"/>
    <w:rsid w:val="009C7B85"/>
    <w:rsid w:val="009D046E"/>
    <w:rsid w:val="009D134B"/>
    <w:rsid w:val="009D178D"/>
    <w:rsid w:val="009D3257"/>
    <w:rsid w:val="009D3585"/>
    <w:rsid w:val="009D393B"/>
    <w:rsid w:val="009D5B91"/>
    <w:rsid w:val="009D5FFF"/>
    <w:rsid w:val="009D792E"/>
    <w:rsid w:val="009E0DFE"/>
    <w:rsid w:val="009E2CDD"/>
    <w:rsid w:val="009E4B50"/>
    <w:rsid w:val="009E4C07"/>
    <w:rsid w:val="009E5E77"/>
    <w:rsid w:val="009E612B"/>
    <w:rsid w:val="009E79BA"/>
    <w:rsid w:val="009F0AE8"/>
    <w:rsid w:val="009F1529"/>
    <w:rsid w:val="009F219D"/>
    <w:rsid w:val="009F2A50"/>
    <w:rsid w:val="009F4FCC"/>
    <w:rsid w:val="009F66AE"/>
    <w:rsid w:val="009F6C0F"/>
    <w:rsid w:val="009F7BAB"/>
    <w:rsid w:val="00A01184"/>
    <w:rsid w:val="00A01E6E"/>
    <w:rsid w:val="00A0249E"/>
    <w:rsid w:val="00A03386"/>
    <w:rsid w:val="00A03D43"/>
    <w:rsid w:val="00A04380"/>
    <w:rsid w:val="00A04B19"/>
    <w:rsid w:val="00A10CA7"/>
    <w:rsid w:val="00A11CD0"/>
    <w:rsid w:val="00A12AC8"/>
    <w:rsid w:val="00A12B35"/>
    <w:rsid w:val="00A13948"/>
    <w:rsid w:val="00A1555B"/>
    <w:rsid w:val="00A155C5"/>
    <w:rsid w:val="00A15A38"/>
    <w:rsid w:val="00A16AD8"/>
    <w:rsid w:val="00A16EE8"/>
    <w:rsid w:val="00A177D7"/>
    <w:rsid w:val="00A21CF3"/>
    <w:rsid w:val="00A26782"/>
    <w:rsid w:val="00A27AEC"/>
    <w:rsid w:val="00A30923"/>
    <w:rsid w:val="00A313AE"/>
    <w:rsid w:val="00A320DB"/>
    <w:rsid w:val="00A3241D"/>
    <w:rsid w:val="00A346AE"/>
    <w:rsid w:val="00A35D16"/>
    <w:rsid w:val="00A365C5"/>
    <w:rsid w:val="00A36C94"/>
    <w:rsid w:val="00A37BCD"/>
    <w:rsid w:val="00A37CE0"/>
    <w:rsid w:val="00A40818"/>
    <w:rsid w:val="00A42E6B"/>
    <w:rsid w:val="00A43C59"/>
    <w:rsid w:val="00A44019"/>
    <w:rsid w:val="00A4537F"/>
    <w:rsid w:val="00A50ECD"/>
    <w:rsid w:val="00A518F3"/>
    <w:rsid w:val="00A5223A"/>
    <w:rsid w:val="00A52729"/>
    <w:rsid w:val="00A52F2D"/>
    <w:rsid w:val="00A53675"/>
    <w:rsid w:val="00A54733"/>
    <w:rsid w:val="00A549B6"/>
    <w:rsid w:val="00A564D7"/>
    <w:rsid w:val="00A56B6A"/>
    <w:rsid w:val="00A578DC"/>
    <w:rsid w:val="00A60D47"/>
    <w:rsid w:val="00A61386"/>
    <w:rsid w:val="00A625A4"/>
    <w:rsid w:val="00A64B49"/>
    <w:rsid w:val="00A6725B"/>
    <w:rsid w:val="00A7022E"/>
    <w:rsid w:val="00A70605"/>
    <w:rsid w:val="00A73134"/>
    <w:rsid w:val="00A73562"/>
    <w:rsid w:val="00A777B2"/>
    <w:rsid w:val="00A77B0F"/>
    <w:rsid w:val="00A81EED"/>
    <w:rsid w:val="00A84B7C"/>
    <w:rsid w:val="00A84E98"/>
    <w:rsid w:val="00A86E8B"/>
    <w:rsid w:val="00A87164"/>
    <w:rsid w:val="00A9137B"/>
    <w:rsid w:val="00A915BF"/>
    <w:rsid w:val="00A9163E"/>
    <w:rsid w:val="00A93072"/>
    <w:rsid w:val="00A93953"/>
    <w:rsid w:val="00A959D8"/>
    <w:rsid w:val="00AA0860"/>
    <w:rsid w:val="00AA09B4"/>
    <w:rsid w:val="00AA113D"/>
    <w:rsid w:val="00AA29CE"/>
    <w:rsid w:val="00AA4F84"/>
    <w:rsid w:val="00AA5C4D"/>
    <w:rsid w:val="00AA69C8"/>
    <w:rsid w:val="00AA6C7D"/>
    <w:rsid w:val="00AA7FD6"/>
    <w:rsid w:val="00AB042A"/>
    <w:rsid w:val="00AB1657"/>
    <w:rsid w:val="00AB1AA9"/>
    <w:rsid w:val="00AB2837"/>
    <w:rsid w:val="00AB2D34"/>
    <w:rsid w:val="00AB3430"/>
    <w:rsid w:val="00AB41F1"/>
    <w:rsid w:val="00AB4AD1"/>
    <w:rsid w:val="00AB5AD6"/>
    <w:rsid w:val="00AB628D"/>
    <w:rsid w:val="00AB7CFA"/>
    <w:rsid w:val="00AB7DA4"/>
    <w:rsid w:val="00AC2692"/>
    <w:rsid w:val="00AC2A7E"/>
    <w:rsid w:val="00AC2F73"/>
    <w:rsid w:val="00AC5B48"/>
    <w:rsid w:val="00AD0823"/>
    <w:rsid w:val="00AD6144"/>
    <w:rsid w:val="00AD6502"/>
    <w:rsid w:val="00AD7B15"/>
    <w:rsid w:val="00AE1B9A"/>
    <w:rsid w:val="00AE21C5"/>
    <w:rsid w:val="00AE2555"/>
    <w:rsid w:val="00AE2598"/>
    <w:rsid w:val="00AE2B07"/>
    <w:rsid w:val="00AE6884"/>
    <w:rsid w:val="00AE7BD9"/>
    <w:rsid w:val="00AF1315"/>
    <w:rsid w:val="00AF179D"/>
    <w:rsid w:val="00AF19BF"/>
    <w:rsid w:val="00AF215F"/>
    <w:rsid w:val="00AF2DC3"/>
    <w:rsid w:val="00AF41A1"/>
    <w:rsid w:val="00AF5E86"/>
    <w:rsid w:val="00AF72DE"/>
    <w:rsid w:val="00B01514"/>
    <w:rsid w:val="00B0227B"/>
    <w:rsid w:val="00B033E5"/>
    <w:rsid w:val="00B03A63"/>
    <w:rsid w:val="00B05D5C"/>
    <w:rsid w:val="00B07FA8"/>
    <w:rsid w:val="00B110EA"/>
    <w:rsid w:val="00B11A73"/>
    <w:rsid w:val="00B11CA9"/>
    <w:rsid w:val="00B12833"/>
    <w:rsid w:val="00B14735"/>
    <w:rsid w:val="00B166F0"/>
    <w:rsid w:val="00B17DFF"/>
    <w:rsid w:val="00B201A4"/>
    <w:rsid w:val="00B20C1E"/>
    <w:rsid w:val="00B21220"/>
    <w:rsid w:val="00B213A6"/>
    <w:rsid w:val="00B21938"/>
    <w:rsid w:val="00B2368E"/>
    <w:rsid w:val="00B242D3"/>
    <w:rsid w:val="00B24DF6"/>
    <w:rsid w:val="00B25644"/>
    <w:rsid w:val="00B278F5"/>
    <w:rsid w:val="00B30951"/>
    <w:rsid w:val="00B32747"/>
    <w:rsid w:val="00B32F01"/>
    <w:rsid w:val="00B33F20"/>
    <w:rsid w:val="00B34433"/>
    <w:rsid w:val="00B345C0"/>
    <w:rsid w:val="00B34FE2"/>
    <w:rsid w:val="00B357D8"/>
    <w:rsid w:val="00B363F6"/>
    <w:rsid w:val="00B37BFC"/>
    <w:rsid w:val="00B40358"/>
    <w:rsid w:val="00B4150F"/>
    <w:rsid w:val="00B41614"/>
    <w:rsid w:val="00B41E81"/>
    <w:rsid w:val="00B42851"/>
    <w:rsid w:val="00B42922"/>
    <w:rsid w:val="00B42F80"/>
    <w:rsid w:val="00B435CB"/>
    <w:rsid w:val="00B50DB8"/>
    <w:rsid w:val="00B53654"/>
    <w:rsid w:val="00B5380F"/>
    <w:rsid w:val="00B53905"/>
    <w:rsid w:val="00B54B53"/>
    <w:rsid w:val="00B54B5B"/>
    <w:rsid w:val="00B5562E"/>
    <w:rsid w:val="00B5626C"/>
    <w:rsid w:val="00B56871"/>
    <w:rsid w:val="00B56AC6"/>
    <w:rsid w:val="00B57000"/>
    <w:rsid w:val="00B60939"/>
    <w:rsid w:val="00B609CF"/>
    <w:rsid w:val="00B60AFD"/>
    <w:rsid w:val="00B62715"/>
    <w:rsid w:val="00B6768F"/>
    <w:rsid w:val="00B67902"/>
    <w:rsid w:val="00B7331B"/>
    <w:rsid w:val="00B73BDE"/>
    <w:rsid w:val="00B74D97"/>
    <w:rsid w:val="00B75D7B"/>
    <w:rsid w:val="00B763B6"/>
    <w:rsid w:val="00B76739"/>
    <w:rsid w:val="00B8046C"/>
    <w:rsid w:val="00B818A4"/>
    <w:rsid w:val="00B84117"/>
    <w:rsid w:val="00B85133"/>
    <w:rsid w:val="00B85AA2"/>
    <w:rsid w:val="00B85AAD"/>
    <w:rsid w:val="00B8649C"/>
    <w:rsid w:val="00B87180"/>
    <w:rsid w:val="00B87F0A"/>
    <w:rsid w:val="00B90AF4"/>
    <w:rsid w:val="00B90CED"/>
    <w:rsid w:val="00B917AC"/>
    <w:rsid w:val="00B92D0B"/>
    <w:rsid w:val="00B933E9"/>
    <w:rsid w:val="00B94945"/>
    <w:rsid w:val="00B94A47"/>
    <w:rsid w:val="00B94BFB"/>
    <w:rsid w:val="00B950D0"/>
    <w:rsid w:val="00B96704"/>
    <w:rsid w:val="00B96793"/>
    <w:rsid w:val="00B96A01"/>
    <w:rsid w:val="00B96D96"/>
    <w:rsid w:val="00BA082B"/>
    <w:rsid w:val="00BA192B"/>
    <w:rsid w:val="00BA1959"/>
    <w:rsid w:val="00BA322D"/>
    <w:rsid w:val="00BA3BE5"/>
    <w:rsid w:val="00BA4A42"/>
    <w:rsid w:val="00BA6397"/>
    <w:rsid w:val="00BB0BDD"/>
    <w:rsid w:val="00BB203F"/>
    <w:rsid w:val="00BB2A73"/>
    <w:rsid w:val="00BB2EED"/>
    <w:rsid w:val="00BB3230"/>
    <w:rsid w:val="00BB4ACC"/>
    <w:rsid w:val="00BB6D75"/>
    <w:rsid w:val="00BB703E"/>
    <w:rsid w:val="00BB7405"/>
    <w:rsid w:val="00BB7F8C"/>
    <w:rsid w:val="00BC13D1"/>
    <w:rsid w:val="00BC2813"/>
    <w:rsid w:val="00BC3631"/>
    <w:rsid w:val="00BC39E6"/>
    <w:rsid w:val="00BC469F"/>
    <w:rsid w:val="00BC691C"/>
    <w:rsid w:val="00BC6C7F"/>
    <w:rsid w:val="00BC710E"/>
    <w:rsid w:val="00BD0FC9"/>
    <w:rsid w:val="00BD1FC9"/>
    <w:rsid w:val="00BD26E9"/>
    <w:rsid w:val="00BD2D73"/>
    <w:rsid w:val="00BD3EBE"/>
    <w:rsid w:val="00BD51A1"/>
    <w:rsid w:val="00BD6024"/>
    <w:rsid w:val="00BD68A3"/>
    <w:rsid w:val="00BD6938"/>
    <w:rsid w:val="00BD6CF3"/>
    <w:rsid w:val="00BD6E18"/>
    <w:rsid w:val="00BD790A"/>
    <w:rsid w:val="00BE043E"/>
    <w:rsid w:val="00BE0E1B"/>
    <w:rsid w:val="00BE2180"/>
    <w:rsid w:val="00BE21F2"/>
    <w:rsid w:val="00BE29E7"/>
    <w:rsid w:val="00BE3662"/>
    <w:rsid w:val="00BE3E75"/>
    <w:rsid w:val="00BE4275"/>
    <w:rsid w:val="00BE6134"/>
    <w:rsid w:val="00BE6447"/>
    <w:rsid w:val="00BE6553"/>
    <w:rsid w:val="00BF0F95"/>
    <w:rsid w:val="00BF2204"/>
    <w:rsid w:val="00BF23BE"/>
    <w:rsid w:val="00BF2433"/>
    <w:rsid w:val="00BF3FB6"/>
    <w:rsid w:val="00BF4691"/>
    <w:rsid w:val="00BF4DAC"/>
    <w:rsid w:val="00BF6129"/>
    <w:rsid w:val="00BF61C9"/>
    <w:rsid w:val="00BF6543"/>
    <w:rsid w:val="00BF6C94"/>
    <w:rsid w:val="00BF73CA"/>
    <w:rsid w:val="00BF7889"/>
    <w:rsid w:val="00C00424"/>
    <w:rsid w:val="00C00444"/>
    <w:rsid w:val="00C01016"/>
    <w:rsid w:val="00C020AA"/>
    <w:rsid w:val="00C04019"/>
    <w:rsid w:val="00C04556"/>
    <w:rsid w:val="00C05BC2"/>
    <w:rsid w:val="00C06253"/>
    <w:rsid w:val="00C100B3"/>
    <w:rsid w:val="00C1045D"/>
    <w:rsid w:val="00C10C22"/>
    <w:rsid w:val="00C10D8D"/>
    <w:rsid w:val="00C1136D"/>
    <w:rsid w:val="00C11B4C"/>
    <w:rsid w:val="00C12C14"/>
    <w:rsid w:val="00C1361C"/>
    <w:rsid w:val="00C14CDB"/>
    <w:rsid w:val="00C150F8"/>
    <w:rsid w:val="00C2005C"/>
    <w:rsid w:val="00C200AA"/>
    <w:rsid w:val="00C206E5"/>
    <w:rsid w:val="00C237ED"/>
    <w:rsid w:val="00C2388A"/>
    <w:rsid w:val="00C24632"/>
    <w:rsid w:val="00C25418"/>
    <w:rsid w:val="00C25D9C"/>
    <w:rsid w:val="00C2778B"/>
    <w:rsid w:val="00C27A79"/>
    <w:rsid w:val="00C31649"/>
    <w:rsid w:val="00C3165F"/>
    <w:rsid w:val="00C33504"/>
    <w:rsid w:val="00C33645"/>
    <w:rsid w:val="00C35B4F"/>
    <w:rsid w:val="00C372C1"/>
    <w:rsid w:val="00C40385"/>
    <w:rsid w:val="00C430F3"/>
    <w:rsid w:val="00C4581A"/>
    <w:rsid w:val="00C45F37"/>
    <w:rsid w:val="00C475AA"/>
    <w:rsid w:val="00C47827"/>
    <w:rsid w:val="00C53A60"/>
    <w:rsid w:val="00C55B71"/>
    <w:rsid w:val="00C56699"/>
    <w:rsid w:val="00C56F83"/>
    <w:rsid w:val="00C61943"/>
    <w:rsid w:val="00C620D6"/>
    <w:rsid w:val="00C62CCD"/>
    <w:rsid w:val="00C6518D"/>
    <w:rsid w:val="00C65576"/>
    <w:rsid w:val="00C66165"/>
    <w:rsid w:val="00C66B8F"/>
    <w:rsid w:val="00C67B0E"/>
    <w:rsid w:val="00C67D0F"/>
    <w:rsid w:val="00C67D52"/>
    <w:rsid w:val="00C70718"/>
    <w:rsid w:val="00C7151A"/>
    <w:rsid w:val="00C71650"/>
    <w:rsid w:val="00C71F60"/>
    <w:rsid w:val="00C72241"/>
    <w:rsid w:val="00C747BB"/>
    <w:rsid w:val="00C74943"/>
    <w:rsid w:val="00C750C8"/>
    <w:rsid w:val="00C7560F"/>
    <w:rsid w:val="00C80854"/>
    <w:rsid w:val="00C80A0E"/>
    <w:rsid w:val="00C82041"/>
    <w:rsid w:val="00C8213F"/>
    <w:rsid w:val="00C83DF2"/>
    <w:rsid w:val="00C83E29"/>
    <w:rsid w:val="00C8738F"/>
    <w:rsid w:val="00C8797A"/>
    <w:rsid w:val="00C87C9A"/>
    <w:rsid w:val="00C900B8"/>
    <w:rsid w:val="00C90313"/>
    <w:rsid w:val="00C90C71"/>
    <w:rsid w:val="00C90FF7"/>
    <w:rsid w:val="00C9110D"/>
    <w:rsid w:val="00C912D6"/>
    <w:rsid w:val="00C92647"/>
    <w:rsid w:val="00C931CF"/>
    <w:rsid w:val="00C938CF"/>
    <w:rsid w:val="00C942B2"/>
    <w:rsid w:val="00C9624D"/>
    <w:rsid w:val="00C969DA"/>
    <w:rsid w:val="00C96CDE"/>
    <w:rsid w:val="00CA1090"/>
    <w:rsid w:val="00CA272B"/>
    <w:rsid w:val="00CA2C77"/>
    <w:rsid w:val="00CA361A"/>
    <w:rsid w:val="00CA444F"/>
    <w:rsid w:val="00CA45EA"/>
    <w:rsid w:val="00CA4E28"/>
    <w:rsid w:val="00CA5245"/>
    <w:rsid w:val="00CA6B9E"/>
    <w:rsid w:val="00CA6F80"/>
    <w:rsid w:val="00CA71F4"/>
    <w:rsid w:val="00CA7B09"/>
    <w:rsid w:val="00CB2F2A"/>
    <w:rsid w:val="00CB3746"/>
    <w:rsid w:val="00CB3C95"/>
    <w:rsid w:val="00CB3DBB"/>
    <w:rsid w:val="00CB477B"/>
    <w:rsid w:val="00CB5B1A"/>
    <w:rsid w:val="00CB6B22"/>
    <w:rsid w:val="00CB6BF2"/>
    <w:rsid w:val="00CB7C9E"/>
    <w:rsid w:val="00CB7F5F"/>
    <w:rsid w:val="00CC1B39"/>
    <w:rsid w:val="00CC2234"/>
    <w:rsid w:val="00CC4AE9"/>
    <w:rsid w:val="00CC530A"/>
    <w:rsid w:val="00CC639C"/>
    <w:rsid w:val="00CC7753"/>
    <w:rsid w:val="00CD0165"/>
    <w:rsid w:val="00CD173B"/>
    <w:rsid w:val="00CD1DF3"/>
    <w:rsid w:val="00CD353D"/>
    <w:rsid w:val="00CD3B06"/>
    <w:rsid w:val="00CD4298"/>
    <w:rsid w:val="00CD6ADC"/>
    <w:rsid w:val="00CE0A7E"/>
    <w:rsid w:val="00CE2A7F"/>
    <w:rsid w:val="00CE2C49"/>
    <w:rsid w:val="00CE4CCE"/>
    <w:rsid w:val="00CE6274"/>
    <w:rsid w:val="00CF0365"/>
    <w:rsid w:val="00CF06DE"/>
    <w:rsid w:val="00CF177C"/>
    <w:rsid w:val="00CF2A95"/>
    <w:rsid w:val="00CF2B8D"/>
    <w:rsid w:val="00CF423C"/>
    <w:rsid w:val="00CF456B"/>
    <w:rsid w:val="00CF4681"/>
    <w:rsid w:val="00CF4D40"/>
    <w:rsid w:val="00CF5A22"/>
    <w:rsid w:val="00CF6219"/>
    <w:rsid w:val="00CF788B"/>
    <w:rsid w:val="00D009F4"/>
    <w:rsid w:val="00D014F9"/>
    <w:rsid w:val="00D0262E"/>
    <w:rsid w:val="00D05510"/>
    <w:rsid w:val="00D067D3"/>
    <w:rsid w:val="00D06D1D"/>
    <w:rsid w:val="00D10D70"/>
    <w:rsid w:val="00D110BD"/>
    <w:rsid w:val="00D13675"/>
    <w:rsid w:val="00D140F4"/>
    <w:rsid w:val="00D141E1"/>
    <w:rsid w:val="00D147AD"/>
    <w:rsid w:val="00D149EF"/>
    <w:rsid w:val="00D15486"/>
    <w:rsid w:val="00D16428"/>
    <w:rsid w:val="00D17D6C"/>
    <w:rsid w:val="00D205D4"/>
    <w:rsid w:val="00D2103A"/>
    <w:rsid w:val="00D24507"/>
    <w:rsid w:val="00D25881"/>
    <w:rsid w:val="00D26AD7"/>
    <w:rsid w:val="00D2754D"/>
    <w:rsid w:val="00D27711"/>
    <w:rsid w:val="00D27B27"/>
    <w:rsid w:val="00D304D0"/>
    <w:rsid w:val="00D316AC"/>
    <w:rsid w:val="00D31A91"/>
    <w:rsid w:val="00D32CF5"/>
    <w:rsid w:val="00D33BE9"/>
    <w:rsid w:val="00D357FF"/>
    <w:rsid w:val="00D36FCC"/>
    <w:rsid w:val="00D37A3B"/>
    <w:rsid w:val="00D37D92"/>
    <w:rsid w:val="00D41BA4"/>
    <w:rsid w:val="00D424C7"/>
    <w:rsid w:val="00D43960"/>
    <w:rsid w:val="00D43B2A"/>
    <w:rsid w:val="00D45AA9"/>
    <w:rsid w:val="00D47575"/>
    <w:rsid w:val="00D47586"/>
    <w:rsid w:val="00D50A91"/>
    <w:rsid w:val="00D543D4"/>
    <w:rsid w:val="00D564F0"/>
    <w:rsid w:val="00D566EE"/>
    <w:rsid w:val="00D61EF5"/>
    <w:rsid w:val="00D62DA4"/>
    <w:rsid w:val="00D63ABF"/>
    <w:rsid w:val="00D6473F"/>
    <w:rsid w:val="00D6522E"/>
    <w:rsid w:val="00D65D3E"/>
    <w:rsid w:val="00D700AF"/>
    <w:rsid w:val="00D70F16"/>
    <w:rsid w:val="00D7263E"/>
    <w:rsid w:val="00D72906"/>
    <w:rsid w:val="00D7445E"/>
    <w:rsid w:val="00D74DC9"/>
    <w:rsid w:val="00D756F9"/>
    <w:rsid w:val="00D759D2"/>
    <w:rsid w:val="00D76A44"/>
    <w:rsid w:val="00D77E84"/>
    <w:rsid w:val="00D808A8"/>
    <w:rsid w:val="00D812B7"/>
    <w:rsid w:val="00D815EF"/>
    <w:rsid w:val="00D81782"/>
    <w:rsid w:val="00D85512"/>
    <w:rsid w:val="00D85FAF"/>
    <w:rsid w:val="00D87873"/>
    <w:rsid w:val="00D90ED1"/>
    <w:rsid w:val="00D913E2"/>
    <w:rsid w:val="00D91923"/>
    <w:rsid w:val="00D92CC0"/>
    <w:rsid w:val="00D93753"/>
    <w:rsid w:val="00D9396F"/>
    <w:rsid w:val="00D93DC0"/>
    <w:rsid w:val="00D96D7C"/>
    <w:rsid w:val="00D97A33"/>
    <w:rsid w:val="00DA001D"/>
    <w:rsid w:val="00DA0125"/>
    <w:rsid w:val="00DA02D7"/>
    <w:rsid w:val="00DA1CDC"/>
    <w:rsid w:val="00DA3167"/>
    <w:rsid w:val="00DA374F"/>
    <w:rsid w:val="00DA379A"/>
    <w:rsid w:val="00DA4DC3"/>
    <w:rsid w:val="00DA599D"/>
    <w:rsid w:val="00DA7737"/>
    <w:rsid w:val="00DA77A5"/>
    <w:rsid w:val="00DB286B"/>
    <w:rsid w:val="00DB484F"/>
    <w:rsid w:val="00DB5118"/>
    <w:rsid w:val="00DB7126"/>
    <w:rsid w:val="00DB7B23"/>
    <w:rsid w:val="00DB7CC0"/>
    <w:rsid w:val="00DC04F6"/>
    <w:rsid w:val="00DC3846"/>
    <w:rsid w:val="00DC3C57"/>
    <w:rsid w:val="00DC4008"/>
    <w:rsid w:val="00DC5301"/>
    <w:rsid w:val="00DC5501"/>
    <w:rsid w:val="00DC5B30"/>
    <w:rsid w:val="00DC7C5E"/>
    <w:rsid w:val="00DC7D28"/>
    <w:rsid w:val="00DD0839"/>
    <w:rsid w:val="00DD0B29"/>
    <w:rsid w:val="00DD15C3"/>
    <w:rsid w:val="00DD21C1"/>
    <w:rsid w:val="00DD273C"/>
    <w:rsid w:val="00DD3F28"/>
    <w:rsid w:val="00DD4537"/>
    <w:rsid w:val="00DD4E15"/>
    <w:rsid w:val="00DD4F48"/>
    <w:rsid w:val="00DD5F21"/>
    <w:rsid w:val="00DD6AEE"/>
    <w:rsid w:val="00DD76FB"/>
    <w:rsid w:val="00DE2237"/>
    <w:rsid w:val="00DE3138"/>
    <w:rsid w:val="00DE3351"/>
    <w:rsid w:val="00DE37F8"/>
    <w:rsid w:val="00DE4204"/>
    <w:rsid w:val="00DE4FCB"/>
    <w:rsid w:val="00DE5CAA"/>
    <w:rsid w:val="00DE654A"/>
    <w:rsid w:val="00DE7832"/>
    <w:rsid w:val="00DE7AF4"/>
    <w:rsid w:val="00DF0140"/>
    <w:rsid w:val="00DF111A"/>
    <w:rsid w:val="00DF172B"/>
    <w:rsid w:val="00DF18FC"/>
    <w:rsid w:val="00DF1C82"/>
    <w:rsid w:val="00DF355A"/>
    <w:rsid w:val="00DF454C"/>
    <w:rsid w:val="00DF46E9"/>
    <w:rsid w:val="00DF5D2B"/>
    <w:rsid w:val="00E00DC2"/>
    <w:rsid w:val="00E00E8E"/>
    <w:rsid w:val="00E019EA"/>
    <w:rsid w:val="00E024B4"/>
    <w:rsid w:val="00E05207"/>
    <w:rsid w:val="00E05630"/>
    <w:rsid w:val="00E059F6"/>
    <w:rsid w:val="00E0666F"/>
    <w:rsid w:val="00E06D07"/>
    <w:rsid w:val="00E06DBB"/>
    <w:rsid w:val="00E10149"/>
    <w:rsid w:val="00E101EC"/>
    <w:rsid w:val="00E12739"/>
    <w:rsid w:val="00E15C6E"/>
    <w:rsid w:val="00E16372"/>
    <w:rsid w:val="00E20E4D"/>
    <w:rsid w:val="00E20ED6"/>
    <w:rsid w:val="00E21358"/>
    <w:rsid w:val="00E213C0"/>
    <w:rsid w:val="00E2249B"/>
    <w:rsid w:val="00E228FF"/>
    <w:rsid w:val="00E22A0D"/>
    <w:rsid w:val="00E23028"/>
    <w:rsid w:val="00E257A4"/>
    <w:rsid w:val="00E2614C"/>
    <w:rsid w:val="00E26185"/>
    <w:rsid w:val="00E26A78"/>
    <w:rsid w:val="00E26DD8"/>
    <w:rsid w:val="00E2771E"/>
    <w:rsid w:val="00E31A48"/>
    <w:rsid w:val="00E34948"/>
    <w:rsid w:val="00E34BD4"/>
    <w:rsid w:val="00E35E64"/>
    <w:rsid w:val="00E37569"/>
    <w:rsid w:val="00E37E0B"/>
    <w:rsid w:val="00E40CC9"/>
    <w:rsid w:val="00E41E30"/>
    <w:rsid w:val="00E43D70"/>
    <w:rsid w:val="00E44AF4"/>
    <w:rsid w:val="00E466F3"/>
    <w:rsid w:val="00E47B2C"/>
    <w:rsid w:val="00E51560"/>
    <w:rsid w:val="00E51D86"/>
    <w:rsid w:val="00E523A3"/>
    <w:rsid w:val="00E526A3"/>
    <w:rsid w:val="00E54347"/>
    <w:rsid w:val="00E547B8"/>
    <w:rsid w:val="00E54E4A"/>
    <w:rsid w:val="00E55424"/>
    <w:rsid w:val="00E55BB5"/>
    <w:rsid w:val="00E56B9B"/>
    <w:rsid w:val="00E56F9B"/>
    <w:rsid w:val="00E57986"/>
    <w:rsid w:val="00E6159D"/>
    <w:rsid w:val="00E65E79"/>
    <w:rsid w:val="00E66BA2"/>
    <w:rsid w:val="00E66FFE"/>
    <w:rsid w:val="00E67416"/>
    <w:rsid w:val="00E714A1"/>
    <w:rsid w:val="00E718B6"/>
    <w:rsid w:val="00E723BA"/>
    <w:rsid w:val="00E72B45"/>
    <w:rsid w:val="00E73581"/>
    <w:rsid w:val="00E73EFB"/>
    <w:rsid w:val="00E73FD5"/>
    <w:rsid w:val="00E7675B"/>
    <w:rsid w:val="00E77838"/>
    <w:rsid w:val="00E80710"/>
    <w:rsid w:val="00E8128B"/>
    <w:rsid w:val="00E82105"/>
    <w:rsid w:val="00E833F7"/>
    <w:rsid w:val="00E83BDF"/>
    <w:rsid w:val="00E84342"/>
    <w:rsid w:val="00E84D3B"/>
    <w:rsid w:val="00E85907"/>
    <w:rsid w:val="00E87A1D"/>
    <w:rsid w:val="00E91CFF"/>
    <w:rsid w:val="00E926A5"/>
    <w:rsid w:val="00E94D32"/>
    <w:rsid w:val="00E94FD4"/>
    <w:rsid w:val="00E966D0"/>
    <w:rsid w:val="00E96D56"/>
    <w:rsid w:val="00E975B4"/>
    <w:rsid w:val="00EA0AC5"/>
    <w:rsid w:val="00EA17C3"/>
    <w:rsid w:val="00EA2BAB"/>
    <w:rsid w:val="00EA2CAA"/>
    <w:rsid w:val="00EA2E5B"/>
    <w:rsid w:val="00EA3864"/>
    <w:rsid w:val="00EA3A24"/>
    <w:rsid w:val="00EA5F91"/>
    <w:rsid w:val="00EA6590"/>
    <w:rsid w:val="00EB04F9"/>
    <w:rsid w:val="00EB0EEC"/>
    <w:rsid w:val="00EB15B6"/>
    <w:rsid w:val="00EB4916"/>
    <w:rsid w:val="00EB55EA"/>
    <w:rsid w:val="00EB6273"/>
    <w:rsid w:val="00EB796D"/>
    <w:rsid w:val="00EB7D8F"/>
    <w:rsid w:val="00EC00C9"/>
    <w:rsid w:val="00EC078A"/>
    <w:rsid w:val="00EC17EA"/>
    <w:rsid w:val="00EC19C9"/>
    <w:rsid w:val="00EC2649"/>
    <w:rsid w:val="00EC2890"/>
    <w:rsid w:val="00EC28BA"/>
    <w:rsid w:val="00EC2E34"/>
    <w:rsid w:val="00EC4DA9"/>
    <w:rsid w:val="00EC6F00"/>
    <w:rsid w:val="00EC7EB9"/>
    <w:rsid w:val="00ED108B"/>
    <w:rsid w:val="00ED385A"/>
    <w:rsid w:val="00ED56EF"/>
    <w:rsid w:val="00ED57EA"/>
    <w:rsid w:val="00ED698C"/>
    <w:rsid w:val="00ED7B97"/>
    <w:rsid w:val="00ED7C6F"/>
    <w:rsid w:val="00ED7C73"/>
    <w:rsid w:val="00EE002E"/>
    <w:rsid w:val="00EE07D3"/>
    <w:rsid w:val="00EE1CBF"/>
    <w:rsid w:val="00EE22AF"/>
    <w:rsid w:val="00EE234C"/>
    <w:rsid w:val="00EE25DA"/>
    <w:rsid w:val="00EE2D6C"/>
    <w:rsid w:val="00EE57C7"/>
    <w:rsid w:val="00EE5F54"/>
    <w:rsid w:val="00EF0171"/>
    <w:rsid w:val="00EF04AA"/>
    <w:rsid w:val="00EF0A14"/>
    <w:rsid w:val="00EF0CB2"/>
    <w:rsid w:val="00EF1B25"/>
    <w:rsid w:val="00EF3AA2"/>
    <w:rsid w:val="00EF3B0A"/>
    <w:rsid w:val="00EF4747"/>
    <w:rsid w:val="00EF4BF8"/>
    <w:rsid w:val="00EF5B65"/>
    <w:rsid w:val="00EF68B6"/>
    <w:rsid w:val="00F0143F"/>
    <w:rsid w:val="00F02253"/>
    <w:rsid w:val="00F02B63"/>
    <w:rsid w:val="00F03C2E"/>
    <w:rsid w:val="00F042AF"/>
    <w:rsid w:val="00F045A9"/>
    <w:rsid w:val="00F04A66"/>
    <w:rsid w:val="00F0516C"/>
    <w:rsid w:val="00F05B6E"/>
    <w:rsid w:val="00F062BA"/>
    <w:rsid w:val="00F067A2"/>
    <w:rsid w:val="00F0762F"/>
    <w:rsid w:val="00F119EF"/>
    <w:rsid w:val="00F1263A"/>
    <w:rsid w:val="00F12EF5"/>
    <w:rsid w:val="00F136FD"/>
    <w:rsid w:val="00F137D4"/>
    <w:rsid w:val="00F13B2C"/>
    <w:rsid w:val="00F1524A"/>
    <w:rsid w:val="00F1600C"/>
    <w:rsid w:val="00F170B6"/>
    <w:rsid w:val="00F17993"/>
    <w:rsid w:val="00F21CE6"/>
    <w:rsid w:val="00F239E5"/>
    <w:rsid w:val="00F23BBE"/>
    <w:rsid w:val="00F24837"/>
    <w:rsid w:val="00F25004"/>
    <w:rsid w:val="00F2575F"/>
    <w:rsid w:val="00F2656A"/>
    <w:rsid w:val="00F2701D"/>
    <w:rsid w:val="00F27516"/>
    <w:rsid w:val="00F27565"/>
    <w:rsid w:val="00F310D4"/>
    <w:rsid w:val="00F31D5A"/>
    <w:rsid w:val="00F32382"/>
    <w:rsid w:val="00F324F5"/>
    <w:rsid w:val="00F32DAD"/>
    <w:rsid w:val="00F33DE9"/>
    <w:rsid w:val="00F33EEB"/>
    <w:rsid w:val="00F35AA4"/>
    <w:rsid w:val="00F35E73"/>
    <w:rsid w:val="00F360FF"/>
    <w:rsid w:val="00F3619A"/>
    <w:rsid w:val="00F37250"/>
    <w:rsid w:val="00F37C91"/>
    <w:rsid w:val="00F40AAA"/>
    <w:rsid w:val="00F40BA7"/>
    <w:rsid w:val="00F421BA"/>
    <w:rsid w:val="00F42D0E"/>
    <w:rsid w:val="00F46568"/>
    <w:rsid w:val="00F46CB6"/>
    <w:rsid w:val="00F46F8C"/>
    <w:rsid w:val="00F47DE8"/>
    <w:rsid w:val="00F53387"/>
    <w:rsid w:val="00F53ED3"/>
    <w:rsid w:val="00F53F80"/>
    <w:rsid w:val="00F542C1"/>
    <w:rsid w:val="00F55E73"/>
    <w:rsid w:val="00F55EDA"/>
    <w:rsid w:val="00F60092"/>
    <w:rsid w:val="00F6187B"/>
    <w:rsid w:val="00F62F21"/>
    <w:rsid w:val="00F6341D"/>
    <w:rsid w:val="00F64E48"/>
    <w:rsid w:val="00F65F4B"/>
    <w:rsid w:val="00F67915"/>
    <w:rsid w:val="00F70C9D"/>
    <w:rsid w:val="00F71867"/>
    <w:rsid w:val="00F722D1"/>
    <w:rsid w:val="00F72D05"/>
    <w:rsid w:val="00F74CD9"/>
    <w:rsid w:val="00F76852"/>
    <w:rsid w:val="00F80A7B"/>
    <w:rsid w:val="00F80E5D"/>
    <w:rsid w:val="00F81A9C"/>
    <w:rsid w:val="00F81C0E"/>
    <w:rsid w:val="00F84DC9"/>
    <w:rsid w:val="00F851CE"/>
    <w:rsid w:val="00F85A3C"/>
    <w:rsid w:val="00F91046"/>
    <w:rsid w:val="00F91219"/>
    <w:rsid w:val="00F9392A"/>
    <w:rsid w:val="00F93EA9"/>
    <w:rsid w:val="00F94D5F"/>
    <w:rsid w:val="00F96EC6"/>
    <w:rsid w:val="00F97A78"/>
    <w:rsid w:val="00F97E44"/>
    <w:rsid w:val="00FA0166"/>
    <w:rsid w:val="00FA0B20"/>
    <w:rsid w:val="00FA1653"/>
    <w:rsid w:val="00FA2425"/>
    <w:rsid w:val="00FA24E7"/>
    <w:rsid w:val="00FA30CB"/>
    <w:rsid w:val="00FA3964"/>
    <w:rsid w:val="00FA637D"/>
    <w:rsid w:val="00FA6907"/>
    <w:rsid w:val="00FA6F37"/>
    <w:rsid w:val="00FA7402"/>
    <w:rsid w:val="00FB2F50"/>
    <w:rsid w:val="00FB2FCB"/>
    <w:rsid w:val="00FB33F7"/>
    <w:rsid w:val="00FB4099"/>
    <w:rsid w:val="00FB4876"/>
    <w:rsid w:val="00FB518A"/>
    <w:rsid w:val="00FC1074"/>
    <w:rsid w:val="00FC1884"/>
    <w:rsid w:val="00FC371D"/>
    <w:rsid w:val="00FC4721"/>
    <w:rsid w:val="00FC5F0B"/>
    <w:rsid w:val="00FD1CA6"/>
    <w:rsid w:val="00FD2100"/>
    <w:rsid w:val="00FD3184"/>
    <w:rsid w:val="00FD436C"/>
    <w:rsid w:val="00FD446D"/>
    <w:rsid w:val="00FD4ABB"/>
    <w:rsid w:val="00FD6059"/>
    <w:rsid w:val="00FD6394"/>
    <w:rsid w:val="00FD6C0E"/>
    <w:rsid w:val="00FE0033"/>
    <w:rsid w:val="00FE088E"/>
    <w:rsid w:val="00FE0E6C"/>
    <w:rsid w:val="00FE5966"/>
    <w:rsid w:val="00FE70C3"/>
    <w:rsid w:val="00FE76F1"/>
    <w:rsid w:val="00FF0B0B"/>
    <w:rsid w:val="00FF13B5"/>
    <w:rsid w:val="00FF2768"/>
    <w:rsid w:val="00FF29D8"/>
    <w:rsid w:val="00FF3183"/>
    <w:rsid w:val="00FF3D05"/>
    <w:rsid w:val="00FF3DCF"/>
    <w:rsid w:val="00FF492C"/>
    <w:rsid w:val="00FF4A21"/>
    <w:rsid w:val="00FF5AA3"/>
    <w:rsid w:val="00FF5AD8"/>
    <w:rsid w:val="00FF66B7"/>
    <w:rsid w:val="00FF727B"/>
    <w:rsid w:val="00FF7F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29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6" w:uiPriority="9"/>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6F7"/>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C83DF2"/>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uiPriority w:val="9"/>
    <w:rsid w:val="00124A51"/>
    <w:pPr>
      <w:spacing w:before="240" w:after="60"/>
      <w:outlineLvl w:val="5"/>
    </w:pPr>
    <w:rPr>
      <w:b/>
      <w:bCs/>
      <w:i/>
    </w:rPr>
  </w:style>
  <w:style w:type="paragraph" w:styleId="Heading7">
    <w:name w:val="heading 7"/>
    <w:basedOn w:val="Normal"/>
    <w:next w:val="Normal"/>
    <w:link w:val="Heading7Char"/>
    <w:uiPriority w:val="99"/>
    <w:rsid w:val="00124A51"/>
    <w:pPr>
      <w:keepNext/>
      <w:jc w:val="center"/>
      <w:outlineLvl w:val="6"/>
    </w:pPr>
    <w:rPr>
      <w:b/>
      <w:sz w:val="20"/>
    </w:rPr>
  </w:style>
  <w:style w:type="paragraph" w:styleId="Heading8">
    <w:name w:val="heading 8"/>
    <w:basedOn w:val="Normal"/>
    <w:next w:val="Normal"/>
    <w:link w:val="Heading8Char"/>
    <w:uiPriority w:val="99"/>
    <w:rsid w:val="00124A51"/>
    <w:pPr>
      <w:keepNext/>
      <w:jc w:val="right"/>
      <w:outlineLvl w:val="7"/>
    </w:pPr>
    <w:rPr>
      <w:b/>
    </w:rPr>
  </w:style>
  <w:style w:type="paragraph" w:styleId="Heading9">
    <w:name w:val="heading 9"/>
    <w:basedOn w:val="Normal"/>
    <w:next w:val="Normal"/>
    <w:link w:val="Heading9Char"/>
    <w:uiPriority w:val="99"/>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3DF2"/>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99"/>
    <w:unhideWhenUsed/>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5D5C30"/>
    <w:pPr>
      <w:outlineLvl w:val="0"/>
    </w:pPr>
    <w:rPr>
      <w:rFonts w:eastAsia="Calibri"/>
      <w:b/>
      <w:sz w:val="36"/>
      <w:szCs w:val="36"/>
    </w:rPr>
  </w:style>
  <w:style w:type="character" w:customStyle="1" w:styleId="TitleChar">
    <w:name w:val="Title Char"/>
    <w:basedOn w:val="DefaultParagraphFont"/>
    <w:link w:val="Title"/>
    <w:rsid w:val="005D5C30"/>
    <w:rPr>
      <w:rFonts w:ascii="Calibri" w:eastAsia="Calibri" w:hAnsi="Calibri" w:cs="Arial"/>
      <w:b/>
      <w:snapToGrid w:val="0"/>
      <w:sz w:val="36"/>
      <w:szCs w:val="36"/>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Bullet point,List Paragraph1,List Paragraph11,Recommendation,Footnote,ES Paragraph,PBAC ES Paragraph,PBAC normal points,Bullet List,Figure_name,Numbered Indented Text,Bullet- First level"/>
    <w:next w:val="ListBullet"/>
    <w:link w:val="ListParagraphChar"/>
    <w:uiPriority w:val="34"/>
    <w:qFormat/>
    <w:rsid w:val="009C46F7"/>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Bullet point Char,List Paragraph1 Char,List Paragraph11 Char,Recommendation Char,Footnote Char,ES Paragraph Char,PBAC ES Paragraph Char,PBAC normal points Char"/>
    <w:basedOn w:val="DefaultParagraphFont"/>
    <w:link w:val="ListParagraph"/>
    <w:uiPriority w:val="34"/>
    <w:qFormat/>
    <w:locked/>
    <w:rsid w:val="009C46F7"/>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9C46F7"/>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9C46F7"/>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2"/>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2C5099"/>
    <w:pPr>
      <w:numPr>
        <w:numId w:val="5"/>
      </w:numPr>
      <w:spacing w:after="0"/>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qFormat/>
    <w:rsid w:val="00C83DF2"/>
    <w:pPr>
      <w:keepNext/>
      <w:keepLines/>
      <w:ind w:left="0" w:firstLine="0"/>
    </w:pPr>
    <w:rPr>
      <w:rFonts w:asciiTheme="minorHAnsi" w:eastAsiaTheme="majorEastAsia" w:hAnsiTheme="minorHAnsi" w:cstheme="majorBidi"/>
      <w:caps w:val="0"/>
      <w:snapToGrid w:val="0"/>
      <w:szCs w:val="28"/>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9C46F7"/>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locked/>
    <w:rsid w:val="009C46F7"/>
    <w:rPr>
      <w:rFonts w:ascii="Arial Narrow" w:eastAsiaTheme="majorEastAsia" w:hAnsi="Arial Narrow" w:cstheme="majorBidi"/>
      <w:bCs/>
      <w:szCs w:val="24"/>
    </w:rPr>
  </w:style>
  <w:style w:type="paragraph" w:customStyle="1" w:styleId="TableHeading0">
    <w:name w:val="Table Heading"/>
    <w:basedOn w:val="Normal"/>
    <w:link w:val="TableHeadingChar"/>
    <w:rsid w:val="00B8046C"/>
    <w:pPr>
      <w:keepNext/>
      <w:spacing w:after="60"/>
      <w:jc w:val="left"/>
    </w:pPr>
    <w:rPr>
      <w:rFonts w:ascii="Arial Narrow" w:eastAsiaTheme="minorHAnsi" w:hAnsi="Arial Narrow" w:cstheme="minorBidi"/>
      <w:b/>
      <w:snapToGrid w:val="0"/>
      <w:sz w:val="20"/>
    </w:rPr>
  </w:style>
  <w:style w:type="character" w:customStyle="1" w:styleId="li-content">
    <w:name w:val="li-content"/>
    <w:basedOn w:val="DefaultParagraphFont"/>
    <w:rsid w:val="00A915BF"/>
    <w:rPr>
      <w:color w:val="000000"/>
    </w:rPr>
  </w:style>
  <w:style w:type="character" w:customStyle="1" w:styleId="TableHeadingChar">
    <w:name w:val="Table Heading Char"/>
    <w:link w:val="TableHeading0"/>
    <w:rsid w:val="001F204A"/>
    <w:rPr>
      <w:rFonts w:ascii="Arial Narrow" w:eastAsiaTheme="minorHAnsi" w:hAnsi="Arial Narrow" w:cstheme="minorBidi"/>
      <w:b/>
      <w:szCs w:val="22"/>
      <w:lang w:eastAsia="en-US"/>
    </w:rPr>
  </w:style>
  <w:style w:type="paragraph" w:customStyle="1" w:styleId="V50Instructions">
    <w:name w:val="V5.0 Instructions"/>
    <w:basedOn w:val="Normal"/>
    <w:link w:val="V50InstructionsChar"/>
    <w:rsid w:val="001E0A57"/>
    <w:pPr>
      <w:spacing w:before="120" w:after="160"/>
      <w:jc w:val="left"/>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sid w:val="001E0A57"/>
    <w:rPr>
      <w:rFonts w:asciiTheme="minorHAnsi" w:eastAsiaTheme="minorHAnsi" w:hAnsiTheme="minorHAnsi" w:cstheme="minorBidi"/>
      <w:color w:val="4BACC6" w:themeColor="accent5"/>
      <w:sz w:val="24"/>
      <w:szCs w:val="22"/>
      <w:lang w:eastAsia="en-US"/>
    </w:rPr>
  </w:style>
  <w:style w:type="paragraph" w:customStyle="1" w:styleId="Nospace">
    <w:name w:val="No space"/>
    <w:basedOn w:val="Normal"/>
    <w:rsid w:val="001E0A57"/>
    <w:pPr>
      <w:spacing w:line="276" w:lineRule="auto"/>
    </w:pPr>
    <w:rPr>
      <w:rFonts w:asciiTheme="minorHAnsi" w:eastAsiaTheme="majorEastAsia" w:hAnsiTheme="minorHAnsi" w:cstheme="majorBidi"/>
      <w:snapToGrid w:val="0"/>
      <w:sz w:val="22"/>
      <w:lang w:bidi="en-US"/>
    </w:rPr>
  </w:style>
  <w:style w:type="character" w:customStyle="1" w:styleId="Heading1Char">
    <w:name w:val="Heading 1 Char"/>
    <w:basedOn w:val="DefaultParagraphFont"/>
    <w:link w:val="Heading1"/>
    <w:uiPriority w:val="1"/>
    <w:rsid w:val="001E0A57"/>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1E0A57"/>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1E0A57"/>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1E0A57"/>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1E0A57"/>
    <w:rPr>
      <w:rFonts w:ascii="Calibri" w:hAnsi="Calibri" w:cs="Arial"/>
      <w:b/>
      <w:bCs/>
      <w:i/>
      <w:snapToGrid w:val="0"/>
      <w:sz w:val="24"/>
      <w:szCs w:val="22"/>
      <w:lang w:eastAsia="en-US"/>
    </w:rPr>
  </w:style>
  <w:style w:type="character" w:customStyle="1" w:styleId="FontItalics">
    <w:name w:val="Font Italics"/>
    <w:basedOn w:val="Font"/>
    <w:uiPriority w:val="1"/>
    <w:rsid w:val="001E0A57"/>
    <w:rPr>
      <w:rFonts w:asciiTheme="minorHAnsi" w:hAnsiTheme="minorHAnsi"/>
      <w:i/>
      <w:sz w:val="22"/>
    </w:rPr>
  </w:style>
  <w:style w:type="character" w:customStyle="1" w:styleId="Font">
    <w:name w:val="Font"/>
    <w:basedOn w:val="DefaultParagraphFont"/>
    <w:uiPriority w:val="1"/>
    <w:rsid w:val="001E0A57"/>
    <w:rPr>
      <w:rFonts w:asciiTheme="minorHAnsi" w:hAnsiTheme="minorHAnsi"/>
      <w:sz w:val="22"/>
    </w:rPr>
  </w:style>
  <w:style w:type="character" w:customStyle="1" w:styleId="FontUnderlined">
    <w:name w:val="Font Underlined"/>
    <w:basedOn w:val="Font"/>
    <w:uiPriority w:val="1"/>
    <w:rsid w:val="001E0A57"/>
    <w:rPr>
      <w:rFonts w:ascii="Calibri" w:hAnsi="Calibri"/>
      <w:sz w:val="22"/>
      <w:u w:val="single"/>
    </w:rPr>
  </w:style>
  <w:style w:type="character" w:customStyle="1" w:styleId="FontHighlight">
    <w:name w:val="Font Highlight"/>
    <w:basedOn w:val="Font"/>
    <w:uiPriority w:val="2"/>
    <w:rsid w:val="001E0A57"/>
    <w:rPr>
      <w:rFonts w:ascii="Calibri" w:hAnsi="Calibri"/>
      <w:sz w:val="22"/>
      <w:bdr w:val="none" w:sz="0" w:space="0" w:color="auto"/>
      <w:shd w:val="clear" w:color="auto" w:fill="FFFF00"/>
    </w:rPr>
  </w:style>
  <w:style w:type="paragraph" w:customStyle="1" w:styleId="Table">
    <w:name w:val="Table"/>
    <w:basedOn w:val="Normal"/>
    <w:link w:val="TableChar"/>
    <w:rsid w:val="001E0A57"/>
    <w:rPr>
      <w:rFonts w:asciiTheme="minorHAnsi" w:eastAsiaTheme="majorEastAsia" w:hAnsiTheme="minorHAnsi" w:cstheme="majorBidi"/>
      <w:snapToGrid w:val="0"/>
      <w:sz w:val="20"/>
      <w:lang w:bidi="en-US"/>
    </w:rPr>
  </w:style>
  <w:style w:type="character" w:customStyle="1" w:styleId="TableChar">
    <w:name w:val="Table Char"/>
    <w:basedOn w:val="DefaultParagraphFont"/>
    <w:link w:val="Table"/>
    <w:locked/>
    <w:rsid w:val="001E0A57"/>
    <w:rPr>
      <w:rFonts w:asciiTheme="minorHAnsi" w:eastAsiaTheme="majorEastAsia" w:hAnsiTheme="minorHAnsi" w:cstheme="majorBidi"/>
      <w:szCs w:val="22"/>
      <w:lang w:eastAsia="en-US" w:bidi="en-US"/>
    </w:rPr>
  </w:style>
  <w:style w:type="character" w:customStyle="1" w:styleId="FontBold">
    <w:name w:val="Font Bold"/>
    <w:basedOn w:val="Font"/>
    <w:uiPriority w:val="1"/>
    <w:rsid w:val="001E0A57"/>
    <w:rPr>
      <w:rFonts w:ascii="Calibri" w:hAnsi="Calibri"/>
      <w:b/>
      <w:sz w:val="22"/>
    </w:rPr>
  </w:style>
  <w:style w:type="character" w:customStyle="1" w:styleId="FontSuperscript">
    <w:name w:val="Font Superscript"/>
    <w:basedOn w:val="Font"/>
    <w:uiPriority w:val="1"/>
    <w:rsid w:val="001E0A57"/>
    <w:rPr>
      <w:rFonts w:ascii="Candara" w:hAnsi="Candara"/>
      <w:sz w:val="22"/>
      <w:vertAlign w:val="superscript"/>
    </w:rPr>
  </w:style>
  <w:style w:type="character" w:customStyle="1" w:styleId="FontSubscript">
    <w:name w:val="Font Subscript"/>
    <w:basedOn w:val="Font"/>
    <w:uiPriority w:val="1"/>
    <w:rsid w:val="001E0A57"/>
    <w:rPr>
      <w:rFonts w:asciiTheme="minorHAnsi" w:hAnsiTheme="minorHAnsi"/>
      <w:sz w:val="22"/>
      <w:vertAlign w:val="subscript"/>
    </w:rPr>
  </w:style>
  <w:style w:type="paragraph" w:customStyle="1" w:styleId="NormalBulletList">
    <w:name w:val="Normal Bullet List"/>
    <w:basedOn w:val="Normal"/>
    <w:uiPriority w:val="3"/>
    <w:rsid w:val="001E0A57"/>
    <w:pPr>
      <w:numPr>
        <w:numId w:val="11"/>
      </w:numPr>
      <w:spacing w:after="240" w:line="276" w:lineRule="auto"/>
      <w:ind w:left="357" w:hanging="357"/>
      <w:contextualSpacing/>
    </w:pPr>
    <w:rPr>
      <w:rFonts w:asciiTheme="minorHAnsi" w:eastAsiaTheme="majorEastAsia" w:hAnsiTheme="minorHAnsi" w:cstheme="majorBidi"/>
      <w:snapToGrid w:val="0"/>
      <w:sz w:val="22"/>
      <w:lang w:bidi="en-US"/>
    </w:rPr>
  </w:style>
  <w:style w:type="paragraph" w:customStyle="1" w:styleId="NormalNumberList">
    <w:name w:val="Normal Number List"/>
    <w:basedOn w:val="Normal"/>
    <w:uiPriority w:val="99"/>
    <w:rsid w:val="001E0A57"/>
    <w:pPr>
      <w:numPr>
        <w:numId w:val="12"/>
      </w:numPr>
      <w:spacing w:after="240" w:line="276" w:lineRule="auto"/>
      <w:ind w:left="357" w:hanging="357"/>
      <w:contextualSpacing/>
    </w:pPr>
    <w:rPr>
      <w:rFonts w:asciiTheme="minorHAnsi" w:eastAsiaTheme="majorEastAsia" w:hAnsiTheme="minorHAnsi" w:cstheme="majorBidi"/>
      <w:snapToGrid w:val="0"/>
      <w:sz w:val="22"/>
      <w:lang w:bidi="en-US"/>
    </w:rPr>
  </w:style>
  <w:style w:type="paragraph" w:customStyle="1" w:styleId="NormalLetterList">
    <w:name w:val="Normal Letter List"/>
    <w:basedOn w:val="Normal"/>
    <w:uiPriority w:val="99"/>
    <w:rsid w:val="001E0A57"/>
    <w:pPr>
      <w:numPr>
        <w:numId w:val="13"/>
      </w:numPr>
      <w:spacing w:after="240" w:line="276" w:lineRule="auto"/>
      <w:ind w:left="357" w:hanging="357"/>
      <w:contextualSpacing/>
    </w:pPr>
    <w:rPr>
      <w:rFonts w:asciiTheme="minorHAnsi" w:eastAsiaTheme="majorEastAsia" w:hAnsiTheme="minorHAnsi" w:cstheme="majorBidi"/>
      <w:snapToGrid w:val="0"/>
      <w:sz w:val="22"/>
      <w:lang w:bidi="en-US"/>
    </w:rPr>
  </w:style>
  <w:style w:type="character" w:customStyle="1" w:styleId="Small">
    <w:name w:val="Small"/>
    <w:basedOn w:val="Font"/>
    <w:uiPriority w:val="4"/>
    <w:rsid w:val="001E0A57"/>
    <w:rPr>
      <w:rFonts w:asciiTheme="minorHAnsi" w:hAnsiTheme="minorHAnsi"/>
      <w:sz w:val="20"/>
    </w:rPr>
  </w:style>
  <w:style w:type="character" w:customStyle="1" w:styleId="SmallBold">
    <w:name w:val="Small Bold"/>
    <w:basedOn w:val="Small"/>
    <w:uiPriority w:val="4"/>
    <w:rsid w:val="001E0A57"/>
    <w:rPr>
      <w:rFonts w:asciiTheme="minorHAnsi" w:hAnsiTheme="minorHAnsi"/>
      <w:b/>
      <w:sz w:val="20"/>
      <w:lang w:val="en-AU"/>
    </w:rPr>
  </w:style>
  <w:style w:type="paragraph" w:customStyle="1" w:styleId="TableBullets">
    <w:name w:val="Table Bullets"/>
    <w:basedOn w:val="Table"/>
    <w:uiPriority w:val="5"/>
    <w:rsid w:val="001E0A57"/>
    <w:pPr>
      <w:numPr>
        <w:numId w:val="14"/>
      </w:numPr>
      <w:ind w:left="357" w:hanging="357"/>
    </w:pPr>
  </w:style>
  <w:style w:type="character" w:customStyle="1" w:styleId="SmallItalics">
    <w:name w:val="Small Italics"/>
    <w:basedOn w:val="Small"/>
    <w:uiPriority w:val="4"/>
    <w:rsid w:val="001E0A57"/>
    <w:rPr>
      <w:rFonts w:asciiTheme="minorHAnsi" w:hAnsiTheme="minorHAnsi"/>
      <w:i/>
      <w:sz w:val="20"/>
    </w:rPr>
  </w:style>
  <w:style w:type="character" w:customStyle="1" w:styleId="SmallUnderline">
    <w:name w:val="Small Underline"/>
    <w:basedOn w:val="Small"/>
    <w:uiPriority w:val="4"/>
    <w:rsid w:val="001E0A57"/>
    <w:rPr>
      <w:rFonts w:asciiTheme="minorHAnsi" w:hAnsiTheme="minorHAnsi"/>
      <w:sz w:val="20"/>
      <w:u w:val="single"/>
    </w:rPr>
  </w:style>
  <w:style w:type="paragraph" w:customStyle="1" w:styleId="TableLetters">
    <w:name w:val="Table Letters"/>
    <w:basedOn w:val="Normal"/>
    <w:uiPriority w:val="3"/>
    <w:rsid w:val="001E0A57"/>
    <w:pPr>
      <w:numPr>
        <w:numId w:val="15"/>
      </w:numPr>
    </w:pPr>
    <w:rPr>
      <w:rFonts w:asciiTheme="minorHAnsi" w:eastAsiaTheme="majorEastAsia" w:hAnsiTheme="minorHAnsi" w:cstheme="majorBidi"/>
      <w:snapToGrid w:val="0"/>
      <w:sz w:val="20"/>
      <w:lang w:bidi="en-US"/>
    </w:rPr>
  </w:style>
  <w:style w:type="paragraph" w:customStyle="1" w:styleId="TableNumbers">
    <w:name w:val="Table Numbers"/>
    <w:basedOn w:val="Normal"/>
    <w:uiPriority w:val="3"/>
    <w:rsid w:val="001E0A57"/>
    <w:pPr>
      <w:numPr>
        <w:numId w:val="16"/>
      </w:numPr>
      <w:ind w:left="170" w:hanging="170"/>
    </w:pPr>
    <w:rPr>
      <w:rFonts w:asciiTheme="minorHAnsi" w:eastAsiaTheme="majorEastAsia" w:hAnsiTheme="minorHAnsi" w:cstheme="majorBidi"/>
      <w:snapToGrid w:val="0"/>
      <w:sz w:val="20"/>
      <w:lang w:bidi="en-US"/>
    </w:rPr>
  </w:style>
  <w:style w:type="paragraph" w:customStyle="1" w:styleId="AltLevel1">
    <w:name w:val="Alt Level 1"/>
    <w:basedOn w:val="Normal"/>
    <w:next w:val="Normal"/>
    <w:link w:val="AltLevel1Char"/>
    <w:semiHidden/>
    <w:unhideWhenUsed/>
    <w:rsid w:val="001E0A57"/>
    <w:pPr>
      <w:numPr>
        <w:ilvl w:val="1"/>
        <w:numId w:val="17"/>
      </w:numPr>
      <w:spacing w:after="240" w:line="276" w:lineRule="auto"/>
      <w:ind w:left="360" w:hanging="360"/>
      <w:contextualSpacing/>
    </w:pPr>
    <w:rPr>
      <w:rFonts w:ascii="Verdana" w:eastAsiaTheme="majorEastAsia" w:hAnsi="Verdana" w:cstheme="majorBidi"/>
      <w:b/>
      <w:snapToGrid w:val="0"/>
      <w:sz w:val="32"/>
      <w:lang w:bidi="en-US"/>
    </w:rPr>
  </w:style>
  <w:style w:type="character" w:customStyle="1" w:styleId="AltLevel1Char">
    <w:name w:val="Alt Level 1 Char"/>
    <w:basedOn w:val="DefaultParagraphFont"/>
    <w:link w:val="AltLevel1"/>
    <w:semiHidden/>
    <w:rsid w:val="001E0A57"/>
    <w:rPr>
      <w:rFonts w:ascii="Verdana" w:eastAsiaTheme="majorEastAsia" w:hAnsi="Verdana" w:cstheme="majorBidi"/>
      <w:b/>
      <w:snapToGrid w:val="0"/>
      <w:sz w:val="32"/>
      <w:szCs w:val="24"/>
      <w:lang w:bidi="en-US"/>
    </w:rPr>
  </w:style>
  <w:style w:type="paragraph" w:customStyle="1" w:styleId="AltLevel2">
    <w:name w:val="Alt Level 2"/>
    <w:basedOn w:val="Normal"/>
    <w:link w:val="AltLevel2Char"/>
    <w:semiHidden/>
    <w:unhideWhenUsed/>
    <w:rsid w:val="001E0A57"/>
    <w:pPr>
      <w:spacing w:after="200" w:line="276" w:lineRule="auto"/>
      <w:ind w:left="357" w:hanging="357"/>
      <w:contextualSpacing/>
    </w:pPr>
    <w:rPr>
      <w:rFonts w:ascii="Verdana" w:eastAsiaTheme="majorEastAsia" w:hAnsi="Verdana" w:cstheme="majorBidi"/>
      <w:b/>
      <w:snapToGrid w:val="0"/>
      <w:sz w:val="28"/>
      <w:lang w:bidi="en-US"/>
    </w:rPr>
  </w:style>
  <w:style w:type="character" w:customStyle="1" w:styleId="AltLevel2Char">
    <w:name w:val="Alt Level 2 Char"/>
    <w:basedOn w:val="DefaultParagraphFont"/>
    <w:link w:val="AltLevel2"/>
    <w:semiHidden/>
    <w:rsid w:val="001E0A57"/>
    <w:rPr>
      <w:rFonts w:ascii="Verdana" w:eastAsiaTheme="majorEastAsia" w:hAnsi="Verdana" w:cstheme="majorBidi"/>
      <w:b/>
      <w:sz w:val="28"/>
      <w:szCs w:val="22"/>
      <w:lang w:eastAsia="en-US" w:bidi="en-US"/>
    </w:rPr>
  </w:style>
  <w:style w:type="paragraph" w:customStyle="1" w:styleId="AltLevel3">
    <w:name w:val="Alt Level 3"/>
    <w:basedOn w:val="Normal"/>
    <w:next w:val="Normal"/>
    <w:link w:val="AltLevel3Char"/>
    <w:semiHidden/>
    <w:unhideWhenUsed/>
    <w:rsid w:val="001E0A57"/>
    <w:pPr>
      <w:spacing w:after="120" w:line="276" w:lineRule="auto"/>
      <w:ind w:left="357" w:hanging="357"/>
      <w:contextualSpacing/>
    </w:pPr>
    <w:rPr>
      <w:rFonts w:ascii="Verdana" w:eastAsiaTheme="majorEastAsia" w:hAnsi="Verdana" w:cstheme="majorBidi"/>
      <w:b/>
      <w:snapToGrid w:val="0"/>
      <w:sz w:val="26"/>
      <w:lang w:bidi="en-US"/>
    </w:rPr>
  </w:style>
  <w:style w:type="character" w:customStyle="1" w:styleId="AltLevel3Char">
    <w:name w:val="Alt Level 3 Char"/>
    <w:basedOn w:val="DefaultParagraphFont"/>
    <w:link w:val="AltLevel3"/>
    <w:semiHidden/>
    <w:rsid w:val="001E0A57"/>
    <w:rPr>
      <w:rFonts w:ascii="Verdana" w:eastAsiaTheme="majorEastAsia" w:hAnsi="Verdana" w:cstheme="majorBidi"/>
      <w:b/>
      <w:sz w:val="26"/>
      <w:szCs w:val="22"/>
      <w:lang w:eastAsia="en-US" w:bidi="en-US"/>
    </w:rPr>
  </w:style>
  <w:style w:type="paragraph" w:customStyle="1" w:styleId="AltLevel4">
    <w:name w:val="Alt Level 4"/>
    <w:basedOn w:val="Normal"/>
    <w:link w:val="AltLevel4Char"/>
    <w:semiHidden/>
    <w:unhideWhenUsed/>
    <w:rsid w:val="001E0A57"/>
    <w:pPr>
      <w:spacing w:after="120" w:line="276" w:lineRule="auto"/>
      <w:ind w:left="357" w:hanging="357"/>
      <w:contextualSpacing/>
    </w:pPr>
    <w:rPr>
      <w:rFonts w:ascii="Verdana" w:eastAsiaTheme="majorEastAsia" w:hAnsi="Verdana" w:cstheme="majorBidi"/>
      <w:b/>
      <w:snapToGrid w:val="0"/>
      <w:sz w:val="22"/>
      <w:lang w:bidi="en-US"/>
    </w:rPr>
  </w:style>
  <w:style w:type="character" w:customStyle="1" w:styleId="AltLevel4Char">
    <w:name w:val="Alt Level 4 Char"/>
    <w:basedOn w:val="DefaultParagraphFont"/>
    <w:link w:val="AltLevel4"/>
    <w:semiHidden/>
    <w:rsid w:val="001E0A57"/>
    <w:rPr>
      <w:rFonts w:ascii="Verdana" w:eastAsiaTheme="majorEastAsia" w:hAnsi="Verdana" w:cstheme="majorBidi"/>
      <w:b/>
      <w:sz w:val="22"/>
      <w:szCs w:val="22"/>
      <w:lang w:eastAsia="en-US" w:bidi="en-US"/>
    </w:rPr>
  </w:style>
  <w:style w:type="paragraph" w:customStyle="1" w:styleId="AltLevel5">
    <w:name w:val="Alt Level 5"/>
    <w:basedOn w:val="Normal"/>
    <w:link w:val="AltLevel5Char"/>
    <w:semiHidden/>
    <w:unhideWhenUsed/>
    <w:rsid w:val="001E0A57"/>
    <w:pPr>
      <w:spacing w:after="120" w:line="276" w:lineRule="auto"/>
      <w:ind w:left="794" w:hanging="794"/>
      <w:contextualSpacing/>
    </w:pPr>
    <w:rPr>
      <w:rFonts w:asciiTheme="minorHAnsi" w:eastAsiaTheme="majorEastAsia" w:hAnsiTheme="minorHAnsi" w:cstheme="majorBidi"/>
      <w:b/>
      <w:snapToGrid w:val="0"/>
      <w:sz w:val="22"/>
      <w:lang w:bidi="en-US"/>
    </w:rPr>
  </w:style>
  <w:style w:type="character" w:customStyle="1" w:styleId="AltLevel5Char">
    <w:name w:val="Alt Level 5 Char"/>
    <w:basedOn w:val="DefaultParagraphFont"/>
    <w:link w:val="AltLevel5"/>
    <w:semiHidden/>
    <w:rsid w:val="001E0A57"/>
    <w:rPr>
      <w:rFonts w:asciiTheme="minorHAnsi" w:eastAsiaTheme="majorEastAsia" w:hAnsiTheme="minorHAnsi" w:cstheme="majorBidi"/>
      <w:b/>
      <w:sz w:val="22"/>
      <w:szCs w:val="22"/>
      <w:lang w:eastAsia="en-US" w:bidi="en-US"/>
    </w:rPr>
  </w:style>
  <w:style w:type="character" w:customStyle="1" w:styleId="SmallHighlight">
    <w:name w:val="Small Highlight"/>
    <w:basedOn w:val="Small"/>
    <w:uiPriority w:val="1"/>
    <w:rsid w:val="001E0A57"/>
    <w:rPr>
      <w:rFonts w:asciiTheme="minorHAnsi" w:hAnsiTheme="minorHAnsi"/>
      <w:sz w:val="20"/>
      <w:bdr w:val="none" w:sz="0" w:space="0" w:color="auto"/>
      <w:shd w:val="clear" w:color="auto" w:fill="FFFF00"/>
    </w:rPr>
  </w:style>
  <w:style w:type="paragraph" w:customStyle="1" w:styleId="TableCentre">
    <w:name w:val="Table Centre"/>
    <w:basedOn w:val="Table"/>
    <w:rsid w:val="001E0A57"/>
    <w:pPr>
      <w:jc w:val="center"/>
    </w:pPr>
  </w:style>
  <w:style w:type="character" w:customStyle="1" w:styleId="SmallSuperscript">
    <w:name w:val="Small Superscript"/>
    <w:basedOn w:val="Small"/>
    <w:uiPriority w:val="1"/>
    <w:rsid w:val="001E0A57"/>
    <w:rPr>
      <w:rFonts w:ascii="Candara" w:hAnsi="Candara"/>
      <w:sz w:val="20"/>
      <w:vertAlign w:val="superscript"/>
    </w:rPr>
  </w:style>
  <w:style w:type="character" w:customStyle="1" w:styleId="SmallSubscript">
    <w:name w:val="Small Subscript"/>
    <w:basedOn w:val="Small"/>
    <w:uiPriority w:val="1"/>
    <w:rsid w:val="001E0A57"/>
    <w:rPr>
      <w:rFonts w:ascii="Candara" w:hAnsi="Candara"/>
      <w:b w:val="0"/>
      <w:sz w:val="20"/>
      <w:vertAlign w:val="subscript"/>
    </w:rPr>
  </w:style>
  <w:style w:type="paragraph" w:styleId="DocumentMap">
    <w:name w:val="Document Map"/>
    <w:basedOn w:val="Normal"/>
    <w:link w:val="DocumentMapChar"/>
    <w:semiHidden/>
    <w:unhideWhenUsed/>
    <w:rsid w:val="001E0A57"/>
    <w:rPr>
      <w:rFonts w:ascii="Tahoma" w:eastAsiaTheme="majorEastAsia" w:hAnsi="Tahoma" w:cs="Tahoma"/>
      <w:snapToGrid w:val="0"/>
      <w:sz w:val="16"/>
      <w:szCs w:val="16"/>
      <w:lang w:bidi="en-US"/>
    </w:rPr>
  </w:style>
  <w:style w:type="character" w:customStyle="1" w:styleId="DocumentMapChar">
    <w:name w:val="Document Map Char"/>
    <w:basedOn w:val="DefaultParagraphFont"/>
    <w:link w:val="DocumentMap"/>
    <w:semiHidden/>
    <w:rsid w:val="001E0A57"/>
    <w:rPr>
      <w:rFonts w:ascii="Tahoma" w:eastAsiaTheme="majorEastAsia" w:hAnsi="Tahoma" w:cs="Tahoma"/>
      <w:sz w:val="16"/>
      <w:szCs w:val="16"/>
      <w:lang w:eastAsia="en-US" w:bidi="en-US"/>
    </w:rPr>
  </w:style>
  <w:style w:type="character" w:customStyle="1" w:styleId="CaptionFootnoteChar">
    <w:name w:val="Caption Footnote Char"/>
    <w:basedOn w:val="CaptionChar"/>
    <w:link w:val="CaptionFootnote"/>
    <w:rsid w:val="001E0A57"/>
    <w:rPr>
      <w:rFonts w:ascii="Candara" w:eastAsiaTheme="majorEastAsia" w:hAnsi="Candara" w:cstheme="majorBidi"/>
      <w:b w:val="0"/>
      <w:bCs/>
      <w:snapToGrid/>
      <w:color w:val="4F81BD" w:themeColor="accent1"/>
      <w:sz w:val="16"/>
      <w:szCs w:val="18"/>
      <w:lang w:eastAsia="en-US" w:bidi="en-US"/>
    </w:rPr>
  </w:style>
  <w:style w:type="paragraph" w:customStyle="1" w:styleId="CaptionFootnote">
    <w:name w:val="Caption Footnote"/>
    <w:basedOn w:val="Caption"/>
    <w:link w:val="CaptionFootnoteChar"/>
    <w:rsid w:val="001E0A57"/>
    <w:pPr>
      <w:spacing w:after="0"/>
    </w:pPr>
    <w:rPr>
      <w:rFonts w:ascii="Candara" w:eastAsiaTheme="majorEastAsia" w:hAnsi="Candara" w:cstheme="majorBidi"/>
      <w:b w:val="0"/>
      <w:snapToGrid w:val="0"/>
      <w:sz w:val="16"/>
      <w:lang w:bidi="en-US"/>
    </w:rPr>
  </w:style>
  <w:style w:type="paragraph" w:customStyle="1" w:styleId="Frontpagelarge">
    <w:name w:val="Frontpage large"/>
    <w:basedOn w:val="Normal"/>
    <w:next w:val="Normal"/>
    <w:rsid w:val="001E0A57"/>
    <w:pPr>
      <w:spacing w:after="200" w:line="276" w:lineRule="auto"/>
      <w:jc w:val="center"/>
    </w:pPr>
    <w:rPr>
      <w:rFonts w:asciiTheme="minorHAnsi" w:eastAsiaTheme="majorEastAsia" w:hAnsiTheme="minorHAnsi" w:cstheme="majorBidi"/>
      <w:b/>
      <w:snapToGrid w:val="0"/>
      <w:sz w:val="48"/>
      <w:lang w:bidi="en-US"/>
    </w:rPr>
  </w:style>
  <w:style w:type="paragraph" w:customStyle="1" w:styleId="Frontpagesmall">
    <w:name w:val="Frontpage small"/>
    <w:basedOn w:val="Normal"/>
    <w:rsid w:val="001E0A57"/>
    <w:pPr>
      <w:spacing w:after="200" w:line="276" w:lineRule="auto"/>
      <w:jc w:val="center"/>
    </w:pPr>
    <w:rPr>
      <w:rFonts w:asciiTheme="minorHAnsi" w:eastAsiaTheme="majorEastAsia" w:hAnsiTheme="minorHAnsi" w:cstheme="majorBidi"/>
      <w:b/>
      <w:snapToGrid w:val="0"/>
      <w:sz w:val="40"/>
      <w:lang w:bidi="en-US"/>
    </w:rPr>
  </w:style>
  <w:style w:type="character" w:styleId="HTMLCite">
    <w:name w:val="HTML Cite"/>
    <w:basedOn w:val="DefaultParagraphFont"/>
    <w:uiPriority w:val="99"/>
    <w:semiHidden/>
    <w:unhideWhenUsed/>
    <w:rsid w:val="001E0A57"/>
    <w:rPr>
      <w:i/>
      <w:iCs/>
    </w:rPr>
  </w:style>
  <w:style w:type="paragraph" w:customStyle="1" w:styleId="NormalBulletList2">
    <w:name w:val="Normal Bullet List 2"/>
    <w:basedOn w:val="NormalBulletList"/>
    <w:rsid w:val="001E0A57"/>
    <w:pPr>
      <w:numPr>
        <w:ilvl w:val="1"/>
      </w:numPr>
      <w:spacing w:after="0"/>
      <w:ind w:left="709" w:hanging="357"/>
    </w:pPr>
  </w:style>
  <w:style w:type="table" w:customStyle="1" w:styleId="Submissionstandard">
    <w:name w:val="Submission standard"/>
    <w:uiPriority w:val="99"/>
    <w:qFormat/>
    <w:rsid w:val="001E0A57"/>
    <w:rPr>
      <w:rFonts w:ascii="Arial Narrow" w:hAnsi="Arial Narrow"/>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rial Bold" w:hAnsi="Arial Bold" w:cs="Times New Roman"/>
        <w:b/>
        <w:sz w:val="20"/>
      </w:rPr>
      <w:tblPr/>
      <w:tcPr>
        <w:shd w:val="clear" w:color="auto" w:fill="BFBFBF"/>
      </w:tcPr>
    </w:tblStylePr>
  </w:style>
  <w:style w:type="paragraph" w:customStyle="1" w:styleId="HeadingX">
    <w:name w:val="Heading X"/>
    <w:basedOn w:val="Heading1"/>
    <w:next w:val="Normal"/>
    <w:rsid w:val="001E0A57"/>
    <w:pPr>
      <w:pageBreakBefore/>
      <w:spacing w:after="120" w:line="276" w:lineRule="auto"/>
      <w:ind w:left="0" w:firstLine="0"/>
      <w:contextualSpacing/>
    </w:pPr>
    <w:rPr>
      <w:rFonts w:asciiTheme="minorHAnsi" w:eastAsiaTheme="majorEastAsia" w:hAnsiTheme="minorHAnsi" w:cstheme="majorBidi"/>
      <w:caps w:val="0"/>
      <w:snapToGrid w:val="0"/>
      <w:sz w:val="36"/>
      <w:lang w:bidi="en-US"/>
    </w:rPr>
  </w:style>
  <w:style w:type="paragraph" w:styleId="TOAHeading">
    <w:name w:val="toa heading"/>
    <w:basedOn w:val="Normal"/>
    <w:next w:val="Normal"/>
    <w:semiHidden/>
    <w:rsid w:val="001E0A57"/>
    <w:pPr>
      <w:spacing w:before="120"/>
    </w:pPr>
    <w:rPr>
      <w:rFonts w:ascii="Arial Bold" w:hAnsi="Arial Bold"/>
      <w:b/>
      <w:bCs/>
      <w:caps/>
      <w:snapToGrid w:val="0"/>
      <w:sz w:val="28"/>
      <w:szCs w:val="28"/>
    </w:rPr>
  </w:style>
  <w:style w:type="paragraph" w:customStyle="1" w:styleId="BoxTickbox">
    <w:name w:val="Box Tickbox"/>
    <w:basedOn w:val="Normal"/>
    <w:rsid w:val="001E0A57"/>
    <w:pPr>
      <w:numPr>
        <w:numId w:val="18"/>
      </w:numPr>
      <w:pBdr>
        <w:top w:val="single" w:sz="4" w:space="4" w:color="auto"/>
        <w:left w:val="single" w:sz="4" w:space="4" w:color="auto"/>
        <w:bottom w:val="single" w:sz="4" w:space="4" w:color="auto"/>
        <w:right w:val="single" w:sz="4" w:space="4" w:color="auto"/>
      </w:pBdr>
      <w:spacing w:after="120"/>
    </w:pPr>
    <w:rPr>
      <w:rFonts w:ascii="Franklin Gothic Medium" w:eastAsiaTheme="minorHAnsi" w:hAnsi="Franklin Gothic Medium" w:cstheme="minorBidi"/>
      <w:snapToGrid w:val="0"/>
      <w:sz w:val="21"/>
    </w:rPr>
  </w:style>
  <w:style w:type="character" w:customStyle="1" w:styleId="UnresolvedMention1">
    <w:name w:val="Unresolved Mention1"/>
    <w:basedOn w:val="DefaultParagraphFont"/>
    <w:uiPriority w:val="99"/>
    <w:semiHidden/>
    <w:unhideWhenUsed/>
    <w:rsid w:val="001E0A57"/>
    <w:rPr>
      <w:color w:val="605E5C"/>
      <w:shd w:val="clear" w:color="auto" w:fill="E1DFDD"/>
    </w:rPr>
  </w:style>
  <w:style w:type="table" w:styleId="TableGridLight">
    <w:name w:val="Grid Table Light"/>
    <w:basedOn w:val="TableNormal"/>
    <w:uiPriority w:val="40"/>
    <w:rsid w:val="001E0A57"/>
    <w:rPr>
      <w:rFonts w:asciiTheme="majorHAnsi" w:eastAsiaTheme="majorEastAsia" w:hAnsiTheme="majorHAnsi" w:cstheme="majorBidi"/>
      <w:sz w:val="22"/>
      <w:szCs w:val="22"/>
      <w:lang w:val="en-US" w:eastAsia="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2">
    <w:name w:val="Style2"/>
    <w:uiPriority w:val="99"/>
    <w:rsid w:val="001E0A57"/>
    <w:pPr>
      <w:numPr>
        <w:numId w:val="19"/>
      </w:numPr>
    </w:pPr>
  </w:style>
  <w:style w:type="character" w:styleId="PlaceholderText">
    <w:name w:val="Placeholder Text"/>
    <w:basedOn w:val="DefaultParagraphFont"/>
    <w:uiPriority w:val="99"/>
    <w:semiHidden/>
    <w:rsid w:val="001E0A57"/>
    <w:rPr>
      <w:color w:val="808080"/>
    </w:rPr>
  </w:style>
  <w:style w:type="paragraph" w:styleId="TableofFigures">
    <w:name w:val="table of figures"/>
    <w:basedOn w:val="Normal"/>
    <w:next w:val="Normal"/>
    <w:uiPriority w:val="99"/>
    <w:unhideWhenUsed/>
    <w:rsid w:val="001E0A57"/>
    <w:pPr>
      <w:spacing w:line="276" w:lineRule="auto"/>
      <w:jc w:val="left"/>
    </w:pPr>
    <w:rPr>
      <w:rFonts w:eastAsiaTheme="majorEastAsia" w:cstheme="majorBidi"/>
      <w:snapToGrid w:val="0"/>
      <w:sz w:val="22"/>
      <w:lang w:bidi="en-US"/>
    </w:rPr>
  </w:style>
  <w:style w:type="paragraph" w:styleId="Bibliography">
    <w:name w:val="Bibliography"/>
    <w:basedOn w:val="Normal"/>
    <w:next w:val="Normal"/>
    <w:uiPriority w:val="37"/>
    <w:unhideWhenUsed/>
    <w:rsid w:val="001E0A57"/>
    <w:pPr>
      <w:spacing w:after="200" w:line="276" w:lineRule="auto"/>
      <w:jc w:val="left"/>
    </w:pPr>
    <w:rPr>
      <w:rFonts w:ascii="Candara" w:eastAsiaTheme="majorEastAsia" w:hAnsi="Candara" w:cstheme="majorBidi"/>
      <w:snapToGrid w:val="0"/>
      <w:lang w:bidi="en-US"/>
    </w:rPr>
  </w:style>
  <w:style w:type="paragraph" w:customStyle="1" w:styleId="TableLeft">
    <w:name w:val="Table Left"/>
    <w:basedOn w:val="Normal"/>
    <w:link w:val="TableLeftChar"/>
    <w:uiPriority w:val="99"/>
    <w:rsid w:val="001E0A57"/>
    <w:pPr>
      <w:jc w:val="left"/>
    </w:pPr>
    <w:rPr>
      <w:rFonts w:ascii="Arial Narrow" w:eastAsiaTheme="majorEastAsia" w:hAnsi="Arial Narrow" w:cstheme="majorBidi"/>
      <w:snapToGrid w:val="0"/>
      <w:sz w:val="20"/>
      <w:lang w:bidi="en-US"/>
    </w:rPr>
  </w:style>
  <w:style w:type="character" w:customStyle="1" w:styleId="TableLeftChar">
    <w:name w:val="Table Left Char"/>
    <w:basedOn w:val="DefaultParagraphFont"/>
    <w:link w:val="TableLeft"/>
    <w:uiPriority w:val="99"/>
    <w:locked/>
    <w:rsid w:val="001E0A57"/>
    <w:rPr>
      <w:rFonts w:ascii="Arial Narrow" w:eastAsiaTheme="majorEastAsia" w:hAnsi="Arial Narrow" w:cstheme="majorBidi"/>
      <w:szCs w:val="22"/>
      <w:lang w:eastAsia="en-US" w:bidi="en-US"/>
    </w:rPr>
  </w:style>
  <w:style w:type="paragraph" w:styleId="FootnoteText">
    <w:name w:val="footnote text"/>
    <w:basedOn w:val="Normal"/>
    <w:link w:val="FootnoteTextChar"/>
    <w:uiPriority w:val="99"/>
    <w:semiHidden/>
    <w:unhideWhenUsed/>
    <w:rsid w:val="001E0A57"/>
    <w:pPr>
      <w:jc w:val="left"/>
    </w:pPr>
    <w:rPr>
      <w:rFonts w:ascii="Candara" w:eastAsiaTheme="majorEastAsia" w:hAnsi="Candara" w:cstheme="majorBidi"/>
      <w:snapToGrid w:val="0"/>
      <w:sz w:val="20"/>
      <w:szCs w:val="20"/>
      <w:lang w:bidi="en-US"/>
    </w:rPr>
  </w:style>
  <w:style w:type="character" w:customStyle="1" w:styleId="FootnoteTextChar">
    <w:name w:val="Footnote Text Char"/>
    <w:basedOn w:val="DefaultParagraphFont"/>
    <w:link w:val="FootnoteText"/>
    <w:uiPriority w:val="99"/>
    <w:semiHidden/>
    <w:rsid w:val="001E0A57"/>
    <w:rPr>
      <w:rFonts w:ascii="Candara" w:eastAsiaTheme="majorEastAsia" w:hAnsi="Candara" w:cstheme="majorBidi"/>
      <w:lang w:eastAsia="en-US" w:bidi="en-US"/>
    </w:rPr>
  </w:style>
  <w:style w:type="character" w:styleId="FootnoteReference">
    <w:name w:val="footnote reference"/>
    <w:aliases w:val="Footer (space following)"/>
    <w:basedOn w:val="DefaultParagraphFont"/>
    <w:uiPriority w:val="99"/>
    <w:semiHidden/>
    <w:unhideWhenUsed/>
    <w:rsid w:val="001E0A57"/>
    <w:rPr>
      <w:vertAlign w:val="superscript"/>
    </w:rPr>
  </w:style>
  <w:style w:type="table" w:customStyle="1" w:styleId="TableGrid1">
    <w:name w:val="Table Grid1"/>
    <w:basedOn w:val="TableNormal"/>
    <w:next w:val="TableGrid"/>
    <w:uiPriority w:val="59"/>
    <w:rsid w:val="001E0A57"/>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semiHidden/>
    <w:unhideWhenUsed/>
    <w:rsid w:val="001E0A57"/>
    <w:rPr>
      <w:color w:val="2B579A"/>
      <w:shd w:val="clear" w:color="auto" w:fill="E6E6E6"/>
    </w:rPr>
  </w:style>
  <w:style w:type="paragraph" w:customStyle="1" w:styleId="NormalBullets">
    <w:name w:val="Normal Bullets"/>
    <w:basedOn w:val="Normal"/>
    <w:uiPriority w:val="3"/>
    <w:rsid w:val="001E0A57"/>
    <w:pPr>
      <w:spacing w:after="240" w:line="276" w:lineRule="auto"/>
      <w:ind w:left="357" w:hanging="357"/>
      <w:contextualSpacing/>
      <w:jc w:val="left"/>
    </w:pPr>
    <w:rPr>
      <w:rFonts w:ascii="Sabon" w:eastAsiaTheme="majorEastAsia" w:hAnsi="Sabon" w:cstheme="majorBidi"/>
      <w:snapToGrid w:val="0"/>
      <w:sz w:val="22"/>
      <w:lang w:bidi="en-US"/>
    </w:rPr>
  </w:style>
  <w:style w:type="paragraph" w:customStyle="1" w:styleId="Footnotes">
    <w:name w:val="Footnotes"/>
    <w:basedOn w:val="Normal"/>
    <w:link w:val="FootnotesChar"/>
    <w:rsid w:val="001E0A57"/>
    <w:pPr>
      <w:spacing w:after="240"/>
      <w:ind w:right="-188"/>
      <w:jc w:val="left"/>
    </w:pPr>
    <w:rPr>
      <w:rFonts w:ascii="Times New Roman" w:eastAsia="Calibri" w:hAnsi="Times New Roman" w:cs="Times New Roman"/>
      <w:snapToGrid w:val="0"/>
      <w:sz w:val="18"/>
      <w:szCs w:val="20"/>
      <w:lang w:val="en-GB"/>
    </w:rPr>
  </w:style>
  <w:style w:type="character" w:customStyle="1" w:styleId="FootnotesChar">
    <w:name w:val="Footnotes Char"/>
    <w:basedOn w:val="DefaultParagraphFont"/>
    <w:link w:val="Footnotes"/>
    <w:rsid w:val="001E0A57"/>
    <w:rPr>
      <w:rFonts w:eastAsia="Calibri"/>
      <w:sz w:val="18"/>
      <w:lang w:val="en-GB" w:eastAsia="en-US"/>
    </w:rPr>
  </w:style>
  <w:style w:type="paragraph" w:customStyle="1" w:styleId="HeadingY">
    <w:name w:val="Heading Y"/>
    <w:basedOn w:val="HeadingX"/>
    <w:rsid w:val="001E0A57"/>
    <w:pPr>
      <w:pageBreakBefore w:val="0"/>
    </w:pPr>
    <w:rPr>
      <w:sz w:val="32"/>
    </w:rPr>
  </w:style>
  <w:style w:type="numbering" w:customStyle="1" w:styleId="NoList1">
    <w:name w:val="No List1"/>
    <w:next w:val="NoList"/>
    <w:uiPriority w:val="99"/>
    <w:semiHidden/>
    <w:unhideWhenUsed/>
    <w:rsid w:val="001E0A57"/>
  </w:style>
  <w:style w:type="table" w:customStyle="1" w:styleId="Summarybox1">
    <w:name w:val="Summary box1"/>
    <w:basedOn w:val="TableNormal"/>
    <w:next w:val="TableGrid"/>
    <w:uiPriority w:val="59"/>
    <w:rsid w:val="001E0A5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Light1">
    <w:name w:val="Table Grid Light1"/>
    <w:basedOn w:val="TableNormal"/>
    <w:next w:val="TableGridLight"/>
    <w:uiPriority w:val="40"/>
    <w:rsid w:val="001E0A57"/>
    <w:rPr>
      <w:rFonts w:ascii="Calibri Light" w:hAnsi="Calibri Light"/>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
    <w:name w:val="No List2"/>
    <w:next w:val="NoList"/>
    <w:uiPriority w:val="99"/>
    <w:semiHidden/>
    <w:unhideWhenUsed/>
    <w:rsid w:val="001E0A57"/>
  </w:style>
  <w:style w:type="table" w:customStyle="1" w:styleId="Summarybox2">
    <w:name w:val="Summary box2"/>
    <w:basedOn w:val="TableNormal"/>
    <w:next w:val="TableGrid"/>
    <w:uiPriority w:val="59"/>
    <w:rsid w:val="001E0A5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Light2">
    <w:name w:val="Table Grid Light2"/>
    <w:basedOn w:val="TableNormal"/>
    <w:next w:val="TableGridLight"/>
    <w:uiPriority w:val="40"/>
    <w:rsid w:val="001E0A57"/>
    <w:rPr>
      <w:rFonts w:ascii="Calibri Light" w:hAnsi="Calibri Light"/>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21">
    <w:name w:val="Style21"/>
    <w:uiPriority w:val="99"/>
    <w:rsid w:val="001E0A57"/>
  </w:style>
  <w:style w:type="table" w:customStyle="1" w:styleId="TableGrid11">
    <w:name w:val="Table Grid11"/>
    <w:basedOn w:val="TableNormal"/>
    <w:next w:val="TableGrid"/>
    <w:uiPriority w:val="59"/>
    <w:rsid w:val="001E0A57"/>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E0A57"/>
  </w:style>
  <w:style w:type="table" w:customStyle="1" w:styleId="Summarybox3">
    <w:name w:val="Summary box3"/>
    <w:basedOn w:val="TableNormal"/>
    <w:next w:val="TableGrid"/>
    <w:uiPriority w:val="59"/>
    <w:rsid w:val="001E0A5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Light3">
    <w:name w:val="Table Grid Light3"/>
    <w:basedOn w:val="TableNormal"/>
    <w:next w:val="TableGridLight"/>
    <w:uiPriority w:val="40"/>
    <w:rsid w:val="001E0A57"/>
    <w:rPr>
      <w:rFonts w:ascii="Calibri Light" w:hAnsi="Calibri Light"/>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22">
    <w:name w:val="Style22"/>
    <w:uiPriority w:val="99"/>
    <w:rsid w:val="001E0A57"/>
    <w:pPr>
      <w:numPr>
        <w:numId w:val="20"/>
      </w:numPr>
    </w:pPr>
  </w:style>
  <w:style w:type="table" w:customStyle="1" w:styleId="TableGrid12">
    <w:name w:val="Table Grid12"/>
    <w:basedOn w:val="TableNormal"/>
    <w:next w:val="TableGrid"/>
    <w:uiPriority w:val="59"/>
    <w:rsid w:val="001E0A57"/>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beth1">
    <w:name w:val="Table Gridbeth1"/>
    <w:basedOn w:val="TableNormal"/>
    <w:next w:val="TableGrid"/>
    <w:uiPriority w:val="39"/>
    <w:rsid w:val="001E0A5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beth2">
    <w:name w:val="Table Gridbeth2"/>
    <w:basedOn w:val="TableNormal"/>
    <w:next w:val="TableGrid"/>
    <w:uiPriority w:val="39"/>
    <w:rsid w:val="001E0A5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numbering" w:customStyle="1" w:styleId="Style23">
    <w:name w:val="Style23"/>
    <w:uiPriority w:val="99"/>
    <w:rsid w:val="001E0A57"/>
    <w:pPr>
      <w:numPr>
        <w:numId w:val="3"/>
      </w:numPr>
    </w:pPr>
  </w:style>
  <w:style w:type="numbering" w:customStyle="1" w:styleId="Style221">
    <w:name w:val="Style221"/>
    <w:uiPriority w:val="99"/>
    <w:rsid w:val="001E0A57"/>
    <w:pPr>
      <w:numPr>
        <w:numId w:val="4"/>
      </w:numPr>
    </w:pPr>
  </w:style>
  <w:style w:type="character" w:styleId="LineNumber">
    <w:name w:val="line number"/>
    <w:basedOn w:val="DefaultParagraphFont"/>
    <w:semiHidden/>
    <w:unhideWhenUsed/>
    <w:rsid w:val="005D5C30"/>
  </w:style>
  <w:style w:type="paragraph" w:customStyle="1" w:styleId="Default">
    <w:name w:val="Default"/>
    <w:rsid w:val="000E6754"/>
    <w:pPr>
      <w:autoSpaceDE w:val="0"/>
      <w:autoSpaceDN w:val="0"/>
      <w:adjustRightInd w:val="0"/>
    </w:pPr>
    <w:rPr>
      <w:rFonts w:ascii="Cambria" w:hAnsi="Cambria" w:cs="Cambria"/>
      <w:color w:val="000000"/>
      <w:sz w:val="24"/>
      <w:szCs w:val="24"/>
    </w:rPr>
  </w:style>
  <w:style w:type="paragraph" w:customStyle="1" w:styleId="GeneralHeading">
    <w:name w:val="General Heading"/>
    <w:qFormat/>
    <w:rsid w:val="009C46F7"/>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C46F7"/>
    <w:pPr>
      <w:keepNext/>
    </w:pPr>
    <w:rPr>
      <w:rFonts w:ascii="Arial Narrow" w:eastAsiaTheme="majorEastAsia" w:hAnsi="Arial Narrow"/>
      <w:b/>
      <w:szCs w:val="24"/>
      <w:lang w:val="en-US"/>
    </w:rPr>
  </w:style>
  <w:style w:type="paragraph" w:customStyle="1" w:styleId="2-SectionHeading">
    <w:name w:val="2-Section Heading"/>
    <w:qFormat/>
    <w:rsid w:val="009C46F7"/>
    <w:pPr>
      <w:keepNext/>
      <w:numPr>
        <w:numId w:val="2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9C46F7"/>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9C46F7"/>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9C46F7"/>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9C46F7"/>
    <w:rPr>
      <w:rFonts w:ascii="Arial Narrow" w:eastAsiaTheme="majorEastAsia" w:hAnsi="Arial Narrow" w:cstheme="majorBidi"/>
      <w:b/>
      <w:bCs/>
      <w:szCs w:val="24"/>
    </w:rPr>
  </w:style>
  <w:style w:type="paragraph" w:customStyle="1" w:styleId="3-BodyText">
    <w:name w:val="3-Body Text"/>
    <w:link w:val="3-BodyTextChar"/>
    <w:qFormat/>
    <w:rsid w:val="009C46F7"/>
    <w:pPr>
      <w:numPr>
        <w:ilvl w:val="1"/>
        <w:numId w:val="3"/>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C46F7"/>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9C46F7"/>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9C46F7"/>
    <w:rPr>
      <w:rFonts w:ascii="Calibri" w:hAnsi="Calibri" w:cs="Arial"/>
      <w:b/>
      <w:sz w:val="24"/>
      <w:szCs w:val="24"/>
    </w:rPr>
  </w:style>
  <w:style w:type="paragraph" w:customStyle="1" w:styleId="TableFigureFooter">
    <w:name w:val="Table/Figure Footer"/>
    <w:basedOn w:val="Normal"/>
    <w:link w:val="TableFigureFooterChar"/>
    <w:qFormat/>
    <w:rsid w:val="009C46F7"/>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C46F7"/>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9C46F7"/>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9C46F7"/>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9C46F7"/>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9C46F7"/>
    <w:rPr>
      <w:rFonts w:asciiTheme="minorHAnsi" w:eastAsiaTheme="majorEastAsia" w:hAnsiTheme="minorHAnsi" w:cstheme="majorBidi"/>
      <w:b/>
      <w:snapToGrid/>
      <w:color w:val="000000" w:themeColor="text1"/>
      <w:sz w:val="24"/>
      <w:szCs w:val="24"/>
      <w:u w:val="single"/>
      <w:lang w:eastAsia="en-US"/>
    </w:rPr>
  </w:style>
  <w:style w:type="paragraph" w:styleId="ListBullet">
    <w:name w:val="List Bullet"/>
    <w:basedOn w:val="Normal"/>
    <w:unhideWhenUsed/>
    <w:rsid w:val="009C46F7"/>
    <w:pPr>
      <w:numPr>
        <w:numId w:val="28"/>
      </w:numPr>
      <w:contextualSpacing/>
    </w:pPr>
  </w:style>
  <w:style w:type="paragraph" w:customStyle="1" w:styleId="PBACheading10">
    <w:name w:val="PBAC heading 1"/>
    <w:qFormat/>
    <w:rsid w:val="00E94FD4"/>
    <w:pPr>
      <w:ind w:left="720" w:hanging="720"/>
      <w:outlineLvl w:val="0"/>
    </w:pPr>
    <w:rPr>
      <w:rFonts w:ascii="Arial" w:hAnsi="Arial" w:cs="Arial"/>
      <w:b/>
      <w:snapToGrid w:val="0"/>
      <w:sz w:val="22"/>
      <w:szCs w:val="22"/>
      <w:lang w:eastAsia="en-US"/>
    </w:rPr>
  </w:style>
  <w:style w:type="paragraph" w:customStyle="1" w:styleId="2Sections">
    <w:name w:val="2. Sections"/>
    <w:qFormat/>
    <w:rsid w:val="00681937"/>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Bodytextitalics"/>
    <w:link w:val="3BodytextChar"/>
    <w:qFormat/>
    <w:rsid w:val="00681937"/>
    <w:rPr>
      <w:i w:val="0"/>
    </w:rPr>
  </w:style>
  <w:style w:type="character" w:customStyle="1" w:styleId="3BodytextChar">
    <w:name w:val="3. Body text Char"/>
    <w:basedOn w:val="DefaultParagraphFont"/>
    <w:link w:val="3Bodytext"/>
    <w:rsid w:val="00681937"/>
    <w:rPr>
      <w:rFonts w:asciiTheme="minorHAnsi" w:eastAsiaTheme="minorHAnsi" w:hAnsiTheme="minorHAnsi" w:cstheme="minorBidi"/>
      <w:sz w:val="24"/>
      <w:szCs w:val="22"/>
    </w:rPr>
  </w:style>
  <w:style w:type="paragraph" w:customStyle="1" w:styleId="Bodytextitalics">
    <w:name w:val="Body text italics"/>
    <w:basedOn w:val="BodyText"/>
    <w:qFormat/>
    <w:rsid w:val="00681937"/>
    <w:pPr>
      <w:spacing w:after="120"/>
      <w:ind w:left="720" w:hanging="720"/>
    </w:pPr>
    <w:rPr>
      <w:rFonts w:asciiTheme="minorHAnsi" w:eastAsiaTheme="minorHAnsi" w:hAnsiTheme="minorHAnsi" w:cstheme="minorBid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7722">
      <w:bodyDiv w:val="1"/>
      <w:marLeft w:val="0"/>
      <w:marRight w:val="0"/>
      <w:marTop w:val="0"/>
      <w:marBottom w:val="0"/>
      <w:divBdr>
        <w:top w:val="none" w:sz="0" w:space="0" w:color="auto"/>
        <w:left w:val="none" w:sz="0" w:space="0" w:color="auto"/>
        <w:bottom w:val="none" w:sz="0" w:space="0" w:color="auto"/>
        <w:right w:val="none" w:sz="0" w:space="0" w:color="auto"/>
      </w:divBdr>
      <w:divsChild>
        <w:div w:id="453907614">
          <w:marLeft w:val="547"/>
          <w:marRight w:val="0"/>
          <w:marTop w:val="0"/>
          <w:marBottom w:val="0"/>
          <w:divBdr>
            <w:top w:val="none" w:sz="0" w:space="0" w:color="auto"/>
            <w:left w:val="none" w:sz="0" w:space="0" w:color="auto"/>
            <w:bottom w:val="none" w:sz="0" w:space="0" w:color="auto"/>
            <w:right w:val="none" w:sz="0" w:space="0" w:color="auto"/>
          </w:divBdr>
        </w:div>
      </w:divsChild>
    </w:div>
    <w:div w:id="185599274">
      <w:bodyDiv w:val="1"/>
      <w:marLeft w:val="0"/>
      <w:marRight w:val="0"/>
      <w:marTop w:val="0"/>
      <w:marBottom w:val="0"/>
      <w:divBdr>
        <w:top w:val="none" w:sz="0" w:space="0" w:color="auto"/>
        <w:left w:val="none" w:sz="0" w:space="0" w:color="auto"/>
        <w:bottom w:val="none" w:sz="0" w:space="0" w:color="auto"/>
        <w:right w:val="none" w:sz="0" w:space="0" w:color="auto"/>
      </w:divBdr>
    </w:div>
    <w:div w:id="337735125">
      <w:bodyDiv w:val="1"/>
      <w:marLeft w:val="0"/>
      <w:marRight w:val="0"/>
      <w:marTop w:val="0"/>
      <w:marBottom w:val="0"/>
      <w:divBdr>
        <w:top w:val="none" w:sz="0" w:space="0" w:color="auto"/>
        <w:left w:val="none" w:sz="0" w:space="0" w:color="auto"/>
        <w:bottom w:val="none" w:sz="0" w:space="0" w:color="auto"/>
        <w:right w:val="none" w:sz="0" w:space="0" w:color="auto"/>
      </w:divBdr>
      <w:divsChild>
        <w:div w:id="1888485960">
          <w:marLeft w:val="547"/>
          <w:marRight w:val="0"/>
          <w:marTop w:val="0"/>
          <w:marBottom w:val="0"/>
          <w:divBdr>
            <w:top w:val="none" w:sz="0" w:space="0" w:color="auto"/>
            <w:left w:val="none" w:sz="0" w:space="0" w:color="auto"/>
            <w:bottom w:val="none" w:sz="0" w:space="0" w:color="auto"/>
            <w:right w:val="none" w:sz="0" w:space="0" w:color="auto"/>
          </w:divBdr>
        </w:div>
        <w:div w:id="922252535">
          <w:marLeft w:val="1166"/>
          <w:marRight w:val="0"/>
          <w:marTop w:val="0"/>
          <w:marBottom w:val="0"/>
          <w:divBdr>
            <w:top w:val="none" w:sz="0" w:space="0" w:color="auto"/>
            <w:left w:val="none" w:sz="0" w:space="0" w:color="auto"/>
            <w:bottom w:val="none" w:sz="0" w:space="0" w:color="auto"/>
            <w:right w:val="none" w:sz="0" w:space="0" w:color="auto"/>
          </w:divBdr>
        </w:div>
        <w:div w:id="2011449831">
          <w:marLeft w:val="1166"/>
          <w:marRight w:val="0"/>
          <w:marTop w:val="0"/>
          <w:marBottom w:val="0"/>
          <w:divBdr>
            <w:top w:val="none" w:sz="0" w:space="0" w:color="auto"/>
            <w:left w:val="none" w:sz="0" w:space="0" w:color="auto"/>
            <w:bottom w:val="none" w:sz="0" w:space="0" w:color="auto"/>
            <w:right w:val="none" w:sz="0" w:space="0" w:color="auto"/>
          </w:divBdr>
        </w:div>
        <w:div w:id="470365128">
          <w:marLeft w:val="1166"/>
          <w:marRight w:val="0"/>
          <w:marTop w:val="0"/>
          <w:marBottom w:val="0"/>
          <w:divBdr>
            <w:top w:val="none" w:sz="0" w:space="0" w:color="auto"/>
            <w:left w:val="none" w:sz="0" w:space="0" w:color="auto"/>
            <w:bottom w:val="none" w:sz="0" w:space="0" w:color="auto"/>
            <w:right w:val="none" w:sz="0" w:space="0" w:color="auto"/>
          </w:divBdr>
        </w:div>
        <w:div w:id="1322660209">
          <w:marLeft w:val="547"/>
          <w:marRight w:val="0"/>
          <w:marTop w:val="0"/>
          <w:marBottom w:val="0"/>
          <w:divBdr>
            <w:top w:val="none" w:sz="0" w:space="0" w:color="auto"/>
            <w:left w:val="none" w:sz="0" w:space="0" w:color="auto"/>
            <w:bottom w:val="none" w:sz="0" w:space="0" w:color="auto"/>
            <w:right w:val="none" w:sz="0" w:space="0" w:color="auto"/>
          </w:divBdr>
        </w:div>
        <w:div w:id="1376466684">
          <w:marLeft w:val="1166"/>
          <w:marRight w:val="0"/>
          <w:marTop w:val="0"/>
          <w:marBottom w:val="0"/>
          <w:divBdr>
            <w:top w:val="none" w:sz="0" w:space="0" w:color="auto"/>
            <w:left w:val="none" w:sz="0" w:space="0" w:color="auto"/>
            <w:bottom w:val="none" w:sz="0" w:space="0" w:color="auto"/>
            <w:right w:val="none" w:sz="0" w:space="0" w:color="auto"/>
          </w:divBdr>
        </w:div>
        <w:div w:id="1301694336">
          <w:marLeft w:val="1166"/>
          <w:marRight w:val="0"/>
          <w:marTop w:val="0"/>
          <w:marBottom w:val="0"/>
          <w:divBdr>
            <w:top w:val="none" w:sz="0" w:space="0" w:color="auto"/>
            <w:left w:val="none" w:sz="0" w:space="0" w:color="auto"/>
            <w:bottom w:val="none" w:sz="0" w:space="0" w:color="auto"/>
            <w:right w:val="none" w:sz="0" w:space="0" w:color="auto"/>
          </w:divBdr>
        </w:div>
        <w:div w:id="107891050">
          <w:marLeft w:val="1166"/>
          <w:marRight w:val="0"/>
          <w:marTop w:val="0"/>
          <w:marBottom w:val="0"/>
          <w:divBdr>
            <w:top w:val="none" w:sz="0" w:space="0" w:color="auto"/>
            <w:left w:val="none" w:sz="0" w:space="0" w:color="auto"/>
            <w:bottom w:val="none" w:sz="0" w:space="0" w:color="auto"/>
            <w:right w:val="none" w:sz="0" w:space="0" w:color="auto"/>
          </w:divBdr>
        </w:div>
      </w:divsChild>
    </w:div>
    <w:div w:id="622150481">
      <w:bodyDiv w:val="1"/>
      <w:marLeft w:val="0"/>
      <w:marRight w:val="0"/>
      <w:marTop w:val="0"/>
      <w:marBottom w:val="0"/>
      <w:divBdr>
        <w:top w:val="none" w:sz="0" w:space="0" w:color="auto"/>
        <w:left w:val="none" w:sz="0" w:space="0" w:color="auto"/>
        <w:bottom w:val="none" w:sz="0" w:space="0" w:color="auto"/>
        <w:right w:val="none" w:sz="0" w:space="0" w:color="auto"/>
      </w:divBdr>
    </w:div>
    <w:div w:id="726145880">
      <w:bodyDiv w:val="1"/>
      <w:marLeft w:val="0"/>
      <w:marRight w:val="0"/>
      <w:marTop w:val="0"/>
      <w:marBottom w:val="0"/>
      <w:divBdr>
        <w:top w:val="none" w:sz="0" w:space="0" w:color="auto"/>
        <w:left w:val="none" w:sz="0" w:space="0" w:color="auto"/>
        <w:bottom w:val="none" w:sz="0" w:space="0" w:color="auto"/>
        <w:right w:val="none" w:sz="0" w:space="0" w:color="auto"/>
      </w:divBdr>
      <w:divsChild>
        <w:div w:id="1911767870">
          <w:marLeft w:val="547"/>
          <w:marRight w:val="0"/>
          <w:marTop w:val="115"/>
          <w:marBottom w:val="0"/>
          <w:divBdr>
            <w:top w:val="none" w:sz="0" w:space="0" w:color="auto"/>
            <w:left w:val="none" w:sz="0" w:space="0" w:color="auto"/>
            <w:bottom w:val="none" w:sz="0" w:space="0" w:color="auto"/>
            <w:right w:val="none" w:sz="0" w:space="0" w:color="auto"/>
          </w:divBdr>
        </w:div>
      </w:divsChild>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860246232">
      <w:bodyDiv w:val="1"/>
      <w:marLeft w:val="0"/>
      <w:marRight w:val="0"/>
      <w:marTop w:val="0"/>
      <w:marBottom w:val="0"/>
      <w:divBdr>
        <w:top w:val="none" w:sz="0" w:space="0" w:color="auto"/>
        <w:left w:val="none" w:sz="0" w:space="0" w:color="auto"/>
        <w:bottom w:val="none" w:sz="0" w:space="0" w:color="auto"/>
        <w:right w:val="none" w:sz="0" w:space="0" w:color="auto"/>
      </w:divBdr>
    </w:div>
    <w:div w:id="1024752200">
      <w:bodyDiv w:val="1"/>
      <w:marLeft w:val="0"/>
      <w:marRight w:val="0"/>
      <w:marTop w:val="0"/>
      <w:marBottom w:val="0"/>
      <w:divBdr>
        <w:top w:val="none" w:sz="0" w:space="0" w:color="auto"/>
        <w:left w:val="none" w:sz="0" w:space="0" w:color="auto"/>
        <w:bottom w:val="none" w:sz="0" w:space="0" w:color="auto"/>
        <w:right w:val="none" w:sz="0" w:space="0" w:color="auto"/>
      </w:divBdr>
    </w:div>
    <w:div w:id="1180122859">
      <w:bodyDiv w:val="1"/>
      <w:marLeft w:val="0"/>
      <w:marRight w:val="0"/>
      <w:marTop w:val="0"/>
      <w:marBottom w:val="0"/>
      <w:divBdr>
        <w:top w:val="none" w:sz="0" w:space="0" w:color="auto"/>
        <w:left w:val="none" w:sz="0" w:space="0" w:color="auto"/>
        <w:bottom w:val="none" w:sz="0" w:space="0" w:color="auto"/>
        <w:right w:val="none" w:sz="0" w:space="0" w:color="auto"/>
      </w:divBdr>
      <w:divsChild>
        <w:div w:id="248202433">
          <w:marLeft w:val="706"/>
          <w:marRight w:val="0"/>
          <w:marTop w:val="200"/>
          <w:marBottom w:val="0"/>
          <w:divBdr>
            <w:top w:val="none" w:sz="0" w:space="0" w:color="auto"/>
            <w:left w:val="none" w:sz="0" w:space="0" w:color="auto"/>
            <w:bottom w:val="none" w:sz="0" w:space="0" w:color="auto"/>
            <w:right w:val="none" w:sz="0" w:space="0" w:color="auto"/>
          </w:divBdr>
        </w:div>
      </w:divsChild>
    </w:div>
    <w:div w:id="1564412555">
      <w:bodyDiv w:val="1"/>
      <w:marLeft w:val="0"/>
      <w:marRight w:val="0"/>
      <w:marTop w:val="0"/>
      <w:marBottom w:val="0"/>
      <w:divBdr>
        <w:top w:val="none" w:sz="0" w:space="0" w:color="auto"/>
        <w:left w:val="none" w:sz="0" w:space="0" w:color="auto"/>
        <w:bottom w:val="none" w:sz="0" w:space="0" w:color="auto"/>
        <w:right w:val="none" w:sz="0" w:space="0" w:color="auto"/>
      </w:divBdr>
      <w:divsChild>
        <w:div w:id="1722710270">
          <w:marLeft w:val="547"/>
          <w:marRight w:val="0"/>
          <w:marTop w:val="96"/>
          <w:marBottom w:val="0"/>
          <w:divBdr>
            <w:top w:val="none" w:sz="0" w:space="0" w:color="auto"/>
            <w:left w:val="none" w:sz="0" w:space="0" w:color="auto"/>
            <w:bottom w:val="none" w:sz="0" w:space="0" w:color="auto"/>
            <w:right w:val="none" w:sz="0" w:space="0" w:color="auto"/>
          </w:divBdr>
        </w:div>
      </w:divsChild>
    </w:div>
    <w:div w:id="1684933125">
      <w:bodyDiv w:val="1"/>
      <w:marLeft w:val="0"/>
      <w:marRight w:val="0"/>
      <w:marTop w:val="0"/>
      <w:marBottom w:val="0"/>
      <w:divBdr>
        <w:top w:val="none" w:sz="0" w:space="0" w:color="auto"/>
        <w:left w:val="none" w:sz="0" w:space="0" w:color="auto"/>
        <w:bottom w:val="none" w:sz="0" w:space="0" w:color="auto"/>
        <w:right w:val="none" w:sz="0" w:space="0" w:color="auto"/>
      </w:divBdr>
    </w:div>
    <w:div w:id="1717196122">
      <w:bodyDiv w:val="1"/>
      <w:marLeft w:val="0"/>
      <w:marRight w:val="0"/>
      <w:marTop w:val="0"/>
      <w:marBottom w:val="0"/>
      <w:divBdr>
        <w:top w:val="none" w:sz="0" w:space="0" w:color="auto"/>
        <w:left w:val="none" w:sz="0" w:space="0" w:color="auto"/>
        <w:bottom w:val="none" w:sz="0" w:space="0" w:color="auto"/>
        <w:right w:val="none" w:sz="0" w:space="0" w:color="auto"/>
      </w:divBdr>
      <w:divsChild>
        <w:div w:id="438568306">
          <w:marLeft w:val="547"/>
          <w:marRight w:val="0"/>
          <w:marTop w:val="0"/>
          <w:marBottom w:val="0"/>
          <w:divBdr>
            <w:top w:val="none" w:sz="0" w:space="0" w:color="auto"/>
            <w:left w:val="none" w:sz="0" w:space="0" w:color="auto"/>
            <w:bottom w:val="none" w:sz="0" w:space="0" w:color="auto"/>
            <w:right w:val="none" w:sz="0" w:space="0" w:color="auto"/>
          </w:divBdr>
        </w:div>
        <w:div w:id="1102604128">
          <w:marLeft w:val="1166"/>
          <w:marRight w:val="0"/>
          <w:marTop w:val="0"/>
          <w:marBottom w:val="0"/>
          <w:divBdr>
            <w:top w:val="none" w:sz="0" w:space="0" w:color="auto"/>
            <w:left w:val="none" w:sz="0" w:space="0" w:color="auto"/>
            <w:bottom w:val="none" w:sz="0" w:space="0" w:color="auto"/>
            <w:right w:val="none" w:sz="0" w:space="0" w:color="auto"/>
          </w:divBdr>
        </w:div>
        <w:div w:id="1070233841">
          <w:marLeft w:val="1166"/>
          <w:marRight w:val="0"/>
          <w:marTop w:val="0"/>
          <w:marBottom w:val="0"/>
          <w:divBdr>
            <w:top w:val="none" w:sz="0" w:space="0" w:color="auto"/>
            <w:left w:val="none" w:sz="0" w:space="0" w:color="auto"/>
            <w:bottom w:val="none" w:sz="0" w:space="0" w:color="auto"/>
            <w:right w:val="none" w:sz="0" w:space="0" w:color="auto"/>
          </w:divBdr>
        </w:div>
        <w:div w:id="2120448859">
          <w:marLeft w:val="1166"/>
          <w:marRight w:val="0"/>
          <w:marTop w:val="0"/>
          <w:marBottom w:val="0"/>
          <w:divBdr>
            <w:top w:val="none" w:sz="0" w:space="0" w:color="auto"/>
            <w:left w:val="none" w:sz="0" w:space="0" w:color="auto"/>
            <w:bottom w:val="none" w:sz="0" w:space="0" w:color="auto"/>
            <w:right w:val="none" w:sz="0" w:space="0" w:color="auto"/>
          </w:divBdr>
        </w:div>
        <w:div w:id="1930116111">
          <w:marLeft w:val="547"/>
          <w:marRight w:val="0"/>
          <w:marTop w:val="0"/>
          <w:marBottom w:val="0"/>
          <w:divBdr>
            <w:top w:val="none" w:sz="0" w:space="0" w:color="auto"/>
            <w:left w:val="none" w:sz="0" w:space="0" w:color="auto"/>
            <w:bottom w:val="none" w:sz="0" w:space="0" w:color="auto"/>
            <w:right w:val="none" w:sz="0" w:space="0" w:color="auto"/>
          </w:divBdr>
        </w:div>
        <w:div w:id="1329283356">
          <w:marLeft w:val="1166"/>
          <w:marRight w:val="0"/>
          <w:marTop w:val="0"/>
          <w:marBottom w:val="0"/>
          <w:divBdr>
            <w:top w:val="none" w:sz="0" w:space="0" w:color="auto"/>
            <w:left w:val="none" w:sz="0" w:space="0" w:color="auto"/>
            <w:bottom w:val="none" w:sz="0" w:space="0" w:color="auto"/>
            <w:right w:val="none" w:sz="0" w:space="0" w:color="auto"/>
          </w:divBdr>
        </w:div>
        <w:div w:id="773987520">
          <w:marLeft w:val="1166"/>
          <w:marRight w:val="0"/>
          <w:marTop w:val="0"/>
          <w:marBottom w:val="0"/>
          <w:divBdr>
            <w:top w:val="none" w:sz="0" w:space="0" w:color="auto"/>
            <w:left w:val="none" w:sz="0" w:space="0" w:color="auto"/>
            <w:bottom w:val="none" w:sz="0" w:space="0" w:color="auto"/>
            <w:right w:val="none" w:sz="0" w:space="0" w:color="auto"/>
          </w:divBdr>
        </w:div>
        <w:div w:id="570622325">
          <w:marLeft w:val="1166"/>
          <w:marRight w:val="0"/>
          <w:marTop w:val="0"/>
          <w:marBottom w:val="0"/>
          <w:divBdr>
            <w:top w:val="none" w:sz="0" w:space="0" w:color="auto"/>
            <w:left w:val="none" w:sz="0" w:space="0" w:color="auto"/>
            <w:bottom w:val="none" w:sz="0" w:space="0" w:color="auto"/>
            <w:right w:val="none" w:sz="0" w:space="0" w:color="auto"/>
          </w:divBdr>
        </w:div>
      </w:divsChild>
    </w:div>
    <w:div w:id="1878859558">
      <w:bodyDiv w:val="1"/>
      <w:marLeft w:val="0"/>
      <w:marRight w:val="0"/>
      <w:marTop w:val="0"/>
      <w:marBottom w:val="0"/>
      <w:divBdr>
        <w:top w:val="none" w:sz="0" w:space="0" w:color="auto"/>
        <w:left w:val="none" w:sz="0" w:space="0" w:color="auto"/>
        <w:bottom w:val="none" w:sz="0" w:space="0" w:color="auto"/>
        <w:right w:val="none" w:sz="0" w:space="0" w:color="auto"/>
      </w:divBdr>
      <w:divsChild>
        <w:div w:id="61367036">
          <w:marLeft w:val="144"/>
          <w:marRight w:val="0"/>
          <w:marTop w:val="240"/>
          <w:marBottom w:val="40"/>
          <w:divBdr>
            <w:top w:val="none" w:sz="0" w:space="0" w:color="auto"/>
            <w:left w:val="none" w:sz="0" w:space="0" w:color="auto"/>
            <w:bottom w:val="none" w:sz="0" w:space="0" w:color="auto"/>
            <w:right w:val="none" w:sz="0" w:space="0" w:color="auto"/>
          </w:divBdr>
        </w:div>
      </w:divsChild>
    </w:div>
    <w:div w:id="1879006106">
      <w:bodyDiv w:val="1"/>
      <w:marLeft w:val="0"/>
      <w:marRight w:val="0"/>
      <w:marTop w:val="0"/>
      <w:marBottom w:val="0"/>
      <w:divBdr>
        <w:top w:val="none" w:sz="0" w:space="0" w:color="auto"/>
        <w:left w:val="none" w:sz="0" w:space="0" w:color="auto"/>
        <w:bottom w:val="none" w:sz="0" w:space="0" w:color="auto"/>
        <w:right w:val="none" w:sz="0" w:space="0" w:color="auto"/>
      </w:divBdr>
    </w:div>
    <w:div w:id="1976762434">
      <w:bodyDiv w:val="1"/>
      <w:marLeft w:val="0"/>
      <w:marRight w:val="0"/>
      <w:marTop w:val="0"/>
      <w:marBottom w:val="0"/>
      <w:divBdr>
        <w:top w:val="none" w:sz="0" w:space="0" w:color="auto"/>
        <w:left w:val="none" w:sz="0" w:space="0" w:color="auto"/>
        <w:bottom w:val="none" w:sz="0" w:space="0" w:color="auto"/>
        <w:right w:val="none" w:sz="0" w:space="0" w:color="auto"/>
      </w:divBdr>
    </w:div>
    <w:div w:id="2069526590">
      <w:bodyDiv w:val="1"/>
      <w:marLeft w:val="0"/>
      <w:marRight w:val="0"/>
      <w:marTop w:val="0"/>
      <w:marBottom w:val="0"/>
      <w:divBdr>
        <w:top w:val="none" w:sz="0" w:space="0" w:color="auto"/>
        <w:left w:val="none" w:sz="0" w:space="0" w:color="auto"/>
        <w:bottom w:val="none" w:sz="0" w:space="0" w:color="auto"/>
        <w:right w:val="none" w:sz="0" w:space="0" w:color="auto"/>
      </w:divBdr>
    </w:div>
    <w:div w:id="21030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2d.diabetessociety.com.au/documents/vNuZ2sH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Man18</b:Tag>
    <b:SourceType>JournalArticle</b:SourceType>
    <b:Guid>{C30D855D-88BD-4A42-90C8-51AC3ED7AC59}</b:Guid>
    <b:Title>Screening and diagnosis of chronic kidney disease in people with type 2 diabetes attending Australian general practice</b:Title>
    <b:Year>2018</b:Year>
    <b:JournalName>Australian Journal of Primary Health</b:JournalName>
    <b:Pages>280-286</b:Pages>
    <b:Author>
      <b:Author>
        <b:NameList>
          <b:Person>
            <b:Last>Manski-Nankervis</b:Last>
            <b:First>J</b:First>
          </b:Person>
          <b:Person>
            <b:Last>Thuraisingam </b:Last>
            <b:First>s</b:First>
          </b:Person>
          <b:Person>
            <b:Last>Lau </b:Last>
            <b:First>p</b:First>
          </b:Person>
          <b:Person>
            <b:Last>Blackberry </b:Last>
            <b:First>i</b:First>
          </b:Person>
          <b:Person>
            <b:Last>Sluggett </b:Last>
            <b:First>J</b:First>
          </b:Person>
          <b:Person>
            <b:Last>Ilomaki </b:Last>
            <b:First>J</b:First>
          </b:Person>
          <b:Person>
            <b:Last>Bell </b:Last>
            <b:First>J</b:First>
          </b:Person>
          <b:Person>
            <b:Last>Furler </b:Last>
            <b:First>J</b:First>
          </b:Person>
        </b:NameList>
      </b:Author>
    </b:Author>
    <b:Month>May</b:Month>
    <b:Day>29</b:Day>
    <b:Volume>24</b:Volume>
    <b:Issue>3</b:Issue>
    <b:DOI>https://doi.org/10.1071/PY17156</b:DOI>
    <b:RefOrder>1</b:RefOrder>
  </b:Source>
</b:Sources>
</file>

<file path=customXml/itemProps1.xml><?xml version="1.0" encoding="utf-8"?>
<ds:datastoreItem xmlns:ds="http://schemas.openxmlformats.org/officeDocument/2006/customXml" ds:itemID="{BC6135E8-73D3-44E0-B738-192B2C6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18645</Words>
  <Characters>106283</Characters>
  <Application>Microsoft Office Word</Application>
  <DocSecurity>0</DocSecurity>
  <Lines>885</Lines>
  <Paragraphs>249</Paragraphs>
  <ScaleCrop>false</ScaleCrop>
  <Company/>
  <LinksUpToDate>false</LinksUpToDate>
  <CharactersWithSpaces>124679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2020-02-17T23:56:00Z</dcterms:created>
  <dcterms:modified xsi:type="dcterms:W3CDTF">2020-02-21T05:42:00Z</dcterms:modified>
</cp:coreProperties>
</file>