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307" w:rsidRDefault="008A082E" w:rsidP="007D27B1">
      <w:pPr>
        <w:pStyle w:val="Title"/>
        <w:spacing w:after="0"/>
        <w:ind w:left="720" w:hanging="720"/>
      </w:pPr>
      <w:r w:rsidRPr="002721B8">
        <w:t>5.12</w:t>
      </w:r>
      <w:r w:rsidR="009F0307" w:rsidRPr="002721B8">
        <w:tab/>
        <w:t>TALAZOPARIB</w:t>
      </w:r>
      <w:r w:rsidR="002721B8">
        <w:t>,</w:t>
      </w:r>
      <w:r w:rsidR="002721B8">
        <w:br/>
      </w:r>
      <w:r w:rsidR="00820B9D" w:rsidRPr="002721B8">
        <w:t>Capsule 250 micrograms (as tosilate),</w:t>
      </w:r>
      <w:r w:rsidR="00820B9D" w:rsidRPr="002721B8">
        <w:br/>
        <w:t>Capsule 1 mg (as tosilate),</w:t>
      </w:r>
      <w:r w:rsidR="00820B9D" w:rsidRPr="002721B8">
        <w:br/>
      </w:r>
      <w:r w:rsidR="009F0307" w:rsidRPr="002721B8">
        <w:t xml:space="preserve">Talzenna®, </w:t>
      </w:r>
      <w:r w:rsidR="002721B8">
        <w:br/>
      </w:r>
      <w:r w:rsidR="009F0307" w:rsidRPr="002721B8">
        <w:t>Pfizer</w:t>
      </w:r>
      <w:r w:rsidR="00D47B43" w:rsidRPr="002721B8">
        <w:t xml:space="preserve"> Australia Pty Ltd</w:t>
      </w:r>
      <w:r w:rsidR="009F0307" w:rsidRPr="002721B8">
        <w:t>.</w:t>
      </w:r>
    </w:p>
    <w:p w:rsidR="009F0307" w:rsidRPr="00BC5B8F" w:rsidRDefault="009F0307" w:rsidP="00561C55">
      <w:pPr>
        <w:widowControl/>
      </w:pPr>
    </w:p>
    <w:p w:rsidR="009F0307" w:rsidRPr="00173A3C" w:rsidRDefault="009F0307" w:rsidP="00561C55">
      <w:pPr>
        <w:pStyle w:val="PBACHeading1"/>
      </w:pPr>
      <w:bookmarkStart w:id="0" w:name="_Toc19717374"/>
      <w:r w:rsidRPr="00173A3C">
        <w:t>Purpose of Application</w:t>
      </w:r>
      <w:bookmarkEnd w:id="0"/>
    </w:p>
    <w:p w:rsidR="009F0307" w:rsidRPr="00882085" w:rsidRDefault="009F0307" w:rsidP="00561C55">
      <w:pPr>
        <w:widowControl/>
      </w:pPr>
    </w:p>
    <w:p w:rsidR="009F0307" w:rsidRPr="002C2FBB" w:rsidRDefault="009F0307" w:rsidP="00561C55">
      <w:pPr>
        <w:pStyle w:val="ListParagraph"/>
        <w:widowControl/>
        <w:numPr>
          <w:ilvl w:val="1"/>
          <w:numId w:val="3"/>
        </w:numPr>
      </w:pPr>
      <w:r w:rsidRPr="002C2FBB">
        <w:t>The submission requested a Section 85, Authority Required listing for talazoparib for treatment of patients with germline bre</w:t>
      </w:r>
      <w:r w:rsidR="003B0FC0" w:rsidRPr="002C2FBB">
        <w:t>ast cancer susceptibility gene</w:t>
      </w:r>
      <w:r w:rsidRPr="002C2FBB">
        <w:t xml:space="preserve"> mutated</w:t>
      </w:r>
      <w:r w:rsidR="003B0FC0" w:rsidRPr="002C2FBB">
        <w:t xml:space="preserve"> (gBRCAm)</w:t>
      </w:r>
      <w:r w:rsidRPr="002C2FBB">
        <w:t xml:space="preserve"> human epidermal growth factor receptor negative</w:t>
      </w:r>
      <w:r w:rsidR="00C5669E">
        <w:t xml:space="preserve"> (HER2-)</w:t>
      </w:r>
      <w:r w:rsidRPr="002C2FBB">
        <w:t xml:space="preserve"> locally advanced inoperable or metastatic breast cancer who have been previously treated with a taxane and/or an anthracycline in the (neo)adjuvant, locally advanced or metastatic setting. The PBAC has not considered talazoparib previously. </w:t>
      </w:r>
    </w:p>
    <w:p w:rsidR="009F0307" w:rsidRPr="002C2FBB" w:rsidRDefault="009F0307" w:rsidP="00561C55">
      <w:pPr>
        <w:pStyle w:val="ListParagraph"/>
        <w:widowControl/>
        <w:numPr>
          <w:ilvl w:val="1"/>
          <w:numId w:val="3"/>
        </w:numPr>
        <w:spacing w:after="120"/>
      </w:pPr>
      <w:r w:rsidRPr="002C2FBB">
        <w:t>The listing was requested on a basis of a cost-utility analysis of talazoparib compared with single-agent chemotherapy (standard of care (SoC)), and a cost-minimisation analysis of talazoparib to olaparib. The key components of the clinical issue addressed by the submission are summarised below.</w:t>
      </w:r>
    </w:p>
    <w:p w:rsidR="009F0307" w:rsidRPr="00B37A9E" w:rsidRDefault="009F0307" w:rsidP="0063106E">
      <w:pPr>
        <w:pStyle w:val="Caption"/>
        <w:keepNext/>
        <w:keepLines/>
        <w:widowControl/>
        <w:rPr>
          <w:rStyle w:val="CommentReference"/>
          <w:b/>
          <w:szCs w:val="18"/>
        </w:rPr>
      </w:pPr>
      <w:r w:rsidRPr="00B37A9E">
        <w:t xml:space="preserve">Table </w:t>
      </w:r>
      <w:r w:rsidR="00112C13">
        <w:rPr>
          <w:noProof/>
        </w:rPr>
        <w:t>1</w:t>
      </w:r>
      <w:r w:rsidRPr="00B37A9E">
        <w:t xml:space="preserve">: </w:t>
      </w:r>
      <w:r w:rsidRPr="00B37A9E">
        <w:rPr>
          <w:rStyle w:val="CommentReference"/>
          <w:b/>
          <w:szCs w:val="18"/>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4"/>
      </w:tblGrid>
      <w:tr w:rsidR="009F0307" w:rsidRPr="00A518F3" w:rsidTr="0047282F">
        <w:trPr>
          <w:tblHeader/>
        </w:trPr>
        <w:tc>
          <w:tcPr>
            <w:tcW w:w="911" w:type="pct"/>
            <w:vAlign w:val="center"/>
          </w:tcPr>
          <w:p w:rsidR="009F0307" w:rsidRPr="00A518F3" w:rsidRDefault="009F0307" w:rsidP="0063106E">
            <w:pPr>
              <w:pStyle w:val="Tabletext"/>
              <w:keepNext/>
              <w:keepLines/>
              <w:rPr>
                <w:b/>
              </w:rPr>
            </w:pPr>
            <w:r w:rsidRPr="00A518F3">
              <w:rPr>
                <w:b/>
              </w:rPr>
              <w:t>Component</w:t>
            </w:r>
          </w:p>
        </w:tc>
        <w:tc>
          <w:tcPr>
            <w:tcW w:w="4089" w:type="pct"/>
            <w:vAlign w:val="center"/>
          </w:tcPr>
          <w:p w:rsidR="009F0307" w:rsidRPr="00A518F3" w:rsidRDefault="009F0307" w:rsidP="0063106E">
            <w:pPr>
              <w:pStyle w:val="Tabletext"/>
              <w:keepNext/>
              <w:keepLines/>
              <w:jc w:val="center"/>
              <w:rPr>
                <w:b/>
              </w:rPr>
            </w:pPr>
            <w:r w:rsidRPr="00A518F3">
              <w:rPr>
                <w:b/>
              </w:rPr>
              <w:t>Description</w:t>
            </w:r>
          </w:p>
        </w:tc>
      </w:tr>
      <w:tr w:rsidR="009F0307" w:rsidTr="0047282F">
        <w:trPr>
          <w:tblHeader/>
        </w:trPr>
        <w:tc>
          <w:tcPr>
            <w:tcW w:w="911" w:type="pct"/>
            <w:vAlign w:val="center"/>
          </w:tcPr>
          <w:p w:rsidR="009F0307" w:rsidRDefault="009F0307" w:rsidP="0063106E">
            <w:pPr>
              <w:pStyle w:val="Tabletext"/>
              <w:keepNext/>
              <w:keepLines/>
            </w:pPr>
            <w:r>
              <w:t>Population</w:t>
            </w:r>
          </w:p>
        </w:tc>
        <w:tc>
          <w:tcPr>
            <w:tcW w:w="4089" w:type="pct"/>
            <w:vAlign w:val="center"/>
          </w:tcPr>
          <w:p w:rsidR="009F0307" w:rsidRDefault="009F0307" w:rsidP="0063106E">
            <w:pPr>
              <w:pStyle w:val="Tabletext"/>
              <w:keepNext/>
              <w:keepLines/>
            </w:pPr>
            <w:r w:rsidRPr="00C5078A">
              <w:t xml:space="preserve">Patients with </w:t>
            </w:r>
            <w:r>
              <w:t>b</w:t>
            </w:r>
            <w:r w:rsidRPr="00C5078A">
              <w:t>reast cancer 1 or 2 susceptibility gene mutation (BRCA1/2m) human epidermal growth factor receptor (HER2)-negative (either hormone receptor positive or triple negative) advanced (locally advanced inoperable or metastatic) breast cancer who have been previously treated with a taxane and/or an anthracycline in the (neo)adjuvant, locally advanced or metastatic setting.</w:t>
            </w:r>
          </w:p>
        </w:tc>
      </w:tr>
      <w:tr w:rsidR="009F0307" w:rsidTr="0047282F">
        <w:trPr>
          <w:tblHeader/>
        </w:trPr>
        <w:tc>
          <w:tcPr>
            <w:tcW w:w="911" w:type="pct"/>
            <w:vAlign w:val="center"/>
          </w:tcPr>
          <w:p w:rsidR="009F0307" w:rsidRDefault="009F0307" w:rsidP="0063106E">
            <w:pPr>
              <w:pStyle w:val="Tabletext"/>
              <w:keepNext/>
              <w:keepLines/>
            </w:pPr>
            <w:r>
              <w:t>Intervention</w:t>
            </w:r>
          </w:p>
        </w:tc>
        <w:tc>
          <w:tcPr>
            <w:tcW w:w="4089" w:type="pct"/>
            <w:vAlign w:val="center"/>
          </w:tcPr>
          <w:p w:rsidR="009F0307" w:rsidRDefault="009F0307" w:rsidP="0063106E">
            <w:pPr>
              <w:pStyle w:val="Tabletext"/>
              <w:keepNext/>
              <w:keepLines/>
            </w:pPr>
            <w:r w:rsidRPr="00C5078A">
              <w:t>Talazoparib 1 mg capsule taken once daily</w:t>
            </w:r>
            <w:r>
              <w:t xml:space="preserve"> (OD) until progression or unacceptable toxicity</w:t>
            </w:r>
          </w:p>
        </w:tc>
      </w:tr>
      <w:tr w:rsidR="009F0307" w:rsidTr="0047282F">
        <w:trPr>
          <w:tblHeader/>
        </w:trPr>
        <w:tc>
          <w:tcPr>
            <w:tcW w:w="911" w:type="pct"/>
            <w:vAlign w:val="center"/>
          </w:tcPr>
          <w:p w:rsidR="009F0307" w:rsidRDefault="009F0307" w:rsidP="0063106E">
            <w:pPr>
              <w:pStyle w:val="Tabletext"/>
              <w:keepNext/>
              <w:keepLines/>
            </w:pPr>
            <w:r>
              <w:t>Comparator</w:t>
            </w:r>
          </w:p>
        </w:tc>
        <w:tc>
          <w:tcPr>
            <w:tcW w:w="4089" w:type="pct"/>
            <w:vAlign w:val="center"/>
          </w:tcPr>
          <w:p w:rsidR="009F0307" w:rsidRDefault="009F0307" w:rsidP="0063106E">
            <w:pPr>
              <w:pStyle w:val="Tabletext"/>
              <w:keepNext/>
              <w:keepLines/>
            </w:pPr>
            <w:r>
              <w:t xml:space="preserve">Main comparator: Standard of care single-agent chemotherapy (capecitabine, eribulin, gemcitabine or vinorelbine) </w:t>
            </w:r>
          </w:p>
          <w:p w:rsidR="009F0307" w:rsidRDefault="009F0307" w:rsidP="0063106E">
            <w:pPr>
              <w:pStyle w:val="Tabletext"/>
              <w:keepNext/>
              <w:keepLines/>
            </w:pPr>
            <w:r>
              <w:t>Near market comparator: Olaparib</w:t>
            </w:r>
          </w:p>
        </w:tc>
      </w:tr>
      <w:tr w:rsidR="009F0307" w:rsidTr="0047282F">
        <w:trPr>
          <w:tblHeader/>
        </w:trPr>
        <w:tc>
          <w:tcPr>
            <w:tcW w:w="911" w:type="pct"/>
            <w:vAlign w:val="center"/>
          </w:tcPr>
          <w:p w:rsidR="009F0307" w:rsidRDefault="009F0307" w:rsidP="0063106E">
            <w:pPr>
              <w:pStyle w:val="Tabletext"/>
              <w:keepNext/>
              <w:keepLines/>
            </w:pPr>
            <w:r>
              <w:t>Outcomes</w:t>
            </w:r>
          </w:p>
        </w:tc>
        <w:tc>
          <w:tcPr>
            <w:tcW w:w="4089" w:type="pct"/>
            <w:vAlign w:val="center"/>
          </w:tcPr>
          <w:p w:rsidR="009F0307" w:rsidRDefault="009F0307" w:rsidP="0063106E">
            <w:pPr>
              <w:pStyle w:val="Tabletext"/>
              <w:keepNext/>
              <w:keepLines/>
            </w:pPr>
            <w:r>
              <w:t xml:space="preserve">Primary: Progression free survival (PFS), as determined by blinded independent central review (according to </w:t>
            </w:r>
            <w:r w:rsidRPr="00C5078A">
              <w:t>Response Evaluation Criteria in Solid Tumo</w:t>
            </w:r>
            <w:r>
              <w:t>u</w:t>
            </w:r>
            <w:r w:rsidRPr="00C5078A">
              <w:t xml:space="preserve">rs </w:t>
            </w:r>
            <w:r>
              <w:t xml:space="preserve">(RECIST) </w:t>
            </w:r>
            <w:r w:rsidRPr="00C5078A">
              <w:t>version 1.1</w:t>
            </w:r>
            <w:r>
              <w:t>)</w:t>
            </w:r>
          </w:p>
          <w:p w:rsidR="009F0307" w:rsidRDefault="009F0307" w:rsidP="0063106E">
            <w:pPr>
              <w:pStyle w:val="Tabletext"/>
              <w:keepNext/>
              <w:keepLines/>
            </w:pPr>
            <w:r>
              <w:t xml:space="preserve">Secondary outcomes: Overall Survival (OS), objective response rate (ORR), duration of response, </w:t>
            </w:r>
            <w:r w:rsidRPr="00C5078A">
              <w:t xml:space="preserve">Health related quality of life </w:t>
            </w:r>
            <w:r>
              <w:t>(HRQoL) and safety.</w:t>
            </w:r>
          </w:p>
        </w:tc>
      </w:tr>
      <w:tr w:rsidR="009F0307" w:rsidTr="0047282F">
        <w:trPr>
          <w:tblHeader/>
        </w:trPr>
        <w:tc>
          <w:tcPr>
            <w:tcW w:w="911" w:type="pct"/>
            <w:vAlign w:val="center"/>
          </w:tcPr>
          <w:p w:rsidR="009F0307" w:rsidRDefault="009F0307" w:rsidP="0063106E">
            <w:pPr>
              <w:pStyle w:val="Tabletext"/>
              <w:keepNext/>
              <w:keepLines/>
            </w:pPr>
            <w:r>
              <w:t>Clinical claim</w:t>
            </w:r>
          </w:p>
        </w:tc>
        <w:tc>
          <w:tcPr>
            <w:tcW w:w="4089" w:type="pct"/>
            <w:vAlign w:val="center"/>
          </w:tcPr>
          <w:p w:rsidR="009F0307" w:rsidRDefault="009F0307" w:rsidP="0063106E">
            <w:pPr>
              <w:pStyle w:val="Tabletext"/>
              <w:keepNext/>
              <w:keepLines/>
            </w:pPr>
            <w:r>
              <w:t xml:space="preserve">Talazoparib has superior efficacy and different, but non-inferior safety compared to standard of care single-agent chemotherapy. </w:t>
            </w:r>
          </w:p>
          <w:p w:rsidR="009F0307" w:rsidRDefault="009F0307" w:rsidP="0063106E">
            <w:pPr>
              <w:pStyle w:val="Tabletext"/>
              <w:keepNext/>
              <w:keepLines/>
            </w:pPr>
            <w:r>
              <w:t>Talazoparib and olaparib have similar efficacy and safety.</w:t>
            </w:r>
          </w:p>
        </w:tc>
      </w:tr>
    </w:tbl>
    <w:p w:rsidR="009F0307" w:rsidRDefault="009F0307" w:rsidP="00561C55">
      <w:pPr>
        <w:pStyle w:val="TableFooter"/>
        <w:keepLines/>
        <w:widowControl/>
      </w:pPr>
      <w:r>
        <w:t>Source: Table 1.1.1, p5 of the main submission</w:t>
      </w:r>
    </w:p>
    <w:p w:rsidR="009F0307" w:rsidRPr="00882085" w:rsidRDefault="009F0307" w:rsidP="00561C55">
      <w:pPr>
        <w:widowControl/>
      </w:pPr>
    </w:p>
    <w:p w:rsidR="009F0307" w:rsidRDefault="009F0307" w:rsidP="00561C55">
      <w:pPr>
        <w:pStyle w:val="PBACHeading1"/>
        <w:keepNext/>
      </w:pPr>
      <w:bookmarkStart w:id="1" w:name="_Toc19717375"/>
      <w:r w:rsidRPr="00407F2D">
        <w:t>Requested listing</w:t>
      </w:r>
      <w:bookmarkEnd w:id="1"/>
    </w:p>
    <w:p w:rsidR="00F148BA" w:rsidRDefault="00F148BA" w:rsidP="002F54C0"/>
    <w:p w:rsidR="00F148BA" w:rsidRDefault="00F148BA" w:rsidP="00F148BA">
      <w:pPr>
        <w:pStyle w:val="ListParagraph"/>
        <w:widowControl/>
        <w:numPr>
          <w:ilvl w:val="1"/>
          <w:numId w:val="34"/>
        </w:numPr>
      </w:pPr>
      <w:r>
        <w:t xml:space="preserve">Suggestions and additions proposed by the Secretariat to the proposed restrictions are added in italics and suggested deletions are crossed out with strikethrough. </w:t>
      </w:r>
    </w:p>
    <w:tbl>
      <w:tblPr>
        <w:tblW w:w="5000" w:type="pct"/>
        <w:tblLook w:val="0000" w:firstRow="0" w:lastRow="0" w:firstColumn="0" w:lastColumn="0" w:noHBand="0" w:noVBand="0"/>
      </w:tblPr>
      <w:tblGrid>
        <w:gridCol w:w="2411"/>
        <w:gridCol w:w="787"/>
        <w:gridCol w:w="556"/>
        <w:gridCol w:w="832"/>
        <w:gridCol w:w="1666"/>
        <w:gridCol w:w="1527"/>
        <w:gridCol w:w="1248"/>
      </w:tblGrid>
      <w:tr w:rsidR="005A5236" w:rsidRPr="003C5A1F" w:rsidTr="00F5612A">
        <w:trPr>
          <w:cantSplit/>
          <w:trHeight w:val="20"/>
        </w:trPr>
        <w:tc>
          <w:tcPr>
            <w:tcW w:w="1771" w:type="pct"/>
            <w:gridSpan w:val="2"/>
            <w:tcBorders>
              <w:bottom w:val="single" w:sz="4" w:space="0" w:color="auto"/>
            </w:tcBorders>
          </w:tcPr>
          <w:p w:rsidR="005A5236" w:rsidRPr="0063106E" w:rsidRDefault="005A5236" w:rsidP="005A5236">
            <w:pPr>
              <w:keepLines/>
              <w:widowControl/>
              <w:ind w:left="-100"/>
              <w:rPr>
                <w:rFonts w:ascii="Arial Narrow" w:eastAsia="Calibri" w:hAnsi="Arial Narrow"/>
                <w:b/>
                <w:snapToGrid/>
                <w:sz w:val="20"/>
                <w:szCs w:val="20"/>
              </w:rPr>
            </w:pPr>
            <w:r w:rsidRPr="0063106E">
              <w:rPr>
                <w:rFonts w:ascii="Arial Narrow" w:eastAsia="Calibri" w:hAnsi="Arial Narrow"/>
                <w:b/>
                <w:snapToGrid/>
                <w:sz w:val="20"/>
                <w:szCs w:val="20"/>
              </w:rPr>
              <w:lastRenderedPageBreak/>
              <w:t>Name, Restriction,</w:t>
            </w:r>
          </w:p>
          <w:p w:rsidR="005A5236" w:rsidRPr="0063106E" w:rsidRDefault="005A5236" w:rsidP="00F5612A">
            <w:pPr>
              <w:keepLines/>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Manner of administration and form</w:t>
            </w:r>
          </w:p>
        </w:tc>
        <w:tc>
          <w:tcPr>
            <w:tcW w:w="308" w:type="pct"/>
            <w:tcBorders>
              <w:bottom w:val="single" w:sz="4" w:space="0" w:color="auto"/>
            </w:tcBorders>
          </w:tcPr>
          <w:p w:rsidR="005A5236" w:rsidRPr="0063106E" w:rsidRDefault="005A5236" w:rsidP="00F5612A">
            <w:pPr>
              <w:keepLines/>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Max.</w:t>
            </w:r>
          </w:p>
          <w:p w:rsidR="005A5236" w:rsidRPr="0063106E" w:rsidRDefault="005A5236" w:rsidP="00F5612A">
            <w:pPr>
              <w:keepLines/>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Qty</w:t>
            </w:r>
          </w:p>
        </w:tc>
        <w:tc>
          <w:tcPr>
            <w:tcW w:w="461" w:type="pct"/>
            <w:tcBorders>
              <w:bottom w:val="single" w:sz="4" w:space="0" w:color="auto"/>
            </w:tcBorders>
          </w:tcPr>
          <w:p w:rsidR="005A5236" w:rsidRPr="0063106E" w:rsidRDefault="005A5236" w:rsidP="00F5612A">
            <w:pPr>
              <w:keepLines/>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№.of</w:t>
            </w:r>
          </w:p>
          <w:p w:rsidR="005A5236" w:rsidRPr="0063106E" w:rsidRDefault="005A5236" w:rsidP="00F5612A">
            <w:pPr>
              <w:keepLines/>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Rpts</w:t>
            </w:r>
          </w:p>
        </w:tc>
        <w:tc>
          <w:tcPr>
            <w:tcW w:w="923" w:type="pct"/>
            <w:tcBorders>
              <w:bottom w:val="single" w:sz="4" w:space="0" w:color="auto"/>
            </w:tcBorders>
          </w:tcPr>
          <w:p w:rsidR="005A5236" w:rsidRPr="0063106E" w:rsidRDefault="005A5236" w:rsidP="00F5612A">
            <w:pPr>
              <w:keepLines/>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Dispensed Price for Max. Qty</w:t>
            </w:r>
          </w:p>
        </w:tc>
        <w:tc>
          <w:tcPr>
            <w:tcW w:w="1537" w:type="pct"/>
            <w:gridSpan w:val="2"/>
            <w:tcBorders>
              <w:bottom w:val="single" w:sz="4" w:space="0" w:color="auto"/>
            </w:tcBorders>
          </w:tcPr>
          <w:p w:rsidR="005A5236" w:rsidRPr="0063106E" w:rsidRDefault="005A5236" w:rsidP="00F5612A">
            <w:pPr>
              <w:keepLines/>
              <w:widowControl/>
              <w:jc w:val="left"/>
              <w:rPr>
                <w:rFonts w:ascii="Arial Narrow" w:eastAsia="Calibri" w:hAnsi="Arial Narrow"/>
                <w:b/>
                <w:snapToGrid/>
                <w:sz w:val="20"/>
                <w:szCs w:val="20"/>
                <w:lang w:val="fr-FR"/>
              </w:rPr>
            </w:pPr>
            <w:r w:rsidRPr="0063106E">
              <w:rPr>
                <w:rFonts w:ascii="Arial Narrow" w:eastAsia="Calibri" w:hAnsi="Arial Narrow"/>
                <w:b/>
                <w:snapToGrid/>
                <w:sz w:val="20"/>
                <w:szCs w:val="20"/>
              </w:rPr>
              <w:t>Proprietary Name and Manufacturer</w:t>
            </w:r>
          </w:p>
        </w:tc>
      </w:tr>
      <w:tr w:rsidR="005A5236" w:rsidRPr="003C5A1F" w:rsidTr="00F5612A">
        <w:trPr>
          <w:cantSplit/>
          <w:trHeight w:val="20"/>
        </w:trPr>
        <w:tc>
          <w:tcPr>
            <w:tcW w:w="1771" w:type="pct"/>
            <w:gridSpan w:val="2"/>
          </w:tcPr>
          <w:p w:rsidR="005A5236" w:rsidRPr="005A5236" w:rsidRDefault="005A5236" w:rsidP="00F5612A">
            <w:pPr>
              <w:keepLines/>
              <w:widowControl/>
              <w:ind w:left="-108"/>
              <w:rPr>
                <w:rFonts w:ascii="Arial Narrow" w:eastAsia="Calibri" w:hAnsi="Arial Narrow"/>
                <w:snapToGrid/>
                <w:sz w:val="20"/>
                <w:szCs w:val="20"/>
              </w:rPr>
            </w:pPr>
            <w:r w:rsidRPr="005A5236">
              <w:rPr>
                <w:rFonts w:ascii="Arial Narrow" w:eastAsia="Calibri" w:hAnsi="Arial Narrow"/>
                <w:smallCaps/>
                <w:snapToGrid/>
                <w:sz w:val="20"/>
                <w:szCs w:val="20"/>
              </w:rPr>
              <w:t xml:space="preserve">Talazoparib  </w:t>
            </w:r>
          </w:p>
          <w:p w:rsidR="005A5236" w:rsidRPr="005A5236" w:rsidRDefault="005A5236" w:rsidP="00F5612A">
            <w:pPr>
              <w:keepLines/>
              <w:widowControl/>
              <w:ind w:left="-108"/>
              <w:rPr>
                <w:rFonts w:ascii="Arial Narrow" w:eastAsia="Calibri" w:hAnsi="Arial Narrow"/>
                <w:snapToGrid/>
                <w:color w:val="FF0000"/>
                <w:sz w:val="20"/>
                <w:szCs w:val="20"/>
              </w:rPr>
            </w:pPr>
            <w:r w:rsidRPr="005A5236">
              <w:rPr>
                <w:rFonts w:ascii="Arial Narrow" w:eastAsia="Calibri" w:hAnsi="Arial Narrow" w:cs="Calibri"/>
                <w:snapToGrid/>
                <w:sz w:val="20"/>
                <w:szCs w:val="20"/>
              </w:rPr>
              <w:t>1 mg capsule, 30</w:t>
            </w:r>
            <w:r w:rsidRPr="005A5236">
              <w:rPr>
                <w:rFonts w:ascii="Arial Narrow" w:eastAsia="Calibri" w:hAnsi="Arial Narrow"/>
                <w:snapToGrid/>
                <w:sz w:val="20"/>
                <w:szCs w:val="20"/>
              </w:rPr>
              <w:t xml:space="preserve"> </w:t>
            </w:r>
          </w:p>
        </w:tc>
        <w:tc>
          <w:tcPr>
            <w:tcW w:w="308" w:type="pct"/>
          </w:tcPr>
          <w:p w:rsidR="005A5236" w:rsidRPr="005A5236" w:rsidRDefault="005A5236" w:rsidP="00F5612A">
            <w:pPr>
              <w:keepLines/>
              <w:widowControl/>
              <w:ind w:left="-108"/>
              <w:rPr>
                <w:rFonts w:ascii="Arial Narrow" w:eastAsia="Calibri" w:hAnsi="Arial Narrow"/>
                <w:snapToGrid/>
                <w:sz w:val="20"/>
                <w:szCs w:val="20"/>
              </w:rPr>
            </w:pPr>
          </w:p>
          <w:p w:rsidR="005A5236" w:rsidRPr="005A5236" w:rsidRDefault="005A5236" w:rsidP="00F5612A">
            <w:pPr>
              <w:keepLines/>
              <w:widowControl/>
              <w:ind w:left="-108"/>
              <w:rPr>
                <w:rFonts w:ascii="Arial Narrow" w:eastAsia="Calibri" w:hAnsi="Arial Narrow"/>
                <w:snapToGrid/>
                <w:sz w:val="20"/>
                <w:szCs w:val="20"/>
              </w:rPr>
            </w:pPr>
            <w:r w:rsidRPr="005A5236">
              <w:rPr>
                <w:rFonts w:ascii="Arial Narrow" w:eastAsia="Calibri" w:hAnsi="Arial Narrow"/>
                <w:snapToGrid/>
                <w:sz w:val="20"/>
                <w:szCs w:val="20"/>
              </w:rPr>
              <w:t>30</w:t>
            </w:r>
          </w:p>
        </w:tc>
        <w:tc>
          <w:tcPr>
            <w:tcW w:w="461" w:type="pct"/>
          </w:tcPr>
          <w:p w:rsidR="005A5236" w:rsidRPr="005A5236" w:rsidRDefault="005A5236" w:rsidP="00F5612A">
            <w:pPr>
              <w:keepLines/>
              <w:widowControl/>
              <w:ind w:left="-108"/>
              <w:rPr>
                <w:rFonts w:ascii="Arial Narrow" w:eastAsia="Calibri" w:hAnsi="Arial Narrow"/>
                <w:snapToGrid/>
                <w:sz w:val="20"/>
                <w:szCs w:val="20"/>
              </w:rPr>
            </w:pPr>
          </w:p>
          <w:p w:rsidR="005A5236" w:rsidRPr="005A5236" w:rsidRDefault="005A5236" w:rsidP="00F5612A">
            <w:pPr>
              <w:keepLines/>
              <w:widowControl/>
              <w:ind w:left="-108"/>
              <w:rPr>
                <w:rFonts w:ascii="Arial Narrow" w:eastAsia="Calibri" w:hAnsi="Arial Narrow"/>
                <w:snapToGrid/>
                <w:sz w:val="20"/>
                <w:szCs w:val="20"/>
              </w:rPr>
            </w:pPr>
            <w:r w:rsidRPr="005A5236">
              <w:rPr>
                <w:rFonts w:ascii="Arial Narrow" w:eastAsia="Calibri" w:hAnsi="Arial Narrow"/>
                <w:snapToGrid/>
                <w:sz w:val="20"/>
                <w:szCs w:val="20"/>
              </w:rPr>
              <w:t>5</w:t>
            </w:r>
          </w:p>
        </w:tc>
        <w:tc>
          <w:tcPr>
            <w:tcW w:w="923" w:type="pct"/>
          </w:tcPr>
          <w:p w:rsidR="005A5236" w:rsidRPr="005A5236" w:rsidRDefault="005A5236" w:rsidP="00F5612A">
            <w:pPr>
              <w:keepLines/>
              <w:widowControl/>
              <w:ind w:left="-108"/>
              <w:rPr>
                <w:rFonts w:ascii="Arial Narrow" w:eastAsia="Calibri" w:hAnsi="Arial Narrow"/>
                <w:snapToGrid/>
                <w:sz w:val="20"/>
                <w:szCs w:val="20"/>
              </w:rPr>
            </w:pPr>
            <w:r w:rsidRPr="005A5236">
              <w:rPr>
                <w:rFonts w:ascii="Arial Narrow" w:eastAsia="Calibri" w:hAnsi="Arial Narrow"/>
                <w:snapToGrid/>
                <w:sz w:val="20"/>
                <w:szCs w:val="20"/>
              </w:rPr>
              <w:t>$</w:t>
            </w:r>
            <w:r w:rsidR="0099600C" w:rsidRPr="0099600C">
              <w:rPr>
                <w:rFonts w:ascii="Arial Narrow" w:eastAsia="Calibri" w:hAnsi="Arial Narrow"/>
                <w:snapToGrid/>
                <w:sz w:val="20"/>
                <w:szCs w:val="20"/>
              </w:rPr>
              <w:t xml:space="preserve">7,459.34 </w:t>
            </w:r>
            <w:r w:rsidRPr="005A5236">
              <w:rPr>
                <w:rFonts w:ascii="Arial Narrow" w:eastAsia="Calibri" w:hAnsi="Arial Narrow"/>
                <w:snapToGrid/>
                <w:sz w:val="20"/>
                <w:szCs w:val="20"/>
              </w:rPr>
              <w:t>(Public)</w:t>
            </w:r>
          </w:p>
          <w:p w:rsidR="005A5236" w:rsidRPr="005A5236" w:rsidRDefault="005A5236" w:rsidP="00F5612A">
            <w:pPr>
              <w:keepLines/>
              <w:widowControl/>
              <w:ind w:left="-108"/>
              <w:rPr>
                <w:rFonts w:ascii="Arial Narrow" w:eastAsia="Calibri" w:hAnsi="Arial Narrow"/>
                <w:snapToGrid/>
                <w:sz w:val="20"/>
                <w:szCs w:val="20"/>
              </w:rPr>
            </w:pPr>
            <w:r w:rsidRPr="005A5236">
              <w:rPr>
                <w:rFonts w:ascii="Arial Narrow" w:eastAsia="Calibri" w:hAnsi="Arial Narrow"/>
                <w:snapToGrid/>
                <w:sz w:val="20"/>
                <w:szCs w:val="20"/>
              </w:rPr>
              <w:t>$</w:t>
            </w:r>
            <w:r w:rsidR="00EB7243">
              <w:rPr>
                <w:rFonts w:ascii="Arial Narrow" w:eastAsia="Calibri" w:hAnsi="Arial Narrow"/>
                <w:noProof/>
                <w:snapToGrid/>
                <w:color w:val="000000"/>
                <w:sz w:val="20"/>
                <w:szCs w:val="20"/>
                <w:highlight w:val="black"/>
              </w:rPr>
              <w:t>''''''''''''''''''''</w:t>
            </w:r>
            <w:r w:rsidR="0099600C" w:rsidRPr="0099600C">
              <w:rPr>
                <w:rFonts w:ascii="Arial Narrow" w:eastAsia="Calibri" w:hAnsi="Arial Narrow"/>
                <w:snapToGrid/>
                <w:sz w:val="20"/>
                <w:szCs w:val="20"/>
              </w:rPr>
              <w:t xml:space="preserve"> </w:t>
            </w:r>
            <w:r w:rsidRPr="005A5236">
              <w:rPr>
                <w:rFonts w:ascii="Arial Narrow" w:eastAsia="Calibri" w:hAnsi="Arial Narrow"/>
                <w:snapToGrid/>
                <w:sz w:val="20"/>
                <w:szCs w:val="20"/>
              </w:rPr>
              <w:t>(Effective)</w:t>
            </w:r>
          </w:p>
        </w:tc>
        <w:tc>
          <w:tcPr>
            <w:tcW w:w="846" w:type="pct"/>
          </w:tcPr>
          <w:p w:rsidR="005A5236" w:rsidRPr="005A5236" w:rsidRDefault="005A5236" w:rsidP="00F5612A">
            <w:pPr>
              <w:keepLines/>
              <w:widowControl/>
              <w:rPr>
                <w:rFonts w:ascii="Arial Narrow" w:eastAsia="Calibri" w:hAnsi="Arial Narrow"/>
                <w:snapToGrid/>
                <w:sz w:val="20"/>
                <w:szCs w:val="20"/>
              </w:rPr>
            </w:pPr>
            <w:r w:rsidRPr="005A5236">
              <w:rPr>
                <w:rFonts w:ascii="Arial Narrow" w:eastAsia="Calibri" w:hAnsi="Arial Narrow"/>
                <w:snapToGrid/>
                <w:sz w:val="20"/>
                <w:szCs w:val="20"/>
              </w:rPr>
              <w:t>Talzenna</w:t>
            </w:r>
          </w:p>
        </w:tc>
        <w:tc>
          <w:tcPr>
            <w:tcW w:w="691" w:type="pct"/>
          </w:tcPr>
          <w:p w:rsidR="005A5236" w:rsidRPr="005A5236" w:rsidRDefault="005A5236" w:rsidP="00F5612A">
            <w:pPr>
              <w:keepLines/>
              <w:widowControl/>
              <w:rPr>
                <w:rFonts w:ascii="Arial Narrow" w:eastAsia="Calibri" w:hAnsi="Arial Narrow"/>
                <w:snapToGrid/>
                <w:sz w:val="20"/>
                <w:szCs w:val="20"/>
              </w:rPr>
            </w:pPr>
            <w:r w:rsidRPr="005A5236">
              <w:rPr>
                <w:rFonts w:ascii="Arial Narrow" w:eastAsia="Calibri" w:hAnsi="Arial Narrow"/>
                <w:snapToGrid/>
                <w:sz w:val="20"/>
                <w:szCs w:val="20"/>
              </w:rPr>
              <w:t>Pfizer Australia Pty Ltd</w:t>
            </w:r>
          </w:p>
        </w:tc>
      </w:tr>
      <w:tr w:rsidR="005A5236" w:rsidRPr="003C5A1F"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5A5236" w:rsidRPr="005A5236" w:rsidRDefault="005A5236" w:rsidP="00F5612A">
            <w:pPr>
              <w:widowControl/>
              <w:rPr>
                <w:rFonts w:ascii="Arial Narrow" w:eastAsia="Calibri" w:hAnsi="Arial Narrow"/>
                <w:b/>
                <w:snapToGrid/>
                <w:sz w:val="20"/>
                <w:szCs w:val="20"/>
              </w:rPr>
            </w:pPr>
            <w:r w:rsidRPr="005A5236">
              <w:rPr>
                <w:rFonts w:ascii="Arial Narrow" w:eastAsia="Calibri" w:hAnsi="Arial Narrow"/>
                <w:b/>
                <w:snapToGrid/>
                <w:sz w:val="20"/>
                <w:szCs w:val="20"/>
              </w:rPr>
              <w:t>Category / Program:</w:t>
            </w:r>
          </w:p>
        </w:tc>
        <w:tc>
          <w:tcPr>
            <w:tcW w:w="3665" w:type="pct"/>
            <w:gridSpan w:val="6"/>
            <w:tcBorders>
              <w:top w:val="single" w:sz="4" w:space="0" w:color="auto"/>
              <w:left w:val="single" w:sz="4" w:space="0" w:color="auto"/>
              <w:bottom w:val="single" w:sz="4" w:space="0" w:color="auto"/>
              <w:right w:val="single" w:sz="4" w:space="0" w:color="auto"/>
            </w:tcBorders>
          </w:tcPr>
          <w:p w:rsidR="005A5236" w:rsidRPr="005A5236" w:rsidRDefault="005A5236" w:rsidP="00F5612A">
            <w:pPr>
              <w:widowControl/>
              <w:rPr>
                <w:rFonts w:ascii="Arial Narrow" w:eastAsia="Calibri" w:hAnsi="Arial Narrow"/>
                <w:snapToGrid/>
                <w:sz w:val="20"/>
                <w:szCs w:val="20"/>
              </w:rPr>
            </w:pPr>
            <w:r w:rsidRPr="005A5236">
              <w:rPr>
                <w:rFonts w:ascii="Arial Narrow" w:eastAsia="Calibri" w:hAnsi="Arial Narrow"/>
                <w:snapToGrid/>
                <w:sz w:val="20"/>
                <w:szCs w:val="20"/>
              </w:rPr>
              <w:t>GENERAL – General Schedule (Code GE)</w:t>
            </w:r>
          </w:p>
        </w:tc>
      </w:tr>
      <w:tr w:rsidR="005A5236" w:rsidRPr="003C5A1F"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5A5236" w:rsidRPr="005A5236" w:rsidRDefault="005A5236" w:rsidP="00F5612A">
            <w:pPr>
              <w:widowControl/>
              <w:rPr>
                <w:rFonts w:ascii="Arial Narrow" w:eastAsia="Calibri" w:hAnsi="Arial Narrow"/>
                <w:b/>
                <w:snapToGrid/>
                <w:sz w:val="20"/>
                <w:szCs w:val="20"/>
              </w:rPr>
            </w:pPr>
            <w:r w:rsidRPr="005A5236">
              <w:rPr>
                <w:rFonts w:ascii="Arial Narrow" w:eastAsia="Calibri" w:hAnsi="Arial Narrow"/>
                <w:b/>
                <w:snapToGrid/>
                <w:sz w:val="20"/>
                <w:szCs w:val="20"/>
              </w:rPr>
              <w:t>Prescriber type:</w:t>
            </w:r>
          </w:p>
        </w:tc>
        <w:tc>
          <w:tcPr>
            <w:tcW w:w="3665" w:type="pct"/>
            <w:gridSpan w:val="6"/>
            <w:tcBorders>
              <w:top w:val="single" w:sz="4" w:space="0" w:color="auto"/>
              <w:left w:val="single" w:sz="4" w:space="0" w:color="auto"/>
              <w:bottom w:val="single" w:sz="4" w:space="0" w:color="auto"/>
              <w:right w:val="single" w:sz="4" w:space="0" w:color="auto"/>
            </w:tcBorders>
          </w:tcPr>
          <w:p w:rsidR="005A5236" w:rsidRPr="005A5236" w:rsidRDefault="005A5236" w:rsidP="0063106E">
            <w:pPr>
              <w:widowControl/>
              <w:rPr>
                <w:rFonts w:ascii="Arial Narrow" w:eastAsia="Calibri" w:hAnsi="Arial Narrow"/>
                <w:snapToGrid/>
                <w:sz w:val="20"/>
                <w:szCs w:val="20"/>
              </w:rPr>
            </w:pPr>
            <w:r w:rsidRPr="005A5236">
              <w:rPr>
                <w:rFonts w:ascii="Arial Narrow" w:eastAsia="Calibri" w:hAnsi="Arial Narrow"/>
                <w:snapToGrid/>
                <w:sz w:val="20"/>
                <w:szCs w:val="20"/>
              </w:rPr>
              <w:fldChar w:fldCharType="begin">
                <w:ffData>
                  <w:name w:val="Check1"/>
                  <w:enabled/>
                  <w:calcOnExit w:val="0"/>
                  <w:checkBox>
                    <w:sizeAuto/>
                    <w:default w:val="0"/>
                  </w:checkBox>
                </w:ffData>
              </w:fldChar>
            </w:r>
            <w:r w:rsidRPr="005A5236">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5A5236">
              <w:rPr>
                <w:rFonts w:ascii="Arial Narrow" w:eastAsia="Calibri" w:hAnsi="Arial Narrow"/>
                <w:snapToGrid/>
                <w:sz w:val="20"/>
                <w:szCs w:val="20"/>
              </w:rPr>
              <w:fldChar w:fldCharType="end"/>
            </w:r>
            <w:r w:rsidRPr="005A5236">
              <w:rPr>
                <w:rFonts w:ascii="Arial Narrow" w:eastAsia="Calibri" w:hAnsi="Arial Narrow"/>
                <w:snapToGrid/>
                <w:sz w:val="20"/>
                <w:szCs w:val="20"/>
              </w:rPr>
              <w:t xml:space="preserve">Dental  </w:t>
            </w:r>
            <w:r w:rsidRPr="005A5236">
              <w:rPr>
                <w:rFonts w:ascii="Arial Narrow" w:eastAsia="Calibri" w:hAnsi="Arial Narrow"/>
                <w:snapToGrid/>
                <w:sz w:val="20"/>
                <w:szCs w:val="20"/>
              </w:rPr>
              <w:fldChar w:fldCharType="begin">
                <w:ffData>
                  <w:name w:val=""/>
                  <w:enabled/>
                  <w:calcOnExit w:val="0"/>
                  <w:checkBox>
                    <w:sizeAuto/>
                    <w:default w:val="1"/>
                  </w:checkBox>
                </w:ffData>
              </w:fldChar>
            </w:r>
            <w:r w:rsidRPr="005A5236">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5A5236">
              <w:rPr>
                <w:rFonts w:ascii="Arial Narrow" w:eastAsia="Calibri" w:hAnsi="Arial Narrow"/>
                <w:snapToGrid/>
                <w:sz w:val="20"/>
                <w:szCs w:val="20"/>
              </w:rPr>
              <w:fldChar w:fldCharType="end"/>
            </w:r>
            <w:r w:rsidRPr="005A5236">
              <w:rPr>
                <w:rFonts w:ascii="Arial Narrow" w:eastAsia="Calibri" w:hAnsi="Arial Narrow"/>
                <w:snapToGrid/>
                <w:sz w:val="20"/>
                <w:szCs w:val="20"/>
              </w:rPr>
              <w:t xml:space="preserve">Medical Practitioners  </w:t>
            </w:r>
            <w:r w:rsidRPr="005A5236">
              <w:rPr>
                <w:rFonts w:ascii="Arial Narrow" w:eastAsia="Calibri" w:hAnsi="Arial Narrow"/>
                <w:snapToGrid/>
                <w:sz w:val="20"/>
                <w:szCs w:val="20"/>
              </w:rPr>
              <w:fldChar w:fldCharType="begin">
                <w:ffData>
                  <w:name w:val="Check3"/>
                  <w:enabled/>
                  <w:calcOnExit w:val="0"/>
                  <w:checkBox>
                    <w:sizeAuto/>
                    <w:default w:val="0"/>
                  </w:checkBox>
                </w:ffData>
              </w:fldChar>
            </w:r>
            <w:r w:rsidRPr="005A5236">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5A5236">
              <w:rPr>
                <w:rFonts w:ascii="Arial Narrow" w:eastAsia="Calibri" w:hAnsi="Arial Narrow"/>
                <w:snapToGrid/>
                <w:sz w:val="20"/>
                <w:szCs w:val="20"/>
              </w:rPr>
              <w:fldChar w:fldCharType="end"/>
            </w:r>
            <w:r w:rsidRPr="005A5236">
              <w:rPr>
                <w:rFonts w:ascii="Arial Narrow" w:eastAsia="Calibri" w:hAnsi="Arial Narrow"/>
                <w:snapToGrid/>
                <w:sz w:val="20"/>
                <w:szCs w:val="20"/>
              </w:rPr>
              <w:t xml:space="preserve">Nurse practitioners  </w:t>
            </w:r>
            <w:r w:rsidRPr="005A5236">
              <w:rPr>
                <w:rFonts w:ascii="Arial Narrow" w:eastAsia="Calibri" w:hAnsi="Arial Narrow"/>
                <w:snapToGrid/>
                <w:sz w:val="20"/>
                <w:szCs w:val="20"/>
              </w:rPr>
              <w:fldChar w:fldCharType="begin">
                <w:ffData>
                  <w:name w:val=""/>
                  <w:enabled/>
                  <w:calcOnExit w:val="0"/>
                  <w:checkBox>
                    <w:sizeAuto/>
                    <w:default w:val="0"/>
                  </w:checkBox>
                </w:ffData>
              </w:fldChar>
            </w:r>
            <w:r w:rsidRPr="005A5236">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5A5236">
              <w:rPr>
                <w:rFonts w:ascii="Arial Narrow" w:eastAsia="Calibri" w:hAnsi="Arial Narrow"/>
                <w:snapToGrid/>
                <w:sz w:val="20"/>
                <w:szCs w:val="20"/>
              </w:rPr>
              <w:fldChar w:fldCharType="end"/>
            </w:r>
            <w:r w:rsidRPr="005A5236">
              <w:rPr>
                <w:rFonts w:ascii="Arial Narrow" w:eastAsia="Calibri" w:hAnsi="Arial Narrow"/>
                <w:snapToGrid/>
                <w:sz w:val="20"/>
                <w:szCs w:val="20"/>
              </w:rPr>
              <w:t>Optometrists</w:t>
            </w:r>
            <w:r w:rsidR="0063106E">
              <w:rPr>
                <w:rFonts w:ascii="Arial Narrow" w:eastAsia="Calibri" w:hAnsi="Arial Narrow"/>
                <w:snapToGrid/>
                <w:sz w:val="20"/>
                <w:szCs w:val="20"/>
              </w:rPr>
              <w:t xml:space="preserve">  </w:t>
            </w:r>
            <w:r w:rsidRPr="005A5236">
              <w:rPr>
                <w:rFonts w:ascii="Arial Narrow" w:eastAsia="Calibri" w:hAnsi="Arial Narrow"/>
                <w:snapToGrid/>
                <w:sz w:val="20"/>
                <w:szCs w:val="20"/>
              </w:rPr>
              <w:fldChar w:fldCharType="begin">
                <w:ffData>
                  <w:name w:val="Check5"/>
                  <w:enabled/>
                  <w:calcOnExit w:val="0"/>
                  <w:checkBox>
                    <w:sizeAuto/>
                    <w:default w:val="0"/>
                  </w:checkBox>
                </w:ffData>
              </w:fldChar>
            </w:r>
            <w:r w:rsidRPr="005A5236">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5A5236">
              <w:rPr>
                <w:rFonts w:ascii="Arial Narrow" w:eastAsia="Calibri" w:hAnsi="Arial Narrow"/>
                <w:snapToGrid/>
                <w:sz w:val="20"/>
                <w:szCs w:val="20"/>
              </w:rPr>
              <w:fldChar w:fldCharType="end"/>
            </w:r>
            <w:r w:rsidRPr="005A5236">
              <w:rPr>
                <w:rFonts w:ascii="Arial Narrow" w:eastAsia="Calibri" w:hAnsi="Arial Narrow"/>
                <w:snapToGrid/>
                <w:sz w:val="20"/>
                <w:szCs w:val="20"/>
              </w:rPr>
              <w:t>Midwives</w:t>
            </w:r>
          </w:p>
        </w:tc>
      </w:tr>
      <w:tr w:rsidR="005A5236" w:rsidRPr="003C5A1F"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5A5236" w:rsidRPr="005A5236" w:rsidRDefault="005A5236" w:rsidP="00F5612A">
            <w:pPr>
              <w:widowControl/>
              <w:rPr>
                <w:rFonts w:ascii="Arial Narrow" w:eastAsia="Calibri" w:hAnsi="Arial Narrow"/>
                <w:b/>
                <w:snapToGrid/>
                <w:sz w:val="20"/>
                <w:szCs w:val="20"/>
              </w:rPr>
            </w:pPr>
            <w:r w:rsidRPr="005A5236">
              <w:rPr>
                <w:rFonts w:ascii="Arial Narrow" w:eastAsia="Calibri" w:hAnsi="Arial Narrow"/>
                <w:b/>
                <w:snapToGrid/>
                <w:sz w:val="20"/>
                <w:szCs w:val="20"/>
              </w:rPr>
              <w:t>Severity:</w:t>
            </w:r>
          </w:p>
        </w:tc>
        <w:tc>
          <w:tcPr>
            <w:tcW w:w="3665" w:type="pct"/>
            <w:gridSpan w:val="6"/>
            <w:tcBorders>
              <w:top w:val="single" w:sz="4" w:space="0" w:color="auto"/>
              <w:left w:val="single" w:sz="4" w:space="0" w:color="auto"/>
              <w:bottom w:val="single" w:sz="4" w:space="0" w:color="auto"/>
              <w:right w:val="single" w:sz="4" w:space="0" w:color="auto"/>
            </w:tcBorders>
          </w:tcPr>
          <w:p w:rsidR="005A5236" w:rsidRPr="005A5236" w:rsidRDefault="005A5236" w:rsidP="00F5612A">
            <w:pPr>
              <w:widowControl/>
              <w:rPr>
                <w:rFonts w:ascii="Arial Narrow" w:eastAsia="Calibri" w:hAnsi="Arial Narrow"/>
                <w:snapToGrid/>
                <w:sz w:val="20"/>
                <w:szCs w:val="20"/>
              </w:rPr>
            </w:pPr>
            <w:r w:rsidRPr="005A5236">
              <w:rPr>
                <w:rFonts w:ascii="Arial Narrow" w:eastAsia="Calibri" w:hAnsi="Arial Narrow"/>
                <w:snapToGrid/>
                <w:sz w:val="20"/>
                <w:szCs w:val="20"/>
              </w:rPr>
              <w:t>Locally advanced or metastatic</w:t>
            </w:r>
          </w:p>
        </w:tc>
      </w:tr>
      <w:tr w:rsidR="005A5236" w:rsidRPr="003C5A1F"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5A5236" w:rsidRPr="005A5236" w:rsidRDefault="005A5236" w:rsidP="00F5612A">
            <w:pPr>
              <w:widowControl/>
              <w:rPr>
                <w:rFonts w:ascii="Arial Narrow" w:eastAsia="Calibri" w:hAnsi="Arial Narrow"/>
                <w:b/>
                <w:snapToGrid/>
                <w:sz w:val="20"/>
                <w:szCs w:val="20"/>
              </w:rPr>
            </w:pPr>
            <w:r w:rsidRPr="005A5236">
              <w:rPr>
                <w:rFonts w:ascii="Arial Narrow" w:eastAsia="Calibri" w:hAnsi="Arial Narrow"/>
                <w:b/>
                <w:snapToGrid/>
                <w:sz w:val="20"/>
                <w:szCs w:val="20"/>
              </w:rPr>
              <w:t>Condition:</w:t>
            </w:r>
          </w:p>
        </w:tc>
        <w:tc>
          <w:tcPr>
            <w:tcW w:w="3665" w:type="pct"/>
            <w:gridSpan w:val="6"/>
            <w:tcBorders>
              <w:top w:val="single" w:sz="4" w:space="0" w:color="auto"/>
              <w:left w:val="single" w:sz="4" w:space="0" w:color="auto"/>
              <w:bottom w:val="single" w:sz="4" w:space="0" w:color="auto"/>
              <w:right w:val="single" w:sz="4" w:space="0" w:color="auto"/>
            </w:tcBorders>
          </w:tcPr>
          <w:p w:rsidR="005A5236" w:rsidRPr="005A5236" w:rsidRDefault="005A5236" w:rsidP="00F5612A">
            <w:pPr>
              <w:widowControl/>
              <w:rPr>
                <w:rFonts w:ascii="Arial Narrow" w:eastAsia="Calibri" w:hAnsi="Arial Narrow"/>
                <w:snapToGrid/>
                <w:sz w:val="20"/>
                <w:szCs w:val="20"/>
              </w:rPr>
            </w:pPr>
            <w:r w:rsidRPr="005A5236">
              <w:rPr>
                <w:rFonts w:ascii="Arial Narrow" w:eastAsia="Calibri" w:hAnsi="Arial Narrow"/>
                <w:snapToGrid/>
                <w:sz w:val="20"/>
                <w:szCs w:val="20"/>
              </w:rPr>
              <w:t>Breast cancer</w:t>
            </w:r>
          </w:p>
        </w:tc>
      </w:tr>
      <w:tr w:rsidR="005A5236" w:rsidRPr="003C5A1F"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5A5236" w:rsidRPr="005A5236" w:rsidRDefault="005A5236" w:rsidP="00F5612A">
            <w:pPr>
              <w:widowControl/>
              <w:rPr>
                <w:rFonts w:ascii="Arial Narrow" w:eastAsia="Calibri" w:hAnsi="Arial Narrow"/>
                <w:i/>
                <w:snapToGrid/>
                <w:sz w:val="20"/>
                <w:szCs w:val="20"/>
              </w:rPr>
            </w:pPr>
            <w:r w:rsidRPr="005A5236">
              <w:rPr>
                <w:rFonts w:ascii="Arial Narrow" w:eastAsia="Calibri" w:hAnsi="Arial Narrow"/>
                <w:b/>
                <w:snapToGrid/>
                <w:sz w:val="20"/>
                <w:szCs w:val="20"/>
              </w:rPr>
              <w:t>PBS Indication:</w:t>
            </w:r>
          </w:p>
        </w:tc>
        <w:tc>
          <w:tcPr>
            <w:tcW w:w="3665" w:type="pct"/>
            <w:gridSpan w:val="6"/>
            <w:tcBorders>
              <w:top w:val="single" w:sz="4" w:space="0" w:color="auto"/>
              <w:left w:val="single" w:sz="4" w:space="0" w:color="auto"/>
              <w:bottom w:val="single" w:sz="4" w:space="0" w:color="auto"/>
              <w:right w:val="single" w:sz="4" w:space="0" w:color="auto"/>
            </w:tcBorders>
          </w:tcPr>
          <w:p w:rsidR="005A5236" w:rsidRPr="005A5236" w:rsidRDefault="005A5236" w:rsidP="00F5612A">
            <w:pPr>
              <w:widowControl/>
              <w:rPr>
                <w:rFonts w:ascii="Arial Narrow" w:eastAsia="Calibri" w:hAnsi="Arial Narrow"/>
                <w:snapToGrid/>
                <w:sz w:val="20"/>
                <w:szCs w:val="20"/>
              </w:rPr>
            </w:pPr>
            <w:r w:rsidRPr="005A5236">
              <w:rPr>
                <w:rFonts w:ascii="Arial Narrow" w:eastAsia="Calibri" w:hAnsi="Arial Narrow"/>
                <w:snapToGrid/>
                <w:sz w:val="20"/>
                <w:szCs w:val="20"/>
              </w:rPr>
              <w:t>Locally advanced or metastatic germline BRCA HER2-negative breast cancer</w:t>
            </w:r>
          </w:p>
        </w:tc>
      </w:tr>
      <w:tr w:rsidR="005A5236" w:rsidRPr="003C5A1F"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5A5236" w:rsidRPr="005A5236" w:rsidRDefault="005A5236" w:rsidP="00F5612A">
            <w:pPr>
              <w:widowControl/>
              <w:rPr>
                <w:rFonts w:ascii="Arial Narrow" w:eastAsia="Calibri" w:hAnsi="Arial Narrow"/>
                <w:b/>
                <w:snapToGrid/>
                <w:sz w:val="20"/>
                <w:szCs w:val="20"/>
              </w:rPr>
            </w:pPr>
            <w:r w:rsidRPr="005A5236">
              <w:rPr>
                <w:rFonts w:ascii="Arial Narrow" w:eastAsia="Calibri" w:hAnsi="Arial Narrow"/>
                <w:b/>
                <w:snapToGrid/>
                <w:sz w:val="20"/>
                <w:szCs w:val="20"/>
              </w:rPr>
              <w:t>Treatment phase:</w:t>
            </w:r>
          </w:p>
        </w:tc>
        <w:tc>
          <w:tcPr>
            <w:tcW w:w="3665" w:type="pct"/>
            <w:gridSpan w:val="6"/>
            <w:tcBorders>
              <w:top w:val="single" w:sz="4" w:space="0" w:color="auto"/>
              <w:left w:val="single" w:sz="4" w:space="0" w:color="auto"/>
              <w:bottom w:val="single" w:sz="4" w:space="0" w:color="auto"/>
              <w:right w:val="single" w:sz="4" w:space="0" w:color="auto"/>
            </w:tcBorders>
          </w:tcPr>
          <w:p w:rsidR="005A5236" w:rsidRPr="005A5236" w:rsidRDefault="005A5236" w:rsidP="00F5612A">
            <w:pPr>
              <w:widowControl/>
              <w:rPr>
                <w:rFonts w:ascii="Arial Narrow" w:eastAsia="Calibri" w:hAnsi="Arial Narrow"/>
                <w:snapToGrid/>
                <w:sz w:val="20"/>
                <w:szCs w:val="20"/>
              </w:rPr>
            </w:pPr>
            <w:r w:rsidRPr="005A5236">
              <w:rPr>
                <w:rFonts w:ascii="Arial Narrow" w:eastAsia="Calibri" w:hAnsi="Arial Narrow"/>
                <w:snapToGrid/>
                <w:sz w:val="20"/>
                <w:szCs w:val="20"/>
              </w:rPr>
              <w:t xml:space="preserve">Initial treatment </w:t>
            </w:r>
          </w:p>
        </w:tc>
      </w:tr>
      <w:tr w:rsidR="005A5236" w:rsidRPr="003C5A1F"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5A5236" w:rsidRPr="005A5236" w:rsidRDefault="005A5236" w:rsidP="00F5612A">
            <w:pPr>
              <w:widowControl/>
              <w:rPr>
                <w:rFonts w:ascii="Arial Narrow" w:eastAsia="Calibri" w:hAnsi="Arial Narrow"/>
                <w:b/>
                <w:snapToGrid/>
                <w:sz w:val="20"/>
                <w:szCs w:val="20"/>
              </w:rPr>
            </w:pPr>
            <w:r w:rsidRPr="005A5236">
              <w:rPr>
                <w:rFonts w:ascii="Arial Narrow" w:eastAsia="Calibri" w:hAnsi="Arial Narrow"/>
                <w:b/>
                <w:snapToGrid/>
                <w:sz w:val="20"/>
                <w:szCs w:val="20"/>
              </w:rPr>
              <w:t>Restriction Level / Method:</w:t>
            </w:r>
          </w:p>
          <w:p w:rsidR="005A5236" w:rsidRPr="005A5236" w:rsidRDefault="005A5236" w:rsidP="00F5612A">
            <w:pPr>
              <w:widowControl/>
              <w:rPr>
                <w:rFonts w:ascii="Arial Narrow" w:eastAsia="Calibri" w:hAnsi="Arial Narrow"/>
                <w:i/>
                <w:snapToGrid/>
                <w:sz w:val="20"/>
                <w:szCs w:val="20"/>
              </w:rPr>
            </w:pPr>
          </w:p>
          <w:p w:rsidR="005A5236" w:rsidRPr="005A5236" w:rsidRDefault="005A5236" w:rsidP="00F5612A">
            <w:pPr>
              <w:widowControl/>
              <w:rPr>
                <w:rFonts w:ascii="Arial Narrow" w:eastAsia="Calibri" w:hAnsi="Arial Narrow"/>
                <w:i/>
                <w:snapToGrid/>
                <w:sz w:val="20"/>
                <w:szCs w:val="20"/>
              </w:rPr>
            </w:pPr>
          </w:p>
          <w:p w:rsidR="005A5236" w:rsidRPr="005A5236" w:rsidRDefault="005A5236" w:rsidP="00F5612A">
            <w:pPr>
              <w:widowControl/>
              <w:rPr>
                <w:rFonts w:ascii="Arial Narrow" w:eastAsia="Calibri" w:hAnsi="Arial Narrow"/>
                <w:i/>
                <w:snapToGrid/>
                <w:sz w:val="20"/>
                <w:szCs w:val="20"/>
              </w:rPr>
            </w:pPr>
          </w:p>
        </w:tc>
        <w:tc>
          <w:tcPr>
            <w:tcW w:w="3665" w:type="pct"/>
            <w:gridSpan w:val="6"/>
            <w:tcBorders>
              <w:top w:val="single" w:sz="4" w:space="0" w:color="auto"/>
              <w:left w:val="single" w:sz="4" w:space="0" w:color="auto"/>
              <w:bottom w:val="single" w:sz="4" w:space="0" w:color="auto"/>
              <w:right w:val="single" w:sz="4" w:space="0" w:color="auto"/>
            </w:tcBorders>
          </w:tcPr>
          <w:p w:rsidR="005A5236" w:rsidRPr="005A5236" w:rsidRDefault="005A5236" w:rsidP="00F5612A">
            <w:pPr>
              <w:widowControl/>
              <w:rPr>
                <w:rFonts w:ascii="Arial Narrow" w:eastAsia="Calibri" w:hAnsi="Arial Narrow"/>
                <w:snapToGrid/>
                <w:sz w:val="20"/>
                <w:szCs w:val="20"/>
              </w:rPr>
            </w:pPr>
            <w:r w:rsidRPr="005A5236">
              <w:rPr>
                <w:rFonts w:ascii="Arial Narrow" w:eastAsia="Calibri" w:hAnsi="Arial Narrow"/>
                <w:snapToGrid/>
                <w:sz w:val="20"/>
                <w:szCs w:val="20"/>
              </w:rPr>
              <w:fldChar w:fldCharType="begin">
                <w:ffData>
                  <w:name w:val="Check1"/>
                  <w:enabled/>
                  <w:calcOnExit w:val="0"/>
                  <w:checkBox>
                    <w:sizeAuto/>
                    <w:default w:val="0"/>
                  </w:checkBox>
                </w:ffData>
              </w:fldChar>
            </w:r>
            <w:r w:rsidRPr="005A5236">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5A5236">
              <w:rPr>
                <w:rFonts w:ascii="Arial Narrow" w:eastAsia="Calibri" w:hAnsi="Arial Narrow"/>
                <w:snapToGrid/>
                <w:sz w:val="20"/>
                <w:szCs w:val="20"/>
              </w:rPr>
              <w:fldChar w:fldCharType="end"/>
            </w:r>
            <w:r w:rsidRPr="005A5236">
              <w:rPr>
                <w:rFonts w:ascii="Arial Narrow" w:eastAsia="Calibri" w:hAnsi="Arial Narrow"/>
                <w:snapToGrid/>
                <w:sz w:val="20"/>
                <w:szCs w:val="20"/>
              </w:rPr>
              <w:t>Restricted benefit</w:t>
            </w:r>
          </w:p>
          <w:p w:rsidR="005A5236" w:rsidRPr="005A5236" w:rsidRDefault="005A5236" w:rsidP="00F5612A">
            <w:pPr>
              <w:widowControl/>
              <w:rPr>
                <w:rFonts w:ascii="Arial Narrow" w:eastAsia="Calibri" w:hAnsi="Arial Narrow"/>
                <w:snapToGrid/>
                <w:sz w:val="20"/>
                <w:szCs w:val="20"/>
              </w:rPr>
            </w:pPr>
            <w:r w:rsidRPr="005A5236">
              <w:rPr>
                <w:rFonts w:ascii="Arial Narrow" w:eastAsia="Calibri" w:hAnsi="Arial Narrow"/>
                <w:snapToGrid/>
                <w:sz w:val="20"/>
                <w:szCs w:val="20"/>
              </w:rPr>
              <w:fldChar w:fldCharType="begin">
                <w:ffData>
                  <w:name w:val=""/>
                  <w:enabled/>
                  <w:calcOnExit w:val="0"/>
                  <w:checkBox>
                    <w:sizeAuto/>
                    <w:default w:val="0"/>
                  </w:checkBox>
                </w:ffData>
              </w:fldChar>
            </w:r>
            <w:r w:rsidRPr="005A5236">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5A5236">
              <w:rPr>
                <w:rFonts w:ascii="Arial Narrow" w:eastAsia="Calibri" w:hAnsi="Arial Narrow"/>
                <w:snapToGrid/>
                <w:sz w:val="20"/>
                <w:szCs w:val="20"/>
              </w:rPr>
              <w:fldChar w:fldCharType="end"/>
            </w:r>
            <w:r w:rsidRPr="005A5236">
              <w:rPr>
                <w:rFonts w:ascii="Arial Narrow" w:eastAsia="Calibri" w:hAnsi="Arial Narrow"/>
                <w:snapToGrid/>
                <w:sz w:val="20"/>
                <w:szCs w:val="20"/>
              </w:rPr>
              <w:t>Authority Required – In Writing</w:t>
            </w:r>
          </w:p>
          <w:p w:rsidR="005A5236" w:rsidRPr="005A5236" w:rsidRDefault="005A5236" w:rsidP="00F5612A">
            <w:pPr>
              <w:widowControl/>
              <w:rPr>
                <w:rFonts w:ascii="Arial Narrow" w:eastAsia="Calibri" w:hAnsi="Arial Narrow"/>
                <w:snapToGrid/>
                <w:sz w:val="20"/>
                <w:szCs w:val="20"/>
              </w:rPr>
            </w:pPr>
            <w:r w:rsidRPr="005A5236">
              <w:rPr>
                <w:rFonts w:ascii="Arial Narrow" w:eastAsia="Calibri" w:hAnsi="Arial Narrow"/>
                <w:snapToGrid/>
                <w:sz w:val="20"/>
                <w:szCs w:val="20"/>
              </w:rPr>
              <w:fldChar w:fldCharType="begin">
                <w:ffData>
                  <w:name w:val=""/>
                  <w:enabled/>
                  <w:calcOnExit w:val="0"/>
                  <w:checkBox>
                    <w:sizeAuto/>
                    <w:default w:val="1"/>
                  </w:checkBox>
                </w:ffData>
              </w:fldChar>
            </w:r>
            <w:r w:rsidRPr="005A5236">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5A5236">
              <w:rPr>
                <w:rFonts w:ascii="Arial Narrow" w:eastAsia="Calibri" w:hAnsi="Arial Narrow"/>
                <w:snapToGrid/>
                <w:sz w:val="20"/>
                <w:szCs w:val="20"/>
              </w:rPr>
              <w:fldChar w:fldCharType="end"/>
            </w:r>
            <w:r w:rsidRPr="005A5236">
              <w:rPr>
                <w:rFonts w:ascii="Arial Narrow" w:eastAsia="Calibri" w:hAnsi="Arial Narrow"/>
                <w:snapToGrid/>
                <w:sz w:val="20"/>
                <w:szCs w:val="20"/>
              </w:rPr>
              <w:t>Authority Required – Telephone</w:t>
            </w:r>
            <w:r w:rsidRPr="005A5236">
              <w:rPr>
                <w:rFonts w:ascii="Arial Narrow" w:eastAsia="Calibri" w:hAnsi="Arial Narrow"/>
                <w:strike/>
                <w:snapToGrid/>
                <w:sz w:val="20"/>
                <w:szCs w:val="20"/>
              </w:rPr>
              <w:t>/</w:t>
            </w:r>
            <w:r w:rsidRPr="005A5236">
              <w:rPr>
                <w:rFonts w:ascii="Arial Narrow" w:eastAsia="Calibri" w:hAnsi="Arial Narrow"/>
                <w:snapToGrid/>
                <w:sz w:val="20"/>
                <w:szCs w:val="20"/>
              </w:rPr>
              <w:t>Electronic/Emergency</w:t>
            </w:r>
          </w:p>
          <w:p w:rsidR="005A5236" w:rsidRPr="005A5236" w:rsidRDefault="005A5236" w:rsidP="00F5612A">
            <w:pPr>
              <w:widowControl/>
              <w:rPr>
                <w:rFonts w:ascii="Arial Narrow" w:eastAsia="Calibri" w:hAnsi="Arial Narrow"/>
                <w:snapToGrid/>
                <w:sz w:val="20"/>
                <w:szCs w:val="20"/>
              </w:rPr>
            </w:pPr>
            <w:r w:rsidRPr="005A5236">
              <w:rPr>
                <w:rFonts w:ascii="Arial Narrow" w:eastAsia="Calibri" w:hAnsi="Arial Narrow"/>
                <w:snapToGrid/>
                <w:sz w:val="20"/>
                <w:szCs w:val="20"/>
              </w:rPr>
              <w:fldChar w:fldCharType="begin">
                <w:ffData>
                  <w:name w:val="Check5"/>
                  <w:enabled/>
                  <w:calcOnExit w:val="0"/>
                  <w:checkBox>
                    <w:sizeAuto/>
                    <w:default w:val="0"/>
                  </w:checkBox>
                </w:ffData>
              </w:fldChar>
            </w:r>
            <w:r w:rsidRPr="005A5236">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5A5236">
              <w:rPr>
                <w:rFonts w:ascii="Arial Narrow" w:eastAsia="Calibri" w:hAnsi="Arial Narrow"/>
                <w:snapToGrid/>
                <w:sz w:val="20"/>
                <w:szCs w:val="20"/>
              </w:rPr>
              <w:fldChar w:fldCharType="end"/>
            </w:r>
            <w:r w:rsidRPr="005A5236">
              <w:rPr>
                <w:rFonts w:ascii="Arial Narrow" w:eastAsia="Calibri" w:hAnsi="Arial Narrow"/>
                <w:snapToGrid/>
                <w:sz w:val="20"/>
                <w:szCs w:val="20"/>
              </w:rPr>
              <w:t>Streamlined</w:t>
            </w:r>
          </w:p>
        </w:tc>
      </w:tr>
      <w:tr w:rsidR="005A5236" w:rsidRPr="003C5A1F"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5A5236" w:rsidRPr="005A5236" w:rsidRDefault="005A5236" w:rsidP="00F5612A">
            <w:pPr>
              <w:widowControl/>
              <w:rPr>
                <w:rFonts w:ascii="Arial Narrow" w:eastAsia="Calibri" w:hAnsi="Arial Narrow"/>
                <w:b/>
                <w:snapToGrid/>
                <w:sz w:val="20"/>
                <w:szCs w:val="20"/>
              </w:rPr>
            </w:pPr>
            <w:r w:rsidRPr="005A5236">
              <w:rPr>
                <w:rFonts w:ascii="Arial Narrow" w:eastAsia="Calibri" w:hAnsi="Arial Narrow"/>
                <w:b/>
                <w:snapToGrid/>
                <w:sz w:val="20"/>
                <w:szCs w:val="20"/>
              </w:rPr>
              <w:t>Clinical criteria:</w:t>
            </w:r>
          </w:p>
          <w:p w:rsidR="005A5236" w:rsidRPr="005A5236" w:rsidRDefault="005A5236" w:rsidP="00F5612A">
            <w:pPr>
              <w:widowControl/>
              <w:rPr>
                <w:rFonts w:ascii="Arial Narrow" w:eastAsia="Calibri" w:hAnsi="Arial Narrow"/>
                <w:b/>
                <w:snapToGrid/>
                <w:sz w:val="20"/>
                <w:szCs w:val="20"/>
              </w:rPr>
            </w:pPr>
          </w:p>
        </w:tc>
        <w:tc>
          <w:tcPr>
            <w:tcW w:w="3665" w:type="pct"/>
            <w:gridSpan w:val="6"/>
            <w:tcBorders>
              <w:top w:val="single" w:sz="4" w:space="0" w:color="auto"/>
              <w:left w:val="single" w:sz="4" w:space="0" w:color="auto"/>
              <w:bottom w:val="single" w:sz="4" w:space="0" w:color="auto"/>
              <w:right w:val="single" w:sz="4" w:space="0" w:color="auto"/>
            </w:tcBorders>
          </w:tcPr>
          <w:p w:rsidR="005A5236" w:rsidRPr="005A5236" w:rsidRDefault="005A5236" w:rsidP="0063106E">
            <w:pPr>
              <w:widowControl/>
              <w:rPr>
                <w:rFonts w:ascii="Arial Narrow" w:eastAsia="Calibri" w:hAnsi="Arial Narrow" w:cs="Calibri"/>
                <w:snapToGrid/>
                <w:sz w:val="20"/>
                <w:szCs w:val="20"/>
              </w:rPr>
            </w:pPr>
            <w:r w:rsidRPr="005A5236">
              <w:rPr>
                <w:rFonts w:ascii="Arial Narrow" w:eastAsia="Calibri" w:hAnsi="Arial Narrow" w:cs="Calibri"/>
                <w:snapToGrid/>
                <w:sz w:val="20"/>
                <w:szCs w:val="20"/>
              </w:rPr>
              <w:t xml:space="preserve">The condition must be human epidermal growth factor receptor 2 (HER2) negative </w:t>
            </w:r>
          </w:p>
          <w:p w:rsidR="005A5236" w:rsidRPr="005A5236" w:rsidRDefault="005A5236" w:rsidP="0063106E">
            <w:pPr>
              <w:widowControl/>
              <w:rPr>
                <w:rFonts w:ascii="Arial Narrow" w:eastAsia="Calibri" w:hAnsi="Arial Narrow" w:cs="Calibri"/>
                <w:snapToGrid/>
                <w:sz w:val="20"/>
                <w:szCs w:val="20"/>
              </w:rPr>
            </w:pPr>
            <w:r w:rsidRPr="005A5236">
              <w:rPr>
                <w:rFonts w:ascii="Arial Narrow" w:eastAsia="Calibri" w:hAnsi="Arial Narrow" w:cs="Calibri"/>
                <w:snapToGrid/>
                <w:sz w:val="20"/>
                <w:szCs w:val="20"/>
              </w:rPr>
              <w:t xml:space="preserve">AND </w:t>
            </w:r>
          </w:p>
          <w:p w:rsidR="005A5236" w:rsidRPr="005A5236" w:rsidRDefault="005A5236" w:rsidP="0063106E">
            <w:pPr>
              <w:widowControl/>
              <w:rPr>
                <w:rFonts w:ascii="Arial Narrow" w:eastAsia="Calibri" w:hAnsi="Arial Narrow" w:cs="Calibri"/>
                <w:snapToGrid/>
                <w:sz w:val="20"/>
                <w:szCs w:val="20"/>
              </w:rPr>
            </w:pPr>
            <w:r w:rsidRPr="005A5236">
              <w:rPr>
                <w:rFonts w:ascii="Arial Narrow" w:eastAsia="Calibri" w:hAnsi="Arial Narrow" w:cs="Calibri"/>
                <w:snapToGrid/>
                <w:sz w:val="20"/>
                <w:szCs w:val="20"/>
              </w:rPr>
              <w:t xml:space="preserve">The condition must be inoperable </w:t>
            </w:r>
          </w:p>
          <w:p w:rsidR="005A5236" w:rsidRPr="005A5236" w:rsidRDefault="005A5236" w:rsidP="0063106E">
            <w:pPr>
              <w:widowControl/>
              <w:rPr>
                <w:rFonts w:ascii="Arial Narrow" w:eastAsia="Calibri" w:hAnsi="Arial Narrow" w:cs="Calibri"/>
                <w:snapToGrid/>
                <w:sz w:val="20"/>
                <w:szCs w:val="20"/>
              </w:rPr>
            </w:pPr>
            <w:r w:rsidRPr="005A5236">
              <w:rPr>
                <w:rFonts w:ascii="Arial Narrow" w:eastAsia="Calibri" w:hAnsi="Arial Narrow" w:cs="Calibri"/>
                <w:snapToGrid/>
                <w:sz w:val="20"/>
                <w:szCs w:val="20"/>
              </w:rPr>
              <w:t xml:space="preserve">AND </w:t>
            </w:r>
          </w:p>
          <w:p w:rsidR="005A5236" w:rsidRPr="005A5236" w:rsidRDefault="005A5236" w:rsidP="0063106E">
            <w:pPr>
              <w:widowControl/>
              <w:rPr>
                <w:rFonts w:ascii="Arial Narrow" w:eastAsia="Calibri" w:hAnsi="Arial Narrow" w:cs="Calibri"/>
                <w:snapToGrid/>
                <w:sz w:val="20"/>
                <w:szCs w:val="20"/>
              </w:rPr>
            </w:pPr>
            <w:r w:rsidRPr="005A5236">
              <w:rPr>
                <w:rFonts w:ascii="Arial Narrow" w:eastAsia="Calibri" w:hAnsi="Arial Narrow" w:cs="Calibri"/>
                <w:snapToGrid/>
                <w:sz w:val="20"/>
                <w:szCs w:val="20"/>
              </w:rPr>
              <w:t xml:space="preserve">Patient must have a positive germline BRCA1 or BRCA2 gene mutation </w:t>
            </w:r>
          </w:p>
          <w:p w:rsidR="005A5236" w:rsidRPr="005A5236" w:rsidRDefault="005A5236" w:rsidP="0063106E">
            <w:pPr>
              <w:widowControl/>
              <w:rPr>
                <w:rFonts w:ascii="Arial Narrow" w:eastAsia="Calibri" w:hAnsi="Arial Narrow" w:cs="Calibri"/>
                <w:snapToGrid/>
                <w:sz w:val="20"/>
                <w:szCs w:val="20"/>
              </w:rPr>
            </w:pPr>
            <w:r w:rsidRPr="005A5236">
              <w:rPr>
                <w:rFonts w:ascii="Arial Narrow" w:eastAsia="Calibri" w:hAnsi="Arial Narrow" w:cs="Calibri"/>
                <w:snapToGrid/>
                <w:sz w:val="20"/>
                <w:szCs w:val="20"/>
              </w:rPr>
              <w:t xml:space="preserve">AND </w:t>
            </w:r>
          </w:p>
          <w:p w:rsidR="005A5236" w:rsidRPr="005A5236" w:rsidRDefault="005A5236" w:rsidP="0063106E">
            <w:pPr>
              <w:widowControl/>
              <w:rPr>
                <w:rFonts w:ascii="Arial Narrow" w:eastAsia="Calibri" w:hAnsi="Arial Narrow" w:cs="Calibri"/>
                <w:snapToGrid/>
                <w:sz w:val="20"/>
                <w:szCs w:val="20"/>
              </w:rPr>
            </w:pPr>
            <w:r w:rsidRPr="005A5236">
              <w:rPr>
                <w:rFonts w:ascii="Arial Narrow" w:eastAsia="Calibri" w:hAnsi="Arial Narrow" w:cs="Calibri"/>
                <w:snapToGrid/>
                <w:sz w:val="20"/>
                <w:szCs w:val="20"/>
              </w:rPr>
              <w:t>Patient must be resistant to endocrine therapy and/or have received at least one previous chemotherapy regimen in the neo(adjuvant), locally advanced or metastatic setting</w:t>
            </w:r>
          </w:p>
          <w:p w:rsidR="005A5236" w:rsidRPr="005A5236" w:rsidRDefault="005A5236" w:rsidP="0063106E">
            <w:pPr>
              <w:widowControl/>
              <w:rPr>
                <w:rFonts w:ascii="Arial Narrow" w:eastAsia="Calibri" w:hAnsi="Arial Narrow" w:cs="Calibri"/>
                <w:snapToGrid/>
                <w:sz w:val="20"/>
                <w:szCs w:val="20"/>
              </w:rPr>
            </w:pPr>
            <w:r w:rsidRPr="005A5236">
              <w:rPr>
                <w:rFonts w:ascii="Arial Narrow" w:eastAsia="Calibri" w:hAnsi="Arial Narrow" w:cs="Calibri"/>
                <w:snapToGrid/>
                <w:sz w:val="20"/>
                <w:szCs w:val="20"/>
              </w:rPr>
              <w:t xml:space="preserve">AND </w:t>
            </w:r>
          </w:p>
          <w:p w:rsidR="005A5236" w:rsidRPr="005A5236" w:rsidRDefault="005A5236" w:rsidP="0063106E">
            <w:pPr>
              <w:widowControl/>
              <w:rPr>
                <w:rFonts w:ascii="Arial Narrow" w:eastAsia="Calibri" w:hAnsi="Arial Narrow" w:cs="Calibri"/>
                <w:snapToGrid/>
                <w:sz w:val="20"/>
                <w:szCs w:val="20"/>
              </w:rPr>
            </w:pPr>
            <w:r w:rsidRPr="005A5236">
              <w:rPr>
                <w:rFonts w:ascii="Arial Narrow" w:eastAsia="Calibri" w:hAnsi="Arial Narrow" w:cs="Calibri"/>
                <w:snapToGrid/>
                <w:sz w:val="20"/>
                <w:szCs w:val="20"/>
              </w:rPr>
              <w:t>The treatment must be the sole PBS-subsidised therapy for this condition</w:t>
            </w:r>
          </w:p>
          <w:p w:rsidR="005A5236" w:rsidRPr="005A5236" w:rsidRDefault="005A5236" w:rsidP="0063106E">
            <w:pPr>
              <w:widowControl/>
              <w:rPr>
                <w:rFonts w:ascii="Arial Narrow" w:eastAsia="Calibri" w:hAnsi="Arial Narrow" w:cs="Calibri"/>
                <w:snapToGrid/>
                <w:sz w:val="20"/>
                <w:szCs w:val="20"/>
              </w:rPr>
            </w:pPr>
            <w:r w:rsidRPr="005A5236">
              <w:rPr>
                <w:rFonts w:ascii="Arial Narrow" w:eastAsia="Calibri" w:hAnsi="Arial Narrow" w:cs="Calibri"/>
                <w:snapToGrid/>
                <w:sz w:val="20"/>
                <w:szCs w:val="20"/>
              </w:rPr>
              <w:t xml:space="preserve">AND </w:t>
            </w:r>
          </w:p>
          <w:p w:rsidR="005A5236" w:rsidRPr="005A5236" w:rsidRDefault="005A5236" w:rsidP="0063106E">
            <w:pPr>
              <w:widowControl/>
              <w:rPr>
                <w:rFonts w:ascii="Arial Narrow" w:eastAsia="Calibri" w:hAnsi="Arial Narrow" w:cs="Calibri"/>
                <w:snapToGrid/>
                <w:sz w:val="20"/>
                <w:szCs w:val="20"/>
              </w:rPr>
            </w:pPr>
            <w:r w:rsidRPr="005A5236">
              <w:rPr>
                <w:rFonts w:ascii="Arial Narrow" w:eastAsia="Calibri" w:hAnsi="Arial Narrow" w:cs="Calibri"/>
                <w:snapToGrid/>
                <w:sz w:val="20"/>
                <w:szCs w:val="20"/>
              </w:rPr>
              <w:t xml:space="preserve">Patient must not have previously received PBS-subsidised treatment with a </w:t>
            </w:r>
            <w:r w:rsidRPr="005A5236">
              <w:rPr>
                <w:rFonts w:ascii="Arial Narrow" w:eastAsia="Calibri" w:hAnsi="Arial Narrow" w:cs="Calibri"/>
                <w:i/>
                <w:snapToGrid/>
                <w:sz w:val="20"/>
                <w:szCs w:val="20"/>
              </w:rPr>
              <w:t>poly ADP ribose polymerase (</w:t>
            </w:r>
            <w:r w:rsidRPr="005A5236">
              <w:rPr>
                <w:rFonts w:ascii="Arial Narrow" w:eastAsia="Calibri" w:hAnsi="Arial Narrow" w:cs="Calibri"/>
                <w:snapToGrid/>
                <w:sz w:val="20"/>
                <w:szCs w:val="20"/>
              </w:rPr>
              <w:t>PARP</w:t>
            </w:r>
            <w:r w:rsidRPr="005A5236">
              <w:rPr>
                <w:rFonts w:ascii="Arial Narrow" w:eastAsia="Calibri" w:hAnsi="Arial Narrow" w:cs="Calibri"/>
                <w:i/>
                <w:snapToGrid/>
                <w:sz w:val="20"/>
                <w:szCs w:val="20"/>
              </w:rPr>
              <w:t>)</w:t>
            </w:r>
            <w:r w:rsidRPr="005A5236">
              <w:rPr>
                <w:rFonts w:ascii="Arial Narrow" w:eastAsia="Calibri" w:hAnsi="Arial Narrow" w:cs="Calibri"/>
                <w:snapToGrid/>
                <w:sz w:val="20"/>
                <w:szCs w:val="20"/>
              </w:rPr>
              <w:t xml:space="preserve"> inhibitor </w:t>
            </w:r>
          </w:p>
          <w:p w:rsidR="005A5236" w:rsidRPr="005A5236" w:rsidRDefault="005A5236" w:rsidP="0063106E">
            <w:pPr>
              <w:widowControl/>
              <w:rPr>
                <w:rFonts w:ascii="Arial Narrow" w:eastAsia="Calibri" w:hAnsi="Arial Narrow" w:cs="Calibri"/>
                <w:strike/>
                <w:snapToGrid/>
                <w:sz w:val="20"/>
                <w:szCs w:val="20"/>
              </w:rPr>
            </w:pPr>
            <w:r w:rsidRPr="005A5236">
              <w:rPr>
                <w:rFonts w:ascii="Arial Narrow" w:eastAsia="Calibri" w:hAnsi="Arial Narrow" w:cs="Calibri"/>
                <w:strike/>
                <w:snapToGrid/>
                <w:sz w:val="20"/>
                <w:szCs w:val="20"/>
              </w:rPr>
              <w:t>Evidence of a BRCA1 or BRAC2 gene mutation must be derived through germline testing</w:t>
            </w:r>
          </w:p>
        </w:tc>
      </w:tr>
      <w:tr w:rsidR="005A5236" w:rsidRPr="003C5A1F"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5A5236" w:rsidRPr="005A5236" w:rsidRDefault="005A5236" w:rsidP="00F5612A">
            <w:pPr>
              <w:widowControl/>
              <w:rPr>
                <w:rFonts w:ascii="Arial Narrow" w:eastAsia="Calibri" w:hAnsi="Arial Narrow"/>
                <w:b/>
                <w:snapToGrid/>
                <w:sz w:val="20"/>
                <w:szCs w:val="20"/>
              </w:rPr>
            </w:pPr>
            <w:r w:rsidRPr="005A5236">
              <w:rPr>
                <w:rFonts w:ascii="Arial Narrow" w:eastAsia="Calibri" w:hAnsi="Arial Narrow"/>
                <w:b/>
                <w:snapToGrid/>
                <w:sz w:val="20"/>
                <w:szCs w:val="20"/>
              </w:rPr>
              <w:t>Population criteria:</w:t>
            </w:r>
          </w:p>
        </w:tc>
        <w:tc>
          <w:tcPr>
            <w:tcW w:w="3665" w:type="pct"/>
            <w:gridSpan w:val="6"/>
            <w:tcBorders>
              <w:top w:val="single" w:sz="4" w:space="0" w:color="auto"/>
              <w:left w:val="single" w:sz="4" w:space="0" w:color="auto"/>
              <w:bottom w:val="single" w:sz="4" w:space="0" w:color="auto"/>
              <w:right w:val="single" w:sz="4" w:space="0" w:color="auto"/>
            </w:tcBorders>
          </w:tcPr>
          <w:p w:rsidR="005A5236" w:rsidRPr="005A5236" w:rsidRDefault="005A5236" w:rsidP="00F5612A">
            <w:pPr>
              <w:widowControl/>
              <w:rPr>
                <w:rFonts w:ascii="Arial Narrow" w:eastAsia="Calibri" w:hAnsi="Arial Narrow"/>
                <w:snapToGrid/>
                <w:sz w:val="20"/>
                <w:szCs w:val="20"/>
              </w:rPr>
            </w:pPr>
            <w:r w:rsidRPr="005A5236">
              <w:rPr>
                <w:rFonts w:ascii="Arial Narrow" w:eastAsia="Calibri" w:hAnsi="Arial Narrow"/>
                <w:strike/>
                <w:snapToGrid/>
                <w:sz w:val="20"/>
                <w:szCs w:val="20"/>
              </w:rPr>
              <w:t>The</w:t>
            </w:r>
            <w:r w:rsidRPr="005A5236">
              <w:rPr>
                <w:rFonts w:ascii="Arial Narrow" w:eastAsia="Calibri" w:hAnsi="Arial Narrow"/>
                <w:snapToGrid/>
                <w:sz w:val="20"/>
                <w:szCs w:val="20"/>
              </w:rPr>
              <w:t xml:space="preserve"> </w:t>
            </w:r>
            <w:r w:rsidRPr="005A5236">
              <w:rPr>
                <w:rFonts w:ascii="Arial Narrow" w:eastAsia="Calibri" w:hAnsi="Arial Narrow"/>
                <w:strike/>
                <w:snapToGrid/>
                <w:sz w:val="20"/>
                <w:szCs w:val="20"/>
              </w:rPr>
              <w:t>p</w:t>
            </w:r>
            <w:r w:rsidRPr="005A5236">
              <w:rPr>
                <w:rFonts w:ascii="Arial Narrow" w:eastAsia="Calibri" w:hAnsi="Arial Narrow"/>
                <w:snapToGrid/>
                <w:sz w:val="20"/>
                <w:szCs w:val="20"/>
              </w:rPr>
              <w:t xml:space="preserve">Patient must be 18 years or </w:t>
            </w:r>
            <w:r w:rsidRPr="005A5236">
              <w:rPr>
                <w:rFonts w:ascii="Arial Narrow" w:eastAsia="Calibri" w:hAnsi="Arial Narrow"/>
                <w:strike/>
                <w:snapToGrid/>
                <w:sz w:val="20"/>
                <w:szCs w:val="20"/>
              </w:rPr>
              <w:t>over</w:t>
            </w:r>
            <w:r w:rsidRPr="005A5236">
              <w:rPr>
                <w:rFonts w:ascii="Arial Narrow" w:eastAsia="Calibri" w:hAnsi="Arial Narrow"/>
                <w:i/>
                <w:snapToGrid/>
                <w:sz w:val="20"/>
                <w:szCs w:val="20"/>
              </w:rPr>
              <w:t>older</w:t>
            </w:r>
            <w:r w:rsidRPr="005A5236">
              <w:rPr>
                <w:rFonts w:ascii="Arial Narrow" w:eastAsia="Calibri" w:hAnsi="Arial Narrow"/>
                <w:snapToGrid/>
                <w:sz w:val="20"/>
                <w:szCs w:val="20"/>
              </w:rPr>
              <w:t>.</w:t>
            </w:r>
          </w:p>
        </w:tc>
      </w:tr>
      <w:tr w:rsidR="005A5236" w:rsidRPr="003C5A1F"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5A5236" w:rsidRPr="005A5236" w:rsidRDefault="005A5236" w:rsidP="00F5612A">
            <w:pPr>
              <w:widowControl/>
              <w:rPr>
                <w:rFonts w:ascii="Arial Narrow" w:eastAsia="Calibri" w:hAnsi="Arial Narrow"/>
                <w:b/>
                <w:snapToGrid/>
                <w:sz w:val="20"/>
                <w:szCs w:val="20"/>
              </w:rPr>
            </w:pPr>
            <w:r w:rsidRPr="005A5236">
              <w:rPr>
                <w:rFonts w:ascii="Arial Narrow" w:eastAsia="Calibri" w:hAnsi="Arial Narrow"/>
                <w:b/>
                <w:snapToGrid/>
                <w:sz w:val="20"/>
                <w:szCs w:val="20"/>
              </w:rPr>
              <w:t>Prescriber Instructions:</w:t>
            </w:r>
          </w:p>
        </w:tc>
        <w:tc>
          <w:tcPr>
            <w:tcW w:w="3665" w:type="pct"/>
            <w:gridSpan w:val="6"/>
            <w:tcBorders>
              <w:top w:val="single" w:sz="4" w:space="0" w:color="auto"/>
              <w:left w:val="single" w:sz="4" w:space="0" w:color="auto"/>
              <w:bottom w:val="single" w:sz="4" w:space="0" w:color="auto"/>
              <w:right w:val="single" w:sz="4" w:space="0" w:color="auto"/>
            </w:tcBorders>
          </w:tcPr>
          <w:p w:rsidR="005A5236" w:rsidRPr="005A5236" w:rsidRDefault="005A5236" w:rsidP="0063106E">
            <w:pPr>
              <w:widowControl/>
              <w:spacing w:line="259" w:lineRule="auto"/>
              <w:rPr>
                <w:rFonts w:ascii="Arial Narrow" w:eastAsia="Calibri" w:hAnsi="Arial Narrow" w:cs="Calibri"/>
                <w:i/>
                <w:snapToGrid/>
                <w:szCs w:val="24"/>
              </w:rPr>
            </w:pPr>
            <w:r w:rsidRPr="005A5236">
              <w:rPr>
                <w:rFonts w:ascii="Arial Narrow" w:eastAsia="Calibri" w:hAnsi="Arial Narrow" w:cs="Calibri"/>
                <w:i/>
                <w:snapToGrid/>
                <w:sz w:val="20"/>
                <w:szCs w:val="24"/>
              </w:rPr>
              <w:t xml:space="preserve">Evidence of a BRCA1 or BRCA2 gene mutation must be derived through germline testing </w:t>
            </w:r>
          </w:p>
        </w:tc>
      </w:tr>
      <w:tr w:rsidR="005A5236" w:rsidRPr="00C0447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5A5236" w:rsidRPr="00C04475" w:rsidRDefault="005A5236" w:rsidP="00F5612A">
            <w:pPr>
              <w:widowControl/>
              <w:rPr>
                <w:rFonts w:ascii="Arial Narrow" w:eastAsia="Calibri" w:hAnsi="Arial Narrow"/>
                <w:b/>
                <w:snapToGrid/>
                <w:sz w:val="20"/>
                <w:szCs w:val="20"/>
              </w:rPr>
            </w:pPr>
            <w:r w:rsidRPr="00C04475">
              <w:rPr>
                <w:rFonts w:ascii="Arial Narrow" w:eastAsia="Calibri" w:hAnsi="Arial Narrow"/>
                <w:b/>
                <w:snapToGrid/>
                <w:sz w:val="20"/>
                <w:szCs w:val="20"/>
              </w:rPr>
              <w:t>Administrative Advice:</w:t>
            </w:r>
          </w:p>
          <w:p w:rsidR="005A5236" w:rsidRPr="00C04475" w:rsidRDefault="005A5236" w:rsidP="00F5612A">
            <w:pPr>
              <w:widowControl/>
              <w:rPr>
                <w:rFonts w:ascii="Arial Narrow" w:eastAsia="Calibri" w:hAnsi="Arial Narrow"/>
                <w:i/>
                <w:snapToGrid/>
                <w:sz w:val="20"/>
                <w:szCs w:val="20"/>
              </w:rPr>
            </w:pPr>
          </w:p>
        </w:tc>
        <w:tc>
          <w:tcPr>
            <w:tcW w:w="3665" w:type="pct"/>
            <w:gridSpan w:val="6"/>
            <w:tcBorders>
              <w:top w:val="single" w:sz="4" w:space="0" w:color="auto"/>
              <w:left w:val="single" w:sz="4" w:space="0" w:color="auto"/>
              <w:bottom w:val="single" w:sz="4" w:space="0" w:color="auto"/>
              <w:right w:val="single" w:sz="4" w:space="0" w:color="auto"/>
            </w:tcBorders>
          </w:tcPr>
          <w:p w:rsidR="005A5236" w:rsidRPr="00C04475" w:rsidRDefault="005A5236" w:rsidP="0063106E">
            <w:pPr>
              <w:widowControl/>
              <w:rPr>
                <w:rFonts w:ascii="Arial Narrow" w:eastAsia="Calibri" w:hAnsi="Arial Narrow" w:cs="Calibri"/>
                <w:i/>
                <w:snapToGrid/>
                <w:sz w:val="20"/>
                <w:szCs w:val="24"/>
              </w:rPr>
            </w:pPr>
            <w:r w:rsidRPr="00C04475">
              <w:rPr>
                <w:rFonts w:ascii="Arial Narrow" w:eastAsia="Calibri" w:hAnsi="Arial Narrow" w:cs="Calibri"/>
                <w:i/>
                <w:snapToGrid/>
                <w:sz w:val="20"/>
                <w:szCs w:val="24"/>
              </w:rPr>
              <w:t>No increase in the maximum quantity or number of units may be authorised</w:t>
            </w:r>
          </w:p>
          <w:p w:rsidR="005A5236" w:rsidRPr="00C04475" w:rsidRDefault="005A5236" w:rsidP="0063106E">
            <w:pPr>
              <w:widowControl/>
              <w:rPr>
                <w:rFonts w:ascii="Arial Narrow" w:eastAsia="Calibri" w:hAnsi="Arial Narrow" w:cs="Calibri"/>
                <w:i/>
                <w:snapToGrid/>
                <w:sz w:val="20"/>
                <w:szCs w:val="24"/>
              </w:rPr>
            </w:pPr>
            <w:r w:rsidRPr="00C04475">
              <w:rPr>
                <w:rFonts w:ascii="Arial Narrow" w:eastAsia="Calibri" w:hAnsi="Arial Narrow" w:cs="Calibri"/>
                <w:i/>
                <w:snapToGrid/>
                <w:sz w:val="20"/>
                <w:szCs w:val="24"/>
              </w:rPr>
              <w:t>No increase in the maximum number of repeats may be authorised</w:t>
            </w:r>
          </w:p>
          <w:p w:rsidR="005A5236" w:rsidRPr="00C04475" w:rsidRDefault="005A5236" w:rsidP="0063106E">
            <w:pPr>
              <w:widowControl/>
              <w:rPr>
                <w:rFonts w:ascii="Arial Narrow" w:eastAsia="Calibri" w:hAnsi="Arial Narrow" w:cs="Calibri"/>
                <w:i/>
                <w:snapToGrid/>
                <w:sz w:val="20"/>
                <w:szCs w:val="24"/>
              </w:rPr>
            </w:pPr>
          </w:p>
          <w:p w:rsidR="005A5236" w:rsidRPr="00C04475" w:rsidRDefault="005A5236" w:rsidP="0063106E">
            <w:pPr>
              <w:widowControl/>
              <w:rPr>
                <w:rFonts w:ascii="Arial Narrow" w:eastAsia="Calibri" w:hAnsi="Arial Narrow" w:cs="Calibri"/>
                <w:i/>
                <w:snapToGrid/>
                <w:sz w:val="20"/>
                <w:szCs w:val="24"/>
              </w:rPr>
            </w:pPr>
            <w:r w:rsidRPr="00C04475">
              <w:rPr>
                <w:rFonts w:ascii="Arial Narrow" w:eastAsia="Calibri" w:hAnsi="Arial Narrow" w:cs="Calibri"/>
                <w:i/>
                <w:snapToGrid/>
                <w:sz w:val="20"/>
                <w:szCs w:val="24"/>
              </w:rPr>
              <w:t>Applications for authorisation under this criterion may be made by telephone by contacting the Department of Human Services on 1800 700 270 (hours of operation 8 a.m. to 5 p.m. EST Monday to Friday).</w:t>
            </w:r>
          </w:p>
        </w:tc>
      </w:tr>
    </w:tbl>
    <w:p w:rsidR="00F148BA" w:rsidRDefault="00F148BA" w:rsidP="00561C55">
      <w:pPr>
        <w:keepNext/>
        <w:widowControl/>
      </w:pPr>
    </w:p>
    <w:tbl>
      <w:tblPr>
        <w:tblW w:w="5000" w:type="pct"/>
        <w:tblLook w:val="0000" w:firstRow="0" w:lastRow="0" w:firstColumn="0" w:lastColumn="0" w:noHBand="0" w:noVBand="0"/>
      </w:tblPr>
      <w:tblGrid>
        <w:gridCol w:w="2411"/>
        <w:gridCol w:w="787"/>
        <w:gridCol w:w="556"/>
        <w:gridCol w:w="832"/>
        <w:gridCol w:w="1666"/>
        <w:gridCol w:w="1527"/>
        <w:gridCol w:w="1248"/>
      </w:tblGrid>
      <w:tr w:rsidR="000C6D45" w:rsidRPr="000C6D45" w:rsidTr="0063106E">
        <w:trPr>
          <w:cantSplit/>
          <w:trHeight w:val="20"/>
        </w:trPr>
        <w:tc>
          <w:tcPr>
            <w:tcW w:w="1771" w:type="pct"/>
            <w:gridSpan w:val="2"/>
            <w:tcBorders>
              <w:bottom w:val="single" w:sz="4" w:space="0" w:color="auto"/>
            </w:tcBorders>
          </w:tcPr>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Name, Restriction,</w:t>
            </w:r>
          </w:p>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Manner of administration and form</w:t>
            </w:r>
          </w:p>
        </w:tc>
        <w:tc>
          <w:tcPr>
            <w:tcW w:w="308" w:type="pct"/>
            <w:tcBorders>
              <w:bottom w:val="single" w:sz="4" w:space="0" w:color="auto"/>
            </w:tcBorders>
          </w:tcPr>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Max.</w:t>
            </w:r>
          </w:p>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Qty</w:t>
            </w:r>
          </w:p>
        </w:tc>
        <w:tc>
          <w:tcPr>
            <w:tcW w:w="461" w:type="pct"/>
            <w:tcBorders>
              <w:bottom w:val="single" w:sz="4" w:space="0" w:color="auto"/>
            </w:tcBorders>
          </w:tcPr>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№.of</w:t>
            </w:r>
          </w:p>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Rpts</w:t>
            </w:r>
          </w:p>
        </w:tc>
        <w:tc>
          <w:tcPr>
            <w:tcW w:w="923" w:type="pct"/>
            <w:tcBorders>
              <w:bottom w:val="single" w:sz="4" w:space="0" w:color="auto"/>
            </w:tcBorders>
          </w:tcPr>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Dispensed Price for Max. Qty</w:t>
            </w:r>
          </w:p>
        </w:tc>
        <w:tc>
          <w:tcPr>
            <w:tcW w:w="1537" w:type="pct"/>
            <w:gridSpan w:val="2"/>
            <w:tcBorders>
              <w:bottom w:val="single" w:sz="4" w:space="0" w:color="auto"/>
            </w:tcBorders>
          </w:tcPr>
          <w:p w:rsidR="000C6D45" w:rsidRPr="0063106E" w:rsidRDefault="000C6D45" w:rsidP="00F5612A">
            <w:pPr>
              <w:widowControl/>
              <w:jc w:val="left"/>
              <w:rPr>
                <w:rFonts w:ascii="Arial Narrow" w:eastAsia="Calibri" w:hAnsi="Arial Narrow"/>
                <w:b/>
                <w:snapToGrid/>
                <w:sz w:val="20"/>
                <w:szCs w:val="20"/>
                <w:lang w:val="fr-FR"/>
              </w:rPr>
            </w:pPr>
            <w:r w:rsidRPr="0063106E">
              <w:rPr>
                <w:rFonts w:ascii="Arial Narrow" w:eastAsia="Calibri" w:hAnsi="Arial Narrow"/>
                <w:b/>
                <w:snapToGrid/>
                <w:sz w:val="20"/>
                <w:szCs w:val="20"/>
              </w:rPr>
              <w:t>Proprietary Name and Manufacturer</w:t>
            </w:r>
          </w:p>
        </w:tc>
      </w:tr>
      <w:tr w:rsidR="000C6D45" w:rsidRPr="000C6D45" w:rsidTr="0063106E">
        <w:trPr>
          <w:cantSplit/>
          <w:trHeight w:val="20"/>
        </w:trPr>
        <w:tc>
          <w:tcPr>
            <w:tcW w:w="1771" w:type="pct"/>
            <w:gridSpan w:val="2"/>
          </w:tcPr>
          <w:p w:rsidR="000C6D45" w:rsidRPr="000C6D45" w:rsidRDefault="000C6D45" w:rsidP="00F5612A">
            <w:pPr>
              <w:widowControl/>
              <w:ind w:left="-108"/>
              <w:rPr>
                <w:rFonts w:ascii="Arial Narrow" w:eastAsia="Calibri" w:hAnsi="Arial Narrow"/>
                <w:snapToGrid/>
                <w:sz w:val="20"/>
                <w:szCs w:val="20"/>
              </w:rPr>
            </w:pPr>
            <w:r w:rsidRPr="000C6D45">
              <w:rPr>
                <w:rFonts w:ascii="Arial Narrow" w:eastAsia="Calibri" w:hAnsi="Arial Narrow"/>
                <w:smallCaps/>
                <w:snapToGrid/>
                <w:sz w:val="20"/>
                <w:szCs w:val="20"/>
              </w:rPr>
              <w:t xml:space="preserve">Talazoparib  </w:t>
            </w:r>
          </w:p>
          <w:p w:rsidR="000C6D45" w:rsidRPr="000C6D45" w:rsidRDefault="000C6D45" w:rsidP="00F5612A">
            <w:pPr>
              <w:widowControl/>
              <w:ind w:left="-108"/>
              <w:rPr>
                <w:rFonts w:ascii="Arial Narrow" w:eastAsia="Calibri" w:hAnsi="Arial Narrow"/>
                <w:snapToGrid/>
                <w:color w:val="FF0000"/>
                <w:sz w:val="20"/>
                <w:szCs w:val="20"/>
              </w:rPr>
            </w:pPr>
            <w:r w:rsidRPr="000C6D45">
              <w:rPr>
                <w:rFonts w:ascii="Arial Narrow" w:eastAsia="Calibri" w:hAnsi="Arial Narrow" w:cs="Calibri"/>
                <w:snapToGrid/>
                <w:sz w:val="20"/>
                <w:szCs w:val="20"/>
              </w:rPr>
              <w:t>0.25 mg capsule, 30</w:t>
            </w:r>
            <w:r w:rsidRPr="000C6D45">
              <w:rPr>
                <w:rFonts w:ascii="Arial Narrow" w:eastAsia="Calibri" w:hAnsi="Arial Narrow"/>
                <w:snapToGrid/>
                <w:sz w:val="20"/>
                <w:szCs w:val="20"/>
              </w:rPr>
              <w:t xml:space="preserve"> </w:t>
            </w:r>
          </w:p>
        </w:tc>
        <w:tc>
          <w:tcPr>
            <w:tcW w:w="308" w:type="pct"/>
          </w:tcPr>
          <w:p w:rsidR="000C6D45" w:rsidRPr="000C6D45" w:rsidRDefault="000C6D45" w:rsidP="00F5612A">
            <w:pPr>
              <w:widowControl/>
              <w:ind w:left="-108"/>
              <w:rPr>
                <w:rFonts w:ascii="Arial Narrow" w:eastAsia="Calibri" w:hAnsi="Arial Narrow"/>
                <w:snapToGrid/>
                <w:sz w:val="20"/>
                <w:szCs w:val="20"/>
              </w:rPr>
            </w:pPr>
          </w:p>
          <w:p w:rsidR="000C6D45" w:rsidRPr="000C6D45" w:rsidRDefault="000C6D45" w:rsidP="00F5612A">
            <w:pPr>
              <w:widowControl/>
              <w:ind w:left="-108"/>
              <w:rPr>
                <w:rFonts w:ascii="Arial Narrow" w:eastAsia="Calibri" w:hAnsi="Arial Narrow"/>
                <w:snapToGrid/>
                <w:sz w:val="20"/>
                <w:szCs w:val="20"/>
              </w:rPr>
            </w:pPr>
            <w:r w:rsidRPr="000C6D45">
              <w:rPr>
                <w:rFonts w:ascii="Arial Narrow" w:eastAsia="Calibri" w:hAnsi="Arial Narrow"/>
                <w:snapToGrid/>
                <w:sz w:val="20"/>
                <w:szCs w:val="20"/>
              </w:rPr>
              <w:t>90</w:t>
            </w:r>
          </w:p>
        </w:tc>
        <w:tc>
          <w:tcPr>
            <w:tcW w:w="461" w:type="pct"/>
          </w:tcPr>
          <w:p w:rsidR="000C6D45" w:rsidRPr="000C6D45" w:rsidRDefault="000C6D45" w:rsidP="00F5612A">
            <w:pPr>
              <w:widowControl/>
              <w:ind w:left="-108"/>
              <w:rPr>
                <w:rFonts w:ascii="Arial Narrow" w:eastAsia="Calibri" w:hAnsi="Arial Narrow"/>
                <w:snapToGrid/>
                <w:sz w:val="20"/>
                <w:szCs w:val="20"/>
              </w:rPr>
            </w:pPr>
          </w:p>
          <w:p w:rsidR="000C6D45" w:rsidRPr="000C6D45" w:rsidRDefault="000C6D45" w:rsidP="00F5612A">
            <w:pPr>
              <w:widowControl/>
              <w:ind w:left="-108"/>
              <w:rPr>
                <w:rFonts w:ascii="Arial Narrow" w:eastAsia="Calibri" w:hAnsi="Arial Narrow"/>
                <w:snapToGrid/>
                <w:sz w:val="20"/>
                <w:szCs w:val="20"/>
              </w:rPr>
            </w:pPr>
            <w:r w:rsidRPr="000C6D45">
              <w:rPr>
                <w:rFonts w:ascii="Arial Narrow" w:eastAsia="Calibri" w:hAnsi="Arial Narrow"/>
                <w:snapToGrid/>
                <w:sz w:val="20"/>
                <w:szCs w:val="20"/>
              </w:rPr>
              <w:t>5</w:t>
            </w:r>
          </w:p>
        </w:tc>
        <w:tc>
          <w:tcPr>
            <w:tcW w:w="923" w:type="pct"/>
          </w:tcPr>
          <w:p w:rsidR="000C6D45" w:rsidRPr="000C6D45" w:rsidRDefault="000C6D45" w:rsidP="00F5612A">
            <w:pPr>
              <w:widowControl/>
              <w:ind w:left="-108"/>
              <w:rPr>
                <w:rFonts w:ascii="Arial Narrow" w:eastAsia="Calibri" w:hAnsi="Arial Narrow"/>
                <w:snapToGrid/>
                <w:sz w:val="20"/>
                <w:szCs w:val="20"/>
              </w:rPr>
            </w:pPr>
            <w:r w:rsidRPr="000C6D45">
              <w:rPr>
                <w:rFonts w:ascii="Arial Narrow" w:eastAsia="Calibri" w:hAnsi="Arial Narrow"/>
                <w:snapToGrid/>
                <w:sz w:val="20"/>
                <w:szCs w:val="20"/>
              </w:rPr>
              <w:t>$</w:t>
            </w:r>
            <w:r w:rsidR="0099600C" w:rsidRPr="0099600C">
              <w:rPr>
                <w:rFonts w:ascii="Arial Narrow" w:eastAsia="Calibri" w:hAnsi="Arial Narrow"/>
                <w:snapToGrid/>
                <w:sz w:val="20"/>
                <w:szCs w:val="20"/>
              </w:rPr>
              <w:t xml:space="preserve">7,459.34 </w:t>
            </w:r>
            <w:r w:rsidRPr="000C6D45">
              <w:rPr>
                <w:rFonts w:ascii="Arial Narrow" w:eastAsia="Calibri" w:hAnsi="Arial Narrow"/>
                <w:snapToGrid/>
                <w:sz w:val="20"/>
                <w:szCs w:val="20"/>
              </w:rPr>
              <w:t>(Public)</w:t>
            </w:r>
          </w:p>
          <w:p w:rsidR="000C6D45" w:rsidRPr="000C6D45" w:rsidRDefault="000C6D45" w:rsidP="00F5612A">
            <w:pPr>
              <w:widowControl/>
              <w:ind w:left="-108"/>
              <w:rPr>
                <w:rFonts w:ascii="Arial Narrow" w:eastAsia="Calibri" w:hAnsi="Arial Narrow"/>
                <w:snapToGrid/>
                <w:sz w:val="20"/>
                <w:szCs w:val="20"/>
              </w:rPr>
            </w:pPr>
            <w:r w:rsidRPr="000C6D45">
              <w:rPr>
                <w:rFonts w:ascii="Arial Narrow" w:eastAsia="Calibri" w:hAnsi="Arial Narrow"/>
                <w:snapToGrid/>
                <w:sz w:val="20"/>
                <w:szCs w:val="20"/>
              </w:rPr>
              <w:t>$</w:t>
            </w:r>
            <w:r w:rsidR="00EB7243">
              <w:rPr>
                <w:rFonts w:ascii="Arial Narrow" w:eastAsia="Calibri" w:hAnsi="Arial Narrow"/>
                <w:noProof/>
                <w:snapToGrid/>
                <w:color w:val="000000"/>
                <w:sz w:val="20"/>
                <w:szCs w:val="20"/>
                <w:highlight w:val="black"/>
              </w:rPr>
              <w:t>'''''''''''''''''''''</w:t>
            </w:r>
            <w:r w:rsidR="0099600C" w:rsidRPr="0099600C">
              <w:rPr>
                <w:rFonts w:ascii="Arial Narrow" w:eastAsia="Calibri" w:hAnsi="Arial Narrow"/>
                <w:snapToGrid/>
                <w:sz w:val="20"/>
                <w:szCs w:val="20"/>
              </w:rPr>
              <w:t xml:space="preserve"> </w:t>
            </w:r>
            <w:r w:rsidRPr="000C6D45">
              <w:rPr>
                <w:rFonts w:ascii="Arial Narrow" w:eastAsia="Calibri" w:hAnsi="Arial Narrow"/>
                <w:snapToGrid/>
                <w:sz w:val="20"/>
                <w:szCs w:val="20"/>
              </w:rPr>
              <w:t>(Effective)</w:t>
            </w:r>
          </w:p>
        </w:tc>
        <w:tc>
          <w:tcPr>
            <w:tcW w:w="846" w:type="pct"/>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Talzenna</w:t>
            </w:r>
          </w:p>
        </w:tc>
        <w:tc>
          <w:tcPr>
            <w:tcW w:w="691" w:type="pct"/>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Pfizer Australia Pty Ltd</w:t>
            </w:r>
          </w:p>
          <w:p w:rsidR="000C6D45" w:rsidRPr="000C6D45" w:rsidRDefault="000C6D45" w:rsidP="00F5612A">
            <w:pPr>
              <w:widowControl/>
              <w:rPr>
                <w:rFonts w:ascii="Arial Narrow" w:eastAsia="Calibri" w:hAnsi="Arial Narrow"/>
                <w:snapToGrid/>
                <w:sz w:val="20"/>
                <w:szCs w:val="20"/>
              </w:rPr>
            </w:pP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Category / Program:</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GENERAL – General Schedule (Code GE)</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Prescriber type:</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63106E">
            <w:pPr>
              <w:widowControl/>
              <w:rPr>
                <w:rFonts w:ascii="Arial Narrow" w:eastAsia="Calibri" w:hAnsi="Arial Narrow"/>
                <w:snapToGrid/>
                <w:sz w:val="20"/>
                <w:szCs w:val="20"/>
              </w:rPr>
            </w:pPr>
            <w:r w:rsidRPr="000C6D45">
              <w:rPr>
                <w:rFonts w:ascii="Arial Narrow" w:eastAsia="Calibri" w:hAnsi="Arial Narrow"/>
                <w:snapToGrid/>
                <w:sz w:val="20"/>
                <w:szCs w:val="20"/>
              </w:rPr>
              <w:fldChar w:fldCharType="begin">
                <w:ffData>
                  <w:name w:val="Check1"/>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 xml:space="preserve">Dental  </w:t>
            </w:r>
            <w:r w:rsidRPr="000C6D45">
              <w:rPr>
                <w:rFonts w:ascii="Arial Narrow" w:eastAsia="Calibri" w:hAnsi="Arial Narrow"/>
                <w:snapToGrid/>
                <w:sz w:val="20"/>
                <w:szCs w:val="20"/>
              </w:rPr>
              <w:fldChar w:fldCharType="begin">
                <w:ffData>
                  <w:name w:val=""/>
                  <w:enabled/>
                  <w:calcOnExit w:val="0"/>
                  <w:checkBox>
                    <w:sizeAuto/>
                    <w:default w:val="1"/>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 xml:space="preserve">Medical Practitioners  </w:t>
            </w:r>
            <w:r w:rsidRPr="000C6D45">
              <w:rPr>
                <w:rFonts w:ascii="Arial Narrow" w:eastAsia="Calibri" w:hAnsi="Arial Narrow"/>
                <w:snapToGrid/>
                <w:sz w:val="20"/>
                <w:szCs w:val="20"/>
              </w:rPr>
              <w:fldChar w:fldCharType="begin">
                <w:ffData>
                  <w:name w:val="Check3"/>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 xml:space="preserve">Nurse practitioners  </w:t>
            </w:r>
            <w:r w:rsidRPr="000C6D45">
              <w:rPr>
                <w:rFonts w:ascii="Arial Narrow" w:eastAsia="Calibri" w:hAnsi="Arial Narrow"/>
                <w:snapToGrid/>
                <w:sz w:val="20"/>
                <w:szCs w:val="20"/>
              </w:rPr>
              <w:fldChar w:fldCharType="begin">
                <w:ffData>
                  <w:name w:val=""/>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Optometrists</w:t>
            </w:r>
            <w:r w:rsidR="0063106E">
              <w:rPr>
                <w:rFonts w:ascii="Arial Narrow" w:eastAsia="Calibri" w:hAnsi="Arial Narrow"/>
                <w:snapToGrid/>
                <w:sz w:val="20"/>
                <w:szCs w:val="20"/>
              </w:rPr>
              <w:t xml:space="preserve">  </w:t>
            </w:r>
            <w:r w:rsidRPr="000C6D45">
              <w:rPr>
                <w:rFonts w:ascii="Arial Narrow" w:eastAsia="Calibri" w:hAnsi="Arial Narrow"/>
                <w:snapToGrid/>
                <w:sz w:val="20"/>
                <w:szCs w:val="20"/>
              </w:rPr>
              <w:fldChar w:fldCharType="begin">
                <w:ffData>
                  <w:name w:val="Check5"/>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Midwives</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Severity:</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Locally advanced or metastatic</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Condition:</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Breast cancer</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63106E"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PBS Indication:</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Locally advanced or metastatic germline BRCA HER2-negative breast cancer</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Treatment phase:</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 xml:space="preserve">Initial treatment </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lastRenderedPageBreak/>
              <w:t>Restriction Level / Method:</w:t>
            </w:r>
          </w:p>
          <w:p w:rsidR="000C6D45" w:rsidRPr="000C6D45" w:rsidRDefault="000C6D45" w:rsidP="00F5612A">
            <w:pPr>
              <w:widowControl/>
              <w:rPr>
                <w:rFonts w:ascii="Arial Narrow" w:eastAsia="Calibri" w:hAnsi="Arial Narrow"/>
                <w:i/>
                <w:snapToGrid/>
                <w:sz w:val="20"/>
                <w:szCs w:val="20"/>
              </w:rPr>
            </w:pPr>
          </w:p>
          <w:p w:rsidR="000C6D45" w:rsidRPr="000C6D45" w:rsidRDefault="000C6D45" w:rsidP="00F5612A">
            <w:pPr>
              <w:widowControl/>
              <w:rPr>
                <w:rFonts w:ascii="Arial Narrow" w:eastAsia="Calibri" w:hAnsi="Arial Narrow"/>
                <w:i/>
                <w:snapToGrid/>
                <w:sz w:val="20"/>
                <w:szCs w:val="20"/>
              </w:rPr>
            </w:pPr>
          </w:p>
          <w:p w:rsidR="000C6D45" w:rsidRPr="000C6D45" w:rsidRDefault="000C6D45" w:rsidP="00F5612A">
            <w:pPr>
              <w:widowControl/>
              <w:rPr>
                <w:rFonts w:ascii="Arial Narrow" w:eastAsia="Calibri" w:hAnsi="Arial Narrow"/>
                <w:i/>
                <w:snapToGrid/>
                <w:sz w:val="20"/>
                <w:szCs w:val="20"/>
              </w:rPr>
            </w:pP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fldChar w:fldCharType="begin">
                <w:ffData>
                  <w:name w:val="Check1"/>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Restricted benefit</w:t>
            </w:r>
          </w:p>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fldChar w:fldCharType="begin">
                <w:ffData>
                  <w:name w:val=""/>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Authority Required – In Writing</w:t>
            </w:r>
          </w:p>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fldChar w:fldCharType="begin">
                <w:ffData>
                  <w:name w:val=""/>
                  <w:enabled/>
                  <w:calcOnExit w:val="0"/>
                  <w:checkBox>
                    <w:sizeAuto/>
                    <w:default w:val="1"/>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Authority Required – Telephone</w:t>
            </w:r>
            <w:r w:rsidRPr="000C6D45">
              <w:rPr>
                <w:rFonts w:ascii="Arial Narrow" w:eastAsia="Calibri" w:hAnsi="Arial Narrow"/>
                <w:strike/>
                <w:snapToGrid/>
                <w:sz w:val="20"/>
                <w:szCs w:val="20"/>
              </w:rPr>
              <w:t>/</w:t>
            </w:r>
            <w:r w:rsidRPr="000C6D45">
              <w:rPr>
                <w:rFonts w:ascii="Arial Narrow" w:eastAsia="Calibri" w:hAnsi="Arial Narrow"/>
                <w:snapToGrid/>
                <w:sz w:val="20"/>
                <w:szCs w:val="20"/>
              </w:rPr>
              <w:t>Electronic/Emergency</w:t>
            </w:r>
          </w:p>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fldChar w:fldCharType="begin">
                <w:ffData>
                  <w:name w:val="Check5"/>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Streamlined</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Clinical criteria:</w:t>
            </w:r>
          </w:p>
          <w:p w:rsidR="000C6D45" w:rsidRPr="000C6D45" w:rsidRDefault="000C6D45" w:rsidP="00F5612A">
            <w:pPr>
              <w:widowControl/>
              <w:rPr>
                <w:rFonts w:ascii="Arial Narrow" w:eastAsia="Calibri" w:hAnsi="Arial Narrow"/>
                <w:b/>
                <w:snapToGrid/>
                <w:sz w:val="20"/>
                <w:szCs w:val="20"/>
              </w:rPr>
            </w:pP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 xml:space="preserve">The condition must be human epidermal growth factor receptor 2 (HER2) negative </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 xml:space="preserve">AND </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 xml:space="preserve">The condition must be inoperable </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 xml:space="preserve">AND </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 xml:space="preserve">Patient must have a positive germline BRCA1 or BRCA2 gene mutation </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 xml:space="preserve">AND </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Patient must be resistant to endocrine therapy and/or have received at least one previous chemotherapy regimen in the neo(adjuvant), locally advanced or metastatic setting</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 xml:space="preserve">AND </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The treatment must be the sole PBS-subsidised therapy for this condition</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 xml:space="preserve">AND </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 xml:space="preserve">Patient must not have previously received PBS-subsidised treatment with a poly ADP ribose polymerase (PARP) inhibitor </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AND</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Patients must not receive more than 6 months of treatment under this restriction</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Population criteria:</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i/>
                <w:snapToGrid/>
                <w:sz w:val="20"/>
                <w:szCs w:val="20"/>
              </w:rPr>
            </w:pPr>
            <w:r w:rsidRPr="000C6D45">
              <w:rPr>
                <w:rFonts w:ascii="Arial Narrow" w:eastAsia="Calibri" w:hAnsi="Arial Narrow"/>
                <w:i/>
                <w:snapToGrid/>
                <w:sz w:val="20"/>
                <w:szCs w:val="20"/>
              </w:rPr>
              <w:t>Patient must be 18 years or older.</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Prescriber Instructions:</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63106E">
            <w:pPr>
              <w:widowControl/>
              <w:rPr>
                <w:rFonts w:ascii="Arial Narrow" w:eastAsia="Calibri" w:hAnsi="Arial Narrow" w:cs="Calibri"/>
                <w:i/>
                <w:snapToGrid/>
                <w:szCs w:val="24"/>
              </w:rPr>
            </w:pPr>
            <w:r w:rsidRPr="000C6D45">
              <w:rPr>
                <w:rFonts w:ascii="Arial Narrow" w:eastAsia="Calibri" w:hAnsi="Arial Narrow" w:cs="Calibri"/>
                <w:i/>
                <w:snapToGrid/>
                <w:sz w:val="20"/>
                <w:szCs w:val="24"/>
              </w:rPr>
              <w:t xml:space="preserve">Evidence of a BRCA1 or BRCA2 gene mutation must be derived through germline testing </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Administrative Advice:</w:t>
            </w:r>
          </w:p>
          <w:p w:rsidR="000C6D45" w:rsidRPr="000C6D45" w:rsidRDefault="000C6D45" w:rsidP="00F5612A">
            <w:pPr>
              <w:widowControl/>
              <w:rPr>
                <w:rFonts w:ascii="Arial Narrow" w:eastAsia="Calibri" w:hAnsi="Arial Narrow"/>
                <w:i/>
                <w:snapToGrid/>
                <w:sz w:val="20"/>
                <w:szCs w:val="20"/>
              </w:rPr>
            </w:pP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63106E">
            <w:pPr>
              <w:widowControl/>
              <w:rPr>
                <w:rFonts w:ascii="Arial Narrow" w:eastAsia="Calibri" w:hAnsi="Arial Narrow" w:cs="Calibri"/>
                <w:i/>
                <w:snapToGrid/>
                <w:sz w:val="20"/>
                <w:szCs w:val="24"/>
              </w:rPr>
            </w:pPr>
            <w:r w:rsidRPr="000C6D45">
              <w:rPr>
                <w:rFonts w:ascii="Arial Narrow" w:eastAsia="Calibri" w:hAnsi="Arial Narrow" w:cs="Calibri"/>
                <w:i/>
                <w:snapToGrid/>
                <w:sz w:val="20"/>
                <w:szCs w:val="24"/>
              </w:rPr>
              <w:t>No increase in the maximum quantity or number of units may be authorised</w:t>
            </w:r>
          </w:p>
          <w:p w:rsidR="000C6D45" w:rsidRPr="000C6D45" w:rsidRDefault="000C6D45" w:rsidP="0063106E">
            <w:pPr>
              <w:widowControl/>
              <w:rPr>
                <w:rFonts w:ascii="Arial Narrow" w:eastAsia="Calibri" w:hAnsi="Arial Narrow" w:cs="Calibri"/>
                <w:i/>
                <w:snapToGrid/>
                <w:sz w:val="20"/>
                <w:szCs w:val="24"/>
              </w:rPr>
            </w:pPr>
            <w:r w:rsidRPr="000C6D45">
              <w:rPr>
                <w:rFonts w:ascii="Arial Narrow" w:eastAsia="Calibri" w:hAnsi="Arial Narrow" w:cs="Calibri"/>
                <w:i/>
                <w:snapToGrid/>
                <w:sz w:val="20"/>
                <w:szCs w:val="24"/>
              </w:rPr>
              <w:t>No increase in the maximum number of repeats may be authorised</w:t>
            </w:r>
          </w:p>
          <w:p w:rsidR="000C6D45" w:rsidRPr="000C6D45" w:rsidRDefault="000C6D45" w:rsidP="0063106E">
            <w:pPr>
              <w:widowControl/>
              <w:rPr>
                <w:rFonts w:ascii="Arial Narrow" w:eastAsia="Calibri" w:hAnsi="Arial Narrow" w:cs="Calibri"/>
                <w:i/>
                <w:snapToGrid/>
                <w:sz w:val="20"/>
                <w:szCs w:val="24"/>
              </w:rPr>
            </w:pPr>
          </w:p>
          <w:p w:rsidR="000C6D45" w:rsidRPr="000C6D45" w:rsidRDefault="000C6D45" w:rsidP="0063106E">
            <w:pPr>
              <w:widowControl/>
              <w:rPr>
                <w:rFonts w:ascii="Arial Narrow" w:eastAsia="Calibri" w:hAnsi="Arial Narrow" w:cs="Calibri"/>
                <w:i/>
                <w:snapToGrid/>
                <w:sz w:val="20"/>
                <w:szCs w:val="24"/>
              </w:rPr>
            </w:pPr>
            <w:r w:rsidRPr="000C6D45">
              <w:rPr>
                <w:rFonts w:ascii="Arial Narrow" w:eastAsia="Calibri" w:hAnsi="Arial Narrow" w:cs="Calibri"/>
                <w:i/>
                <w:snapToGrid/>
                <w:sz w:val="20"/>
                <w:szCs w:val="24"/>
              </w:rPr>
              <w:t>Applications for authorisation under this criterion may be made by telephone by contacting the Department of Human Services on 1800 700 270 (hours of operation 8 a.m. to 5 p.m. EST Monday to Friday).</w:t>
            </w:r>
          </w:p>
        </w:tc>
      </w:tr>
    </w:tbl>
    <w:p w:rsidR="000C6D45" w:rsidRPr="000C6D45" w:rsidRDefault="000C6D45" w:rsidP="000C6D45">
      <w:pPr>
        <w:widowControl/>
        <w:spacing w:after="160" w:line="259" w:lineRule="auto"/>
        <w:jc w:val="left"/>
        <w:rPr>
          <w:rFonts w:ascii="Times New Roman" w:eastAsia="Calibri" w:hAnsi="Times New Roman" w:cs="Times New Roman"/>
          <w:snapToGrid/>
          <w:szCs w:val="24"/>
        </w:rPr>
      </w:pPr>
    </w:p>
    <w:tbl>
      <w:tblPr>
        <w:tblW w:w="5000" w:type="pct"/>
        <w:tblLook w:val="0000" w:firstRow="0" w:lastRow="0" w:firstColumn="0" w:lastColumn="0" w:noHBand="0" w:noVBand="0"/>
      </w:tblPr>
      <w:tblGrid>
        <w:gridCol w:w="2411"/>
        <w:gridCol w:w="787"/>
        <w:gridCol w:w="556"/>
        <w:gridCol w:w="832"/>
        <w:gridCol w:w="1666"/>
        <w:gridCol w:w="1527"/>
        <w:gridCol w:w="1248"/>
      </w:tblGrid>
      <w:tr w:rsidR="000C6D45" w:rsidRPr="000C6D45" w:rsidTr="0063106E">
        <w:trPr>
          <w:cantSplit/>
          <w:trHeight w:val="20"/>
        </w:trPr>
        <w:tc>
          <w:tcPr>
            <w:tcW w:w="1771" w:type="pct"/>
            <w:gridSpan w:val="2"/>
            <w:tcBorders>
              <w:bottom w:val="single" w:sz="4" w:space="0" w:color="auto"/>
            </w:tcBorders>
          </w:tcPr>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Name, Restriction,</w:t>
            </w:r>
          </w:p>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Manner of administration and form</w:t>
            </w:r>
          </w:p>
        </w:tc>
        <w:tc>
          <w:tcPr>
            <w:tcW w:w="308" w:type="pct"/>
            <w:tcBorders>
              <w:bottom w:val="single" w:sz="4" w:space="0" w:color="auto"/>
            </w:tcBorders>
          </w:tcPr>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Max.</w:t>
            </w:r>
          </w:p>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Qty</w:t>
            </w:r>
          </w:p>
        </w:tc>
        <w:tc>
          <w:tcPr>
            <w:tcW w:w="461" w:type="pct"/>
            <w:tcBorders>
              <w:bottom w:val="single" w:sz="4" w:space="0" w:color="auto"/>
            </w:tcBorders>
          </w:tcPr>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№.of</w:t>
            </w:r>
          </w:p>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Rpts</w:t>
            </w:r>
          </w:p>
        </w:tc>
        <w:tc>
          <w:tcPr>
            <w:tcW w:w="923" w:type="pct"/>
            <w:tcBorders>
              <w:bottom w:val="single" w:sz="4" w:space="0" w:color="auto"/>
            </w:tcBorders>
          </w:tcPr>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Dispensed Price for Max. Qty</w:t>
            </w:r>
          </w:p>
        </w:tc>
        <w:tc>
          <w:tcPr>
            <w:tcW w:w="1538" w:type="pct"/>
            <w:gridSpan w:val="2"/>
            <w:tcBorders>
              <w:bottom w:val="single" w:sz="4" w:space="0" w:color="auto"/>
            </w:tcBorders>
          </w:tcPr>
          <w:p w:rsidR="000C6D45" w:rsidRPr="0063106E" w:rsidRDefault="000C6D45" w:rsidP="00F5612A">
            <w:pPr>
              <w:widowControl/>
              <w:jc w:val="left"/>
              <w:rPr>
                <w:rFonts w:ascii="Arial Narrow" w:eastAsia="Calibri" w:hAnsi="Arial Narrow"/>
                <w:b/>
                <w:snapToGrid/>
                <w:sz w:val="20"/>
                <w:szCs w:val="20"/>
                <w:lang w:val="fr-FR"/>
              </w:rPr>
            </w:pPr>
            <w:r w:rsidRPr="0063106E">
              <w:rPr>
                <w:rFonts w:ascii="Arial Narrow" w:eastAsia="Calibri" w:hAnsi="Arial Narrow"/>
                <w:b/>
                <w:snapToGrid/>
                <w:sz w:val="20"/>
                <w:szCs w:val="20"/>
              </w:rPr>
              <w:t>Proprietary Name and Manufacturer</w:t>
            </w:r>
          </w:p>
        </w:tc>
      </w:tr>
      <w:tr w:rsidR="000C6D45" w:rsidRPr="000C6D45" w:rsidTr="0063106E">
        <w:trPr>
          <w:cantSplit/>
          <w:trHeight w:val="20"/>
        </w:trPr>
        <w:tc>
          <w:tcPr>
            <w:tcW w:w="1771" w:type="pct"/>
            <w:gridSpan w:val="2"/>
          </w:tcPr>
          <w:p w:rsidR="000C6D45" w:rsidRPr="000C6D45" w:rsidRDefault="000C6D45" w:rsidP="00F5612A">
            <w:pPr>
              <w:widowControl/>
              <w:ind w:left="-108"/>
              <w:rPr>
                <w:rFonts w:ascii="Arial Narrow" w:eastAsia="Calibri" w:hAnsi="Arial Narrow"/>
                <w:snapToGrid/>
                <w:sz w:val="20"/>
                <w:szCs w:val="20"/>
              </w:rPr>
            </w:pPr>
            <w:r w:rsidRPr="000C6D45">
              <w:rPr>
                <w:rFonts w:ascii="Arial Narrow" w:eastAsia="Calibri" w:hAnsi="Arial Narrow"/>
                <w:smallCaps/>
                <w:snapToGrid/>
                <w:sz w:val="20"/>
                <w:szCs w:val="20"/>
              </w:rPr>
              <w:t xml:space="preserve">Talazoparib </w:t>
            </w:r>
          </w:p>
          <w:p w:rsidR="000C6D45" w:rsidRPr="000C6D45" w:rsidRDefault="000C6D45" w:rsidP="00F5612A">
            <w:pPr>
              <w:widowControl/>
              <w:ind w:left="-108"/>
              <w:rPr>
                <w:rFonts w:ascii="Arial Narrow" w:eastAsia="Calibri" w:hAnsi="Arial Narrow"/>
                <w:snapToGrid/>
                <w:color w:val="FF0000"/>
                <w:sz w:val="20"/>
                <w:szCs w:val="20"/>
              </w:rPr>
            </w:pPr>
            <w:r w:rsidRPr="000C6D45">
              <w:rPr>
                <w:rFonts w:ascii="Arial Narrow" w:eastAsia="Calibri" w:hAnsi="Arial Narrow" w:cs="Calibri"/>
                <w:snapToGrid/>
                <w:sz w:val="20"/>
                <w:szCs w:val="20"/>
              </w:rPr>
              <w:t>1 mg capsule, 30</w:t>
            </w:r>
          </w:p>
        </w:tc>
        <w:tc>
          <w:tcPr>
            <w:tcW w:w="308" w:type="pct"/>
          </w:tcPr>
          <w:p w:rsidR="000C6D45" w:rsidRPr="000C6D45" w:rsidRDefault="000C6D45" w:rsidP="00F5612A">
            <w:pPr>
              <w:widowControl/>
              <w:ind w:left="-108"/>
              <w:rPr>
                <w:rFonts w:ascii="Arial Narrow" w:eastAsia="Calibri" w:hAnsi="Arial Narrow"/>
                <w:snapToGrid/>
                <w:sz w:val="20"/>
                <w:szCs w:val="20"/>
              </w:rPr>
            </w:pPr>
          </w:p>
          <w:p w:rsidR="000C6D45" w:rsidRPr="000C6D45" w:rsidRDefault="000C6D45" w:rsidP="00F5612A">
            <w:pPr>
              <w:widowControl/>
              <w:ind w:left="-108"/>
              <w:rPr>
                <w:rFonts w:ascii="Arial Narrow" w:eastAsia="Calibri" w:hAnsi="Arial Narrow"/>
                <w:snapToGrid/>
                <w:sz w:val="20"/>
                <w:szCs w:val="20"/>
              </w:rPr>
            </w:pPr>
            <w:r w:rsidRPr="000C6D45">
              <w:rPr>
                <w:rFonts w:ascii="Arial Narrow" w:eastAsia="Calibri" w:hAnsi="Arial Narrow"/>
                <w:snapToGrid/>
                <w:sz w:val="20"/>
                <w:szCs w:val="20"/>
              </w:rPr>
              <w:t>30</w:t>
            </w:r>
          </w:p>
          <w:p w:rsidR="000C6D45" w:rsidRPr="000C6D45" w:rsidRDefault="000C6D45" w:rsidP="00F5612A">
            <w:pPr>
              <w:widowControl/>
              <w:ind w:left="-108"/>
              <w:rPr>
                <w:rFonts w:ascii="Arial Narrow" w:eastAsia="Calibri" w:hAnsi="Arial Narrow"/>
                <w:snapToGrid/>
                <w:sz w:val="20"/>
                <w:szCs w:val="20"/>
              </w:rPr>
            </w:pPr>
          </w:p>
        </w:tc>
        <w:tc>
          <w:tcPr>
            <w:tcW w:w="461" w:type="pct"/>
          </w:tcPr>
          <w:p w:rsidR="000C6D45" w:rsidRPr="000C6D45" w:rsidRDefault="000C6D45" w:rsidP="00F5612A">
            <w:pPr>
              <w:widowControl/>
              <w:ind w:left="-108"/>
              <w:rPr>
                <w:rFonts w:ascii="Arial Narrow" w:eastAsia="Calibri" w:hAnsi="Arial Narrow"/>
                <w:snapToGrid/>
                <w:sz w:val="20"/>
                <w:szCs w:val="20"/>
              </w:rPr>
            </w:pPr>
          </w:p>
          <w:p w:rsidR="000C6D45" w:rsidRPr="000C6D45" w:rsidRDefault="000C6D45" w:rsidP="00F5612A">
            <w:pPr>
              <w:widowControl/>
              <w:ind w:left="-108"/>
              <w:rPr>
                <w:rFonts w:ascii="Arial Narrow" w:eastAsia="Calibri" w:hAnsi="Arial Narrow"/>
                <w:snapToGrid/>
                <w:sz w:val="20"/>
                <w:szCs w:val="20"/>
              </w:rPr>
            </w:pPr>
            <w:r w:rsidRPr="000C6D45">
              <w:rPr>
                <w:rFonts w:ascii="Arial Narrow" w:eastAsia="Calibri" w:hAnsi="Arial Narrow"/>
                <w:snapToGrid/>
                <w:sz w:val="20"/>
                <w:szCs w:val="20"/>
              </w:rPr>
              <w:t>5</w:t>
            </w:r>
          </w:p>
          <w:p w:rsidR="000C6D45" w:rsidRPr="000C6D45" w:rsidRDefault="000C6D45" w:rsidP="00F5612A">
            <w:pPr>
              <w:widowControl/>
              <w:ind w:left="-108"/>
              <w:rPr>
                <w:rFonts w:ascii="Arial Narrow" w:eastAsia="Calibri" w:hAnsi="Arial Narrow"/>
                <w:snapToGrid/>
                <w:sz w:val="20"/>
                <w:szCs w:val="20"/>
              </w:rPr>
            </w:pPr>
          </w:p>
        </w:tc>
        <w:tc>
          <w:tcPr>
            <w:tcW w:w="923" w:type="pct"/>
          </w:tcPr>
          <w:p w:rsidR="000C6D45" w:rsidRPr="000C6D45" w:rsidRDefault="000C6D45" w:rsidP="00F5612A">
            <w:pPr>
              <w:widowControl/>
              <w:ind w:left="-108"/>
              <w:rPr>
                <w:rFonts w:ascii="Arial Narrow" w:eastAsia="Calibri" w:hAnsi="Arial Narrow"/>
                <w:snapToGrid/>
                <w:sz w:val="20"/>
                <w:szCs w:val="20"/>
              </w:rPr>
            </w:pPr>
            <w:r w:rsidRPr="000C6D45">
              <w:rPr>
                <w:rFonts w:ascii="Arial Narrow" w:eastAsia="Calibri" w:hAnsi="Arial Narrow"/>
                <w:snapToGrid/>
                <w:sz w:val="20"/>
                <w:szCs w:val="20"/>
              </w:rPr>
              <w:t>$</w:t>
            </w:r>
            <w:r w:rsidR="0099600C" w:rsidRPr="0099600C">
              <w:rPr>
                <w:rFonts w:ascii="Arial Narrow" w:eastAsia="Calibri" w:hAnsi="Arial Narrow"/>
                <w:snapToGrid/>
                <w:sz w:val="20"/>
                <w:szCs w:val="20"/>
              </w:rPr>
              <w:t xml:space="preserve">7,459.34 </w:t>
            </w:r>
            <w:r w:rsidRPr="000C6D45">
              <w:rPr>
                <w:rFonts w:ascii="Arial Narrow" w:eastAsia="Calibri" w:hAnsi="Arial Narrow"/>
                <w:snapToGrid/>
                <w:sz w:val="20"/>
                <w:szCs w:val="20"/>
              </w:rPr>
              <w:t>(Public)</w:t>
            </w:r>
          </w:p>
          <w:p w:rsidR="000C6D45" w:rsidRPr="000C6D45" w:rsidRDefault="000C6D45" w:rsidP="00F5612A">
            <w:pPr>
              <w:widowControl/>
              <w:ind w:left="-108"/>
              <w:rPr>
                <w:rFonts w:ascii="Arial Narrow" w:eastAsia="Calibri" w:hAnsi="Arial Narrow"/>
                <w:snapToGrid/>
                <w:sz w:val="20"/>
                <w:szCs w:val="20"/>
              </w:rPr>
            </w:pPr>
            <w:r w:rsidRPr="000C6D45">
              <w:rPr>
                <w:rFonts w:ascii="Arial Narrow" w:eastAsia="Calibri" w:hAnsi="Arial Narrow"/>
                <w:snapToGrid/>
                <w:sz w:val="20"/>
                <w:szCs w:val="20"/>
              </w:rPr>
              <w:t>$</w:t>
            </w:r>
            <w:r w:rsidR="00EB7243">
              <w:rPr>
                <w:rFonts w:ascii="Arial Narrow" w:eastAsia="Calibri" w:hAnsi="Arial Narrow"/>
                <w:noProof/>
                <w:snapToGrid/>
                <w:color w:val="000000"/>
                <w:sz w:val="20"/>
                <w:szCs w:val="20"/>
                <w:highlight w:val="black"/>
              </w:rPr>
              <w:t>''''''''''''''''''''''</w:t>
            </w:r>
            <w:r w:rsidR="0099600C" w:rsidRPr="0099600C">
              <w:rPr>
                <w:rFonts w:ascii="Arial Narrow" w:eastAsia="Calibri" w:hAnsi="Arial Narrow"/>
                <w:snapToGrid/>
                <w:sz w:val="20"/>
                <w:szCs w:val="20"/>
              </w:rPr>
              <w:t xml:space="preserve"> </w:t>
            </w:r>
            <w:r w:rsidRPr="000C6D45">
              <w:rPr>
                <w:rFonts w:ascii="Arial Narrow" w:eastAsia="Calibri" w:hAnsi="Arial Narrow"/>
                <w:snapToGrid/>
                <w:sz w:val="20"/>
                <w:szCs w:val="20"/>
              </w:rPr>
              <w:t>(Effective)</w:t>
            </w:r>
          </w:p>
          <w:p w:rsidR="000C6D45" w:rsidRPr="000C6D45" w:rsidRDefault="000C6D45" w:rsidP="00F5612A">
            <w:pPr>
              <w:widowControl/>
              <w:rPr>
                <w:rFonts w:ascii="Arial Narrow" w:eastAsia="Calibri" w:hAnsi="Arial Narrow"/>
                <w:snapToGrid/>
                <w:sz w:val="20"/>
                <w:szCs w:val="20"/>
              </w:rPr>
            </w:pPr>
          </w:p>
        </w:tc>
        <w:tc>
          <w:tcPr>
            <w:tcW w:w="846" w:type="pct"/>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Talzenna</w:t>
            </w:r>
          </w:p>
          <w:p w:rsidR="000C6D45" w:rsidRPr="000C6D45" w:rsidRDefault="000C6D45" w:rsidP="00F5612A">
            <w:pPr>
              <w:widowControl/>
              <w:rPr>
                <w:rFonts w:ascii="Arial Narrow" w:eastAsia="Calibri" w:hAnsi="Arial Narrow"/>
                <w:snapToGrid/>
                <w:sz w:val="20"/>
                <w:szCs w:val="20"/>
              </w:rPr>
            </w:pPr>
          </w:p>
          <w:p w:rsidR="000C6D45" w:rsidRPr="000C6D45" w:rsidRDefault="000C6D45" w:rsidP="00F5612A">
            <w:pPr>
              <w:widowControl/>
              <w:rPr>
                <w:rFonts w:ascii="Arial Narrow" w:eastAsia="Calibri" w:hAnsi="Arial Narrow"/>
                <w:snapToGrid/>
                <w:sz w:val="20"/>
                <w:szCs w:val="20"/>
              </w:rPr>
            </w:pPr>
          </w:p>
          <w:p w:rsidR="000C6D45" w:rsidRPr="000C6D45" w:rsidRDefault="000C6D45" w:rsidP="00F5612A">
            <w:pPr>
              <w:widowControl/>
              <w:rPr>
                <w:rFonts w:ascii="Arial Narrow" w:eastAsia="Calibri" w:hAnsi="Arial Narrow"/>
                <w:snapToGrid/>
                <w:sz w:val="20"/>
                <w:szCs w:val="20"/>
              </w:rPr>
            </w:pPr>
          </w:p>
        </w:tc>
        <w:tc>
          <w:tcPr>
            <w:tcW w:w="692" w:type="pct"/>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Pfizer Australia Pty Ltd</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Category / Program:</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GENERAL – General Schedule (Code GE)</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Prescriber type:</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63106E">
            <w:pPr>
              <w:widowControl/>
              <w:rPr>
                <w:rFonts w:ascii="Arial Narrow" w:eastAsia="Calibri" w:hAnsi="Arial Narrow"/>
                <w:snapToGrid/>
                <w:sz w:val="20"/>
                <w:szCs w:val="20"/>
              </w:rPr>
            </w:pPr>
            <w:r w:rsidRPr="000C6D45">
              <w:rPr>
                <w:rFonts w:ascii="Arial Narrow" w:eastAsia="Calibri" w:hAnsi="Arial Narrow"/>
                <w:snapToGrid/>
                <w:sz w:val="20"/>
                <w:szCs w:val="20"/>
              </w:rPr>
              <w:fldChar w:fldCharType="begin">
                <w:ffData>
                  <w:name w:val="Check1"/>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 xml:space="preserve">Dental  </w:t>
            </w:r>
            <w:r w:rsidRPr="000C6D45">
              <w:rPr>
                <w:rFonts w:ascii="Arial Narrow" w:eastAsia="Calibri" w:hAnsi="Arial Narrow"/>
                <w:snapToGrid/>
                <w:sz w:val="20"/>
                <w:szCs w:val="20"/>
              </w:rPr>
              <w:fldChar w:fldCharType="begin">
                <w:ffData>
                  <w:name w:val=""/>
                  <w:enabled/>
                  <w:calcOnExit w:val="0"/>
                  <w:checkBox>
                    <w:sizeAuto/>
                    <w:default w:val="1"/>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 xml:space="preserve">Medical Practitioners  </w:t>
            </w:r>
            <w:r w:rsidRPr="000C6D45">
              <w:rPr>
                <w:rFonts w:ascii="Arial Narrow" w:eastAsia="Calibri" w:hAnsi="Arial Narrow"/>
                <w:snapToGrid/>
                <w:sz w:val="20"/>
                <w:szCs w:val="20"/>
              </w:rPr>
              <w:fldChar w:fldCharType="begin">
                <w:ffData>
                  <w:name w:val="Check3"/>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 xml:space="preserve">Nurse practitioners  </w:t>
            </w:r>
            <w:r w:rsidRPr="000C6D45">
              <w:rPr>
                <w:rFonts w:ascii="Arial Narrow" w:eastAsia="Calibri" w:hAnsi="Arial Narrow"/>
                <w:snapToGrid/>
                <w:sz w:val="20"/>
                <w:szCs w:val="20"/>
              </w:rPr>
              <w:fldChar w:fldCharType="begin">
                <w:ffData>
                  <w:name w:val=""/>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Optometrists</w:t>
            </w:r>
            <w:r w:rsidR="0063106E">
              <w:rPr>
                <w:rFonts w:ascii="Arial Narrow" w:eastAsia="Calibri" w:hAnsi="Arial Narrow"/>
                <w:snapToGrid/>
                <w:sz w:val="20"/>
                <w:szCs w:val="20"/>
              </w:rPr>
              <w:t xml:space="preserve">  </w:t>
            </w:r>
            <w:r w:rsidRPr="000C6D45">
              <w:rPr>
                <w:rFonts w:ascii="Arial Narrow" w:eastAsia="Calibri" w:hAnsi="Arial Narrow"/>
                <w:snapToGrid/>
                <w:sz w:val="20"/>
                <w:szCs w:val="20"/>
              </w:rPr>
              <w:fldChar w:fldCharType="begin">
                <w:ffData>
                  <w:name w:val="Check5"/>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Midwives</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Severity:</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Locally advanced or metastatic</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Condition:</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Breast cancer</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PBS Indication:</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Locally advanced or metastatic germline BRCA HER2-negative breast cancer</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Treatment phase:</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i/>
                <w:snapToGrid/>
                <w:sz w:val="20"/>
                <w:szCs w:val="20"/>
              </w:rPr>
            </w:pPr>
            <w:r w:rsidRPr="000C6D45">
              <w:rPr>
                <w:rFonts w:ascii="Arial Narrow" w:eastAsia="Calibri" w:hAnsi="Arial Narrow"/>
                <w:snapToGrid/>
                <w:sz w:val="20"/>
                <w:szCs w:val="20"/>
              </w:rPr>
              <w:t xml:space="preserve">Continuing treatment </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Restriction Level / Method:</w:t>
            </w:r>
          </w:p>
          <w:p w:rsidR="000C6D45" w:rsidRPr="000C6D45" w:rsidRDefault="000C6D45" w:rsidP="00F5612A">
            <w:pPr>
              <w:widowControl/>
              <w:rPr>
                <w:rFonts w:ascii="Arial Narrow" w:eastAsia="Calibri" w:hAnsi="Arial Narrow"/>
                <w:i/>
                <w:snapToGrid/>
                <w:sz w:val="20"/>
                <w:szCs w:val="20"/>
              </w:rPr>
            </w:pPr>
          </w:p>
          <w:p w:rsidR="000C6D45" w:rsidRPr="000C6D45" w:rsidRDefault="000C6D45" w:rsidP="00F5612A">
            <w:pPr>
              <w:widowControl/>
              <w:rPr>
                <w:rFonts w:ascii="Arial Narrow" w:eastAsia="Calibri" w:hAnsi="Arial Narrow"/>
                <w:i/>
                <w:snapToGrid/>
                <w:sz w:val="20"/>
                <w:szCs w:val="20"/>
              </w:rPr>
            </w:pPr>
          </w:p>
          <w:p w:rsidR="000C6D45" w:rsidRPr="000C6D45" w:rsidRDefault="000C6D45" w:rsidP="00F5612A">
            <w:pPr>
              <w:widowControl/>
              <w:rPr>
                <w:rFonts w:ascii="Arial Narrow" w:eastAsia="Calibri" w:hAnsi="Arial Narrow"/>
                <w:i/>
                <w:snapToGrid/>
                <w:sz w:val="20"/>
                <w:szCs w:val="20"/>
              </w:rPr>
            </w:pP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fldChar w:fldCharType="begin">
                <w:ffData>
                  <w:name w:val="Check1"/>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Restricted benefit</w:t>
            </w:r>
          </w:p>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fldChar w:fldCharType="begin">
                <w:ffData>
                  <w:name w:val=""/>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Authority Required – In Writing</w:t>
            </w:r>
          </w:p>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fldChar w:fldCharType="begin">
                <w:ffData>
                  <w:name w:val=""/>
                  <w:enabled/>
                  <w:calcOnExit w:val="0"/>
                  <w:checkBox>
                    <w:sizeAuto/>
                    <w:default w:val="1"/>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Authority Required – Telephone</w:t>
            </w:r>
            <w:r w:rsidRPr="000C6D45">
              <w:rPr>
                <w:rFonts w:ascii="Arial Narrow" w:eastAsia="Calibri" w:hAnsi="Arial Narrow"/>
                <w:strike/>
                <w:snapToGrid/>
                <w:sz w:val="20"/>
                <w:szCs w:val="20"/>
              </w:rPr>
              <w:t>/</w:t>
            </w:r>
            <w:r w:rsidRPr="000C6D45">
              <w:rPr>
                <w:rFonts w:ascii="Arial Narrow" w:eastAsia="Calibri" w:hAnsi="Arial Narrow"/>
                <w:snapToGrid/>
                <w:sz w:val="20"/>
                <w:szCs w:val="20"/>
              </w:rPr>
              <w:t>Electronic/Emergency</w:t>
            </w:r>
          </w:p>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fldChar w:fldCharType="begin">
                <w:ffData>
                  <w:name w:val="Check5"/>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Streamlined</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lastRenderedPageBreak/>
              <w:t>Clinical criteria:</w:t>
            </w:r>
          </w:p>
          <w:p w:rsidR="000C6D45" w:rsidRPr="000C6D45" w:rsidRDefault="000C6D45" w:rsidP="00F5612A">
            <w:pPr>
              <w:widowControl/>
              <w:rPr>
                <w:rFonts w:ascii="Arial Narrow" w:eastAsia="Calibri" w:hAnsi="Arial Narrow"/>
                <w:b/>
                <w:snapToGrid/>
                <w:sz w:val="20"/>
                <w:szCs w:val="20"/>
              </w:rPr>
            </w:pP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63106E">
            <w:pPr>
              <w:widowControl/>
              <w:rPr>
                <w:rFonts w:ascii="Arial Narrow" w:eastAsia="Calibri" w:hAnsi="Arial Narrow" w:cs="Calibri"/>
                <w:strike/>
                <w:snapToGrid/>
                <w:sz w:val="20"/>
                <w:szCs w:val="20"/>
              </w:rPr>
            </w:pPr>
            <w:r w:rsidRPr="000C6D45">
              <w:rPr>
                <w:rFonts w:ascii="Arial Narrow" w:eastAsia="Calibri" w:hAnsi="Arial Narrow" w:cs="Calibri"/>
                <w:strike/>
                <w:snapToGrid/>
                <w:sz w:val="20"/>
                <w:szCs w:val="20"/>
              </w:rPr>
              <w:t xml:space="preserve">The condition must be human epidermal growth factor receptor 2 (HER2) negative </w:t>
            </w:r>
          </w:p>
          <w:p w:rsidR="000C6D45" w:rsidRPr="000C6D45" w:rsidRDefault="000C6D45" w:rsidP="0063106E">
            <w:pPr>
              <w:widowControl/>
              <w:rPr>
                <w:rFonts w:ascii="Arial Narrow" w:eastAsia="Calibri" w:hAnsi="Arial Narrow" w:cs="Calibri"/>
                <w:strike/>
                <w:snapToGrid/>
                <w:sz w:val="20"/>
                <w:szCs w:val="20"/>
              </w:rPr>
            </w:pPr>
            <w:r w:rsidRPr="000C6D45">
              <w:rPr>
                <w:rFonts w:ascii="Arial Narrow" w:eastAsia="Calibri" w:hAnsi="Arial Narrow" w:cs="Calibri"/>
                <w:strike/>
                <w:snapToGrid/>
                <w:sz w:val="20"/>
                <w:szCs w:val="20"/>
              </w:rPr>
              <w:t xml:space="preserve">AND </w:t>
            </w:r>
          </w:p>
          <w:p w:rsidR="000C6D45" w:rsidRPr="000C6D45" w:rsidRDefault="000C6D45" w:rsidP="0063106E">
            <w:pPr>
              <w:widowControl/>
              <w:rPr>
                <w:rFonts w:ascii="Arial Narrow" w:eastAsia="Calibri" w:hAnsi="Arial Narrow" w:cs="Calibri"/>
                <w:strike/>
                <w:snapToGrid/>
                <w:sz w:val="20"/>
                <w:szCs w:val="20"/>
              </w:rPr>
            </w:pPr>
            <w:r w:rsidRPr="000C6D45">
              <w:rPr>
                <w:rFonts w:ascii="Arial Narrow" w:eastAsia="Calibri" w:hAnsi="Arial Narrow" w:cs="Calibri"/>
                <w:strike/>
                <w:snapToGrid/>
                <w:sz w:val="20"/>
                <w:szCs w:val="20"/>
              </w:rPr>
              <w:t xml:space="preserve">The condition must be inoperable </w:t>
            </w:r>
          </w:p>
          <w:p w:rsidR="000C6D45" w:rsidRPr="000C6D45" w:rsidRDefault="000C6D45" w:rsidP="0063106E">
            <w:pPr>
              <w:widowControl/>
              <w:rPr>
                <w:rFonts w:ascii="Arial Narrow" w:eastAsia="Calibri" w:hAnsi="Arial Narrow" w:cs="Calibri"/>
                <w:strike/>
                <w:snapToGrid/>
                <w:sz w:val="20"/>
                <w:szCs w:val="20"/>
              </w:rPr>
            </w:pPr>
            <w:r w:rsidRPr="000C6D45">
              <w:rPr>
                <w:rFonts w:ascii="Arial Narrow" w:eastAsia="Calibri" w:hAnsi="Arial Narrow" w:cs="Calibri"/>
                <w:strike/>
                <w:snapToGrid/>
                <w:sz w:val="20"/>
                <w:szCs w:val="20"/>
              </w:rPr>
              <w:t xml:space="preserve">AND </w:t>
            </w:r>
          </w:p>
          <w:p w:rsidR="000C6D45" w:rsidRPr="000C6D45" w:rsidRDefault="000C6D45" w:rsidP="0063106E">
            <w:pPr>
              <w:widowControl/>
              <w:rPr>
                <w:rFonts w:ascii="Arial Narrow" w:eastAsia="Calibri" w:hAnsi="Arial Narrow" w:cs="Calibri"/>
                <w:strike/>
                <w:snapToGrid/>
                <w:sz w:val="20"/>
                <w:szCs w:val="20"/>
              </w:rPr>
            </w:pPr>
            <w:r w:rsidRPr="000C6D45">
              <w:rPr>
                <w:rFonts w:ascii="Arial Narrow" w:eastAsia="Calibri" w:hAnsi="Arial Narrow" w:cs="Calibri"/>
                <w:strike/>
                <w:snapToGrid/>
                <w:sz w:val="20"/>
                <w:szCs w:val="20"/>
              </w:rPr>
              <w:t xml:space="preserve">Patient must have a positive germline BRCA1 or BRCA2 gene mutation </w:t>
            </w:r>
          </w:p>
          <w:p w:rsidR="000C6D45" w:rsidRPr="000C6D45" w:rsidRDefault="000C6D45" w:rsidP="0063106E">
            <w:pPr>
              <w:widowControl/>
              <w:rPr>
                <w:rFonts w:ascii="Arial Narrow" w:eastAsia="Calibri" w:hAnsi="Arial Narrow" w:cs="Calibri"/>
                <w:snapToGrid/>
                <w:sz w:val="20"/>
                <w:szCs w:val="20"/>
              </w:rPr>
            </w:pPr>
            <w:r w:rsidRPr="000C6D45">
              <w:rPr>
                <w:rFonts w:ascii="Arial Narrow" w:eastAsia="Calibri" w:hAnsi="Arial Narrow" w:cs="Calibri"/>
                <w:snapToGrid/>
                <w:sz w:val="20"/>
                <w:szCs w:val="20"/>
              </w:rPr>
              <w:t xml:space="preserve">AND </w:t>
            </w:r>
          </w:p>
          <w:p w:rsidR="000C6D45" w:rsidRPr="000C6D45" w:rsidRDefault="000C6D45" w:rsidP="0063106E">
            <w:pPr>
              <w:widowControl/>
              <w:rPr>
                <w:rFonts w:ascii="Arial Narrow" w:eastAsia="Calibri" w:hAnsi="Arial Narrow" w:cs="Calibri"/>
                <w:strike/>
                <w:snapToGrid/>
                <w:sz w:val="20"/>
                <w:szCs w:val="20"/>
              </w:rPr>
            </w:pPr>
            <w:r w:rsidRPr="000C6D45">
              <w:rPr>
                <w:rFonts w:ascii="Arial Narrow" w:eastAsia="Calibri" w:hAnsi="Arial Narrow" w:cs="Calibri"/>
                <w:strike/>
                <w:snapToGrid/>
                <w:sz w:val="20"/>
                <w:szCs w:val="20"/>
              </w:rPr>
              <w:t>Patient must be resistant to endocrine therapy and/or have received at least one previous chemotherapy regimen in the neo(adjuvant), locally advanced or metastatic setting</w:t>
            </w:r>
          </w:p>
          <w:p w:rsidR="000C6D45" w:rsidRPr="000C6D45" w:rsidRDefault="000C6D45" w:rsidP="0063106E">
            <w:pPr>
              <w:widowControl/>
              <w:rPr>
                <w:rFonts w:ascii="Arial Narrow" w:eastAsia="Calibri" w:hAnsi="Arial Narrow" w:cs="Calibri"/>
                <w:strike/>
                <w:snapToGrid/>
                <w:sz w:val="20"/>
                <w:szCs w:val="20"/>
              </w:rPr>
            </w:pPr>
            <w:r w:rsidRPr="000C6D45">
              <w:rPr>
                <w:rFonts w:ascii="Arial Narrow" w:eastAsia="Calibri" w:hAnsi="Arial Narrow" w:cs="Calibri"/>
                <w:strike/>
                <w:snapToGrid/>
                <w:sz w:val="20"/>
                <w:szCs w:val="20"/>
              </w:rPr>
              <w:t xml:space="preserve">AND </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Patient must have previously received PBS-subsidised treatment with this drug for this condition</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 xml:space="preserve">AND </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Patient must not develop disease progression while receiving treatment with this drug for this condition</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 xml:space="preserve">AND </w:t>
            </w:r>
          </w:p>
          <w:p w:rsidR="000C6D45" w:rsidRPr="000C6D45" w:rsidRDefault="000C6D45" w:rsidP="0063106E">
            <w:pPr>
              <w:widowControl/>
              <w:rPr>
                <w:rFonts w:ascii="Arial Narrow" w:eastAsia="Calibri" w:hAnsi="Arial Narrow" w:cs="Calibri"/>
                <w:snapToGrid/>
                <w:sz w:val="20"/>
                <w:szCs w:val="20"/>
              </w:rPr>
            </w:pPr>
            <w:r w:rsidRPr="000C6D45">
              <w:rPr>
                <w:rFonts w:ascii="Arial Narrow" w:eastAsia="Calibri" w:hAnsi="Arial Narrow" w:cs="Calibri"/>
                <w:snapToGrid/>
                <w:sz w:val="20"/>
                <w:szCs w:val="20"/>
              </w:rPr>
              <w:t>The treatment must be the sole PBS-subsidised therapy for this condition</w:t>
            </w:r>
          </w:p>
          <w:p w:rsidR="000C6D45" w:rsidRPr="000C6D45" w:rsidRDefault="000C6D45" w:rsidP="0063106E">
            <w:pPr>
              <w:widowControl/>
              <w:rPr>
                <w:rFonts w:ascii="Arial Narrow" w:eastAsia="Calibri" w:hAnsi="Arial Narrow" w:cs="Calibri"/>
                <w:i/>
                <w:strike/>
                <w:snapToGrid/>
                <w:sz w:val="20"/>
                <w:szCs w:val="20"/>
              </w:rPr>
            </w:pPr>
            <w:r w:rsidRPr="000C6D45">
              <w:rPr>
                <w:rFonts w:ascii="Arial Narrow" w:eastAsia="Calibri" w:hAnsi="Arial Narrow" w:cs="Calibri"/>
                <w:strike/>
                <w:snapToGrid/>
                <w:sz w:val="20"/>
                <w:szCs w:val="20"/>
              </w:rPr>
              <w:t>Evidence of a BRCA1 or BRAC2 gene mutation must be derived through germline testing</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Population criteria:</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trike/>
                <w:snapToGrid/>
                <w:sz w:val="20"/>
                <w:szCs w:val="20"/>
              </w:rPr>
              <w:t>The</w:t>
            </w:r>
            <w:r w:rsidRPr="000C6D45">
              <w:rPr>
                <w:rFonts w:ascii="Arial Narrow" w:eastAsia="Calibri" w:hAnsi="Arial Narrow"/>
                <w:snapToGrid/>
                <w:sz w:val="20"/>
                <w:szCs w:val="20"/>
              </w:rPr>
              <w:t xml:space="preserve"> </w:t>
            </w:r>
            <w:r w:rsidRPr="000C6D45">
              <w:rPr>
                <w:rFonts w:ascii="Arial Narrow" w:eastAsia="Calibri" w:hAnsi="Arial Narrow"/>
                <w:strike/>
                <w:snapToGrid/>
                <w:sz w:val="20"/>
                <w:szCs w:val="20"/>
              </w:rPr>
              <w:t>p</w:t>
            </w:r>
            <w:r w:rsidRPr="000C6D45">
              <w:rPr>
                <w:rFonts w:ascii="Arial Narrow" w:eastAsia="Calibri" w:hAnsi="Arial Narrow"/>
                <w:snapToGrid/>
                <w:sz w:val="20"/>
                <w:szCs w:val="20"/>
              </w:rPr>
              <w:t xml:space="preserve">Patient must be 18 years or </w:t>
            </w:r>
            <w:r w:rsidRPr="000C6D45">
              <w:rPr>
                <w:rFonts w:ascii="Arial Narrow" w:eastAsia="Calibri" w:hAnsi="Arial Narrow"/>
                <w:strike/>
                <w:snapToGrid/>
                <w:sz w:val="20"/>
                <w:szCs w:val="20"/>
              </w:rPr>
              <w:t>over</w:t>
            </w:r>
            <w:r w:rsidRPr="000C6D45">
              <w:rPr>
                <w:rFonts w:ascii="Arial Narrow" w:eastAsia="Calibri" w:hAnsi="Arial Narrow"/>
                <w:snapToGrid/>
                <w:sz w:val="20"/>
                <w:szCs w:val="20"/>
              </w:rPr>
              <w:t xml:space="preserve"> </w:t>
            </w:r>
            <w:r w:rsidRPr="000C6D45">
              <w:rPr>
                <w:rFonts w:ascii="Arial Narrow" w:eastAsia="Calibri" w:hAnsi="Arial Narrow"/>
                <w:i/>
                <w:snapToGrid/>
                <w:sz w:val="20"/>
                <w:szCs w:val="20"/>
              </w:rPr>
              <w:t>older</w:t>
            </w:r>
            <w:r w:rsidRPr="000C6D45">
              <w:rPr>
                <w:rFonts w:ascii="Arial Narrow" w:eastAsia="Calibri" w:hAnsi="Arial Narrow"/>
                <w:snapToGrid/>
                <w:sz w:val="20"/>
                <w:szCs w:val="20"/>
              </w:rPr>
              <w:t>.</w:t>
            </w:r>
          </w:p>
        </w:tc>
      </w:tr>
      <w:tr w:rsidR="000C6D45" w:rsidRPr="000C6D45"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Prescriber Instructions:</w:t>
            </w:r>
          </w:p>
          <w:p w:rsidR="000C6D45" w:rsidRPr="000C6D45" w:rsidRDefault="000C6D45" w:rsidP="00F5612A">
            <w:pPr>
              <w:widowControl/>
              <w:rPr>
                <w:rFonts w:ascii="Arial Narrow" w:eastAsia="Calibri" w:hAnsi="Arial Narrow"/>
                <w:snapToGrid/>
                <w:sz w:val="20"/>
                <w:szCs w:val="20"/>
              </w:rPr>
            </w:pP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63106E">
            <w:pPr>
              <w:widowControl/>
              <w:rPr>
                <w:rFonts w:ascii="Arial Narrow" w:eastAsia="Calibri" w:hAnsi="Arial Narrow" w:cs="Calibri"/>
                <w:i/>
                <w:snapToGrid/>
                <w:sz w:val="20"/>
                <w:szCs w:val="24"/>
              </w:rPr>
            </w:pPr>
            <w:r w:rsidRPr="000C6D45">
              <w:rPr>
                <w:rFonts w:ascii="Arial Narrow" w:eastAsia="Calibri" w:hAnsi="Arial Narrow" w:cs="Calibri"/>
                <w:i/>
                <w:snapToGrid/>
                <w:sz w:val="20"/>
                <w:szCs w:val="24"/>
              </w:rPr>
              <w:t>Evidence of a BRCA1 or BRCA2 gene mutation must be derived through germline testing</w:t>
            </w:r>
          </w:p>
          <w:p w:rsidR="000C6D45" w:rsidRPr="000C6D45" w:rsidRDefault="000C6D45" w:rsidP="0063106E">
            <w:pPr>
              <w:widowControl/>
              <w:rPr>
                <w:rFonts w:ascii="Arial Narrow" w:eastAsia="Calibri" w:hAnsi="Arial Narrow" w:cs="Calibri"/>
                <w:i/>
                <w:snapToGrid/>
                <w:sz w:val="20"/>
                <w:szCs w:val="24"/>
              </w:rPr>
            </w:pPr>
          </w:p>
          <w:p w:rsidR="000C6D45" w:rsidRPr="000C6D45" w:rsidRDefault="000C6D45" w:rsidP="0063106E">
            <w:pPr>
              <w:widowControl/>
              <w:rPr>
                <w:rFonts w:ascii="Arial Narrow" w:eastAsia="Calibri" w:hAnsi="Arial Narrow"/>
                <w:i/>
                <w:snapToGrid/>
                <w:sz w:val="20"/>
                <w:szCs w:val="20"/>
              </w:rPr>
            </w:pPr>
            <w:r w:rsidRPr="000C6D45">
              <w:rPr>
                <w:rFonts w:ascii="Arial Narrow" w:eastAsia="Calibri" w:hAnsi="Arial Narrow"/>
                <w:i/>
                <w:snapToGrid/>
                <w:sz w:val="20"/>
                <w:szCs w:val="20"/>
              </w:rPr>
              <w:t>A patient who has progressive disease when treated with this drug is no longer eligible for PBS-subsidised treatment with this drug</w:t>
            </w:r>
          </w:p>
        </w:tc>
      </w:tr>
      <w:tr w:rsidR="000C6D45" w:rsidRPr="003C5A1F" w:rsidTr="0063106E">
        <w:trPr>
          <w:cantSplit/>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Administrative Advice:</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63106E">
            <w:pPr>
              <w:widowControl/>
              <w:rPr>
                <w:rFonts w:ascii="Arial Narrow" w:eastAsia="Calibri" w:hAnsi="Arial Narrow" w:cs="Calibri"/>
                <w:i/>
                <w:snapToGrid/>
                <w:sz w:val="20"/>
                <w:szCs w:val="24"/>
              </w:rPr>
            </w:pPr>
            <w:r w:rsidRPr="000C6D45">
              <w:rPr>
                <w:rFonts w:ascii="Arial Narrow" w:eastAsia="Calibri" w:hAnsi="Arial Narrow" w:cs="Calibri"/>
                <w:i/>
                <w:snapToGrid/>
                <w:sz w:val="20"/>
                <w:szCs w:val="24"/>
              </w:rPr>
              <w:t>No increase in the maximum quantity or number of units may be authorised</w:t>
            </w:r>
          </w:p>
          <w:p w:rsidR="000C6D45" w:rsidRPr="000C6D45" w:rsidRDefault="000C6D45" w:rsidP="0063106E">
            <w:pPr>
              <w:widowControl/>
              <w:rPr>
                <w:rFonts w:ascii="Arial Narrow" w:eastAsia="Calibri" w:hAnsi="Arial Narrow" w:cs="Calibri"/>
                <w:i/>
                <w:snapToGrid/>
                <w:sz w:val="20"/>
                <w:szCs w:val="24"/>
              </w:rPr>
            </w:pPr>
            <w:r w:rsidRPr="000C6D45">
              <w:rPr>
                <w:rFonts w:ascii="Arial Narrow" w:eastAsia="Calibri" w:hAnsi="Arial Narrow" w:cs="Calibri"/>
                <w:i/>
                <w:snapToGrid/>
                <w:sz w:val="20"/>
                <w:szCs w:val="24"/>
              </w:rPr>
              <w:t>No increase in the maximum number of repeats may be authorised</w:t>
            </w:r>
          </w:p>
          <w:p w:rsidR="000C6D45" w:rsidRPr="000C6D45" w:rsidRDefault="000C6D45" w:rsidP="0063106E">
            <w:pPr>
              <w:widowControl/>
              <w:rPr>
                <w:rFonts w:ascii="Arial Narrow" w:eastAsia="Calibri" w:hAnsi="Arial Narrow" w:cs="Calibri"/>
                <w:i/>
                <w:snapToGrid/>
                <w:sz w:val="20"/>
                <w:szCs w:val="24"/>
              </w:rPr>
            </w:pPr>
          </w:p>
          <w:p w:rsidR="000C6D45" w:rsidRPr="000C6D45" w:rsidRDefault="000C6D45" w:rsidP="0063106E">
            <w:pPr>
              <w:widowControl/>
              <w:rPr>
                <w:rFonts w:ascii="Arial Narrow" w:eastAsia="Calibri" w:hAnsi="Arial Narrow" w:cs="Calibri"/>
                <w:i/>
                <w:snapToGrid/>
                <w:szCs w:val="24"/>
              </w:rPr>
            </w:pPr>
            <w:r w:rsidRPr="000C6D45">
              <w:rPr>
                <w:rFonts w:ascii="Arial Narrow" w:eastAsia="Calibri" w:hAnsi="Arial Narrow" w:cs="Calibri"/>
                <w:i/>
                <w:snapToGrid/>
                <w:sz w:val="20"/>
                <w:szCs w:val="24"/>
              </w:rPr>
              <w:t>Applications for authorisation under this criterion may be made by telephone by contacting the Department of Human Services on 1800 700 270 (hours of operation 8 a.m. to 5 p.m. EST Monday to Friday).</w:t>
            </w:r>
          </w:p>
        </w:tc>
      </w:tr>
    </w:tbl>
    <w:p w:rsidR="000C6D45" w:rsidRDefault="000C6D45" w:rsidP="00561C55">
      <w:pPr>
        <w:keepNext/>
        <w:widowControl/>
      </w:pPr>
    </w:p>
    <w:tbl>
      <w:tblPr>
        <w:tblW w:w="5000" w:type="pct"/>
        <w:tblLook w:val="0000" w:firstRow="0" w:lastRow="0" w:firstColumn="0" w:lastColumn="0" w:noHBand="0" w:noVBand="0"/>
      </w:tblPr>
      <w:tblGrid>
        <w:gridCol w:w="2411"/>
        <w:gridCol w:w="787"/>
        <w:gridCol w:w="556"/>
        <w:gridCol w:w="832"/>
        <w:gridCol w:w="1666"/>
        <w:gridCol w:w="1527"/>
        <w:gridCol w:w="1248"/>
      </w:tblGrid>
      <w:tr w:rsidR="000C6D45" w:rsidRPr="003C5A1F" w:rsidTr="00F5612A">
        <w:trPr>
          <w:trHeight w:val="20"/>
        </w:trPr>
        <w:tc>
          <w:tcPr>
            <w:tcW w:w="1771" w:type="pct"/>
            <w:gridSpan w:val="2"/>
            <w:tcBorders>
              <w:bottom w:val="single" w:sz="4" w:space="0" w:color="auto"/>
            </w:tcBorders>
          </w:tcPr>
          <w:p w:rsidR="000C6D45" w:rsidRPr="0063106E" w:rsidRDefault="000C6D45" w:rsidP="00F5612A">
            <w:pPr>
              <w:widowControl/>
              <w:ind w:left="-108"/>
              <w:rPr>
                <w:rFonts w:ascii="Arial Narrow" w:eastAsia="Calibri" w:hAnsi="Arial Narrow"/>
                <w:b/>
                <w:snapToGrid/>
                <w:sz w:val="20"/>
                <w:szCs w:val="20"/>
              </w:rPr>
            </w:pPr>
            <w:r w:rsidRPr="0063106E">
              <w:rPr>
                <w:rFonts w:ascii="Times New Roman" w:eastAsia="Calibri" w:hAnsi="Times New Roman" w:cs="Times New Roman"/>
                <w:b/>
                <w:snapToGrid/>
                <w:szCs w:val="24"/>
              </w:rPr>
              <w:br w:type="column"/>
            </w:r>
            <w:r w:rsidRPr="0063106E">
              <w:rPr>
                <w:rFonts w:ascii="Arial Narrow" w:eastAsia="Calibri" w:hAnsi="Arial Narrow"/>
                <w:b/>
                <w:snapToGrid/>
                <w:sz w:val="20"/>
                <w:szCs w:val="20"/>
              </w:rPr>
              <w:t>Name, Restriction,</w:t>
            </w:r>
          </w:p>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Manner of administration and form</w:t>
            </w:r>
          </w:p>
        </w:tc>
        <w:tc>
          <w:tcPr>
            <w:tcW w:w="308" w:type="pct"/>
            <w:tcBorders>
              <w:bottom w:val="single" w:sz="4" w:space="0" w:color="auto"/>
            </w:tcBorders>
          </w:tcPr>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Max.</w:t>
            </w:r>
          </w:p>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Qty</w:t>
            </w:r>
          </w:p>
        </w:tc>
        <w:tc>
          <w:tcPr>
            <w:tcW w:w="461" w:type="pct"/>
            <w:tcBorders>
              <w:bottom w:val="single" w:sz="4" w:space="0" w:color="auto"/>
            </w:tcBorders>
          </w:tcPr>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№.of</w:t>
            </w:r>
          </w:p>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Rpts</w:t>
            </w:r>
          </w:p>
        </w:tc>
        <w:tc>
          <w:tcPr>
            <w:tcW w:w="923" w:type="pct"/>
            <w:tcBorders>
              <w:bottom w:val="single" w:sz="4" w:space="0" w:color="auto"/>
            </w:tcBorders>
          </w:tcPr>
          <w:p w:rsidR="000C6D45" w:rsidRPr="0063106E" w:rsidRDefault="000C6D45" w:rsidP="00F5612A">
            <w:pPr>
              <w:widowControl/>
              <w:ind w:left="-108"/>
              <w:rPr>
                <w:rFonts w:ascii="Arial Narrow" w:eastAsia="Calibri" w:hAnsi="Arial Narrow"/>
                <w:b/>
                <w:snapToGrid/>
                <w:sz w:val="20"/>
                <w:szCs w:val="20"/>
              </w:rPr>
            </w:pPr>
            <w:r w:rsidRPr="0063106E">
              <w:rPr>
                <w:rFonts w:ascii="Arial Narrow" w:eastAsia="Calibri" w:hAnsi="Arial Narrow"/>
                <w:b/>
                <w:snapToGrid/>
                <w:sz w:val="20"/>
                <w:szCs w:val="20"/>
              </w:rPr>
              <w:t>Dispensed Price for Max. Qty</w:t>
            </w:r>
          </w:p>
        </w:tc>
        <w:tc>
          <w:tcPr>
            <w:tcW w:w="1537" w:type="pct"/>
            <w:gridSpan w:val="2"/>
            <w:tcBorders>
              <w:bottom w:val="single" w:sz="4" w:space="0" w:color="auto"/>
            </w:tcBorders>
          </w:tcPr>
          <w:p w:rsidR="000C6D45" w:rsidRPr="0063106E" w:rsidRDefault="000C6D45" w:rsidP="00F5612A">
            <w:pPr>
              <w:widowControl/>
              <w:jc w:val="left"/>
              <w:rPr>
                <w:rFonts w:ascii="Arial Narrow" w:eastAsia="Calibri" w:hAnsi="Arial Narrow"/>
                <w:b/>
                <w:snapToGrid/>
                <w:sz w:val="20"/>
                <w:szCs w:val="20"/>
                <w:lang w:val="fr-FR"/>
              </w:rPr>
            </w:pPr>
            <w:r w:rsidRPr="0063106E">
              <w:rPr>
                <w:rFonts w:ascii="Arial Narrow" w:eastAsia="Calibri" w:hAnsi="Arial Narrow"/>
                <w:b/>
                <w:snapToGrid/>
                <w:sz w:val="20"/>
                <w:szCs w:val="20"/>
              </w:rPr>
              <w:t>Proprietary Name and Manufacturer</w:t>
            </w:r>
          </w:p>
        </w:tc>
      </w:tr>
      <w:tr w:rsidR="000C6D45" w:rsidRPr="003C5A1F" w:rsidTr="00F5612A">
        <w:trPr>
          <w:trHeight w:val="20"/>
        </w:trPr>
        <w:tc>
          <w:tcPr>
            <w:tcW w:w="1771" w:type="pct"/>
            <w:gridSpan w:val="2"/>
          </w:tcPr>
          <w:p w:rsidR="000C6D45" w:rsidRPr="000C6D45" w:rsidRDefault="000C6D45" w:rsidP="00F5612A">
            <w:pPr>
              <w:widowControl/>
              <w:ind w:left="-105"/>
              <w:rPr>
                <w:rFonts w:ascii="Arial Narrow" w:eastAsia="Calibri" w:hAnsi="Arial Narrow"/>
                <w:snapToGrid/>
                <w:sz w:val="20"/>
                <w:szCs w:val="20"/>
              </w:rPr>
            </w:pPr>
            <w:r w:rsidRPr="000C6D45">
              <w:rPr>
                <w:rFonts w:ascii="Arial Narrow" w:eastAsia="Calibri" w:hAnsi="Arial Narrow"/>
                <w:snapToGrid/>
                <w:sz w:val="20"/>
                <w:szCs w:val="20"/>
              </w:rPr>
              <w:t>TALAZOPARIB</w:t>
            </w:r>
          </w:p>
          <w:p w:rsidR="000C6D45" w:rsidRPr="000C6D45" w:rsidRDefault="000C6D45" w:rsidP="00F5612A">
            <w:pPr>
              <w:widowControl/>
              <w:ind w:left="-108"/>
              <w:rPr>
                <w:rFonts w:ascii="Arial Narrow" w:eastAsia="Calibri" w:hAnsi="Arial Narrow"/>
                <w:snapToGrid/>
                <w:sz w:val="20"/>
                <w:szCs w:val="20"/>
              </w:rPr>
            </w:pPr>
            <w:r w:rsidRPr="000C6D45">
              <w:rPr>
                <w:rFonts w:ascii="Arial Narrow" w:eastAsia="Calibri" w:hAnsi="Arial Narrow"/>
                <w:snapToGrid/>
                <w:sz w:val="20"/>
                <w:szCs w:val="20"/>
              </w:rPr>
              <w:t>0.25</w:t>
            </w:r>
            <w:r w:rsidR="001938A2">
              <w:rPr>
                <w:rFonts w:ascii="Arial Narrow" w:eastAsia="Calibri" w:hAnsi="Arial Narrow"/>
                <w:snapToGrid/>
                <w:sz w:val="20"/>
                <w:szCs w:val="20"/>
              </w:rPr>
              <w:t xml:space="preserve"> </w:t>
            </w:r>
            <w:r w:rsidRPr="000C6D45">
              <w:rPr>
                <w:rFonts w:ascii="Arial Narrow" w:eastAsia="Calibri" w:hAnsi="Arial Narrow"/>
                <w:snapToGrid/>
                <w:sz w:val="20"/>
                <w:szCs w:val="20"/>
              </w:rPr>
              <w:t>mg capsule,30</w:t>
            </w:r>
          </w:p>
        </w:tc>
        <w:tc>
          <w:tcPr>
            <w:tcW w:w="308" w:type="pct"/>
          </w:tcPr>
          <w:p w:rsidR="000C6D45" w:rsidRPr="000C6D45" w:rsidRDefault="000C6D45" w:rsidP="00F5612A">
            <w:pPr>
              <w:widowControl/>
              <w:rPr>
                <w:rFonts w:ascii="Arial Narrow" w:eastAsia="Calibri" w:hAnsi="Arial Narrow"/>
                <w:snapToGrid/>
                <w:sz w:val="20"/>
                <w:szCs w:val="20"/>
              </w:rPr>
            </w:pPr>
          </w:p>
          <w:p w:rsidR="000C6D45" w:rsidRPr="000C6D45" w:rsidRDefault="000C6D45" w:rsidP="00F5612A">
            <w:pPr>
              <w:widowControl/>
              <w:ind w:hanging="114"/>
              <w:rPr>
                <w:rFonts w:ascii="Arial Narrow" w:eastAsia="Calibri" w:hAnsi="Arial Narrow"/>
                <w:snapToGrid/>
                <w:sz w:val="20"/>
                <w:szCs w:val="20"/>
              </w:rPr>
            </w:pPr>
            <w:r w:rsidRPr="000C6D45">
              <w:rPr>
                <w:rFonts w:ascii="Arial Narrow" w:eastAsia="Calibri" w:hAnsi="Arial Narrow"/>
                <w:snapToGrid/>
                <w:sz w:val="20"/>
                <w:szCs w:val="20"/>
              </w:rPr>
              <w:t>90</w:t>
            </w:r>
          </w:p>
        </w:tc>
        <w:tc>
          <w:tcPr>
            <w:tcW w:w="461" w:type="pct"/>
          </w:tcPr>
          <w:p w:rsidR="000C6D45" w:rsidRPr="000C6D45" w:rsidRDefault="000C6D45" w:rsidP="00F5612A">
            <w:pPr>
              <w:widowControl/>
              <w:ind w:hanging="102"/>
              <w:rPr>
                <w:rFonts w:ascii="Arial Narrow" w:eastAsia="Calibri" w:hAnsi="Arial Narrow"/>
                <w:snapToGrid/>
                <w:sz w:val="20"/>
                <w:szCs w:val="20"/>
              </w:rPr>
            </w:pPr>
          </w:p>
          <w:p w:rsidR="000C6D45" w:rsidRPr="000C6D45" w:rsidRDefault="000C6D45" w:rsidP="00F5612A">
            <w:pPr>
              <w:widowControl/>
              <w:ind w:hanging="102"/>
              <w:rPr>
                <w:rFonts w:ascii="Arial Narrow" w:eastAsia="Calibri" w:hAnsi="Arial Narrow"/>
                <w:snapToGrid/>
                <w:sz w:val="20"/>
                <w:szCs w:val="20"/>
              </w:rPr>
            </w:pPr>
            <w:r w:rsidRPr="000C6D45">
              <w:rPr>
                <w:rFonts w:ascii="Arial Narrow" w:eastAsia="Calibri" w:hAnsi="Arial Narrow"/>
                <w:snapToGrid/>
                <w:sz w:val="20"/>
                <w:szCs w:val="20"/>
              </w:rPr>
              <w:t>5</w:t>
            </w:r>
          </w:p>
        </w:tc>
        <w:tc>
          <w:tcPr>
            <w:tcW w:w="923" w:type="pct"/>
          </w:tcPr>
          <w:p w:rsidR="000C6D45" w:rsidRPr="000C6D45" w:rsidRDefault="000C6D45" w:rsidP="00F5612A">
            <w:pPr>
              <w:widowControl/>
              <w:ind w:left="-107"/>
              <w:rPr>
                <w:rFonts w:ascii="Arial Narrow" w:eastAsia="Calibri" w:hAnsi="Arial Narrow"/>
                <w:snapToGrid/>
                <w:sz w:val="20"/>
                <w:szCs w:val="20"/>
              </w:rPr>
            </w:pPr>
            <w:r w:rsidRPr="000C6D45">
              <w:rPr>
                <w:rFonts w:ascii="Arial Narrow" w:eastAsia="Calibri" w:hAnsi="Arial Narrow"/>
                <w:snapToGrid/>
                <w:sz w:val="20"/>
                <w:szCs w:val="20"/>
              </w:rPr>
              <w:t>$</w:t>
            </w:r>
            <w:r w:rsidR="0099600C" w:rsidRPr="0099600C">
              <w:rPr>
                <w:rFonts w:ascii="Arial Narrow" w:eastAsia="Calibri" w:hAnsi="Arial Narrow"/>
                <w:snapToGrid/>
                <w:sz w:val="20"/>
                <w:szCs w:val="20"/>
              </w:rPr>
              <w:t xml:space="preserve">7,459.34 </w:t>
            </w:r>
            <w:r w:rsidRPr="000C6D45">
              <w:rPr>
                <w:rFonts w:ascii="Arial Narrow" w:eastAsia="Calibri" w:hAnsi="Arial Narrow"/>
                <w:snapToGrid/>
                <w:sz w:val="20"/>
                <w:szCs w:val="20"/>
              </w:rPr>
              <w:t>(Public)</w:t>
            </w:r>
          </w:p>
          <w:p w:rsidR="000C6D45" w:rsidRPr="000C6D45" w:rsidRDefault="000C6D45" w:rsidP="00F5612A">
            <w:pPr>
              <w:widowControl/>
              <w:ind w:left="-108"/>
              <w:rPr>
                <w:rFonts w:ascii="Arial Narrow" w:eastAsia="Calibri" w:hAnsi="Arial Narrow"/>
                <w:snapToGrid/>
                <w:sz w:val="20"/>
                <w:szCs w:val="20"/>
              </w:rPr>
            </w:pPr>
            <w:r w:rsidRPr="000C6D45">
              <w:rPr>
                <w:rFonts w:ascii="Arial Narrow" w:eastAsia="Calibri" w:hAnsi="Arial Narrow"/>
                <w:snapToGrid/>
                <w:sz w:val="20"/>
                <w:szCs w:val="20"/>
              </w:rPr>
              <w:t>$</w:t>
            </w:r>
            <w:r w:rsidR="00EB7243">
              <w:rPr>
                <w:rFonts w:ascii="Arial Narrow" w:eastAsia="Calibri" w:hAnsi="Arial Narrow"/>
                <w:noProof/>
                <w:snapToGrid/>
                <w:color w:val="000000"/>
                <w:sz w:val="20"/>
                <w:szCs w:val="20"/>
                <w:highlight w:val="black"/>
              </w:rPr>
              <w:t>''''''''''''''''''''''</w:t>
            </w:r>
            <w:r w:rsidR="0099600C" w:rsidRPr="0099600C">
              <w:rPr>
                <w:rFonts w:ascii="Arial Narrow" w:eastAsia="Calibri" w:hAnsi="Arial Narrow"/>
                <w:snapToGrid/>
                <w:sz w:val="20"/>
                <w:szCs w:val="20"/>
              </w:rPr>
              <w:t xml:space="preserve"> </w:t>
            </w:r>
            <w:r w:rsidRPr="000C6D45">
              <w:rPr>
                <w:rFonts w:ascii="Arial Narrow" w:eastAsia="Calibri" w:hAnsi="Arial Narrow"/>
                <w:snapToGrid/>
                <w:sz w:val="20"/>
                <w:szCs w:val="20"/>
              </w:rPr>
              <w:t>(Effective)</w:t>
            </w:r>
          </w:p>
          <w:p w:rsidR="000C6D45" w:rsidRPr="000C6D45" w:rsidRDefault="000C6D45" w:rsidP="00F5612A">
            <w:pPr>
              <w:widowControl/>
              <w:ind w:left="-108"/>
              <w:rPr>
                <w:rFonts w:ascii="Arial Narrow" w:eastAsia="Calibri" w:hAnsi="Arial Narrow"/>
                <w:snapToGrid/>
                <w:sz w:val="20"/>
                <w:szCs w:val="20"/>
              </w:rPr>
            </w:pPr>
          </w:p>
        </w:tc>
        <w:tc>
          <w:tcPr>
            <w:tcW w:w="846" w:type="pct"/>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Talzenna</w:t>
            </w:r>
          </w:p>
        </w:tc>
        <w:tc>
          <w:tcPr>
            <w:tcW w:w="691" w:type="pct"/>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Pfizer Australia Pty Ltd</w:t>
            </w:r>
          </w:p>
        </w:tc>
      </w:tr>
      <w:tr w:rsidR="000C6D45" w:rsidRPr="003C5A1F" w:rsidTr="0063106E">
        <w:trPr>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Category / Program:</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GENERAL – General Schedule (Code GE)</w:t>
            </w:r>
          </w:p>
        </w:tc>
      </w:tr>
      <w:tr w:rsidR="000C6D45" w:rsidRPr="003C5A1F" w:rsidTr="0063106E">
        <w:trPr>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Prescriber type:</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63106E">
            <w:pPr>
              <w:widowControl/>
              <w:rPr>
                <w:rFonts w:ascii="Arial Narrow" w:eastAsia="Calibri" w:hAnsi="Arial Narrow"/>
                <w:snapToGrid/>
                <w:sz w:val="20"/>
                <w:szCs w:val="20"/>
              </w:rPr>
            </w:pPr>
            <w:r w:rsidRPr="000C6D45">
              <w:rPr>
                <w:rFonts w:ascii="Arial Narrow" w:eastAsia="Calibri" w:hAnsi="Arial Narrow"/>
                <w:snapToGrid/>
                <w:sz w:val="20"/>
                <w:szCs w:val="20"/>
              </w:rPr>
              <w:fldChar w:fldCharType="begin">
                <w:ffData>
                  <w:name w:val="Check1"/>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 xml:space="preserve">Dental  </w:t>
            </w:r>
            <w:r w:rsidRPr="000C6D45">
              <w:rPr>
                <w:rFonts w:ascii="Arial Narrow" w:eastAsia="Calibri" w:hAnsi="Arial Narrow"/>
                <w:snapToGrid/>
                <w:sz w:val="20"/>
                <w:szCs w:val="20"/>
              </w:rPr>
              <w:fldChar w:fldCharType="begin">
                <w:ffData>
                  <w:name w:val=""/>
                  <w:enabled/>
                  <w:calcOnExit w:val="0"/>
                  <w:checkBox>
                    <w:sizeAuto/>
                    <w:default w:val="1"/>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 xml:space="preserve">Medical Practitioners  </w:t>
            </w:r>
            <w:r w:rsidRPr="000C6D45">
              <w:rPr>
                <w:rFonts w:ascii="Arial Narrow" w:eastAsia="Calibri" w:hAnsi="Arial Narrow"/>
                <w:snapToGrid/>
                <w:sz w:val="20"/>
                <w:szCs w:val="20"/>
              </w:rPr>
              <w:fldChar w:fldCharType="begin">
                <w:ffData>
                  <w:name w:val="Check3"/>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 xml:space="preserve">Nurse practitioners  </w:t>
            </w:r>
            <w:r w:rsidRPr="000C6D45">
              <w:rPr>
                <w:rFonts w:ascii="Arial Narrow" w:eastAsia="Calibri" w:hAnsi="Arial Narrow"/>
                <w:snapToGrid/>
                <w:sz w:val="20"/>
                <w:szCs w:val="20"/>
              </w:rPr>
              <w:fldChar w:fldCharType="begin">
                <w:ffData>
                  <w:name w:val=""/>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Optometrists</w:t>
            </w:r>
            <w:r w:rsidR="0063106E">
              <w:rPr>
                <w:rFonts w:ascii="Arial Narrow" w:eastAsia="Calibri" w:hAnsi="Arial Narrow"/>
                <w:snapToGrid/>
                <w:sz w:val="20"/>
                <w:szCs w:val="20"/>
              </w:rPr>
              <w:t xml:space="preserve">  </w:t>
            </w:r>
            <w:r w:rsidRPr="000C6D45">
              <w:rPr>
                <w:rFonts w:ascii="Arial Narrow" w:eastAsia="Calibri" w:hAnsi="Arial Narrow"/>
                <w:snapToGrid/>
                <w:sz w:val="20"/>
                <w:szCs w:val="20"/>
              </w:rPr>
              <w:fldChar w:fldCharType="begin">
                <w:ffData>
                  <w:name w:val="Check5"/>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Midwives</w:t>
            </w:r>
          </w:p>
        </w:tc>
      </w:tr>
      <w:tr w:rsidR="000C6D45" w:rsidRPr="003C5A1F" w:rsidTr="0063106E">
        <w:trPr>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Severity:</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Locally advanced or metastatic</w:t>
            </w:r>
          </w:p>
        </w:tc>
      </w:tr>
      <w:tr w:rsidR="000C6D45" w:rsidRPr="003C5A1F" w:rsidTr="0063106E">
        <w:trPr>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Condition:</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Breast cancer</w:t>
            </w:r>
          </w:p>
        </w:tc>
      </w:tr>
      <w:tr w:rsidR="000C6D45" w:rsidRPr="003C5A1F" w:rsidTr="0063106E">
        <w:trPr>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i/>
                <w:snapToGrid/>
                <w:sz w:val="20"/>
                <w:szCs w:val="20"/>
              </w:rPr>
            </w:pPr>
            <w:r w:rsidRPr="000C6D45">
              <w:rPr>
                <w:rFonts w:ascii="Arial Narrow" w:eastAsia="Calibri" w:hAnsi="Arial Narrow"/>
                <w:b/>
                <w:snapToGrid/>
                <w:sz w:val="20"/>
                <w:szCs w:val="20"/>
              </w:rPr>
              <w:t>PBS Indication:</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t>Locally advanced or metastatic germline BRCA HER2-negative breast cancer</w:t>
            </w:r>
          </w:p>
        </w:tc>
      </w:tr>
      <w:tr w:rsidR="000C6D45" w:rsidRPr="003C5A1F" w:rsidTr="0063106E">
        <w:trPr>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Treatment phase:</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i/>
                <w:snapToGrid/>
                <w:sz w:val="20"/>
                <w:szCs w:val="20"/>
              </w:rPr>
            </w:pPr>
            <w:r w:rsidRPr="000C6D45">
              <w:rPr>
                <w:rFonts w:ascii="Arial Narrow" w:eastAsia="Calibri" w:hAnsi="Arial Narrow"/>
                <w:snapToGrid/>
                <w:sz w:val="20"/>
                <w:szCs w:val="20"/>
              </w:rPr>
              <w:t xml:space="preserve">Continuing treatment </w:t>
            </w:r>
          </w:p>
        </w:tc>
      </w:tr>
      <w:tr w:rsidR="000C6D45" w:rsidRPr="003C5A1F" w:rsidTr="0063106E">
        <w:trPr>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Restriction Level / Method:</w:t>
            </w:r>
          </w:p>
          <w:p w:rsidR="000C6D45" w:rsidRPr="000C6D45" w:rsidRDefault="000C6D45" w:rsidP="00F5612A">
            <w:pPr>
              <w:widowControl/>
              <w:rPr>
                <w:rFonts w:ascii="Arial Narrow" w:eastAsia="Calibri" w:hAnsi="Arial Narrow"/>
                <w:i/>
                <w:snapToGrid/>
                <w:sz w:val="20"/>
                <w:szCs w:val="20"/>
              </w:rPr>
            </w:pPr>
          </w:p>
          <w:p w:rsidR="000C6D45" w:rsidRPr="000C6D45" w:rsidRDefault="000C6D45" w:rsidP="00F5612A">
            <w:pPr>
              <w:widowControl/>
              <w:rPr>
                <w:rFonts w:ascii="Arial Narrow" w:eastAsia="Calibri" w:hAnsi="Arial Narrow"/>
                <w:i/>
                <w:snapToGrid/>
                <w:sz w:val="20"/>
                <w:szCs w:val="20"/>
              </w:rPr>
            </w:pPr>
          </w:p>
          <w:p w:rsidR="000C6D45" w:rsidRPr="000C6D45" w:rsidRDefault="000C6D45" w:rsidP="00F5612A">
            <w:pPr>
              <w:widowControl/>
              <w:rPr>
                <w:rFonts w:ascii="Arial Narrow" w:eastAsia="Calibri" w:hAnsi="Arial Narrow"/>
                <w:i/>
                <w:snapToGrid/>
                <w:sz w:val="20"/>
                <w:szCs w:val="20"/>
              </w:rPr>
            </w:pP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fldChar w:fldCharType="begin">
                <w:ffData>
                  <w:name w:val="Check1"/>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Restricted benefit</w:t>
            </w:r>
          </w:p>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fldChar w:fldCharType="begin">
                <w:ffData>
                  <w:name w:val=""/>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Authority Required – In Writing</w:t>
            </w:r>
          </w:p>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fldChar w:fldCharType="begin">
                <w:ffData>
                  <w:name w:val=""/>
                  <w:enabled/>
                  <w:calcOnExit w:val="0"/>
                  <w:checkBox>
                    <w:sizeAuto/>
                    <w:default w:val="1"/>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Authority Required – Telephone</w:t>
            </w:r>
            <w:r w:rsidRPr="000C6D45">
              <w:rPr>
                <w:rFonts w:ascii="Arial Narrow" w:eastAsia="Calibri" w:hAnsi="Arial Narrow"/>
                <w:strike/>
                <w:snapToGrid/>
                <w:sz w:val="20"/>
                <w:szCs w:val="20"/>
              </w:rPr>
              <w:t>/</w:t>
            </w:r>
            <w:r w:rsidRPr="000C6D45">
              <w:rPr>
                <w:rFonts w:ascii="Arial Narrow" w:eastAsia="Calibri" w:hAnsi="Arial Narrow"/>
                <w:snapToGrid/>
                <w:sz w:val="20"/>
                <w:szCs w:val="20"/>
              </w:rPr>
              <w:t>Electronic/Emergency</w:t>
            </w:r>
          </w:p>
          <w:p w:rsidR="000C6D45" w:rsidRPr="000C6D45" w:rsidRDefault="000C6D45" w:rsidP="00F5612A">
            <w:pPr>
              <w:widowControl/>
              <w:rPr>
                <w:rFonts w:ascii="Arial Narrow" w:eastAsia="Calibri" w:hAnsi="Arial Narrow"/>
                <w:snapToGrid/>
                <w:sz w:val="20"/>
                <w:szCs w:val="20"/>
              </w:rPr>
            </w:pPr>
            <w:r w:rsidRPr="000C6D45">
              <w:rPr>
                <w:rFonts w:ascii="Arial Narrow" w:eastAsia="Calibri" w:hAnsi="Arial Narrow"/>
                <w:snapToGrid/>
                <w:sz w:val="20"/>
                <w:szCs w:val="20"/>
              </w:rPr>
              <w:fldChar w:fldCharType="begin">
                <w:ffData>
                  <w:name w:val="Check5"/>
                  <w:enabled/>
                  <w:calcOnExit w:val="0"/>
                  <w:checkBox>
                    <w:sizeAuto/>
                    <w:default w:val="0"/>
                  </w:checkBox>
                </w:ffData>
              </w:fldChar>
            </w:r>
            <w:r w:rsidRPr="000C6D45">
              <w:rPr>
                <w:rFonts w:ascii="Arial Narrow" w:eastAsia="Calibri" w:hAnsi="Arial Narrow"/>
                <w:snapToGrid/>
                <w:sz w:val="20"/>
                <w:szCs w:val="20"/>
              </w:rPr>
              <w:instrText xml:space="preserve"> FORMCHECKBOX </w:instrText>
            </w:r>
            <w:r w:rsidR="00EF1084">
              <w:rPr>
                <w:rFonts w:ascii="Arial Narrow" w:eastAsia="Calibri" w:hAnsi="Arial Narrow"/>
                <w:snapToGrid/>
                <w:sz w:val="20"/>
                <w:szCs w:val="20"/>
              </w:rPr>
            </w:r>
            <w:r w:rsidR="00EF1084">
              <w:rPr>
                <w:rFonts w:ascii="Arial Narrow" w:eastAsia="Calibri" w:hAnsi="Arial Narrow"/>
                <w:snapToGrid/>
                <w:sz w:val="20"/>
                <w:szCs w:val="20"/>
              </w:rPr>
              <w:fldChar w:fldCharType="separate"/>
            </w:r>
            <w:r w:rsidRPr="000C6D45">
              <w:rPr>
                <w:rFonts w:ascii="Arial Narrow" w:eastAsia="Calibri" w:hAnsi="Arial Narrow"/>
                <w:snapToGrid/>
                <w:sz w:val="20"/>
                <w:szCs w:val="20"/>
              </w:rPr>
              <w:fldChar w:fldCharType="end"/>
            </w:r>
            <w:r w:rsidRPr="000C6D45">
              <w:rPr>
                <w:rFonts w:ascii="Arial Narrow" w:eastAsia="Calibri" w:hAnsi="Arial Narrow"/>
                <w:snapToGrid/>
                <w:sz w:val="20"/>
                <w:szCs w:val="20"/>
              </w:rPr>
              <w:t>Streamlined</w:t>
            </w:r>
          </w:p>
        </w:tc>
      </w:tr>
      <w:tr w:rsidR="000C6D45" w:rsidRPr="003C5A1F" w:rsidTr="0063106E">
        <w:trPr>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Clinical criteria:</w:t>
            </w:r>
          </w:p>
          <w:p w:rsidR="000C6D45" w:rsidRPr="000C6D45" w:rsidRDefault="000C6D45" w:rsidP="00F5612A">
            <w:pPr>
              <w:widowControl/>
              <w:rPr>
                <w:rFonts w:ascii="Arial Narrow" w:eastAsia="Calibri" w:hAnsi="Arial Narrow"/>
                <w:b/>
                <w:snapToGrid/>
                <w:sz w:val="20"/>
                <w:szCs w:val="20"/>
              </w:rPr>
            </w:pP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63106E">
            <w:pPr>
              <w:widowControl/>
              <w:rPr>
                <w:rFonts w:ascii="Arial Narrow" w:eastAsia="Calibri" w:hAnsi="Arial Narrow" w:cs="Calibri"/>
                <w:strike/>
                <w:snapToGrid/>
                <w:sz w:val="20"/>
                <w:szCs w:val="20"/>
              </w:rPr>
            </w:pPr>
            <w:r w:rsidRPr="000C6D45">
              <w:rPr>
                <w:rFonts w:ascii="Arial Narrow" w:eastAsia="Calibri" w:hAnsi="Arial Narrow" w:cs="Calibri"/>
                <w:strike/>
                <w:snapToGrid/>
                <w:sz w:val="20"/>
                <w:szCs w:val="20"/>
              </w:rPr>
              <w:t xml:space="preserve">The condition must be human epidermal growth factor receptor 2 (HER2) negative </w:t>
            </w:r>
          </w:p>
          <w:p w:rsidR="000C6D45" w:rsidRPr="000C6D45" w:rsidRDefault="000C6D45" w:rsidP="0063106E">
            <w:pPr>
              <w:widowControl/>
              <w:rPr>
                <w:rFonts w:ascii="Arial Narrow" w:eastAsia="Calibri" w:hAnsi="Arial Narrow" w:cs="Calibri"/>
                <w:strike/>
                <w:snapToGrid/>
                <w:sz w:val="20"/>
                <w:szCs w:val="20"/>
              </w:rPr>
            </w:pPr>
            <w:r w:rsidRPr="000C6D45">
              <w:rPr>
                <w:rFonts w:ascii="Arial Narrow" w:eastAsia="Calibri" w:hAnsi="Arial Narrow" w:cs="Calibri"/>
                <w:strike/>
                <w:snapToGrid/>
                <w:sz w:val="20"/>
                <w:szCs w:val="20"/>
              </w:rPr>
              <w:t xml:space="preserve">AND </w:t>
            </w:r>
          </w:p>
          <w:p w:rsidR="000C6D45" w:rsidRPr="000C6D45" w:rsidRDefault="000C6D45" w:rsidP="0063106E">
            <w:pPr>
              <w:widowControl/>
              <w:rPr>
                <w:rFonts w:ascii="Arial Narrow" w:eastAsia="Calibri" w:hAnsi="Arial Narrow" w:cs="Calibri"/>
                <w:strike/>
                <w:snapToGrid/>
                <w:sz w:val="20"/>
                <w:szCs w:val="20"/>
              </w:rPr>
            </w:pPr>
            <w:r w:rsidRPr="000C6D45">
              <w:rPr>
                <w:rFonts w:ascii="Arial Narrow" w:eastAsia="Calibri" w:hAnsi="Arial Narrow" w:cs="Calibri"/>
                <w:strike/>
                <w:snapToGrid/>
                <w:sz w:val="20"/>
                <w:szCs w:val="20"/>
              </w:rPr>
              <w:t xml:space="preserve">The condition must be inoperable </w:t>
            </w:r>
          </w:p>
          <w:p w:rsidR="000C6D45" w:rsidRPr="000C6D45" w:rsidRDefault="000C6D45" w:rsidP="0063106E">
            <w:pPr>
              <w:widowControl/>
              <w:rPr>
                <w:rFonts w:ascii="Arial Narrow" w:eastAsia="Calibri" w:hAnsi="Arial Narrow" w:cs="Calibri"/>
                <w:strike/>
                <w:snapToGrid/>
                <w:sz w:val="20"/>
                <w:szCs w:val="20"/>
              </w:rPr>
            </w:pPr>
            <w:r w:rsidRPr="000C6D45">
              <w:rPr>
                <w:rFonts w:ascii="Arial Narrow" w:eastAsia="Calibri" w:hAnsi="Arial Narrow" w:cs="Calibri"/>
                <w:strike/>
                <w:snapToGrid/>
                <w:sz w:val="20"/>
                <w:szCs w:val="20"/>
              </w:rPr>
              <w:t xml:space="preserve">AND </w:t>
            </w:r>
          </w:p>
          <w:p w:rsidR="000C6D45" w:rsidRPr="000C6D45" w:rsidRDefault="000C6D45" w:rsidP="0063106E">
            <w:pPr>
              <w:widowControl/>
              <w:rPr>
                <w:rFonts w:ascii="Arial Narrow" w:eastAsia="Calibri" w:hAnsi="Arial Narrow" w:cs="Calibri"/>
                <w:strike/>
                <w:snapToGrid/>
                <w:sz w:val="20"/>
                <w:szCs w:val="20"/>
              </w:rPr>
            </w:pPr>
            <w:r w:rsidRPr="000C6D45">
              <w:rPr>
                <w:rFonts w:ascii="Arial Narrow" w:eastAsia="Calibri" w:hAnsi="Arial Narrow" w:cs="Calibri"/>
                <w:strike/>
                <w:snapToGrid/>
                <w:sz w:val="20"/>
                <w:szCs w:val="20"/>
              </w:rPr>
              <w:t xml:space="preserve">Patient must have a positive germline BRCA1 or BRCA2 gene mutation </w:t>
            </w:r>
          </w:p>
          <w:p w:rsidR="000C6D45" w:rsidRPr="000C6D45" w:rsidRDefault="000C6D45" w:rsidP="0063106E">
            <w:pPr>
              <w:widowControl/>
              <w:rPr>
                <w:rFonts w:ascii="Arial Narrow" w:eastAsia="Calibri" w:hAnsi="Arial Narrow" w:cs="Calibri"/>
                <w:snapToGrid/>
                <w:sz w:val="20"/>
                <w:szCs w:val="20"/>
              </w:rPr>
            </w:pPr>
            <w:r w:rsidRPr="000C6D45">
              <w:rPr>
                <w:rFonts w:ascii="Arial Narrow" w:eastAsia="Calibri" w:hAnsi="Arial Narrow" w:cs="Calibri"/>
                <w:snapToGrid/>
                <w:sz w:val="20"/>
                <w:szCs w:val="20"/>
              </w:rPr>
              <w:t xml:space="preserve">AND </w:t>
            </w:r>
          </w:p>
          <w:p w:rsidR="000C6D45" w:rsidRPr="000C6D45" w:rsidRDefault="000C6D45" w:rsidP="0063106E">
            <w:pPr>
              <w:widowControl/>
              <w:rPr>
                <w:rFonts w:ascii="Arial Narrow" w:eastAsia="Calibri" w:hAnsi="Arial Narrow" w:cs="Calibri"/>
                <w:strike/>
                <w:snapToGrid/>
                <w:sz w:val="20"/>
                <w:szCs w:val="20"/>
              </w:rPr>
            </w:pPr>
            <w:r w:rsidRPr="000C6D45">
              <w:rPr>
                <w:rFonts w:ascii="Arial Narrow" w:eastAsia="Calibri" w:hAnsi="Arial Narrow" w:cs="Calibri"/>
                <w:strike/>
                <w:snapToGrid/>
                <w:sz w:val="20"/>
                <w:szCs w:val="20"/>
              </w:rPr>
              <w:t>Patient must be resistant to endocrine therapy and/or have received at least one previous chemotherapy regimen in the neo(adjuvant), locally advanced or metastatic setting</w:t>
            </w:r>
          </w:p>
          <w:p w:rsidR="000C6D45" w:rsidRPr="000C6D45" w:rsidRDefault="000C6D45" w:rsidP="0063106E">
            <w:pPr>
              <w:widowControl/>
              <w:rPr>
                <w:rFonts w:ascii="Arial Narrow" w:eastAsia="Calibri" w:hAnsi="Arial Narrow" w:cs="Calibri"/>
                <w:strike/>
                <w:snapToGrid/>
                <w:sz w:val="20"/>
                <w:szCs w:val="20"/>
              </w:rPr>
            </w:pPr>
            <w:r w:rsidRPr="000C6D45">
              <w:rPr>
                <w:rFonts w:ascii="Arial Narrow" w:eastAsia="Calibri" w:hAnsi="Arial Narrow" w:cs="Calibri"/>
                <w:strike/>
                <w:snapToGrid/>
                <w:sz w:val="20"/>
                <w:szCs w:val="20"/>
              </w:rPr>
              <w:t xml:space="preserve">AND </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lastRenderedPageBreak/>
              <w:t>Patient must have previously received PBS-subsidised treatment with this drug for this condition</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 xml:space="preserve">AND </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Patient must not develop disease progression while receiving treatment with this drug for this condition</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 xml:space="preserve">AND </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Patients must not receive more than 6 months of treatment under this restriction</w:t>
            </w:r>
          </w:p>
          <w:p w:rsidR="000C6D45" w:rsidRPr="000C6D45" w:rsidRDefault="000C6D45" w:rsidP="0063106E">
            <w:pPr>
              <w:widowControl/>
              <w:rPr>
                <w:rFonts w:ascii="Arial Narrow" w:eastAsia="Calibri" w:hAnsi="Arial Narrow" w:cs="Calibri"/>
                <w:i/>
                <w:snapToGrid/>
                <w:sz w:val="20"/>
                <w:szCs w:val="20"/>
              </w:rPr>
            </w:pPr>
            <w:r w:rsidRPr="000C6D45">
              <w:rPr>
                <w:rFonts w:ascii="Arial Narrow" w:eastAsia="Calibri" w:hAnsi="Arial Narrow" w:cs="Calibri"/>
                <w:i/>
                <w:snapToGrid/>
                <w:sz w:val="20"/>
                <w:szCs w:val="20"/>
              </w:rPr>
              <w:t>AND</w:t>
            </w:r>
          </w:p>
          <w:p w:rsidR="000C6D45" w:rsidRPr="000C6D45" w:rsidRDefault="000C6D45" w:rsidP="0063106E">
            <w:pPr>
              <w:widowControl/>
              <w:rPr>
                <w:rFonts w:ascii="Arial Narrow" w:eastAsia="Calibri" w:hAnsi="Arial Narrow" w:cs="Calibri"/>
                <w:snapToGrid/>
                <w:sz w:val="20"/>
                <w:szCs w:val="20"/>
              </w:rPr>
            </w:pPr>
            <w:r w:rsidRPr="000C6D45">
              <w:rPr>
                <w:rFonts w:ascii="Arial Narrow" w:eastAsia="Calibri" w:hAnsi="Arial Narrow" w:cs="Calibri"/>
                <w:snapToGrid/>
                <w:sz w:val="20"/>
                <w:szCs w:val="20"/>
              </w:rPr>
              <w:t>The treatment must be the sole PBS-subsidised therapy for this condition</w:t>
            </w:r>
          </w:p>
          <w:p w:rsidR="000C6D45" w:rsidRPr="000C6D45" w:rsidRDefault="000C6D45" w:rsidP="0063106E">
            <w:pPr>
              <w:widowControl/>
              <w:rPr>
                <w:rFonts w:ascii="Arial Narrow" w:eastAsia="Calibri" w:hAnsi="Arial Narrow" w:cs="Calibri"/>
                <w:i/>
                <w:strike/>
                <w:snapToGrid/>
                <w:sz w:val="20"/>
                <w:szCs w:val="20"/>
              </w:rPr>
            </w:pPr>
            <w:r w:rsidRPr="000C6D45">
              <w:rPr>
                <w:rFonts w:ascii="Arial Narrow" w:eastAsia="Calibri" w:hAnsi="Arial Narrow" w:cs="Calibri"/>
                <w:strike/>
                <w:snapToGrid/>
                <w:sz w:val="20"/>
                <w:szCs w:val="20"/>
              </w:rPr>
              <w:t>Evidence of a BRCA1 or BRAC2 gene mutation must be derived through germline testing</w:t>
            </w:r>
          </w:p>
        </w:tc>
      </w:tr>
      <w:tr w:rsidR="000C6D45" w:rsidRPr="003C5A1F" w:rsidTr="0063106E">
        <w:trPr>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lastRenderedPageBreak/>
              <w:t>Population criteria:</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63106E">
            <w:pPr>
              <w:widowControl/>
              <w:rPr>
                <w:rFonts w:ascii="Arial Narrow" w:eastAsia="Calibri" w:hAnsi="Arial Narrow"/>
                <w:snapToGrid/>
                <w:sz w:val="20"/>
                <w:szCs w:val="20"/>
              </w:rPr>
            </w:pPr>
            <w:r w:rsidRPr="000C6D45">
              <w:rPr>
                <w:rFonts w:ascii="Arial Narrow" w:eastAsia="Calibri" w:hAnsi="Arial Narrow"/>
                <w:strike/>
                <w:snapToGrid/>
                <w:sz w:val="20"/>
                <w:szCs w:val="20"/>
              </w:rPr>
              <w:t>The</w:t>
            </w:r>
            <w:r w:rsidRPr="000C6D45">
              <w:rPr>
                <w:rFonts w:ascii="Arial Narrow" w:eastAsia="Calibri" w:hAnsi="Arial Narrow"/>
                <w:snapToGrid/>
                <w:sz w:val="20"/>
                <w:szCs w:val="20"/>
              </w:rPr>
              <w:t xml:space="preserve"> </w:t>
            </w:r>
            <w:r w:rsidRPr="000C6D45">
              <w:rPr>
                <w:rFonts w:ascii="Arial Narrow" w:eastAsia="Calibri" w:hAnsi="Arial Narrow"/>
                <w:strike/>
                <w:snapToGrid/>
                <w:sz w:val="20"/>
                <w:szCs w:val="20"/>
              </w:rPr>
              <w:t>p</w:t>
            </w:r>
            <w:r w:rsidRPr="000C6D45">
              <w:rPr>
                <w:rFonts w:ascii="Arial Narrow" w:eastAsia="Calibri" w:hAnsi="Arial Narrow"/>
                <w:snapToGrid/>
                <w:sz w:val="20"/>
                <w:szCs w:val="20"/>
              </w:rPr>
              <w:t xml:space="preserve">Patient must be 18 years or </w:t>
            </w:r>
            <w:r w:rsidRPr="000C6D45">
              <w:rPr>
                <w:rFonts w:ascii="Arial Narrow" w:eastAsia="Calibri" w:hAnsi="Arial Narrow"/>
                <w:strike/>
                <w:snapToGrid/>
                <w:sz w:val="20"/>
                <w:szCs w:val="20"/>
              </w:rPr>
              <w:t>over</w:t>
            </w:r>
            <w:r w:rsidRPr="000C6D45">
              <w:rPr>
                <w:rFonts w:ascii="Arial Narrow" w:eastAsia="Calibri" w:hAnsi="Arial Narrow"/>
                <w:snapToGrid/>
                <w:sz w:val="20"/>
                <w:szCs w:val="20"/>
              </w:rPr>
              <w:t xml:space="preserve"> </w:t>
            </w:r>
            <w:r w:rsidRPr="000C6D45">
              <w:rPr>
                <w:rFonts w:ascii="Arial Narrow" w:eastAsia="Calibri" w:hAnsi="Arial Narrow"/>
                <w:i/>
                <w:snapToGrid/>
                <w:sz w:val="20"/>
                <w:szCs w:val="20"/>
              </w:rPr>
              <w:t>older</w:t>
            </w:r>
            <w:r w:rsidRPr="000C6D45">
              <w:rPr>
                <w:rFonts w:ascii="Arial Narrow" w:eastAsia="Calibri" w:hAnsi="Arial Narrow"/>
                <w:snapToGrid/>
                <w:sz w:val="20"/>
                <w:szCs w:val="20"/>
              </w:rPr>
              <w:t>.</w:t>
            </w:r>
          </w:p>
        </w:tc>
      </w:tr>
      <w:tr w:rsidR="000C6D45" w:rsidRPr="003C5A1F" w:rsidTr="0063106E">
        <w:trPr>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Prescriber Instructions:</w:t>
            </w:r>
          </w:p>
          <w:p w:rsidR="000C6D45" w:rsidRPr="000C6D45" w:rsidRDefault="000C6D45" w:rsidP="00F5612A">
            <w:pPr>
              <w:widowControl/>
              <w:rPr>
                <w:rFonts w:ascii="Arial Narrow" w:eastAsia="Calibri" w:hAnsi="Arial Narrow"/>
                <w:snapToGrid/>
                <w:sz w:val="20"/>
                <w:szCs w:val="20"/>
              </w:rPr>
            </w:pP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63106E">
            <w:pPr>
              <w:widowControl/>
              <w:rPr>
                <w:rFonts w:ascii="Arial Narrow" w:eastAsia="Calibri" w:hAnsi="Arial Narrow" w:cs="Calibri"/>
                <w:i/>
                <w:snapToGrid/>
                <w:sz w:val="20"/>
                <w:szCs w:val="24"/>
              </w:rPr>
            </w:pPr>
            <w:r w:rsidRPr="000C6D45">
              <w:rPr>
                <w:rFonts w:ascii="Arial Narrow" w:eastAsia="Calibri" w:hAnsi="Arial Narrow" w:cs="Calibri"/>
                <w:i/>
                <w:snapToGrid/>
                <w:sz w:val="20"/>
                <w:szCs w:val="24"/>
              </w:rPr>
              <w:t>Evidence of a BRCA1 or BRCA2 gene mutation must be derived through germline testing</w:t>
            </w:r>
          </w:p>
          <w:p w:rsidR="000C6D45" w:rsidRPr="000C6D45" w:rsidRDefault="000C6D45" w:rsidP="0063106E">
            <w:pPr>
              <w:widowControl/>
              <w:rPr>
                <w:rFonts w:ascii="Arial Narrow" w:eastAsia="Calibri" w:hAnsi="Arial Narrow" w:cs="Calibri"/>
                <w:i/>
                <w:snapToGrid/>
                <w:sz w:val="20"/>
                <w:szCs w:val="24"/>
              </w:rPr>
            </w:pPr>
          </w:p>
          <w:p w:rsidR="000C6D45" w:rsidRPr="000C6D45" w:rsidRDefault="000C6D45" w:rsidP="0063106E">
            <w:pPr>
              <w:widowControl/>
              <w:rPr>
                <w:rFonts w:ascii="Arial Narrow" w:eastAsia="Calibri" w:hAnsi="Arial Narrow"/>
                <w:i/>
                <w:snapToGrid/>
                <w:sz w:val="20"/>
                <w:szCs w:val="20"/>
              </w:rPr>
            </w:pPr>
            <w:r w:rsidRPr="000C6D45">
              <w:rPr>
                <w:rFonts w:ascii="Arial Narrow" w:eastAsia="Calibri" w:hAnsi="Arial Narrow"/>
                <w:i/>
                <w:snapToGrid/>
                <w:sz w:val="20"/>
                <w:szCs w:val="20"/>
              </w:rPr>
              <w:t>A patient who has progressive disease when treated with this drug is no longer eligible for PBS-subsidised treatment with this drug</w:t>
            </w:r>
          </w:p>
        </w:tc>
      </w:tr>
      <w:tr w:rsidR="000C6D45" w:rsidRPr="003C5A1F" w:rsidTr="0063106E">
        <w:trPr>
          <w:trHeight w:val="20"/>
        </w:trPr>
        <w:tc>
          <w:tcPr>
            <w:tcW w:w="1335" w:type="pct"/>
            <w:tcBorders>
              <w:top w:val="single" w:sz="4" w:space="0" w:color="auto"/>
              <w:left w:val="single" w:sz="4" w:space="0" w:color="auto"/>
              <w:bottom w:val="single" w:sz="4" w:space="0" w:color="auto"/>
              <w:right w:val="single" w:sz="4" w:space="0" w:color="auto"/>
            </w:tcBorders>
          </w:tcPr>
          <w:p w:rsidR="000C6D45" w:rsidRPr="000C6D45" w:rsidRDefault="000C6D45" w:rsidP="00F5612A">
            <w:pPr>
              <w:widowControl/>
              <w:rPr>
                <w:rFonts w:ascii="Arial Narrow" w:eastAsia="Calibri" w:hAnsi="Arial Narrow"/>
                <w:b/>
                <w:snapToGrid/>
                <w:sz w:val="20"/>
                <w:szCs w:val="20"/>
              </w:rPr>
            </w:pPr>
            <w:r w:rsidRPr="000C6D45">
              <w:rPr>
                <w:rFonts w:ascii="Arial Narrow" w:eastAsia="Calibri" w:hAnsi="Arial Narrow"/>
                <w:b/>
                <w:snapToGrid/>
                <w:sz w:val="20"/>
                <w:szCs w:val="20"/>
              </w:rPr>
              <w:t>Administrative Advice:</w:t>
            </w:r>
          </w:p>
        </w:tc>
        <w:tc>
          <w:tcPr>
            <w:tcW w:w="3665" w:type="pct"/>
            <w:gridSpan w:val="6"/>
            <w:tcBorders>
              <w:top w:val="single" w:sz="4" w:space="0" w:color="auto"/>
              <w:left w:val="single" w:sz="4" w:space="0" w:color="auto"/>
              <w:bottom w:val="single" w:sz="4" w:space="0" w:color="auto"/>
              <w:right w:val="single" w:sz="4" w:space="0" w:color="auto"/>
            </w:tcBorders>
          </w:tcPr>
          <w:p w:rsidR="000C6D45" w:rsidRPr="000C6D45" w:rsidRDefault="000C6D45" w:rsidP="0063106E">
            <w:pPr>
              <w:widowControl/>
              <w:rPr>
                <w:rFonts w:ascii="Arial Narrow" w:eastAsia="Calibri" w:hAnsi="Arial Narrow" w:cs="Calibri"/>
                <w:i/>
                <w:snapToGrid/>
                <w:sz w:val="20"/>
                <w:szCs w:val="24"/>
              </w:rPr>
            </w:pPr>
            <w:r w:rsidRPr="000C6D45">
              <w:rPr>
                <w:rFonts w:ascii="Arial Narrow" w:eastAsia="Calibri" w:hAnsi="Arial Narrow" w:cs="Calibri"/>
                <w:i/>
                <w:snapToGrid/>
                <w:sz w:val="20"/>
                <w:szCs w:val="24"/>
              </w:rPr>
              <w:t>No increase in the maximum quantity or number of units may be authorised</w:t>
            </w:r>
          </w:p>
          <w:p w:rsidR="000C6D45" w:rsidRPr="000C6D45" w:rsidRDefault="000C6D45" w:rsidP="0063106E">
            <w:pPr>
              <w:widowControl/>
              <w:rPr>
                <w:rFonts w:ascii="Arial Narrow" w:eastAsia="Calibri" w:hAnsi="Arial Narrow" w:cs="Calibri"/>
                <w:i/>
                <w:snapToGrid/>
                <w:sz w:val="20"/>
                <w:szCs w:val="24"/>
              </w:rPr>
            </w:pPr>
            <w:r w:rsidRPr="000C6D45">
              <w:rPr>
                <w:rFonts w:ascii="Arial Narrow" w:eastAsia="Calibri" w:hAnsi="Arial Narrow" w:cs="Calibri"/>
                <w:i/>
                <w:snapToGrid/>
                <w:sz w:val="20"/>
                <w:szCs w:val="24"/>
              </w:rPr>
              <w:t>No increase in the maximum number of repeats may be authorised</w:t>
            </w:r>
          </w:p>
          <w:p w:rsidR="000C6D45" w:rsidRPr="000C6D45" w:rsidRDefault="000C6D45" w:rsidP="0063106E">
            <w:pPr>
              <w:widowControl/>
              <w:rPr>
                <w:rFonts w:ascii="Arial Narrow" w:eastAsia="Calibri" w:hAnsi="Arial Narrow" w:cs="Calibri"/>
                <w:i/>
                <w:snapToGrid/>
                <w:sz w:val="20"/>
                <w:szCs w:val="24"/>
              </w:rPr>
            </w:pPr>
          </w:p>
          <w:p w:rsidR="000C6D45" w:rsidRPr="000C6D45" w:rsidRDefault="000C6D45" w:rsidP="0063106E">
            <w:pPr>
              <w:widowControl/>
              <w:rPr>
                <w:rFonts w:ascii="Arial Narrow" w:eastAsia="Calibri" w:hAnsi="Arial Narrow" w:cs="Calibri"/>
                <w:i/>
                <w:snapToGrid/>
                <w:szCs w:val="24"/>
              </w:rPr>
            </w:pPr>
            <w:r w:rsidRPr="000C6D45">
              <w:rPr>
                <w:rFonts w:ascii="Arial Narrow" w:eastAsia="Calibri" w:hAnsi="Arial Narrow" w:cs="Calibri"/>
                <w:i/>
                <w:snapToGrid/>
                <w:sz w:val="20"/>
                <w:szCs w:val="24"/>
              </w:rPr>
              <w:t>Applications for authorisation under this criterion may be made by telephone by contacting the Department of Human Services on 1800 700 270 (hours of operation 8 a.m. to 5 p.m. EST Monday to Friday).</w:t>
            </w:r>
          </w:p>
        </w:tc>
      </w:tr>
    </w:tbl>
    <w:p w:rsidR="009E7139" w:rsidRPr="009E7139" w:rsidRDefault="009E7139" w:rsidP="009E7139">
      <w:pPr>
        <w:keepNext/>
        <w:widowControl/>
        <w:rPr>
          <w:rFonts w:ascii="Arial Narrow" w:hAnsi="Arial Narrow"/>
          <w:sz w:val="18"/>
        </w:rPr>
      </w:pPr>
      <w:r w:rsidRPr="009E7139">
        <w:rPr>
          <w:rFonts w:ascii="Arial Narrow" w:hAnsi="Arial Narrow"/>
          <w:sz w:val="18"/>
        </w:rPr>
        <w:t>DPMQs were revised based on a proposed ex-manufacturer price of $4,132.60 (effective) and $7,307.23 (published), and the applicable mark-ups and fees as at 1 July 2019</w:t>
      </w:r>
      <w:r>
        <w:rPr>
          <w:rFonts w:ascii="Arial Narrow" w:hAnsi="Arial Narrow"/>
          <w:sz w:val="18"/>
        </w:rPr>
        <w:t xml:space="preserve"> </w:t>
      </w:r>
    </w:p>
    <w:p w:rsidR="009F0307" w:rsidRDefault="009F0307" w:rsidP="00561C55">
      <w:pPr>
        <w:widowControl/>
      </w:pPr>
    </w:p>
    <w:p w:rsidR="009F0307" w:rsidRPr="00EA1D33" w:rsidRDefault="009F0307" w:rsidP="00561C55">
      <w:pPr>
        <w:pStyle w:val="ListParagraph"/>
        <w:widowControl/>
        <w:numPr>
          <w:ilvl w:val="1"/>
          <w:numId w:val="3"/>
        </w:numPr>
        <w:rPr>
          <w:rFonts w:cs="Calibri"/>
          <w:bCs/>
        </w:rPr>
      </w:pPr>
      <w:r w:rsidRPr="002C2FBB">
        <w:t xml:space="preserve">The </w:t>
      </w:r>
      <w:r w:rsidRPr="00EA1D33">
        <w:t xml:space="preserve">submission proposed a Special Pricing Arrangement (SPA). </w:t>
      </w:r>
    </w:p>
    <w:p w:rsidR="001B6973" w:rsidRPr="00EA1D33" w:rsidRDefault="009F0307" w:rsidP="00D407A5">
      <w:pPr>
        <w:pStyle w:val="ListParagraph"/>
        <w:widowControl/>
        <w:numPr>
          <w:ilvl w:val="1"/>
          <w:numId w:val="3"/>
        </w:numPr>
      </w:pPr>
      <w:r w:rsidRPr="00EA1D33">
        <w:t>No clear continuing criteria were provided in the submission. The continuing criteria proposed were identical to the proposed initial treatment criteria (pp32 and 31 of the submission, respectively)</w:t>
      </w:r>
      <w:r w:rsidR="001B6973" w:rsidRPr="00EA1D33">
        <w:t>.</w:t>
      </w:r>
      <w:r w:rsidR="00385335" w:rsidRPr="00EA1D33">
        <w:t xml:space="preserve"> </w:t>
      </w:r>
      <w:r w:rsidR="008329D7">
        <w:t xml:space="preserve">The Pre-Sub-Committee Response </w:t>
      </w:r>
      <w:r w:rsidR="00385335" w:rsidRPr="00EA1D33">
        <w:t xml:space="preserve">proposed the continuing treatment criteria ‘Patient must not develop disease progression while receiving treatment with this drug for this condition’ for continuing treatment. </w:t>
      </w:r>
    </w:p>
    <w:p w:rsidR="009F0307" w:rsidRPr="00EA1D33" w:rsidRDefault="00A2714D" w:rsidP="00561C55">
      <w:pPr>
        <w:pStyle w:val="ListParagraph"/>
        <w:widowControl/>
        <w:numPr>
          <w:ilvl w:val="1"/>
          <w:numId w:val="3"/>
        </w:numPr>
      </w:pPr>
      <w:r w:rsidRPr="00EA1D33">
        <w:t>The proposed clinical criteria</w:t>
      </w:r>
      <w:r w:rsidR="007C25DF" w:rsidRPr="00EA1D33">
        <w:t>,</w:t>
      </w:r>
      <w:r w:rsidRPr="00EA1D33">
        <w:t xml:space="preserve"> that the patient must be resistant to endocrine therapy and/or have received at least one previous chemotherapy regimen in the (neo)adjuvant, locally advanced or metastatic setting</w:t>
      </w:r>
      <w:r w:rsidR="0060069B" w:rsidRPr="00EA1D33">
        <w:t>,</w:t>
      </w:r>
      <w:r w:rsidR="006B469C" w:rsidRPr="00EA1D33">
        <w:t xml:space="preserve"> would </w:t>
      </w:r>
      <w:r w:rsidRPr="00EA1D33">
        <w:t xml:space="preserve">allow heavily treated patients (≥ two prior chemotherapy lines) to be eligible for talazoparib. However, the </w:t>
      </w:r>
      <w:r w:rsidR="0029712B" w:rsidRPr="00167BA5">
        <w:rPr>
          <w:rFonts w:asciiTheme="minorHAnsi" w:hAnsiTheme="minorHAnsi" w:cstheme="minorHAnsi"/>
        </w:rPr>
        <w:t>Economics Sub-Committee</w:t>
      </w:r>
      <w:r w:rsidR="0029712B" w:rsidRPr="00EA1D33">
        <w:t xml:space="preserve"> </w:t>
      </w:r>
      <w:r w:rsidR="0029712B">
        <w:t>(</w:t>
      </w:r>
      <w:r w:rsidR="00C04809" w:rsidRPr="00EA1D33">
        <w:t>ESC</w:t>
      </w:r>
      <w:r w:rsidR="0029712B">
        <w:t>)</w:t>
      </w:r>
      <w:r w:rsidR="00C04809" w:rsidRPr="00EA1D33">
        <w:t xml:space="preserve"> noted that the </w:t>
      </w:r>
      <w:r w:rsidRPr="00EA1D33">
        <w:t xml:space="preserve">majority of patients in the EMBRACA trial had received ≤1 prior cytotoxic chemotherapy regimen (approximately 76%) </w:t>
      </w:r>
      <w:r w:rsidR="00196983" w:rsidRPr="00EA1D33">
        <w:t xml:space="preserve">for advanced disease </w:t>
      </w:r>
      <w:r w:rsidRPr="00EA1D33">
        <w:t>with only 24%</w:t>
      </w:r>
      <w:r w:rsidR="00354DE9" w:rsidRPr="00EA1D33">
        <w:t xml:space="preserve"> of patients having received</w:t>
      </w:r>
      <w:r w:rsidRPr="00EA1D33">
        <w:t xml:space="preserve"> </w:t>
      </w:r>
      <w:r w:rsidR="00E16870" w:rsidRPr="00EA1D33">
        <w:rPr>
          <w:rFonts w:cs="Calibri"/>
        </w:rPr>
        <w:t>≥</w:t>
      </w:r>
      <w:r w:rsidR="00E16870" w:rsidRPr="00EA1D33">
        <w:t xml:space="preserve"> </w:t>
      </w:r>
      <w:r w:rsidRPr="00EA1D33">
        <w:t>two prior cytotoxic chemotherapy regimens</w:t>
      </w:r>
      <w:r w:rsidR="00C04809" w:rsidRPr="00EA1D33">
        <w:t>. No more than two prior cytotoxic regimens</w:t>
      </w:r>
      <w:r w:rsidR="001D7C6C" w:rsidRPr="00EA1D33">
        <w:t xml:space="preserve"> in the locally advanced and/or metastatic </w:t>
      </w:r>
      <w:r w:rsidR="00460D0F" w:rsidRPr="00EA1D33">
        <w:t>setting were</w:t>
      </w:r>
      <w:r w:rsidR="001D7C6C" w:rsidRPr="00EA1D33">
        <w:t xml:space="preserve"> </w:t>
      </w:r>
      <w:r w:rsidR="00C04809" w:rsidRPr="00EA1D33">
        <w:t xml:space="preserve">allowed in </w:t>
      </w:r>
      <w:r w:rsidR="001D7C6C" w:rsidRPr="00EA1D33">
        <w:t xml:space="preserve">the trial. </w:t>
      </w:r>
    </w:p>
    <w:p w:rsidR="009F0307" w:rsidRPr="00EA1D33" w:rsidRDefault="00463015" w:rsidP="00561C55">
      <w:pPr>
        <w:pStyle w:val="ListParagraph"/>
        <w:widowControl/>
        <w:numPr>
          <w:ilvl w:val="1"/>
          <w:numId w:val="3"/>
        </w:numPr>
      </w:pPr>
      <w:r w:rsidRPr="00EA1D33">
        <w:t>Most patients in the EMBRACA trial had an ECOG (Eastern Cooperative Oncology Group) status of 0 or 1 (≤2% of patients in EMBRACA had an ECOG status of &gt;1).</w:t>
      </w:r>
      <w:r w:rsidR="00C04809" w:rsidRPr="00EA1D33">
        <w:t xml:space="preserve"> The ESC considered </w:t>
      </w:r>
      <w:r w:rsidR="00FF39BE">
        <w:t xml:space="preserve"> i</w:t>
      </w:r>
      <w:r w:rsidRPr="00EA1D33">
        <w:t>t may be appropriate for t</w:t>
      </w:r>
      <w:r w:rsidR="009F0307" w:rsidRPr="00EA1D33">
        <w:t xml:space="preserve">he restriction to specify an ECOG status of 0 or 1 </w:t>
      </w:r>
      <w:r w:rsidRPr="00EA1D33">
        <w:t xml:space="preserve">given </w:t>
      </w:r>
      <w:r w:rsidR="009F0307" w:rsidRPr="00EA1D33">
        <w:t xml:space="preserve">there was limited evidence provided for </w:t>
      </w:r>
      <w:r w:rsidRPr="00EA1D33">
        <w:t xml:space="preserve">patients with </w:t>
      </w:r>
      <w:r w:rsidR="009F0307" w:rsidRPr="00EA1D33">
        <w:t>ECOG status &gt;1.</w:t>
      </w:r>
      <w:r w:rsidR="00C04809" w:rsidRPr="00EA1D33">
        <w:t xml:space="preserve"> </w:t>
      </w:r>
    </w:p>
    <w:p w:rsidR="009F0307" w:rsidRDefault="00FB75AC" w:rsidP="00561C55">
      <w:pPr>
        <w:pStyle w:val="ListParagraph"/>
        <w:widowControl/>
        <w:numPr>
          <w:ilvl w:val="1"/>
          <w:numId w:val="3"/>
        </w:numPr>
      </w:pPr>
      <w:r w:rsidRPr="00EA1D33">
        <w:t>The Sponsor requested that grandfathering provisions apply for a small number of eligible</w:t>
      </w:r>
      <w:r w:rsidR="00B4403E" w:rsidRPr="00EA1D33">
        <w:t xml:space="preserve"> </w:t>
      </w:r>
      <w:r w:rsidR="003B0FC0" w:rsidRPr="00EA1D33">
        <w:t>gBRCAm</w:t>
      </w:r>
      <w:r w:rsidRPr="00EA1D33">
        <w:t xml:space="preserve"> HER2- advanced breast cancer patients already receiving talazoparib. </w:t>
      </w:r>
      <w:r w:rsidRPr="00EA1D33">
        <w:lastRenderedPageBreak/>
        <w:t xml:space="preserve">It was estimated in the submission that </w:t>
      </w:r>
      <w:r w:rsidR="008144D7">
        <w:t xml:space="preserve">less than </w:t>
      </w:r>
      <w:r w:rsidR="005B6806">
        <w:t>500</w:t>
      </w:r>
      <w:r w:rsidRPr="00EA1D33">
        <w:t>patients are likely to require grandfathering treatment at the time of the proposed PBS-listing.</w:t>
      </w:r>
    </w:p>
    <w:p w:rsidR="00EA1D33" w:rsidRDefault="00EA1D33" w:rsidP="00EA1D33">
      <w:pPr>
        <w:pStyle w:val="ListParagraph"/>
        <w:ind w:left="709"/>
        <w:rPr>
          <w:rFonts w:asciiTheme="minorHAnsi" w:hAnsiTheme="minorHAnsi"/>
          <w:i/>
        </w:rPr>
      </w:pPr>
      <w:r w:rsidRPr="00525B39">
        <w:rPr>
          <w:rFonts w:asciiTheme="minorHAnsi" w:hAnsiTheme="minorHAnsi"/>
          <w:i/>
        </w:rPr>
        <w:t>For more detail on PBAC’s view, see section 7 PBAC outcome.</w:t>
      </w:r>
    </w:p>
    <w:p w:rsidR="00EA1D33" w:rsidRPr="00EA1D33" w:rsidRDefault="00EA1D33" w:rsidP="00564DC2"/>
    <w:p w:rsidR="009F0307" w:rsidRPr="00407F2D" w:rsidRDefault="009F0307" w:rsidP="00561C55">
      <w:pPr>
        <w:pStyle w:val="PBACHeading1"/>
        <w:spacing w:after="240"/>
      </w:pPr>
      <w:bookmarkStart w:id="2" w:name="_Toc19717376"/>
      <w:r w:rsidRPr="00407F2D">
        <w:t>Background</w:t>
      </w:r>
      <w:bookmarkEnd w:id="2"/>
    </w:p>
    <w:p w:rsidR="009F0307" w:rsidRPr="004151CF" w:rsidRDefault="009F0307" w:rsidP="00561C55">
      <w:pPr>
        <w:pStyle w:val="Heading2"/>
      </w:pPr>
      <w:r w:rsidRPr="004151CF">
        <w:t>Registration status</w:t>
      </w:r>
    </w:p>
    <w:p w:rsidR="009F0307" w:rsidRPr="00882085" w:rsidRDefault="009F0307" w:rsidP="00561C55">
      <w:pPr>
        <w:widowControl/>
      </w:pPr>
    </w:p>
    <w:p w:rsidR="003F2556" w:rsidRPr="002C2FBB" w:rsidRDefault="009F0307" w:rsidP="00561C55">
      <w:pPr>
        <w:pStyle w:val="ListParagraph"/>
        <w:widowControl/>
        <w:numPr>
          <w:ilvl w:val="1"/>
          <w:numId w:val="3"/>
        </w:numPr>
        <w:rPr>
          <w:b/>
          <w:sz w:val="28"/>
          <w:szCs w:val="28"/>
        </w:rPr>
      </w:pPr>
      <w:r w:rsidRPr="002C2FBB">
        <w:t xml:space="preserve">The submission was made under the TGA and PBAC parallel process arrangements. A registration application for talazoparib was lodged with the TGA on October 29, 2018. The proposed TGA indication is for the treatment of patients with </w:t>
      </w:r>
      <w:r w:rsidR="003B0FC0" w:rsidRPr="002C2FBB">
        <w:t>gBRCAm</w:t>
      </w:r>
      <w:r w:rsidR="00463015" w:rsidRPr="002C2FBB">
        <w:t xml:space="preserve"> </w:t>
      </w:r>
      <w:r w:rsidRPr="002C2FBB">
        <w:t xml:space="preserve">HER2- locally advanced or metastatic breast cancer. The proposed TGA indication appeared broader than the eligibility criteria for the main EMBRACA trial as prior cytotoxic therapy (with a taxane/anthracycline) was not specified. </w:t>
      </w:r>
      <w:r w:rsidR="00385335">
        <w:t xml:space="preserve">At the time of </w:t>
      </w:r>
      <w:r w:rsidR="003E1E62">
        <w:t>PBAC consideration</w:t>
      </w:r>
      <w:r w:rsidRPr="002C2FBB">
        <w:t xml:space="preserve">, </w:t>
      </w:r>
      <w:r w:rsidR="00E350C6">
        <w:t>a positive</w:t>
      </w:r>
      <w:r w:rsidR="00E350C6" w:rsidRPr="002C2FBB">
        <w:t xml:space="preserve"> </w:t>
      </w:r>
      <w:r w:rsidR="003E1E62">
        <w:t>Delegate’</w:t>
      </w:r>
      <w:r w:rsidR="00040484">
        <w:t xml:space="preserve">s Overview was available. </w:t>
      </w:r>
      <w:r w:rsidR="007D00A2">
        <w:t xml:space="preserve">The TGA indication is yet to be finalised. The </w:t>
      </w:r>
      <w:r w:rsidR="00D97F74">
        <w:t xml:space="preserve">Delegate’s Overview stated that ‘the </w:t>
      </w:r>
      <w:r w:rsidR="007D00A2">
        <w:t>delegate is seeking impartial advice from independent Australian clinical experts in the treatment of breast cancer regarding specification of prior therapies in the wording of the indication, and will consider any additional matters raised by the clinical experts</w:t>
      </w:r>
      <w:r w:rsidR="00D97F74">
        <w:t>’</w:t>
      </w:r>
      <w:r w:rsidR="007D00A2">
        <w:t xml:space="preserve">. </w:t>
      </w:r>
    </w:p>
    <w:p w:rsidR="009F0307" w:rsidRPr="003F2556" w:rsidRDefault="00BD37E2" w:rsidP="00561C55">
      <w:pPr>
        <w:pStyle w:val="Heading2"/>
      </w:pPr>
      <w:r w:rsidRPr="003F2556">
        <w:t>Medical Services Advisory Committee (MSAC) context</w:t>
      </w:r>
    </w:p>
    <w:p w:rsidR="00BD37E2" w:rsidRPr="00561C55" w:rsidRDefault="00BD37E2" w:rsidP="00561C55">
      <w:pPr>
        <w:widowControl/>
        <w:rPr>
          <w:b/>
          <w:i/>
          <w:szCs w:val="28"/>
        </w:rPr>
      </w:pPr>
    </w:p>
    <w:p w:rsidR="00BD37E2" w:rsidRPr="009C2E06" w:rsidRDefault="00BD37E2" w:rsidP="00561C55">
      <w:pPr>
        <w:pStyle w:val="ListParagraph"/>
        <w:widowControl/>
        <w:numPr>
          <w:ilvl w:val="1"/>
          <w:numId w:val="3"/>
        </w:numPr>
        <w:rPr>
          <w:b/>
          <w:sz w:val="28"/>
          <w:szCs w:val="28"/>
        </w:rPr>
      </w:pPr>
      <w:r w:rsidRPr="009C2E06">
        <w:t>PBS eligibility for treatment with talazoparib will rely on results of BRCA testing. The submission noted that an application was lodged by the sponsor to MSAC on 9 November 2018 to initiate the co-dependent assessment of the Poly (ADP-ribose) polymerase (PARP) inhibitor (PARPi) talazoparib</w:t>
      </w:r>
      <w:r w:rsidRPr="009C2E06">
        <w:rPr>
          <w:rStyle w:val="FootnoteReference"/>
        </w:rPr>
        <w:footnoteReference w:id="1"/>
      </w:r>
      <w:r w:rsidRPr="009C2E06">
        <w:t xml:space="preserve">. </w:t>
      </w:r>
      <w:r w:rsidR="00FA5058" w:rsidRPr="009C2E06">
        <w:t>The MSAC application is scheduled for consideration as a minor submission at the November 2019 MSAC meeting (28 – 29 November 2019)</w:t>
      </w:r>
      <w:r w:rsidRPr="009C2E06">
        <w:t>. In the key EMBRACA trial</w:t>
      </w:r>
      <w:r w:rsidR="00A74EBF" w:rsidRPr="009C2E06">
        <w:t xml:space="preserve">, </w:t>
      </w:r>
      <w:r w:rsidRPr="009C2E06">
        <w:t xml:space="preserve">BRCA status for the majority of patients (95%) was confirmed centrally using the Myriad BRACAnalysis. The TGA clinical evaluation report </w:t>
      </w:r>
      <w:r w:rsidR="00A74EBF" w:rsidRPr="009C2E06">
        <w:t>(</w:t>
      </w:r>
      <w:r w:rsidRPr="009C2E06">
        <w:t>provided during the evaluation</w:t>
      </w:r>
      <w:r w:rsidR="00A74EBF" w:rsidRPr="009C2E06">
        <w:t>)</w:t>
      </w:r>
      <w:r w:rsidRPr="009C2E06">
        <w:t xml:space="preserve"> noted that the companion diagnostic (BRACAnalysis) ha</w:t>
      </w:r>
      <w:r w:rsidR="00BF7258" w:rsidRPr="009C2E06">
        <w:t>d</w:t>
      </w:r>
      <w:r w:rsidRPr="009C2E06">
        <w:t xml:space="preserve"> been approved by the FDA but is not licensed in Australia, and that currently, germline BRCA mutations are usually detected by a blood test which are generally laboratory developed tests</w:t>
      </w:r>
      <w:r w:rsidR="00A74EBF" w:rsidRPr="009C2E06">
        <w:t>.</w:t>
      </w:r>
      <w:r w:rsidR="00650D2A" w:rsidRPr="009C2E06">
        <w:t xml:space="preserve"> A confirmed PICO (Application 1507) has been published by MSAC for “Germline BRCA mutation testing to determine eligibility for </w:t>
      </w:r>
      <w:r w:rsidR="00650D2A" w:rsidRPr="009C2E06">
        <w:rPr>
          <w:u w:val="single"/>
        </w:rPr>
        <w:t>olaparib</w:t>
      </w:r>
      <w:r w:rsidR="00650D2A" w:rsidRPr="009C2E06">
        <w:t xml:space="preserve"> treatment in patients with metastatic (stage IV) HER2- breast cancer”.</w:t>
      </w:r>
    </w:p>
    <w:p w:rsidR="009F0307" w:rsidRPr="00407F2D" w:rsidRDefault="009F0307" w:rsidP="00561C55">
      <w:pPr>
        <w:pStyle w:val="PBACHeading1"/>
      </w:pPr>
      <w:bookmarkStart w:id="3" w:name="_Toc19717377"/>
      <w:r>
        <w:lastRenderedPageBreak/>
        <w:t>Population and disease</w:t>
      </w:r>
      <w:bookmarkEnd w:id="3"/>
    </w:p>
    <w:p w:rsidR="009F0307" w:rsidRPr="00882085" w:rsidRDefault="009F0307" w:rsidP="00561C55">
      <w:pPr>
        <w:widowControl/>
      </w:pPr>
    </w:p>
    <w:p w:rsidR="009F0307" w:rsidRDefault="009F0307" w:rsidP="00561C55">
      <w:pPr>
        <w:pStyle w:val="ListParagraph"/>
        <w:widowControl/>
        <w:numPr>
          <w:ilvl w:val="1"/>
          <w:numId w:val="3"/>
        </w:numPr>
      </w:pPr>
      <w:r>
        <w:t>B</w:t>
      </w:r>
      <w:r w:rsidRPr="00D3004B">
        <w:t>reast cancer is the most commonly diagnosed cancer among persons and females</w:t>
      </w:r>
      <w:r>
        <w:t xml:space="preserve"> in Australia. A</w:t>
      </w:r>
      <w:r w:rsidRPr="00D3004B">
        <w:t xml:space="preserve"> small proportion (&lt;5%) of patients with advanced breast cancer will test positive for </w:t>
      </w:r>
      <w:r w:rsidR="004E7431">
        <w:t>a gBRCA mutation</w:t>
      </w:r>
      <w:r w:rsidR="004E7431" w:rsidRPr="00D3004B">
        <w:t xml:space="preserve"> </w:t>
      </w:r>
      <w:r w:rsidRPr="00D3004B">
        <w:t>(Meynard 2017, Fasching 2017).</w:t>
      </w:r>
      <w:r>
        <w:t xml:space="preserve"> </w:t>
      </w:r>
      <w:r w:rsidRPr="00D3004B">
        <w:t>The prognosis for patients with germline BRCA mutated HER2−negative advanced breast cancer is poor, with a 5-year survival rate of less than 35%.</w:t>
      </w:r>
    </w:p>
    <w:p w:rsidR="009F0307" w:rsidRPr="00EA1D33" w:rsidRDefault="009F0307" w:rsidP="00561C55">
      <w:pPr>
        <w:pStyle w:val="ListParagraph"/>
        <w:widowControl/>
        <w:numPr>
          <w:ilvl w:val="1"/>
          <w:numId w:val="3"/>
        </w:numPr>
      </w:pPr>
      <w:r w:rsidRPr="00EA1D33">
        <w:t>There are currently no PBS-listed treatments</w:t>
      </w:r>
      <w:r w:rsidR="0034228C">
        <w:t xml:space="preserve"> specifically targeted to</w:t>
      </w:r>
      <w:r w:rsidRPr="00EA1D33">
        <w:t xml:space="preserve"> germline BRCA mutated HER2−negative advanced breast cancer patients, for which the submission requested a PBS listing of talazoparib. </w:t>
      </w:r>
      <w:r w:rsidR="0034228C">
        <w:t xml:space="preserve">The PBAC noted that there were a range of chemotherapy agents and endocrine therapies currently PBS-listed for this patient population. The PBAC also </w:t>
      </w:r>
      <w:r w:rsidR="00E96233" w:rsidRPr="00EA1D33">
        <w:t xml:space="preserve">considered </w:t>
      </w:r>
      <w:r w:rsidR="000B153C" w:rsidRPr="00EA1D33">
        <w:t>there was a clinical need for new treatments</w:t>
      </w:r>
      <w:r w:rsidR="00460D0F" w:rsidRPr="00EA1D33">
        <w:t xml:space="preserve"> that result in cure or long-term remission</w:t>
      </w:r>
      <w:r w:rsidR="009F269B" w:rsidRPr="00EA1D33">
        <w:t>, particularly for</w:t>
      </w:r>
      <w:r w:rsidR="001C5B11" w:rsidRPr="00EA1D33">
        <w:t xml:space="preserve"> the sub-set of patients</w:t>
      </w:r>
      <w:r w:rsidR="009F269B" w:rsidRPr="00EA1D33">
        <w:t xml:space="preserve"> with</w:t>
      </w:r>
      <w:r w:rsidR="001C5B11" w:rsidRPr="00EA1D33">
        <w:t xml:space="preserve"> the more aggressive</w:t>
      </w:r>
      <w:r w:rsidR="009F269B" w:rsidRPr="00EA1D33">
        <w:t xml:space="preserve"> triple negative</w:t>
      </w:r>
      <w:r w:rsidR="001C5B11" w:rsidRPr="00EA1D33">
        <w:t xml:space="preserve"> form of breast cancer</w:t>
      </w:r>
      <w:r w:rsidR="00460D0F" w:rsidRPr="00EA1D33">
        <w:t xml:space="preserve"> that are less responsive to</w:t>
      </w:r>
      <w:r w:rsidR="00525F42" w:rsidRPr="00EA1D33">
        <w:t xml:space="preserve"> </w:t>
      </w:r>
      <w:r w:rsidR="000B153C" w:rsidRPr="00EA1D33">
        <w:t>currently available therapies</w:t>
      </w:r>
      <w:r w:rsidR="001C5B11" w:rsidRPr="00EA1D33">
        <w:t xml:space="preserve">. </w:t>
      </w:r>
      <w:r w:rsidR="00525F42" w:rsidRPr="00EA1D33">
        <w:t xml:space="preserve"> </w:t>
      </w:r>
    </w:p>
    <w:p w:rsidR="00C81598" w:rsidRPr="00EA1D33" w:rsidRDefault="00C81598" w:rsidP="00561C55">
      <w:pPr>
        <w:pStyle w:val="ListParagraph"/>
        <w:widowControl/>
        <w:numPr>
          <w:ilvl w:val="1"/>
          <w:numId w:val="3"/>
        </w:numPr>
      </w:pPr>
      <w:r w:rsidRPr="00EA1D33">
        <w:t>The proposed clinical management algorithm is presented b</w:t>
      </w:r>
      <w:r w:rsidR="00280425" w:rsidRPr="00EA1D33">
        <w:t xml:space="preserve">elow. </w:t>
      </w:r>
    </w:p>
    <w:p w:rsidR="00280425" w:rsidRPr="0063106E" w:rsidRDefault="00280425" w:rsidP="00561C55">
      <w:pPr>
        <w:pStyle w:val="Caption"/>
        <w:keepNext/>
        <w:widowControl/>
      </w:pPr>
      <w:r w:rsidRPr="0063106E">
        <w:lastRenderedPageBreak/>
        <w:t xml:space="preserve">Figure </w:t>
      </w:r>
      <w:r w:rsidR="005E2D1C">
        <w:rPr>
          <w:noProof/>
        </w:rPr>
        <w:t>1</w:t>
      </w:r>
      <w:r w:rsidRPr="0063106E">
        <w:t xml:space="preserve">: Proposed clinical management algorithm </w:t>
      </w:r>
    </w:p>
    <w:p w:rsidR="00280425" w:rsidRPr="00D3004B" w:rsidRDefault="00280425" w:rsidP="00561C55">
      <w:pPr>
        <w:keepNext/>
        <w:widowControl/>
      </w:pPr>
      <w:r>
        <w:rPr>
          <w:noProof/>
          <w:snapToGrid/>
          <w:lang w:eastAsia="en-AU"/>
        </w:rPr>
        <w:drawing>
          <wp:inline distT="0" distB="0" distL="0" distR="0" wp14:anchorId="5F7672C1" wp14:editId="1D421B94">
            <wp:extent cx="5716800" cy="4821006"/>
            <wp:effectExtent l="0" t="0" r="0" b="0"/>
            <wp:docPr id="47" name="Picture 47" title="Figure 1: Proposed clinical management algorit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referRelativeResize="0">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6800" cy="4821006"/>
                    </a:xfrm>
                    <a:prstGeom prst="rect">
                      <a:avLst/>
                    </a:prstGeom>
                  </pic:spPr>
                </pic:pic>
              </a:graphicData>
            </a:graphic>
          </wp:inline>
        </w:drawing>
      </w:r>
    </w:p>
    <w:p w:rsidR="00280425" w:rsidRPr="00280425" w:rsidRDefault="00280425" w:rsidP="00561C55">
      <w:pPr>
        <w:keepNext/>
        <w:widowControl/>
        <w:rPr>
          <w:rFonts w:ascii="Arial Narrow" w:hAnsi="Arial Narrow"/>
          <w:sz w:val="18"/>
        </w:rPr>
      </w:pPr>
      <w:r w:rsidRPr="00280425">
        <w:rPr>
          <w:rFonts w:ascii="Arial Narrow" w:eastAsiaTheme="minorHAnsi" w:hAnsi="Arial Narrow"/>
          <w:sz w:val="18"/>
          <w:vertAlign w:val="superscript"/>
        </w:rPr>
        <w:t>a.</w:t>
      </w:r>
      <w:r w:rsidR="00A45164">
        <w:rPr>
          <w:rFonts w:ascii="Arial Narrow" w:eastAsiaTheme="minorHAnsi" w:hAnsi="Arial Narrow"/>
          <w:sz w:val="18"/>
          <w:vertAlign w:val="superscript"/>
        </w:rPr>
        <w:t xml:space="preserve"> </w:t>
      </w:r>
      <w:r w:rsidRPr="00280425">
        <w:rPr>
          <w:rFonts w:ascii="Arial Narrow" w:eastAsiaTheme="minorHAnsi" w:hAnsi="Arial Narrow"/>
          <w:sz w:val="18"/>
        </w:rPr>
        <w:t>Some patients will have received treatment with cisplatin in the (neo)adjuvant setting</w:t>
      </w:r>
    </w:p>
    <w:p w:rsidR="00280425" w:rsidRPr="00280425" w:rsidRDefault="00280425" w:rsidP="00561C55">
      <w:pPr>
        <w:keepNext/>
        <w:widowControl/>
        <w:rPr>
          <w:rFonts w:ascii="Arial Narrow" w:eastAsiaTheme="minorHAnsi" w:hAnsi="Arial Narrow"/>
          <w:sz w:val="18"/>
        </w:rPr>
      </w:pPr>
      <w:r w:rsidRPr="00280425">
        <w:rPr>
          <w:rFonts w:ascii="Arial Narrow" w:eastAsiaTheme="minorHAnsi" w:hAnsi="Arial Narrow"/>
          <w:sz w:val="18"/>
        </w:rPr>
        <w:t>Sources for submission: NCCN Invasive breast cancer guidelines (Version 1.2019), ESMO 2018 Consensus Guidelines for Advanced Breast Cancer and PICO confirmation (Application 1507)</w:t>
      </w:r>
    </w:p>
    <w:p w:rsidR="00280425" w:rsidRDefault="00280425" w:rsidP="00561C55">
      <w:pPr>
        <w:widowControl/>
        <w:rPr>
          <w:rFonts w:ascii="Arial Narrow" w:eastAsiaTheme="minorHAnsi" w:hAnsi="Arial Narrow"/>
          <w:sz w:val="18"/>
        </w:rPr>
      </w:pPr>
      <w:r w:rsidRPr="00280425">
        <w:rPr>
          <w:rFonts w:ascii="Arial Narrow" w:eastAsiaTheme="minorHAnsi" w:hAnsi="Arial Narrow"/>
          <w:sz w:val="18"/>
        </w:rPr>
        <w:t>Source: Figure 1.2.2, p28 of the main submission</w:t>
      </w:r>
    </w:p>
    <w:p w:rsidR="00280425" w:rsidRDefault="00280425" w:rsidP="00561C55">
      <w:pPr>
        <w:widowControl/>
        <w:rPr>
          <w:rFonts w:ascii="Arial Narrow" w:eastAsiaTheme="minorHAnsi" w:hAnsi="Arial Narrow"/>
          <w:sz w:val="18"/>
        </w:rPr>
      </w:pPr>
    </w:p>
    <w:p w:rsidR="00C55F99" w:rsidRPr="00EA1D33" w:rsidRDefault="00A77F45" w:rsidP="00561C55">
      <w:pPr>
        <w:pStyle w:val="ListParagraph"/>
        <w:widowControl/>
        <w:numPr>
          <w:ilvl w:val="1"/>
          <w:numId w:val="3"/>
        </w:numPr>
      </w:pPr>
      <w:r w:rsidRPr="00EA1D33">
        <w:t xml:space="preserve">The ESC noted that immunotherapies, which are currently being trialled as a treatment for triple negative breast cancer may alter the clinical management algorithm in the future. </w:t>
      </w:r>
    </w:p>
    <w:p w:rsidR="00280425" w:rsidRPr="00EA1D33" w:rsidRDefault="00280425" w:rsidP="00561C55">
      <w:pPr>
        <w:pStyle w:val="ListParagraph"/>
        <w:widowControl/>
        <w:numPr>
          <w:ilvl w:val="1"/>
          <w:numId w:val="3"/>
        </w:numPr>
      </w:pPr>
      <w:r w:rsidRPr="00EA1D33">
        <w:t>The</w:t>
      </w:r>
      <w:r w:rsidR="00FF5169" w:rsidRPr="00EA1D33">
        <w:t xml:space="preserve"> ESC noted that while the proposed clinical management algorithm positioned</w:t>
      </w:r>
      <w:r w:rsidR="00E11E3D" w:rsidRPr="00EA1D33">
        <w:t xml:space="preserve"> germline BRCA mutation testing after treatment with a taxane/anthracycline in the neoadjuv</w:t>
      </w:r>
      <w:r w:rsidR="00DC4567" w:rsidRPr="00EA1D33">
        <w:t>ant setting, some patients, including family members of those who have tested positive for a BRCA mutation,</w:t>
      </w:r>
      <w:r w:rsidR="00E11E3D" w:rsidRPr="00EA1D33">
        <w:t xml:space="preserve"> </w:t>
      </w:r>
      <w:r w:rsidR="00DC4567" w:rsidRPr="00EA1D33">
        <w:t>may</w:t>
      </w:r>
      <w:r w:rsidR="00E11E3D" w:rsidRPr="00EA1D33">
        <w:t xml:space="preserve"> undergo germline BRCA mutation testing earlier in the treatment algorithm.</w:t>
      </w:r>
      <w:r w:rsidR="00434D8E" w:rsidRPr="00EA1D33">
        <w:t xml:space="preserve"> The ESC noted the impact on the treatment algorithm for pati</w:t>
      </w:r>
      <w:r w:rsidR="00CF0BE7" w:rsidRPr="00EA1D33">
        <w:t xml:space="preserve">ents tested earlier is unknown. </w:t>
      </w:r>
    </w:p>
    <w:p w:rsidR="009F0307" w:rsidRDefault="00161C66" w:rsidP="00561C55">
      <w:pPr>
        <w:pStyle w:val="ListParagraph"/>
        <w:widowControl/>
        <w:numPr>
          <w:ilvl w:val="1"/>
          <w:numId w:val="3"/>
        </w:numPr>
      </w:pPr>
      <w:r w:rsidRPr="00EA1D33">
        <w:t xml:space="preserve">The ESC noted that many patients have currently not undergone germline BRCA mutation testing </w:t>
      </w:r>
      <w:r w:rsidR="00B109E6" w:rsidRPr="00EA1D33">
        <w:t xml:space="preserve">as MBS-funded testing is restricted to patients with high-risk clinical </w:t>
      </w:r>
      <w:r w:rsidR="00B109E6" w:rsidRPr="00EA1D33">
        <w:lastRenderedPageBreak/>
        <w:t xml:space="preserve">and family history factors, and access to testing </w:t>
      </w:r>
      <w:r w:rsidRPr="00EA1D33">
        <w:t xml:space="preserve">is not consistently available throughout Australia with only </w:t>
      </w:r>
      <w:r w:rsidR="009A09DF" w:rsidRPr="00EA1D33">
        <w:t xml:space="preserve">a </w:t>
      </w:r>
      <w:r w:rsidR="00B109E6" w:rsidRPr="00EA1D33">
        <w:t>limited number of cancer genetic services</w:t>
      </w:r>
      <w:r w:rsidRPr="00EA1D33">
        <w:t xml:space="preserve">. The ESC considered </w:t>
      </w:r>
      <w:r w:rsidR="00B03495" w:rsidRPr="00EA1D33">
        <w:t>t</w:t>
      </w:r>
      <w:r w:rsidR="00AE7F04" w:rsidRPr="00EA1D33">
        <w:t xml:space="preserve">here </w:t>
      </w:r>
      <w:r w:rsidR="005C1C8F" w:rsidRPr="00EA1D33">
        <w:t xml:space="preserve">could </w:t>
      </w:r>
      <w:r w:rsidR="00AE7F04" w:rsidRPr="00EA1D33">
        <w:t>potential</w:t>
      </w:r>
      <w:r w:rsidR="005C1C8F" w:rsidRPr="00EA1D33">
        <w:t>ly be</w:t>
      </w:r>
      <w:r w:rsidR="00AE7F04" w:rsidRPr="00EA1D33">
        <w:t xml:space="preserve"> access issues as</w:t>
      </w:r>
      <w:r w:rsidR="005C1C8F" w:rsidRPr="00EA1D33">
        <w:t xml:space="preserve"> an increase in </w:t>
      </w:r>
      <w:r w:rsidR="00AE7F04" w:rsidRPr="00EA1D33">
        <w:t xml:space="preserve">demand for germline BRCA mutation testing is likely if talazoparib was PBS listed. </w:t>
      </w:r>
    </w:p>
    <w:p w:rsidR="00EA1D33" w:rsidRPr="00F90A91" w:rsidRDefault="00EA1D33" w:rsidP="00EA1D33">
      <w:pPr>
        <w:pStyle w:val="ListParagraph"/>
        <w:ind w:left="709"/>
        <w:rPr>
          <w:rFonts w:asciiTheme="minorHAnsi" w:hAnsiTheme="minorHAnsi"/>
          <w:i/>
        </w:rPr>
      </w:pPr>
      <w:r w:rsidRPr="00525B39">
        <w:rPr>
          <w:rFonts w:asciiTheme="minorHAnsi" w:hAnsiTheme="minorHAnsi"/>
          <w:i/>
        </w:rPr>
        <w:t>For more detail on PBAC’s view, see section 7 PBAC outcome.</w:t>
      </w:r>
    </w:p>
    <w:p w:rsidR="00EA1D33" w:rsidRPr="00EA1D33" w:rsidRDefault="00EA1D33" w:rsidP="00EA1D33">
      <w:pPr>
        <w:widowControl/>
      </w:pPr>
    </w:p>
    <w:p w:rsidR="009F0307" w:rsidRPr="00407F2D" w:rsidRDefault="009F0307" w:rsidP="00561C55">
      <w:pPr>
        <w:pStyle w:val="PBACHeading1"/>
      </w:pPr>
      <w:bookmarkStart w:id="4" w:name="_Toc19717378"/>
      <w:r w:rsidRPr="00407F2D">
        <w:t>Comparator</w:t>
      </w:r>
      <w:bookmarkEnd w:id="4"/>
    </w:p>
    <w:p w:rsidR="009F0307" w:rsidRPr="00882085" w:rsidRDefault="009F0307" w:rsidP="00561C55">
      <w:pPr>
        <w:widowControl/>
      </w:pPr>
    </w:p>
    <w:p w:rsidR="009F0307" w:rsidRPr="00EA1D33" w:rsidRDefault="009F0307" w:rsidP="00561C55">
      <w:pPr>
        <w:pStyle w:val="ListParagraph"/>
        <w:widowControl/>
        <w:numPr>
          <w:ilvl w:val="1"/>
          <w:numId w:val="3"/>
        </w:numPr>
      </w:pPr>
      <w:r w:rsidRPr="00EA1D33">
        <w:t>The submission nominated SoC, represented by single-agent chemotherapies such as capecitabine, eribulin, vinorelbine and gemcitabine, as the comparator for the proposed target population.</w:t>
      </w:r>
      <w:r w:rsidR="008455C6" w:rsidRPr="00EA1D33">
        <w:t xml:space="preserve"> The ESC considered </w:t>
      </w:r>
      <w:r w:rsidR="0034228C">
        <w:t xml:space="preserve">that liposomal doxorubicin, </w:t>
      </w:r>
      <w:r w:rsidR="00936049" w:rsidRPr="00EA1D33">
        <w:t>nab-paclitaxel</w:t>
      </w:r>
      <w:r w:rsidR="0034228C">
        <w:t>, and platinum-based chemotherapy</w:t>
      </w:r>
      <w:r w:rsidR="00936049" w:rsidRPr="00EA1D33">
        <w:t xml:space="preserve"> are also relevant comparators in this treatment setting. </w:t>
      </w:r>
    </w:p>
    <w:p w:rsidR="009F0307" w:rsidRPr="00EA1D33" w:rsidRDefault="009F0307" w:rsidP="00561C55">
      <w:pPr>
        <w:pStyle w:val="ListParagraph"/>
        <w:widowControl/>
        <w:numPr>
          <w:ilvl w:val="1"/>
          <w:numId w:val="3"/>
        </w:numPr>
      </w:pPr>
      <w:r w:rsidRPr="00EA1D33">
        <w:t>The submission did not consider platinum</w:t>
      </w:r>
      <w:r w:rsidR="0034228C">
        <w:t xml:space="preserve">-based chemotherapy as </w:t>
      </w:r>
      <w:r w:rsidR="00CD3A36" w:rsidRPr="00EA1D33">
        <w:t>part of SoC. This may</w:t>
      </w:r>
      <w:r w:rsidR="0034228C">
        <w:t xml:space="preserve"> </w:t>
      </w:r>
      <w:r w:rsidR="00CD3A36" w:rsidRPr="00EA1D33">
        <w:t>be an alternative option in clinical practice</w:t>
      </w:r>
      <w:r w:rsidRPr="00EA1D33">
        <w:t>.</w:t>
      </w:r>
      <w:r w:rsidR="005A651B" w:rsidRPr="00EA1D33">
        <w:t xml:space="preserve"> </w:t>
      </w:r>
      <w:r w:rsidR="00EE01BD" w:rsidRPr="00EA1D33">
        <w:t>T</w:t>
      </w:r>
      <w:r w:rsidR="005A651B" w:rsidRPr="00EA1D33">
        <w:t xml:space="preserve">he ESC considered the </w:t>
      </w:r>
      <w:r w:rsidR="0052791E" w:rsidRPr="00EA1D33">
        <w:t>nominated single-agent therapies</w:t>
      </w:r>
      <w:r w:rsidR="00EE01BD" w:rsidRPr="00EA1D33">
        <w:t xml:space="preserve"> </w:t>
      </w:r>
      <w:r w:rsidR="005B0D98" w:rsidRPr="00EA1D33">
        <w:t>to be representative of</w:t>
      </w:r>
      <w:r w:rsidR="0052791E" w:rsidRPr="00EA1D33">
        <w:t xml:space="preserve"> SoC</w:t>
      </w:r>
      <w:r w:rsidR="00EE01BD" w:rsidRPr="00EA1D33">
        <w:t xml:space="preserve"> with the exception of the exclusion of platinum</w:t>
      </w:r>
      <w:r w:rsidR="00C704DE" w:rsidRPr="00EA1D33">
        <w:t xml:space="preserve">-based </w:t>
      </w:r>
      <w:r w:rsidR="007A7598" w:rsidRPr="00EA1D33">
        <w:t>chemotherapy</w:t>
      </w:r>
      <w:r w:rsidR="005F5B69" w:rsidRPr="00EA1D33">
        <w:t xml:space="preserve">. The </w:t>
      </w:r>
      <w:r w:rsidR="007F66AF" w:rsidRPr="00EA1D33">
        <w:t xml:space="preserve">ESC </w:t>
      </w:r>
      <w:r w:rsidR="006432D9">
        <w:t>consider</w:t>
      </w:r>
      <w:r w:rsidR="006432D9" w:rsidRPr="00EA1D33">
        <w:t xml:space="preserve">ed </w:t>
      </w:r>
      <w:r w:rsidR="007F66AF" w:rsidRPr="00EA1D33">
        <w:t>that platinum</w:t>
      </w:r>
      <w:r w:rsidR="008001E2" w:rsidRPr="00EA1D33">
        <w:t>-</w:t>
      </w:r>
      <w:r w:rsidR="006F53ED" w:rsidRPr="00EA1D33">
        <w:t>based chemotherapy</w:t>
      </w:r>
      <w:r w:rsidR="007F66AF" w:rsidRPr="00EA1D33">
        <w:t xml:space="preserve"> </w:t>
      </w:r>
      <w:r w:rsidR="00EE01BD" w:rsidRPr="00EA1D33">
        <w:t>is part of current standard of care</w:t>
      </w:r>
      <w:r w:rsidR="0052791E" w:rsidRPr="00EA1D33">
        <w:t xml:space="preserve"> for patients</w:t>
      </w:r>
      <w:r w:rsidR="00FC4C3F" w:rsidRPr="00EA1D33">
        <w:t xml:space="preserve"> </w:t>
      </w:r>
      <w:r w:rsidR="006F53ED" w:rsidRPr="00EA1D33">
        <w:t>with germline BRCA mutated HER</w:t>
      </w:r>
      <w:r w:rsidR="00EC6911">
        <w:t>2</w:t>
      </w:r>
      <w:r w:rsidR="006F53ED" w:rsidRPr="00EA1D33">
        <w:t>- negative breast cancer</w:t>
      </w:r>
      <w:r w:rsidR="0052791E" w:rsidRPr="00EA1D33">
        <w:t>.</w:t>
      </w:r>
    </w:p>
    <w:p w:rsidR="009F0307" w:rsidRPr="00EA1D33" w:rsidRDefault="009F0307" w:rsidP="00561C55">
      <w:pPr>
        <w:pStyle w:val="ListParagraph"/>
        <w:widowControl/>
        <w:numPr>
          <w:ilvl w:val="1"/>
          <w:numId w:val="3"/>
        </w:numPr>
      </w:pPr>
      <w:r w:rsidRPr="00EA1D33">
        <w:t xml:space="preserve">The submission also nominated olaparib (another active inhibitor of human PARP) as the near market comparator. </w:t>
      </w:r>
    </w:p>
    <w:p w:rsidR="00EA1D33" w:rsidRPr="00F90A91" w:rsidRDefault="00EA1D33" w:rsidP="00EA1D33">
      <w:pPr>
        <w:pStyle w:val="ListParagraph"/>
        <w:ind w:left="709"/>
        <w:rPr>
          <w:rFonts w:asciiTheme="minorHAnsi" w:hAnsiTheme="minorHAnsi"/>
          <w:i/>
        </w:rPr>
      </w:pPr>
      <w:r w:rsidRPr="00525B39">
        <w:rPr>
          <w:rFonts w:asciiTheme="minorHAnsi" w:hAnsiTheme="minorHAnsi"/>
          <w:i/>
        </w:rPr>
        <w:t>For more detail on PBAC’s view, see section 7 PBAC outcome.</w:t>
      </w:r>
    </w:p>
    <w:p w:rsidR="009F0307" w:rsidRPr="00DF5D2B" w:rsidRDefault="009F0307" w:rsidP="00561C55">
      <w:pPr>
        <w:widowControl/>
      </w:pPr>
    </w:p>
    <w:p w:rsidR="009F0307" w:rsidRDefault="009F0307" w:rsidP="00561C55">
      <w:pPr>
        <w:pStyle w:val="PBACHeading1"/>
      </w:pPr>
      <w:bookmarkStart w:id="5" w:name="_Toc19717379"/>
      <w:r>
        <w:t>C</w:t>
      </w:r>
      <w:r w:rsidRPr="00407F2D">
        <w:t>onsideration of the evidence</w:t>
      </w:r>
      <w:bookmarkEnd w:id="5"/>
    </w:p>
    <w:p w:rsidR="003C5A1F" w:rsidRDefault="003C5A1F" w:rsidP="003C5A1F"/>
    <w:p w:rsidR="00021E69" w:rsidRPr="00021E69" w:rsidRDefault="003C5A1F" w:rsidP="00021E69">
      <w:pPr>
        <w:pStyle w:val="Heading2"/>
        <w:widowControl/>
      </w:pPr>
      <w:r>
        <w:t xml:space="preserve">Sponsor hearing </w:t>
      </w:r>
    </w:p>
    <w:p w:rsidR="003C5A1F" w:rsidRPr="003C5A1F" w:rsidRDefault="003C5A1F" w:rsidP="003C5A1F"/>
    <w:p w:rsidR="00563B26" w:rsidRDefault="003C5A1F" w:rsidP="006432D9">
      <w:pPr>
        <w:widowControl/>
        <w:numPr>
          <w:ilvl w:val="1"/>
          <w:numId w:val="3"/>
        </w:numPr>
        <w:spacing w:after="120"/>
        <w:rPr>
          <w:rFonts w:asciiTheme="minorHAnsi" w:hAnsiTheme="minorHAnsi"/>
          <w:bCs/>
          <w:szCs w:val="24"/>
        </w:rPr>
      </w:pPr>
      <w:r w:rsidRPr="006C5304">
        <w:rPr>
          <w:rFonts w:asciiTheme="minorHAnsi" w:hAnsiTheme="minorHAnsi"/>
          <w:bCs/>
          <w:szCs w:val="24"/>
        </w:rPr>
        <w:t xml:space="preserve">The sponsor requested a hearing for this item. </w:t>
      </w:r>
      <w:r w:rsidR="004378CC" w:rsidRPr="006C5304">
        <w:rPr>
          <w:rFonts w:asciiTheme="minorHAnsi" w:hAnsiTheme="minorHAnsi"/>
          <w:bCs/>
          <w:szCs w:val="24"/>
        </w:rPr>
        <w:t xml:space="preserve">The clinician considered </w:t>
      </w:r>
      <w:r w:rsidR="000838E3">
        <w:rPr>
          <w:rFonts w:asciiTheme="minorHAnsi" w:hAnsiTheme="minorHAnsi"/>
          <w:bCs/>
          <w:szCs w:val="24"/>
        </w:rPr>
        <w:t>there was a high</w:t>
      </w:r>
      <w:r w:rsidR="004378CC" w:rsidRPr="006C5304">
        <w:rPr>
          <w:rFonts w:asciiTheme="minorHAnsi" w:hAnsiTheme="minorHAnsi"/>
          <w:bCs/>
          <w:szCs w:val="24"/>
        </w:rPr>
        <w:t xml:space="preserve"> clinical need for </w:t>
      </w:r>
      <w:r w:rsidR="0034228C">
        <w:rPr>
          <w:rFonts w:asciiTheme="minorHAnsi" w:hAnsiTheme="minorHAnsi"/>
          <w:bCs/>
          <w:szCs w:val="24"/>
        </w:rPr>
        <w:t>more effective</w:t>
      </w:r>
      <w:r w:rsidR="004378CC" w:rsidRPr="006C5304">
        <w:rPr>
          <w:rFonts w:asciiTheme="minorHAnsi" w:hAnsiTheme="minorHAnsi"/>
          <w:bCs/>
          <w:szCs w:val="24"/>
        </w:rPr>
        <w:t xml:space="preserve"> therapies</w:t>
      </w:r>
      <w:r w:rsidR="0034228C">
        <w:rPr>
          <w:rFonts w:asciiTheme="minorHAnsi" w:hAnsiTheme="minorHAnsi"/>
          <w:bCs/>
          <w:szCs w:val="24"/>
        </w:rPr>
        <w:t xml:space="preserve"> for gBRCAm HER2- advanced breast cancer</w:t>
      </w:r>
      <w:r w:rsidR="000838E3">
        <w:rPr>
          <w:rFonts w:asciiTheme="minorHAnsi" w:hAnsiTheme="minorHAnsi"/>
          <w:bCs/>
          <w:szCs w:val="24"/>
        </w:rPr>
        <w:t>,</w:t>
      </w:r>
      <w:r w:rsidR="004378CC" w:rsidRPr="006C5304">
        <w:rPr>
          <w:rFonts w:asciiTheme="minorHAnsi" w:hAnsiTheme="minorHAnsi"/>
          <w:bCs/>
          <w:szCs w:val="24"/>
        </w:rPr>
        <w:t xml:space="preserve"> </w:t>
      </w:r>
      <w:r w:rsidR="000838E3">
        <w:rPr>
          <w:rFonts w:asciiTheme="minorHAnsi" w:hAnsiTheme="minorHAnsi"/>
          <w:bCs/>
          <w:szCs w:val="24"/>
        </w:rPr>
        <w:t>particularly</w:t>
      </w:r>
      <w:r w:rsidR="004378CC" w:rsidRPr="006C5304">
        <w:rPr>
          <w:rFonts w:asciiTheme="minorHAnsi" w:hAnsiTheme="minorHAnsi"/>
          <w:bCs/>
          <w:szCs w:val="24"/>
        </w:rPr>
        <w:t xml:space="preserve"> for patients with triple negative breast cancer</w:t>
      </w:r>
      <w:r w:rsidR="0034228C">
        <w:rPr>
          <w:rFonts w:asciiTheme="minorHAnsi" w:hAnsiTheme="minorHAnsi"/>
          <w:bCs/>
          <w:szCs w:val="24"/>
        </w:rPr>
        <w:t xml:space="preserve"> where it was stated that there were</w:t>
      </w:r>
      <w:r w:rsidR="003A356F">
        <w:rPr>
          <w:rFonts w:asciiTheme="minorHAnsi" w:hAnsiTheme="minorHAnsi"/>
          <w:bCs/>
          <w:szCs w:val="24"/>
        </w:rPr>
        <w:t xml:space="preserve"> few effective treatment options following relapse</w:t>
      </w:r>
      <w:r w:rsidR="00676F57" w:rsidRPr="006C5304">
        <w:rPr>
          <w:rFonts w:asciiTheme="minorHAnsi" w:hAnsiTheme="minorHAnsi"/>
          <w:bCs/>
          <w:szCs w:val="24"/>
        </w:rPr>
        <w:t xml:space="preserve">. </w:t>
      </w:r>
      <w:r w:rsidR="0085286E" w:rsidRPr="006C5304">
        <w:rPr>
          <w:rFonts w:asciiTheme="minorHAnsi" w:hAnsiTheme="minorHAnsi"/>
          <w:bCs/>
          <w:szCs w:val="24"/>
        </w:rPr>
        <w:t xml:space="preserve">The </w:t>
      </w:r>
      <w:r w:rsidR="00722633" w:rsidRPr="006C5304">
        <w:rPr>
          <w:rFonts w:asciiTheme="minorHAnsi" w:hAnsiTheme="minorHAnsi"/>
          <w:bCs/>
          <w:szCs w:val="24"/>
        </w:rPr>
        <w:t xml:space="preserve">clinician described </w:t>
      </w:r>
      <w:r w:rsidR="00274187" w:rsidRPr="006C5304">
        <w:rPr>
          <w:rFonts w:asciiTheme="minorHAnsi" w:hAnsiTheme="minorHAnsi"/>
          <w:bCs/>
          <w:szCs w:val="24"/>
        </w:rPr>
        <w:t>the results of the EMBRACA trial</w:t>
      </w:r>
      <w:r w:rsidR="00D15E50" w:rsidRPr="006C5304">
        <w:rPr>
          <w:rFonts w:asciiTheme="minorHAnsi" w:hAnsiTheme="minorHAnsi"/>
          <w:bCs/>
          <w:szCs w:val="24"/>
        </w:rPr>
        <w:t>,</w:t>
      </w:r>
      <w:r w:rsidR="00274187" w:rsidRPr="006C5304">
        <w:rPr>
          <w:rFonts w:asciiTheme="minorHAnsi" w:hAnsiTheme="minorHAnsi"/>
          <w:bCs/>
          <w:szCs w:val="24"/>
        </w:rPr>
        <w:t xml:space="preserve"> </w:t>
      </w:r>
      <w:r w:rsidR="00D15E50" w:rsidRPr="006C5304">
        <w:rPr>
          <w:rFonts w:asciiTheme="minorHAnsi" w:hAnsiTheme="minorHAnsi"/>
          <w:bCs/>
          <w:szCs w:val="24"/>
        </w:rPr>
        <w:t xml:space="preserve">noting that </w:t>
      </w:r>
      <w:r w:rsidR="0034228C">
        <w:rPr>
          <w:rFonts w:asciiTheme="minorHAnsi" w:hAnsiTheme="minorHAnsi"/>
          <w:bCs/>
          <w:szCs w:val="24"/>
        </w:rPr>
        <w:t xml:space="preserve">the magnitude of </w:t>
      </w:r>
      <w:r w:rsidR="00D15E50" w:rsidRPr="006C5304">
        <w:rPr>
          <w:rFonts w:asciiTheme="minorHAnsi" w:hAnsiTheme="minorHAnsi"/>
          <w:bCs/>
          <w:szCs w:val="24"/>
        </w:rPr>
        <w:t>PFS</w:t>
      </w:r>
      <w:r w:rsidR="0034228C">
        <w:rPr>
          <w:rFonts w:asciiTheme="minorHAnsi" w:hAnsiTheme="minorHAnsi"/>
          <w:bCs/>
          <w:szCs w:val="24"/>
        </w:rPr>
        <w:t xml:space="preserve"> benefit</w:t>
      </w:r>
      <w:r w:rsidR="00D15E50" w:rsidRPr="006C5304">
        <w:rPr>
          <w:rFonts w:asciiTheme="minorHAnsi" w:hAnsiTheme="minorHAnsi"/>
          <w:bCs/>
          <w:szCs w:val="24"/>
        </w:rPr>
        <w:t xml:space="preserve"> was similar ac</w:t>
      </w:r>
      <w:r w:rsidR="0034228C">
        <w:rPr>
          <w:rFonts w:asciiTheme="minorHAnsi" w:hAnsiTheme="minorHAnsi"/>
          <w:bCs/>
          <w:szCs w:val="24"/>
        </w:rPr>
        <w:t xml:space="preserve">ross subgroups within the trial, </w:t>
      </w:r>
      <w:r w:rsidR="00D15E50" w:rsidRPr="006C5304">
        <w:rPr>
          <w:rFonts w:asciiTheme="minorHAnsi" w:hAnsiTheme="minorHAnsi"/>
          <w:bCs/>
          <w:szCs w:val="24"/>
        </w:rPr>
        <w:t xml:space="preserve">and that the early survival data </w:t>
      </w:r>
      <w:r w:rsidR="0034228C">
        <w:rPr>
          <w:rFonts w:asciiTheme="minorHAnsi" w:hAnsiTheme="minorHAnsi"/>
          <w:bCs/>
          <w:szCs w:val="24"/>
        </w:rPr>
        <w:t>could</w:t>
      </w:r>
      <w:r w:rsidR="0034228C" w:rsidRPr="006C5304">
        <w:rPr>
          <w:rFonts w:asciiTheme="minorHAnsi" w:hAnsiTheme="minorHAnsi"/>
          <w:bCs/>
          <w:szCs w:val="24"/>
        </w:rPr>
        <w:t xml:space="preserve"> indicate</w:t>
      </w:r>
      <w:r w:rsidR="00D15E50" w:rsidRPr="006C5304">
        <w:rPr>
          <w:rFonts w:asciiTheme="minorHAnsi" w:hAnsiTheme="minorHAnsi"/>
          <w:bCs/>
          <w:szCs w:val="24"/>
        </w:rPr>
        <w:t xml:space="preserve"> a survival benefit associated with talazoparib</w:t>
      </w:r>
      <w:r w:rsidR="0034228C">
        <w:rPr>
          <w:rFonts w:asciiTheme="minorHAnsi" w:hAnsiTheme="minorHAnsi"/>
          <w:bCs/>
          <w:szCs w:val="24"/>
        </w:rPr>
        <w:t xml:space="preserve"> compared to chemotherapy</w:t>
      </w:r>
      <w:r w:rsidR="00D15E50" w:rsidRPr="006C5304">
        <w:rPr>
          <w:rFonts w:asciiTheme="minorHAnsi" w:hAnsiTheme="minorHAnsi"/>
          <w:bCs/>
          <w:szCs w:val="24"/>
        </w:rPr>
        <w:t xml:space="preserve">. </w:t>
      </w:r>
      <w:r w:rsidR="000F73E0" w:rsidRPr="006C5304">
        <w:rPr>
          <w:rFonts w:asciiTheme="minorHAnsi" w:hAnsiTheme="minorHAnsi"/>
          <w:bCs/>
          <w:szCs w:val="24"/>
        </w:rPr>
        <w:t>The clinician</w:t>
      </w:r>
      <w:r w:rsidR="0015383A" w:rsidRPr="006C5304">
        <w:rPr>
          <w:rFonts w:asciiTheme="minorHAnsi" w:hAnsiTheme="minorHAnsi"/>
          <w:bCs/>
          <w:szCs w:val="24"/>
        </w:rPr>
        <w:t xml:space="preserve"> emphasised treatment benefits</w:t>
      </w:r>
      <w:r w:rsidR="000F73E0" w:rsidRPr="006C5304">
        <w:rPr>
          <w:rFonts w:asciiTheme="minorHAnsi" w:hAnsiTheme="minorHAnsi"/>
          <w:bCs/>
          <w:szCs w:val="24"/>
        </w:rPr>
        <w:t xml:space="preserve"> of talazoparib</w:t>
      </w:r>
      <w:r w:rsidR="0015383A" w:rsidRPr="006C5304">
        <w:rPr>
          <w:rFonts w:asciiTheme="minorHAnsi" w:hAnsiTheme="minorHAnsi"/>
          <w:bCs/>
          <w:szCs w:val="24"/>
        </w:rPr>
        <w:t xml:space="preserve"> such as improvement in quality of life, a tolerable side effect profile</w:t>
      </w:r>
      <w:r w:rsidR="000F73E0" w:rsidRPr="006C5304">
        <w:rPr>
          <w:rFonts w:asciiTheme="minorHAnsi" w:hAnsiTheme="minorHAnsi"/>
          <w:bCs/>
          <w:szCs w:val="24"/>
        </w:rPr>
        <w:t xml:space="preserve">, </w:t>
      </w:r>
      <w:r w:rsidR="006C5304">
        <w:rPr>
          <w:rFonts w:asciiTheme="minorHAnsi" w:hAnsiTheme="minorHAnsi"/>
          <w:bCs/>
          <w:szCs w:val="24"/>
        </w:rPr>
        <w:t xml:space="preserve">and </w:t>
      </w:r>
      <w:r w:rsidR="00747D87">
        <w:rPr>
          <w:rFonts w:asciiTheme="minorHAnsi" w:hAnsiTheme="minorHAnsi"/>
          <w:bCs/>
          <w:szCs w:val="24"/>
        </w:rPr>
        <w:t xml:space="preserve">ease of administration. </w:t>
      </w:r>
      <w:r w:rsidR="006C5304">
        <w:rPr>
          <w:rFonts w:asciiTheme="minorHAnsi" w:hAnsiTheme="minorHAnsi"/>
          <w:bCs/>
          <w:szCs w:val="24"/>
        </w:rPr>
        <w:t xml:space="preserve"> </w:t>
      </w:r>
    </w:p>
    <w:p w:rsidR="003C5A1F" w:rsidRPr="007F21CA" w:rsidRDefault="00911C18" w:rsidP="007F21CA">
      <w:pPr>
        <w:widowControl/>
        <w:numPr>
          <w:ilvl w:val="1"/>
          <w:numId w:val="3"/>
        </w:numPr>
        <w:spacing w:after="120"/>
        <w:rPr>
          <w:rFonts w:asciiTheme="minorHAnsi" w:hAnsiTheme="minorHAnsi"/>
          <w:bCs/>
          <w:szCs w:val="24"/>
        </w:rPr>
      </w:pPr>
      <w:r>
        <w:rPr>
          <w:rFonts w:asciiTheme="minorHAnsi" w:hAnsiTheme="minorHAnsi"/>
          <w:bCs/>
          <w:szCs w:val="24"/>
        </w:rPr>
        <w:lastRenderedPageBreak/>
        <w:t xml:space="preserve">In response to the Committee’s </w:t>
      </w:r>
      <w:r w:rsidR="00AE05C9">
        <w:rPr>
          <w:rFonts w:asciiTheme="minorHAnsi" w:hAnsiTheme="minorHAnsi"/>
          <w:bCs/>
          <w:szCs w:val="24"/>
        </w:rPr>
        <w:t xml:space="preserve">question regarding the use of platinum </w:t>
      </w:r>
      <w:r w:rsidR="000B3587">
        <w:rPr>
          <w:rFonts w:asciiTheme="minorHAnsi" w:hAnsiTheme="minorHAnsi"/>
          <w:bCs/>
          <w:szCs w:val="24"/>
        </w:rPr>
        <w:t>therapy, the clinician</w:t>
      </w:r>
      <w:r w:rsidR="00CF0C32">
        <w:rPr>
          <w:rFonts w:asciiTheme="minorHAnsi" w:hAnsiTheme="minorHAnsi"/>
          <w:bCs/>
          <w:szCs w:val="24"/>
        </w:rPr>
        <w:t xml:space="preserve"> indicated</w:t>
      </w:r>
      <w:r w:rsidR="000B3587">
        <w:rPr>
          <w:rFonts w:asciiTheme="minorHAnsi" w:hAnsiTheme="minorHAnsi"/>
          <w:bCs/>
          <w:szCs w:val="24"/>
        </w:rPr>
        <w:t xml:space="preserve"> a preference to use anthracyclines in the adjuvant setting</w:t>
      </w:r>
      <w:r w:rsidR="00DC1213">
        <w:rPr>
          <w:rFonts w:asciiTheme="minorHAnsi" w:hAnsiTheme="minorHAnsi"/>
          <w:bCs/>
          <w:szCs w:val="24"/>
        </w:rPr>
        <w:t>,</w:t>
      </w:r>
      <w:r w:rsidR="000B3587">
        <w:rPr>
          <w:rFonts w:asciiTheme="minorHAnsi" w:hAnsiTheme="minorHAnsi"/>
          <w:bCs/>
          <w:szCs w:val="24"/>
        </w:rPr>
        <w:t xml:space="preserve"> noting that</w:t>
      </w:r>
      <w:r w:rsidR="00AE05C9">
        <w:rPr>
          <w:rFonts w:asciiTheme="minorHAnsi" w:hAnsiTheme="minorHAnsi"/>
          <w:bCs/>
          <w:szCs w:val="24"/>
        </w:rPr>
        <w:t xml:space="preserve"> </w:t>
      </w:r>
      <w:r w:rsidR="00151D46">
        <w:rPr>
          <w:rFonts w:asciiTheme="minorHAnsi" w:hAnsiTheme="minorHAnsi"/>
          <w:bCs/>
          <w:szCs w:val="24"/>
        </w:rPr>
        <w:t xml:space="preserve">the recommendation to use platinum therapy </w:t>
      </w:r>
      <w:r w:rsidR="000B3587">
        <w:rPr>
          <w:rFonts w:asciiTheme="minorHAnsi" w:hAnsiTheme="minorHAnsi"/>
          <w:bCs/>
          <w:szCs w:val="24"/>
        </w:rPr>
        <w:t>was based on the TNT trial</w:t>
      </w:r>
      <w:r w:rsidR="0034228C">
        <w:rPr>
          <w:rStyle w:val="FootnoteReference"/>
          <w:rFonts w:asciiTheme="minorHAnsi" w:hAnsiTheme="minorHAnsi"/>
          <w:bCs/>
          <w:szCs w:val="24"/>
        </w:rPr>
        <w:footnoteReference w:id="2"/>
      </w:r>
      <w:r w:rsidR="000B3587">
        <w:rPr>
          <w:rFonts w:asciiTheme="minorHAnsi" w:hAnsiTheme="minorHAnsi"/>
          <w:bCs/>
          <w:szCs w:val="24"/>
        </w:rPr>
        <w:t xml:space="preserve">, </w:t>
      </w:r>
      <w:r w:rsidR="00235C8E">
        <w:rPr>
          <w:rFonts w:asciiTheme="minorHAnsi" w:hAnsiTheme="minorHAnsi"/>
          <w:bCs/>
          <w:szCs w:val="24"/>
        </w:rPr>
        <w:t xml:space="preserve">which </w:t>
      </w:r>
      <w:r w:rsidR="0097694B">
        <w:rPr>
          <w:rFonts w:asciiTheme="minorHAnsi" w:hAnsiTheme="minorHAnsi"/>
          <w:bCs/>
          <w:szCs w:val="24"/>
        </w:rPr>
        <w:t>had a small number of patients with a germline BRCA mutation</w:t>
      </w:r>
      <w:r w:rsidR="00892D47">
        <w:rPr>
          <w:rFonts w:asciiTheme="minorHAnsi" w:hAnsiTheme="minorHAnsi"/>
          <w:bCs/>
          <w:szCs w:val="24"/>
        </w:rPr>
        <w:t xml:space="preserve">. However, the clinician acknowledged there </w:t>
      </w:r>
      <w:r w:rsidR="00CF0C32">
        <w:rPr>
          <w:rFonts w:asciiTheme="minorHAnsi" w:hAnsiTheme="minorHAnsi"/>
          <w:bCs/>
          <w:szCs w:val="24"/>
        </w:rPr>
        <w:t>was</w:t>
      </w:r>
      <w:r w:rsidR="00892D47">
        <w:rPr>
          <w:rFonts w:asciiTheme="minorHAnsi" w:hAnsiTheme="minorHAnsi"/>
          <w:bCs/>
          <w:szCs w:val="24"/>
        </w:rPr>
        <w:t xml:space="preserve"> use of platinum therapy in </w:t>
      </w:r>
      <w:r w:rsidR="000B3587">
        <w:rPr>
          <w:rFonts w:asciiTheme="minorHAnsi" w:hAnsiTheme="minorHAnsi"/>
          <w:bCs/>
          <w:szCs w:val="24"/>
        </w:rPr>
        <w:t>this treatment setting</w:t>
      </w:r>
      <w:r w:rsidR="007571E7">
        <w:rPr>
          <w:rFonts w:asciiTheme="minorHAnsi" w:hAnsiTheme="minorHAnsi"/>
          <w:bCs/>
          <w:szCs w:val="24"/>
        </w:rPr>
        <w:t xml:space="preserve">. The clinician considered that talazoparib </w:t>
      </w:r>
      <w:r w:rsidR="00CF0C32">
        <w:rPr>
          <w:rFonts w:asciiTheme="minorHAnsi" w:hAnsiTheme="minorHAnsi"/>
          <w:bCs/>
          <w:szCs w:val="24"/>
        </w:rPr>
        <w:t>would be preferred</w:t>
      </w:r>
      <w:r w:rsidR="007571E7">
        <w:rPr>
          <w:rFonts w:asciiTheme="minorHAnsi" w:hAnsiTheme="minorHAnsi"/>
          <w:bCs/>
          <w:szCs w:val="24"/>
        </w:rPr>
        <w:t xml:space="preserve"> over platinum therapy in the second-line setting</w:t>
      </w:r>
      <w:r w:rsidR="005C1051">
        <w:rPr>
          <w:rFonts w:asciiTheme="minorHAnsi" w:hAnsiTheme="minorHAnsi"/>
          <w:bCs/>
          <w:szCs w:val="24"/>
        </w:rPr>
        <w:t>,</w:t>
      </w:r>
      <w:r w:rsidR="007571E7">
        <w:rPr>
          <w:rFonts w:asciiTheme="minorHAnsi" w:hAnsiTheme="minorHAnsi"/>
          <w:bCs/>
          <w:szCs w:val="24"/>
        </w:rPr>
        <w:t xml:space="preserve"> </w:t>
      </w:r>
      <w:r w:rsidR="00533DE7">
        <w:rPr>
          <w:rFonts w:asciiTheme="minorHAnsi" w:hAnsiTheme="minorHAnsi"/>
          <w:bCs/>
          <w:szCs w:val="24"/>
        </w:rPr>
        <w:t>particularly for patients with the more rapidly progressin</w:t>
      </w:r>
      <w:r w:rsidR="00CF0C32">
        <w:rPr>
          <w:rFonts w:asciiTheme="minorHAnsi" w:hAnsiTheme="minorHAnsi"/>
          <w:bCs/>
          <w:szCs w:val="24"/>
        </w:rPr>
        <w:t xml:space="preserve">g triple negative breast cancer, </w:t>
      </w:r>
      <w:r w:rsidR="00533DE7">
        <w:rPr>
          <w:rFonts w:asciiTheme="minorHAnsi" w:hAnsiTheme="minorHAnsi"/>
          <w:bCs/>
          <w:szCs w:val="24"/>
        </w:rPr>
        <w:t xml:space="preserve">as these patients may not have the opportunity </w:t>
      </w:r>
      <w:r w:rsidR="00CF0C32">
        <w:rPr>
          <w:rFonts w:asciiTheme="minorHAnsi" w:hAnsiTheme="minorHAnsi"/>
          <w:bCs/>
          <w:szCs w:val="24"/>
        </w:rPr>
        <w:t>for third</w:t>
      </w:r>
      <w:r w:rsidR="00533DE7">
        <w:rPr>
          <w:rFonts w:asciiTheme="minorHAnsi" w:hAnsiTheme="minorHAnsi"/>
          <w:bCs/>
          <w:szCs w:val="24"/>
        </w:rPr>
        <w:t>-line treatment.</w:t>
      </w:r>
      <w:r w:rsidR="00CF0C32">
        <w:rPr>
          <w:rFonts w:asciiTheme="minorHAnsi" w:hAnsiTheme="minorHAnsi"/>
          <w:bCs/>
          <w:szCs w:val="24"/>
        </w:rPr>
        <w:t xml:space="preserve"> </w:t>
      </w:r>
    </w:p>
    <w:p w:rsidR="00021E69" w:rsidRDefault="00021E69" w:rsidP="006432D9">
      <w:pPr>
        <w:pStyle w:val="Heading2"/>
        <w:widowControl/>
      </w:pPr>
      <w:r w:rsidRPr="003F7769">
        <w:t>Consumer comments</w:t>
      </w:r>
    </w:p>
    <w:p w:rsidR="003F7769" w:rsidRPr="003F7769" w:rsidRDefault="003F7769" w:rsidP="006432D9"/>
    <w:p w:rsidR="00BA2FEE" w:rsidRDefault="00021E69" w:rsidP="00F62E31">
      <w:pPr>
        <w:widowControl/>
        <w:numPr>
          <w:ilvl w:val="1"/>
          <w:numId w:val="3"/>
        </w:numPr>
        <w:spacing w:after="120"/>
        <w:rPr>
          <w:rFonts w:asciiTheme="minorHAnsi" w:hAnsiTheme="minorHAnsi"/>
          <w:bCs/>
          <w:szCs w:val="24"/>
        </w:rPr>
      </w:pPr>
      <w:r w:rsidRPr="00021E69">
        <w:rPr>
          <w:rFonts w:asciiTheme="minorHAnsi" w:hAnsiTheme="minorHAnsi"/>
          <w:bCs/>
          <w:szCs w:val="24"/>
        </w:rPr>
        <w:t>The PBAC not</w:t>
      </w:r>
      <w:r w:rsidR="005F3F45">
        <w:rPr>
          <w:rFonts w:asciiTheme="minorHAnsi" w:hAnsiTheme="minorHAnsi"/>
          <w:bCs/>
          <w:szCs w:val="24"/>
        </w:rPr>
        <w:t>ed and welcomed the input from organisations (3</w:t>
      </w:r>
      <w:r w:rsidRPr="00021E69">
        <w:rPr>
          <w:rFonts w:asciiTheme="minorHAnsi" w:hAnsiTheme="minorHAnsi"/>
          <w:bCs/>
          <w:szCs w:val="24"/>
        </w:rPr>
        <w:t>) via the Consumer Comment</w:t>
      </w:r>
      <w:r w:rsidR="00AF0240">
        <w:rPr>
          <w:rFonts w:asciiTheme="minorHAnsi" w:hAnsiTheme="minorHAnsi"/>
          <w:bCs/>
          <w:szCs w:val="24"/>
        </w:rPr>
        <w:t>s facility on the PBS website.</w:t>
      </w:r>
      <w:r w:rsidR="00F62E31" w:rsidRPr="00F62E31">
        <w:t xml:space="preserve"> </w:t>
      </w:r>
      <w:r w:rsidR="00F62E31" w:rsidRPr="00F62E31">
        <w:rPr>
          <w:rFonts w:asciiTheme="minorHAnsi" w:hAnsiTheme="minorHAnsi"/>
          <w:bCs/>
          <w:szCs w:val="24"/>
        </w:rPr>
        <w:t>The Breast Cancer Network Australia (BCNA)</w:t>
      </w:r>
      <w:r w:rsidR="00F62E31">
        <w:rPr>
          <w:rFonts w:asciiTheme="minorHAnsi" w:hAnsiTheme="minorHAnsi"/>
          <w:bCs/>
          <w:szCs w:val="24"/>
        </w:rPr>
        <w:t xml:space="preserve"> and</w:t>
      </w:r>
      <w:r w:rsidR="00AF0240">
        <w:rPr>
          <w:rFonts w:asciiTheme="minorHAnsi" w:hAnsiTheme="minorHAnsi"/>
          <w:bCs/>
          <w:szCs w:val="24"/>
        </w:rPr>
        <w:t xml:space="preserve"> Pink</w:t>
      </w:r>
      <w:r w:rsidR="003F7769">
        <w:rPr>
          <w:rFonts w:asciiTheme="minorHAnsi" w:hAnsiTheme="minorHAnsi"/>
          <w:bCs/>
          <w:szCs w:val="24"/>
        </w:rPr>
        <w:t xml:space="preserve"> Hope </w:t>
      </w:r>
      <w:r w:rsidR="00912559">
        <w:rPr>
          <w:rFonts w:asciiTheme="minorHAnsi" w:hAnsiTheme="minorHAnsi"/>
          <w:bCs/>
          <w:szCs w:val="24"/>
        </w:rPr>
        <w:t xml:space="preserve">expressed </w:t>
      </w:r>
      <w:r w:rsidR="00D97F74">
        <w:rPr>
          <w:rFonts w:asciiTheme="minorHAnsi" w:hAnsiTheme="minorHAnsi"/>
          <w:bCs/>
          <w:szCs w:val="24"/>
        </w:rPr>
        <w:t>their</w:t>
      </w:r>
      <w:r w:rsidR="00912559">
        <w:rPr>
          <w:rFonts w:asciiTheme="minorHAnsi" w:hAnsiTheme="minorHAnsi"/>
          <w:bCs/>
          <w:szCs w:val="24"/>
        </w:rPr>
        <w:t xml:space="preserve"> support</w:t>
      </w:r>
      <w:r w:rsidR="005F15D4">
        <w:rPr>
          <w:rFonts w:asciiTheme="minorHAnsi" w:hAnsiTheme="minorHAnsi"/>
          <w:bCs/>
          <w:szCs w:val="24"/>
        </w:rPr>
        <w:t xml:space="preserve"> for talazoparib to be made available to patients with gBRCAm HER2- </w:t>
      </w:r>
      <w:r w:rsidR="005F15D4" w:rsidRPr="005F15D4">
        <w:rPr>
          <w:rFonts w:asciiTheme="minorHAnsi" w:hAnsiTheme="minorHAnsi"/>
          <w:bCs/>
          <w:szCs w:val="24"/>
        </w:rPr>
        <w:t>locally advanced or metastatic breast cancer</w:t>
      </w:r>
      <w:r w:rsidR="005C1051">
        <w:rPr>
          <w:rFonts w:asciiTheme="minorHAnsi" w:hAnsiTheme="minorHAnsi"/>
          <w:bCs/>
          <w:szCs w:val="24"/>
        </w:rPr>
        <w:t>,</w:t>
      </w:r>
      <w:r w:rsidR="005F15D4">
        <w:rPr>
          <w:rFonts w:asciiTheme="minorHAnsi" w:hAnsiTheme="minorHAnsi"/>
          <w:bCs/>
          <w:szCs w:val="24"/>
        </w:rPr>
        <w:t xml:space="preserve"> noting there are limited</w:t>
      </w:r>
      <w:r w:rsidR="00BC135D">
        <w:rPr>
          <w:rFonts w:asciiTheme="minorHAnsi" w:hAnsiTheme="minorHAnsi"/>
          <w:bCs/>
          <w:szCs w:val="24"/>
        </w:rPr>
        <w:t xml:space="preserve"> effective</w:t>
      </w:r>
      <w:r w:rsidR="005F15D4">
        <w:rPr>
          <w:rFonts w:asciiTheme="minorHAnsi" w:hAnsiTheme="minorHAnsi"/>
          <w:bCs/>
          <w:szCs w:val="24"/>
        </w:rPr>
        <w:t xml:space="preserve"> treatment options available </w:t>
      </w:r>
      <w:r w:rsidR="00912559">
        <w:rPr>
          <w:rFonts w:asciiTheme="minorHAnsi" w:hAnsiTheme="minorHAnsi"/>
          <w:bCs/>
          <w:szCs w:val="24"/>
        </w:rPr>
        <w:t xml:space="preserve">for </w:t>
      </w:r>
      <w:r w:rsidR="005F15D4">
        <w:rPr>
          <w:rFonts w:asciiTheme="minorHAnsi" w:hAnsiTheme="minorHAnsi"/>
          <w:bCs/>
          <w:szCs w:val="24"/>
        </w:rPr>
        <w:t xml:space="preserve">these patients. </w:t>
      </w:r>
    </w:p>
    <w:p w:rsidR="009F0307" w:rsidRPr="00882085" w:rsidRDefault="00021E69" w:rsidP="006432D9">
      <w:pPr>
        <w:widowControl/>
        <w:numPr>
          <w:ilvl w:val="1"/>
          <w:numId w:val="3"/>
        </w:numPr>
        <w:spacing w:after="120"/>
      </w:pPr>
      <w:r w:rsidRPr="00414F89">
        <w:rPr>
          <w:rFonts w:asciiTheme="minorHAnsi" w:hAnsiTheme="minorHAnsi"/>
          <w:bCs/>
        </w:rPr>
        <w:t xml:space="preserve">The Medical Oncology Group of Australia (MOGA) also expressed its strong support for the </w:t>
      </w:r>
      <w:r w:rsidR="00414F89" w:rsidRPr="00414F89">
        <w:rPr>
          <w:rFonts w:asciiTheme="minorHAnsi" w:hAnsiTheme="minorHAnsi"/>
          <w:bCs/>
        </w:rPr>
        <w:t xml:space="preserve">talazoparib </w:t>
      </w:r>
      <w:r w:rsidRPr="00414F89">
        <w:rPr>
          <w:rFonts w:asciiTheme="minorHAnsi" w:hAnsiTheme="minorHAnsi"/>
          <w:bCs/>
        </w:rPr>
        <w:t xml:space="preserve">submission, categorising it as one of the therapies of “highest priority for PBS listing” on the basis of the </w:t>
      </w:r>
      <w:r w:rsidR="00414F89" w:rsidRPr="00414F89">
        <w:rPr>
          <w:rFonts w:asciiTheme="minorHAnsi" w:hAnsiTheme="minorHAnsi"/>
          <w:bCs/>
        </w:rPr>
        <w:t>EMBRACA</w:t>
      </w:r>
      <w:r w:rsidRPr="00414F89">
        <w:rPr>
          <w:rFonts w:asciiTheme="minorHAnsi" w:hAnsiTheme="minorHAnsi"/>
          <w:bCs/>
        </w:rPr>
        <w:t xml:space="preserve"> trial. The PBAC noted that the MOGA presented a European Society for Medical Oncology Magnitude of Clinical Benefit Scale (ESMO-MCBS) for </w:t>
      </w:r>
      <w:r w:rsidR="00414F89" w:rsidRPr="00414F89">
        <w:rPr>
          <w:rFonts w:asciiTheme="minorHAnsi" w:hAnsiTheme="minorHAnsi"/>
          <w:bCs/>
        </w:rPr>
        <w:t>talazoparib, which was limited to 4</w:t>
      </w:r>
      <w:r w:rsidRPr="00414F89">
        <w:rPr>
          <w:rFonts w:asciiTheme="minorHAnsi" w:hAnsiTheme="minorHAnsi"/>
          <w:bCs/>
        </w:rPr>
        <w:t xml:space="preserve"> (out of a maximum of 5, where 5 and 4 represent the grades with substantial improvement)</w:t>
      </w:r>
      <w:r w:rsidR="00414F89">
        <w:rPr>
          <w:rStyle w:val="FootnoteReference"/>
          <w:rFonts w:asciiTheme="minorHAnsi" w:hAnsiTheme="minorHAnsi"/>
          <w:bCs/>
        </w:rPr>
        <w:footnoteReference w:id="3"/>
      </w:r>
      <w:r w:rsidRPr="00414F89">
        <w:rPr>
          <w:rFonts w:asciiTheme="minorHAnsi" w:hAnsiTheme="minorHAnsi"/>
          <w:bCs/>
        </w:rPr>
        <w:t xml:space="preserve">, based on a comparison with </w:t>
      </w:r>
      <w:r w:rsidR="00414F89" w:rsidRPr="00414F89">
        <w:rPr>
          <w:rFonts w:asciiTheme="minorHAnsi" w:hAnsiTheme="minorHAnsi"/>
          <w:bCs/>
        </w:rPr>
        <w:t>single agent chemotherapy</w:t>
      </w:r>
      <w:r w:rsidR="00414F89">
        <w:rPr>
          <w:rFonts w:asciiTheme="minorHAnsi" w:hAnsiTheme="minorHAnsi"/>
          <w:bCs/>
        </w:rPr>
        <w:t xml:space="preserve">. </w:t>
      </w:r>
    </w:p>
    <w:p w:rsidR="009F0307" w:rsidRPr="00C9624D" w:rsidRDefault="009F0307" w:rsidP="00561C55">
      <w:pPr>
        <w:pStyle w:val="Heading2"/>
        <w:widowControl/>
      </w:pPr>
      <w:bookmarkStart w:id="6" w:name="_Toc19717380"/>
      <w:r w:rsidRPr="00C9624D">
        <w:t>Clinical trials</w:t>
      </w:r>
      <w:bookmarkEnd w:id="6"/>
    </w:p>
    <w:p w:rsidR="009F0307" w:rsidRPr="00882085" w:rsidRDefault="009F0307" w:rsidP="00561C55">
      <w:pPr>
        <w:widowControl/>
      </w:pPr>
    </w:p>
    <w:p w:rsidR="009F0307" w:rsidRPr="00A1245F" w:rsidRDefault="009F0307" w:rsidP="00561C55">
      <w:pPr>
        <w:pStyle w:val="ListParagraph"/>
        <w:widowControl/>
        <w:numPr>
          <w:ilvl w:val="1"/>
          <w:numId w:val="3"/>
        </w:numPr>
      </w:pPr>
      <w:r w:rsidRPr="00B37A9E">
        <w:t>The submission was based on one head-to-head randomised trial (EMBRACA</w:t>
      </w:r>
      <w:r w:rsidR="004A171F">
        <w:t>; N=431</w:t>
      </w:r>
      <w:r w:rsidRPr="00B37A9E">
        <w:t xml:space="preserve">) comparing talazoparib with physician’s choice of single agent chemotherapy (SoC) in </w:t>
      </w:r>
      <w:r>
        <w:t xml:space="preserve">germline </w:t>
      </w:r>
      <w:r w:rsidRPr="00B37A9E">
        <w:t>BRCA</w:t>
      </w:r>
      <w:r>
        <w:t xml:space="preserve"> mutant</w:t>
      </w:r>
      <w:r w:rsidRPr="00B37A9E">
        <w:t xml:space="preserve"> patients with locally advanced inoperable and/or metastatic breast cancer. Enrolled patients had received prior treatment with a taxane and/or anthracycline in the </w:t>
      </w:r>
      <w:r w:rsidR="00056CF1">
        <w:t>(</w:t>
      </w:r>
      <w:r w:rsidRPr="00B37A9E">
        <w:t>neo</w:t>
      </w:r>
      <w:r w:rsidR="00056CF1">
        <w:t>)</w:t>
      </w:r>
      <w:r w:rsidRPr="00B37A9E">
        <w:t>adjuvant, locally advanced, or metastatic setting (unless they were medically contraindicated).</w:t>
      </w:r>
    </w:p>
    <w:p w:rsidR="00C67613" w:rsidRDefault="009F0307" w:rsidP="00561C55">
      <w:pPr>
        <w:pStyle w:val="ListParagraph"/>
        <w:widowControl/>
        <w:numPr>
          <w:ilvl w:val="1"/>
          <w:numId w:val="3"/>
        </w:numPr>
      </w:pPr>
      <w:r>
        <w:rPr>
          <w:rFonts w:cs="Calibri"/>
          <w:snapToGrid/>
          <w:szCs w:val="24"/>
          <w:lang w:val="en-US" w:eastAsia="en-AU"/>
        </w:rPr>
        <w:t xml:space="preserve">Details of the trial presented in the submission are provided in the table below. </w:t>
      </w:r>
    </w:p>
    <w:p w:rsidR="009F0307" w:rsidRPr="00C67613" w:rsidRDefault="009F0307" w:rsidP="00561C55">
      <w:pPr>
        <w:widowControl/>
        <w:ind w:firstLine="720"/>
      </w:pPr>
    </w:p>
    <w:p w:rsidR="009F0307" w:rsidRDefault="009F0307" w:rsidP="00561C55">
      <w:pPr>
        <w:pStyle w:val="Caption"/>
        <w:keepNext/>
        <w:keepLines/>
        <w:widowControl/>
        <w:rPr>
          <w:rStyle w:val="CommentReference"/>
          <w:b/>
          <w:szCs w:val="18"/>
        </w:rPr>
      </w:pPr>
      <w:r>
        <w:lastRenderedPageBreak/>
        <w:t xml:space="preserve">Table </w:t>
      </w:r>
      <w:r w:rsidR="00112C13">
        <w:rPr>
          <w:noProof/>
        </w:rPr>
        <w:t>2</w:t>
      </w:r>
      <w:r>
        <w:t xml:space="preserve">: </w:t>
      </w:r>
      <w:r w:rsidRPr="006577E1">
        <w:rPr>
          <w:rStyle w:val="CommentReference"/>
          <w:b/>
          <w:szCs w:val="18"/>
        </w:rPr>
        <w:t>Trials and associated reports presented in the submission</w:t>
      </w:r>
    </w:p>
    <w:tbl>
      <w:tblPr>
        <w:tblStyle w:val="TableGrid"/>
        <w:tblW w:w="5000" w:type="pct"/>
        <w:tblLook w:val="01E0" w:firstRow="1" w:lastRow="1" w:firstColumn="1" w:lastColumn="1" w:noHBand="0" w:noVBand="0"/>
        <w:tblCaption w:val="Table 2: Trials and associated reports presented in the submission"/>
      </w:tblPr>
      <w:tblGrid>
        <w:gridCol w:w="1555"/>
        <w:gridCol w:w="4820"/>
        <w:gridCol w:w="2642"/>
      </w:tblGrid>
      <w:tr w:rsidR="009F0307" w:rsidRPr="00A156E6" w:rsidTr="0047282F">
        <w:trPr>
          <w:tblHeader/>
        </w:trPr>
        <w:tc>
          <w:tcPr>
            <w:tcW w:w="862" w:type="pct"/>
          </w:tcPr>
          <w:p w:rsidR="009F0307" w:rsidRPr="00583C22" w:rsidRDefault="009F0307" w:rsidP="00561C55">
            <w:pPr>
              <w:pStyle w:val="Tabletext"/>
              <w:keepNext/>
              <w:keepLines/>
              <w:rPr>
                <w:b/>
              </w:rPr>
            </w:pPr>
            <w:r w:rsidRPr="00583C22">
              <w:rPr>
                <w:b/>
              </w:rPr>
              <w:t>Trial ID</w:t>
            </w:r>
          </w:p>
        </w:tc>
        <w:tc>
          <w:tcPr>
            <w:tcW w:w="2673" w:type="pct"/>
          </w:tcPr>
          <w:p w:rsidR="009F0307" w:rsidRPr="000835A1" w:rsidRDefault="009F0307" w:rsidP="00561C55">
            <w:pPr>
              <w:pStyle w:val="Tabletext"/>
              <w:keepNext/>
              <w:keepLines/>
              <w:jc w:val="center"/>
              <w:rPr>
                <w:b/>
              </w:rPr>
            </w:pPr>
            <w:r w:rsidRPr="000835A1">
              <w:rPr>
                <w:b/>
              </w:rPr>
              <w:t>Protocol title/ Publication title</w:t>
            </w:r>
          </w:p>
        </w:tc>
        <w:tc>
          <w:tcPr>
            <w:tcW w:w="1466" w:type="pct"/>
          </w:tcPr>
          <w:p w:rsidR="009F0307" w:rsidRPr="000835A1" w:rsidRDefault="009F0307" w:rsidP="00561C55">
            <w:pPr>
              <w:pStyle w:val="Tabletext"/>
              <w:keepNext/>
              <w:keepLines/>
              <w:jc w:val="center"/>
              <w:rPr>
                <w:b/>
              </w:rPr>
            </w:pPr>
            <w:r w:rsidRPr="000835A1">
              <w:rPr>
                <w:b/>
              </w:rPr>
              <w:t>Publication citation</w:t>
            </w:r>
          </w:p>
        </w:tc>
      </w:tr>
      <w:tr w:rsidR="009F0307" w:rsidRPr="00A156E6" w:rsidTr="0047282F">
        <w:trPr>
          <w:trHeight w:val="271"/>
          <w:tblHeader/>
        </w:trPr>
        <w:tc>
          <w:tcPr>
            <w:tcW w:w="5000" w:type="pct"/>
            <w:gridSpan w:val="3"/>
          </w:tcPr>
          <w:p w:rsidR="009F0307" w:rsidRPr="003371A0" w:rsidRDefault="009F0307" w:rsidP="00561C55">
            <w:pPr>
              <w:pStyle w:val="Tabletext"/>
              <w:keepNext/>
              <w:keepLines/>
              <w:rPr>
                <w:b/>
                <w:szCs w:val="18"/>
              </w:rPr>
            </w:pPr>
            <w:r w:rsidRPr="003371A0">
              <w:rPr>
                <w:b/>
                <w:szCs w:val="18"/>
              </w:rPr>
              <w:t xml:space="preserve">Talazoparib versus </w:t>
            </w:r>
            <w:r>
              <w:rPr>
                <w:b/>
                <w:szCs w:val="18"/>
              </w:rPr>
              <w:t xml:space="preserve">main comparator </w:t>
            </w:r>
            <w:r w:rsidRPr="003371A0">
              <w:rPr>
                <w:b/>
                <w:szCs w:val="18"/>
              </w:rPr>
              <w:t>single agent chemotherapy</w:t>
            </w:r>
            <w:r>
              <w:rPr>
                <w:b/>
                <w:szCs w:val="18"/>
              </w:rPr>
              <w:t xml:space="preserve"> </w:t>
            </w:r>
            <w:r w:rsidRPr="000A0CD3">
              <w:rPr>
                <w:b/>
                <w:szCs w:val="18"/>
              </w:rPr>
              <w:t>(standard of care (SoC))</w:t>
            </w:r>
          </w:p>
        </w:tc>
      </w:tr>
      <w:tr w:rsidR="009F0307" w:rsidRPr="00A156E6" w:rsidTr="0047282F">
        <w:trPr>
          <w:trHeight w:val="1457"/>
          <w:tblHeader/>
        </w:trPr>
        <w:tc>
          <w:tcPr>
            <w:tcW w:w="862" w:type="pct"/>
            <w:vMerge w:val="restart"/>
            <w:tcBorders>
              <w:bottom w:val="single" w:sz="4" w:space="0" w:color="auto"/>
            </w:tcBorders>
          </w:tcPr>
          <w:p w:rsidR="009F0307" w:rsidRDefault="009F0307" w:rsidP="00561C55">
            <w:pPr>
              <w:pStyle w:val="Tabletext"/>
              <w:keepNext/>
              <w:keepLines/>
            </w:pPr>
            <w:r>
              <w:t xml:space="preserve">Study C3441009 </w:t>
            </w:r>
          </w:p>
          <w:p w:rsidR="009F0307" w:rsidRPr="00583C22" w:rsidRDefault="009F0307" w:rsidP="00561C55">
            <w:pPr>
              <w:pStyle w:val="Tabletext"/>
              <w:keepNext/>
              <w:keepLines/>
              <w:rPr>
                <w:rFonts w:ascii="Times" w:hAnsi="Times"/>
              </w:rPr>
            </w:pPr>
            <w:r>
              <w:t>“EMBRACA”</w:t>
            </w:r>
          </w:p>
        </w:tc>
        <w:tc>
          <w:tcPr>
            <w:tcW w:w="2673" w:type="pct"/>
            <w:tcBorders>
              <w:bottom w:val="single" w:sz="4" w:space="0" w:color="auto"/>
            </w:tcBorders>
          </w:tcPr>
          <w:p w:rsidR="009F0307" w:rsidRPr="000C7696" w:rsidRDefault="009F0307" w:rsidP="00561C55">
            <w:pPr>
              <w:pStyle w:val="TableText0"/>
              <w:keepLines/>
              <w:spacing w:before="0" w:after="0"/>
            </w:pPr>
            <w:r w:rsidRPr="000C7696">
              <w:t>A Phase 3, open-label, randomised, parallel, 2-arm, multi-centre study of talazoparib (BMN 673) versus physician’s choice in germline BRCA mutation subjects with locally advanced and/or metastatic breast cancer, who have received prior chemotherapy regimens for metastatic disease</w:t>
            </w:r>
            <w:r w:rsidRPr="000C7696">
              <w:rPr>
                <w:rStyle w:val="Small"/>
              </w:rPr>
              <w:t>.</w:t>
            </w:r>
          </w:p>
          <w:p w:rsidR="009F0307" w:rsidRPr="000C7696" w:rsidRDefault="009F0307" w:rsidP="00561C55">
            <w:pPr>
              <w:pStyle w:val="TableText0"/>
              <w:keepLines/>
            </w:pPr>
            <w:r w:rsidRPr="000C7696">
              <w:t>Clinical Study Report: database lock September 2017.</w:t>
            </w:r>
          </w:p>
        </w:tc>
        <w:tc>
          <w:tcPr>
            <w:tcW w:w="1466" w:type="pct"/>
            <w:tcBorders>
              <w:bottom w:val="single" w:sz="4" w:space="0" w:color="auto"/>
            </w:tcBorders>
          </w:tcPr>
          <w:p w:rsidR="009F0307" w:rsidRPr="00A156E6" w:rsidRDefault="009F0307" w:rsidP="00561C55">
            <w:pPr>
              <w:pStyle w:val="Tabletext"/>
              <w:keepNext/>
              <w:keepLines/>
              <w:rPr>
                <w:szCs w:val="18"/>
                <w:highlight w:val="yellow"/>
              </w:rPr>
            </w:pPr>
            <w:r w:rsidRPr="00583C22">
              <w:rPr>
                <w:szCs w:val="18"/>
              </w:rPr>
              <w:t>March 2018</w:t>
            </w:r>
          </w:p>
        </w:tc>
      </w:tr>
      <w:tr w:rsidR="009F0307" w:rsidRPr="00A156E6" w:rsidTr="0047282F">
        <w:trPr>
          <w:tblHeader/>
        </w:trPr>
        <w:tc>
          <w:tcPr>
            <w:tcW w:w="862" w:type="pct"/>
            <w:vMerge/>
          </w:tcPr>
          <w:p w:rsidR="009F0307" w:rsidRPr="00A156E6" w:rsidRDefault="009F0307" w:rsidP="00561C55">
            <w:pPr>
              <w:pStyle w:val="Tabletext"/>
              <w:keepLines/>
              <w:rPr>
                <w:highlight w:val="yellow"/>
              </w:rPr>
            </w:pPr>
          </w:p>
        </w:tc>
        <w:tc>
          <w:tcPr>
            <w:tcW w:w="2673" w:type="pct"/>
          </w:tcPr>
          <w:p w:rsidR="009F0307" w:rsidRPr="000C7696" w:rsidRDefault="009F0307" w:rsidP="00561C55">
            <w:pPr>
              <w:pStyle w:val="TableText0"/>
              <w:keepNext w:val="0"/>
              <w:keepLines/>
            </w:pPr>
            <w:r w:rsidRPr="000C7696">
              <w:t xml:space="preserve">Litton et al. Talazoparib in Patients with Advanced Breast Cancer and a Germline BRCA Mutation. </w:t>
            </w:r>
          </w:p>
        </w:tc>
        <w:tc>
          <w:tcPr>
            <w:tcW w:w="1466" w:type="pct"/>
          </w:tcPr>
          <w:p w:rsidR="009F0307" w:rsidRPr="00A156E6" w:rsidRDefault="009F0307" w:rsidP="00561C55">
            <w:pPr>
              <w:pStyle w:val="Tabletext"/>
              <w:keepLines/>
              <w:rPr>
                <w:szCs w:val="18"/>
                <w:highlight w:val="yellow"/>
              </w:rPr>
            </w:pPr>
            <w:r>
              <w:rPr>
                <w:i/>
                <w:szCs w:val="18"/>
              </w:rPr>
              <w:t>New England Journal of Medicine</w:t>
            </w:r>
            <w:r>
              <w:rPr>
                <w:szCs w:val="18"/>
              </w:rPr>
              <w:t xml:space="preserve"> 2018; 379(8):753-763</w:t>
            </w:r>
          </w:p>
        </w:tc>
      </w:tr>
      <w:tr w:rsidR="009F0307" w:rsidRPr="00A156E6" w:rsidTr="0047282F">
        <w:trPr>
          <w:tblHeader/>
        </w:trPr>
        <w:tc>
          <w:tcPr>
            <w:tcW w:w="862" w:type="pct"/>
            <w:vMerge/>
          </w:tcPr>
          <w:p w:rsidR="009F0307" w:rsidRPr="00A156E6" w:rsidRDefault="009F0307" w:rsidP="00561C55">
            <w:pPr>
              <w:pStyle w:val="Tabletext"/>
              <w:keepLines/>
              <w:rPr>
                <w:highlight w:val="yellow"/>
              </w:rPr>
            </w:pPr>
          </w:p>
        </w:tc>
        <w:tc>
          <w:tcPr>
            <w:tcW w:w="2673" w:type="pct"/>
          </w:tcPr>
          <w:p w:rsidR="009F0307" w:rsidRPr="000C7696" w:rsidRDefault="009F0307" w:rsidP="00561C55">
            <w:pPr>
              <w:pStyle w:val="TableText0"/>
              <w:keepNext w:val="0"/>
              <w:keepLines/>
            </w:pPr>
            <w:r w:rsidRPr="000C7696">
              <w:t xml:space="preserve">Ettl et al. Quality of life with talazoparib versus physician's choice of chemotherapy in patients with advanced breast cancer and germline BRCA1/2 mutation: patient-reported outcomes from the EMBRACA phase III trial. </w:t>
            </w:r>
          </w:p>
        </w:tc>
        <w:tc>
          <w:tcPr>
            <w:tcW w:w="1466" w:type="pct"/>
          </w:tcPr>
          <w:p w:rsidR="009F0307" w:rsidRPr="00A156E6" w:rsidRDefault="009F0307" w:rsidP="00561C55">
            <w:pPr>
              <w:pStyle w:val="Tabletext"/>
              <w:keepLines/>
              <w:rPr>
                <w:szCs w:val="18"/>
                <w:highlight w:val="yellow"/>
              </w:rPr>
            </w:pPr>
            <w:r w:rsidRPr="009A0326">
              <w:rPr>
                <w:i/>
              </w:rPr>
              <w:t>Annals of Oncology</w:t>
            </w:r>
            <w:r>
              <w:t xml:space="preserve"> 2018;</w:t>
            </w:r>
            <w:r w:rsidRPr="009A0326">
              <w:t xml:space="preserve"> 29(9):1939-1947</w:t>
            </w:r>
          </w:p>
        </w:tc>
      </w:tr>
      <w:tr w:rsidR="009F0307" w:rsidRPr="00A156E6" w:rsidTr="0047282F">
        <w:trPr>
          <w:trHeight w:val="632"/>
          <w:tblHeader/>
        </w:trPr>
        <w:tc>
          <w:tcPr>
            <w:tcW w:w="862" w:type="pct"/>
            <w:vMerge/>
          </w:tcPr>
          <w:p w:rsidR="009F0307" w:rsidRPr="00A156E6" w:rsidRDefault="009F0307" w:rsidP="00561C55">
            <w:pPr>
              <w:pStyle w:val="Tabletext"/>
              <w:keepLines/>
              <w:rPr>
                <w:highlight w:val="yellow"/>
              </w:rPr>
            </w:pPr>
          </w:p>
        </w:tc>
        <w:tc>
          <w:tcPr>
            <w:tcW w:w="2673" w:type="pct"/>
          </w:tcPr>
          <w:p w:rsidR="009F0307" w:rsidRPr="000C7696" w:rsidRDefault="009F0307" w:rsidP="00561C55">
            <w:pPr>
              <w:pStyle w:val="TableText0"/>
              <w:keepNext w:val="0"/>
              <w:keepLines/>
            </w:pPr>
            <w:r w:rsidRPr="000C7696">
              <w:t>Fasching et al. Impact of objective response (OR) on patient-reported outcomes (PRO) in patients (pts) with advanced breast cancer (ABC) and a germline BRCA1/2 mutation.</w:t>
            </w:r>
          </w:p>
        </w:tc>
        <w:tc>
          <w:tcPr>
            <w:tcW w:w="1466" w:type="pct"/>
          </w:tcPr>
          <w:p w:rsidR="009F0307" w:rsidRPr="000C7696" w:rsidRDefault="009F0307" w:rsidP="00561C55">
            <w:pPr>
              <w:pStyle w:val="Tabletext"/>
              <w:keepLines/>
              <w:rPr>
                <w:szCs w:val="18"/>
              </w:rPr>
            </w:pPr>
            <w:r w:rsidRPr="000C7696">
              <w:rPr>
                <w:i/>
              </w:rPr>
              <w:t>Annals of Oncology</w:t>
            </w:r>
            <w:r w:rsidRPr="000C7696">
              <w:t xml:space="preserve"> 2019; 30 (suppl</w:t>
            </w:r>
            <w:r>
              <w:t xml:space="preserve">ement </w:t>
            </w:r>
            <w:r w:rsidRPr="000C7696">
              <w:t>3): iii47-iii64</w:t>
            </w:r>
          </w:p>
        </w:tc>
      </w:tr>
      <w:tr w:rsidR="009F0307" w:rsidRPr="00A156E6" w:rsidTr="0047282F">
        <w:trPr>
          <w:tblHeader/>
        </w:trPr>
        <w:tc>
          <w:tcPr>
            <w:tcW w:w="862" w:type="pct"/>
            <w:vMerge/>
          </w:tcPr>
          <w:p w:rsidR="009F0307" w:rsidRPr="00A156E6" w:rsidRDefault="009F0307" w:rsidP="00561C55">
            <w:pPr>
              <w:pStyle w:val="Tabletext"/>
              <w:keepLines/>
              <w:rPr>
                <w:highlight w:val="yellow"/>
              </w:rPr>
            </w:pPr>
          </w:p>
        </w:tc>
        <w:tc>
          <w:tcPr>
            <w:tcW w:w="2673" w:type="pct"/>
          </w:tcPr>
          <w:p w:rsidR="009F0307" w:rsidRPr="000C7696" w:rsidRDefault="009F0307" w:rsidP="00561C55">
            <w:pPr>
              <w:pStyle w:val="Tabletext"/>
              <w:keepLines/>
              <w:spacing w:after="60"/>
            </w:pPr>
            <w:r w:rsidRPr="00265AB5">
              <w:t xml:space="preserve">Eiermann et al. Analysis of germline BRCA1/2 mutated (gBRCA) hormone receptor-positive (HR+) and triple negative breast cancer (TNBC) treated with talazoparib (TALA). </w:t>
            </w:r>
          </w:p>
        </w:tc>
        <w:tc>
          <w:tcPr>
            <w:tcW w:w="1466" w:type="pct"/>
          </w:tcPr>
          <w:p w:rsidR="009F0307" w:rsidRPr="000C7696" w:rsidRDefault="009F0307" w:rsidP="00561C55">
            <w:pPr>
              <w:pStyle w:val="Tabletext"/>
              <w:keepLines/>
              <w:rPr>
                <w:szCs w:val="18"/>
              </w:rPr>
            </w:pPr>
            <w:r w:rsidRPr="000C1E7F">
              <w:rPr>
                <w:i/>
              </w:rPr>
              <w:t>Journal of Clinical Oncology</w:t>
            </w:r>
            <w:r w:rsidRPr="00265AB5">
              <w:t>. Conference: 2018 Annual Meeting of the American Society of Clinical Oncology, ASCO 2018. Unite</w:t>
            </w:r>
            <w:r>
              <w:t>d States. 36 (15 Supplement 1)</w:t>
            </w:r>
          </w:p>
        </w:tc>
      </w:tr>
      <w:tr w:rsidR="009F0307" w:rsidRPr="00A156E6" w:rsidTr="0047282F">
        <w:trPr>
          <w:tblHeader/>
        </w:trPr>
        <w:tc>
          <w:tcPr>
            <w:tcW w:w="862" w:type="pct"/>
            <w:vMerge/>
          </w:tcPr>
          <w:p w:rsidR="009F0307" w:rsidRPr="00A156E6" w:rsidRDefault="009F0307" w:rsidP="00561C55">
            <w:pPr>
              <w:pStyle w:val="Tabletext"/>
              <w:keepLines/>
              <w:rPr>
                <w:highlight w:val="yellow"/>
              </w:rPr>
            </w:pPr>
          </w:p>
        </w:tc>
        <w:tc>
          <w:tcPr>
            <w:tcW w:w="2673" w:type="pct"/>
          </w:tcPr>
          <w:p w:rsidR="009F0307" w:rsidRPr="000C7696" w:rsidRDefault="009F0307" w:rsidP="00561C55">
            <w:pPr>
              <w:pStyle w:val="Tabletext"/>
              <w:keepLines/>
              <w:spacing w:after="60"/>
            </w:pPr>
            <w:r w:rsidRPr="00B86D23">
              <w:t xml:space="preserve">Litton J. et al. EMBRACA: A phase 3 trial comparing talazoparib, an oral PARP inhibitor, to physician's choice of therapy in patients with advanced breast cancer and a germline BRCA mutation. </w:t>
            </w:r>
            <w:r w:rsidRPr="003371A0">
              <w:t>Cancer Research Conference</w:t>
            </w:r>
          </w:p>
        </w:tc>
        <w:tc>
          <w:tcPr>
            <w:tcW w:w="1466" w:type="pct"/>
          </w:tcPr>
          <w:p w:rsidR="009F0307" w:rsidRPr="000C7696" w:rsidRDefault="009F0307" w:rsidP="00561C55">
            <w:pPr>
              <w:pStyle w:val="Tabletext"/>
              <w:keepLines/>
              <w:rPr>
                <w:szCs w:val="18"/>
              </w:rPr>
            </w:pPr>
            <w:r w:rsidRPr="003371A0">
              <w:rPr>
                <w:i/>
              </w:rPr>
              <w:t>San Antonio</w:t>
            </w:r>
            <w:r w:rsidRPr="00B86D23">
              <w:t xml:space="preserve"> </w:t>
            </w:r>
            <w:r w:rsidRPr="00AF1C41">
              <w:rPr>
                <w:i/>
              </w:rPr>
              <w:t>Breast Cancer Symposium</w:t>
            </w:r>
            <w:r w:rsidRPr="00B86D23">
              <w:t xml:space="preserve"> 201</w:t>
            </w:r>
            <w:r>
              <w:t>7;</w:t>
            </w:r>
            <w:r w:rsidRPr="00B86D23">
              <w:t xml:space="preserve"> 78 (4 Supplement 1</w:t>
            </w:r>
            <w:r>
              <w:t>).</w:t>
            </w:r>
          </w:p>
        </w:tc>
      </w:tr>
    </w:tbl>
    <w:p w:rsidR="009F0307" w:rsidRDefault="009F0307" w:rsidP="00561C55">
      <w:pPr>
        <w:pStyle w:val="TableFooter"/>
        <w:keepLines/>
        <w:widowControl/>
      </w:pPr>
      <w:r>
        <w:t>Source: Table 2.2.2, pp42-6 of the submission.</w:t>
      </w:r>
    </w:p>
    <w:p w:rsidR="009F0307" w:rsidRPr="008F120A" w:rsidRDefault="009F0307" w:rsidP="00561C55">
      <w:pPr>
        <w:widowControl/>
      </w:pPr>
    </w:p>
    <w:p w:rsidR="009F0307" w:rsidRDefault="009F0307" w:rsidP="00561C55">
      <w:pPr>
        <w:pStyle w:val="ListParagraph"/>
        <w:widowControl/>
        <w:numPr>
          <w:ilvl w:val="1"/>
          <w:numId w:val="3"/>
        </w:numPr>
      </w:pPr>
      <w:r w:rsidRPr="00B50DB8">
        <w:t xml:space="preserve">The key features of the direct randomised trial are </w:t>
      </w:r>
      <w:r>
        <w:t>summarised in the table below.</w:t>
      </w:r>
    </w:p>
    <w:p w:rsidR="009F0307" w:rsidRPr="006577E1" w:rsidRDefault="009F0307" w:rsidP="0063106E">
      <w:pPr>
        <w:pStyle w:val="Caption"/>
        <w:keepNext/>
        <w:widowControl/>
        <w:rPr>
          <w:rStyle w:val="CommentReference"/>
          <w:b/>
          <w:szCs w:val="18"/>
        </w:rPr>
      </w:pPr>
      <w:r>
        <w:t xml:space="preserve">Table </w:t>
      </w:r>
      <w:r w:rsidR="00112C13">
        <w:rPr>
          <w:noProof/>
        </w:rPr>
        <w:t>3</w:t>
      </w:r>
      <w:r>
        <w:rPr>
          <w:noProof/>
        </w:rPr>
        <w:t>:</w:t>
      </w:r>
      <w:r w:rsidRPr="006577E1">
        <w:rPr>
          <w:rStyle w:val="CommentReference"/>
          <w:b/>
          <w:szCs w:val="18"/>
        </w:rPr>
        <w:t xml:space="preserve">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4"/>
        <w:gridCol w:w="840"/>
        <w:gridCol w:w="1410"/>
        <w:gridCol w:w="1120"/>
        <w:gridCol w:w="1546"/>
        <w:gridCol w:w="1122"/>
        <w:gridCol w:w="1695"/>
      </w:tblGrid>
      <w:tr w:rsidR="009F0307" w:rsidRPr="00B41614" w:rsidTr="009F0307">
        <w:tc>
          <w:tcPr>
            <w:tcW w:w="712" w:type="pct"/>
            <w:shd w:val="clear" w:color="auto" w:fill="auto"/>
            <w:vAlign w:val="center"/>
          </w:tcPr>
          <w:p w:rsidR="009F0307" w:rsidRPr="00B41614" w:rsidRDefault="009F0307" w:rsidP="0063106E">
            <w:pPr>
              <w:pStyle w:val="Tabletext"/>
              <w:keepNext/>
              <w:rPr>
                <w:b/>
                <w:lang w:val="en-US"/>
              </w:rPr>
            </w:pPr>
            <w:r w:rsidRPr="00B41614">
              <w:rPr>
                <w:b/>
                <w:lang w:val="en-US"/>
              </w:rPr>
              <w:t>Trial</w:t>
            </w:r>
          </w:p>
        </w:tc>
        <w:tc>
          <w:tcPr>
            <w:tcW w:w="466" w:type="pct"/>
            <w:shd w:val="clear" w:color="auto" w:fill="auto"/>
            <w:vAlign w:val="center"/>
          </w:tcPr>
          <w:p w:rsidR="009F0307" w:rsidRPr="00B41614" w:rsidRDefault="009F0307" w:rsidP="0063106E">
            <w:pPr>
              <w:pStyle w:val="Tabletext"/>
              <w:keepNext/>
              <w:jc w:val="center"/>
              <w:rPr>
                <w:b/>
                <w:lang w:val="en-US"/>
              </w:rPr>
            </w:pPr>
            <w:r w:rsidRPr="00B41614">
              <w:rPr>
                <w:b/>
                <w:lang w:val="en-US"/>
              </w:rPr>
              <w:t>N</w:t>
            </w:r>
          </w:p>
        </w:tc>
        <w:tc>
          <w:tcPr>
            <w:tcW w:w="782" w:type="pct"/>
            <w:shd w:val="clear" w:color="auto" w:fill="auto"/>
            <w:vAlign w:val="center"/>
          </w:tcPr>
          <w:p w:rsidR="009F0307" w:rsidRPr="00B41614" w:rsidRDefault="009F0307" w:rsidP="0063106E">
            <w:pPr>
              <w:pStyle w:val="Tabletext"/>
              <w:keepNext/>
              <w:jc w:val="center"/>
              <w:rPr>
                <w:b/>
                <w:lang w:val="en-US"/>
              </w:rPr>
            </w:pPr>
            <w:r w:rsidRPr="00B41614">
              <w:rPr>
                <w:b/>
                <w:lang w:val="en-US"/>
              </w:rPr>
              <w:t>Design/ duration</w:t>
            </w:r>
          </w:p>
        </w:tc>
        <w:tc>
          <w:tcPr>
            <w:tcW w:w="621" w:type="pct"/>
            <w:shd w:val="clear" w:color="auto" w:fill="auto"/>
            <w:vAlign w:val="center"/>
          </w:tcPr>
          <w:p w:rsidR="009F0307" w:rsidRPr="00B41614" w:rsidRDefault="009F0307" w:rsidP="0063106E">
            <w:pPr>
              <w:pStyle w:val="Tabletext"/>
              <w:keepNext/>
              <w:jc w:val="center"/>
              <w:rPr>
                <w:b/>
                <w:lang w:val="en-US"/>
              </w:rPr>
            </w:pPr>
            <w:r w:rsidRPr="00B41614">
              <w:rPr>
                <w:b/>
                <w:lang w:val="en-US"/>
              </w:rPr>
              <w:t>Risk of bias</w:t>
            </w:r>
          </w:p>
        </w:tc>
        <w:tc>
          <w:tcPr>
            <w:tcW w:w="857" w:type="pct"/>
            <w:shd w:val="clear" w:color="auto" w:fill="auto"/>
            <w:vAlign w:val="center"/>
          </w:tcPr>
          <w:p w:rsidR="009F0307" w:rsidRPr="00B41614" w:rsidRDefault="009F0307" w:rsidP="0063106E">
            <w:pPr>
              <w:pStyle w:val="Tabletext"/>
              <w:keepNext/>
              <w:jc w:val="center"/>
              <w:rPr>
                <w:b/>
                <w:lang w:val="en-US"/>
              </w:rPr>
            </w:pPr>
            <w:r w:rsidRPr="00B41614">
              <w:rPr>
                <w:b/>
                <w:lang w:val="en-US"/>
              </w:rPr>
              <w:t>Patient population</w:t>
            </w:r>
          </w:p>
        </w:tc>
        <w:tc>
          <w:tcPr>
            <w:tcW w:w="622" w:type="pct"/>
            <w:shd w:val="clear" w:color="auto" w:fill="auto"/>
            <w:vAlign w:val="center"/>
          </w:tcPr>
          <w:p w:rsidR="009F0307" w:rsidRPr="00B41614" w:rsidRDefault="009F0307" w:rsidP="0063106E">
            <w:pPr>
              <w:pStyle w:val="Tabletext"/>
              <w:keepNext/>
              <w:jc w:val="center"/>
              <w:rPr>
                <w:b/>
                <w:lang w:val="en-US"/>
              </w:rPr>
            </w:pPr>
            <w:r w:rsidRPr="00B41614">
              <w:rPr>
                <w:b/>
                <w:lang w:val="en-US"/>
              </w:rPr>
              <w:t>Outcomes</w:t>
            </w:r>
          </w:p>
        </w:tc>
        <w:tc>
          <w:tcPr>
            <w:tcW w:w="939" w:type="pct"/>
            <w:shd w:val="clear" w:color="auto" w:fill="auto"/>
            <w:vAlign w:val="center"/>
          </w:tcPr>
          <w:p w:rsidR="009F0307" w:rsidRPr="00B41614" w:rsidRDefault="009F0307" w:rsidP="0063106E">
            <w:pPr>
              <w:pStyle w:val="Tabletext"/>
              <w:keepNext/>
              <w:jc w:val="center"/>
              <w:rPr>
                <w:b/>
                <w:lang w:val="en-US"/>
              </w:rPr>
            </w:pPr>
            <w:r w:rsidRPr="00B41614">
              <w:rPr>
                <w:b/>
                <w:lang w:val="en-US"/>
              </w:rPr>
              <w:t>Use in modelled evaluation</w:t>
            </w:r>
          </w:p>
        </w:tc>
      </w:tr>
      <w:tr w:rsidR="009F0307" w:rsidRPr="00E2771E" w:rsidTr="009F0307">
        <w:tc>
          <w:tcPr>
            <w:tcW w:w="5000" w:type="pct"/>
            <w:gridSpan w:val="7"/>
            <w:shd w:val="clear" w:color="auto" w:fill="auto"/>
            <w:vAlign w:val="center"/>
          </w:tcPr>
          <w:p w:rsidR="009F0307" w:rsidRPr="00B41614" w:rsidRDefault="006577C6" w:rsidP="0063106E">
            <w:pPr>
              <w:pStyle w:val="Tabletext"/>
              <w:keepNext/>
              <w:rPr>
                <w:b/>
                <w:lang w:val="en-US"/>
              </w:rPr>
            </w:pPr>
            <w:r>
              <w:rPr>
                <w:b/>
                <w:lang w:val="en-US"/>
              </w:rPr>
              <w:t>T</w:t>
            </w:r>
            <w:r w:rsidR="009F0307">
              <w:rPr>
                <w:b/>
                <w:lang w:val="en-US"/>
              </w:rPr>
              <w:t>alazoparib</w:t>
            </w:r>
            <w:r w:rsidR="009F0307" w:rsidRPr="00B41614">
              <w:rPr>
                <w:b/>
                <w:lang w:val="en-US"/>
              </w:rPr>
              <w:t xml:space="preserve"> vs. </w:t>
            </w:r>
            <w:r w:rsidR="009F0307">
              <w:rPr>
                <w:b/>
                <w:lang w:val="en-US"/>
              </w:rPr>
              <w:t>SoC</w:t>
            </w:r>
          </w:p>
        </w:tc>
      </w:tr>
      <w:tr w:rsidR="009F0307" w:rsidRPr="00E2771E" w:rsidTr="009F0307">
        <w:tc>
          <w:tcPr>
            <w:tcW w:w="712" w:type="pct"/>
            <w:shd w:val="clear" w:color="auto" w:fill="auto"/>
            <w:vAlign w:val="center"/>
          </w:tcPr>
          <w:p w:rsidR="009F0307" w:rsidRPr="00E2771E" w:rsidRDefault="009F0307" w:rsidP="0063106E">
            <w:pPr>
              <w:pStyle w:val="Tabletext"/>
              <w:keepNext/>
              <w:rPr>
                <w:lang w:val="en-US"/>
              </w:rPr>
            </w:pPr>
            <w:r>
              <w:rPr>
                <w:lang w:val="en-US"/>
              </w:rPr>
              <w:t>EMBRACA</w:t>
            </w:r>
          </w:p>
        </w:tc>
        <w:tc>
          <w:tcPr>
            <w:tcW w:w="466" w:type="pct"/>
            <w:shd w:val="clear" w:color="auto" w:fill="auto"/>
            <w:vAlign w:val="center"/>
          </w:tcPr>
          <w:p w:rsidR="009F0307" w:rsidRPr="00E2771E" w:rsidRDefault="009F0307" w:rsidP="0063106E">
            <w:pPr>
              <w:pStyle w:val="Tabletext"/>
              <w:keepNext/>
              <w:jc w:val="center"/>
              <w:rPr>
                <w:lang w:val="en-US"/>
              </w:rPr>
            </w:pPr>
            <w:r>
              <w:rPr>
                <w:lang w:val="en-US"/>
              </w:rPr>
              <w:t>431</w:t>
            </w:r>
          </w:p>
        </w:tc>
        <w:tc>
          <w:tcPr>
            <w:tcW w:w="782" w:type="pct"/>
            <w:shd w:val="clear" w:color="auto" w:fill="auto"/>
            <w:vAlign w:val="center"/>
          </w:tcPr>
          <w:p w:rsidR="009F0307" w:rsidRPr="00E2771E" w:rsidRDefault="009F0307" w:rsidP="0063106E">
            <w:pPr>
              <w:pStyle w:val="Tabletext"/>
              <w:keepNext/>
              <w:jc w:val="center"/>
              <w:rPr>
                <w:lang w:val="en-US"/>
              </w:rPr>
            </w:pPr>
            <w:r w:rsidRPr="00E2771E">
              <w:rPr>
                <w:lang w:val="en-US"/>
              </w:rPr>
              <w:t xml:space="preserve">R, </w:t>
            </w:r>
            <w:r>
              <w:rPr>
                <w:lang w:val="en-US"/>
              </w:rPr>
              <w:t>OL</w:t>
            </w:r>
          </w:p>
          <w:p w:rsidR="009F0307" w:rsidRPr="00E2771E" w:rsidRDefault="009F0307" w:rsidP="0063106E">
            <w:pPr>
              <w:pStyle w:val="Tabletext"/>
              <w:keepNext/>
              <w:jc w:val="center"/>
              <w:rPr>
                <w:lang w:val="en-US"/>
              </w:rPr>
            </w:pPr>
            <w:r>
              <w:rPr>
                <w:lang w:val="en-US"/>
              </w:rPr>
              <w:t>14</w:t>
            </w:r>
            <w:r w:rsidRPr="00E2771E">
              <w:rPr>
                <w:lang w:val="en-US"/>
              </w:rPr>
              <w:t xml:space="preserve"> m</w:t>
            </w:r>
            <w:r w:rsidR="00A45164">
              <w:rPr>
                <w:lang w:val="en-US"/>
              </w:rPr>
              <w:t>on</w:t>
            </w:r>
            <w:r w:rsidRPr="00E2771E">
              <w:rPr>
                <w:lang w:val="en-US"/>
              </w:rPr>
              <w:t>ths</w:t>
            </w:r>
            <w:r>
              <w:rPr>
                <w:lang w:val="en-US"/>
              </w:rPr>
              <w:t>*</w:t>
            </w:r>
          </w:p>
        </w:tc>
        <w:tc>
          <w:tcPr>
            <w:tcW w:w="621" w:type="pct"/>
            <w:shd w:val="clear" w:color="auto" w:fill="auto"/>
            <w:vAlign w:val="center"/>
          </w:tcPr>
          <w:p w:rsidR="009F0307" w:rsidRPr="00E2771E" w:rsidRDefault="009F0307" w:rsidP="0063106E">
            <w:pPr>
              <w:pStyle w:val="Tabletext"/>
              <w:keepNext/>
              <w:jc w:val="center"/>
              <w:rPr>
                <w:lang w:val="en-US"/>
              </w:rPr>
            </w:pPr>
            <w:r>
              <w:rPr>
                <w:lang w:val="en-US"/>
              </w:rPr>
              <w:t>High</w:t>
            </w:r>
          </w:p>
        </w:tc>
        <w:tc>
          <w:tcPr>
            <w:tcW w:w="857" w:type="pct"/>
            <w:shd w:val="clear" w:color="auto" w:fill="auto"/>
            <w:vAlign w:val="center"/>
          </w:tcPr>
          <w:p w:rsidR="009F0307" w:rsidRPr="00E2771E" w:rsidRDefault="009F0307" w:rsidP="0063106E">
            <w:pPr>
              <w:pStyle w:val="Tabletext"/>
              <w:keepNext/>
              <w:jc w:val="center"/>
              <w:rPr>
                <w:lang w:val="en-US"/>
              </w:rPr>
            </w:pPr>
            <w:r w:rsidRPr="002B3B93">
              <w:rPr>
                <w:lang w:val="en-US"/>
              </w:rPr>
              <w:t xml:space="preserve">locally advanced inoperable and/or metastatic </w:t>
            </w:r>
            <w:r>
              <w:rPr>
                <w:lang w:val="en-US"/>
              </w:rPr>
              <w:t>gBRCAm, HER2-</w:t>
            </w:r>
            <w:r w:rsidRPr="002B3B93">
              <w:rPr>
                <w:lang w:val="en-US"/>
              </w:rPr>
              <w:t>breast cancer</w:t>
            </w:r>
          </w:p>
        </w:tc>
        <w:tc>
          <w:tcPr>
            <w:tcW w:w="622" w:type="pct"/>
            <w:shd w:val="clear" w:color="auto" w:fill="auto"/>
            <w:vAlign w:val="center"/>
          </w:tcPr>
          <w:p w:rsidR="009F0307" w:rsidRPr="00E2771E" w:rsidRDefault="009F0307" w:rsidP="0063106E">
            <w:pPr>
              <w:pStyle w:val="Tabletext"/>
              <w:keepNext/>
              <w:jc w:val="center"/>
              <w:rPr>
                <w:lang w:val="en-US"/>
              </w:rPr>
            </w:pPr>
            <w:r>
              <w:rPr>
                <w:lang w:val="en-US"/>
              </w:rPr>
              <w:t xml:space="preserve">PFS, </w:t>
            </w:r>
            <w:r w:rsidRPr="00E2771E">
              <w:rPr>
                <w:lang w:val="en-US"/>
              </w:rPr>
              <w:t>OS</w:t>
            </w:r>
          </w:p>
        </w:tc>
        <w:tc>
          <w:tcPr>
            <w:tcW w:w="939" w:type="pct"/>
            <w:shd w:val="clear" w:color="auto" w:fill="auto"/>
            <w:vAlign w:val="center"/>
          </w:tcPr>
          <w:p w:rsidR="009F0307" w:rsidRPr="00E2771E" w:rsidRDefault="009F0307" w:rsidP="0063106E">
            <w:pPr>
              <w:pStyle w:val="Tabletext"/>
              <w:keepNext/>
              <w:jc w:val="center"/>
              <w:rPr>
                <w:lang w:val="en-US"/>
              </w:rPr>
            </w:pPr>
            <w:r>
              <w:rPr>
                <w:lang w:val="en-US"/>
              </w:rPr>
              <w:t>U</w:t>
            </w:r>
            <w:r w:rsidRPr="00E2771E">
              <w:rPr>
                <w:lang w:val="en-US"/>
              </w:rPr>
              <w:t>sed</w:t>
            </w:r>
          </w:p>
        </w:tc>
      </w:tr>
    </w:tbl>
    <w:p w:rsidR="009F0307" w:rsidRDefault="009F0307" w:rsidP="00561C55">
      <w:pPr>
        <w:pStyle w:val="TableFooter"/>
        <w:widowControl/>
      </w:pPr>
      <w:r>
        <w:t xml:space="preserve">SoC = standard of care; </w:t>
      </w:r>
      <w:r w:rsidRPr="0072416F">
        <w:t>OL=open label; OS=overall survival; PFS=progress</w:t>
      </w:r>
      <w:r>
        <w:t xml:space="preserve">ion-free survival; R=randomised; gBRCAm = germline BRCA mutation positive; HER2- = </w:t>
      </w:r>
      <w:r w:rsidRPr="00E23F96">
        <w:t>human epidermal receptor 2 (HER2)-negative</w:t>
      </w:r>
    </w:p>
    <w:p w:rsidR="009F0307" w:rsidRPr="0072416F" w:rsidRDefault="009F0307" w:rsidP="00561C55">
      <w:pPr>
        <w:pStyle w:val="TableFooter"/>
        <w:widowControl/>
      </w:pPr>
      <w:r>
        <w:t>*Median duration of 14 months for OS and 11 months for PFS.</w:t>
      </w:r>
    </w:p>
    <w:p w:rsidR="009F0307" w:rsidRDefault="009F0307" w:rsidP="00561C55">
      <w:pPr>
        <w:pStyle w:val="TableFooter"/>
        <w:widowControl/>
      </w:pPr>
      <w:r>
        <w:t>Source: Compiled during evaluation based on data presented in Sections 2.3 and 2.4 of the submission.</w:t>
      </w:r>
    </w:p>
    <w:p w:rsidR="009F0307" w:rsidRDefault="009F0307" w:rsidP="00561C55">
      <w:pPr>
        <w:widowControl/>
      </w:pPr>
    </w:p>
    <w:p w:rsidR="009F0307" w:rsidRPr="00AA6893" w:rsidRDefault="009F0307" w:rsidP="00561C55">
      <w:pPr>
        <w:pStyle w:val="ListParagraph"/>
        <w:widowControl/>
        <w:numPr>
          <w:ilvl w:val="1"/>
          <w:numId w:val="3"/>
        </w:numPr>
      </w:pPr>
      <w:r w:rsidRPr="00AA6893">
        <w:t xml:space="preserve">Given the open label design of the trial, subjective outcomes, such as health-related quality of life (HRQoL) and </w:t>
      </w:r>
      <w:r w:rsidR="005C1051">
        <w:t>drug-</w:t>
      </w:r>
      <w:r w:rsidR="00B569A8" w:rsidRPr="00AA6893">
        <w:t xml:space="preserve">related </w:t>
      </w:r>
      <w:r w:rsidRPr="00AA6893">
        <w:t>adverse events (AEs), are subject to high risk of bias.</w:t>
      </w:r>
    </w:p>
    <w:p w:rsidR="008D6EA2" w:rsidRPr="00AA6893" w:rsidRDefault="009F0307" w:rsidP="00561C55">
      <w:pPr>
        <w:pStyle w:val="ListParagraph"/>
        <w:widowControl/>
        <w:numPr>
          <w:ilvl w:val="1"/>
          <w:numId w:val="3"/>
        </w:numPr>
      </w:pPr>
      <w:r w:rsidRPr="00AA6893">
        <w:lastRenderedPageBreak/>
        <w:t xml:space="preserve">The primary analysis of progression-free survival (PFS) was based on blinded independent radiologic facility (IRF) review. There is a high degree of censoring in both arms in the analysis of IRF-based PFS (35.2% in the talazoparib arm and 42.4% in the SoC arm). </w:t>
      </w:r>
      <w:r w:rsidR="002B623B" w:rsidRPr="00AA6893">
        <w:t>The primary reason for censoring in the talazoparib arm was lack of disease progression or death events, censored at last tumour assessment date (20.6%). The primary reasons for censoring in the SoC arm were 1) discontinuation with no adequate post baseline tumour assessment (13%), and 2) no disease progression or death prior to start of new antineoplastic therapy (20.1%).</w:t>
      </w:r>
    </w:p>
    <w:p w:rsidR="009F0307" w:rsidRPr="00587A9F" w:rsidRDefault="008D6EA2" w:rsidP="00561C55">
      <w:pPr>
        <w:pStyle w:val="ListParagraph"/>
        <w:widowControl/>
        <w:numPr>
          <w:ilvl w:val="1"/>
          <w:numId w:val="3"/>
        </w:numPr>
      </w:pPr>
      <w:r w:rsidRPr="00AA6893">
        <w:t xml:space="preserve">The lower number of recorded PFS events in the SoC treatment arm may have been the result of the higher rate of censoring in that arm due to patients initiating new antineoplastic therapy in the absence of IRF progression (20.1%), compared with the talazoparib arm (9.8%). </w:t>
      </w:r>
      <w:r w:rsidR="00710D49" w:rsidRPr="00AA6893">
        <w:t xml:space="preserve">As </w:t>
      </w:r>
      <w:r w:rsidR="00BE7B1B" w:rsidRPr="00AA6893">
        <w:t xml:space="preserve">censoring was unlikely to be random, the assessment of </w:t>
      </w:r>
      <w:r w:rsidR="00BE7B1B" w:rsidRPr="00587A9F">
        <w:t xml:space="preserve">comparative PFS </w:t>
      </w:r>
      <w:r w:rsidR="002208DA" w:rsidRPr="00587A9F">
        <w:t>is likely to</w:t>
      </w:r>
      <w:r w:rsidR="00BE7B1B" w:rsidRPr="00587A9F">
        <w:t xml:space="preserve"> be biased</w:t>
      </w:r>
      <w:r w:rsidRPr="00587A9F">
        <w:t>.</w:t>
      </w:r>
      <w:r w:rsidR="00BE7B1B" w:rsidRPr="00587A9F">
        <w:t xml:space="preserve"> </w:t>
      </w:r>
      <w:r w:rsidR="0047405F" w:rsidRPr="00587A9F">
        <w:t>The absolute magnitude of benefit of talazoparib in terms of PFS</w:t>
      </w:r>
      <w:r w:rsidR="004C5A9C" w:rsidRPr="00587A9F">
        <w:t>,</w:t>
      </w:r>
      <w:r w:rsidR="0047405F" w:rsidRPr="00587A9F">
        <w:t xml:space="preserve"> compare</w:t>
      </w:r>
      <w:r w:rsidR="00BA6A0A" w:rsidRPr="00587A9F">
        <w:t>d</w:t>
      </w:r>
      <w:r w:rsidR="0047405F" w:rsidRPr="00587A9F">
        <w:t xml:space="preserve"> w</w:t>
      </w:r>
      <w:r w:rsidR="0009601E" w:rsidRPr="00587A9F">
        <w:t>ith</w:t>
      </w:r>
      <w:r w:rsidR="0047405F" w:rsidRPr="00587A9F">
        <w:t xml:space="preserve"> SoC</w:t>
      </w:r>
      <w:r w:rsidR="004C5A9C" w:rsidRPr="00587A9F">
        <w:t xml:space="preserve">, </w:t>
      </w:r>
      <w:r w:rsidR="0047405F" w:rsidRPr="00587A9F">
        <w:t>is therefore uncertain.</w:t>
      </w:r>
      <w:r w:rsidR="00D2391D" w:rsidRPr="00587A9F">
        <w:t xml:space="preserve"> The ESC acknowledged there was likely some impact of bias on the assessment of comparative PFS</w:t>
      </w:r>
      <w:r w:rsidR="005C1051">
        <w:t>, however</w:t>
      </w:r>
      <w:r w:rsidR="00D2391D" w:rsidRPr="00587A9F">
        <w:t xml:space="preserve"> considered that </w:t>
      </w:r>
      <w:r w:rsidR="003D480D" w:rsidRPr="00587A9F">
        <w:t>the applicability issues raised in paragraphs</w:t>
      </w:r>
      <w:r w:rsidR="003E2C25" w:rsidRPr="00587A9F">
        <w:t xml:space="preserve"> 6.</w:t>
      </w:r>
      <w:r w:rsidR="00532B39">
        <w:t>20</w:t>
      </w:r>
      <w:r w:rsidR="00273863" w:rsidRPr="00587A9F">
        <w:t xml:space="preserve"> and 6.2</w:t>
      </w:r>
      <w:r w:rsidR="00532B39">
        <w:t>9</w:t>
      </w:r>
      <w:r w:rsidR="003D480D" w:rsidRPr="00587A9F">
        <w:t xml:space="preserve"> to be the main sources of uncertainty in</w:t>
      </w:r>
      <w:r w:rsidR="00E920F0" w:rsidRPr="00587A9F">
        <w:t xml:space="preserve"> the interpretation of the PFS results</w:t>
      </w:r>
      <w:r w:rsidR="003D480D" w:rsidRPr="00587A9F">
        <w:t>.</w:t>
      </w:r>
      <w:r w:rsidR="00D2391D" w:rsidRPr="00587A9F">
        <w:t xml:space="preserve"> </w:t>
      </w:r>
    </w:p>
    <w:p w:rsidR="009F0307" w:rsidRPr="00587A9F" w:rsidRDefault="009F0307" w:rsidP="003A20C8">
      <w:pPr>
        <w:pStyle w:val="ListParagraph"/>
        <w:widowControl/>
        <w:numPr>
          <w:ilvl w:val="1"/>
          <w:numId w:val="3"/>
        </w:numPr>
      </w:pPr>
      <w:r w:rsidRPr="00587A9F">
        <w:t>At the interim analysis for overall survival (OS), approximately 38%</w:t>
      </w:r>
      <w:r w:rsidR="003D5DCC" w:rsidRPr="00587A9F">
        <w:t xml:space="preserve"> of patients</w:t>
      </w:r>
      <w:r w:rsidRPr="00587A9F">
        <w:t xml:space="preserve"> had died in both treatment arms. OS data remain immature and the submission anticipated availability of mature OS data in November 2019.</w:t>
      </w:r>
      <w:r w:rsidR="003A20C8">
        <w:t xml:space="preserve"> The pre-PBAC response</w:t>
      </w:r>
      <w:r w:rsidR="00B849E8">
        <w:t xml:space="preserve"> stated that the final overall survival results for the EMBRACA trial are expected to be available in early January 2020.</w:t>
      </w:r>
      <w:r w:rsidR="002A267C">
        <w:t xml:space="preserve"> </w:t>
      </w:r>
      <w:r w:rsidR="00370EAB">
        <w:t xml:space="preserve">The TGA Delegate’s Overview (p4) noted the potential for confounding </w:t>
      </w:r>
      <w:r w:rsidR="002D7B41">
        <w:t xml:space="preserve">by subsequent therapies </w:t>
      </w:r>
      <w:r w:rsidR="00370EAB">
        <w:t>in the final OS analysis</w:t>
      </w:r>
      <w:r w:rsidR="002D7B41">
        <w:t>.</w:t>
      </w:r>
    </w:p>
    <w:p w:rsidR="007A2349" w:rsidRPr="00587A9F" w:rsidRDefault="00B77941" w:rsidP="00561C55">
      <w:pPr>
        <w:pStyle w:val="ListParagraph"/>
        <w:widowControl/>
        <w:numPr>
          <w:ilvl w:val="1"/>
          <w:numId w:val="3"/>
        </w:numPr>
      </w:pPr>
      <w:r w:rsidRPr="00587A9F">
        <w:t>A large proportion (82.4%) of patients did not receive platinum cytotoxic therapy before enrolment, and EMBRACA did not include platinum cytotoxic therapy as a potential comparator. A key publication</w:t>
      </w:r>
      <w:r w:rsidR="005C1051">
        <w:t xml:space="preserve"> reporting</w:t>
      </w:r>
      <w:r w:rsidRPr="00587A9F">
        <w:t xml:space="preserve"> on the EMBRACA trial</w:t>
      </w:r>
      <w:r w:rsidRPr="00587A9F">
        <w:rPr>
          <w:rStyle w:val="FootnoteReference"/>
        </w:rPr>
        <w:footnoteReference w:id="4"/>
      </w:r>
      <w:r w:rsidRPr="00587A9F">
        <w:t xml:space="preserve"> noted that the failure t</w:t>
      </w:r>
      <w:r w:rsidR="005C1051">
        <w:t>o include platinum-based agents</w:t>
      </w:r>
      <w:r w:rsidRPr="00587A9F">
        <w:t xml:space="preserve"> as an option in the standard-therapy </w:t>
      </w:r>
      <w:r w:rsidR="005C1051">
        <w:t>group</w:t>
      </w:r>
      <w:r w:rsidRPr="00587A9F">
        <w:t xml:space="preserve"> was a limitation of the EMBRACA trial</w:t>
      </w:r>
      <w:r w:rsidR="005C1051">
        <w:t>,</w:t>
      </w:r>
      <w:r w:rsidRPr="00587A9F">
        <w:t xml:space="preserve"> and that direct evidence comparing the efficacy and safety of</w:t>
      </w:r>
      <w:r w:rsidR="005C1051">
        <w:t xml:space="preserve"> a PARP inhibitor with platinum-</w:t>
      </w:r>
      <w:r w:rsidRPr="00587A9F">
        <w:t xml:space="preserve">based </w:t>
      </w:r>
      <w:r w:rsidR="005C1051">
        <w:t>chemo</w:t>
      </w:r>
      <w:r w:rsidRPr="00587A9F">
        <w:t xml:space="preserve">therapy was lacking. The </w:t>
      </w:r>
      <w:r w:rsidR="00BC2D5F">
        <w:t>Pre-Sub-Committee Response (</w:t>
      </w:r>
      <w:r w:rsidR="00FC4C3F" w:rsidRPr="00587A9F">
        <w:t>PSCR</w:t>
      </w:r>
      <w:r w:rsidR="00BC2D5F">
        <w:t>)</w:t>
      </w:r>
      <w:r w:rsidR="00FC4C3F" w:rsidRPr="00587A9F">
        <w:t xml:space="preserve"> </w:t>
      </w:r>
      <w:r w:rsidRPr="00587A9F">
        <w:t>stated that local market research data (from global market research firm IPSOS) estimated that 70% of Australian patients with metastatic triple negative breast cancer received platinum therapy as first-line treatment. The PSCR noted this was consistent with advice from Australian clinicians who confirmed that capecitabine, eribulin, vinorelbine and gemcitabine were the chemotherapy agents of choice in the proposed patient population. The ESC considered the exclusion of platinum</w:t>
      </w:r>
      <w:r w:rsidR="005C1051">
        <w:t>-based chemo</w:t>
      </w:r>
      <w:r w:rsidRPr="00587A9F">
        <w:t>therapy as part of SoC</w:t>
      </w:r>
      <w:r w:rsidR="005C1051">
        <w:t>,</w:t>
      </w:r>
      <w:r w:rsidRPr="00587A9F">
        <w:t xml:space="preserve"> and lack of patients with prior platinum</w:t>
      </w:r>
      <w:r w:rsidR="005C1051">
        <w:t>-based chemo</w:t>
      </w:r>
      <w:r w:rsidRPr="00587A9F">
        <w:t>therapy</w:t>
      </w:r>
      <w:r w:rsidR="005C1051">
        <w:t>,</w:t>
      </w:r>
      <w:r w:rsidRPr="00587A9F">
        <w:t xml:space="preserve"> were limitations in the applicability </w:t>
      </w:r>
      <w:r w:rsidRPr="00587A9F">
        <w:lastRenderedPageBreak/>
        <w:t>of the EMBRACA trial to the requested population</w:t>
      </w:r>
      <w:r w:rsidR="005C1051">
        <w:t>, given platinum-</w:t>
      </w:r>
      <w:r w:rsidR="00FC4C3F" w:rsidRPr="00587A9F">
        <w:t xml:space="preserve">based </w:t>
      </w:r>
      <w:r w:rsidR="005C1051">
        <w:t>chemo</w:t>
      </w:r>
      <w:r w:rsidR="00FC4C3F" w:rsidRPr="00587A9F">
        <w:t>therapy</w:t>
      </w:r>
      <w:r w:rsidRPr="00587A9F">
        <w:t xml:space="preserve"> is p</w:t>
      </w:r>
      <w:r w:rsidR="002F1652" w:rsidRPr="00587A9F">
        <w:t xml:space="preserve">art of current standard of care. </w:t>
      </w:r>
    </w:p>
    <w:p w:rsidR="001415E6" w:rsidRPr="00587A9F" w:rsidRDefault="001415E6" w:rsidP="00561C55">
      <w:pPr>
        <w:pStyle w:val="ListParagraph"/>
        <w:widowControl/>
        <w:numPr>
          <w:ilvl w:val="1"/>
          <w:numId w:val="3"/>
        </w:numPr>
      </w:pPr>
      <w:r w:rsidRPr="00587A9F">
        <w:t xml:space="preserve">The ESC </w:t>
      </w:r>
      <w:r w:rsidR="004B5B4D" w:rsidRPr="00587A9F">
        <w:t>consider</w:t>
      </w:r>
      <w:r w:rsidRPr="00587A9F">
        <w:t xml:space="preserve">ed </w:t>
      </w:r>
      <w:r w:rsidR="00C67613" w:rsidRPr="00587A9F">
        <w:t>it was difficult to fully assess the applicability of the EMBRACA trial to the requested PBS population</w:t>
      </w:r>
      <w:r w:rsidR="005C1051">
        <w:t>,</w:t>
      </w:r>
      <w:r w:rsidR="00C67613" w:rsidRPr="00587A9F">
        <w:t xml:space="preserve"> as </w:t>
      </w:r>
      <w:r w:rsidR="001B5FA5" w:rsidRPr="00587A9F">
        <w:t xml:space="preserve">there are limited data on the Australian clinical practice </w:t>
      </w:r>
      <w:r w:rsidR="00C67613" w:rsidRPr="00587A9F">
        <w:t xml:space="preserve">setting. The ESC acknowledged that </w:t>
      </w:r>
      <w:r w:rsidR="003678A8" w:rsidRPr="00587A9F">
        <w:t xml:space="preserve">large studies may not be possible given the rarity of the disease. </w:t>
      </w:r>
      <w:r w:rsidR="00C67613" w:rsidRPr="00587A9F">
        <w:t xml:space="preserve"> </w:t>
      </w:r>
    </w:p>
    <w:p w:rsidR="009F0307" w:rsidRPr="00C9624D" w:rsidRDefault="009F0307" w:rsidP="00561C55">
      <w:pPr>
        <w:pStyle w:val="Heading2"/>
        <w:widowControl/>
      </w:pPr>
      <w:bookmarkStart w:id="7" w:name="_Toc19717381"/>
      <w:r w:rsidRPr="00C9624D">
        <w:t>Comparative effectiveness</w:t>
      </w:r>
      <w:bookmarkEnd w:id="7"/>
    </w:p>
    <w:p w:rsidR="009F0307" w:rsidRPr="00882085" w:rsidRDefault="009F0307" w:rsidP="00561C55">
      <w:pPr>
        <w:widowControl/>
      </w:pPr>
    </w:p>
    <w:p w:rsidR="009F0307" w:rsidRDefault="009F0307" w:rsidP="00561C55">
      <w:pPr>
        <w:pStyle w:val="ListParagraph"/>
        <w:widowControl/>
        <w:numPr>
          <w:ilvl w:val="1"/>
          <w:numId w:val="3"/>
        </w:numPr>
      </w:pPr>
      <w:r>
        <w:t>The PFS and OS results from EMBRACA are summarised below.</w:t>
      </w:r>
    </w:p>
    <w:p w:rsidR="009F0307" w:rsidRPr="000A22BA" w:rsidRDefault="009F0307" w:rsidP="00883D33">
      <w:pPr>
        <w:pStyle w:val="Caption"/>
        <w:keepNext/>
        <w:keepLines/>
        <w:widowControl/>
        <w:rPr>
          <w:rStyle w:val="CommentReference"/>
          <w:b/>
        </w:rPr>
      </w:pPr>
      <w:r>
        <w:t xml:space="preserve">Table </w:t>
      </w:r>
      <w:r w:rsidR="00112C13">
        <w:rPr>
          <w:noProof/>
        </w:rPr>
        <w:t>4</w:t>
      </w:r>
      <w:r>
        <w:t>:</w:t>
      </w:r>
      <w:r w:rsidRPr="000A22BA">
        <w:rPr>
          <w:b w:val="0"/>
        </w:rPr>
        <w:t xml:space="preserve"> </w:t>
      </w:r>
      <w:r>
        <w:rPr>
          <w:rStyle w:val="CommentReference"/>
          <w:b/>
        </w:rPr>
        <w:t>PFS and OS</w:t>
      </w:r>
      <w:r w:rsidRPr="000A22BA">
        <w:rPr>
          <w:rStyle w:val="CommentReference"/>
          <w:b/>
        </w:rPr>
        <w:t xml:space="preserve"> outcomes from the EMBRACA trial.</w:t>
      </w:r>
    </w:p>
    <w:tbl>
      <w:tblPr>
        <w:tblStyle w:val="TableGrid"/>
        <w:tblW w:w="0" w:type="auto"/>
        <w:tblLook w:val="04A0" w:firstRow="1" w:lastRow="0" w:firstColumn="1" w:lastColumn="0" w:noHBand="0" w:noVBand="1"/>
        <w:tblCaption w:val="Table 4: PFS and OS outcomes from the EMBRACA trial."/>
      </w:tblPr>
      <w:tblGrid>
        <w:gridCol w:w="3638"/>
        <w:gridCol w:w="2719"/>
        <w:gridCol w:w="2660"/>
      </w:tblGrid>
      <w:tr w:rsidR="009F0307" w:rsidTr="0047282F">
        <w:trPr>
          <w:trHeight w:val="57"/>
          <w:tblHeader/>
        </w:trPr>
        <w:tc>
          <w:tcPr>
            <w:tcW w:w="3638" w:type="dxa"/>
          </w:tcPr>
          <w:p w:rsidR="009F0307" w:rsidRPr="0029739C" w:rsidRDefault="009F0307" w:rsidP="00883D33">
            <w:pPr>
              <w:pStyle w:val="TableText0"/>
              <w:keepLines/>
              <w:spacing w:before="0" w:after="0"/>
              <w:rPr>
                <w:b/>
              </w:rPr>
            </w:pPr>
          </w:p>
        </w:tc>
        <w:tc>
          <w:tcPr>
            <w:tcW w:w="2719" w:type="dxa"/>
          </w:tcPr>
          <w:p w:rsidR="009F0307" w:rsidRPr="0029739C" w:rsidRDefault="009F0307" w:rsidP="00883D33">
            <w:pPr>
              <w:pStyle w:val="TableText0"/>
              <w:keepLines/>
              <w:spacing w:before="0" w:after="0"/>
              <w:jc w:val="center"/>
              <w:rPr>
                <w:b/>
              </w:rPr>
            </w:pPr>
            <w:r w:rsidRPr="0029739C">
              <w:rPr>
                <w:b/>
              </w:rPr>
              <w:t>Talazoparib</w:t>
            </w:r>
          </w:p>
          <w:p w:rsidR="009F0307" w:rsidRPr="0029739C" w:rsidRDefault="009F0307" w:rsidP="00883D33">
            <w:pPr>
              <w:pStyle w:val="TableText0"/>
              <w:keepLines/>
              <w:spacing w:before="0" w:after="0"/>
              <w:jc w:val="center"/>
              <w:rPr>
                <w:b/>
              </w:rPr>
            </w:pPr>
            <w:r w:rsidRPr="0029739C">
              <w:rPr>
                <w:b/>
              </w:rPr>
              <w:t>N=287</w:t>
            </w:r>
          </w:p>
        </w:tc>
        <w:tc>
          <w:tcPr>
            <w:tcW w:w="2660" w:type="dxa"/>
          </w:tcPr>
          <w:p w:rsidR="009F0307" w:rsidRPr="0029739C" w:rsidRDefault="009F0307" w:rsidP="00883D33">
            <w:pPr>
              <w:pStyle w:val="TableText0"/>
              <w:keepLines/>
              <w:spacing w:before="0" w:after="0"/>
              <w:jc w:val="center"/>
              <w:rPr>
                <w:b/>
              </w:rPr>
            </w:pPr>
            <w:r w:rsidRPr="0029739C">
              <w:rPr>
                <w:b/>
              </w:rPr>
              <w:t>S</w:t>
            </w:r>
            <w:r>
              <w:rPr>
                <w:b/>
              </w:rPr>
              <w:t>o</w:t>
            </w:r>
            <w:r w:rsidRPr="0029739C">
              <w:rPr>
                <w:b/>
              </w:rPr>
              <w:t>C</w:t>
            </w:r>
          </w:p>
          <w:p w:rsidR="009F0307" w:rsidRPr="0029739C" w:rsidRDefault="009F0307" w:rsidP="00883D33">
            <w:pPr>
              <w:pStyle w:val="TableText0"/>
              <w:keepLines/>
              <w:spacing w:before="0" w:after="0"/>
              <w:jc w:val="center"/>
              <w:rPr>
                <w:b/>
              </w:rPr>
            </w:pPr>
            <w:r w:rsidRPr="0029739C">
              <w:rPr>
                <w:b/>
              </w:rPr>
              <w:t>N=144</w:t>
            </w:r>
          </w:p>
        </w:tc>
      </w:tr>
      <w:tr w:rsidR="008F00C5" w:rsidTr="0047282F">
        <w:trPr>
          <w:trHeight w:val="57"/>
          <w:tblHeader/>
        </w:trPr>
        <w:tc>
          <w:tcPr>
            <w:tcW w:w="3638" w:type="dxa"/>
          </w:tcPr>
          <w:p w:rsidR="008F00C5" w:rsidRPr="0029739C" w:rsidRDefault="008F00C5" w:rsidP="00883D33">
            <w:pPr>
              <w:pStyle w:val="TableText0"/>
              <w:keepLines/>
              <w:spacing w:before="0" w:after="0"/>
              <w:rPr>
                <w:b/>
              </w:rPr>
            </w:pPr>
            <w:r>
              <w:rPr>
                <w:b/>
              </w:rPr>
              <w:t>Primary endpoint: PFS</w:t>
            </w:r>
          </w:p>
        </w:tc>
        <w:tc>
          <w:tcPr>
            <w:tcW w:w="2719" w:type="dxa"/>
          </w:tcPr>
          <w:p w:rsidR="008F00C5" w:rsidRPr="0029739C" w:rsidRDefault="008F00C5" w:rsidP="00883D33">
            <w:pPr>
              <w:pStyle w:val="TableText0"/>
              <w:keepLines/>
              <w:spacing w:before="0" w:after="0"/>
              <w:jc w:val="center"/>
              <w:rPr>
                <w:b/>
              </w:rPr>
            </w:pPr>
          </w:p>
        </w:tc>
        <w:tc>
          <w:tcPr>
            <w:tcW w:w="2660" w:type="dxa"/>
          </w:tcPr>
          <w:p w:rsidR="008F00C5" w:rsidRPr="0029739C" w:rsidRDefault="008F00C5" w:rsidP="00883D33">
            <w:pPr>
              <w:pStyle w:val="TableText0"/>
              <w:keepLines/>
              <w:spacing w:before="0" w:after="0"/>
              <w:jc w:val="center"/>
              <w:rPr>
                <w:b/>
              </w:rPr>
            </w:pPr>
          </w:p>
        </w:tc>
      </w:tr>
      <w:tr w:rsidR="009F0307" w:rsidTr="0047282F">
        <w:trPr>
          <w:trHeight w:val="57"/>
          <w:tblHeader/>
        </w:trPr>
        <w:tc>
          <w:tcPr>
            <w:tcW w:w="9017" w:type="dxa"/>
            <w:gridSpan w:val="3"/>
          </w:tcPr>
          <w:p w:rsidR="009F0307" w:rsidRPr="0006176D" w:rsidRDefault="009F0307" w:rsidP="00883D33">
            <w:pPr>
              <w:pStyle w:val="TableText0"/>
              <w:keepLines/>
              <w:spacing w:before="0" w:after="0"/>
              <w:rPr>
                <w:u w:val="single"/>
              </w:rPr>
            </w:pPr>
            <w:r w:rsidRPr="0006176D">
              <w:rPr>
                <w:u w:val="single"/>
              </w:rPr>
              <w:t xml:space="preserve">Primary </w:t>
            </w:r>
            <w:r w:rsidR="003D7D81" w:rsidRPr="0006176D">
              <w:rPr>
                <w:u w:val="single"/>
              </w:rPr>
              <w:t>analysis</w:t>
            </w:r>
            <w:r w:rsidRPr="0006176D">
              <w:rPr>
                <w:u w:val="single"/>
              </w:rPr>
              <w:t>: PFS by IRF</w:t>
            </w:r>
          </w:p>
        </w:tc>
      </w:tr>
      <w:tr w:rsidR="009F0307" w:rsidTr="0047282F">
        <w:trPr>
          <w:trHeight w:val="57"/>
          <w:tblHeader/>
        </w:trPr>
        <w:tc>
          <w:tcPr>
            <w:tcW w:w="3638" w:type="dxa"/>
          </w:tcPr>
          <w:p w:rsidR="009F0307" w:rsidRDefault="009F0307" w:rsidP="00883D33">
            <w:pPr>
              <w:pStyle w:val="TableText0"/>
              <w:keepLines/>
              <w:spacing w:before="0" w:after="0"/>
            </w:pPr>
            <w:r>
              <w:t>Events n (%)</w:t>
            </w:r>
          </w:p>
        </w:tc>
        <w:tc>
          <w:tcPr>
            <w:tcW w:w="2719" w:type="dxa"/>
          </w:tcPr>
          <w:p w:rsidR="009F0307" w:rsidRDefault="009F0307" w:rsidP="00883D33">
            <w:pPr>
              <w:pStyle w:val="TableText0"/>
              <w:keepLines/>
              <w:spacing w:before="0" w:after="0"/>
              <w:jc w:val="center"/>
            </w:pPr>
            <w:r>
              <w:t>186 (64.8%)</w:t>
            </w:r>
          </w:p>
        </w:tc>
        <w:tc>
          <w:tcPr>
            <w:tcW w:w="2660" w:type="dxa"/>
          </w:tcPr>
          <w:p w:rsidR="009F0307" w:rsidRDefault="009F0307" w:rsidP="00883D33">
            <w:pPr>
              <w:pStyle w:val="TableText0"/>
              <w:keepLines/>
              <w:spacing w:before="0" w:after="0"/>
              <w:jc w:val="center"/>
            </w:pPr>
            <w:r>
              <w:t>83 (57.6%)</w:t>
            </w:r>
          </w:p>
        </w:tc>
      </w:tr>
      <w:tr w:rsidR="009F0307" w:rsidTr="0047282F">
        <w:trPr>
          <w:trHeight w:val="57"/>
          <w:tblHeader/>
        </w:trPr>
        <w:tc>
          <w:tcPr>
            <w:tcW w:w="3638" w:type="dxa"/>
          </w:tcPr>
          <w:p w:rsidR="009F0307" w:rsidRDefault="009F0307" w:rsidP="00883D33">
            <w:pPr>
              <w:pStyle w:val="TableText0"/>
              <w:keepLines/>
              <w:numPr>
                <w:ilvl w:val="0"/>
                <w:numId w:val="15"/>
              </w:numPr>
              <w:spacing w:before="0" w:after="0"/>
            </w:pPr>
            <w:r>
              <w:t>Radiographic progression</w:t>
            </w:r>
          </w:p>
        </w:tc>
        <w:tc>
          <w:tcPr>
            <w:tcW w:w="2719" w:type="dxa"/>
          </w:tcPr>
          <w:p w:rsidR="009F0307" w:rsidRDefault="009F0307" w:rsidP="00883D33">
            <w:pPr>
              <w:pStyle w:val="TableText0"/>
              <w:keepLines/>
              <w:spacing w:before="0" w:after="0"/>
              <w:jc w:val="center"/>
            </w:pPr>
            <w:r>
              <w:rPr>
                <w:sz w:val="18"/>
                <w:szCs w:val="18"/>
              </w:rPr>
              <w:t xml:space="preserve">157 (54.7%) </w:t>
            </w:r>
          </w:p>
        </w:tc>
        <w:tc>
          <w:tcPr>
            <w:tcW w:w="2660" w:type="dxa"/>
          </w:tcPr>
          <w:p w:rsidR="009F0307" w:rsidRDefault="009F0307" w:rsidP="00883D33">
            <w:pPr>
              <w:pStyle w:val="TableText0"/>
              <w:keepLines/>
              <w:spacing w:before="0" w:after="0"/>
              <w:jc w:val="center"/>
            </w:pPr>
            <w:r>
              <w:rPr>
                <w:sz w:val="18"/>
                <w:szCs w:val="18"/>
              </w:rPr>
              <w:t xml:space="preserve">68 (47.2%) </w:t>
            </w:r>
          </w:p>
        </w:tc>
      </w:tr>
      <w:tr w:rsidR="009F0307" w:rsidTr="0047282F">
        <w:trPr>
          <w:trHeight w:val="57"/>
          <w:tblHeader/>
        </w:trPr>
        <w:tc>
          <w:tcPr>
            <w:tcW w:w="3638" w:type="dxa"/>
          </w:tcPr>
          <w:p w:rsidR="009F0307" w:rsidRDefault="009F0307" w:rsidP="00883D33">
            <w:pPr>
              <w:pStyle w:val="TableText0"/>
              <w:keepLines/>
              <w:numPr>
                <w:ilvl w:val="0"/>
                <w:numId w:val="15"/>
              </w:numPr>
              <w:spacing w:before="0" w:after="0"/>
            </w:pPr>
            <w:r>
              <w:t>Death</w:t>
            </w:r>
          </w:p>
        </w:tc>
        <w:tc>
          <w:tcPr>
            <w:tcW w:w="2719" w:type="dxa"/>
          </w:tcPr>
          <w:p w:rsidR="009F0307" w:rsidRDefault="009F0307" w:rsidP="00883D33">
            <w:pPr>
              <w:pStyle w:val="TableText0"/>
              <w:keepLines/>
              <w:spacing w:before="0" w:after="0"/>
              <w:jc w:val="center"/>
            </w:pPr>
            <w:r w:rsidRPr="008009F6">
              <w:t>29 (10.1%)</w:t>
            </w:r>
          </w:p>
        </w:tc>
        <w:tc>
          <w:tcPr>
            <w:tcW w:w="2660" w:type="dxa"/>
          </w:tcPr>
          <w:p w:rsidR="009F0307" w:rsidRDefault="009F0307" w:rsidP="00883D33">
            <w:pPr>
              <w:pStyle w:val="TableText0"/>
              <w:keepLines/>
              <w:spacing w:before="0" w:after="0"/>
              <w:jc w:val="center"/>
            </w:pPr>
            <w:r w:rsidRPr="00203966">
              <w:t>15 (10.4%)</w:t>
            </w:r>
          </w:p>
        </w:tc>
      </w:tr>
      <w:tr w:rsidR="009F0307" w:rsidTr="0047282F">
        <w:trPr>
          <w:trHeight w:val="57"/>
          <w:tblHeader/>
        </w:trPr>
        <w:tc>
          <w:tcPr>
            <w:tcW w:w="3638" w:type="dxa"/>
          </w:tcPr>
          <w:p w:rsidR="009F0307" w:rsidRDefault="009F0307" w:rsidP="00883D33">
            <w:pPr>
              <w:pStyle w:val="TableText0"/>
              <w:keepLines/>
              <w:spacing w:before="0" w:after="0"/>
            </w:pPr>
            <w:r>
              <w:t>Censored</w:t>
            </w:r>
          </w:p>
        </w:tc>
        <w:tc>
          <w:tcPr>
            <w:tcW w:w="2719" w:type="dxa"/>
          </w:tcPr>
          <w:p w:rsidR="009F0307" w:rsidRDefault="009F0307" w:rsidP="00883D33">
            <w:pPr>
              <w:pStyle w:val="TableText0"/>
              <w:keepLines/>
              <w:spacing w:before="0" w:after="0"/>
              <w:jc w:val="center"/>
            </w:pPr>
            <w:r w:rsidRPr="00402E6B">
              <w:t>101 (35.2%)</w:t>
            </w:r>
          </w:p>
        </w:tc>
        <w:tc>
          <w:tcPr>
            <w:tcW w:w="2660" w:type="dxa"/>
          </w:tcPr>
          <w:p w:rsidR="009F0307" w:rsidRDefault="009F0307" w:rsidP="00883D33">
            <w:pPr>
              <w:pStyle w:val="TableText0"/>
              <w:keepLines/>
              <w:spacing w:before="0" w:after="0"/>
              <w:jc w:val="center"/>
            </w:pPr>
            <w:r w:rsidRPr="00203966">
              <w:t>61 (42.4%)</w:t>
            </w:r>
          </w:p>
        </w:tc>
      </w:tr>
      <w:tr w:rsidR="009F0307" w:rsidTr="0047282F">
        <w:trPr>
          <w:trHeight w:val="57"/>
          <w:tblHeader/>
        </w:trPr>
        <w:tc>
          <w:tcPr>
            <w:tcW w:w="3638" w:type="dxa"/>
          </w:tcPr>
          <w:p w:rsidR="009F0307" w:rsidRDefault="009F0307" w:rsidP="00883D33">
            <w:pPr>
              <w:pStyle w:val="TableText0"/>
              <w:keepLines/>
              <w:spacing w:before="0" w:after="0"/>
            </w:pPr>
            <w:r w:rsidRPr="00203966">
              <w:t>Duration of PFS (months)</w:t>
            </w:r>
            <w:r w:rsidRPr="00203966">
              <w:rPr>
                <w:vertAlign w:val="superscript"/>
              </w:rPr>
              <w:t>a</w:t>
            </w:r>
          </w:p>
        </w:tc>
        <w:tc>
          <w:tcPr>
            <w:tcW w:w="2719" w:type="dxa"/>
          </w:tcPr>
          <w:p w:rsidR="009F0307" w:rsidRPr="00402E6B" w:rsidRDefault="009F0307" w:rsidP="00883D33">
            <w:pPr>
              <w:pStyle w:val="TableText0"/>
              <w:keepLines/>
              <w:spacing w:before="0" w:after="0"/>
              <w:jc w:val="center"/>
            </w:pPr>
          </w:p>
        </w:tc>
        <w:tc>
          <w:tcPr>
            <w:tcW w:w="2660" w:type="dxa"/>
          </w:tcPr>
          <w:p w:rsidR="009F0307" w:rsidRPr="00203966" w:rsidRDefault="009F0307" w:rsidP="00883D33">
            <w:pPr>
              <w:pStyle w:val="TableText0"/>
              <w:keepLines/>
              <w:spacing w:before="0" w:after="0"/>
              <w:jc w:val="center"/>
            </w:pPr>
          </w:p>
        </w:tc>
      </w:tr>
      <w:tr w:rsidR="009F0307" w:rsidTr="0047282F">
        <w:trPr>
          <w:trHeight w:val="57"/>
          <w:tblHeader/>
        </w:trPr>
        <w:tc>
          <w:tcPr>
            <w:tcW w:w="3638" w:type="dxa"/>
          </w:tcPr>
          <w:p w:rsidR="009F0307" w:rsidRDefault="009F0307" w:rsidP="00883D33">
            <w:pPr>
              <w:pStyle w:val="TableText0"/>
              <w:keepLines/>
              <w:numPr>
                <w:ilvl w:val="0"/>
                <w:numId w:val="15"/>
              </w:numPr>
              <w:spacing w:before="0" w:after="0"/>
            </w:pPr>
            <w:r w:rsidRPr="007010CE">
              <w:t xml:space="preserve">Median (95% CI) </w:t>
            </w:r>
          </w:p>
        </w:tc>
        <w:tc>
          <w:tcPr>
            <w:tcW w:w="2719" w:type="dxa"/>
          </w:tcPr>
          <w:p w:rsidR="009F0307" w:rsidRPr="00402E6B" w:rsidRDefault="009F0307" w:rsidP="00883D33">
            <w:pPr>
              <w:pStyle w:val="TableText0"/>
              <w:keepLines/>
              <w:spacing w:before="0" w:after="0"/>
              <w:jc w:val="center"/>
            </w:pPr>
            <w:r w:rsidRPr="007010CE">
              <w:t xml:space="preserve">8.6 (7.2, 9.3) </w:t>
            </w:r>
          </w:p>
        </w:tc>
        <w:tc>
          <w:tcPr>
            <w:tcW w:w="2660" w:type="dxa"/>
          </w:tcPr>
          <w:p w:rsidR="009F0307" w:rsidRPr="00203966" w:rsidRDefault="009F0307" w:rsidP="00883D33">
            <w:pPr>
              <w:pStyle w:val="TableText0"/>
              <w:keepLines/>
              <w:spacing w:before="0" w:after="0"/>
              <w:jc w:val="center"/>
            </w:pPr>
            <w:r w:rsidRPr="007010CE">
              <w:t xml:space="preserve">5.6 (4.2, 6.7) </w:t>
            </w:r>
          </w:p>
        </w:tc>
      </w:tr>
      <w:tr w:rsidR="009F0307" w:rsidTr="0047282F">
        <w:trPr>
          <w:trHeight w:val="57"/>
          <w:tblHeader/>
        </w:trPr>
        <w:tc>
          <w:tcPr>
            <w:tcW w:w="3638" w:type="dxa"/>
          </w:tcPr>
          <w:p w:rsidR="009F0307" w:rsidRDefault="009F0307" w:rsidP="00883D33">
            <w:pPr>
              <w:pStyle w:val="TableText0"/>
              <w:keepLines/>
              <w:numPr>
                <w:ilvl w:val="0"/>
                <w:numId w:val="15"/>
              </w:numPr>
              <w:spacing w:before="0" w:after="0"/>
            </w:pPr>
            <w:r>
              <w:t>HR</w:t>
            </w:r>
            <w:r w:rsidRPr="006D6846">
              <w:t xml:space="preserve"> (95% CI): stratified</w:t>
            </w:r>
            <w:r w:rsidRPr="006D6846">
              <w:rPr>
                <w:vertAlign w:val="superscript"/>
              </w:rPr>
              <w:t>b</w:t>
            </w:r>
          </w:p>
        </w:tc>
        <w:tc>
          <w:tcPr>
            <w:tcW w:w="5379" w:type="dxa"/>
            <w:gridSpan w:val="2"/>
          </w:tcPr>
          <w:p w:rsidR="009F0307" w:rsidRPr="00203966" w:rsidRDefault="009F0307" w:rsidP="00883D33">
            <w:pPr>
              <w:pStyle w:val="TableText0"/>
              <w:keepLines/>
              <w:spacing w:before="0" w:after="0"/>
              <w:jc w:val="center"/>
            </w:pPr>
            <w:r>
              <w:t>0.54 (0.41, 0.71); p</w:t>
            </w:r>
            <w:r w:rsidRPr="00A552E3">
              <w:t>&lt;0.0001</w:t>
            </w:r>
          </w:p>
        </w:tc>
      </w:tr>
      <w:tr w:rsidR="009F0307" w:rsidTr="0047282F">
        <w:trPr>
          <w:trHeight w:val="57"/>
          <w:tblHeader/>
        </w:trPr>
        <w:tc>
          <w:tcPr>
            <w:tcW w:w="3638" w:type="dxa"/>
          </w:tcPr>
          <w:p w:rsidR="009F0307" w:rsidRPr="006D6846" w:rsidRDefault="009F0307" w:rsidP="00883D33">
            <w:pPr>
              <w:pStyle w:val="TableText0"/>
              <w:keepLines/>
              <w:spacing w:before="0" w:after="0"/>
            </w:pPr>
            <w:r w:rsidRPr="00A151BB">
              <w:t>PFS probability at month 12 (95% CI)</w:t>
            </w:r>
          </w:p>
        </w:tc>
        <w:tc>
          <w:tcPr>
            <w:tcW w:w="2719" w:type="dxa"/>
          </w:tcPr>
          <w:p w:rsidR="009F0307" w:rsidRPr="00402E6B" w:rsidRDefault="009F0307" w:rsidP="00883D33">
            <w:pPr>
              <w:pStyle w:val="TableText0"/>
              <w:keepLines/>
              <w:spacing w:before="0" w:after="0"/>
              <w:jc w:val="center"/>
            </w:pPr>
            <w:r w:rsidRPr="004540D3">
              <w:t xml:space="preserve">0.37 (30.7, 43.4) </w:t>
            </w:r>
          </w:p>
        </w:tc>
        <w:tc>
          <w:tcPr>
            <w:tcW w:w="2660" w:type="dxa"/>
          </w:tcPr>
          <w:p w:rsidR="009F0307" w:rsidRPr="00203966" w:rsidRDefault="009F0307" w:rsidP="00883D33">
            <w:pPr>
              <w:pStyle w:val="TableText0"/>
              <w:keepLines/>
              <w:spacing w:before="0" w:after="0"/>
              <w:jc w:val="center"/>
            </w:pPr>
            <w:r w:rsidRPr="004540D3">
              <w:t xml:space="preserve">0.20 (11.3, 29.9) </w:t>
            </w:r>
          </w:p>
        </w:tc>
      </w:tr>
      <w:tr w:rsidR="008F00C5" w:rsidTr="0047282F">
        <w:trPr>
          <w:trHeight w:val="57"/>
          <w:tblHeader/>
        </w:trPr>
        <w:tc>
          <w:tcPr>
            <w:tcW w:w="9017" w:type="dxa"/>
            <w:gridSpan w:val="3"/>
          </w:tcPr>
          <w:p w:rsidR="008F00C5" w:rsidRPr="006E6D29" w:rsidRDefault="008F00C5" w:rsidP="00883D33">
            <w:pPr>
              <w:pStyle w:val="TableText0"/>
              <w:keepLines/>
              <w:spacing w:before="0" w:after="0"/>
              <w:rPr>
                <w:u w:val="single"/>
              </w:rPr>
            </w:pPr>
            <w:r w:rsidRPr="006E6D29">
              <w:rPr>
                <w:u w:val="single"/>
              </w:rPr>
              <w:t>Exploratory  analysis: PFS by investigator assessment</w:t>
            </w:r>
          </w:p>
        </w:tc>
      </w:tr>
      <w:tr w:rsidR="008F00C5" w:rsidTr="0047282F">
        <w:trPr>
          <w:trHeight w:val="57"/>
          <w:tblHeader/>
        </w:trPr>
        <w:tc>
          <w:tcPr>
            <w:tcW w:w="3638" w:type="dxa"/>
          </w:tcPr>
          <w:p w:rsidR="008F00C5" w:rsidRPr="00A151BB" w:rsidRDefault="008F00C5" w:rsidP="00883D33">
            <w:pPr>
              <w:pStyle w:val="TableText0"/>
              <w:keepLines/>
              <w:spacing w:before="0" w:after="0"/>
            </w:pPr>
            <w:r>
              <w:t>Events n (%)</w:t>
            </w:r>
          </w:p>
        </w:tc>
        <w:tc>
          <w:tcPr>
            <w:tcW w:w="2719" w:type="dxa"/>
          </w:tcPr>
          <w:p w:rsidR="008F00C5" w:rsidRPr="006E6D29" w:rsidRDefault="008F00C5" w:rsidP="00883D33">
            <w:pPr>
              <w:pStyle w:val="TableText0"/>
              <w:keepLines/>
              <w:spacing w:before="0" w:after="0"/>
              <w:jc w:val="center"/>
            </w:pPr>
            <w:r w:rsidRPr="006E6D29">
              <w:t>217 (75.6%)</w:t>
            </w:r>
          </w:p>
        </w:tc>
        <w:tc>
          <w:tcPr>
            <w:tcW w:w="2660" w:type="dxa"/>
          </w:tcPr>
          <w:p w:rsidR="008F00C5" w:rsidRPr="006E6D29" w:rsidRDefault="0006176D" w:rsidP="00883D33">
            <w:pPr>
              <w:pStyle w:val="TableText0"/>
              <w:keepLines/>
              <w:spacing w:before="0" w:after="0"/>
              <w:jc w:val="center"/>
            </w:pPr>
            <w:r w:rsidRPr="006E6D29">
              <w:t>102 (70.8%)</w:t>
            </w:r>
          </w:p>
        </w:tc>
      </w:tr>
      <w:tr w:rsidR="008F00C5" w:rsidTr="0047282F">
        <w:trPr>
          <w:trHeight w:val="57"/>
          <w:tblHeader/>
        </w:trPr>
        <w:tc>
          <w:tcPr>
            <w:tcW w:w="3638" w:type="dxa"/>
          </w:tcPr>
          <w:p w:rsidR="008F00C5" w:rsidRPr="00A151BB" w:rsidRDefault="0006176D" w:rsidP="00883D33">
            <w:pPr>
              <w:pStyle w:val="TableText0"/>
              <w:keepLines/>
              <w:spacing w:before="0" w:after="0"/>
            </w:pPr>
            <w:r>
              <w:t>Censored</w:t>
            </w:r>
          </w:p>
        </w:tc>
        <w:tc>
          <w:tcPr>
            <w:tcW w:w="2719" w:type="dxa"/>
          </w:tcPr>
          <w:p w:rsidR="008F00C5" w:rsidRPr="006E6D29" w:rsidRDefault="0006176D" w:rsidP="00883D33">
            <w:pPr>
              <w:pStyle w:val="TableText0"/>
              <w:keepLines/>
              <w:spacing w:before="0" w:after="0"/>
              <w:jc w:val="center"/>
            </w:pPr>
            <w:r w:rsidRPr="006E6D29">
              <w:t>70 (24.4%)</w:t>
            </w:r>
          </w:p>
        </w:tc>
        <w:tc>
          <w:tcPr>
            <w:tcW w:w="2660" w:type="dxa"/>
          </w:tcPr>
          <w:p w:rsidR="008F00C5" w:rsidRPr="006E6D29" w:rsidRDefault="0006176D" w:rsidP="00883D33">
            <w:pPr>
              <w:pStyle w:val="TableText0"/>
              <w:keepLines/>
              <w:spacing w:before="0" w:after="0"/>
              <w:jc w:val="center"/>
            </w:pPr>
            <w:r w:rsidRPr="006E6D29">
              <w:t>42 (29.2%)</w:t>
            </w:r>
          </w:p>
        </w:tc>
      </w:tr>
      <w:tr w:rsidR="0006176D" w:rsidTr="0047282F">
        <w:trPr>
          <w:trHeight w:val="57"/>
          <w:tblHeader/>
        </w:trPr>
        <w:tc>
          <w:tcPr>
            <w:tcW w:w="3638" w:type="dxa"/>
          </w:tcPr>
          <w:p w:rsidR="0006176D" w:rsidRDefault="0006176D" w:rsidP="00883D33">
            <w:pPr>
              <w:pStyle w:val="TableText0"/>
              <w:keepLines/>
              <w:spacing w:before="0" w:after="0"/>
            </w:pPr>
            <w:r>
              <w:t>Median PFS duration in months, (95% CI)</w:t>
            </w:r>
          </w:p>
        </w:tc>
        <w:tc>
          <w:tcPr>
            <w:tcW w:w="2719" w:type="dxa"/>
          </w:tcPr>
          <w:p w:rsidR="0006176D" w:rsidRPr="006E6D29" w:rsidRDefault="0006176D" w:rsidP="00883D33">
            <w:pPr>
              <w:pStyle w:val="TableText0"/>
              <w:keepLines/>
              <w:spacing w:before="0" w:after="0"/>
              <w:jc w:val="center"/>
            </w:pPr>
            <w:r w:rsidRPr="006E6D29">
              <w:t>7.0 (5.7, 7.6)</w:t>
            </w:r>
          </w:p>
        </w:tc>
        <w:tc>
          <w:tcPr>
            <w:tcW w:w="2660" w:type="dxa"/>
          </w:tcPr>
          <w:p w:rsidR="0006176D" w:rsidRPr="006E6D29" w:rsidRDefault="0006176D" w:rsidP="00883D33">
            <w:pPr>
              <w:pStyle w:val="TableText0"/>
              <w:keepLines/>
              <w:spacing w:before="0" w:after="0"/>
              <w:jc w:val="center"/>
            </w:pPr>
            <w:r w:rsidRPr="006E6D29">
              <w:t>4.4 (2.9, 5.6)</w:t>
            </w:r>
          </w:p>
        </w:tc>
      </w:tr>
      <w:tr w:rsidR="006E6D29" w:rsidTr="0047282F">
        <w:trPr>
          <w:trHeight w:val="57"/>
          <w:tblHeader/>
        </w:trPr>
        <w:tc>
          <w:tcPr>
            <w:tcW w:w="3638" w:type="dxa"/>
          </w:tcPr>
          <w:p w:rsidR="006E6D29" w:rsidRDefault="006E6D29" w:rsidP="00883D33">
            <w:pPr>
              <w:pStyle w:val="TableText0"/>
              <w:keepLines/>
              <w:spacing w:before="0" w:after="0"/>
            </w:pPr>
            <w:r>
              <w:t>HR</w:t>
            </w:r>
            <w:r w:rsidRPr="006D6846">
              <w:t xml:space="preserve"> (95% CI): stratified</w:t>
            </w:r>
            <w:r w:rsidRPr="007C1703">
              <w:rPr>
                <w:vertAlign w:val="superscript"/>
              </w:rPr>
              <w:t>b</w:t>
            </w:r>
          </w:p>
        </w:tc>
        <w:tc>
          <w:tcPr>
            <w:tcW w:w="5379" w:type="dxa"/>
            <w:gridSpan w:val="2"/>
          </w:tcPr>
          <w:p w:rsidR="006E6D29" w:rsidRPr="006E6D29" w:rsidRDefault="006E6D29" w:rsidP="00883D33">
            <w:pPr>
              <w:pStyle w:val="TableText0"/>
              <w:keepLines/>
              <w:spacing w:before="0" w:after="0"/>
              <w:jc w:val="center"/>
            </w:pPr>
            <w:r w:rsidRPr="006E6D29">
              <w:t>0.54 (0.42, 0.69)</w:t>
            </w:r>
          </w:p>
        </w:tc>
      </w:tr>
      <w:tr w:rsidR="009F0307" w:rsidTr="0047282F">
        <w:trPr>
          <w:trHeight w:val="57"/>
          <w:tblHeader/>
        </w:trPr>
        <w:tc>
          <w:tcPr>
            <w:tcW w:w="9017" w:type="dxa"/>
            <w:gridSpan w:val="3"/>
          </w:tcPr>
          <w:p w:rsidR="009F0307" w:rsidRPr="00AA175E" w:rsidRDefault="009F0307" w:rsidP="00883D33">
            <w:pPr>
              <w:pStyle w:val="TableText0"/>
              <w:keepLines/>
              <w:spacing w:before="0" w:after="0"/>
              <w:rPr>
                <w:b/>
              </w:rPr>
            </w:pPr>
            <w:r>
              <w:rPr>
                <w:b/>
              </w:rPr>
              <w:t>Secondary endpoint: OS</w:t>
            </w:r>
          </w:p>
        </w:tc>
      </w:tr>
      <w:tr w:rsidR="009F0307" w:rsidTr="0047282F">
        <w:trPr>
          <w:trHeight w:val="57"/>
          <w:tblHeader/>
        </w:trPr>
        <w:tc>
          <w:tcPr>
            <w:tcW w:w="3638" w:type="dxa"/>
          </w:tcPr>
          <w:p w:rsidR="009F0307" w:rsidRPr="006D6846" w:rsidRDefault="009F0307" w:rsidP="00883D33">
            <w:pPr>
              <w:pStyle w:val="TableText0"/>
              <w:keepLines/>
              <w:spacing w:before="0" w:after="0"/>
            </w:pPr>
            <w:r>
              <w:t xml:space="preserve">OS </w:t>
            </w:r>
            <w:r w:rsidRPr="00F04CBA">
              <w:rPr>
                <w:u w:val="single"/>
              </w:rPr>
              <w:t>interim</w:t>
            </w:r>
            <w:r w:rsidRPr="00F04CBA">
              <w:t xml:space="preserve"> analysis</w:t>
            </w:r>
          </w:p>
        </w:tc>
        <w:tc>
          <w:tcPr>
            <w:tcW w:w="2719" w:type="dxa"/>
          </w:tcPr>
          <w:p w:rsidR="009F0307" w:rsidRPr="00402E6B" w:rsidRDefault="009F0307" w:rsidP="00883D33">
            <w:pPr>
              <w:pStyle w:val="TableText0"/>
              <w:keepLines/>
              <w:spacing w:before="0" w:after="0"/>
              <w:jc w:val="center"/>
            </w:pPr>
          </w:p>
        </w:tc>
        <w:tc>
          <w:tcPr>
            <w:tcW w:w="2660" w:type="dxa"/>
          </w:tcPr>
          <w:p w:rsidR="009F0307" w:rsidRPr="00203966" w:rsidRDefault="009F0307" w:rsidP="00883D33">
            <w:pPr>
              <w:pStyle w:val="TableText0"/>
              <w:keepLines/>
              <w:spacing w:before="0" w:after="0"/>
              <w:jc w:val="center"/>
            </w:pPr>
          </w:p>
        </w:tc>
      </w:tr>
      <w:tr w:rsidR="009F0307" w:rsidTr="0047282F">
        <w:trPr>
          <w:trHeight w:val="57"/>
          <w:tblHeader/>
        </w:trPr>
        <w:tc>
          <w:tcPr>
            <w:tcW w:w="3638" w:type="dxa"/>
          </w:tcPr>
          <w:p w:rsidR="009F0307" w:rsidRPr="006D6846" w:rsidRDefault="009F0307" w:rsidP="00883D33">
            <w:pPr>
              <w:pStyle w:val="TableText0"/>
              <w:keepLines/>
              <w:numPr>
                <w:ilvl w:val="0"/>
                <w:numId w:val="15"/>
              </w:numPr>
              <w:spacing w:before="0" w:after="0"/>
            </w:pPr>
            <w:r>
              <w:t>Deaths n (%)</w:t>
            </w:r>
          </w:p>
        </w:tc>
        <w:tc>
          <w:tcPr>
            <w:tcW w:w="2719" w:type="dxa"/>
          </w:tcPr>
          <w:p w:rsidR="009F0307" w:rsidRPr="00402E6B" w:rsidRDefault="009F0307" w:rsidP="00883D33">
            <w:pPr>
              <w:pStyle w:val="TableText0"/>
              <w:keepLines/>
              <w:spacing w:before="0" w:after="0"/>
              <w:jc w:val="center"/>
            </w:pPr>
            <w:r>
              <w:t>108 (37.6%)</w:t>
            </w:r>
          </w:p>
        </w:tc>
        <w:tc>
          <w:tcPr>
            <w:tcW w:w="2660" w:type="dxa"/>
          </w:tcPr>
          <w:p w:rsidR="009F0307" w:rsidRPr="00203966" w:rsidRDefault="009F0307" w:rsidP="00883D33">
            <w:pPr>
              <w:pStyle w:val="TableText0"/>
              <w:keepLines/>
              <w:spacing w:before="0" w:after="0"/>
              <w:jc w:val="center"/>
            </w:pPr>
            <w:r>
              <w:t>55 (38.2%)</w:t>
            </w:r>
          </w:p>
        </w:tc>
      </w:tr>
      <w:tr w:rsidR="009F0307" w:rsidTr="0047282F">
        <w:trPr>
          <w:trHeight w:val="57"/>
          <w:tblHeader/>
        </w:trPr>
        <w:tc>
          <w:tcPr>
            <w:tcW w:w="3638" w:type="dxa"/>
          </w:tcPr>
          <w:p w:rsidR="009F0307" w:rsidRPr="006D6846" w:rsidRDefault="009F0307" w:rsidP="00883D33">
            <w:pPr>
              <w:pStyle w:val="TableText0"/>
              <w:keepLines/>
              <w:numPr>
                <w:ilvl w:val="0"/>
                <w:numId w:val="15"/>
              </w:numPr>
              <w:spacing w:before="0" w:after="0"/>
            </w:pPr>
            <w:r>
              <w:t>Censored</w:t>
            </w:r>
            <w:r>
              <w:rPr>
                <w:vertAlign w:val="superscript"/>
              </w:rPr>
              <w:t xml:space="preserve"> </w:t>
            </w:r>
            <w:r>
              <w:t>n</w:t>
            </w:r>
            <w:r w:rsidR="006577C6">
              <w:t xml:space="preserve"> </w:t>
            </w:r>
            <w:r>
              <w:t>(%)</w:t>
            </w:r>
          </w:p>
        </w:tc>
        <w:tc>
          <w:tcPr>
            <w:tcW w:w="2719" w:type="dxa"/>
          </w:tcPr>
          <w:p w:rsidR="009F0307" w:rsidRPr="00402E6B" w:rsidRDefault="009F0307" w:rsidP="00883D33">
            <w:pPr>
              <w:pStyle w:val="TableText0"/>
              <w:keepLines/>
              <w:spacing w:before="0" w:after="0"/>
              <w:jc w:val="center"/>
            </w:pPr>
            <w:r>
              <w:t>179 (62.4%)</w:t>
            </w:r>
          </w:p>
        </w:tc>
        <w:tc>
          <w:tcPr>
            <w:tcW w:w="2660" w:type="dxa"/>
          </w:tcPr>
          <w:p w:rsidR="009F0307" w:rsidRPr="00203966" w:rsidRDefault="009F0307" w:rsidP="00883D33">
            <w:pPr>
              <w:pStyle w:val="TableText0"/>
              <w:keepLines/>
              <w:spacing w:before="0" w:after="0"/>
              <w:jc w:val="center"/>
            </w:pPr>
            <w:r>
              <w:t>89 (61.8%)</w:t>
            </w:r>
          </w:p>
        </w:tc>
      </w:tr>
      <w:tr w:rsidR="009F0307" w:rsidTr="0047282F">
        <w:trPr>
          <w:trHeight w:val="57"/>
          <w:tblHeader/>
        </w:trPr>
        <w:tc>
          <w:tcPr>
            <w:tcW w:w="3638" w:type="dxa"/>
          </w:tcPr>
          <w:p w:rsidR="009F0307" w:rsidRPr="006D6846" w:rsidRDefault="009F0307" w:rsidP="00883D33">
            <w:pPr>
              <w:pStyle w:val="TableText0"/>
              <w:keepLines/>
              <w:numPr>
                <w:ilvl w:val="1"/>
                <w:numId w:val="15"/>
              </w:numPr>
              <w:spacing w:before="0" w:after="0"/>
            </w:pPr>
            <w:r>
              <w:t>Alive at analysis cutoff date</w:t>
            </w:r>
          </w:p>
        </w:tc>
        <w:tc>
          <w:tcPr>
            <w:tcW w:w="2719" w:type="dxa"/>
          </w:tcPr>
          <w:p w:rsidR="009F0307" w:rsidRPr="00402E6B" w:rsidRDefault="009F0307" w:rsidP="00883D33">
            <w:pPr>
              <w:pStyle w:val="TableText0"/>
              <w:keepLines/>
              <w:spacing w:before="0" w:after="0"/>
              <w:jc w:val="center"/>
            </w:pPr>
            <w:r>
              <w:t>166 (57.8%)</w:t>
            </w:r>
          </w:p>
        </w:tc>
        <w:tc>
          <w:tcPr>
            <w:tcW w:w="2660" w:type="dxa"/>
          </w:tcPr>
          <w:p w:rsidR="009F0307" w:rsidRPr="00203966" w:rsidRDefault="009F0307" w:rsidP="00883D33">
            <w:pPr>
              <w:pStyle w:val="TableText0"/>
              <w:keepLines/>
              <w:spacing w:before="0" w:after="0"/>
              <w:jc w:val="center"/>
            </w:pPr>
            <w:r>
              <w:t>65 (45.1%)</w:t>
            </w:r>
          </w:p>
        </w:tc>
      </w:tr>
      <w:tr w:rsidR="009F0307" w:rsidTr="0047282F">
        <w:trPr>
          <w:trHeight w:val="57"/>
          <w:tblHeader/>
        </w:trPr>
        <w:tc>
          <w:tcPr>
            <w:tcW w:w="3638" w:type="dxa"/>
          </w:tcPr>
          <w:p w:rsidR="009F0307" w:rsidRPr="006D6846" w:rsidRDefault="009F0307" w:rsidP="00883D33">
            <w:pPr>
              <w:pStyle w:val="TableText0"/>
              <w:keepLines/>
              <w:numPr>
                <w:ilvl w:val="1"/>
                <w:numId w:val="15"/>
              </w:numPr>
              <w:spacing w:before="0" w:after="0"/>
            </w:pPr>
            <w:r>
              <w:t>Loss to follow-up</w:t>
            </w:r>
          </w:p>
        </w:tc>
        <w:tc>
          <w:tcPr>
            <w:tcW w:w="2719" w:type="dxa"/>
          </w:tcPr>
          <w:p w:rsidR="009F0307" w:rsidRPr="00402E6B" w:rsidRDefault="009F0307" w:rsidP="00883D33">
            <w:pPr>
              <w:pStyle w:val="TableText0"/>
              <w:keepLines/>
              <w:spacing w:before="0" w:after="0"/>
              <w:jc w:val="center"/>
            </w:pPr>
            <w:r>
              <w:t>13 (4.5%)</w:t>
            </w:r>
          </w:p>
        </w:tc>
        <w:tc>
          <w:tcPr>
            <w:tcW w:w="2660" w:type="dxa"/>
          </w:tcPr>
          <w:p w:rsidR="009F0307" w:rsidRPr="00203966" w:rsidRDefault="009F0307" w:rsidP="00883D33">
            <w:pPr>
              <w:pStyle w:val="TableText0"/>
              <w:keepLines/>
              <w:spacing w:before="0" w:after="0"/>
              <w:jc w:val="center"/>
            </w:pPr>
            <w:r>
              <w:t>24 (16.7%)</w:t>
            </w:r>
          </w:p>
        </w:tc>
      </w:tr>
      <w:tr w:rsidR="009F0307" w:rsidTr="0047282F">
        <w:trPr>
          <w:trHeight w:val="57"/>
          <w:tblHeader/>
        </w:trPr>
        <w:tc>
          <w:tcPr>
            <w:tcW w:w="3638" w:type="dxa"/>
          </w:tcPr>
          <w:p w:rsidR="009F0307" w:rsidRPr="006D6846" w:rsidRDefault="009F0307" w:rsidP="00883D33">
            <w:pPr>
              <w:pStyle w:val="TableText0"/>
              <w:keepLines/>
              <w:spacing w:before="0" w:after="0"/>
            </w:pPr>
            <w:r>
              <w:t>Duration of O</w:t>
            </w:r>
            <w:r w:rsidRPr="00203966">
              <w:t>S (months)</w:t>
            </w:r>
          </w:p>
        </w:tc>
        <w:tc>
          <w:tcPr>
            <w:tcW w:w="2719" w:type="dxa"/>
          </w:tcPr>
          <w:p w:rsidR="009F0307" w:rsidRPr="00402E6B" w:rsidRDefault="009F0307" w:rsidP="00883D33">
            <w:pPr>
              <w:pStyle w:val="TableText0"/>
              <w:keepLines/>
              <w:spacing w:before="0" w:after="0"/>
              <w:jc w:val="center"/>
            </w:pPr>
          </w:p>
        </w:tc>
        <w:tc>
          <w:tcPr>
            <w:tcW w:w="2660" w:type="dxa"/>
          </w:tcPr>
          <w:p w:rsidR="009F0307" w:rsidRPr="00203966" w:rsidRDefault="009F0307" w:rsidP="00883D33">
            <w:pPr>
              <w:pStyle w:val="TableText0"/>
              <w:keepLines/>
              <w:spacing w:before="0" w:after="0"/>
              <w:jc w:val="center"/>
            </w:pPr>
          </w:p>
        </w:tc>
      </w:tr>
      <w:tr w:rsidR="009F0307" w:rsidTr="0047282F">
        <w:trPr>
          <w:trHeight w:val="57"/>
          <w:tblHeader/>
        </w:trPr>
        <w:tc>
          <w:tcPr>
            <w:tcW w:w="3638" w:type="dxa"/>
          </w:tcPr>
          <w:p w:rsidR="009F0307" w:rsidRPr="006D6846" w:rsidRDefault="009F0307" w:rsidP="00883D33">
            <w:pPr>
              <w:pStyle w:val="TableText0"/>
              <w:keepLines/>
              <w:numPr>
                <w:ilvl w:val="0"/>
                <w:numId w:val="15"/>
              </w:numPr>
              <w:spacing w:before="0" w:after="0"/>
            </w:pPr>
            <w:r w:rsidRPr="007010CE">
              <w:t xml:space="preserve">Median (95% CI) </w:t>
            </w:r>
          </w:p>
        </w:tc>
        <w:tc>
          <w:tcPr>
            <w:tcW w:w="2719" w:type="dxa"/>
          </w:tcPr>
          <w:p w:rsidR="009F0307" w:rsidRPr="00402E6B" w:rsidRDefault="009F0307" w:rsidP="00883D33">
            <w:pPr>
              <w:pStyle w:val="TableText0"/>
              <w:keepLines/>
              <w:spacing w:before="0" w:after="0"/>
              <w:jc w:val="center"/>
            </w:pPr>
            <w:r>
              <w:t>22.3 (18.1, 26.2)</w:t>
            </w:r>
          </w:p>
        </w:tc>
        <w:tc>
          <w:tcPr>
            <w:tcW w:w="2660" w:type="dxa"/>
          </w:tcPr>
          <w:p w:rsidR="009F0307" w:rsidRPr="00203966" w:rsidRDefault="009F0307" w:rsidP="00883D33">
            <w:pPr>
              <w:pStyle w:val="TableText0"/>
              <w:keepLines/>
              <w:spacing w:before="0" w:after="0"/>
              <w:jc w:val="center"/>
            </w:pPr>
            <w:r>
              <w:t>19.5 (16.3, 22.4)</w:t>
            </w:r>
          </w:p>
        </w:tc>
      </w:tr>
      <w:tr w:rsidR="009F0307" w:rsidTr="0047282F">
        <w:trPr>
          <w:trHeight w:val="57"/>
          <w:tblHeader/>
        </w:trPr>
        <w:tc>
          <w:tcPr>
            <w:tcW w:w="3638" w:type="dxa"/>
          </w:tcPr>
          <w:p w:rsidR="009F0307" w:rsidRPr="006D6846" w:rsidRDefault="009F0307" w:rsidP="00883D33">
            <w:pPr>
              <w:pStyle w:val="TableText0"/>
              <w:keepLines/>
              <w:numPr>
                <w:ilvl w:val="0"/>
                <w:numId w:val="15"/>
              </w:numPr>
              <w:spacing w:before="0" w:after="0"/>
            </w:pPr>
            <w:r>
              <w:t>HR</w:t>
            </w:r>
            <w:r w:rsidRPr="006D6846">
              <w:t xml:space="preserve"> (95% CI): stratified</w:t>
            </w:r>
            <w:r w:rsidRPr="006D6846">
              <w:rPr>
                <w:vertAlign w:val="superscript"/>
              </w:rPr>
              <w:t>b</w:t>
            </w:r>
          </w:p>
        </w:tc>
        <w:tc>
          <w:tcPr>
            <w:tcW w:w="5379" w:type="dxa"/>
            <w:gridSpan w:val="2"/>
          </w:tcPr>
          <w:p w:rsidR="009F0307" w:rsidRPr="00203966" w:rsidRDefault="009F0307" w:rsidP="00883D33">
            <w:pPr>
              <w:pStyle w:val="TableText0"/>
              <w:keepLines/>
              <w:spacing w:before="0" w:after="0"/>
              <w:jc w:val="center"/>
            </w:pPr>
            <w:r>
              <w:t>0.76 (0.55, 1.06); p=0.1053</w:t>
            </w:r>
          </w:p>
        </w:tc>
      </w:tr>
      <w:tr w:rsidR="009F0307" w:rsidTr="0047282F">
        <w:trPr>
          <w:trHeight w:val="245"/>
          <w:tblHeader/>
        </w:trPr>
        <w:tc>
          <w:tcPr>
            <w:tcW w:w="3638" w:type="dxa"/>
          </w:tcPr>
          <w:p w:rsidR="009F0307" w:rsidRPr="006D6846" w:rsidRDefault="009F0307" w:rsidP="00D2293B">
            <w:pPr>
              <w:pStyle w:val="TableText0"/>
              <w:keepLines/>
              <w:spacing w:before="0" w:after="0"/>
            </w:pPr>
            <w:r>
              <w:t>O</w:t>
            </w:r>
            <w:r w:rsidRPr="00A151BB">
              <w:t>S probability at month 12 (95% CI)</w:t>
            </w:r>
          </w:p>
        </w:tc>
        <w:tc>
          <w:tcPr>
            <w:tcW w:w="2719" w:type="dxa"/>
          </w:tcPr>
          <w:p w:rsidR="009F0307" w:rsidRPr="00402E6B" w:rsidRDefault="009F0307" w:rsidP="00D2293B">
            <w:pPr>
              <w:pStyle w:val="TableText0"/>
              <w:keepLines/>
              <w:spacing w:before="0" w:after="0"/>
              <w:jc w:val="center"/>
            </w:pPr>
            <w:r>
              <w:t>0.75 (68.6, 79.9)</w:t>
            </w:r>
          </w:p>
        </w:tc>
        <w:tc>
          <w:tcPr>
            <w:tcW w:w="2660" w:type="dxa"/>
          </w:tcPr>
          <w:p w:rsidR="009F0307" w:rsidRPr="00203966" w:rsidRDefault="009F0307" w:rsidP="00D2293B">
            <w:pPr>
              <w:pStyle w:val="TableText0"/>
              <w:keepLines/>
              <w:spacing w:before="0" w:after="0"/>
              <w:jc w:val="center"/>
            </w:pPr>
            <w:r>
              <w:t>0.73 (62.9, 80.4)</w:t>
            </w:r>
          </w:p>
        </w:tc>
      </w:tr>
    </w:tbl>
    <w:p w:rsidR="009F0307" w:rsidRPr="006D6846" w:rsidRDefault="009F0307" w:rsidP="00883D33">
      <w:pPr>
        <w:pStyle w:val="TableFooter"/>
        <w:keepNext/>
        <w:keepLines/>
        <w:widowControl/>
      </w:pPr>
      <w:r w:rsidRPr="006D6846">
        <w:rPr>
          <w:vertAlign w:val="superscript"/>
        </w:rPr>
        <w:t>a.</w:t>
      </w:r>
      <w:r w:rsidR="00A45164">
        <w:rPr>
          <w:vertAlign w:val="superscript"/>
        </w:rPr>
        <w:t xml:space="preserve"> </w:t>
      </w:r>
      <w:r w:rsidRPr="006D6846">
        <w:t>Based on Kaplan-Meier estimates.</w:t>
      </w:r>
    </w:p>
    <w:p w:rsidR="009F0307" w:rsidRDefault="009F0307" w:rsidP="00883D33">
      <w:pPr>
        <w:pStyle w:val="TableFooter"/>
        <w:keepNext/>
        <w:keepLines/>
        <w:widowControl/>
      </w:pPr>
      <w:r w:rsidRPr="006D6846">
        <w:rPr>
          <w:vertAlign w:val="superscript"/>
        </w:rPr>
        <w:t>b.</w:t>
      </w:r>
      <w:r w:rsidR="00A45164">
        <w:rPr>
          <w:vertAlign w:val="superscript"/>
        </w:rPr>
        <w:t xml:space="preserve"> </w:t>
      </w:r>
      <w:r w:rsidRPr="006D6846">
        <w:t>P-value for the primary analysis was based on a stratified log-rank test. Hazard ratio was based on</w:t>
      </w:r>
      <w:r>
        <w:t xml:space="preserve"> </w:t>
      </w:r>
      <w:r w:rsidRPr="006D6846">
        <w:t>stratified Cox regression model with treatment as the only covariate</w:t>
      </w:r>
      <w:r w:rsidR="00225949">
        <w:t xml:space="preserve"> (stratification factors: number of prior cytotoxic chemotherapy regimens, triple negative status, </w:t>
      </w:r>
      <w:r w:rsidR="00E84FD0">
        <w:t>and history</w:t>
      </w:r>
      <w:r w:rsidR="00225949">
        <w:t xml:space="preserve"> of central nervous system)</w:t>
      </w:r>
      <w:r w:rsidR="002E162E">
        <w:t>.</w:t>
      </w:r>
    </w:p>
    <w:p w:rsidR="009F0307" w:rsidRDefault="009F0307" w:rsidP="00883D33">
      <w:pPr>
        <w:pStyle w:val="TableFooter"/>
        <w:keepNext/>
        <w:keepLines/>
        <w:widowControl/>
      </w:pPr>
      <w:r>
        <w:t>NR=not reached; CI=confidence interval; IRF=independent radiology facility; PFS=progression-free survival; OS=overall survival; SoC=standard of care (physician’s choice of chemotherapy treatment)</w:t>
      </w:r>
    </w:p>
    <w:p w:rsidR="009F0307" w:rsidRPr="003F6376" w:rsidRDefault="009F0307" w:rsidP="00883D33">
      <w:pPr>
        <w:pStyle w:val="TableFooter"/>
        <w:keepNext/>
        <w:keepLines/>
        <w:widowControl/>
      </w:pPr>
      <w:r>
        <w:t>Source: Table 2.5.1 and Figure 2.5.4 (pp80 and 89 of the main submission) and Section 11.4.2 of the EMBRACA CSR.</w:t>
      </w:r>
    </w:p>
    <w:p w:rsidR="009F0307" w:rsidRPr="003F6376" w:rsidRDefault="009F0307" w:rsidP="00561C55">
      <w:pPr>
        <w:pStyle w:val="ListParagraph"/>
        <w:widowControl/>
      </w:pPr>
    </w:p>
    <w:p w:rsidR="009F0307" w:rsidRDefault="009F0307" w:rsidP="00561C55">
      <w:pPr>
        <w:pStyle w:val="ListParagraph"/>
        <w:widowControl/>
        <w:numPr>
          <w:ilvl w:val="1"/>
          <w:numId w:val="3"/>
        </w:numPr>
      </w:pPr>
      <w:r>
        <w:lastRenderedPageBreak/>
        <w:t xml:space="preserve">The Kaplan-Meier curves for progression-free survival and overall survival are presented </w:t>
      </w:r>
      <w:r w:rsidR="006B18F9">
        <w:t xml:space="preserve">in </w:t>
      </w:r>
      <w:r w:rsidR="00561C55">
        <w:t xml:space="preserve">Figure </w:t>
      </w:r>
      <w:r w:rsidR="00561C55">
        <w:rPr>
          <w:noProof/>
        </w:rPr>
        <w:t>2</w:t>
      </w:r>
      <w:r w:rsidR="00561C55">
        <w:t xml:space="preserve"> and Figure </w:t>
      </w:r>
      <w:r w:rsidR="00561C55">
        <w:rPr>
          <w:noProof/>
        </w:rPr>
        <w:t>3</w:t>
      </w:r>
      <w:r w:rsidR="006B18F9">
        <w:t>, respectively</w:t>
      </w:r>
      <w:r>
        <w:t>.</w:t>
      </w:r>
    </w:p>
    <w:p w:rsidR="007C1703" w:rsidRDefault="007C1703" w:rsidP="00561C55">
      <w:pPr>
        <w:widowControl/>
      </w:pPr>
    </w:p>
    <w:p w:rsidR="009F0307" w:rsidRDefault="009F0307" w:rsidP="00883D33">
      <w:pPr>
        <w:pStyle w:val="Caption"/>
        <w:keepNext/>
        <w:keepLines/>
        <w:widowControl/>
      </w:pPr>
      <w:bookmarkStart w:id="8" w:name="_Ref22641268"/>
      <w:r>
        <w:t xml:space="preserve">Figure </w:t>
      </w:r>
      <w:r w:rsidR="005E2D1C">
        <w:rPr>
          <w:noProof/>
        </w:rPr>
        <w:t>2</w:t>
      </w:r>
      <w:bookmarkEnd w:id="8"/>
      <w:r>
        <w:t>: Kaplan-Meier survival curves for progression free survival by IRF (independent review) - September 2017 data cutoff)</w:t>
      </w:r>
    </w:p>
    <w:p w:rsidR="009F0307" w:rsidRDefault="009F0307" w:rsidP="00883D33">
      <w:pPr>
        <w:keepNext/>
        <w:keepLines/>
        <w:widowControl/>
      </w:pPr>
      <w:r>
        <w:rPr>
          <w:noProof/>
          <w:lang w:eastAsia="en-AU"/>
        </w:rPr>
        <w:drawing>
          <wp:inline distT="0" distB="0" distL="0" distR="0" wp14:anchorId="19C031CF" wp14:editId="425BE94D">
            <wp:extent cx="5773003" cy="3779585"/>
            <wp:effectExtent l="0" t="0" r="0" b="0"/>
            <wp:docPr id="4" name="Picture 4" title="Figure 2: Kaplan-Meier survival curves for progression free survival by IRF (independent review) - September 2017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1540" cy="3811362"/>
                    </a:xfrm>
                    <a:prstGeom prst="rect">
                      <a:avLst/>
                    </a:prstGeom>
                    <a:noFill/>
                  </pic:spPr>
                </pic:pic>
              </a:graphicData>
            </a:graphic>
          </wp:inline>
        </w:drawing>
      </w:r>
    </w:p>
    <w:p w:rsidR="009F0307" w:rsidRPr="00DE40FF" w:rsidRDefault="009F0307" w:rsidP="00883D33">
      <w:pPr>
        <w:pStyle w:val="TableFooter"/>
        <w:keepNext/>
        <w:keepLines/>
        <w:widowControl/>
      </w:pPr>
      <w:r w:rsidRPr="00DE40FF">
        <w:t>CI=confidence interval; Cum.=cumulative; Evt=event; IRF=independent review facility; ITT=intent-to-treat; PCT=physician’s choice treatment</w:t>
      </w:r>
      <w:r>
        <w:t xml:space="preserve"> (referred to as standard of care (SoC) in the Commentary)</w:t>
      </w:r>
      <w:r w:rsidRPr="00F6352F">
        <w:t>;</w:t>
      </w:r>
      <w:r w:rsidRPr="00DE40FF">
        <w:t xml:space="preserve"> PFS=progression-free survival</w:t>
      </w:r>
    </w:p>
    <w:p w:rsidR="009F0307" w:rsidRDefault="009F0307" w:rsidP="00883D33">
      <w:pPr>
        <w:pStyle w:val="TableFooter"/>
        <w:keepNext/>
        <w:keepLines/>
        <w:widowControl/>
      </w:pPr>
      <w:r w:rsidRPr="00DE40FF">
        <w:t>Source: Figure 8, p80, EMA European Public Assessment Report for talazoparib.</w:t>
      </w:r>
    </w:p>
    <w:p w:rsidR="009F0307" w:rsidRDefault="009F0307" w:rsidP="00561C55">
      <w:pPr>
        <w:widowControl/>
      </w:pPr>
    </w:p>
    <w:p w:rsidR="009F0307" w:rsidRDefault="009F0307" w:rsidP="00561C55">
      <w:pPr>
        <w:pStyle w:val="Caption"/>
        <w:keepNext/>
        <w:keepLines/>
        <w:widowControl/>
      </w:pPr>
      <w:bookmarkStart w:id="9" w:name="_Ref22641275"/>
      <w:r>
        <w:lastRenderedPageBreak/>
        <w:t xml:space="preserve">Figure </w:t>
      </w:r>
      <w:r w:rsidR="005E2D1C">
        <w:rPr>
          <w:noProof/>
        </w:rPr>
        <w:t>3</w:t>
      </w:r>
      <w:bookmarkEnd w:id="9"/>
      <w:r>
        <w:t xml:space="preserve">: </w:t>
      </w:r>
      <w:r w:rsidRPr="00C87914">
        <w:t>Kaplan-Meier curves of duration of overall survival (ITT Population)</w:t>
      </w:r>
      <w:r w:rsidRPr="00B06916">
        <w:t xml:space="preserve"> </w:t>
      </w:r>
      <w:r>
        <w:t>interim analysis - September 2017 data cutoff)</w:t>
      </w:r>
    </w:p>
    <w:p w:rsidR="009F0307" w:rsidRDefault="009F0307" w:rsidP="00561C55">
      <w:pPr>
        <w:widowControl/>
      </w:pPr>
      <w:r>
        <w:rPr>
          <w:noProof/>
          <w:lang w:eastAsia="en-AU"/>
        </w:rPr>
        <w:drawing>
          <wp:inline distT="0" distB="0" distL="0" distR="0" wp14:anchorId="5A0CD617" wp14:editId="6105D2BD">
            <wp:extent cx="5730172" cy="3672231"/>
            <wp:effectExtent l="0" t="0" r="4445" b="4445"/>
            <wp:docPr id="5" name="Picture 5" title="Figure 3: Kaplan-Meier curves of duration of overall survival (ITT Population) interim analysis - September 2017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172" cy="3672231"/>
                    </a:xfrm>
                    <a:prstGeom prst="rect">
                      <a:avLst/>
                    </a:prstGeom>
                    <a:noFill/>
                  </pic:spPr>
                </pic:pic>
              </a:graphicData>
            </a:graphic>
          </wp:inline>
        </w:drawing>
      </w:r>
    </w:p>
    <w:p w:rsidR="009F0307" w:rsidRDefault="009F0307" w:rsidP="00561C55">
      <w:pPr>
        <w:pStyle w:val="TableFooter"/>
        <w:widowControl/>
      </w:pPr>
      <w:r w:rsidRPr="00F6352F">
        <w:t>CI=confidence interval; Cum.=cumulative; Evt=event; ITT=intent-to-treat; PCT=physician</w:t>
      </w:r>
      <w:r w:rsidRPr="00F6352F">
        <w:rPr>
          <w:rFonts w:hint="eastAsia"/>
        </w:rPr>
        <w:t>’</w:t>
      </w:r>
      <w:r w:rsidRPr="00F6352F">
        <w:t>s choice treatment</w:t>
      </w:r>
      <w:r>
        <w:t xml:space="preserve"> (referred to as standard of care (SoC) in the Commentary)</w:t>
      </w:r>
      <w:r w:rsidRPr="00F6352F">
        <w:t>; OS=overall survival</w:t>
      </w:r>
    </w:p>
    <w:p w:rsidR="009F0307" w:rsidRDefault="009F0307" w:rsidP="00561C55">
      <w:pPr>
        <w:pStyle w:val="TableFooter"/>
        <w:widowControl/>
      </w:pPr>
      <w:r w:rsidRPr="00DE40FF">
        <w:t xml:space="preserve">Source: Figure </w:t>
      </w:r>
      <w:r>
        <w:t>9</w:t>
      </w:r>
      <w:r w:rsidRPr="00DE40FF">
        <w:t>, p8</w:t>
      </w:r>
      <w:r>
        <w:t>2</w:t>
      </w:r>
      <w:r w:rsidRPr="00DE40FF">
        <w:t>, EMA European Public Assessment Report for talazoparib.</w:t>
      </w:r>
    </w:p>
    <w:p w:rsidR="009F0307" w:rsidRPr="00FE75B3" w:rsidRDefault="009F0307" w:rsidP="00561C55">
      <w:pPr>
        <w:widowControl/>
      </w:pPr>
    </w:p>
    <w:p w:rsidR="00FF2325" w:rsidRPr="00AA6893" w:rsidRDefault="009F0307" w:rsidP="00561C55">
      <w:pPr>
        <w:pStyle w:val="ListParagraph"/>
        <w:widowControl/>
        <w:numPr>
          <w:ilvl w:val="1"/>
          <w:numId w:val="3"/>
        </w:numPr>
      </w:pPr>
      <w:r w:rsidRPr="00C56DBC">
        <w:t xml:space="preserve">At </w:t>
      </w:r>
      <w:r w:rsidRPr="00AA6893">
        <w:t xml:space="preserve">the September 15 2017 data cut-off, with a median follow up duration of 11.2 months, the median duration of PFS was 8.6 months in the talazoparib arm (95% CI: 7.2, 9.3) and 5.6 months in the SoC arm (95% CI: 4.2, 6.7). Based on a stratified </w:t>
      </w:r>
      <w:r w:rsidR="00526F52" w:rsidRPr="00AA6893">
        <w:t>C</w:t>
      </w:r>
      <w:r w:rsidRPr="00AA6893">
        <w:t xml:space="preserve">ox regression analysis, the HR was 0.54 (95% CI: 0.41, 0.71; p&lt; 0.0001) in favour of the talazoparib arm. The estimated one year PFS rate was higher for the talazoparib treatment arm than for the SoC treatment arm (37% </w:t>
      </w:r>
      <w:r w:rsidR="00FF2325" w:rsidRPr="00AA6893">
        <w:t>vs 20%).</w:t>
      </w:r>
    </w:p>
    <w:p w:rsidR="009F0307" w:rsidRPr="00AA6893" w:rsidRDefault="009F0307" w:rsidP="00561C55">
      <w:pPr>
        <w:pStyle w:val="ListParagraph"/>
        <w:widowControl/>
        <w:numPr>
          <w:ilvl w:val="1"/>
          <w:numId w:val="3"/>
        </w:numPr>
      </w:pPr>
      <w:r w:rsidRPr="00AA6893">
        <w:t xml:space="preserve">The potential impact of censoring on the observed PFS results </w:t>
      </w:r>
      <w:r w:rsidR="00CE7C67" w:rsidRPr="00AA6893">
        <w:t>is unknown</w:t>
      </w:r>
      <w:r w:rsidRPr="00AA6893">
        <w:t xml:space="preserve">. Overall, 162 patients (37.6%) were censored from the primary </w:t>
      </w:r>
      <w:r w:rsidR="00870F22" w:rsidRPr="00AA6893">
        <w:t xml:space="preserve">IRF </w:t>
      </w:r>
      <w:r w:rsidRPr="00AA6893">
        <w:t>analysis (35.2% in the talazoparib treatment arm and 42.4% in the SoC treatment arm). It is unclear whether more patients in the SoC treatment arm being censored was because of change in treatment options (to other anti-neoplastic therapies), possibly due to clinical progressive disease/chemotherapy toxicity.</w:t>
      </w:r>
    </w:p>
    <w:p w:rsidR="002B1533" w:rsidRPr="00587A9F" w:rsidRDefault="00012AB9" w:rsidP="00561C55">
      <w:pPr>
        <w:pStyle w:val="ListParagraph"/>
        <w:widowControl/>
        <w:numPr>
          <w:ilvl w:val="1"/>
          <w:numId w:val="3"/>
        </w:numPr>
      </w:pPr>
      <w:r w:rsidRPr="00587A9F">
        <w:t xml:space="preserve">Investigator assessment </w:t>
      </w:r>
      <w:r w:rsidR="009018AA" w:rsidRPr="00587A9F">
        <w:t xml:space="preserve">(vs IRF assessment) </w:t>
      </w:r>
      <w:r w:rsidRPr="00587A9F">
        <w:t>resulted in a higher number of progression events or deaths in the talazoparib (75.6% vs 64.8%) and SoC (70.8% vs 57.6%) treatment arms, and a smaller benefit in median PFS duration (point estimate) between talazopa</w:t>
      </w:r>
      <w:r w:rsidR="008B2653">
        <w:t>rib and SoC (2.6 vs 3.0 months)</w:t>
      </w:r>
      <w:r w:rsidRPr="00587A9F">
        <w:t xml:space="preserve">. Due to the censoring associated </w:t>
      </w:r>
      <w:r w:rsidRPr="00587A9F">
        <w:lastRenderedPageBreak/>
        <w:t xml:space="preserve">with the initiation of a new antineoplastic therapy prior to IRF progression, PFS as determined by investigators may be more reliable than the </w:t>
      </w:r>
      <w:r w:rsidR="00ED0F0D" w:rsidRPr="00587A9F">
        <w:t xml:space="preserve">more </w:t>
      </w:r>
      <w:r w:rsidRPr="00587A9F">
        <w:t>heavily censored IRF estimate.</w:t>
      </w:r>
      <w:r w:rsidR="00ED0F0D" w:rsidRPr="00587A9F">
        <w:t xml:space="preserve"> </w:t>
      </w:r>
    </w:p>
    <w:p w:rsidR="00CA7A9B" w:rsidRDefault="004211C9" w:rsidP="00561C55">
      <w:pPr>
        <w:pStyle w:val="ListParagraph"/>
        <w:widowControl/>
        <w:numPr>
          <w:ilvl w:val="1"/>
          <w:numId w:val="3"/>
        </w:numPr>
      </w:pPr>
      <w:r w:rsidRPr="00587A9F">
        <w:t xml:space="preserve">The ESC considered that </w:t>
      </w:r>
      <w:r w:rsidR="00A366E6" w:rsidRPr="00587A9F">
        <w:t>the</w:t>
      </w:r>
      <w:r w:rsidRPr="00587A9F">
        <w:t xml:space="preserve"> benefit of talazoparib </w:t>
      </w:r>
      <w:r w:rsidR="00A366E6" w:rsidRPr="00587A9F">
        <w:t>in</w:t>
      </w:r>
      <w:r w:rsidRPr="00587A9F">
        <w:t xml:space="preserve"> clinical practice </w:t>
      </w:r>
      <w:r w:rsidR="004250BC" w:rsidRPr="00587A9F">
        <w:t>would likely be smaller t</w:t>
      </w:r>
      <w:r w:rsidR="00A366E6" w:rsidRPr="00587A9F">
        <w:t>han observed in the trial given the likely</w:t>
      </w:r>
      <w:r w:rsidR="004250BC" w:rsidRPr="00587A9F">
        <w:t xml:space="preserve"> higher proportion of more heavily pre-treatment patients (including a higher proportion of patients treated with prior platinum cytotoxic therapy) </w:t>
      </w:r>
      <w:r w:rsidR="00A366E6" w:rsidRPr="00587A9F">
        <w:t>in clinical practice.</w:t>
      </w:r>
      <w:r w:rsidR="00EA3022" w:rsidRPr="00587A9F">
        <w:t xml:space="preserve"> Further, the ESC considered that the incremental benefit of talazoparib compared with SoC would likely </w:t>
      </w:r>
      <w:r w:rsidR="00D7667E" w:rsidRPr="00587A9F">
        <w:t xml:space="preserve">be smaller </w:t>
      </w:r>
      <w:r w:rsidR="00200BD2" w:rsidRPr="00587A9F">
        <w:t>if platinum</w:t>
      </w:r>
      <w:r w:rsidR="00EA3022" w:rsidRPr="00587A9F">
        <w:t xml:space="preserve"> cytotoxic therapy</w:t>
      </w:r>
      <w:r w:rsidR="00D7667E" w:rsidRPr="00587A9F">
        <w:t xml:space="preserve"> was included</w:t>
      </w:r>
      <w:r w:rsidR="00EA3022" w:rsidRPr="00587A9F">
        <w:t xml:space="preserve"> in the SoC arm of the trial</w:t>
      </w:r>
      <w:r w:rsidR="00D7667E" w:rsidRPr="00587A9F">
        <w:t xml:space="preserve">. </w:t>
      </w:r>
    </w:p>
    <w:p w:rsidR="00012AB9" w:rsidRPr="00587A9F" w:rsidRDefault="00356F1B" w:rsidP="002D7B41">
      <w:pPr>
        <w:pStyle w:val="ListParagraph"/>
        <w:widowControl/>
        <w:numPr>
          <w:ilvl w:val="1"/>
          <w:numId w:val="3"/>
        </w:numPr>
      </w:pPr>
      <w:r>
        <w:t xml:space="preserve">The pre-PBAC response </w:t>
      </w:r>
      <w:r w:rsidR="001C4B4E">
        <w:t xml:space="preserve">noted that </w:t>
      </w:r>
      <w:r w:rsidR="007E4A13">
        <w:t>pre-specified subgroup analyses showed that the treatment effect versus chemotherapy</w:t>
      </w:r>
      <w:r w:rsidR="00BF2E61">
        <w:t>,</w:t>
      </w:r>
      <w:r w:rsidR="007E4A13">
        <w:t xml:space="preserve"> in terms of PFS</w:t>
      </w:r>
      <w:r w:rsidR="00BF2E61">
        <w:t>,</w:t>
      </w:r>
      <w:r w:rsidR="007E4A13">
        <w:t xml:space="preserve"> </w:t>
      </w:r>
      <w:r w:rsidR="00FD07C2">
        <w:t xml:space="preserve">was </w:t>
      </w:r>
      <w:r w:rsidR="004079D2">
        <w:t xml:space="preserve">similar across the subgroups of </w:t>
      </w:r>
      <w:r w:rsidR="00CA7A9B">
        <w:t xml:space="preserve">patients who had received </w:t>
      </w:r>
      <w:r w:rsidR="004079D2">
        <w:t xml:space="preserve">0, 1 and </w:t>
      </w:r>
      <w:r w:rsidR="004079D2">
        <w:rPr>
          <w:rFonts w:cs="Calibri"/>
        </w:rPr>
        <w:t>≥</w:t>
      </w:r>
      <w:r w:rsidR="00517859">
        <w:rPr>
          <w:rFonts w:cs="Calibri"/>
        </w:rPr>
        <w:t>2</w:t>
      </w:r>
      <w:r w:rsidR="004079D2">
        <w:rPr>
          <w:rFonts w:cs="Calibri"/>
        </w:rPr>
        <w:t xml:space="preserve"> prior chemotherapy regimens. </w:t>
      </w:r>
      <w:r w:rsidR="00517859">
        <w:rPr>
          <w:rFonts w:cs="Calibri"/>
        </w:rPr>
        <w:t>Further, the pre-PBAC response noted th</w:t>
      </w:r>
      <w:r w:rsidR="00BF2E61">
        <w:rPr>
          <w:rFonts w:cs="Calibri"/>
        </w:rPr>
        <w:t xml:space="preserve">at </w:t>
      </w:r>
      <w:r w:rsidR="004F1A25">
        <w:rPr>
          <w:rFonts w:cs="Calibri"/>
        </w:rPr>
        <w:t xml:space="preserve">results of </w:t>
      </w:r>
      <w:r w:rsidR="001F354B">
        <w:rPr>
          <w:rFonts w:cs="Calibri"/>
        </w:rPr>
        <w:t>covariate analyses</w:t>
      </w:r>
      <w:r w:rsidR="00517859">
        <w:rPr>
          <w:rFonts w:cs="Calibri"/>
        </w:rPr>
        <w:t xml:space="preserve"> </w:t>
      </w:r>
      <w:r w:rsidR="007F4B63">
        <w:rPr>
          <w:rFonts w:cs="Calibri"/>
        </w:rPr>
        <w:t>o</w:t>
      </w:r>
      <w:r w:rsidR="0036216A">
        <w:rPr>
          <w:rFonts w:cs="Calibri"/>
        </w:rPr>
        <w:t>f</w:t>
      </w:r>
      <w:r w:rsidR="00517859">
        <w:rPr>
          <w:rFonts w:cs="Calibri"/>
        </w:rPr>
        <w:t xml:space="preserve"> the EMBRACA trial</w:t>
      </w:r>
      <w:r w:rsidR="001F354B">
        <w:rPr>
          <w:rFonts w:cs="Calibri"/>
        </w:rPr>
        <w:t xml:space="preserve"> showed</w:t>
      </w:r>
      <w:r w:rsidR="004F1A25">
        <w:rPr>
          <w:rFonts w:cs="Calibri"/>
        </w:rPr>
        <w:t xml:space="preserve"> that </w:t>
      </w:r>
      <w:r w:rsidR="00CA7A9B">
        <w:rPr>
          <w:rFonts w:cs="Calibri"/>
        </w:rPr>
        <w:t xml:space="preserve">prior </w:t>
      </w:r>
      <w:r w:rsidR="004F1A25">
        <w:rPr>
          <w:rFonts w:cs="Calibri"/>
        </w:rPr>
        <w:t xml:space="preserve">platinum </w:t>
      </w:r>
      <w:r w:rsidR="002D7B41">
        <w:rPr>
          <w:rFonts w:cs="Calibri"/>
        </w:rPr>
        <w:t xml:space="preserve">use </w:t>
      </w:r>
      <w:r w:rsidR="004F1A25">
        <w:rPr>
          <w:rFonts w:cs="Calibri"/>
        </w:rPr>
        <w:t xml:space="preserve">did not </w:t>
      </w:r>
      <w:r w:rsidR="00743EC6">
        <w:rPr>
          <w:rFonts w:cs="Calibri"/>
        </w:rPr>
        <w:t>significantly influence</w:t>
      </w:r>
      <w:r w:rsidR="004F1A25">
        <w:rPr>
          <w:rFonts w:cs="Calibri"/>
        </w:rPr>
        <w:t xml:space="preserve"> the treatment</w:t>
      </w:r>
      <w:r w:rsidR="007F4B63">
        <w:rPr>
          <w:rFonts w:cs="Calibri"/>
        </w:rPr>
        <w:t xml:space="preserve"> effect of</w:t>
      </w:r>
      <w:r w:rsidR="004F1A25">
        <w:rPr>
          <w:rFonts w:cs="Calibri"/>
        </w:rPr>
        <w:t xml:space="preserve"> talazoparib. </w:t>
      </w:r>
      <w:r w:rsidR="00D2293B">
        <w:rPr>
          <w:rFonts w:cs="Calibri"/>
        </w:rPr>
        <w:t xml:space="preserve">The PBAC noted that, in subgroup analyses, the HR was higher for patients who had received previous platinum therapy versus those who had not (0.76 vs 0.52). </w:t>
      </w:r>
      <w:r w:rsidR="00724E8E">
        <w:rPr>
          <w:rFonts w:cs="Calibri"/>
        </w:rPr>
        <w:t xml:space="preserve">The PBAC noted </w:t>
      </w:r>
      <w:r w:rsidR="00EB30C7">
        <w:rPr>
          <w:rFonts w:cs="Calibri"/>
        </w:rPr>
        <w:t>the analyses</w:t>
      </w:r>
      <w:r w:rsidR="00D0719A">
        <w:rPr>
          <w:rFonts w:cs="Calibri"/>
        </w:rPr>
        <w:t xml:space="preserve"> of platinum exposure on PFS were based on small patient </w:t>
      </w:r>
      <w:r w:rsidR="0036216A">
        <w:rPr>
          <w:rFonts w:cs="Calibri"/>
        </w:rPr>
        <w:t>numbers</w:t>
      </w:r>
      <w:r w:rsidR="00D0719A">
        <w:rPr>
          <w:rFonts w:cs="Calibri"/>
        </w:rPr>
        <w:t xml:space="preserve"> (</w:t>
      </w:r>
      <w:r w:rsidR="0036216A">
        <w:rPr>
          <w:rFonts w:cs="Calibri"/>
        </w:rPr>
        <w:t xml:space="preserve">only </w:t>
      </w:r>
      <w:r w:rsidR="00D0719A">
        <w:rPr>
          <w:rFonts w:cs="Calibri"/>
        </w:rPr>
        <w:t xml:space="preserve">17.6% of patients </w:t>
      </w:r>
      <w:r w:rsidR="0036216A">
        <w:rPr>
          <w:rFonts w:cs="Calibri"/>
        </w:rPr>
        <w:t>in</w:t>
      </w:r>
      <w:r w:rsidR="00D0719A">
        <w:rPr>
          <w:rFonts w:cs="Calibri"/>
        </w:rPr>
        <w:t xml:space="preserve"> the EMBRACA trial</w:t>
      </w:r>
      <w:r w:rsidR="0036216A">
        <w:rPr>
          <w:rFonts w:cs="Calibri"/>
        </w:rPr>
        <w:t xml:space="preserve"> received prior platinum-based therapy, as </w:t>
      </w:r>
      <w:r w:rsidR="002D7B41">
        <w:rPr>
          <w:rFonts w:cs="Calibri"/>
        </w:rPr>
        <w:t xml:space="preserve">patients with prior-platinum therapy were only eligible </w:t>
      </w:r>
      <w:r w:rsidR="0036216A" w:rsidRPr="0036216A">
        <w:rPr>
          <w:rFonts w:cs="Calibri"/>
        </w:rPr>
        <w:t>following a protocol amendment two</w:t>
      </w:r>
      <w:r w:rsidR="0036216A">
        <w:rPr>
          <w:rFonts w:cs="Calibri"/>
        </w:rPr>
        <w:t>-</w:t>
      </w:r>
      <w:r w:rsidR="0036216A" w:rsidRPr="0036216A">
        <w:rPr>
          <w:rFonts w:cs="Calibri"/>
        </w:rPr>
        <w:t xml:space="preserve">thirds of the </w:t>
      </w:r>
      <w:r w:rsidR="0036216A">
        <w:rPr>
          <w:rFonts w:cs="Calibri"/>
        </w:rPr>
        <w:t xml:space="preserve">way through the </w:t>
      </w:r>
      <w:r w:rsidR="0036216A" w:rsidRPr="0036216A">
        <w:rPr>
          <w:rFonts w:cs="Calibri"/>
        </w:rPr>
        <w:t>trial enrolment period</w:t>
      </w:r>
      <w:r w:rsidR="00D0719A">
        <w:rPr>
          <w:rFonts w:cs="Calibri"/>
        </w:rPr>
        <w:t>)</w:t>
      </w:r>
      <w:r w:rsidR="000E38AF">
        <w:rPr>
          <w:rFonts w:cs="Calibri"/>
        </w:rPr>
        <w:t xml:space="preserve"> and that none of the analyses had been adjusted for multiplicity</w:t>
      </w:r>
      <w:r w:rsidR="00D0719A">
        <w:rPr>
          <w:rFonts w:cs="Calibri"/>
        </w:rPr>
        <w:t xml:space="preserve">. </w:t>
      </w:r>
    </w:p>
    <w:p w:rsidR="00FB00EE" w:rsidRPr="00587A9F" w:rsidRDefault="009F0307" w:rsidP="00561C55">
      <w:pPr>
        <w:pStyle w:val="ListParagraph"/>
        <w:widowControl/>
        <w:numPr>
          <w:ilvl w:val="1"/>
          <w:numId w:val="3"/>
        </w:numPr>
      </w:pPr>
      <w:r w:rsidRPr="00587A9F">
        <w:t>For the interim analysis of OS (data cutoff September 2017</w:t>
      </w:r>
      <w:r w:rsidR="00657831" w:rsidRPr="00587A9F">
        <w:t xml:space="preserve"> with a median follow-up of 11.2 months</w:t>
      </w:r>
      <w:r w:rsidRPr="00587A9F">
        <w:t>), approximately 38% had died in both treatment arms with 62% of</w:t>
      </w:r>
      <w:r w:rsidR="002578A1" w:rsidRPr="00587A9F">
        <w:t xml:space="preserve"> all</w:t>
      </w:r>
      <w:r w:rsidRPr="00587A9F">
        <w:t xml:space="preserve"> patients censored. </w:t>
      </w:r>
      <w:r w:rsidR="00883D33">
        <w:t>T</w:t>
      </w:r>
      <w:r w:rsidRPr="00587A9F">
        <w:t xml:space="preserve">he proportion of </w:t>
      </w:r>
      <w:r w:rsidR="00A45164">
        <w:t>patient’s</w:t>
      </w:r>
      <w:r w:rsidR="00883D33">
        <w:t xml:space="preserve"> </w:t>
      </w:r>
      <w:r w:rsidRPr="00587A9F">
        <w:t>lost-to-follow was much less in the talazoparib treatment arm than in the SoC treatment arm (4.5% vs 16.7%). The difference in median OS was 2.8 months with a 14% reduction in hazard of death in favour of talazoparib, which was not statistically significant</w:t>
      </w:r>
      <w:r w:rsidR="005B47D5" w:rsidRPr="00587A9F">
        <w:t>.</w:t>
      </w:r>
      <w:r w:rsidR="00BC68E3" w:rsidRPr="00587A9F">
        <w:t xml:space="preserve"> </w:t>
      </w:r>
      <w:r w:rsidR="008B2653">
        <w:t>The ESC considered that the magnitude of any incremental OS benefit could not be reliably determined given the immature data, noting that a</w:t>
      </w:r>
      <w:r w:rsidRPr="00587A9F">
        <w:t>nalysis and interpretation of interim OS data when an i</w:t>
      </w:r>
      <w:r w:rsidR="006577C6" w:rsidRPr="00587A9F">
        <w:t>mmature data-cut is analysed have</w:t>
      </w:r>
      <w:r w:rsidRPr="00587A9F">
        <w:t xml:space="preserve"> been shown to be prone to systematic bias</w:t>
      </w:r>
      <w:r w:rsidR="00A9358A" w:rsidRPr="00587A9F">
        <w:rPr>
          <w:rStyle w:val="FootnoteReference"/>
        </w:rPr>
        <w:footnoteReference w:id="5"/>
      </w:r>
      <w:r w:rsidRPr="00587A9F">
        <w:t>.</w:t>
      </w:r>
      <w:r w:rsidR="00C242A4" w:rsidRPr="00587A9F">
        <w:t xml:space="preserve"> </w:t>
      </w:r>
      <w:r w:rsidR="00BC68E3" w:rsidRPr="00587A9F">
        <w:t xml:space="preserve">The ESC considered </w:t>
      </w:r>
      <w:r w:rsidR="00FC5A64" w:rsidRPr="00587A9F">
        <w:t>that</w:t>
      </w:r>
      <w:r w:rsidR="003D2C8F" w:rsidRPr="00587A9F">
        <w:t xml:space="preserve"> the magnitude of any</w:t>
      </w:r>
      <w:r w:rsidR="00FC5A64" w:rsidRPr="00587A9F">
        <w:t xml:space="preserve"> incremental OS benefit could not be reliably determined given the immature data. </w:t>
      </w:r>
    </w:p>
    <w:p w:rsidR="003678A8" w:rsidRDefault="009F0307" w:rsidP="00561C55">
      <w:pPr>
        <w:pStyle w:val="ListParagraph"/>
        <w:widowControl/>
        <w:numPr>
          <w:ilvl w:val="1"/>
          <w:numId w:val="3"/>
        </w:numPr>
      </w:pPr>
      <w:r w:rsidRPr="00AA6893">
        <w:t xml:space="preserve">Treatment with talazoparib improved overall </w:t>
      </w:r>
      <w:r w:rsidR="008B2653">
        <w:t xml:space="preserve">mean </w:t>
      </w:r>
      <w:r w:rsidRPr="00AA6893">
        <w:t>change from baseline in global health status/quality of life (GHS/QoL)</w:t>
      </w:r>
      <w:r w:rsidR="004D668E" w:rsidRPr="00AA6893">
        <w:t xml:space="preserve"> measured by EORT</w:t>
      </w:r>
      <w:r w:rsidR="00E85EFE">
        <w:t>C</w:t>
      </w:r>
      <w:r w:rsidR="004D668E" w:rsidRPr="00AA6893">
        <w:t xml:space="preserve"> QLQ-C30</w:t>
      </w:r>
      <w:r w:rsidR="008B2653">
        <w:t xml:space="preserve"> </w:t>
      </w:r>
      <w:r w:rsidRPr="00AA6893">
        <w:t xml:space="preserve">(3.0 for talazoparib vs -5.4 for SoC; p&lt;0.0001). </w:t>
      </w:r>
      <w:r w:rsidR="00D5581F">
        <w:t>Improvements</w:t>
      </w:r>
      <w:r w:rsidRPr="00AA6893">
        <w:t xml:space="preserve"> were in terms of functional (i.e. </w:t>
      </w:r>
      <w:r w:rsidRPr="00AA6893">
        <w:lastRenderedPageBreak/>
        <w:t>physical, role, emotional, cognitive, social functioning, and body image) and symptom scales (i.e. fatigue, pain, insomnia, appetite loss, systemic therapy side effects, breast symptoms, and arm symptoms). These results should be interpreted in the context of the open-label design of the EMBRACA trial</w:t>
      </w:r>
      <w:r w:rsidR="004D668E" w:rsidRPr="00AA6893">
        <w:t>,</w:t>
      </w:r>
      <w:r w:rsidR="00862A0E" w:rsidRPr="00AA6893">
        <w:t xml:space="preserve"> </w:t>
      </w:r>
      <w:r w:rsidRPr="00AA6893">
        <w:t>the high proportion of censoring/missing data, and the uncertainty regarding the level of compliance with the HRQoL questionnaires</w:t>
      </w:r>
      <w:r w:rsidR="00E3278D" w:rsidRPr="00AA6893">
        <w:t xml:space="preserve"> over the duration of follow up</w:t>
      </w:r>
      <w:r w:rsidRPr="00AA6893">
        <w:t>. No significant differences were observed for any other scales.</w:t>
      </w:r>
    </w:p>
    <w:p w:rsidR="009F0307" w:rsidRPr="00C9624D" w:rsidRDefault="009F0307" w:rsidP="00561C55">
      <w:pPr>
        <w:pStyle w:val="Heading2"/>
        <w:keepLines/>
        <w:widowControl/>
      </w:pPr>
      <w:bookmarkStart w:id="10" w:name="_Toc19717382"/>
      <w:r w:rsidRPr="00C9624D">
        <w:t>Comparative harms</w:t>
      </w:r>
      <w:bookmarkEnd w:id="10"/>
    </w:p>
    <w:p w:rsidR="009F0307" w:rsidRPr="00882085" w:rsidRDefault="009F0307" w:rsidP="00561C55">
      <w:pPr>
        <w:keepLines/>
        <w:widowControl/>
        <w:ind w:left="720" w:hanging="720"/>
      </w:pPr>
    </w:p>
    <w:p w:rsidR="009F0307" w:rsidRPr="00B50DB8" w:rsidRDefault="009F0307" w:rsidP="00561C55">
      <w:pPr>
        <w:pStyle w:val="ListParagraph"/>
        <w:keepLines/>
        <w:widowControl/>
        <w:numPr>
          <w:ilvl w:val="1"/>
          <w:numId w:val="3"/>
        </w:numPr>
      </w:pPr>
      <w:r>
        <w:t>The overall adverse events observed from EMBRACA are presented below.</w:t>
      </w:r>
    </w:p>
    <w:p w:rsidR="009F0307" w:rsidRDefault="009F0307" w:rsidP="00561C55">
      <w:pPr>
        <w:pStyle w:val="Caption"/>
        <w:keepLines/>
        <w:widowControl/>
        <w:rPr>
          <w:rStyle w:val="CommentReference"/>
          <w:b/>
          <w:szCs w:val="18"/>
        </w:rPr>
      </w:pPr>
      <w:r>
        <w:t xml:space="preserve">Table </w:t>
      </w:r>
      <w:r w:rsidR="00112C13">
        <w:rPr>
          <w:noProof/>
        </w:rPr>
        <w:t>5</w:t>
      </w:r>
      <w:r>
        <w:t xml:space="preserve">: </w:t>
      </w:r>
      <w:r w:rsidRPr="00DB4AD2">
        <w:t>Overview of safety in EMBRACA</w:t>
      </w:r>
    </w:p>
    <w:tbl>
      <w:tblPr>
        <w:tblStyle w:val="TableGrid"/>
        <w:tblW w:w="5000" w:type="pct"/>
        <w:tblLook w:val="04A0" w:firstRow="1" w:lastRow="0" w:firstColumn="1" w:lastColumn="0" w:noHBand="0" w:noVBand="1"/>
        <w:tblCaption w:val="Table 5: Overview of safety in EMBRACA"/>
      </w:tblPr>
      <w:tblGrid>
        <w:gridCol w:w="2951"/>
        <w:gridCol w:w="1349"/>
        <w:gridCol w:w="1573"/>
        <w:gridCol w:w="1573"/>
        <w:gridCol w:w="1571"/>
      </w:tblGrid>
      <w:tr w:rsidR="00B72FF8" w:rsidTr="0047282F">
        <w:trPr>
          <w:tblHeader/>
        </w:trPr>
        <w:tc>
          <w:tcPr>
            <w:tcW w:w="1636" w:type="pct"/>
            <w:shd w:val="clear" w:color="auto" w:fill="auto"/>
          </w:tcPr>
          <w:p w:rsidR="00B72FF8" w:rsidRDefault="00B72FF8" w:rsidP="0063106E">
            <w:pPr>
              <w:pStyle w:val="TableText0"/>
              <w:keepNext w:val="0"/>
              <w:keepLines/>
              <w:spacing w:before="0" w:after="0"/>
            </w:pPr>
          </w:p>
        </w:tc>
        <w:tc>
          <w:tcPr>
            <w:tcW w:w="748" w:type="pct"/>
            <w:shd w:val="clear" w:color="auto" w:fill="auto"/>
            <w:vAlign w:val="center"/>
          </w:tcPr>
          <w:p w:rsidR="00B72FF8" w:rsidRPr="00843EB2" w:rsidRDefault="00B72FF8" w:rsidP="0063106E">
            <w:pPr>
              <w:pStyle w:val="TableText0"/>
              <w:keepNext w:val="0"/>
              <w:keepLines/>
              <w:spacing w:before="0" w:after="0"/>
              <w:jc w:val="center"/>
              <w:rPr>
                <w:b/>
              </w:rPr>
            </w:pPr>
            <w:r w:rsidRPr="00843EB2">
              <w:rPr>
                <w:b/>
              </w:rPr>
              <w:t>Talazoparib (N=286)</w:t>
            </w:r>
          </w:p>
          <w:p w:rsidR="00B72FF8" w:rsidRPr="00843EB2" w:rsidRDefault="00B72FF8" w:rsidP="0063106E">
            <w:pPr>
              <w:pStyle w:val="TableText0"/>
              <w:keepNext w:val="0"/>
              <w:keepLines/>
              <w:spacing w:before="0" w:after="0"/>
              <w:jc w:val="center"/>
              <w:rPr>
                <w:b/>
              </w:rPr>
            </w:pPr>
            <w:r w:rsidRPr="00843EB2">
              <w:rPr>
                <w:b/>
              </w:rPr>
              <w:t>n (%)</w:t>
            </w:r>
          </w:p>
        </w:tc>
        <w:tc>
          <w:tcPr>
            <w:tcW w:w="872" w:type="pct"/>
            <w:shd w:val="clear" w:color="auto" w:fill="auto"/>
            <w:vAlign w:val="center"/>
          </w:tcPr>
          <w:p w:rsidR="00B72FF8" w:rsidRPr="00843EB2" w:rsidRDefault="00B72FF8" w:rsidP="0063106E">
            <w:pPr>
              <w:pStyle w:val="TableText0"/>
              <w:keepNext w:val="0"/>
              <w:keepLines/>
              <w:spacing w:before="0" w:after="0"/>
              <w:jc w:val="center"/>
              <w:rPr>
                <w:b/>
              </w:rPr>
            </w:pPr>
            <w:r w:rsidRPr="00843EB2">
              <w:rPr>
                <w:b/>
              </w:rPr>
              <w:t>SoC (N=126)</w:t>
            </w:r>
          </w:p>
          <w:p w:rsidR="00B72FF8" w:rsidRPr="00843EB2" w:rsidRDefault="00B72FF8" w:rsidP="0063106E">
            <w:pPr>
              <w:pStyle w:val="TableText0"/>
              <w:keepNext w:val="0"/>
              <w:keepLines/>
              <w:spacing w:before="0" w:after="0"/>
              <w:jc w:val="center"/>
              <w:rPr>
                <w:b/>
              </w:rPr>
            </w:pPr>
            <w:r w:rsidRPr="00843EB2">
              <w:rPr>
                <w:b/>
              </w:rPr>
              <w:t>n (%)</w:t>
            </w:r>
          </w:p>
        </w:tc>
        <w:tc>
          <w:tcPr>
            <w:tcW w:w="872" w:type="pct"/>
            <w:vAlign w:val="center"/>
          </w:tcPr>
          <w:p w:rsidR="00B72FF8" w:rsidRPr="00587A9F" w:rsidRDefault="00B72FF8" w:rsidP="0063106E">
            <w:pPr>
              <w:pStyle w:val="TableText0"/>
              <w:keepNext w:val="0"/>
              <w:keepLines/>
              <w:spacing w:before="0" w:after="0"/>
              <w:jc w:val="center"/>
              <w:rPr>
                <w:b/>
                <w:szCs w:val="20"/>
              </w:rPr>
            </w:pPr>
            <w:r w:rsidRPr="00587A9F">
              <w:rPr>
                <w:b/>
                <w:szCs w:val="20"/>
              </w:rPr>
              <w:t>RD</w:t>
            </w:r>
            <w:r w:rsidR="004A4BBD" w:rsidRPr="00587A9F">
              <w:rPr>
                <w:b/>
                <w:szCs w:val="20"/>
              </w:rPr>
              <w:t xml:space="preserve"> %</w:t>
            </w:r>
          </w:p>
          <w:p w:rsidR="00B72FF8" w:rsidRPr="00587A9F" w:rsidRDefault="00B72FF8" w:rsidP="0063106E">
            <w:pPr>
              <w:pStyle w:val="TableText0"/>
              <w:keepNext w:val="0"/>
              <w:keepLines/>
              <w:spacing w:before="0" w:after="0"/>
              <w:jc w:val="center"/>
              <w:rPr>
                <w:b/>
                <w:szCs w:val="20"/>
              </w:rPr>
            </w:pPr>
            <w:r w:rsidRPr="00587A9F">
              <w:rPr>
                <w:b/>
                <w:szCs w:val="20"/>
              </w:rPr>
              <w:t>(95% CI)</w:t>
            </w:r>
          </w:p>
        </w:tc>
        <w:tc>
          <w:tcPr>
            <w:tcW w:w="871" w:type="pct"/>
            <w:tcBorders>
              <w:bottom w:val="single" w:sz="4" w:space="0" w:color="auto"/>
            </w:tcBorders>
            <w:vAlign w:val="center"/>
          </w:tcPr>
          <w:p w:rsidR="00B72FF8" w:rsidRPr="00587A9F" w:rsidRDefault="00B72FF8" w:rsidP="0063106E">
            <w:pPr>
              <w:pStyle w:val="TableText0"/>
              <w:keepNext w:val="0"/>
              <w:keepLines/>
              <w:spacing w:before="0" w:after="0"/>
              <w:jc w:val="center"/>
              <w:rPr>
                <w:b/>
                <w:szCs w:val="20"/>
              </w:rPr>
            </w:pPr>
            <w:r w:rsidRPr="00587A9F">
              <w:rPr>
                <w:b/>
                <w:szCs w:val="20"/>
              </w:rPr>
              <w:t>RR</w:t>
            </w:r>
          </w:p>
          <w:p w:rsidR="00B72FF8" w:rsidRPr="00587A9F" w:rsidRDefault="00B72FF8" w:rsidP="0063106E">
            <w:pPr>
              <w:pStyle w:val="TableText0"/>
              <w:keepNext w:val="0"/>
              <w:keepLines/>
              <w:spacing w:before="0" w:after="0"/>
              <w:jc w:val="center"/>
              <w:rPr>
                <w:b/>
                <w:szCs w:val="20"/>
              </w:rPr>
            </w:pPr>
            <w:r w:rsidRPr="00587A9F">
              <w:rPr>
                <w:b/>
                <w:szCs w:val="20"/>
              </w:rPr>
              <w:t>(95% CI)</w:t>
            </w:r>
          </w:p>
        </w:tc>
      </w:tr>
      <w:tr w:rsidR="003D6ED0" w:rsidTr="0047282F">
        <w:trPr>
          <w:tblHeader/>
        </w:trPr>
        <w:tc>
          <w:tcPr>
            <w:tcW w:w="1636" w:type="pct"/>
          </w:tcPr>
          <w:p w:rsidR="003D6ED0" w:rsidRPr="00A75C8A" w:rsidRDefault="003D6ED0" w:rsidP="0063106E">
            <w:pPr>
              <w:pStyle w:val="TableText0"/>
              <w:keepNext w:val="0"/>
              <w:keepLines/>
              <w:spacing w:before="0" w:after="0"/>
            </w:pPr>
            <w:r w:rsidRPr="000B0F08">
              <w:t>Any TEAE</w:t>
            </w:r>
          </w:p>
        </w:tc>
        <w:tc>
          <w:tcPr>
            <w:tcW w:w="748" w:type="pct"/>
            <w:vAlign w:val="center"/>
          </w:tcPr>
          <w:p w:rsidR="003D6ED0" w:rsidRPr="00A75C8A" w:rsidRDefault="003D6ED0" w:rsidP="0063106E">
            <w:pPr>
              <w:pStyle w:val="TableText0"/>
              <w:keepNext w:val="0"/>
              <w:keepLines/>
              <w:spacing w:before="0" w:after="0"/>
              <w:jc w:val="center"/>
            </w:pPr>
            <w:r w:rsidRPr="000B0F08">
              <w:t>282 (98.6)</w:t>
            </w:r>
          </w:p>
        </w:tc>
        <w:tc>
          <w:tcPr>
            <w:tcW w:w="872" w:type="pct"/>
            <w:vAlign w:val="center"/>
          </w:tcPr>
          <w:p w:rsidR="003D6ED0" w:rsidRPr="00A75C8A" w:rsidRDefault="003D6ED0" w:rsidP="0063106E">
            <w:pPr>
              <w:pStyle w:val="TableText0"/>
              <w:keepNext w:val="0"/>
              <w:keepLines/>
              <w:spacing w:before="0" w:after="0"/>
              <w:jc w:val="center"/>
            </w:pPr>
            <w:r w:rsidRPr="000B0F08">
              <w:t>123 (97.6)</w:t>
            </w:r>
          </w:p>
        </w:tc>
        <w:tc>
          <w:tcPr>
            <w:tcW w:w="872" w:type="pct"/>
            <w:tcBorders>
              <w:top w:val="nil"/>
              <w:left w:val="single" w:sz="2" w:space="0" w:color="000000"/>
              <w:bottom w:val="single" w:sz="2" w:space="0" w:color="000000"/>
              <w:right w:val="single" w:sz="4" w:space="0" w:color="auto"/>
            </w:tcBorders>
            <w:shd w:val="clear" w:color="auto" w:fill="FFFFFF"/>
            <w:vAlign w:val="center"/>
          </w:tcPr>
          <w:p w:rsidR="003D6ED0" w:rsidRPr="00587A9F" w:rsidRDefault="003D6ED0" w:rsidP="0063106E">
            <w:pPr>
              <w:pStyle w:val="TableText0"/>
              <w:keepNext w:val="0"/>
              <w:keepLines/>
              <w:spacing w:before="0" w:after="0"/>
              <w:jc w:val="center"/>
              <w:rPr>
                <w:szCs w:val="20"/>
              </w:rPr>
            </w:pPr>
            <w:r w:rsidRPr="00587A9F">
              <w:rPr>
                <w:rFonts w:cs="Arial"/>
                <w:color w:val="000000"/>
                <w:szCs w:val="20"/>
              </w:rPr>
              <w:t>1.0 (-2.0, 4.0)</w:t>
            </w:r>
          </w:p>
        </w:tc>
        <w:tc>
          <w:tcPr>
            <w:tcW w:w="871" w:type="pct"/>
            <w:tcBorders>
              <w:top w:val="single" w:sz="4" w:space="0" w:color="auto"/>
              <w:left w:val="single" w:sz="4" w:space="0" w:color="auto"/>
              <w:bottom w:val="single" w:sz="4" w:space="0" w:color="auto"/>
              <w:right w:val="single" w:sz="4" w:space="0" w:color="auto"/>
            </w:tcBorders>
            <w:shd w:val="clear" w:color="auto" w:fill="FFFFFF"/>
            <w:vAlign w:val="center"/>
          </w:tcPr>
          <w:p w:rsidR="003D6ED0" w:rsidRPr="00587A9F" w:rsidRDefault="003D6ED0" w:rsidP="0063106E">
            <w:pPr>
              <w:pStyle w:val="TableText0"/>
              <w:keepNext w:val="0"/>
              <w:keepLines/>
              <w:spacing w:before="0" w:after="0"/>
              <w:jc w:val="center"/>
              <w:rPr>
                <w:szCs w:val="20"/>
              </w:rPr>
            </w:pPr>
            <w:r w:rsidRPr="00587A9F">
              <w:rPr>
                <w:rFonts w:cs="Arial"/>
                <w:color w:val="000000"/>
                <w:szCs w:val="20"/>
              </w:rPr>
              <w:t>1.0 (0.9, 1.0)</w:t>
            </w:r>
          </w:p>
        </w:tc>
      </w:tr>
      <w:tr w:rsidR="00B72FF8" w:rsidTr="0047282F">
        <w:trPr>
          <w:tblHeader/>
        </w:trPr>
        <w:tc>
          <w:tcPr>
            <w:tcW w:w="1636" w:type="pct"/>
          </w:tcPr>
          <w:p w:rsidR="00B72FF8" w:rsidRPr="00A75C8A" w:rsidRDefault="00B72FF8" w:rsidP="0063106E">
            <w:pPr>
              <w:pStyle w:val="TableText0"/>
              <w:keepNext w:val="0"/>
              <w:keepLines/>
              <w:spacing w:before="0" w:after="0"/>
            </w:pPr>
            <w:r w:rsidRPr="000B0F08">
              <w:t>Grade 3 or 4</w:t>
            </w:r>
          </w:p>
        </w:tc>
        <w:tc>
          <w:tcPr>
            <w:tcW w:w="748" w:type="pct"/>
            <w:vAlign w:val="center"/>
          </w:tcPr>
          <w:p w:rsidR="00B72FF8" w:rsidRPr="00A75C8A" w:rsidRDefault="00B72FF8" w:rsidP="0063106E">
            <w:pPr>
              <w:pStyle w:val="TableText0"/>
              <w:keepNext w:val="0"/>
              <w:keepLines/>
              <w:spacing w:before="0" w:after="0"/>
              <w:jc w:val="center"/>
            </w:pPr>
            <w:r w:rsidRPr="000B0F08">
              <w:t>193 (67.5)</w:t>
            </w:r>
          </w:p>
        </w:tc>
        <w:tc>
          <w:tcPr>
            <w:tcW w:w="872" w:type="pct"/>
            <w:vAlign w:val="center"/>
          </w:tcPr>
          <w:p w:rsidR="00B72FF8" w:rsidRPr="00A75C8A" w:rsidRDefault="00B72FF8" w:rsidP="0063106E">
            <w:pPr>
              <w:pStyle w:val="TableText0"/>
              <w:keepNext w:val="0"/>
              <w:keepLines/>
              <w:spacing w:before="0" w:after="0"/>
              <w:jc w:val="center"/>
            </w:pPr>
            <w:r w:rsidRPr="000B0F08">
              <w:t>80 (63.5)</w:t>
            </w:r>
          </w:p>
        </w:tc>
        <w:tc>
          <w:tcPr>
            <w:tcW w:w="872" w:type="pct"/>
            <w:vAlign w:val="center"/>
          </w:tcPr>
          <w:p w:rsidR="00B72FF8" w:rsidRPr="00587A9F" w:rsidRDefault="00B44F5B" w:rsidP="0063106E">
            <w:pPr>
              <w:pStyle w:val="TableText0"/>
              <w:keepNext w:val="0"/>
              <w:keepLines/>
              <w:spacing w:before="0" w:after="0"/>
              <w:jc w:val="center"/>
              <w:rPr>
                <w:szCs w:val="20"/>
              </w:rPr>
            </w:pPr>
            <w:r w:rsidRPr="00587A9F">
              <w:rPr>
                <w:szCs w:val="20"/>
              </w:rPr>
              <w:t>4.0 (-6.0, 14.0)</w:t>
            </w:r>
          </w:p>
        </w:tc>
        <w:tc>
          <w:tcPr>
            <w:tcW w:w="871" w:type="pct"/>
            <w:tcBorders>
              <w:top w:val="single" w:sz="4" w:space="0" w:color="auto"/>
            </w:tcBorders>
            <w:vAlign w:val="center"/>
          </w:tcPr>
          <w:p w:rsidR="00B72FF8" w:rsidRPr="00587A9F" w:rsidRDefault="0085565C" w:rsidP="0063106E">
            <w:pPr>
              <w:pStyle w:val="TableText0"/>
              <w:keepNext w:val="0"/>
              <w:keepLines/>
              <w:spacing w:before="0" w:after="0"/>
              <w:jc w:val="center"/>
              <w:rPr>
                <w:szCs w:val="20"/>
              </w:rPr>
            </w:pPr>
            <w:r w:rsidRPr="00587A9F">
              <w:rPr>
                <w:szCs w:val="20"/>
              </w:rPr>
              <w:t>1.1 (0.9, 1.2)</w:t>
            </w:r>
          </w:p>
        </w:tc>
      </w:tr>
      <w:tr w:rsidR="00B72FF8" w:rsidTr="0047282F">
        <w:trPr>
          <w:tblHeader/>
        </w:trPr>
        <w:tc>
          <w:tcPr>
            <w:tcW w:w="1636" w:type="pct"/>
          </w:tcPr>
          <w:p w:rsidR="00B72FF8" w:rsidRPr="00A75C8A" w:rsidRDefault="00B72FF8" w:rsidP="0063106E">
            <w:pPr>
              <w:pStyle w:val="TableText0"/>
              <w:keepNext w:val="0"/>
              <w:keepLines/>
              <w:spacing w:before="0" w:after="0"/>
            </w:pPr>
            <w:r w:rsidRPr="000B0F08">
              <w:t>Related to study drug</w:t>
            </w:r>
            <w:r w:rsidRPr="00A75C8A">
              <w:rPr>
                <w:vertAlign w:val="superscript"/>
              </w:rPr>
              <w:t>a</w:t>
            </w:r>
          </w:p>
        </w:tc>
        <w:tc>
          <w:tcPr>
            <w:tcW w:w="748" w:type="pct"/>
            <w:vAlign w:val="center"/>
          </w:tcPr>
          <w:p w:rsidR="00B72FF8" w:rsidRPr="00A75C8A" w:rsidRDefault="00B72FF8" w:rsidP="0063106E">
            <w:pPr>
              <w:pStyle w:val="TableText0"/>
              <w:keepNext w:val="0"/>
              <w:keepLines/>
              <w:spacing w:before="0" w:after="0"/>
              <w:jc w:val="center"/>
            </w:pPr>
            <w:r w:rsidRPr="000B0F08">
              <w:t>254 (88.8)</w:t>
            </w:r>
          </w:p>
        </w:tc>
        <w:tc>
          <w:tcPr>
            <w:tcW w:w="872" w:type="pct"/>
            <w:vAlign w:val="center"/>
          </w:tcPr>
          <w:p w:rsidR="00B72FF8" w:rsidRPr="00A75C8A" w:rsidRDefault="00B72FF8" w:rsidP="0063106E">
            <w:pPr>
              <w:pStyle w:val="TableText0"/>
              <w:keepNext w:val="0"/>
              <w:keepLines/>
              <w:spacing w:before="0" w:after="0"/>
              <w:jc w:val="center"/>
            </w:pPr>
            <w:r w:rsidRPr="000B0F08">
              <w:t>112 (88.9)</w:t>
            </w:r>
          </w:p>
        </w:tc>
        <w:tc>
          <w:tcPr>
            <w:tcW w:w="872" w:type="pct"/>
            <w:vAlign w:val="center"/>
          </w:tcPr>
          <w:p w:rsidR="00B72FF8" w:rsidRPr="00587A9F" w:rsidRDefault="0085565C" w:rsidP="0063106E">
            <w:pPr>
              <w:pStyle w:val="TableText0"/>
              <w:keepNext w:val="0"/>
              <w:keepLines/>
              <w:spacing w:before="0" w:after="0"/>
              <w:jc w:val="center"/>
              <w:rPr>
                <w:szCs w:val="20"/>
              </w:rPr>
            </w:pPr>
            <w:r w:rsidRPr="00587A9F">
              <w:rPr>
                <w:szCs w:val="20"/>
              </w:rPr>
              <w:t>0.1 (-6.7, 6.5)</w:t>
            </w:r>
          </w:p>
        </w:tc>
        <w:tc>
          <w:tcPr>
            <w:tcW w:w="871" w:type="pct"/>
            <w:vAlign w:val="center"/>
          </w:tcPr>
          <w:p w:rsidR="00B72FF8" w:rsidRPr="00587A9F" w:rsidRDefault="0085565C" w:rsidP="0063106E">
            <w:pPr>
              <w:pStyle w:val="TableText0"/>
              <w:keepNext w:val="0"/>
              <w:keepLines/>
              <w:spacing w:before="0" w:after="0"/>
              <w:jc w:val="center"/>
              <w:rPr>
                <w:szCs w:val="20"/>
              </w:rPr>
            </w:pPr>
            <w:r w:rsidRPr="00587A9F">
              <w:rPr>
                <w:szCs w:val="20"/>
              </w:rPr>
              <w:t>1.0 (0.9, 1.1)</w:t>
            </w:r>
          </w:p>
        </w:tc>
      </w:tr>
      <w:tr w:rsidR="00B72FF8" w:rsidTr="0047282F">
        <w:trPr>
          <w:tblHeader/>
        </w:trPr>
        <w:tc>
          <w:tcPr>
            <w:tcW w:w="1636" w:type="pct"/>
          </w:tcPr>
          <w:p w:rsidR="00B72FF8" w:rsidRPr="00A75C8A" w:rsidRDefault="00B72FF8" w:rsidP="0063106E">
            <w:pPr>
              <w:pStyle w:val="TableText0"/>
              <w:keepNext w:val="0"/>
              <w:keepLines/>
              <w:spacing w:before="0" w:after="0"/>
            </w:pPr>
            <w:r>
              <w:t>Deaths due to TEAEs within 30 days</w:t>
            </w:r>
          </w:p>
        </w:tc>
        <w:tc>
          <w:tcPr>
            <w:tcW w:w="748" w:type="pct"/>
            <w:vAlign w:val="center"/>
          </w:tcPr>
          <w:p w:rsidR="00B72FF8" w:rsidRPr="00A75C8A" w:rsidRDefault="00B72FF8" w:rsidP="0063106E">
            <w:pPr>
              <w:pStyle w:val="TableText0"/>
              <w:keepNext w:val="0"/>
              <w:keepLines/>
              <w:spacing w:before="0" w:after="0"/>
              <w:jc w:val="center"/>
            </w:pPr>
            <w:r w:rsidRPr="000B0F08">
              <w:t>6 (2.1)</w:t>
            </w:r>
          </w:p>
        </w:tc>
        <w:tc>
          <w:tcPr>
            <w:tcW w:w="872" w:type="pct"/>
            <w:vAlign w:val="center"/>
          </w:tcPr>
          <w:p w:rsidR="00B72FF8" w:rsidRPr="00A75C8A" w:rsidRDefault="00B72FF8" w:rsidP="0063106E">
            <w:pPr>
              <w:pStyle w:val="TableText0"/>
              <w:keepNext w:val="0"/>
              <w:keepLines/>
              <w:spacing w:before="0" w:after="0"/>
              <w:jc w:val="center"/>
            </w:pPr>
            <w:r w:rsidRPr="000B0F08">
              <w:t>4 (3.2)</w:t>
            </w:r>
          </w:p>
        </w:tc>
        <w:tc>
          <w:tcPr>
            <w:tcW w:w="872" w:type="pct"/>
            <w:vAlign w:val="center"/>
          </w:tcPr>
          <w:p w:rsidR="00B72FF8" w:rsidRPr="00587A9F" w:rsidRDefault="004A4BBD" w:rsidP="0063106E">
            <w:pPr>
              <w:pStyle w:val="TableText0"/>
              <w:keepNext w:val="0"/>
              <w:keepLines/>
              <w:spacing w:before="0" w:after="0"/>
              <w:jc w:val="center"/>
              <w:rPr>
                <w:szCs w:val="20"/>
              </w:rPr>
            </w:pPr>
            <w:r w:rsidRPr="00587A9F">
              <w:rPr>
                <w:szCs w:val="20"/>
              </w:rPr>
              <w:t>-1.0 (-4.5, 2.4)</w:t>
            </w:r>
          </w:p>
        </w:tc>
        <w:tc>
          <w:tcPr>
            <w:tcW w:w="871" w:type="pct"/>
            <w:vAlign w:val="center"/>
          </w:tcPr>
          <w:p w:rsidR="00B72FF8" w:rsidRPr="00587A9F" w:rsidRDefault="004A4BBD" w:rsidP="0063106E">
            <w:pPr>
              <w:pStyle w:val="TableText0"/>
              <w:keepNext w:val="0"/>
              <w:keepLines/>
              <w:spacing w:before="0" w:after="0"/>
              <w:jc w:val="center"/>
              <w:rPr>
                <w:szCs w:val="20"/>
              </w:rPr>
            </w:pPr>
            <w:r w:rsidRPr="00587A9F">
              <w:rPr>
                <w:szCs w:val="20"/>
              </w:rPr>
              <w:t>0.7 (0.2, 2.3)</w:t>
            </w:r>
          </w:p>
        </w:tc>
      </w:tr>
      <w:tr w:rsidR="00B72FF8" w:rsidTr="0047282F">
        <w:trPr>
          <w:tblHeader/>
        </w:trPr>
        <w:tc>
          <w:tcPr>
            <w:tcW w:w="1636" w:type="pct"/>
          </w:tcPr>
          <w:p w:rsidR="00B72FF8" w:rsidRPr="00A75C8A" w:rsidRDefault="00B72FF8" w:rsidP="0063106E">
            <w:pPr>
              <w:pStyle w:val="TableText0"/>
              <w:keepNext w:val="0"/>
              <w:keepLines/>
              <w:spacing w:before="0" w:after="0"/>
            </w:pPr>
            <w:r w:rsidRPr="000B0F08">
              <w:t>Serious</w:t>
            </w:r>
            <w:r>
              <w:t xml:space="preserve"> TEAEs (Serious AEs)</w:t>
            </w:r>
          </w:p>
        </w:tc>
        <w:tc>
          <w:tcPr>
            <w:tcW w:w="748" w:type="pct"/>
            <w:vAlign w:val="center"/>
          </w:tcPr>
          <w:p w:rsidR="00B72FF8" w:rsidRPr="00A75C8A" w:rsidRDefault="00B72FF8" w:rsidP="0063106E">
            <w:pPr>
              <w:pStyle w:val="TableText0"/>
              <w:keepNext w:val="0"/>
              <w:keepLines/>
              <w:spacing w:before="0" w:after="0"/>
              <w:jc w:val="center"/>
            </w:pPr>
            <w:r w:rsidRPr="000B0F08">
              <w:t>91 (31.8)</w:t>
            </w:r>
          </w:p>
        </w:tc>
        <w:tc>
          <w:tcPr>
            <w:tcW w:w="872" w:type="pct"/>
            <w:vAlign w:val="center"/>
          </w:tcPr>
          <w:p w:rsidR="00B72FF8" w:rsidRPr="00A75C8A" w:rsidRDefault="00B72FF8" w:rsidP="0063106E">
            <w:pPr>
              <w:pStyle w:val="TableText0"/>
              <w:keepNext w:val="0"/>
              <w:keepLines/>
              <w:spacing w:before="0" w:after="0"/>
              <w:jc w:val="center"/>
            </w:pPr>
            <w:r w:rsidRPr="000B0F08">
              <w:t>37 (29.4)</w:t>
            </w:r>
          </w:p>
        </w:tc>
        <w:tc>
          <w:tcPr>
            <w:tcW w:w="872" w:type="pct"/>
            <w:vAlign w:val="center"/>
          </w:tcPr>
          <w:p w:rsidR="00B72FF8" w:rsidRPr="00587A9F" w:rsidRDefault="004A4BBD" w:rsidP="0063106E">
            <w:pPr>
              <w:pStyle w:val="TableText0"/>
              <w:keepNext w:val="0"/>
              <w:keepLines/>
              <w:spacing w:before="0" w:after="0"/>
              <w:jc w:val="center"/>
              <w:rPr>
                <w:szCs w:val="20"/>
              </w:rPr>
            </w:pPr>
            <w:r w:rsidRPr="00587A9F">
              <w:rPr>
                <w:szCs w:val="20"/>
              </w:rPr>
              <w:t>2.5 (</w:t>
            </w:r>
            <w:r w:rsidR="009A0F85" w:rsidRPr="00587A9F">
              <w:rPr>
                <w:szCs w:val="20"/>
              </w:rPr>
              <w:t>-7.2, 12.1)</w:t>
            </w:r>
          </w:p>
        </w:tc>
        <w:tc>
          <w:tcPr>
            <w:tcW w:w="871" w:type="pct"/>
            <w:vAlign w:val="center"/>
          </w:tcPr>
          <w:p w:rsidR="00B72FF8" w:rsidRPr="00587A9F" w:rsidRDefault="009A0F85" w:rsidP="0063106E">
            <w:pPr>
              <w:pStyle w:val="TableText0"/>
              <w:keepNext w:val="0"/>
              <w:keepLines/>
              <w:spacing w:before="0" w:after="0"/>
              <w:jc w:val="center"/>
              <w:rPr>
                <w:szCs w:val="20"/>
              </w:rPr>
            </w:pPr>
            <w:r w:rsidRPr="00587A9F">
              <w:rPr>
                <w:szCs w:val="20"/>
              </w:rPr>
              <w:t>1.1 (0.8, 1.5)</w:t>
            </w:r>
          </w:p>
        </w:tc>
      </w:tr>
      <w:tr w:rsidR="00B72FF8" w:rsidTr="0047282F">
        <w:trPr>
          <w:tblHeader/>
        </w:trPr>
        <w:tc>
          <w:tcPr>
            <w:tcW w:w="1636" w:type="pct"/>
          </w:tcPr>
          <w:p w:rsidR="00B72FF8" w:rsidRPr="00A75C8A" w:rsidRDefault="00B72FF8" w:rsidP="0063106E">
            <w:pPr>
              <w:pStyle w:val="TableText0"/>
              <w:keepNext w:val="0"/>
              <w:keepLines/>
              <w:spacing w:before="0" w:after="0"/>
            </w:pPr>
            <w:r w:rsidRPr="000B0F08">
              <w:t xml:space="preserve">Serious </w:t>
            </w:r>
            <w:r>
              <w:t xml:space="preserve">AEs </w:t>
            </w:r>
            <w:r w:rsidRPr="000B0F08">
              <w:t>related to study drug</w:t>
            </w:r>
            <w:r w:rsidRPr="00A75C8A">
              <w:rPr>
                <w:vertAlign w:val="superscript"/>
              </w:rPr>
              <w:t>a</w:t>
            </w:r>
          </w:p>
        </w:tc>
        <w:tc>
          <w:tcPr>
            <w:tcW w:w="748" w:type="pct"/>
            <w:vAlign w:val="center"/>
          </w:tcPr>
          <w:p w:rsidR="00B72FF8" w:rsidRPr="00A75C8A" w:rsidRDefault="00B72FF8" w:rsidP="0063106E">
            <w:pPr>
              <w:pStyle w:val="TableText0"/>
              <w:keepNext w:val="0"/>
              <w:keepLines/>
              <w:spacing w:before="0" w:after="0"/>
              <w:jc w:val="center"/>
            </w:pPr>
            <w:r w:rsidRPr="000B0F08">
              <w:t>26 (9.1)</w:t>
            </w:r>
          </w:p>
        </w:tc>
        <w:tc>
          <w:tcPr>
            <w:tcW w:w="872" w:type="pct"/>
            <w:vAlign w:val="center"/>
          </w:tcPr>
          <w:p w:rsidR="00B72FF8" w:rsidRPr="00A75C8A" w:rsidRDefault="00B72FF8" w:rsidP="0063106E">
            <w:pPr>
              <w:pStyle w:val="TableText0"/>
              <w:keepNext w:val="0"/>
              <w:keepLines/>
              <w:spacing w:before="0" w:after="0"/>
              <w:jc w:val="center"/>
            </w:pPr>
            <w:r w:rsidRPr="000B0F08">
              <w:t>11 (8.7)</w:t>
            </w:r>
          </w:p>
        </w:tc>
        <w:tc>
          <w:tcPr>
            <w:tcW w:w="872" w:type="pct"/>
            <w:vAlign w:val="center"/>
          </w:tcPr>
          <w:p w:rsidR="00B72FF8" w:rsidRPr="00587A9F" w:rsidRDefault="009A0F85" w:rsidP="0063106E">
            <w:pPr>
              <w:pStyle w:val="TableText0"/>
              <w:keepNext w:val="0"/>
              <w:keepLines/>
              <w:spacing w:before="0" w:after="0"/>
              <w:jc w:val="center"/>
              <w:rPr>
                <w:szCs w:val="20"/>
              </w:rPr>
            </w:pPr>
            <w:r w:rsidRPr="00587A9F">
              <w:rPr>
                <w:szCs w:val="20"/>
              </w:rPr>
              <w:t>0.4 (-0.6, 6.3)</w:t>
            </w:r>
          </w:p>
        </w:tc>
        <w:tc>
          <w:tcPr>
            <w:tcW w:w="871" w:type="pct"/>
            <w:vAlign w:val="center"/>
          </w:tcPr>
          <w:p w:rsidR="00B72FF8" w:rsidRPr="00587A9F" w:rsidRDefault="009A0F85" w:rsidP="0063106E">
            <w:pPr>
              <w:pStyle w:val="TableText0"/>
              <w:keepNext w:val="0"/>
              <w:keepLines/>
              <w:spacing w:before="0" w:after="0"/>
              <w:jc w:val="center"/>
              <w:rPr>
                <w:szCs w:val="20"/>
              </w:rPr>
            </w:pPr>
            <w:r w:rsidRPr="00587A9F">
              <w:rPr>
                <w:szCs w:val="20"/>
              </w:rPr>
              <w:t>1.0 (0.5, 2.0)</w:t>
            </w:r>
          </w:p>
        </w:tc>
      </w:tr>
      <w:tr w:rsidR="00B72FF8" w:rsidTr="0047282F">
        <w:trPr>
          <w:tblHeader/>
        </w:trPr>
        <w:tc>
          <w:tcPr>
            <w:tcW w:w="1636" w:type="pct"/>
          </w:tcPr>
          <w:p w:rsidR="00B72FF8" w:rsidRPr="00A75C8A" w:rsidRDefault="00B72FF8" w:rsidP="0063106E">
            <w:pPr>
              <w:pStyle w:val="TableText0"/>
              <w:keepNext w:val="0"/>
              <w:keepLines/>
              <w:spacing w:before="0" w:after="0"/>
            </w:pPr>
            <w:r w:rsidRPr="000B0F08">
              <w:t>Grade 3</w:t>
            </w:r>
            <w:r>
              <w:t>-</w:t>
            </w:r>
            <w:r w:rsidRPr="000B0F08">
              <w:t>4 serious</w:t>
            </w:r>
            <w:r>
              <w:t xml:space="preserve"> AEs</w:t>
            </w:r>
          </w:p>
        </w:tc>
        <w:tc>
          <w:tcPr>
            <w:tcW w:w="748" w:type="pct"/>
            <w:vAlign w:val="center"/>
          </w:tcPr>
          <w:p w:rsidR="00B72FF8" w:rsidRPr="00A75C8A" w:rsidRDefault="00B72FF8" w:rsidP="0063106E">
            <w:pPr>
              <w:pStyle w:val="TableText0"/>
              <w:keepNext w:val="0"/>
              <w:keepLines/>
              <w:spacing w:before="0" w:after="0"/>
              <w:jc w:val="center"/>
            </w:pPr>
            <w:r w:rsidRPr="000B0F08">
              <w:t>73 (25.5)</w:t>
            </w:r>
          </w:p>
        </w:tc>
        <w:tc>
          <w:tcPr>
            <w:tcW w:w="872" w:type="pct"/>
            <w:vAlign w:val="center"/>
          </w:tcPr>
          <w:p w:rsidR="00B72FF8" w:rsidRPr="00A75C8A" w:rsidRDefault="00B72FF8" w:rsidP="0063106E">
            <w:pPr>
              <w:pStyle w:val="TableText0"/>
              <w:keepNext w:val="0"/>
              <w:keepLines/>
              <w:spacing w:before="0" w:after="0"/>
              <w:jc w:val="center"/>
            </w:pPr>
            <w:r w:rsidRPr="000B0F08">
              <w:t>32 (25.4)</w:t>
            </w:r>
          </w:p>
        </w:tc>
        <w:tc>
          <w:tcPr>
            <w:tcW w:w="872" w:type="pct"/>
            <w:vAlign w:val="center"/>
          </w:tcPr>
          <w:p w:rsidR="00B72FF8" w:rsidRPr="00587A9F" w:rsidRDefault="009A0F85" w:rsidP="0063106E">
            <w:pPr>
              <w:pStyle w:val="TableText0"/>
              <w:keepNext w:val="0"/>
              <w:keepLines/>
              <w:spacing w:before="0" w:after="0"/>
              <w:jc w:val="center"/>
              <w:rPr>
                <w:szCs w:val="20"/>
              </w:rPr>
            </w:pPr>
            <w:r w:rsidRPr="00587A9F">
              <w:rPr>
                <w:szCs w:val="20"/>
              </w:rPr>
              <w:t>0.1 (-</w:t>
            </w:r>
            <w:r w:rsidR="009F2978" w:rsidRPr="00587A9F">
              <w:rPr>
                <w:szCs w:val="20"/>
              </w:rPr>
              <w:t>9.0</w:t>
            </w:r>
            <w:r w:rsidRPr="00587A9F">
              <w:rPr>
                <w:szCs w:val="20"/>
              </w:rPr>
              <w:t xml:space="preserve">, </w:t>
            </w:r>
            <w:r w:rsidR="009F2978" w:rsidRPr="00587A9F">
              <w:rPr>
                <w:szCs w:val="20"/>
              </w:rPr>
              <w:t>9.3</w:t>
            </w:r>
            <w:r w:rsidRPr="00587A9F">
              <w:rPr>
                <w:szCs w:val="20"/>
              </w:rPr>
              <w:t>)</w:t>
            </w:r>
          </w:p>
        </w:tc>
        <w:tc>
          <w:tcPr>
            <w:tcW w:w="871" w:type="pct"/>
            <w:vAlign w:val="center"/>
          </w:tcPr>
          <w:p w:rsidR="00B72FF8" w:rsidRPr="00587A9F" w:rsidRDefault="009F2978" w:rsidP="0063106E">
            <w:pPr>
              <w:pStyle w:val="TableText0"/>
              <w:keepNext w:val="0"/>
              <w:keepLines/>
              <w:spacing w:before="0" w:after="0"/>
              <w:jc w:val="center"/>
              <w:rPr>
                <w:szCs w:val="20"/>
              </w:rPr>
            </w:pPr>
            <w:r w:rsidRPr="00587A9F">
              <w:rPr>
                <w:szCs w:val="20"/>
              </w:rPr>
              <w:t>1.0 (0.7, 1.4)</w:t>
            </w:r>
          </w:p>
        </w:tc>
      </w:tr>
      <w:tr w:rsidR="00B72FF8" w:rsidTr="0047282F">
        <w:trPr>
          <w:tblHeader/>
        </w:trPr>
        <w:tc>
          <w:tcPr>
            <w:tcW w:w="1636" w:type="pct"/>
          </w:tcPr>
          <w:p w:rsidR="00B72FF8" w:rsidRPr="00A75C8A" w:rsidRDefault="00B72FF8" w:rsidP="0063106E">
            <w:pPr>
              <w:pStyle w:val="TableText0"/>
              <w:keepNext w:val="0"/>
              <w:keepLines/>
              <w:spacing w:before="0" w:after="0"/>
            </w:pPr>
            <w:r w:rsidRPr="000B0F08">
              <w:t>Grade 3</w:t>
            </w:r>
            <w:r>
              <w:t>-</w:t>
            </w:r>
            <w:r w:rsidRPr="000B0F08">
              <w:t xml:space="preserve">4 </w:t>
            </w:r>
            <w:r>
              <w:t xml:space="preserve">serious AEs </w:t>
            </w:r>
            <w:r w:rsidRPr="000B0F08">
              <w:t>related to study drug</w:t>
            </w:r>
            <w:r w:rsidRPr="00A75C8A">
              <w:rPr>
                <w:vertAlign w:val="superscript"/>
              </w:rPr>
              <w:t>a</w:t>
            </w:r>
          </w:p>
        </w:tc>
        <w:tc>
          <w:tcPr>
            <w:tcW w:w="748" w:type="pct"/>
            <w:vAlign w:val="center"/>
          </w:tcPr>
          <w:p w:rsidR="00B72FF8" w:rsidRPr="00A75C8A" w:rsidRDefault="00B72FF8" w:rsidP="0063106E">
            <w:pPr>
              <w:pStyle w:val="TableText0"/>
              <w:keepNext w:val="0"/>
              <w:keepLines/>
              <w:spacing w:before="0" w:after="0"/>
              <w:jc w:val="center"/>
            </w:pPr>
            <w:r w:rsidRPr="000B0F08">
              <w:t>159 (55.6)</w:t>
            </w:r>
          </w:p>
        </w:tc>
        <w:tc>
          <w:tcPr>
            <w:tcW w:w="872" w:type="pct"/>
            <w:vAlign w:val="center"/>
          </w:tcPr>
          <w:p w:rsidR="00B72FF8" w:rsidRPr="00A75C8A" w:rsidRDefault="00B72FF8" w:rsidP="0063106E">
            <w:pPr>
              <w:pStyle w:val="TableText0"/>
              <w:keepNext w:val="0"/>
              <w:keepLines/>
              <w:spacing w:before="0" w:after="0"/>
              <w:jc w:val="center"/>
            </w:pPr>
            <w:r w:rsidRPr="000B0F08">
              <w:t>61 (48.4)</w:t>
            </w:r>
          </w:p>
        </w:tc>
        <w:tc>
          <w:tcPr>
            <w:tcW w:w="872" w:type="pct"/>
            <w:vAlign w:val="center"/>
          </w:tcPr>
          <w:p w:rsidR="00B72FF8" w:rsidRPr="00587A9F" w:rsidRDefault="009F2978" w:rsidP="0063106E">
            <w:pPr>
              <w:pStyle w:val="TableText0"/>
              <w:keepNext w:val="0"/>
              <w:keepLines/>
              <w:spacing w:before="0" w:after="0"/>
              <w:jc w:val="center"/>
              <w:rPr>
                <w:szCs w:val="20"/>
              </w:rPr>
            </w:pPr>
            <w:r w:rsidRPr="00587A9F">
              <w:rPr>
                <w:szCs w:val="20"/>
              </w:rPr>
              <w:t>7.2 (</w:t>
            </w:r>
            <w:r w:rsidR="007E00C7" w:rsidRPr="00587A9F">
              <w:rPr>
                <w:szCs w:val="20"/>
              </w:rPr>
              <w:t>-3.3, 17.6)</w:t>
            </w:r>
          </w:p>
        </w:tc>
        <w:tc>
          <w:tcPr>
            <w:tcW w:w="871" w:type="pct"/>
            <w:vAlign w:val="center"/>
          </w:tcPr>
          <w:p w:rsidR="00B72FF8" w:rsidRPr="00587A9F" w:rsidRDefault="007E00C7" w:rsidP="0063106E">
            <w:pPr>
              <w:pStyle w:val="TableText0"/>
              <w:keepNext w:val="0"/>
              <w:keepLines/>
              <w:spacing w:before="0" w:after="0"/>
              <w:jc w:val="center"/>
              <w:rPr>
                <w:szCs w:val="20"/>
              </w:rPr>
            </w:pPr>
            <w:r w:rsidRPr="00587A9F">
              <w:rPr>
                <w:szCs w:val="20"/>
              </w:rPr>
              <w:t>1.1 (0.9, 1.4)</w:t>
            </w:r>
          </w:p>
        </w:tc>
      </w:tr>
      <w:tr w:rsidR="00B72FF8" w:rsidTr="0047282F">
        <w:trPr>
          <w:tblHeader/>
        </w:trPr>
        <w:tc>
          <w:tcPr>
            <w:tcW w:w="1636" w:type="pct"/>
          </w:tcPr>
          <w:p w:rsidR="00B72FF8" w:rsidRPr="00A75C8A" w:rsidRDefault="00B72FF8" w:rsidP="0063106E">
            <w:pPr>
              <w:pStyle w:val="TableText0"/>
              <w:keepNext w:val="0"/>
              <w:keepLines/>
              <w:spacing w:before="0" w:after="0"/>
            </w:pPr>
            <w:r>
              <w:t>AEs a</w:t>
            </w:r>
            <w:r w:rsidRPr="000B0F08">
              <w:t>ssociated with permanent study drug discontinuation</w:t>
            </w:r>
          </w:p>
        </w:tc>
        <w:tc>
          <w:tcPr>
            <w:tcW w:w="748" w:type="pct"/>
            <w:vAlign w:val="center"/>
          </w:tcPr>
          <w:p w:rsidR="00B72FF8" w:rsidRPr="00A75C8A" w:rsidRDefault="00B72FF8" w:rsidP="0063106E">
            <w:pPr>
              <w:pStyle w:val="TableText0"/>
              <w:keepNext w:val="0"/>
              <w:keepLines/>
              <w:spacing w:before="0" w:after="0"/>
              <w:jc w:val="center"/>
            </w:pPr>
            <w:r w:rsidRPr="000B0F08">
              <w:t>22 (7.7)</w:t>
            </w:r>
          </w:p>
        </w:tc>
        <w:tc>
          <w:tcPr>
            <w:tcW w:w="872" w:type="pct"/>
            <w:vAlign w:val="center"/>
          </w:tcPr>
          <w:p w:rsidR="00B72FF8" w:rsidRPr="00A75C8A" w:rsidRDefault="00B72FF8" w:rsidP="0063106E">
            <w:pPr>
              <w:pStyle w:val="TableText0"/>
              <w:keepNext w:val="0"/>
              <w:keepLines/>
              <w:spacing w:before="0" w:after="0"/>
              <w:jc w:val="center"/>
            </w:pPr>
            <w:r w:rsidRPr="000B0F08">
              <w:t>12 (9.5)</w:t>
            </w:r>
          </w:p>
        </w:tc>
        <w:tc>
          <w:tcPr>
            <w:tcW w:w="872" w:type="pct"/>
            <w:vAlign w:val="center"/>
          </w:tcPr>
          <w:p w:rsidR="00B72FF8" w:rsidRPr="00587A9F" w:rsidRDefault="007E00C7" w:rsidP="0063106E">
            <w:pPr>
              <w:pStyle w:val="TableText0"/>
              <w:keepNext w:val="0"/>
              <w:keepLines/>
              <w:spacing w:before="0" w:after="0"/>
              <w:jc w:val="center"/>
              <w:rPr>
                <w:szCs w:val="20"/>
              </w:rPr>
            </w:pPr>
            <w:r w:rsidRPr="00587A9F">
              <w:rPr>
                <w:szCs w:val="20"/>
              </w:rPr>
              <w:t>-1.8 (-7.8, 4.2)</w:t>
            </w:r>
          </w:p>
        </w:tc>
        <w:tc>
          <w:tcPr>
            <w:tcW w:w="871" w:type="pct"/>
            <w:vAlign w:val="center"/>
          </w:tcPr>
          <w:p w:rsidR="00B72FF8" w:rsidRPr="00587A9F" w:rsidRDefault="007E00C7" w:rsidP="0063106E">
            <w:pPr>
              <w:pStyle w:val="TableText0"/>
              <w:keepNext w:val="0"/>
              <w:keepLines/>
              <w:spacing w:before="0" w:after="0"/>
              <w:jc w:val="center"/>
              <w:rPr>
                <w:szCs w:val="20"/>
              </w:rPr>
            </w:pPr>
            <w:r w:rsidRPr="00587A9F">
              <w:rPr>
                <w:szCs w:val="20"/>
              </w:rPr>
              <w:t>0.8 (0.4, 1.6)</w:t>
            </w:r>
          </w:p>
        </w:tc>
      </w:tr>
      <w:tr w:rsidR="00B72FF8" w:rsidTr="0047282F">
        <w:trPr>
          <w:tblHeader/>
        </w:trPr>
        <w:tc>
          <w:tcPr>
            <w:tcW w:w="1636" w:type="pct"/>
          </w:tcPr>
          <w:p w:rsidR="00B72FF8" w:rsidRPr="00A75C8A" w:rsidRDefault="00B72FF8" w:rsidP="0063106E">
            <w:pPr>
              <w:pStyle w:val="TableText0"/>
              <w:keepNext w:val="0"/>
              <w:keepLines/>
              <w:spacing w:before="0" w:after="0"/>
            </w:pPr>
            <w:r>
              <w:t>AEs a</w:t>
            </w:r>
            <w:r w:rsidRPr="000B0F08">
              <w:t>ssociated with dose modification</w:t>
            </w:r>
          </w:p>
        </w:tc>
        <w:tc>
          <w:tcPr>
            <w:tcW w:w="748" w:type="pct"/>
            <w:vAlign w:val="center"/>
          </w:tcPr>
          <w:p w:rsidR="00B72FF8" w:rsidRPr="00A75C8A" w:rsidRDefault="00B72FF8" w:rsidP="0063106E">
            <w:pPr>
              <w:pStyle w:val="TableText0"/>
              <w:keepNext w:val="0"/>
              <w:keepLines/>
              <w:spacing w:before="0" w:after="0"/>
              <w:jc w:val="center"/>
            </w:pPr>
            <w:r w:rsidRPr="000B0F08">
              <w:t>190 (66.4)</w:t>
            </w:r>
          </w:p>
        </w:tc>
        <w:tc>
          <w:tcPr>
            <w:tcW w:w="872" w:type="pct"/>
            <w:vAlign w:val="center"/>
          </w:tcPr>
          <w:p w:rsidR="00B72FF8" w:rsidRPr="00A75C8A" w:rsidRDefault="00B72FF8" w:rsidP="0063106E">
            <w:pPr>
              <w:pStyle w:val="TableText0"/>
              <w:keepNext w:val="0"/>
              <w:keepLines/>
              <w:spacing w:before="0" w:after="0"/>
              <w:jc w:val="center"/>
            </w:pPr>
            <w:r w:rsidRPr="000B0F08">
              <w:t>75 (59.5)</w:t>
            </w:r>
          </w:p>
        </w:tc>
        <w:tc>
          <w:tcPr>
            <w:tcW w:w="872" w:type="pct"/>
            <w:vAlign w:val="center"/>
          </w:tcPr>
          <w:p w:rsidR="00B72FF8" w:rsidRPr="00587A9F" w:rsidRDefault="00BF1352" w:rsidP="0063106E">
            <w:pPr>
              <w:pStyle w:val="TableText0"/>
              <w:keepNext w:val="0"/>
              <w:keepLines/>
              <w:spacing w:before="0" w:after="0"/>
              <w:jc w:val="center"/>
              <w:rPr>
                <w:szCs w:val="20"/>
              </w:rPr>
            </w:pPr>
            <w:r w:rsidRPr="00587A9F">
              <w:rPr>
                <w:szCs w:val="20"/>
              </w:rPr>
              <w:t>6.9 (3.3, 17.1)</w:t>
            </w:r>
          </w:p>
        </w:tc>
        <w:tc>
          <w:tcPr>
            <w:tcW w:w="871" w:type="pct"/>
            <w:vAlign w:val="center"/>
          </w:tcPr>
          <w:p w:rsidR="00B72FF8" w:rsidRPr="00587A9F" w:rsidRDefault="00BF1352" w:rsidP="0063106E">
            <w:pPr>
              <w:pStyle w:val="TableText0"/>
              <w:keepNext w:val="0"/>
              <w:keepLines/>
              <w:spacing w:before="0" w:after="0"/>
              <w:jc w:val="center"/>
              <w:rPr>
                <w:szCs w:val="20"/>
              </w:rPr>
            </w:pPr>
            <w:r w:rsidRPr="00587A9F">
              <w:rPr>
                <w:szCs w:val="20"/>
              </w:rPr>
              <w:t>1.1 (0.9, 1.3)</w:t>
            </w:r>
          </w:p>
        </w:tc>
      </w:tr>
    </w:tbl>
    <w:p w:rsidR="009F0307" w:rsidRPr="00E231EC" w:rsidRDefault="009F0307" w:rsidP="00561C55">
      <w:pPr>
        <w:pStyle w:val="TableFooter"/>
        <w:keepLines/>
        <w:widowControl/>
      </w:pPr>
      <w:r w:rsidRPr="001202A4">
        <w:rPr>
          <w:vertAlign w:val="superscript"/>
        </w:rPr>
        <w:t xml:space="preserve">a </w:t>
      </w:r>
      <w:r w:rsidR="00A45164">
        <w:rPr>
          <w:vertAlign w:val="superscript"/>
        </w:rPr>
        <w:t xml:space="preserve"> </w:t>
      </w:r>
      <w:r w:rsidRPr="00E231EC">
        <w:t>Assessed by the investigators as possibly, probably, or definitely related to study drug.</w:t>
      </w:r>
    </w:p>
    <w:p w:rsidR="009F0307" w:rsidRPr="00E231EC" w:rsidRDefault="00587A9F" w:rsidP="00561C55">
      <w:pPr>
        <w:pStyle w:val="TableFooter"/>
        <w:keepLines/>
        <w:widowControl/>
      </w:pPr>
      <w:r>
        <w:t xml:space="preserve">RD= risk difference; RR= relative risk; </w:t>
      </w:r>
      <w:r w:rsidR="009F0307" w:rsidRPr="00E231EC">
        <w:t>N=number of evaluable patients; n=number of patients in the category; SoC=standard of care (physician’s choice treatment); TEAE=treatment-emergent adverse event.</w:t>
      </w:r>
    </w:p>
    <w:p w:rsidR="009F0307" w:rsidRDefault="009F0307" w:rsidP="00561C55">
      <w:pPr>
        <w:pStyle w:val="TableFooter"/>
        <w:keepLines/>
        <w:widowControl/>
      </w:pPr>
      <w:r w:rsidRPr="00E231EC">
        <w:t>For all percentages, the denominator is the number of patients in each treatment group within the safety population.</w:t>
      </w:r>
    </w:p>
    <w:p w:rsidR="00587A9F" w:rsidRPr="00E231EC" w:rsidRDefault="00587A9F" w:rsidP="00561C55">
      <w:pPr>
        <w:pStyle w:val="TableFooter"/>
        <w:keepLines/>
        <w:widowControl/>
      </w:pPr>
      <w:r>
        <w:t xml:space="preserve">RD and RR values were calculated during the evaluation. </w:t>
      </w:r>
    </w:p>
    <w:p w:rsidR="009F0307" w:rsidRDefault="009F0307" w:rsidP="00561C55">
      <w:pPr>
        <w:pStyle w:val="TableFooter"/>
        <w:keepLines/>
        <w:widowControl/>
        <w:rPr>
          <w:rStyle w:val="CommentReference"/>
          <w:b w:val="0"/>
          <w:szCs w:val="18"/>
        </w:rPr>
      </w:pPr>
      <w:r w:rsidRPr="00E231EC">
        <w:t>Source: Table 2.5.18, p116 of the submission and Table 33, p33 of the TGA clinical evaluation report</w:t>
      </w:r>
    </w:p>
    <w:p w:rsidR="009F0307" w:rsidRDefault="009F0307" w:rsidP="00561C55">
      <w:pPr>
        <w:pStyle w:val="Caption"/>
        <w:widowControl/>
        <w:rPr>
          <w:rStyle w:val="CommentReference"/>
          <w:rFonts w:asciiTheme="minorHAnsi" w:hAnsiTheme="minorHAnsi"/>
          <w:sz w:val="24"/>
          <w:szCs w:val="24"/>
        </w:rPr>
      </w:pPr>
    </w:p>
    <w:p w:rsidR="009F0307" w:rsidRPr="000C1906" w:rsidRDefault="009F0307" w:rsidP="00561C55">
      <w:pPr>
        <w:pStyle w:val="ListParagraph"/>
        <w:widowControl/>
        <w:numPr>
          <w:ilvl w:val="1"/>
          <w:numId w:val="3"/>
        </w:numPr>
      </w:pPr>
      <w:r w:rsidRPr="000C1906">
        <w:t xml:space="preserve">The </w:t>
      </w:r>
      <w:r w:rsidR="00CD3DEF" w:rsidRPr="000C1906">
        <w:t xml:space="preserve">frequency of </w:t>
      </w:r>
      <w:r w:rsidR="00DE6853" w:rsidRPr="000C1906">
        <w:t xml:space="preserve">treatment-emergent adverse events (TEAEs) </w:t>
      </w:r>
      <w:r w:rsidR="00CD3DEF" w:rsidRPr="000C1906">
        <w:t xml:space="preserve">was high in both </w:t>
      </w:r>
      <w:r w:rsidR="00067494" w:rsidRPr="000C1906">
        <w:t xml:space="preserve">the </w:t>
      </w:r>
      <w:r w:rsidR="00CD3DEF" w:rsidRPr="000C1906">
        <w:t>talazoparib and SoC treatment arms. The overall</w:t>
      </w:r>
      <w:r w:rsidRPr="000C1906">
        <w:t xml:space="preserve"> rates of serious TEAEs were similar (32% for talazoparib and 29% for SoC). The most common serious TEAEs in the talazoparib treatment arm (vs SoC) were anaemia (6% vs 0%), pyrexia (2% vs 2%), vomiting (2% vs 2%) and back pain (2% vs 1%). The most common serious TEAEs in the SoC treatment arm were pleural effusion (6%) and neutropenia (3%). The TGA clinical evaluation report noted (p35) that TEAEs that differed by &gt;5% between the two treatment arms, and that were higher in the talazoparib treatment arm, included: anaemia, thrombocytopenia, fatigue, dizziness, and headache.</w:t>
      </w:r>
    </w:p>
    <w:p w:rsidR="009F0307" w:rsidRPr="000C1906" w:rsidRDefault="00A9358A" w:rsidP="00561C55">
      <w:pPr>
        <w:pStyle w:val="ListParagraph"/>
        <w:widowControl/>
        <w:numPr>
          <w:ilvl w:val="1"/>
          <w:numId w:val="3"/>
        </w:numPr>
      </w:pPr>
      <w:r w:rsidRPr="000C1906">
        <w:t>T</w:t>
      </w:r>
      <w:r w:rsidR="009F0307" w:rsidRPr="000C1906">
        <w:t xml:space="preserve">he overall rates of Grade 3-4 toxicities in EMBRACA were balanced between the talazoparib and SoC treatment arms (25.5% vs 25.4%), </w:t>
      </w:r>
      <w:r w:rsidR="00A14A09" w:rsidRPr="000C1906">
        <w:t>however</w:t>
      </w:r>
      <w:r w:rsidRPr="000C1906">
        <w:t xml:space="preserve"> </w:t>
      </w:r>
      <w:r w:rsidR="009F0307" w:rsidRPr="000C1906">
        <w:t xml:space="preserve">there was a higher </w:t>
      </w:r>
      <w:r w:rsidR="009F0307" w:rsidRPr="000C1906">
        <w:lastRenderedPageBreak/>
        <w:t>rate of haematological Grade 3-4 toxicity in the talazoparib treatment arm (55% vs 38%).</w:t>
      </w:r>
      <w:r w:rsidR="00DE6853" w:rsidRPr="000C1906">
        <w:t xml:space="preserve"> The ESC considered that ove</w:t>
      </w:r>
      <w:r w:rsidR="00D7624F" w:rsidRPr="000C1906">
        <w:t xml:space="preserve">rall, the safety of talazoparib and SoC was comparable. </w:t>
      </w:r>
    </w:p>
    <w:p w:rsidR="009F0307" w:rsidRPr="00C9624D" w:rsidRDefault="009F0307" w:rsidP="00561C55">
      <w:pPr>
        <w:pStyle w:val="Heading2"/>
        <w:keepLines/>
        <w:widowControl/>
      </w:pPr>
      <w:bookmarkStart w:id="11" w:name="_Toc19717383"/>
      <w:r w:rsidRPr="00C9624D">
        <w:t>Benefits/harms</w:t>
      </w:r>
      <w:bookmarkEnd w:id="11"/>
    </w:p>
    <w:p w:rsidR="009F0307" w:rsidRPr="004151CF" w:rsidRDefault="009F0307" w:rsidP="00561C55">
      <w:pPr>
        <w:keepLines/>
        <w:widowControl/>
      </w:pPr>
    </w:p>
    <w:p w:rsidR="009F0307" w:rsidRPr="00B50DB8" w:rsidRDefault="009F0307" w:rsidP="00561C55">
      <w:pPr>
        <w:pStyle w:val="ListParagraph"/>
        <w:keepLines/>
        <w:widowControl/>
        <w:numPr>
          <w:ilvl w:val="1"/>
          <w:numId w:val="3"/>
        </w:numPr>
      </w:pPr>
      <w:r w:rsidRPr="00B50DB8">
        <w:t xml:space="preserve">A summary of the comparative benefits and harms for </w:t>
      </w:r>
      <w:r>
        <w:t>talazoparib</w:t>
      </w:r>
      <w:r w:rsidRPr="00B50DB8">
        <w:t xml:space="preserve"> versus </w:t>
      </w:r>
      <w:r>
        <w:t>SoC</w:t>
      </w:r>
      <w:r w:rsidRPr="00B50DB8">
        <w:t xml:space="preserve"> is presented in the table below. </w:t>
      </w:r>
    </w:p>
    <w:p w:rsidR="009F0307" w:rsidRDefault="00A9358A" w:rsidP="00561C55">
      <w:pPr>
        <w:pStyle w:val="TableHeading"/>
        <w:keepNext w:val="0"/>
        <w:spacing w:after="0"/>
        <w:rPr>
          <w:rStyle w:val="CommentReference"/>
        </w:rPr>
      </w:pPr>
      <w:r>
        <w:t xml:space="preserve">Table </w:t>
      </w:r>
      <w:r w:rsidR="00112C13">
        <w:rPr>
          <w:noProof/>
        </w:rPr>
        <w:t>6</w:t>
      </w:r>
      <w:r w:rsidR="009F0307" w:rsidRPr="00DC41F1">
        <w:t>: Summary of comparative benefits and harms for talazoparib versus SoC</w:t>
      </w:r>
    </w:p>
    <w:tbl>
      <w:tblPr>
        <w:tblStyle w:val="TableGrid"/>
        <w:tblW w:w="5000" w:type="pct"/>
        <w:tblCellMar>
          <w:left w:w="28" w:type="dxa"/>
          <w:right w:w="28" w:type="dxa"/>
        </w:tblCellMar>
        <w:tblLook w:val="04A0" w:firstRow="1" w:lastRow="0" w:firstColumn="1" w:lastColumn="0" w:noHBand="0" w:noVBand="1"/>
        <w:tblCaption w:val="Table 6: Summary of comparative benefits and harms for talazoparib versus SoC"/>
      </w:tblPr>
      <w:tblGrid>
        <w:gridCol w:w="2464"/>
        <w:gridCol w:w="1632"/>
        <w:gridCol w:w="1702"/>
        <w:gridCol w:w="1634"/>
        <w:gridCol w:w="1585"/>
      </w:tblGrid>
      <w:tr w:rsidR="009F0307" w:rsidRPr="00D21946" w:rsidTr="0047282F">
        <w:trPr>
          <w:trHeight w:val="20"/>
          <w:tblHeader/>
        </w:trPr>
        <w:tc>
          <w:tcPr>
            <w:tcW w:w="5000" w:type="pct"/>
            <w:gridSpan w:val="5"/>
            <w:shd w:val="clear" w:color="auto" w:fill="auto"/>
          </w:tcPr>
          <w:p w:rsidR="009F0307" w:rsidRPr="00D21946" w:rsidRDefault="009F0307" w:rsidP="00561C55">
            <w:pPr>
              <w:widowControl/>
              <w:jc w:val="left"/>
              <w:rPr>
                <w:rFonts w:ascii="Arial Narrow" w:eastAsiaTheme="minorHAnsi" w:hAnsi="Arial Narrow" w:cstheme="minorBidi"/>
                <w:b/>
                <w:snapToGrid/>
                <w:sz w:val="20"/>
              </w:rPr>
            </w:pPr>
            <w:r w:rsidRPr="00D21946">
              <w:rPr>
                <w:rFonts w:ascii="Arial Narrow" w:eastAsiaTheme="minorHAnsi" w:hAnsi="Arial Narrow" w:cstheme="minorBidi"/>
                <w:b/>
                <w:snapToGrid/>
                <w:sz w:val="20"/>
              </w:rPr>
              <w:t>Benefits</w:t>
            </w:r>
          </w:p>
        </w:tc>
      </w:tr>
      <w:tr w:rsidR="009F0307" w:rsidRPr="00D21946" w:rsidTr="0047282F">
        <w:trPr>
          <w:trHeight w:val="20"/>
          <w:tblHeader/>
        </w:trPr>
        <w:tc>
          <w:tcPr>
            <w:tcW w:w="5000" w:type="pct"/>
            <w:gridSpan w:val="5"/>
            <w:shd w:val="clear" w:color="auto" w:fill="auto"/>
          </w:tcPr>
          <w:p w:rsidR="009F0307" w:rsidRPr="00A524E8" w:rsidRDefault="009F0307" w:rsidP="00561C55">
            <w:pPr>
              <w:widowControl/>
              <w:jc w:val="left"/>
              <w:rPr>
                <w:rFonts w:ascii="Arial Narrow" w:eastAsiaTheme="minorHAnsi" w:hAnsi="Arial Narrow" w:cstheme="minorBidi"/>
                <w:b/>
                <w:snapToGrid/>
                <w:sz w:val="20"/>
                <w:vertAlign w:val="superscript"/>
              </w:rPr>
            </w:pPr>
            <w:r w:rsidRPr="00D21946">
              <w:rPr>
                <w:rFonts w:ascii="Arial Narrow" w:eastAsiaTheme="minorHAnsi" w:hAnsi="Arial Narrow" w:cstheme="minorBidi"/>
                <w:b/>
                <w:snapToGrid/>
                <w:sz w:val="20"/>
              </w:rPr>
              <w:t xml:space="preserve">Progression free survival (median duration of follow up </w:t>
            </w:r>
            <w:r>
              <w:rPr>
                <w:rFonts w:ascii="Arial Narrow" w:eastAsiaTheme="minorHAnsi" w:hAnsi="Arial Narrow" w:cstheme="minorBidi"/>
                <w:b/>
                <w:snapToGrid/>
                <w:sz w:val="20"/>
              </w:rPr>
              <w:t>11</w:t>
            </w:r>
            <w:r w:rsidRPr="00D21946">
              <w:rPr>
                <w:rFonts w:ascii="Arial Narrow" w:eastAsiaTheme="minorHAnsi" w:hAnsi="Arial Narrow" w:cstheme="minorBidi"/>
                <w:b/>
                <w:snapToGrid/>
                <w:sz w:val="20"/>
              </w:rPr>
              <w:t xml:space="preserve"> months)</w:t>
            </w:r>
            <w:r w:rsidR="00A524E8">
              <w:rPr>
                <w:rFonts w:ascii="Arial Narrow" w:eastAsiaTheme="minorHAnsi" w:hAnsi="Arial Narrow" w:cstheme="minorBidi"/>
                <w:b/>
                <w:snapToGrid/>
                <w:sz w:val="20"/>
              </w:rPr>
              <w:t xml:space="preserve"> </w:t>
            </w:r>
            <w:r w:rsidR="00A524E8">
              <w:rPr>
                <w:rFonts w:ascii="Arial Narrow" w:eastAsiaTheme="minorHAnsi" w:hAnsi="Arial Narrow" w:cstheme="minorBidi"/>
                <w:b/>
                <w:snapToGrid/>
                <w:sz w:val="20"/>
                <w:vertAlign w:val="superscript"/>
              </w:rPr>
              <w:t>a</w:t>
            </w:r>
          </w:p>
        </w:tc>
      </w:tr>
      <w:tr w:rsidR="009F0307" w:rsidRPr="00D21946" w:rsidTr="0047282F">
        <w:trPr>
          <w:trHeight w:val="20"/>
          <w:tblHeader/>
        </w:trPr>
        <w:tc>
          <w:tcPr>
            <w:tcW w:w="1366" w:type="pct"/>
            <w:tcBorders>
              <w:bottom w:val="single" w:sz="4" w:space="0" w:color="auto"/>
            </w:tcBorders>
            <w:shd w:val="clear" w:color="auto" w:fill="auto"/>
          </w:tcPr>
          <w:p w:rsidR="009F0307" w:rsidRPr="00D21946" w:rsidRDefault="009F0307" w:rsidP="00561C55">
            <w:pPr>
              <w:widowControl/>
              <w:jc w:val="left"/>
              <w:rPr>
                <w:rFonts w:ascii="Arial Narrow" w:eastAsiaTheme="minorHAnsi" w:hAnsi="Arial Narrow" w:cstheme="minorBidi"/>
                <w:b/>
                <w:snapToGrid/>
                <w:sz w:val="20"/>
              </w:rPr>
            </w:pPr>
            <w:r w:rsidRPr="00D21946">
              <w:rPr>
                <w:rFonts w:ascii="Arial Narrow" w:eastAsiaTheme="minorHAnsi" w:hAnsi="Arial Narrow" w:cstheme="minorBidi"/>
                <w:b/>
                <w:snapToGrid/>
                <w:sz w:val="20"/>
              </w:rPr>
              <w:t>Event</w:t>
            </w:r>
          </w:p>
        </w:tc>
        <w:tc>
          <w:tcPr>
            <w:tcW w:w="905" w:type="pct"/>
            <w:tcBorders>
              <w:bottom w:val="single" w:sz="4" w:space="0" w:color="auto"/>
            </w:tcBorders>
            <w:shd w:val="clear" w:color="auto" w:fill="auto"/>
          </w:tcPr>
          <w:p w:rsidR="009F0307" w:rsidRPr="00D21946" w:rsidRDefault="00A524E8" w:rsidP="00561C55">
            <w:pPr>
              <w:widowControl/>
              <w:jc w:val="center"/>
              <w:rPr>
                <w:rFonts w:ascii="Arial Narrow" w:eastAsiaTheme="minorHAnsi" w:hAnsi="Arial Narrow" w:cstheme="minorBidi"/>
                <w:b/>
                <w:snapToGrid/>
                <w:sz w:val="20"/>
              </w:rPr>
            </w:pPr>
            <w:r>
              <w:rPr>
                <w:rFonts w:ascii="Arial Narrow" w:eastAsiaTheme="minorHAnsi" w:hAnsi="Arial Narrow" w:cstheme="minorBidi"/>
                <w:b/>
                <w:snapToGrid/>
                <w:sz w:val="20"/>
              </w:rPr>
              <w:t>T</w:t>
            </w:r>
            <w:r w:rsidR="009F0307">
              <w:rPr>
                <w:rFonts w:ascii="Arial Narrow" w:eastAsiaTheme="minorHAnsi" w:hAnsi="Arial Narrow" w:cstheme="minorBidi"/>
                <w:b/>
                <w:snapToGrid/>
                <w:sz w:val="20"/>
              </w:rPr>
              <w:t>alazoparib</w:t>
            </w:r>
          </w:p>
        </w:tc>
        <w:tc>
          <w:tcPr>
            <w:tcW w:w="944" w:type="pct"/>
            <w:tcBorders>
              <w:bottom w:val="single" w:sz="4" w:space="0" w:color="auto"/>
            </w:tcBorders>
            <w:shd w:val="clear" w:color="auto" w:fill="auto"/>
          </w:tcPr>
          <w:p w:rsidR="009F0307" w:rsidRPr="00D21946" w:rsidRDefault="009F0307" w:rsidP="00561C55">
            <w:pPr>
              <w:widowControl/>
              <w:jc w:val="center"/>
              <w:rPr>
                <w:rFonts w:ascii="Arial Narrow" w:eastAsiaTheme="minorHAnsi" w:hAnsi="Arial Narrow" w:cstheme="minorBidi"/>
                <w:b/>
                <w:snapToGrid/>
                <w:sz w:val="20"/>
              </w:rPr>
            </w:pPr>
            <w:r>
              <w:rPr>
                <w:rFonts w:ascii="Arial Narrow" w:eastAsiaTheme="minorHAnsi" w:hAnsi="Arial Narrow" w:cstheme="minorBidi"/>
                <w:b/>
                <w:snapToGrid/>
                <w:sz w:val="20"/>
              </w:rPr>
              <w:t>SoC</w:t>
            </w:r>
          </w:p>
        </w:tc>
        <w:tc>
          <w:tcPr>
            <w:tcW w:w="906" w:type="pct"/>
            <w:tcBorders>
              <w:bottom w:val="single" w:sz="4" w:space="0" w:color="auto"/>
            </w:tcBorders>
            <w:shd w:val="clear" w:color="auto" w:fill="auto"/>
          </w:tcPr>
          <w:p w:rsidR="009F0307" w:rsidRPr="00D21946" w:rsidRDefault="009F0307" w:rsidP="00561C55">
            <w:pPr>
              <w:widowControl/>
              <w:jc w:val="center"/>
              <w:rPr>
                <w:rFonts w:asciiTheme="minorHAnsi" w:eastAsiaTheme="minorHAnsi" w:hAnsiTheme="minorHAnsi" w:cstheme="minorBidi"/>
                <w:b/>
                <w:snapToGrid/>
                <w:sz w:val="20"/>
              </w:rPr>
            </w:pPr>
            <w:r w:rsidRPr="00D21946">
              <w:rPr>
                <w:rFonts w:ascii="Arial Narrow" w:eastAsiaTheme="minorHAnsi" w:hAnsi="Arial Narrow" w:cstheme="minorBidi"/>
                <w:b/>
                <w:snapToGrid/>
                <w:sz w:val="20"/>
              </w:rPr>
              <w:t>Absolute Difference</w:t>
            </w:r>
          </w:p>
        </w:tc>
        <w:tc>
          <w:tcPr>
            <w:tcW w:w="879" w:type="pct"/>
            <w:tcBorders>
              <w:bottom w:val="single" w:sz="4" w:space="0" w:color="auto"/>
            </w:tcBorders>
            <w:shd w:val="clear" w:color="auto" w:fill="auto"/>
          </w:tcPr>
          <w:p w:rsidR="009F0307" w:rsidRPr="00D21946" w:rsidRDefault="009F0307" w:rsidP="00561C55">
            <w:pPr>
              <w:widowControl/>
              <w:jc w:val="center"/>
              <w:rPr>
                <w:rFonts w:ascii="Arial Narrow" w:eastAsiaTheme="minorHAnsi" w:hAnsi="Arial Narrow" w:cstheme="minorBidi"/>
                <w:b/>
                <w:snapToGrid/>
                <w:sz w:val="20"/>
              </w:rPr>
            </w:pPr>
            <w:r w:rsidRPr="00D21946">
              <w:rPr>
                <w:rFonts w:ascii="Arial Narrow" w:eastAsiaTheme="minorHAnsi" w:hAnsi="Arial Narrow" w:cstheme="minorBidi"/>
                <w:b/>
                <w:snapToGrid/>
                <w:sz w:val="20"/>
              </w:rPr>
              <w:t>HR (95% CI)</w:t>
            </w:r>
          </w:p>
        </w:tc>
      </w:tr>
      <w:tr w:rsidR="0063106E" w:rsidRPr="00D21946" w:rsidTr="0047282F">
        <w:trPr>
          <w:trHeight w:val="83"/>
          <w:tblHeader/>
        </w:trPr>
        <w:tc>
          <w:tcPr>
            <w:tcW w:w="1366" w:type="pct"/>
            <w:tcBorders>
              <w:bottom w:val="single" w:sz="4" w:space="0" w:color="auto"/>
              <w:right w:val="single" w:sz="4" w:space="0" w:color="auto"/>
            </w:tcBorders>
            <w:shd w:val="clear" w:color="auto" w:fill="auto"/>
          </w:tcPr>
          <w:p w:rsidR="0063106E" w:rsidRPr="00D21946" w:rsidRDefault="0063106E" w:rsidP="00561C55">
            <w:pPr>
              <w:widowControl/>
              <w:jc w:val="left"/>
              <w:rPr>
                <w:rFonts w:ascii="Arial Narrow" w:eastAsiaTheme="minorHAnsi" w:hAnsi="Arial Narrow" w:cstheme="minorBidi"/>
                <w:snapToGrid/>
                <w:sz w:val="20"/>
              </w:rPr>
            </w:pPr>
            <w:r w:rsidRPr="00D21946">
              <w:rPr>
                <w:rFonts w:ascii="Arial Narrow" w:eastAsiaTheme="minorHAnsi" w:hAnsi="Arial Narrow" w:cstheme="minorBidi"/>
                <w:snapToGrid/>
                <w:sz w:val="20"/>
              </w:rPr>
              <w:t>Progressed, n (%)</w:t>
            </w:r>
          </w:p>
        </w:tc>
        <w:tc>
          <w:tcPr>
            <w:tcW w:w="905" w:type="pct"/>
            <w:tcBorders>
              <w:left w:val="single" w:sz="4" w:space="0" w:color="auto"/>
              <w:bottom w:val="single" w:sz="4" w:space="0" w:color="auto"/>
              <w:right w:val="single" w:sz="4" w:space="0" w:color="auto"/>
            </w:tcBorders>
            <w:shd w:val="clear" w:color="auto" w:fill="auto"/>
          </w:tcPr>
          <w:p w:rsidR="0063106E" w:rsidRPr="00D21946" w:rsidRDefault="0063106E" w:rsidP="00561C55">
            <w:pPr>
              <w:widowControl/>
              <w:jc w:val="center"/>
              <w:rPr>
                <w:rFonts w:ascii="Arial Narrow" w:eastAsiaTheme="minorHAnsi" w:hAnsi="Arial Narrow" w:cstheme="minorBidi"/>
                <w:snapToGrid/>
                <w:sz w:val="20"/>
              </w:rPr>
            </w:pPr>
            <w:r>
              <w:rPr>
                <w:rFonts w:ascii="Arial Narrow" w:eastAsiaTheme="minorHAnsi" w:hAnsi="Arial Narrow" w:cs="Times New Roman"/>
                <w:snapToGrid/>
                <w:sz w:val="20"/>
                <w:szCs w:val="20"/>
              </w:rPr>
              <w:t>186</w:t>
            </w:r>
            <w:r w:rsidRPr="00D21946">
              <w:rPr>
                <w:rFonts w:ascii="Arial Narrow" w:eastAsiaTheme="minorHAnsi" w:hAnsi="Arial Narrow" w:cs="Times New Roman"/>
                <w:snapToGrid/>
                <w:sz w:val="20"/>
                <w:szCs w:val="20"/>
              </w:rPr>
              <w:t>/</w:t>
            </w:r>
            <w:r>
              <w:rPr>
                <w:rFonts w:ascii="Arial Narrow" w:eastAsiaTheme="minorHAnsi" w:hAnsi="Arial Narrow" w:cs="Times New Roman"/>
                <w:snapToGrid/>
                <w:sz w:val="20"/>
                <w:szCs w:val="20"/>
              </w:rPr>
              <w:t>287</w:t>
            </w:r>
            <w:r w:rsidRPr="00D21946">
              <w:rPr>
                <w:rFonts w:ascii="Arial Narrow" w:eastAsiaTheme="minorHAnsi" w:hAnsi="Arial Narrow" w:cs="Times New Roman"/>
                <w:snapToGrid/>
                <w:sz w:val="20"/>
                <w:szCs w:val="20"/>
              </w:rPr>
              <w:t xml:space="preserve"> (</w:t>
            </w:r>
            <w:r>
              <w:rPr>
                <w:rFonts w:ascii="Arial Narrow" w:eastAsiaTheme="minorHAnsi" w:hAnsi="Arial Narrow" w:cs="Times New Roman"/>
                <w:snapToGrid/>
                <w:sz w:val="20"/>
                <w:szCs w:val="20"/>
              </w:rPr>
              <w:t>64.8</w:t>
            </w:r>
            <w:r w:rsidRPr="00D21946">
              <w:rPr>
                <w:rFonts w:ascii="Arial Narrow" w:eastAsiaTheme="minorHAnsi" w:hAnsi="Arial Narrow" w:cs="Times New Roman"/>
                <w:snapToGrid/>
                <w:sz w:val="20"/>
                <w:szCs w:val="20"/>
              </w:rPr>
              <w:t>%)</w:t>
            </w:r>
          </w:p>
        </w:tc>
        <w:tc>
          <w:tcPr>
            <w:tcW w:w="944" w:type="pct"/>
            <w:tcBorders>
              <w:left w:val="single" w:sz="4" w:space="0" w:color="auto"/>
              <w:bottom w:val="single" w:sz="4" w:space="0" w:color="auto"/>
              <w:right w:val="single" w:sz="4" w:space="0" w:color="auto"/>
            </w:tcBorders>
            <w:shd w:val="clear" w:color="auto" w:fill="auto"/>
          </w:tcPr>
          <w:p w:rsidR="0063106E" w:rsidRPr="00D21946" w:rsidRDefault="0063106E" w:rsidP="00561C55">
            <w:pPr>
              <w:widowControl/>
              <w:jc w:val="center"/>
              <w:rPr>
                <w:rFonts w:ascii="Arial Narrow" w:eastAsiaTheme="minorHAnsi" w:hAnsi="Arial Narrow" w:cstheme="minorBidi"/>
                <w:snapToGrid/>
                <w:sz w:val="20"/>
              </w:rPr>
            </w:pPr>
            <w:r>
              <w:rPr>
                <w:rFonts w:ascii="Arial Narrow" w:eastAsiaTheme="minorHAnsi" w:hAnsi="Arial Narrow" w:cs="Times New Roman"/>
                <w:snapToGrid/>
                <w:sz w:val="20"/>
                <w:szCs w:val="20"/>
              </w:rPr>
              <w:t>83</w:t>
            </w:r>
            <w:r w:rsidRPr="00D21946">
              <w:rPr>
                <w:rFonts w:ascii="Arial Narrow" w:eastAsiaTheme="minorHAnsi" w:hAnsi="Arial Narrow" w:cs="Times New Roman"/>
                <w:snapToGrid/>
                <w:sz w:val="20"/>
                <w:szCs w:val="20"/>
              </w:rPr>
              <w:t>/</w:t>
            </w:r>
            <w:r>
              <w:rPr>
                <w:rFonts w:ascii="Arial Narrow" w:eastAsiaTheme="minorHAnsi" w:hAnsi="Arial Narrow" w:cs="Times New Roman"/>
                <w:snapToGrid/>
                <w:sz w:val="20"/>
                <w:szCs w:val="20"/>
              </w:rPr>
              <w:t>144</w:t>
            </w:r>
            <w:r w:rsidRPr="00D21946">
              <w:rPr>
                <w:rFonts w:ascii="Arial Narrow" w:eastAsiaTheme="minorHAnsi" w:hAnsi="Arial Narrow" w:cs="Times New Roman"/>
                <w:snapToGrid/>
                <w:sz w:val="20"/>
                <w:szCs w:val="20"/>
              </w:rPr>
              <w:t xml:space="preserve"> (</w:t>
            </w:r>
            <w:r>
              <w:rPr>
                <w:rFonts w:ascii="Arial Narrow" w:eastAsiaTheme="minorHAnsi" w:hAnsi="Arial Narrow" w:cs="Times New Roman"/>
                <w:snapToGrid/>
                <w:sz w:val="20"/>
                <w:szCs w:val="20"/>
              </w:rPr>
              <w:t>57.6</w:t>
            </w:r>
            <w:r w:rsidRPr="00D21946">
              <w:rPr>
                <w:rFonts w:ascii="Arial Narrow" w:eastAsiaTheme="minorHAnsi" w:hAnsi="Arial Narrow" w:cs="Times New Roman"/>
                <w:snapToGrid/>
                <w:sz w:val="20"/>
                <w:szCs w:val="20"/>
              </w:rPr>
              <w:t>%)</w:t>
            </w:r>
          </w:p>
        </w:tc>
        <w:tc>
          <w:tcPr>
            <w:tcW w:w="906" w:type="pct"/>
            <w:tcBorders>
              <w:left w:val="single" w:sz="4" w:space="0" w:color="auto"/>
              <w:bottom w:val="single" w:sz="4" w:space="0" w:color="auto"/>
              <w:right w:val="single" w:sz="4" w:space="0" w:color="auto"/>
            </w:tcBorders>
            <w:shd w:val="clear" w:color="auto" w:fill="auto"/>
          </w:tcPr>
          <w:p w:rsidR="0063106E" w:rsidRPr="00D21946" w:rsidRDefault="0063106E" w:rsidP="00561C55">
            <w:pPr>
              <w:widowControl/>
              <w:jc w:val="center"/>
              <w:rPr>
                <w:rFonts w:ascii="Arial Narrow" w:eastAsiaTheme="minorHAnsi" w:hAnsi="Arial Narrow" w:cstheme="minorBidi"/>
                <w:snapToGrid/>
                <w:sz w:val="20"/>
              </w:rPr>
            </w:pPr>
          </w:p>
        </w:tc>
        <w:tc>
          <w:tcPr>
            <w:tcW w:w="879" w:type="pct"/>
            <w:vMerge w:val="restart"/>
            <w:tcBorders>
              <w:left w:val="single" w:sz="4" w:space="0" w:color="auto"/>
            </w:tcBorders>
            <w:shd w:val="clear" w:color="auto" w:fill="auto"/>
          </w:tcPr>
          <w:p w:rsidR="0063106E" w:rsidRPr="00D21946" w:rsidRDefault="0063106E" w:rsidP="00561C55">
            <w:pPr>
              <w:widowControl/>
              <w:jc w:val="center"/>
              <w:rPr>
                <w:rFonts w:ascii="Arial Narrow" w:eastAsiaTheme="minorHAnsi" w:hAnsi="Arial Narrow" w:cstheme="minorBidi"/>
                <w:snapToGrid/>
                <w:sz w:val="20"/>
                <w:szCs w:val="20"/>
              </w:rPr>
            </w:pPr>
            <w:r>
              <w:rPr>
                <w:rFonts w:ascii="Arial Narrow" w:eastAsiaTheme="minorHAnsi" w:hAnsi="Arial Narrow" w:cstheme="minorBidi"/>
                <w:snapToGrid/>
                <w:sz w:val="20"/>
                <w:szCs w:val="20"/>
              </w:rPr>
              <w:t>0.54</w:t>
            </w:r>
            <w:r w:rsidRPr="00D21946">
              <w:rPr>
                <w:rFonts w:ascii="Arial Narrow" w:eastAsiaTheme="minorHAnsi" w:hAnsi="Arial Narrow" w:cstheme="minorBidi"/>
                <w:snapToGrid/>
                <w:sz w:val="20"/>
                <w:szCs w:val="20"/>
              </w:rPr>
              <w:t xml:space="preserve"> (</w:t>
            </w:r>
            <w:r>
              <w:rPr>
                <w:rFonts w:ascii="Arial Narrow" w:eastAsiaTheme="minorHAnsi" w:hAnsi="Arial Narrow" w:cstheme="minorBidi"/>
                <w:snapToGrid/>
                <w:sz w:val="20"/>
                <w:szCs w:val="20"/>
              </w:rPr>
              <w:t>0.41, 0.71</w:t>
            </w:r>
            <w:r w:rsidRPr="00D21946">
              <w:rPr>
                <w:rFonts w:ascii="Arial Narrow" w:eastAsiaTheme="minorHAnsi" w:hAnsi="Arial Narrow" w:cstheme="minorBidi"/>
                <w:snapToGrid/>
                <w:sz w:val="20"/>
                <w:szCs w:val="20"/>
              </w:rPr>
              <w:t>)</w:t>
            </w:r>
          </w:p>
          <w:p w:rsidR="0063106E" w:rsidRPr="00D21946" w:rsidRDefault="0063106E" w:rsidP="0063106E">
            <w:pPr>
              <w:widowControl/>
              <w:jc w:val="center"/>
              <w:rPr>
                <w:rFonts w:ascii="Arial Narrow" w:eastAsiaTheme="minorHAnsi" w:hAnsi="Arial Narrow" w:cstheme="minorBidi"/>
                <w:snapToGrid/>
                <w:sz w:val="20"/>
              </w:rPr>
            </w:pPr>
            <w:r>
              <w:rPr>
                <w:rFonts w:ascii="Arial Narrow" w:eastAsiaTheme="minorHAnsi" w:hAnsi="Arial Narrow" w:cstheme="minorBidi"/>
                <w:snapToGrid/>
                <w:sz w:val="20"/>
                <w:szCs w:val="20"/>
              </w:rPr>
              <w:t>p&lt;0.0001</w:t>
            </w:r>
          </w:p>
        </w:tc>
      </w:tr>
      <w:tr w:rsidR="0063106E" w:rsidRPr="00D21946" w:rsidTr="0047282F">
        <w:trPr>
          <w:trHeight w:val="20"/>
          <w:tblHeader/>
        </w:trPr>
        <w:tc>
          <w:tcPr>
            <w:tcW w:w="1366" w:type="pct"/>
            <w:tcBorders>
              <w:bottom w:val="single" w:sz="4" w:space="0" w:color="auto"/>
              <w:right w:val="single" w:sz="4" w:space="0" w:color="auto"/>
            </w:tcBorders>
            <w:shd w:val="clear" w:color="auto" w:fill="auto"/>
          </w:tcPr>
          <w:p w:rsidR="0063106E" w:rsidRPr="00D21946" w:rsidRDefault="0063106E" w:rsidP="00561C55">
            <w:pPr>
              <w:widowControl/>
              <w:jc w:val="left"/>
              <w:rPr>
                <w:rFonts w:ascii="Arial Narrow" w:eastAsiaTheme="minorHAnsi" w:hAnsi="Arial Narrow" w:cstheme="minorBidi"/>
                <w:snapToGrid/>
                <w:sz w:val="20"/>
              </w:rPr>
            </w:pPr>
            <w:r w:rsidRPr="00D21946">
              <w:rPr>
                <w:rFonts w:ascii="Arial Narrow" w:eastAsiaTheme="minorHAnsi" w:hAnsi="Arial Narrow" w:cstheme="minorBidi"/>
                <w:snapToGrid/>
                <w:sz w:val="20"/>
              </w:rPr>
              <w:t>Median PFS (months)</w:t>
            </w:r>
          </w:p>
        </w:tc>
        <w:tc>
          <w:tcPr>
            <w:tcW w:w="905" w:type="pct"/>
            <w:tcBorders>
              <w:left w:val="single" w:sz="4" w:space="0" w:color="auto"/>
              <w:bottom w:val="single" w:sz="4" w:space="0" w:color="auto"/>
              <w:right w:val="single" w:sz="4" w:space="0" w:color="auto"/>
            </w:tcBorders>
            <w:shd w:val="clear" w:color="auto" w:fill="auto"/>
          </w:tcPr>
          <w:p w:rsidR="0063106E" w:rsidRPr="00D21946" w:rsidRDefault="0063106E" w:rsidP="00561C55">
            <w:pPr>
              <w:widowControl/>
              <w:jc w:val="center"/>
              <w:rPr>
                <w:rFonts w:ascii="Arial Narrow" w:eastAsiaTheme="minorHAnsi" w:hAnsi="Arial Narrow" w:cs="Times New Roman"/>
                <w:snapToGrid/>
                <w:sz w:val="20"/>
                <w:szCs w:val="20"/>
              </w:rPr>
            </w:pPr>
            <w:r>
              <w:rPr>
                <w:rFonts w:ascii="Arial Narrow" w:eastAsiaTheme="minorHAnsi" w:hAnsi="Arial Narrow" w:cs="Times New Roman"/>
                <w:snapToGrid/>
                <w:sz w:val="20"/>
                <w:szCs w:val="20"/>
              </w:rPr>
              <w:t>8.6</w:t>
            </w:r>
          </w:p>
        </w:tc>
        <w:tc>
          <w:tcPr>
            <w:tcW w:w="944" w:type="pct"/>
            <w:tcBorders>
              <w:left w:val="single" w:sz="4" w:space="0" w:color="auto"/>
              <w:bottom w:val="single" w:sz="4" w:space="0" w:color="auto"/>
              <w:right w:val="single" w:sz="4" w:space="0" w:color="auto"/>
            </w:tcBorders>
            <w:shd w:val="clear" w:color="auto" w:fill="auto"/>
          </w:tcPr>
          <w:p w:rsidR="0063106E" w:rsidRPr="00D21946" w:rsidRDefault="0063106E" w:rsidP="00561C55">
            <w:pPr>
              <w:widowControl/>
              <w:jc w:val="center"/>
              <w:rPr>
                <w:rFonts w:ascii="Arial Narrow" w:eastAsiaTheme="minorHAnsi" w:hAnsi="Arial Narrow" w:cs="Times New Roman"/>
                <w:snapToGrid/>
                <w:sz w:val="20"/>
                <w:szCs w:val="20"/>
              </w:rPr>
            </w:pPr>
            <w:r>
              <w:rPr>
                <w:rFonts w:ascii="Arial Narrow" w:eastAsiaTheme="minorHAnsi" w:hAnsi="Arial Narrow" w:cs="Times New Roman"/>
                <w:snapToGrid/>
                <w:sz w:val="20"/>
                <w:szCs w:val="20"/>
              </w:rPr>
              <w:t>5.6</w:t>
            </w:r>
          </w:p>
        </w:tc>
        <w:tc>
          <w:tcPr>
            <w:tcW w:w="906" w:type="pct"/>
            <w:tcBorders>
              <w:left w:val="single" w:sz="4" w:space="0" w:color="auto"/>
              <w:bottom w:val="single" w:sz="4" w:space="0" w:color="auto"/>
              <w:right w:val="single" w:sz="4" w:space="0" w:color="auto"/>
            </w:tcBorders>
            <w:shd w:val="clear" w:color="auto" w:fill="auto"/>
          </w:tcPr>
          <w:p w:rsidR="0063106E" w:rsidRPr="00D21946" w:rsidRDefault="0063106E" w:rsidP="00561C55">
            <w:pPr>
              <w:widowControl/>
              <w:jc w:val="center"/>
              <w:rPr>
                <w:rFonts w:ascii="Arial Narrow" w:eastAsiaTheme="minorHAnsi" w:hAnsi="Arial Narrow" w:cstheme="minorBidi"/>
                <w:snapToGrid/>
                <w:sz w:val="20"/>
              </w:rPr>
            </w:pPr>
            <w:r>
              <w:rPr>
                <w:rFonts w:ascii="Arial Narrow" w:eastAsiaTheme="minorHAnsi" w:hAnsi="Arial Narrow" w:cstheme="minorBidi"/>
                <w:snapToGrid/>
                <w:sz w:val="20"/>
              </w:rPr>
              <w:t>3</w:t>
            </w:r>
          </w:p>
        </w:tc>
        <w:tc>
          <w:tcPr>
            <w:tcW w:w="879" w:type="pct"/>
            <w:vMerge/>
            <w:tcBorders>
              <w:left w:val="single" w:sz="4" w:space="0" w:color="auto"/>
            </w:tcBorders>
            <w:shd w:val="clear" w:color="auto" w:fill="auto"/>
          </w:tcPr>
          <w:p w:rsidR="0063106E" w:rsidRPr="00D21946" w:rsidRDefault="0063106E" w:rsidP="00561C55">
            <w:pPr>
              <w:widowControl/>
              <w:jc w:val="center"/>
              <w:rPr>
                <w:rFonts w:ascii="Arial Narrow" w:eastAsiaTheme="minorHAnsi" w:hAnsi="Arial Narrow" w:cstheme="minorBidi"/>
                <w:snapToGrid/>
                <w:sz w:val="20"/>
                <w:szCs w:val="20"/>
              </w:rPr>
            </w:pPr>
          </w:p>
        </w:tc>
      </w:tr>
      <w:tr w:rsidR="0063106E" w:rsidRPr="00D21946" w:rsidTr="0047282F">
        <w:trPr>
          <w:trHeight w:val="20"/>
          <w:tblHeader/>
        </w:trPr>
        <w:tc>
          <w:tcPr>
            <w:tcW w:w="1366" w:type="pct"/>
            <w:tcBorders>
              <w:top w:val="single" w:sz="4" w:space="0" w:color="auto"/>
              <w:bottom w:val="single" w:sz="4" w:space="0" w:color="auto"/>
              <w:right w:val="single" w:sz="4" w:space="0" w:color="auto"/>
            </w:tcBorders>
            <w:shd w:val="clear" w:color="auto" w:fill="auto"/>
          </w:tcPr>
          <w:p w:rsidR="0063106E" w:rsidRPr="00D21946" w:rsidRDefault="0063106E" w:rsidP="00561C55">
            <w:pPr>
              <w:widowControl/>
              <w:jc w:val="left"/>
              <w:rPr>
                <w:rFonts w:ascii="Arial Narrow" w:eastAsiaTheme="minorHAnsi" w:hAnsi="Arial Narrow" w:cstheme="minorBidi"/>
                <w:snapToGrid/>
                <w:sz w:val="20"/>
              </w:rPr>
            </w:pPr>
            <w:r w:rsidRPr="00D21946">
              <w:rPr>
                <w:rFonts w:ascii="Arial Narrow" w:eastAsiaTheme="minorHAnsi" w:hAnsi="Arial Narrow" w:cstheme="minorBidi"/>
                <w:snapToGrid/>
                <w:sz w:val="20"/>
              </w:rPr>
              <w:t xml:space="preserve">% </w:t>
            </w:r>
            <w:r>
              <w:rPr>
                <w:rFonts w:ascii="Arial Narrow" w:eastAsiaTheme="minorHAnsi" w:hAnsi="Arial Narrow" w:cstheme="minorBidi"/>
                <w:snapToGrid/>
                <w:sz w:val="20"/>
              </w:rPr>
              <w:t xml:space="preserve">not </w:t>
            </w:r>
            <w:r w:rsidRPr="00D21946">
              <w:rPr>
                <w:rFonts w:ascii="Arial Narrow" w:eastAsiaTheme="minorHAnsi" w:hAnsi="Arial Narrow" w:cstheme="minorBidi"/>
                <w:snapToGrid/>
                <w:sz w:val="20"/>
              </w:rPr>
              <w:t xml:space="preserve">progressed at </w:t>
            </w:r>
            <w:r>
              <w:rPr>
                <w:rFonts w:ascii="Arial Narrow" w:eastAsiaTheme="minorHAnsi" w:hAnsi="Arial Narrow" w:cstheme="minorBidi"/>
                <w:snapToGrid/>
                <w:sz w:val="20"/>
              </w:rPr>
              <w:t>12</w:t>
            </w:r>
            <w:r w:rsidRPr="00D21946">
              <w:rPr>
                <w:rFonts w:ascii="Arial Narrow" w:eastAsiaTheme="minorHAnsi" w:hAnsi="Arial Narrow" w:cstheme="minorBidi"/>
                <w:snapToGrid/>
                <w:sz w:val="20"/>
              </w:rPr>
              <w:t xml:space="preserve"> months (95% CI)</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63106E" w:rsidRPr="00D21946" w:rsidRDefault="0063106E" w:rsidP="00561C55">
            <w:pPr>
              <w:widowControl/>
              <w:jc w:val="center"/>
              <w:rPr>
                <w:rFonts w:ascii="Arial Narrow" w:eastAsiaTheme="minorHAnsi" w:hAnsi="Arial Narrow" w:cstheme="minorBidi"/>
                <w:snapToGrid/>
                <w:sz w:val="20"/>
              </w:rPr>
            </w:pPr>
            <w:r>
              <w:rPr>
                <w:rFonts w:ascii="Arial Narrow" w:eastAsiaTheme="minorHAnsi" w:hAnsi="Arial Narrow" w:cstheme="minorBidi"/>
                <w:snapToGrid/>
                <w:sz w:val="20"/>
                <w:szCs w:val="20"/>
              </w:rPr>
              <w:t>37</w:t>
            </w:r>
            <w:r w:rsidRPr="00D21946">
              <w:rPr>
                <w:rFonts w:ascii="Arial Narrow" w:eastAsiaTheme="minorHAnsi" w:hAnsi="Arial Narrow" w:cstheme="minorBidi"/>
                <w:snapToGrid/>
                <w:sz w:val="20"/>
                <w:szCs w:val="20"/>
              </w:rPr>
              <w:t xml:space="preserve">% </w:t>
            </w:r>
            <w:r>
              <w:rPr>
                <w:rFonts w:ascii="Arial Narrow" w:eastAsiaTheme="minorHAnsi" w:hAnsi="Arial Narrow" w:cstheme="minorBidi"/>
                <w:snapToGrid/>
                <w:sz w:val="20"/>
                <w:szCs w:val="20"/>
              </w:rPr>
              <w:br/>
            </w:r>
            <w:r w:rsidRPr="00D21946">
              <w:rPr>
                <w:rFonts w:ascii="Arial Narrow" w:eastAsiaTheme="minorHAnsi" w:hAnsi="Arial Narrow" w:cstheme="minorBidi"/>
                <w:snapToGrid/>
                <w:sz w:val="20"/>
                <w:szCs w:val="20"/>
              </w:rPr>
              <w:t>(</w:t>
            </w:r>
            <w:r>
              <w:rPr>
                <w:rFonts w:ascii="Arial Narrow" w:eastAsiaTheme="minorHAnsi" w:hAnsi="Arial Narrow" w:cstheme="minorBidi"/>
                <w:snapToGrid/>
                <w:sz w:val="20"/>
                <w:szCs w:val="20"/>
              </w:rPr>
              <w:t>30.7%, 43.4%</w:t>
            </w:r>
            <w:r w:rsidRPr="00D21946">
              <w:rPr>
                <w:rFonts w:ascii="Arial Narrow" w:eastAsiaTheme="minorHAnsi" w:hAnsi="Arial Narrow" w:cstheme="minorBidi"/>
                <w:snapToGrid/>
                <w:sz w:val="20"/>
                <w:szCs w:val="20"/>
              </w:rPr>
              <w:t xml:space="preserve">) </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63106E" w:rsidRPr="00D21946" w:rsidRDefault="0063106E" w:rsidP="00561C55">
            <w:pPr>
              <w:widowControl/>
              <w:jc w:val="center"/>
              <w:rPr>
                <w:rFonts w:ascii="Arial Narrow" w:eastAsiaTheme="minorHAnsi" w:hAnsi="Arial Narrow" w:cstheme="minorBidi"/>
                <w:snapToGrid/>
                <w:sz w:val="20"/>
                <w:szCs w:val="20"/>
              </w:rPr>
            </w:pPr>
            <w:r>
              <w:rPr>
                <w:rFonts w:ascii="Arial Narrow" w:eastAsiaTheme="minorHAnsi" w:hAnsi="Arial Narrow" w:cstheme="minorBidi"/>
                <w:snapToGrid/>
                <w:sz w:val="20"/>
                <w:szCs w:val="20"/>
              </w:rPr>
              <w:t>20</w:t>
            </w:r>
            <w:r w:rsidRPr="00D21946">
              <w:rPr>
                <w:rFonts w:ascii="Arial Narrow" w:eastAsiaTheme="minorHAnsi" w:hAnsi="Arial Narrow" w:cstheme="minorBidi"/>
                <w:snapToGrid/>
                <w:sz w:val="20"/>
                <w:szCs w:val="20"/>
              </w:rPr>
              <w:t xml:space="preserve">% </w:t>
            </w:r>
            <w:r>
              <w:rPr>
                <w:rFonts w:ascii="Arial Narrow" w:eastAsiaTheme="minorHAnsi" w:hAnsi="Arial Narrow" w:cstheme="minorBidi"/>
                <w:snapToGrid/>
                <w:sz w:val="20"/>
                <w:szCs w:val="20"/>
              </w:rPr>
              <w:br/>
            </w:r>
            <w:r w:rsidRPr="00D21946">
              <w:rPr>
                <w:rFonts w:ascii="Arial Narrow" w:eastAsiaTheme="minorHAnsi" w:hAnsi="Arial Narrow" w:cstheme="minorBidi"/>
                <w:snapToGrid/>
                <w:sz w:val="20"/>
                <w:szCs w:val="20"/>
              </w:rPr>
              <w:t>(</w:t>
            </w:r>
            <w:r>
              <w:rPr>
                <w:rFonts w:ascii="Arial Narrow" w:eastAsiaTheme="minorHAnsi" w:hAnsi="Arial Narrow" w:cstheme="minorBidi"/>
                <w:snapToGrid/>
                <w:sz w:val="20"/>
                <w:szCs w:val="20"/>
              </w:rPr>
              <w:t>11.3%, 29.9%</w:t>
            </w:r>
            <w:r w:rsidRPr="00D21946">
              <w:rPr>
                <w:rFonts w:ascii="Arial Narrow" w:eastAsiaTheme="minorHAnsi" w:hAnsi="Arial Narrow" w:cstheme="minorBidi"/>
                <w:snapToGrid/>
                <w:sz w:val="20"/>
                <w:szCs w:val="20"/>
              </w:rPr>
              <w:t>)</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63106E" w:rsidRPr="00D21946" w:rsidRDefault="0063106E" w:rsidP="00561C55">
            <w:pPr>
              <w:widowControl/>
              <w:jc w:val="center"/>
              <w:rPr>
                <w:rFonts w:ascii="Arial Narrow" w:eastAsiaTheme="minorHAnsi" w:hAnsi="Arial Narrow" w:cstheme="minorBidi"/>
                <w:snapToGrid/>
                <w:sz w:val="20"/>
              </w:rPr>
            </w:pPr>
            <w:r>
              <w:rPr>
                <w:rFonts w:ascii="Arial Narrow" w:eastAsiaTheme="minorHAnsi" w:hAnsi="Arial Narrow" w:cstheme="minorBidi"/>
                <w:snapToGrid/>
                <w:sz w:val="20"/>
              </w:rPr>
              <w:t>17</w:t>
            </w:r>
            <w:r w:rsidRPr="00D21946">
              <w:rPr>
                <w:rFonts w:ascii="Arial Narrow" w:eastAsiaTheme="minorHAnsi" w:hAnsi="Arial Narrow" w:cstheme="minorBidi"/>
                <w:snapToGrid/>
                <w:sz w:val="20"/>
              </w:rPr>
              <w:t>%</w:t>
            </w:r>
          </w:p>
        </w:tc>
        <w:tc>
          <w:tcPr>
            <w:tcW w:w="879" w:type="pct"/>
            <w:vMerge/>
            <w:tcBorders>
              <w:left w:val="single" w:sz="4" w:space="0" w:color="auto"/>
              <w:bottom w:val="nil"/>
            </w:tcBorders>
            <w:shd w:val="clear" w:color="auto" w:fill="auto"/>
          </w:tcPr>
          <w:p w:rsidR="0063106E" w:rsidRPr="00D21946" w:rsidRDefault="0063106E" w:rsidP="00561C55">
            <w:pPr>
              <w:widowControl/>
              <w:jc w:val="center"/>
              <w:rPr>
                <w:rFonts w:ascii="Arial Narrow" w:eastAsiaTheme="minorHAnsi" w:hAnsi="Arial Narrow" w:cstheme="minorBidi"/>
                <w:snapToGrid/>
                <w:sz w:val="20"/>
              </w:rPr>
            </w:pPr>
          </w:p>
        </w:tc>
      </w:tr>
      <w:tr w:rsidR="009F0307" w:rsidRPr="00D21946" w:rsidTr="0047282F">
        <w:trPr>
          <w:trHeight w:val="20"/>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9F0307" w:rsidRPr="00D21946" w:rsidRDefault="009F0307" w:rsidP="00561C55">
            <w:pPr>
              <w:widowControl/>
              <w:jc w:val="left"/>
              <w:rPr>
                <w:rFonts w:ascii="Arial Narrow" w:eastAsiaTheme="minorHAnsi" w:hAnsi="Arial Narrow" w:cstheme="minorBidi"/>
                <w:snapToGrid/>
                <w:sz w:val="20"/>
              </w:rPr>
            </w:pPr>
            <w:r w:rsidRPr="00D21946">
              <w:rPr>
                <w:rFonts w:ascii="Arial Narrow" w:eastAsiaTheme="minorHAnsi" w:hAnsi="Arial Narrow" w:cstheme="minorBidi"/>
                <w:b/>
                <w:snapToGrid/>
                <w:sz w:val="20"/>
              </w:rPr>
              <w:t xml:space="preserve">Overall survival (median duration of follow up </w:t>
            </w:r>
            <w:r>
              <w:rPr>
                <w:rFonts w:ascii="Arial Narrow" w:eastAsiaTheme="minorHAnsi" w:hAnsi="Arial Narrow" w:cstheme="minorBidi"/>
                <w:b/>
                <w:snapToGrid/>
                <w:sz w:val="20"/>
              </w:rPr>
              <w:t>14</w:t>
            </w:r>
            <w:r w:rsidRPr="00D21946">
              <w:rPr>
                <w:rFonts w:ascii="Arial Narrow" w:eastAsiaTheme="minorHAnsi" w:hAnsi="Arial Narrow" w:cstheme="minorBidi"/>
                <w:b/>
                <w:snapToGrid/>
                <w:sz w:val="20"/>
              </w:rPr>
              <w:t xml:space="preserve"> months)</w:t>
            </w:r>
          </w:p>
        </w:tc>
      </w:tr>
      <w:tr w:rsidR="009F0307" w:rsidRPr="00D21946" w:rsidTr="0047282F">
        <w:trPr>
          <w:trHeight w:val="20"/>
          <w:tblHeader/>
        </w:trPr>
        <w:tc>
          <w:tcPr>
            <w:tcW w:w="1366" w:type="pct"/>
            <w:tcBorders>
              <w:top w:val="single" w:sz="4" w:space="0" w:color="auto"/>
              <w:left w:val="single" w:sz="4" w:space="0" w:color="auto"/>
              <w:bottom w:val="single" w:sz="4" w:space="0" w:color="auto"/>
              <w:right w:val="single" w:sz="4" w:space="0" w:color="auto"/>
            </w:tcBorders>
            <w:shd w:val="clear" w:color="auto" w:fill="auto"/>
          </w:tcPr>
          <w:p w:rsidR="009F0307" w:rsidRPr="00D21946" w:rsidRDefault="009F0307" w:rsidP="00561C55">
            <w:pPr>
              <w:widowControl/>
              <w:jc w:val="left"/>
              <w:rPr>
                <w:rFonts w:ascii="Arial Narrow" w:eastAsiaTheme="minorHAnsi" w:hAnsi="Arial Narrow" w:cstheme="minorBidi"/>
                <w:snapToGrid/>
                <w:sz w:val="20"/>
              </w:rPr>
            </w:pPr>
            <w:r w:rsidRPr="00D21946">
              <w:rPr>
                <w:rFonts w:ascii="Arial Narrow" w:eastAsiaTheme="minorHAnsi" w:hAnsi="Arial Narrow" w:cstheme="minorBidi"/>
                <w:snapToGrid/>
                <w:sz w:val="20"/>
              </w:rPr>
              <w:t xml:space="preserve">Deaths, n/N (%) </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9F0307" w:rsidRPr="00D21946" w:rsidRDefault="009F0307" w:rsidP="00561C55">
            <w:pPr>
              <w:widowControl/>
              <w:jc w:val="center"/>
              <w:rPr>
                <w:rFonts w:ascii="Arial Narrow" w:eastAsiaTheme="minorHAnsi" w:hAnsi="Arial Narrow" w:cstheme="minorBidi"/>
                <w:snapToGrid/>
                <w:sz w:val="20"/>
              </w:rPr>
            </w:pPr>
            <w:r>
              <w:rPr>
                <w:rFonts w:ascii="Arial Narrow" w:eastAsiaTheme="minorHAnsi" w:hAnsi="Arial Narrow" w:cs="Times New Roman"/>
                <w:snapToGrid/>
                <w:sz w:val="20"/>
                <w:szCs w:val="20"/>
              </w:rPr>
              <w:t>108</w:t>
            </w:r>
            <w:r w:rsidRPr="00D21946">
              <w:rPr>
                <w:rFonts w:ascii="Arial Narrow" w:eastAsiaTheme="minorHAnsi" w:hAnsi="Arial Narrow" w:cs="Times New Roman"/>
                <w:snapToGrid/>
                <w:sz w:val="20"/>
                <w:szCs w:val="20"/>
              </w:rPr>
              <w:t>/</w:t>
            </w:r>
            <w:r>
              <w:rPr>
                <w:rFonts w:ascii="Arial Narrow" w:eastAsiaTheme="minorHAnsi" w:hAnsi="Arial Narrow" w:cs="Times New Roman"/>
                <w:snapToGrid/>
                <w:sz w:val="20"/>
                <w:szCs w:val="20"/>
              </w:rPr>
              <w:t>287</w:t>
            </w:r>
            <w:r w:rsidRPr="00D21946">
              <w:rPr>
                <w:rFonts w:ascii="Arial Narrow" w:eastAsiaTheme="minorHAnsi" w:hAnsi="Arial Narrow" w:cs="Times New Roman"/>
                <w:snapToGrid/>
                <w:sz w:val="20"/>
                <w:szCs w:val="20"/>
              </w:rPr>
              <w:t xml:space="preserve"> (</w:t>
            </w:r>
            <w:r>
              <w:rPr>
                <w:rFonts w:ascii="Arial Narrow" w:eastAsiaTheme="minorHAnsi" w:hAnsi="Arial Narrow" w:cs="Times New Roman"/>
                <w:snapToGrid/>
                <w:sz w:val="20"/>
                <w:szCs w:val="20"/>
              </w:rPr>
              <w:t>37.6</w:t>
            </w:r>
            <w:r w:rsidRPr="00D21946">
              <w:rPr>
                <w:rFonts w:ascii="Arial Narrow" w:eastAsiaTheme="minorHAnsi" w:hAnsi="Arial Narrow" w:cs="Times New Roman"/>
                <w:snapToGrid/>
                <w:sz w:val="20"/>
                <w:szCs w:val="20"/>
              </w:rPr>
              <w:t>%)</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9F0307" w:rsidRPr="00D21946" w:rsidRDefault="009F0307" w:rsidP="00561C55">
            <w:pPr>
              <w:widowControl/>
              <w:jc w:val="center"/>
              <w:rPr>
                <w:rFonts w:ascii="Arial Narrow" w:eastAsiaTheme="minorHAnsi" w:hAnsi="Arial Narrow" w:cstheme="minorBidi"/>
                <w:snapToGrid/>
                <w:sz w:val="20"/>
              </w:rPr>
            </w:pPr>
            <w:r>
              <w:rPr>
                <w:rFonts w:ascii="Arial Narrow" w:eastAsiaTheme="minorHAnsi" w:hAnsi="Arial Narrow" w:cs="Times New Roman"/>
                <w:snapToGrid/>
                <w:sz w:val="20"/>
                <w:szCs w:val="20"/>
              </w:rPr>
              <w:t>55</w:t>
            </w:r>
            <w:r w:rsidRPr="00D21946">
              <w:rPr>
                <w:rFonts w:ascii="Arial Narrow" w:eastAsiaTheme="minorHAnsi" w:hAnsi="Arial Narrow" w:cs="Times New Roman"/>
                <w:snapToGrid/>
                <w:sz w:val="20"/>
                <w:szCs w:val="20"/>
              </w:rPr>
              <w:t>/</w:t>
            </w:r>
            <w:r>
              <w:rPr>
                <w:rFonts w:ascii="Arial Narrow" w:eastAsiaTheme="minorHAnsi" w:hAnsi="Arial Narrow" w:cs="Times New Roman"/>
                <w:snapToGrid/>
                <w:sz w:val="20"/>
                <w:szCs w:val="20"/>
              </w:rPr>
              <w:t>144</w:t>
            </w:r>
            <w:r w:rsidRPr="00D21946">
              <w:rPr>
                <w:rFonts w:ascii="Arial Narrow" w:eastAsiaTheme="minorHAnsi" w:hAnsi="Arial Narrow" w:cs="Times New Roman"/>
                <w:snapToGrid/>
                <w:sz w:val="20"/>
                <w:szCs w:val="20"/>
              </w:rPr>
              <w:t xml:space="preserve"> (</w:t>
            </w:r>
            <w:r>
              <w:rPr>
                <w:rFonts w:ascii="Arial Narrow" w:eastAsiaTheme="minorHAnsi" w:hAnsi="Arial Narrow" w:cs="Times New Roman"/>
                <w:snapToGrid/>
                <w:sz w:val="20"/>
                <w:szCs w:val="20"/>
              </w:rPr>
              <w:t>38.2</w:t>
            </w:r>
            <w:r w:rsidRPr="00D21946">
              <w:rPr>
                <w:rFonts w:ascii="Arial Narrow" w:eastAsiaTheme="minorHAnsi" w:hAnsi="Arial Narrow" w:cs="Times New Roman"/>
                <w:snapToGrid/>
                <w:sz w:val="20"/>
                <w:szCs w:val="20"/>
              </w:rPr>
              <w:t>%)</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9F0307" w:rsidRPr="00D21946" w:rsidRDefault="009F0307" w:rsidP="00561C55">
            <w:pPr>
              <w:widowControl/>
              <w:jc w:val="center"/>
              <w:rPr>
                <w:rFonts w:ascii="Arial Narrow" w:eastAsiaTheme="minorHAnsi" w:hAnsi="Arial Narrow" w:cstheme="minorBidi"/>
                <w:snapToGrid/>
                <w:sz w:val="20"/>
              </w:rPr>
            </w:pP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9F0307" w:rsidRPr="00D21946" w:rsidRDefault="009F0307" w:rsidP="00561C55">
            <w:pPr>
              <w:widowControl/>
              <w:jc w:val="center"/>
              <w:rPr>
                <w:rFonts w:ascii="Arial Narrow" w:eastAsiaTheme="minorHAnsi" w:hAnsi="Arial Narrow" w:cstheme="minorBidi"/>
                <w:snapToGrid/>
                <w:sz w:val="20"/>
                <w:szCs w:val="20"/>
              </w:rPr>
            </w:pPr>
            <w:r>
              <w:rPr>
                <w:rFonts w:ascii="Arial Narrow" w:eastAsiaTheme="minorHAnsi" w:hAnsi="Arial Narrow" w:cstheme="minorBidi"/>
                <w:snapToGrid/>
                <w:sz w:val="20"/>
                <w:szCs w:val="20"/>
              </w:rPr>
              <w:t>0.76</w:t>
            </w:r>
            <w:r w:rsidRPr="00D21946">
              <w:rPr>
                <w:rFonts w:ascii="Arial Narrow" w:eastAsiaTheme="minorHAnsi" w:hAnsi="Arial Narrow" w:cstheme="minorBidi"/>
                <w:snapToGrid/>
                <w:sz w:val="20"/>
                <w:szCs w:val="20"/>
              </w:rPr>
              <w:t xml:space="preserve"> (</w:t>
            </w:r>
            <w:r>
              <w:rPr>
                <w:rFonts w:ascii="Arial Narrow" w:eastAsiaTheme="minorHAnsi" w:hAnsi="Arial Narrow" w:cstheme="minorBidi"/>
                <w:snapToGrid/>
                <w:sz w:val="20"/>
                <w:szCs w:val="20"/>
              </w:rPr>
              <w:t>0.55, 1.06</w:t>
            </w:r>
            <w:r w:rsidRPr="00D21946">
              <w:rPr>
                <w:rFonts w:ascii="Arial Narrow" w:eastAsiaTheme="minorHAnsi" w:hAnsi="Arial Narrow" w:cstheme="minorBidi"/>
                <w:snapToGrid/>
                <w:sz w:val="20"/>
                <w:szCs w:val="20"/>
              </w:rPr>
              <w:t>)</w:t>
            </w:r>
          </w:p>
          <w:p w:rsidR="009F0307" w:rsidRPr="00D21946" w:rsidRDefault="0063106E" w:rsidP="00561C55">
            <w:pPr>
              <w:widowControl/>
              <w:jc w:val="center"/>
              <w:rPr>
                <w:rFonts w:ascii="Arial Narrow" w:eastAsiaTheme="minorHAnsi" w:hAnsi="Arial Narrow" w:cstheme="minorBidi"/>
                <w:snapToGrid/>
                <w:sz w:val="20"/>
              </w:rPr>
            </w:pPr>
            <w:r>
              <w:rPr>
                <w:rFonts w:ascii="Arial Narrow" w:eastAsiaTheme="minorHAnsi" w:hAnsi="Arial Narrow" w:cstheme="minorBidi"/>
                <w:snapToGrid/>
                <w:sz w:val="20"/>
                <w:szCs w:val="20"/>
              </w:rPr>
              <w:t>p</w:t>
            </w:r>
            <w:r w:rsidR="009F0307" w:rsidRPr="00D21946">
              <w:rPr>
                <w:rFonts w:ascii="Arial Narrow" w:eastAsiaTheme="minorHAnsi" w:hAnsi="Arial Narrow" w:cstheme="minorBidi"/>
                <w:snapToGrid/>
                <w:sz w:val="20"/>
                <w:szCs w:val="20"/>
              </w:rPr>
              <w:t>=</w:t>
            </w:r>
            <w:r w:rsidR="009F0307">
              <w:rPr>
                <w:rFonts w:ascii="Arial Narrow" w:eastAsiaTheme="minorHAnsi" w:hAnsi="Arial Narrow" w:cstheme="minorBidi"/>
                <w:snapToGrid/>
                <w:sz w:val="20"/>
                <w:szCs w:val="20"/>
              </w:rPr>
              <w:t>0.1053</w:t>
            </w:r>
          </w:p>
        </w:tc>
      </w:tr>
      <w:tr w:rsidR="009F0307" w:rsidRPr="00D21946" w:rsidTr="0047282F">
        <w:trPr>
          <w:trHeight w:val="20"/>
          <w:tblHeader/>
        </w:trPr>
        <w:tc>
          <w:tcPr>
            <w:tcW w:w="1366" w:type="pct"/>
            <w:tcBorders>
              <w:top w:val="single" w:sz="4" w:space="0" w:color="auto"/>
              <w:left w:val="single" w:sz="4" w:space="0" w:color="auto"/>
              <w:bottom w:val="single" w:sz="4" w:space="0" w:color="auto"/>
              <w:right w:val="single" w:sz="4" w:space="0" w:color="auto"/>
            </w:tcBorders>
            <w:shd w:val="clear" w:color="auto" w:fill="auto"/>
          </w:tcPr>
          <w:p w:rsidR="009F0307" w:rsidRPr="00D21946" w:rsidRDefault="009F0307" w:rsidP="00561C55">
            <w:pPr>
              <w:widowControl/>
              <w:jc w:val="left"/>
              <w:rPr>
                <w:rFonts w:ascii="Arial Narrow" w:eastAsiaTheme="minorHAnsi" w:hAnsi="Arial Narrow" w:cstheme="minorBidi"/>
                <w:snapToGrid/>
                <w:sz w:val="20"/>
              </w:rPr>
            </w:pPr>
            <w:r w:rsidRPr="00D21946">
              <w:rPr>
                <w:rFonts w:ascii="Arial Narrow" w:eastAsiaTheme="minorHAnsi" w:hAnsi="Arial Narrow" w:cstheme="minorBidi"/>
                <w:snapToGrid/>
                <w:sz w:val="20"/>
              </w:rPr>
              <w:t>Median OS (months)</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9F0307" w:rsidRPr="00D21946" w:rsidRDefault="009F0307" w:rsidP="00561C55">
            <w:pPr>
              <w:widowControl/>
              <w:jc w:val="center"/>
              <w:rPr>
                <w:rFonts w:ascii="Arial Narrow" w:eastAsiaTheme="minorHAnsi" w:hAnsi="Arial Narrow" w:cs="Times New Roman"/>
                <w:snapToGrid/>
                <w:sz w:val="20"/>
                <w:szCs w:val="20"/>
              </w:rPr>
            </w:pPr>
            <w:r>
              <w:rPr>
                <w:rFonts w:ascii="Arial Narrow" w:eastAsiaTheme="minorHAnsi" w:hAnsi="Arial Narrow" w:cs="Times New Roman"/>
                <w:snapToGrid/>
                <w:sz w:val="20"/>
                <w:szCs w:val="20"/>
              </w:rPr>
              <w:t>22.3</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9F0307" w:rsidRPr="00D21946" w:rsidRDefault="009F0307" w:rsidP="00561C55">
            <w:pPr>
              <w:widowControl/>
              <w:jc w:val="center"/>
              <w:rPr>
                <w:rFonts w:ascii="Arial Narrow" w:eastAsiaTheme="minorHAnsi" w:hAnsi="Arial Narrow" w:cs="Times New Roman"/>
                <w:snapToGrid/>
                <w:sz w:val="20"/>
                <w:szCs w:val="20"/>
              </w:rPr>
            </w:pPr>
            <w:r>
              <w:rPr>
                <w:rFonts w:ascii="Arial Narrow" w:eastAsiaTheme="minorHAnsi" w:hAnsi="Arial Narrow" w:cs="Times New Roman"/>
                <w:snapToGrid/>
                <w:sz w:val="20"/>
                <w:szCs w:val="20"/>
              </w:rPr>
              <w:t>19.5</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9F0307" w:rsidRPr="00D21946" w:rsidRDefault="009F0307" w:rsidP="00561C55">
            <w:pPr>
              <w:widowControl/>
              <w:jc w:val="center"/>
              <w:rPr>
                <w:rFonts w:ascii="Arial Narrow" w:eastAsiaTheme="minorHAnsi" w:hAnsi="Arial Narrow" w:cstheme="minorBidi"/>
                <w:snapToGrid/>
                <w:sz w:val="20"/>
              </w:rPr>
            </w:pPr>
            <w:r>
              <w:rPr>
                <w:rFonts w:ascii="Arial Narrow" w:eastAsiaTheme="minorHAnsi" w:hAnsi="Arial Narrow" w:cstheme="minorBidi"/>
                <w:snapToGrid/>
                <w:sz w:val="20"/>
              </w:rPr>
              <w:t>2.8</w:t>
            </w:r>
          </w:p>
        </w:tc>
        <w:tc>
          <w:tcPr>
            <w:tcW w:w="879" w:type="pct"/>
            <w:tcBorders>
              <w:top w:val="nil"/>
              <w:left w:val="single" w:sz="4" w:space="0" w:color="auto"/>
              <w:bottom w:val="nil"/>
              <w:right w:val="single" w:sz="4" w:space="0" w:color="auto"/>
            </w:tcBorders>
            <w:shd w:val="clear" w:color="auto" w:fill="auto"/>
          </w:tcPr>
          <w:p w:rsidR="009F0307" w:rsidRPr="00D21946" w:rsidRDefault="009F0307" w:rsidP="00561C55">
            <w:pPr>
              <w:widowControl/>
              <w:jc w:val="center"/>
              <w:rPr>
                <w:rFonts w:ascii="Arial Narrow" w:eastAsiaTheme="minorHAnsi" w:hAnsi="Arial Narrow" w:cstheme="minorBidi"/>
                <w:snapToGrid/>
                <w:sz w:val="20"/>
                <w:szCs w:val="20"/>
              </w:rPr>
            </w:pPr>
          </w:p>
        </w:tc>
      </w:tr>
      <w:tr w:rsidR="009F0307" w:rsidRPr="00D21946" w:rsidTr="0047282F">
        <w:trPr>
          <w:trHeight w:val="20"/>
          <w:tblHeader/>
        </w:trPr>
        <w:tc>
          <w:tcPr>
            <w:tcW w:w="1366" w:type="pct"/>
            <w:tcBorders>
              <w:top w:val="single" w:sz="4" w:space="0" w:color="auto"/>
              <w:left w:val="single" w:sz="4" w:space="0" w:color="auto"/>
              <w:bottom w:val="single" w:sz="4" w:space="0" w:color="auto"/>
              <w:right w:val="single" w:sz="4" w:space="0" w:color="auto"/>
            </w:tcBorders>
            <w:shd w:val="clear" w:color="auto" w:fill="auto"/>
          </w:tcPr>
          <w:p w:rsidR="009F0307" w:rsidRPr="00D21946" w:rsidRDefault="009F0307" w:rsidP="00561C55">
            <w:pPr>
              <w:widowControl/>
              <w:jc w:val="left"/>
              <w:rPr>
                <w:rFonts w:ascii="Arial Narrow" w:eastAsiaTheme="minorHAnsi" w:hAnsi="Arial Narrow" w:cstheme="minorBidi"/>
                <w:snapToGrid/>
                <w:sz w:val="20"/>
              </w:rPr>
            </w:pPr>
            <w:r w:rsidRPr="00D21946">
              <w:rPr>
                <w:rFonts w:ascii="Arial Narrow" w:eastAsiaTheme="minorHAnsi" w:hAnsi="Arial Narrow" w:cstheme="minorBidi"/>
                <w:snapToGrid/>
                <w:sz w:val="20"/>
              </w:rPr>
              <w:t xml:space="preserve">% Alive at </w:t>
            </w:r>
            <w:r>
              <w:rPr>
                <w:rFonts w:ascii="Arial Narrow" w:eastAsiaTheme="minorHAnsi" w:hAnsi="Arial Narrow" w:cstheme="minorBidi"/>
                <w:snapToGrid/>
                <w:sz w:val="20"/>
              </w:rPr>
              <w:t>12</w:t>
            </w:r>
            <w:r w:rsidRPr="00D21946">
              <w:rPr>
                <w:rFonts w:ascii="Arial Narrow" w:eastAsiaTheme="minorHAnsi" w:hAnsi="Arial Narrow" w:cstheme="minorBidi"/>
                <w:snapToGrid/>
                <w:sz w:val="20"/>
              </w:rPr>
              <w:t xml:space="preserve"> months (95% CI) </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9F0307" w:rsidRPr="00D21946" w:rsidRDefault="009F0307" w:rsidP="00561C55">
            <w:pPr>
              <w:widowControl/>
              <w:jc w:val="center"/>
              <w:rPr>
                <w:rFonts w:ascii="Arial Narrow" w:eastAsiaTheme="minorHAnsi" w:hAnsi="Arial Narrow" w:cstheme="minorBidi"/>
                <w:snapToGrid/>
                <w:sz w:val="20"/>
              </w:rPr>
            </w:pPr>
            <w:r>
              <w:rPr>
                <w:rFonts w:ascii="Arial Narrow" w:eastAsiaTheme="minorHAnsi" w:hAnsi="Arial Narrow" w:cstheme="minorBidi"/>
                <w:snapToGrid/>
                <w:sz w:val="20"/>
                <w:szCs w:val="20"/>
              </w:rPr>
              <w:t>75</w:t>
            </w:r>
            <w:r w:rsidRPr="00D21946">
              <w:rPr>
                <w:rFonts w:ascii="Arial Narrow" w:eastAsiaTheme="minorHAnsi" w:hAnsi="Arial Narrow" w:cstheme="minorBidi"/>
                <w:snapToGrid/>
                <w:sz w:val="20"/>
                <w:szCs w:val="20"/>
              </w:rPr>
              <w:t>% (</w:t>
            </w:r>
            <w:r>
              <w:rPr>
                <w:rFonts w:ascii="Arial Narrow" w:eastAsiaTheme="minorHAnsi" w:hAnsi="Arial Narrow" w:cstheme="minorBidi"/>
                <w:snapToGrid/>
                <w:sz w:val="20"/>
                <w:szCs w:val="20"/>
              </w:rPr>
              <w:t>68.6%, 79.9%</w:t>
            </w:r>
            <w:r w:rsidRPr="00D21946">
              <w:rPr>
                <w:rFonts w:ascii="Arial Narrow" w:eastAsiaTheme="minorHAnsi" w:hAnsi="Arial Narrow" w:cstheme="minorBidi"/>
                <w:snapToGrid/>
                <w:sz w:val="20"/>
                <w:szCs w:val="20"/>
              </w:rPr>
              <w:t>)</w:t>
            </w:r>
          </w:p>
        </w:tc>
        <w:tc>
          <w:tcPr>
            <w:tcW w:w="944" w:type="pct"/>
            <w:tcBorders>
              <w:top w:val="single" w:sz="4" w:space="0" w:color="auto"/>
              <w:left w:val="single" w:sz="4" w:space="0" w:color="auto"/>
              <w:bottom w:val="single" w:sz="4" w:space="0" w:color="auto"/>
              <w:right w:val="single" w:sz="4" w:space="0" w:color="auto"/>
            </w:tcBorders>
            <w:shd w:val="clear" w:color="auto" w:fill="auto"/>
          </w:tcPr>
          <w:p w:rsidR="009F0307" w:rsidRPr="00D21946" w:rsidRDefault="009F0307" w:rsidP="00561C55">
            <w:pPr>
              <w:widowControl/>
              <w:jc w:val="center"/>
              <w:rPr>
                <w:rFonts w:ascii="Arial Narrow" w:eastAsiaTheme="minorHAnsi" w:hAnsi="Arial Narrow" w:cstheme="minorBidi"/>
                <w:snapToGrid/>
                <w:sz w:val="20"/>
                <w:szCs w:val="20"/>
              </w:rPr>
            </w:pPr>
            <w:r>
              <w:rPr>
                <w:rFonts w:ascii="Arial Narrow" w:eastAsiaTheme="minorHAnsi" w:hAnsi="Arial Narrow" w:cstheme="minorBidi"/>
                <w:snapToGrid/>
                <w:sz w:val="20"/>
                <w:szCs w:val="20"/>
              </w:rPr>
              <w:t>73</w:t>
            </w:r>
            <w:r w:rsidRPr="00D21946">
              <w:rPr>
                <w:rFonts w:ascii="Arial Narrow" w:eastAsiaTheme="minorHAnsi" w:hAnsi="Arial Narrow" w:cstheme="minorBidi"/>
                <w:snapToGrid/>
                <w:sz w:val="20"/>
                <w:szCs w:val="20"/>
              </w:rPr>
              <w:t>% (</w:t>
            </w:r>
            <w:r>
              <w:rPr>
                <w:rFonts w:ascii="Arial Narrow" w:eastAsiaTheme="minorHAnsi" w:hAnsi="Arial Narrow" w:cstheme="minorBidi"/>
                <w:snapToGrid/>
                <w:sz w:val="20"/>
                <w:szCs w:val="20"/>
              </w:rPr>
              <w:t>62.9%, 80.4%</w:t>
            </w:r>
            <w:r w:rsidRPr="00D21946">
              <w:rPr>
                <w:rFonts w:ascii="Arial Narrow" w:eastAsiaTheme="minorHAnsi" w:hAnsi="Arial Narrow" w:cstheme="minorBidi"/>
                <w:snapToGrid/>
                <w:sz w:val="20"/>
                <w:szCs w:val="20"/>
              </w:rPr>
              <w:t>)</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9F0307" w:rsidRPr="00D21946" w:rsidRDefault="009F0307" w:rsidP="00561C55">
            <w:pPr>
              <w:widowControl/>
              <w:jc w:val="center"/>
              <w:rPr>
                <w:rFonts w:ascii="Arial Narrow" w:eastAsiaTheme="minorHAnsi" w:hAnsi="Arial Narrow" w:cstheme="minorBidi"/>
                <w:snapToGrid/>
                <w:sz w:val="20"/>
              </w:rPr>
            </w:pPr>
            <w:r>
              <w:rPr>
                <w:rFonts w:ascii="Arial Narrow" w:eastAsiaTheme="minorHAnsi" w:hAnsi="Arial Narrow" w:cstheme="minorBidi"/>
                <w:snapToGrid/>
                <w:sz w:val="20"/>
              </w:rPr>
              <w:t>2</w:t>
            </w:r>
            <w:r w:rsidRPr="00D21946">
              <w:rPr>
                <w:rFonts w:ascii="Arial Narrow" w:eastAsiaTheme="minorHAnsi" w:hAnsi="Arial Narrow" w:cstheme="minorBidi"/>
                <w:snapToGrid/>
                <w:sz w:val="20"/>
              </w:rPr>
              <w:t>%</w:t>
            </w:r>
          </w:p>
        </w:tc>
        <w:tc>
          <w:tcPr>
            <w:tcW w:w="879" w:type="pct"/>
            <w:tcBorders>
              <w:top w:val="nil"/>
              <w:left w:val="single" w:sz="4" w:space="0" w:color="auto"/>
              <w:bottom w:val="single" w:sz="4" w:space="0" w:color="auto"/>
              <w:right w:val="single" w:sz="4" w:space="0" w:color="auto"/>
            </w:tcBorders>
            <w:shd w:val="clear" w:color="auto" w:fill="auto"/>
          </w:tcPr>
          <w:p w:rsidR="009F0307" w:rsidRPr="00D21946" w:rsidRDefault="009F0307" w:rsidP="00561C55">
            <w:pPr>
              <w:widowControl/>
              <w:jc w:val="center"/>
              <w:rPr>
                <w:rFonts w:ascii="Arial Narrow" w:eastAsiaTheme="minorHAnsi" w:hAnsi="Arial Narrow" w:cstheme="minorBidi"/>
                <w:snapToGrid/>
                <w:sz w:val="20"/>
              </w:rPr>
            </w:pPr>
          </w:p>
        </w:tc>
      </w:tr>
    </w:tbl>
    <w:p w:rsidR="009F0307" w:rsidRDefault="00DC41F1" w:rsidP="00561C55">
      <w:pPr>
        <w:pStyle w:val="TableFooter"/>
        <w:widowControl/>
      </w:pPr>
      <w:r>
        <w:t xml:space="preserve">SoC=standard of care; </w:t>
      </w:r>
      <w:r w:rsidR="009F0307">
        <w:t xml:space="preserve">PFS = progression-free survival; OS = overall survival; CI = confidence interval; HR = hazard ratio; </w:t>
      </w:r>
    </w:p>
    <w:p w:rsidR="009F0307" w:rsidRDefault="009F0307" w:rsidP="00561C55">
      <w:pPr>
        <w:pStyle w:val="TableFooter"/>
        <w:widowControl/>
      </w:pPr>
      <w:r>
        <w:t xml:space="preserve">Source: </w:t>
      </w:r>
      <w:r w:rsidR="00A32E30" w:rsidRPr="00A32E30">
        <w:t xml:space="preserve"> Table 2.5.18</w:t>
      </w:r>
      <w:r w:rsidR="00A32E30">
        <w:t xml:space="preserve"> and </w:t>
      </w:r>
      <w:r w:rsidR="00A32E30" w:rsidRPr="00A32E30">
        <w:t>Table 2.5.1</w:t>
      </w:r>
      <w:r w:rsidR="00A32E30">
        <w:t>, p80 and p</w:t>
      </w:r>
      <w:r w:rsidR="00A32E30" w:rsidRPr="00A32E30">
        <w:t>116 of the submission and Table 33, p33 of the TGA clinical evaluation report</w:t>
      </w:r>
    </w:p>
    <w:p w:rsidR="00A524E8" w:rsidRPr="00A524E8" w:rsidRDefault="00A524E8" w:rsidP="00561C55">
      <w:pPr>
        <w:pStyle w:val="TableFooter"/>
        <w:widowControl/>
      </w:pPr>
      <w:r>
        <w:rPr>
          <w:vertAlign w:val="superscript"/>
        </w:rPr>
        <w:t xml:space="preserve">a </w:t>
      </w:r>
      <w:r>
        <w:t>M</w:t>
      </w:r>
      <w:r w:rsidRPr="00A524E8">
        <w:t>edian durations of treatment of 6 months and 4 months for talazoparib and SoC, respectively</w:t>
      </w:r>
    </w:p>
    <w:p w:rsidR="009F0307" w:rsidRPr="00AA6893" w:rsidRDefault="009F0307" w:rsidP="00561C55">
      <w:pPr>
        <w:widowControl/>
      </w:pPr>
    </w:p>
    <w:p w:rsidR="009F0307" w:rsidRPr="00AA6893" w:rsidRDefault="009F0307" w:rsidP="00561C55">
      <w:pPr>
        <w:pStyle w:val="ListParagraph"/>
        <w:widowControl/>
        <w:numPr>
          <w:ilvl w:val="1"/>
          <w:numId w:val="3"/>
        </w:numPr>
        <w:spacing w:after="0"/>
      </w:pPr>
      <w:r w:rsidRPr="00AA6893">
        <w:t>On the basis of direct evidence presented by the submission, for every 100 patients treated with talazoparib in comparison to SoC:</w:t>
      </w:r>
    </w:p>
    <w:p w:rsidR="00D5581F" w:rsidRDefault="009F0307" w:rsidP="00561C55">
      <w:pPr>
        <w:pStyle w:val="ListParagraph"/>
        <w:widowControl/>
        <w:numPr>
          <w:ilvl w:val="0"/>
          <w:numId w:val="2"/>
        </w:numPr>
        <w:spacing w:after="0"/>
        <w:ind w:left="993" w:hanging="284"/>
      </w:pPr>
      <w:r w:rsidRPr="00AA6893">
        <w:t>Approximately 17 additional patients would remain progression-free</w:t>
      </w:r>
      <w:r w:rsidR="002B1533">
        <w:t xml:space="preserve"> at 12 months</w:t>
      </w:r>
      <w:r w:rsidR="00D5581F">
        <w:t>.</w:t>
      </w:r>
    </w:p>
    <w:p w:rsidR="009F0307" w:rsidRPr="00AA6893" w:rsidRDefault="00D5581F" w:rsidP="00561C55">
      <w:pPr>
        <w:pStyle w:val="ListParagraph"/>
        <w:widowControl/>
        <w:numPr>
          <w:ilvl w:val="0"/>
          <w:numId w:val="2"/>
        </w:numPr>
        <w:spacing w:after="0"/>
        <w:ind w:left="993" w:hanging="284"/>
      </w:pPr>
      <w:r>
        <w:rPr>
          <w:rFonts w:cs="Calibri"/>
          <w:snapToGrid/>
          <w:szCs w:val="24"/>
          <w:lang w:val="en-US" w:eastAsia="en-AU"/>
        </w:rPr>
        <w:t>T</w:t>
      </w:r>
      <w:r w:rsidR="00252401" w:rsidRPr="00AA6893">
        <w:rPr>
          <w:rFonts w:cs="Calibri"/>
          <w:snapToGrid/>
          <w:szCs w:val="24"/>
          <w:lang w:val="en-US" w:eastAsia="en-AU"/>
        </w:rPr>
        <w:t xml:space="preserve">he impact on </w:t>
      </w:r>
      <w:r w:rsidR="006577C6" w:rsidRPr="00AA6893">
        <w:rPr>
          <w:rFonts w:cs="Calibri"/>
          <w:snapToGrid/>
          <w:szCs w:val="24"/>
          <w:lang w:val="en-US" w:eastAsia="en-AU"/>
        </w:rPr>
        <w:t>OS</w:t>
      </w:r>
      <w:r w:rsidR="009F0307" w:rsidRPr="00AA6893">
        <w:rPr>
          <w:rFonts w:cs="Calibri"/>
          <w:snapToGrid/>
          <w:szCs w:val="24"/>
          <w:lang w:val="en-US" w:eastAsia="en-AU"/>
        </w:rPr>
        <w:t xml:space="preserve"> </w:t>
      </w:r>
      <w:r w:rsidR="00252401" w:rsidRPr="00AA6893">
        <w:rPr>
          <w:rFonts w:cs="Calibri"/>
          <w:snapToGrid/>
          <w:szCs w:val="24"/>
          <w:lang w:val="en-US" w:eastAsia="en-AU"/>
        </w:rPr>
        <w:t>is unable to be determined</w:t>
      </w:r>
      <w:r w:rsidR="009F0307" w:rsidRPr="00AA6893">
        <w:rPr>
          <w:rFonts w:cs="Calibri"/>
          <w:snapToGrid/>
          <w:szCs w:val="24"/>
          <w:lang w:val="en-US" w:eastAsia="en-AU"/>
        </w:rPr>
        <w:t>.</w:t>
      </w:r>
    </w:p>
    <w:p w:rsidR="009F0307" w:rsidRDefault="00D5581F" w:rsidP="00561C55">
      <w:pPr>
        <w:pStyle w:val="ListParagraph"/>
        <w:widowControl/>
        <w:numPr>
          <w:ilvl w:val="0"/>
          <w:numId w:val="2"/>
        </w:numPr>
        <w:spacing w:after="0"/>
        <w:ind w:left="993" w:hanging="283"/>
      </w:pPr>
      <w:r>
        <w:t>A high but similar proportion of patient will experience</w:t>
      </w:r>
      <w:r w:rsidR="00B87EF9" w:rsidRPr="00AA6893">
        <w:t xml:space="preserve"> AEs</w:t>
      </w:r>
      <w:r w:rsidR="00BE4512" w:rsidRPr="00AA6893">
        <w:t>, although the types of AE</w:t>
      </w:r>
      <w:r w:rsidR="000058A7" w:rsidRPr="00AA6893">
        <w:t>s</w:t>
      </w:r>
      <w:r w:rsidR="00BE4512" w:rsidRPr="00AA6893">
        <w:t xml:space="preserve"> </w:t>
      </w:r>
      <w:r>
        <w:t>will</w:t>
      </w:r>
      <w:r w:rsidR="00BE4512" w:rsidRPr="00AA6893">
        <w:t xml:space="preserve"> </w:t>
      </w:r>
      <w:r>
        <w:t>differ</w:t>
      </w:r>
      <w:r w:rsidR="00BE4512" w:rsidRPr="00AA6893">
        <w:t>. T</w:t>
      </w:r>
      <w:r w:rsidR="00327317" w:rsidRPr="00AA6893">
        <w:t>he most common SAE in the talazoparib arm w</w:t>
      </w:r>
      <w:r w:rsidR="00BE4512" w:rsidRPr="00AA6893">
        <w:t>as</w:t>
      </w:r>
      <w:r w:rsidR="00327317" w:rsidRPr="00AA6893">
        <w:t xml:space="preserve"> anaemia (6%)</w:t>
      </w:r>
      <w:r w:rsidR="000058A7" w:rsidRPr="00AA6893">
        <w:t xml:space="preserve"> whereas t</w:t>
      </w:r>
      <w:r w:rsidR="00327317" w:rsidRPr="00AA6893">
        <w:t xml:space="preserve">he most common SAEs in the </w:t>
      </w:r>
      <w:r w:rsidR="00BE4512" w:rsidRPr="00AA6893">
        <w:t>SoC</w:t>
      </w:r>
      <w:r w:rsidR="00327317" w:rsidRPr="00AA6893">
        <w:t xml:space="preserve"> arm were pleural effusion (6%)</w:t>
      </w:r>
      <w:r w:rsidR="00BE4512" w:rsidRPr="00AA6893">
        <w:t xml:space="preserve"> and </w:t>
      </w:r>
      <w:r w:rsidR="00327317" w:rsidRPr="00AA6893">
        <w:t>neutropenia (3%)</w:t>
      </w:r>
      <w:r w:rsidR="000058A7" w:rsidRPr="00AA6893">
        <w:t>.</w:t>
      </w:r>
    </w:p>
    <w:p w:rsidR="00561C55" w:rsidRPr="00AA6893" w:rsidRDefault="00561C55" w:rsidP="00561C55">
      <w:pPr>
        <w:pStyle w:val="ListParagraph"/>
        <w:widowControl/>
        <w:spacing w:after="0"/>
        <w:ind w:left="993"/>
      </w:pPr>
    </w:p>
    <w:p w:rsidR="009F0307" w:rsidRPr="00C9624D" w:rsidRDefault="009F0307" w:rsidP="00561C55">
      <w:pPr>
        <w:pStyle w:val="Heading2"/>
        <w:widowControl/>
      </w:pPr>
      <w:bookmarkStart w:id="12" w:name="_Toc19717384"/>
      <w:r w:rsidRPr="00C9624D">
        <w:t>Clinical claim</w:t>
      </w:r>
      <w:bookmarkEnd w:id="12"/>
    </w:p>
    <w:p w:rsidR="009F0307" w:rsidRPr="00882085" w:rsidRDefault="009F0307" w:rsidP="00561C55">
      <w:pPr>
        <w:widowControl/>
        <w:ind w:left="720" w:hanging="720"/>
      </w:pPr>
    </w:p>
    <w:p w:rsidR="009F0307" w:rsidRPr="00AA6893" w:rsidRDefault="009F0307" w:rsidP="00561C55">
      <w:pPr>
        <w:pStyle w:val="ListParagraph"/>
        <w:widowControl/>
        <w:numPr>
          <w:ilvl w:val="1"/>
          <w:numId w:val="3"/>
        </w:numPr>
      </w:pPr>
      <w:r w:rsidRPr="00AA6893">
        <w:t xml:space="preserve">The submission described talazoparib as superior in terms of effectiveness compared with single agent chemotherapy (referred to as SoC) and non-inferior “but different” in terms of safety compared to SoC. </w:t>
      </w:r>
    </w:p>
    <w:p w:rsidR="009F0307" w:rsidRPr="00AA6893" w:rsidRDefault="009F0307" w:rsidP="00561C55">
      <w:pPr>
        <w:pStyle w:val="ListParagraph"/>
        <w:widowControl/>
        <w:numPr>
          <w:ilvl w:val="1"/>
          <w:numId w:val="3"/>
        </w:numPr>
      </w:pPr>
      <w:r w:rsidRPr="00AA6893">
        <w:t xml:space="preserve">The </w:t>
      </w:r>
      <w:r w:rsidR="00795AF2">
        <w:t xml:space="preserve">evaluation and ESC considered that the </w:t>
      </w:r>
      <w:r w:rsidRPr="00AA6893">
        <w:t>therapeutic conclusion presented in the submission in terms of efficacy was not adequately supported by the evidence presented in the submission.</w:t>
      </w:r>
    </w:p>
    <w:p w:rsidR="009F0307" w:rsidRPr="00AA6893" w:rsidRDefault="009F0307" w:rsidP="00561C55">
      <w:pPr>
        <w:pStyle w:val="Bulletpoints"/>
        <w:widowControl/>
        <w:ind w:left="1134" w:hanging="357"/>
      </w:pPr>
      <w:r w:rsidRPr="00AA6893">
        <w:t>There are inadequate data on the relevant outcome of OS. Analyses of OS were interim-based with heavily censored data;</w:t>
      </w:r>
      <w:r w:rsidR="00D5313E">
        <w:t xml:space="preserve"> </w:t>
      </w:r>
    </w:p>
    <w:p w:rsidR="009E4BE7" w:rsidRPr="00AA6893" w:rsidRDefault="009F0307" w:rsidP="00561C55">
      <w:pPr>
        <w:pStyle w:val="Bulletpoints"/>
        <w:widowControl/>
        <w:ind w:left="1134" w:hanging="357"/>
      </w:pPr>
      <w:r w:rsidRPr="00AA6893">
        <w:lastRenderedPageBreak/>
        <w:t xml:space="preserve">The results indicated </w:t>
      </w:r>
      <w:r w:rsidR="00D53BDD" w:rsidRPr="00AA6893">
        <w:t xml:space="preserve">a PFS </w:t>
      </w:r>
      <w:r w:rsidRPr="00AA6893">
        <w:t xml:space="preserve">benefit associated with talazoparib. The EMBRACA trial met its primary endpoint, with a statistically significant increase of 3 months in the median PFS duration associated with talazoparib arm (median PFS 8.6 months) compared to the SoC arm (median PFS 5.6 months), as assessed by independent review. However, </w:t>
      </w:r>
      <w:r w:rsidR="00435716" w:rsidRPr="00AA6893">
        <w:t xml:space="preserve">there is high uncertainty regarding the applicability of the results to clinical practice. </w:t>
      </w:r>
      <w:r w:rsidR="00D62B73">
        <w:t>I</w:t>
      </w:r>
      <w:r w:rsidR="009E4BE7" w:rsidRPr="00AA6893">
        <w:t>n the EMBRACA</w:t>
      </w:r>
      <w:r w:rsidR="00D62B73">
        <w:t xml:space="preserve"> trial</w:t>
      </w:r>
      <w:r w:rsidR="009E4BE7" w:rsidRPr="00AA6893">
        <w:t xml:space="preserve">, 38% of patients received no prior regimens for advanced or metastatic disease, 37% received one prior regimen, </w:t>
      </w:r>
      <w:r w:rsidR="00D62B73">
        <w:t>20%</w:t>
      </w:r>
      <w:r w:rsidR="009E4BE7" w:rsidRPr="00AA6893">
        <w:t xml:space="preserve"> received two prior regimens and </w:t>
      </w:r>
      <w:r w:rsidR="00D62B73">
        <w:t>5%</w:t>
      </w:r>
      <w:r w:rsidR="009E4BE7" w:rsidRPr="00AA6893">
        <w:t xml:space="preserve"> received ≥ 3 prior regimens.</w:t>
      </w:r>
      <w:r w:rsidR="00D62B73" w:rsidRPr="00D62B73">
        <w:t xml:space="preserve"> </w:t>
      </w:r>
      <w:r w:rsidR="00D62B73" w:rsidRPr="00AA6893">
        <w:t xml:space="preserve">In Australian clinical practice, a higher proportion of more heavily pre-treated patients may </w:t>
      </w:r>
      <w:r w:rsidR="0041294F">
        <w:t>receive</w:t>
      </w:r>
      <w:r w:rsidR="00D62B73" w:rsidRPr="00AA6893">
        <w:t xml:space="preserve"> talazoparib.</w:t>
      </w:r>
    </w:p>
    <w:p w:rsidR="009E4BE7" w:rsidRPr="00AA6893" w:rsidRDefault="009E4BE7" w:rsidP="00D62B73">
      <w:pPr>
        <w:pStyle w:val="Bulletpoints"/>
        <w:widowControl/>
        <w:ind w:left="1134" w:hanging="357"/>
      </w:pPr>
      <w:r w:rsidRPr="00AA6893">
        <w:t xml:space="preserve">The proportion of patients in EMBRACA </w:t>
      </w:r>
      <w:r w:rsidR="00D62B73">
        <w:t>who</w:t>
      </w:r>
      <w:r w:rsidR="00D62B73" w:rsidRPr="00AA6893">
        <w:t xml:space="preserve"> </w:t>
      </w:r>
      <w:r w:rsidRPr="00AA6893">
        <w:t xml:space="preserve">received carboplatin or cisplatin, as prior anti-neoplastic treatment for metastatic disease, was low in both arms (approximately 7.2% </w:t>
      </w:r>
      <w:r w:rsidR="00D62B73">
        <w:t>had prior</w:t>
      </w:r>
      <w:r w:rsidRPr="00AA6893">
        <w:t xml:space="preserve"> carboplatin and 2.1% </w:t>
      </w:r>
      <w:r w:rsidR="00D62B73">
        <w:t>had prior</w:t>
      </w:r>
      <w:r w:rsidR="00D62B73" w:rsidRPr="00AA6893">
        <w:t xml:space="preserve"> </w:t>
      </w:r>
      <w:r w:rsidRPr="00AA6893">
        <w:t xml:space="preserve">cisplatin). The corresponding proportion of patients in Australian clinical practice, who would have had prior platinum therapy, is </w:t>
      </w:r>
      <w:r w:rsidR="00D62B73">
        <w:t xml:space="preserve">likely to be much higher given that </w:t>
      </w:r>
      <w:r w:rsidR="00D62B73" w:rsidRPr="00D62B73">
        <w:t xml:space="preserve">local market research data </w:t>
      </w:r>
      <w:r w:rsidR="00D62B73">
        <w:t xml:space="preserve">(presented in the PSCR and pre-PBAC response) </w:t>
      </w:r>
      <w:r w:rsidR="00D62B73" w:rsidRPr="00D62B73">
        <w:t>estimated that 70% of Australian patients with metastatic triple negative breast cancer received platinum therapy as first-line treatment</w:t>
      </w:r>
      <w:r w:rsidRPr="00AA6893">
        <w:t xml:space="preserve">. </w:t>
      </w:r>
      <w:r w:rsidR="00975EF0">
        <w:t xml:space="preserve">While the clinician who presented at the hearing indicated a preference for using anthracyclines (rather than platinum-based therapy) in the first-line metastatic setting, the PBAC noted the market research data indicated much higher use of platinum-based therapies in the first-line setting. </w:t>
      </w:r>
      <w:r w:rsidRPr="00AA6893">
        <w:t>This may impact the efficacy (and hence the cost-effectiveness) of talazoparib in the population for whom PBS listing is being sought.</w:t>
      </w:r>
    </w:p>
    <w:p w:rsidR="007C1703" w:rsidRPr="000C1906" w:rsidRDefault="00D5581F" w:rsidP="00561C55">
      <w:pPr>
        <w:pStyle w:val="Bulletpoints"/>
        <w:widowControl/>
        <w:ind w:left="1134" w:hanging="357"/>
      </w:pPr>
      <w:r>
        <w:t>There was no platinum-based chemo</w:t>
      </w:r>
      <w:r w:rsidR="009E4BE7" w:rsidRPr="00AA6893">
        <w:t>therapy in the comparator arm of the EMBRACA trial. Thus</w:t>
      </w:r>
      <w:r w:rsidR="006577C6" w:rsidRPr="00AA6893">
        <w:t>,</w:t>
      </w:r>
      <w:r w:rsidR="009E4BE7" w:rsidRPr="00AA6893">
        <w:t xml:space="preserve"> the efficacy of talazoparib versus platinum therapy is unknown. Where </w:t>
      </w:r>
      <w:r w:rsidR="009E4BE7" w:rsidRPr="000C1906">
        <w:t>platinum is part of current standard practice for some patients, the cost-effectiveness of talazoparib is highly uncertain.</w:t>
      </w:r>
    </w:p>
    <w:p w:rsidR="00530413" w:rsidRPr="000C1906" w:rsidRDefault="00530413" w:rsidP="00561C55">
      <w:pPr>
        <w:pStyle w:val="Bulletpoints"/>
        <w:widowControl/>
        <w:numPr>
          <w:ilvl w:val="0"/>
          <w:numId w:val="0"/>
        </w:numPr>
        <w:ind w:left="1440"/>
      </w:pPr>
    </w:p>
    <w:p w:rsidR="00530413" w:rsidRPr="000C1906" w:rsidRDefault="003E2C25" w:rsidP="00561C55">
      <w:pPr>
        <w:pStyle w:val="ListParagraph"/>
        <w:widowControl/>
        <w:numPr>
          <w:ilvl w:val="1"/>
          <w:numId w:val="3"/>
        </w:numPr>
      </w:pPr>
      <w:r w:rsidRPr="000C1906">
        <w:t xml:space="preserve">The </w:t>
      </w:r>
      <w:r w:rsidR="004C4154">
        <w:t>PBAC</w:t>
      </w:r>
      <w:r w:rsidR="004C4154" w:rsidRPr="000C1906">
        <w:t xml:space="preserve"> </w:t>
      </w:r>
      <w:r w:rsidRPr="000C1906">
        <w:t>considered the claim of superior comparative effectiveness was adequately supported by the data in terms of PFS</w:t>
      </w:r>
      <w:r w:rsidR="00D5581F">
        <w:t>,</w:t>
      </w:r>
      <w:r w:rsidRPr="000C1906">
        <w:t xml:space="preserve"> </w:t>
      </w:r>
      <w:r w:rsidR="00D5581F">
        <w:t>al</w:t>
      </w:r>
      <w:r w:rsidRPr="000C1906">
        <w:t xml:space="preserve">though </w:t>
      </w:r>
      <w:r w:rsidR="00713EE0" w:rsidRPr="000C1906">
        <w:t xml:space="preserve">the </w:t>
      </w:r>
      <w:r w:rsidR="004C4154">
        <w:t>PBAC</w:t>
      </w:r>
      <w:r w:rsidR="004C4154" w:rsidRPr="000C1906">
        <w:t xml:space="preserve"> </w:t>
      </w:r>
      <w:r w:rsidR="00713EE0" w:rsidRPr="000C1906">
        <w:t xml:space="preserve">was uncertain whether the same </w:t>
      </w:r>
      <w:r w:rsidRPr="000C1906">
        <w:t>extent of benefit would be observed in clinical practice (see paragraph 6.</w:t>
      </w:r>
      <w:r w:rsidR="003142F2">
        <w:t>20</w:t>
      </w:r>
      <w:r w:rsidRPr="000C1906">
        <w:t xml:space="preserve">). </w:t>
      </w:r>
      <w:r w:rsidR="006D6923" w:rsidRPr="000C1906">
        <w:t xml:space="preserve">The </w:t>
      </w:r>
      <w:r w:rsidR="003142F2">
        <w:t>PBAC</w:t>
      </w:r>
      <w:r w:rsidR="003142F2" w:rsidRPr="000C1906">
        <w:t xml:space="preserve"> </w:t>
      </w:r>
      <w:r w:rsidR="006D6923" w:rsidRPr="000C1906">
        <w:t xml:space="preserve">considered that the data were not adequately mature to determine </w:t>
      </w:r>
      <w:r w:rsidR="00795AF2">
        <w:t xml:space="preserve">whether talazoparib would be associated with </w:t>
      </w:r>
      <w:r w:rsidR="006D6923" w:rsidRPr="000C1906">
        <w:t xml:space="preserve">an OS benefit compared with SoC. </w:t>
      </w:r>
    </w:p>
    <w:p w:rsidR="007C1703" w:rsidRPr="000C1906" w:rsidRDefault="00273863" w:rsidP="00561C55">
      <w:pPr>
        <w:pStyle w:val="ListParagraph"/>
        <w:widowControl/>
        <w:numPr>
          <w:ilvl w:val="1"/>
          <w:numId w:val="3"/>
        </w:numPr>
      </w:pPr>
      <w:r w:rsidRPr="000C1906">
        <w:t xml:space="preserve">The </w:t>
      </w:r>
      <w:r w:rsidR="003142F2">
        <w:t>PBAC</w:t>
      </w:r>
      <w:r w:rsidR="003142F2" w:rsidRPr="000C1906">
        <w:t xml:space="preserve"> </w:t>
      </w:r>
      <w:r w:rsidRPr="000C1906">
        <w:t xml:space="preserve">considered the claim of non-inferior safety was reasonable. </w:t>
      </w:r>
    </w:p>
    <w:p w:rsidR="009F0307" w:rsidRPr="00C9624D" w:rsidRDefault="009F0307" w:rsidP="00C825DD">
      <w:pPr>
        <w:pStyle w:val="Heading2"/>
        <w:keepNext/>
        <w:widowControl/>
      </w:pPr>
      <w:bookmarkStart w:id="13" w:name="_Toc19717385"/>
      <w:r w:rsidRPr="00C9624D">
        <w:t>Economic analysis</w:t>
      </w:r>
      <w:bookmarkEnd w:id="13"/>
      <w:r w:rsidRPr="00C9624D">
        <w:t xml:space="preserve"> </w:t>
      </w:r>
    </w:p>
    <w:p w:rsidR="009F0307" w:rsidRPr="00882085" w:rsidRDefault="009F0307" w:rsidP="00C825DD">
      <w:pPr>
        <w:keepNext/>
        <w:widowControl/>
        <w:ind w:left="720" w:hanging="720"/>
      </w:pPr>
    </w:p>
    <w:p w:rsidR="009F0307" w:rsidRPr="0042033E" w:rsidRDefault="009F0307" w:rsidP="00C825DD">
      <w:pPr>
        <w:pStyle w:val="ListParagraph"/>
        <w:keepNext/>
        <w:widowControl/>
        <w:numPr>
          <w:ilvl w:val="1"/>
          <w:numId w:val="3"/>
        </w:numPr>
      </w:pPr>
      <w:r>
        <w:t xml:space="preserve">The submission presented </w:t>
      </w:r>
      <w:r w:rsidR="00344925">
        <w:t>an economic</w:t>
      </w:r>
      <w:r>
        <w:t xml:space="preserve"> evaluation</w:t>
      </w:r>
      <w:r w:rsidR="000C391F">
        <w:t xml:space="preserve"> structured as a partitioned survival analysis</w:t>
      </w:r>
      <w:r>
        <w:t xml:space="preserve"> based on </w:t>
      </w:r>
      <w:r w:rsidR="00344925">
        <w:t xml:space="preserve">the </w:t>
      </w:r>
      <w:r w:rsidR="00D73AB5">
        <w:t xml:space="preserve">EMBRACA </w:t>
      </w:r>
      <w:r>
        <w:t xml:space="preserve">trial. The type of economic evaluation presented was </w:t>
      </w:r>
      <w:r>
        <w:lastRenderedPageBreak/>
        <w:t xml:space="preserve">a cost-utility analysis and </w:t>
      </w:r>
      <w:r w:rsidRPr="005461F1">
        <w:t>cost-effectiveness analysis (cost-per-life-year-gained).</w:t>
      </w:r>
      <w:r>
        <w:t xml:space="preserve"> The key components of the economic evaluation are summarised below.</w:t>
      </w:r>
    </w:p>
    <w:p w:rsidR="009F0307" w:rsidRPr="0011147E" w:rsidRDefault="009F0307" w:rsidP="00561C55">
      <w:pPr>
        <w:pStyle w:val="Caption"/>
        <w:keepLines/>
        <w:widowControl/>
        <w:rPr>
          <w:rStyle w:val="CommentReference"/>
          <w:b/>
        </w:rPr>
      </w:pPr>
      <w:r w:rsidRPr="0011147E">
        <w:rPr>
          <w:rStyle w:val="CommentReference"/>
          <w:b/>
        </w:rPr>
        <w:t xml:space="preserve">Table </w:t>
      </w:r>
      <w:r w:rsidR="00112C13">
        <w:rPr>
          <w:rStyle w:val="CommentReference"/>
          <w:b/>
          <w:noProof/>
        </w:rPr>
        <w:t>7</w:t>
      </w:r>
      <w:r w:rsidRPr="0011147E">
        <w:rPr>
          <w:rStyle w:val="CommentReference"/>
          <w:b/>
        </w:rPr>
        <w:t>: Summary o</w:t>
      </w:r>
      <w:r w:rsidR="007C1703">
        <w:rPr>
          <w:rStyle w:val="CommentReference"/>
          <w:b/>
        </w:rPr>
        <w:t>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3"/>
        <w:gridCol w:w="6894"/>
      </w:tblGrid>
      <w:tr w:rsidR="009F0307" w:rsidRPr="00E05630" w:rsidTr="00645718">
        <w:tc>
          <w:tcPr>
            <w:tcW w:w="1177" w:type="pct"/>
          </w:tcPr>
          <w:p w:rsidR="009F0307" w:rsidRPr="004A3D07" w:rsidRDefault="009F0307" w:rsidP="00561C55">
            <w:pPr>
              <w:pStyle w:val="Tabletext"/>
              <w:keepLines/>
              <w:rPr>
                <w:b/>
              </w:rPr>
            </w:pPr>
            <w:r w:rsidRPr="004A3D07">
              <w:rPr>
                <w:b/>
              </w:rPr>
              <w:t>Component</w:t>
            </w:r>
          </w:p>
        </w:tc>
        <w:tc>
          <w:tcPr>
            <w:tcW w:w="3823" w:type="pct"/>
          </w:tcPr>
          <w:p w:rsidR="009F0307" w:rsidRPr="004A3D07" w:rsidRDefault="009F0307" w:rsidP="00561C55">
            <w:pPr>
              <w:pStyle w:val="Tabletext"/>
              <w:keepLines/>
              <w:jc w:val="center"/>
              <w:rPr>
                <w:b/>
              </w:rPr>
            </w:pPr>
            <w:r>
              <w:rPr>
                <w:b/>
              </w:rPr>
              <w:t>Summary</w:t>
            </w:r>
          </w:p>
        </w:tc>
      </w:tr>
      <w:tr w:rsidR="009F0307" w:rsidRPr="004E2ADC" w:rsidTr="00645718">
        <w:tc>
          <w:tcPr>
            <w:tcW w:w="1177" w:type="pct"/>
          </w:tcPr>
          <w:p w:rsidR="009F0307" w:rsidRPr="000C1906" w:rsidRDefault="009F0307" w:rsidP="00561C55">
            <w:pPr>
              <w:pStyle w:val="Tabletext"/>
              <w:keepLines/>
            </w:pPr>
            <w:r w:rsidRPr="000C1906">
              <w:t>Time horizon</w:t>
            </w:r>
          </w:p>
        </w:tc>
        <w:tc>
          <w:tcPr>
            <w:tcW w:w="3823" w:type="pct"/>
          </w:tcPr>
          <w:p w:rsidR="009F0307" w:rsidRPr="000C1906" w:rsidRDefault="009F0307" w:rsidP="00561C55">
            <w:pPr>
              <w:pStyle w:val="Tabletext"/>
              <w:keepLines/>
            </w:pPr>
            <w:r w:rsidRPr="000C1906">
              <w:t>Seven years in the base case, with a range of 1-15 years for sensitivity analysis</w:t>
            </w:r>
            <w:r w:rsidR="007C1703" w:rsidRPr="000C1906">
              <w:t>.</w:t>
            </w:r>
            <w:r w:rsidRPr="000C1906">
              <w:t xml:space="preserve"> This is compared with</w:t>
            </w:r>
            <w:r w:rsidR="00264EE7" w:rsidRPr="000C1906">
              <w:t xml:space="preserve"> a</w:t>
            </w:r>
            <w:r w:rsidRPr="000C1906">
              <w:t xml:space="preserve"> median follow-up of 11.2 months for PFS, and 14.2 months for OS in EMBRACA.</w:t>
            </w:r>
          </w:p>
        </w:tc>
      </w:tr>
      <w:tr w:rsidR="009F0307" w:rsidRPr="004E2ADC" w:rsidTr="00645718">
        <w:tc>
          <w:tcPr>
            <w:tcW w:w="1177" w:type="pct"/>
          </w:tcPr>
          <w:p w:rsidR="009F0307" w:rsidRPr="000C1906" w:rsidRDefault="009F0307" w:rsidP="00561C55">
            <w:pPr>
              <w:pStyle w:val="Tabletext"/>
              <w:keepLines/>
            </w:pPr>
            <w:r w:rsidRPr="000C1906">
              <w:t>Outcomes</w:t>
            </w:r>
          </w:p>
        </w:tc>
        <w:tc>
          <w:tcPr>
            <w:tcW w:w="3823" w:type="pct"/>
          </w:tcPr>
          <w:p w:rsidR="009F0307" w:rsidRPr="000C1906" w:rsidRDefault="009F0307" w:rsidP="00561C55">
            <w:pPr>
              <w:pStyle w:val="Tabletext"/>
              <w:keepLines/>
            </w:pPr>
            <w:r w:rsidRPr="000C1906">
              <w:t>Cost per Quality Adjusted Life Year (QALY) gained; Cost per Life Year (LY) gained</w:t>
            </w:r>
          </w:p>
        </w:tc>
      </w:tr>
      <w:tr w:rsidR="009F0307" w:rsidRPr="004E2ADC" w:rsidTr="00645718">
        <w:tc>
          <w:tcPr>
            <w:tcW w:w="1177" w:type="pct"/>
          </w:tcPr>
          <w:p w:rsidR="009F0307" w:rsidRPr="000C1906" w:rsidRDefault="009F0307" w:rsidP="00561C55">
            <w:pPr>
              <w:pStyle w:val="Tabletext"/>
              <w:keepLines/>
            </w:pPr>
            <w:r w:rsidRPr="000C1906">
              <w:t>Method(s) used to generate results</w:t>
            </w:r>
          </w:p>
        </w:tc>
        <w:tc>
          <w:tcPr>
            <w:tcW w:w="3823" w:type="pct"/>
          </w:tcPr>
          <w:p w:rsidR="009F0307" w:rsidRPr="000C1906" w:rsidRDefault="009F0307" w:rsidP="00561C55">
            <w:pPr>
              <w:pStyle w:val="Tabletext"/>
              <w:keepLines/>
            </w:pPr>
            <w:r w:rsidRPr="000C1906">
              <w:t xml:space="preserve">Partitioned survival analysis.  </w:t>
            </w:r>
          </w:p>
        </w:tc>
      </w:tr>
      <w:tr w:rsidR="009F0307" w:rsidRPr="004E2ADC" w:rsidTr="00645718">
        <w:tc>
          <w:tcPr>
            <w:tcW w:w="1177" w:type="pct"/>
          </w:tcPr>
          <w:p w:rsidR="009F0307" w:rsidRPr="000C1906" w:rsidRDefault="009F0307" w:rsidP="00561C55">
            <w:pPr>
              <w:pStyle w:val="Tabletext"/>
              <w:keepLines/>
            </w:pPr>
            <w:r w:rsidRPr="000C1906">
              <w:t>Health states</w:t>
            </w:r>
          </w:p>
        </w:tc>
        <w:tc>
          <w:tcPr>
            <w:tcW w:w="3823" w:type="pct"/>
          </w:tcPr>
          <w:p w:rsidR="009F0307" w:rsidRPr="000C1906" w:rsidRDefault="009F0307" w:rsidP="00561C55">
            <w:pPr>
              <w:pStyle w:val="Tabletext"/>
              <w:keepLines/>
            </w:pPr>
            <w:r w:rsidRPr="000C1906">
              <w:t>Standard three health state model: Progression-free; Post-progression; Dead</w:t>
            </w:r>
          </w:p>
        </w:tc>
      </w:tr>
      <w:tr w:rsidR="009F0307" w:rsidRPr="004E2ADC" w:rsidTr="00645718">
        <w:tc>
          <w:tcPr>
            <w:tcW w:w="1177" w:type="pct"/>
          </w:tcPr>
          <w:p w:rsidR="009F0307" w:rsidRPr="000C1906" w:rsidRDefault="009F0307" w:rsidP="00561C55">
            <w:pPr>
              <w:pStyle w:val="Tabletext"/>
              <w:keepLines/>
            </w:pPr>
            <w:r w:rsidRPr="000C1906">
              <w:t xml:space="preserve">Time interval over which outcomes and costs are allocated </w:t>
            </w:r>
          </w:p>
        </w:tc>
        <w:tc>
          <w:tcPr>
            <w:tcW w:w="3823" w:type="pct"/>
          </w:tcPr>
          <w:p w:rsidR="009F0307" w:rsidRPr="000C1906" w:rsidRDefault="009F0307" w:rsidP="00561C55">
            <w:pPr>
              <w:pStyle w:val="Tabletext"/>
              <w:keepLines/>
            </w:pPr>
            <w:r w:rsidRPr="000C1906">
              <w:t>Three weeks (21 days)</w:t>
            </w:r>
          </w:p>
        </w:tc>
      </w:tr>
      <w:tr w:rsidR="009F0307" w:rsidRPr="004E2ADC" w:rsidTr="00645718">
        <w:tc>
          <w:tcPr>
            <w:tcW w:w="1177" w:type="pct"/>
          </w:tcPr>
          <w:p w:rsidR="009F0307" w:rsidRPr="000C1906" w:rsidRDefault="009F0307" w:rsidP="00561C55">
            <w:pPr>
              <w:pStyle w:val="Tabletext"/>
              <w:keepLines/>
            </w:pPr>
            <w:r w:rsidRPr="000C1906">
              <w:t>Health state allocation</w:t>
            </w:r>
          </w:p>
        </w:tc>
        <w:tc>
          <w:tcPr>
            <w:tcW w:w="3823" w:type="pct"/>
          </w:tcPr>
          <w:p w:rsidR="009F0307" w:rsidRPr="000C1906" w:rsidRDefault="009F0307" w:rsidP="00561C55">
            <w:pPr>
              <w:pStyle w:val="Tabletext"/>
              <w:keepLines/>
            </w:pPr>
            <w:r w:rsidRPr="000C1906">
              <w:t xml:space="preserve">Both the PFS and time on treatment (ToT; used to determine cost of treatment) Kaplan Meier curves from EMBRACA for both arms, were used directly </w:t>
            </w:r>
            <w:r w:rsidR="00B3476D" w:rsidRPr="000C1906">
              <w:t xml:space="preserve">in </w:t>
            </w:r>
            <w:r w:rsidRPr="000C1906">
              <w:t>the model, without extrapolation, i.e. these estimates were assumed to decrease to zero at end of follow up.</w:t>
            </w:r>
          </w:p>
          <w:p w:rsidR="009F0307" w:rsidRPr="000C1906" w:rsidRDefault="009F0307" w:rsidP="00561C55">
            <w:pPr>
              <w:pStyle w:val="Tabletext"/>
              <w:keepLines/>
            </w:pPr>
            <w:r w:rsidRPr="000C1906">
              <w:t xml:space="preserve">For OS, Kaplan Meier estimates were used until median follow up (14.2 months), then extrapolated using different parametric functions (log normal for talazoparib and Gompertz for SoC chemotherapy). AIC and BIC fit statistics were used to justify the choice of parametric function. </w:t>
            </w:r>
            <w:r w:rsidR="004701AE" w:rsidRPr="000C1906">
              <w:t xml:space="preserve">There were a number of concerns regarding the allocation to health states. See comments below. </w:t>
            </w:r>
          </w:p>
        </w:tc>
      </w:tr>
      <w:tr w:rsidR="009F0307" w:rsidRPr="004E2ADC" w:rsidTr="00645718">
        <w:tc>
          <w:tcPr>
            <w:tcW w:w="1177" w:type="pct"/>
          </w:tcPr>
          <w:p w:rsidR="009F0307" w:rsidRPr="004E2ADC" w:rsidRDefault="009F0307" w:rsidP="00561C55">
            <w:pPr>
              <w:pStyle w:val="Tabletext"/>
              <w:keepLines/>
            </w:pPr>
            <w:r w:rsidRPr="00982D18">
              <w:t>Software</w:t>
            </w:r>
          </w:p>
        </w:tc>
        <w:tc>
          <w:tcPr>
            <w:tcW w:w="3823" w:type="pct"/>
          </w:tcPr>
          <w:p w:rsidR="009F0307" w:rsidRPr="004E2ADC" w:rsidRDefault="009F0307" w:rsidP="00561C55">
            <w:pPr>
              <w:pStyle w:val="Tabletext"/>
              <w:keepLines/>
            </w:pPr>
            <w:r>
              <w:t>Microsoft Excel for Office 365 (v1902); Excel 2010 compatible</w:t>
            </w:r>
          </w:p>
        </w:tc>
      </w:tr>
    </w:tbl>
    <w:p w:rsidR="009F0307" w:rsidRDefault="009F0307" w:rsidP="00561C55">
      <w:pPr>
        <w:pStyle w:val="TableFooter"/>
        <w:keepLines/>
        <w:widowControl/>
      </w:pPr>
      <w:r>
        <w:t>AIC = Akaike Information Criterion; BIC = Bayesian Information Criterion; PFS = progression-free survival; OS = overall survival; ToT = time on treatment</w:t>
      </w:r>
    </w:p>
    <w:p w:rsidR="009F0307" w:rsidRDefault="009F0307" w:rsidP="00561C55">
      <w:pPr>
        <w:pStyle w:val="TableFooter"/>
        <w:keepLines/>
        <w:widowControl/>
        <w:rPr>
          <w:rStyle w:val="CommentReference"/>
        </w:rPr>
      </w:pPr>
      <w:r>
        <w:t>Source: Table 3.1.1, Section 3 of the submission.</w:t>
      </w:r>
    </w:p>
    <w:p w:rsidR="009F0307" w:rsidRPr="00275C5A" w:rsidRDefault="009F0307" w:rsidP="00561C55">
      <w:pPr>
        <w:widowControl/>
      </w:pPr>
    </w:p>
    <w:p w:rsidR="009F0307" w:rsidRPr="009943E7" w:rsidRDefault="009F0307" w:rsidP="00C825DD">
      <w:pPr>
        <w:pStyle w:val="ListParagraph"/>
        <w:keepNext/>
        <w:keepLines/>
        <w:widowControl/>
        <w:numPr>
          <w:ilvl w:val="1"/>
          <w:numId w:val="3"/>
        </w:numPr>
      </w:pPr>
      <w:r w:rsidRPr="009943E7">
        <w:lastRenderedPageBreak/>
        <w:t>The key drivers of the model are summarised below.</w:t>
      </w:r>
    </w:p>
    <w:p w:rsidR="009F0307" w:rsidRDefault="009F0307" w:rsidP="006824D5">
      <w:pPr>
        <w:pStyle w:val="Caption"/>
        <w:keepNext/>
        <w:keepLines/>
        <w:widowControl/>
      </w:pPr>
      <w:r>
        <w:t xml:space="preserve">Table </w:t>
      </w:r>
      <w:r w:rsidR="00112C13">
        <w:rPr>
          <w:noProof/>
        </w:rPr>
        <w:t>8</w:t>
      </w:r>
      <w:r>
        <w:t xml:space="preserve">: </w:t>
      </w:r>
      <w:r w:rsidRPr="0011147E">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6379"/>
        <w:gridCol w:w="1367"/>
      </w:tblGrid>
      <w:tr w:rsidR="009F0307" w:rsidRPr="00A96EBC" w:rsidTr="00645718">
        <w:trPr>
          <w:tblHeader/>
        </w:trPr>
        <w:tc>
          <w:tcPr>
            <w:tcW w:w="705" w:type="pct"/>
            <w:shd w:val="clear" w:color="auto" w:fill="auto"/>
            <w:vAlign w:val="center"/>
          </w:tcPr>
          <w:p w:rsidR="009F0307" w:rsidRPr="000C1906" w:rsidRDefault="009F0307" w:rsidP="006824D5">
            <w:pPr>
              <w:pStyle w:val="Tabletext"/>
              <w:keepNext/>
              <w:keepLines/>
              <w:rPr>
                <w:b/>
                <w:lang w:val="en-US"/>
              </w:rPr>
            </w:pPr>
            <w:r w:rsidRPr="000C1906">
              <w:rPr>
                <w:b/>
                <w:lang w:val="en-US"/>
              </w:rPr>
              <w:t>Description</w:t>
            </w:r>
          </w:p>
        </w:tc>
        <w:tc>
          <w:tcPr>
            <w:tcW w:w="3537" w:type="pct"/>
            <w:shd w:val="clear" w:color="auto" w:fill="auto"/>
            <w:vAlign w:val="center"/>
          </w:tcPr>
          <w:p w:rsidR="009F0307" w:rsidRPr="000C1906" w:rsidRDefault="009F0307" w:rsidP="006824D5">
            <w:pPr>
              <w:pStyle w:val="Tabletext"/>
              <w:keepNext/>
              <w:keepLines/>
              <w:jc w:val="center"/>
              <w:rPr>
                <w:b/>
                <w:lang w:val="en-US"/>
              </w:rPr>
            </w:pPr>
            <w:r w:rsidRPr="000C1906">
              <w:rPr>
                <w:b/>
                <w:lang w:val="en-US"/>
              </w:rPr>
              <w:t>Method/Value</w:t>
            </w:r>
          </w:p>
        </w:tc>
        <w:tc>
          <w:tcPr>
            <w:tcW w:w="758" w:type="pct"/>
            <w:shd w:val="clear" w:color="auto" w:fill="auto"/>
            <w:vAlign w:val="center"/>
          </w:tcPr>
          <w:p w:rsidR="009F0307" w:rsidRPr="000C1906" w:rsidRDefault="009F0307" w:rsidP="006824D5">
            <w:pPr>
              <w:pStyle w:val="Tabletext"/>
              <w:keepNext/>
              <w:keepLines/>
              <w:jc w:val="center"/>
              <w:rPr>
                <w:b/>
                <w:lang w:val="en-US"/>
              </w:rPr>
            </w:pPr>
            <w:r w:rsidRPr="000C1906">
              <w:rPr>
                <w:b/>
                <w:lang w:val="en-US"/>
              </w:rPr>
              <w:t>Impact</w:t>
            </w:r>
          </w:p>
        </w:tc>
      </w:tr>
      <w:tr w:rsidR="009F0307" w:rsidRPr="00A96EBC" w:rsidTr="00645718">
        <w:tc>
          <w:tcPr>
            <w:tcW w:w="705" w:type="pct"/>
            <w:shd w:val="clear" w:color="auto" w:fill="auto"/>
            <w:vAlign w:val="center"/>
          </w:tcPr>
          <w:p w:rsidR="009F0307" w:rsidRPr="000C1906" w:rsidRDefault="009F0307" w:rsidP="006824D5">
            <w:pPr>
              <w:pStyle w:val="Tabletext"/>
              <w:keepNext/>
              <w:keepLines/>
              <w:rPr>
                <w:lang w:val="en-US"/>
              </w:rPr>
            </w:pPr>
            <w:r w:rsidRPr="000C1906">
              <w:rPr>
                <w:lang w:val="en-US"/>
              </w:rPr>
              <w:t>Extrapolation of OS</w:t>
            </w:r>
          </w:p>
        </w:tc>
        <w:tc>
          <w:tcPr>
            <w:tcW w:w="3537" w:type="pct"/>
            <w:shd w:val="clear" w:color="auto" w:fill="auto"/>
            <w:vAlign w:val="center"/>
          </w:tcPr>
          <w:p w:rsidR="009F0307" w:rsidRPr="000C1906" w:rsidRDefault="009F0307" w:rsidP="006824D5">
            <w:pPr>
              <w:pStyle w:val="Tabletext"/>
              <w:keepNext/>
              <w:keepLines/>
              <w:rPr>
                <w:lang w:val="en-US"/>
              </w:rPr>
            </w:pPr>
            <w:r w:rsidRPr="000C1906">
              <w:rPr>
                <w:lang w:val="en-US"/>
              </w:rPr>
              <w:t xml:space="preserve">The modelled OS benefit in the extrapolated portion of the curves accounted for the vast majority (96%) of the total OS benefit in the model. </w:t>
            </w:r>
          </w:p>
          <w:p w:rsidR="009F0307" w:rsidRPr="000C1906" w:rsidRDefault="009F0307" w:rsidP="006824D5">
            <w:pPr>
              <w:pStyle w:val="Tabletext"/>
              <w:keepNext/>
              <w:keepLines/>
              <w:rPr>
                <w:lang w:val="en-US"/>
              </w:rPr>
            </w:pPr>
            <w:r w:rsidRPr="000C1906">
              <w:rPr>
                <w:lang w:val="en-US"/>
              </w:rPr>
              <w:t xml:space="preserve">The separation of the survival curves occurred after median follow up (14.2 months), and was based on immature data with heavy censoring in the earlier portion of the curves. </w:t>
            </w:r>
            <w:r w:rsidR="003906DA" w:rsidRPr="000C1906">
              <w:rPr>
                <w:lang w:val="en-US"/>
              </w:rPr>
              <w:t xml:space="preserve">The </w:t>
            </w:r>
            <w:r w:rsidR="00F36E49" w:rsidRPr="000C1906">
              <w:rPr>
                <w:lang w:val="en-US"/>
              </w:rPr>
              <w:t>p</w:t>
            </w:r>
            <w:r w:rsidRPr="000C1906">
              <w:rPr>
                <w:lang w:val="en-US"/>
              </w:rPr>
              <w:t>arametric functions were poorly justified.</w:t>
            </w:r>
          </w:p>
        </w:tc>
        <w:tc>
          <w:tcPr>
            <w:tcW w:w="758" w:type="pct"/>
            <w:shd w:val="clear" w:color="auto" w:fill="auto"/>
            <w:vAlign w:val="center"/>
          </w:tcPr>
          <w:p w:rsidR="009F0307" w:rsidRPr="000C1906" w:rsidRDefault="009F0307" w:rsidP="006824D5">
            <w:pPr>
              <w:pStyle w:val="Tabletext"/>
              <w:keepNext/>
              <w:keepLines/>
              <w:rPr>
                <w:lang w:val="en-US"/>
              </w:rPr>
            </w:pPr>
            <w:r w:rsidRPr="000C1906">
              <w:rPr>
                <w:lang w:val="en-US"/>
              </w:rPr>
              <w:t>High, favours talazoparib</w:t>
            </w:r>
          </w:p>
        </w:tc>
      </w:tr>
      <w:tr w:rsidR="009F0307" w:rsidRPr="00A96EBC" w:rsidTr="00645718">
        <w:tc>
          <w:tcPr>
            <w:tcW w:w="705" w:type="pct"/>
            <w:shd w:val="clear" w:color="auto" w:fill="auto"/>
            <w:vAlign w:val="center"/>
          </w:tcPr>
          <w:p w:rsidR="009F0307" w:rsidRPr="000C1906" w:rsidRDefault="009F0307" w:rsidP="006824D5">
            <w:pPr>
              <w:pStyle w:val="Tabletext"/>
              <w:keepNext/>
              <w:keepLines/>
              <w:rPr>
                <w:lang w:val="en-US"/>
              </w:rPr>
            </w:pPr>
            <w:r w:rsidRPr="000C1906">
              <w:rPr>
                <w:lang w:val="en-US"/>
              </w:rPr>
              <w:t>gBRCA testing</w:t>
            </w:r>
          </w:p>
        </w:tc>
        <w:tc>
          <w:tcPr>
            <w:tcW w:w="3537" w:type="pct"/>
            <w:shd w:val="clear" w:color="auto" w:fill="auto"/>
            <w:vAlign w:val="center"/>
          </w:tcPr>
          <w:p w:rsidR="009F0307" w:rsidRPr="000C1906" w:rsidRDefault="00F768D5" w:rsidP="006824D5">
            <w:pPr>
              <w:pStyle w:val="Tabletext"/>
              <w:keepNext/>
              <w:keepLines/>
              <w:rPr>
                <w:lang w:val="en-US"/>
              </w:rPr>
            </w:pPr>
            <w:r w:rsidRPr="000C1906">
              <w:t xml:space="preserve">The submission included gBRCA testing costs only for </w:t>
            </w:r>
            <w:r w:rsidR="00EB7243">
              <w:rPr>
                <w:noProof/>
                <w:color w:val="000000"/>
                <w:highlight w:val="black"/>
              </w:rPr>
              <w:t>''''''</w:t>
            </w:r>
            <w:r w:rsidRPr="000C1906">
              <w:t xml:space="preserve">% of treated patients (the remaining </w:t>
            </w:r>
            <w:r w:rsidR="00EB7243">
              <w:rPr>
                <w:noProof/>
                <w:color w:val="000000"/>
                <w:highlight w:val="black"/>
              </w:rPr>
              <w:t>''''''</w:t>
            </w:r>
            <w:r w:rsidRPr="000C1906">
              <w:t>% of patients were expected to already know their gBRCA mutation status), essentially omitting all those who tested negative and were not eligible for treatment with talazoparib.</w:t>
            </w:r>
          </w:p>
        </w:tc>
        <w:tc>
          <w:tcPr>
            <w:tcW w:w="758" w:type="pct"/>
            <w:shd w:val="clear" w:color="auto" w:fill="auto"/>
            <w:vAlign w:val="center"/>
          </w:tcPr>
          <w:p w:rsidR="009F0307" w:rsidRPr="000C1906" w:rsidRDefault="009F0307" w:rsidP="006824D5">
            <w:pPr>
              <w:pStyle w:val="Tabletext"/>
              <w:keepNext/>
              <w:keepLines/>
              <w:rPr>
                <w:lang w:val="en-US"/>
              </w:rPr>
            </w:pPr>
            <w:r w:rsidRPr="000C1906">
              <w:rPr>
                <w:lang w:val="en-US"/>
              </w:rPr>
              <w:t>Moderate, favours talazoparib</w:t>
            </w:r>
          </w:p>
        </w:tc>
      </w:tr>
      <w:tr w:rsidR="009F0307" w:rsidRPr="00A96EBC" w:rsidTr="00645718">
        <w:tc>
          <w:tcPr>
            <w:tcW w:w="705" w:type="pct"/>
            <w:shd w:val="clear" w:color="auto" w:fill="auto"/>
            <w:vAlign w:val="center"/>
          </w:tcPr>
          <w:p w:rsidR="009F0307" w:rsidRPr="000C1906" w:rsidRDefault="009F0307" w:rsidP="006824D5">
            <w:pPr>
              <w:pStyle w:val="Tabletext"/>
              <w:keepNext/>
              <w:keepLines/>
              <w:rPr>
                <w:lang w:val="en-US"/>
              </w:rPr>
            </w:pPr>
            <w:r w:rsidRPr="000C1906">
              <w:rPr>
                <w:lang w:val="en-US"/>
              </w:rPr>
              <w:t>Treatment costs</w:t>
            </w:r>
          </w:p>
        </w:tc>
        <w:tc>
          <w:tcPr>
            <w:tcW w:w="3537" w:type="pct"/>
            <w:shd w:val="clear" w:color="auto" w:fill="auto"/>
            <w:vAlign w:val="center"/>
          </w:tcPr>
          <w:p w:rsidR="009F0307" w:rsidRPr="000C1906" w:rsidRDefault="009F0307" w:rsidP="006824D5">
            <w:pPr>
              <w:pStyle w:val="Tabletext"/>
              <w:keepNext/>
              <w:keepLines/>
              <w:rPr>
                <w:lang w:val="en-US"/>
              </w:rPr>
            </w:pPr>
            <w:r w:rsidRPr="000C1906">
              <w:rPr>
                <w:lang w:val="en-US"/>
              </w:rPr>
              <w:t>The submission used the ToT curve</w:t>
            </w:r>
            <w:r w:rsidR="00D8016C" w:rsidRPr="000C1906">
              <w:t xml:space="preserve"> </w:t>
            </w:r>
            <w:r w:rsidR="00D8016C" w:rsidRPr="000C1906">
              <w:rPr>
                <w:lang w:val="en-US"/>
              </w:rPr>
              <w:t>from EMBRACA which was truncated at the end of follow up</w:t>
            </w:r>
            <w:r w:rsidRPr="000C1906">
              <w:rPr>
                <w:lang w:val="en-US"/>
              </w:rPr>
              <w:t xml:space="preserve">. This </w:t>
            </w:r>
            <w:r w:rsidR="00B40AFE" w:rsidRPr="000C1906">
              <w:rPr>
                <w:lang w:val="en-US"/>
              </w:rPr>
              <w:t>would</w:t>
            </w:r>
            <w:r w:rsidRPr="000C1906">
              <w:rPr>
                <w:lang w:val="en-US"/>
              </w:rPr>
              <w:t xml:space="preserve"> underestimate the duration of treatment with talazoparib. </w:t>
            </w:r>
          </w:p>
          <w:p w:rsidR="009F0307" w:rsidRPr="000C1906" w:rsidRDefault="009F0307" w:rsidP="006824D5">
            <w:pPr>
              <w:pStyle w:val="Tabletext"/>
              <w:keepNext/>
              <w:keepLines/>
              <w:rPr>
                <w:lang w:val="en-US"/>
              </w:rPr>
            </w:pPr>
            <w:r w:rsidRPr="000C1906">
              <w:rPr>
                <w:lang w:val="en-US"/>
              </w:rPr>
              <w:t xml:space="preserve">The cost of talazoparib per cycle was adjusted based on an RDI of 91.7%. </w:t>
            </w:r>
            <w:r w:rsidR="005F290F" w:rsidRPr="000C1906">
              <w:t>This was not appropriate given</w:t>
            </w:r>
            <w:r w:rsidRPr="000C1906">
              <w:t xml:space="preserve"> the flat pricing structure of </w:t>
            </w:r>
            <w:r w:rsidR="00C24461" w:rsidRPr="000C1906">
              <w:t>the 0.75</w:t>
            </w:r>
            <w:r w:rsidR="001938A2">
              <w:t xml:space="preserve"> </w:t>
            </w:r>
            <w:r w:rsidR="00C24461" w:rsidRPr="000C1906">
              <w:t>mg</w:t>
            </w:r>
            <w:r w:rsidRPr="000C1906">
              <w:t>/day and 1</w:t>
            </w:r>
            <w:r w:rsidR="001938A2">
              <w:t xml:space="preserve"> </w:t>
            </w:r>
            <w:r w:rsidRPr="000C1906">
              <w:t>mg/day</w:t>
            </w:r>
            <w:r w:rsidR="00C24461" w:rsidRPr="000C1906">
              <w:t xml:space="preserve"> dosing regimens</w:t>
            </w:r>
            <w:r w:rsidRPr="000C1906">
              <w:t xml:space="preserve">. Furthermore, the submission did not allow for wastage. </w:t>
            </w:r>
            <w:r w:rsidR="00CC44E0" w:rsidRPr="000C1906">
              <w:t xml:space="preserve">Wastage is </w:t>
            </w:r>
            <w:r w:rsidR="00A14A0B" w:rsidRPr="000C1906">
              <w:t>likely to occur in practice</w:t>
            </w:r>
            <w:r w:rsidRPr="000C1906">
              <w:t xml:space="preserve"> as patients are dispensed an average of 30 days therapy (at a dose of 1</w:t>
            </w:r>
            <w:r w:rsidR="001938A2">
              <w:t xml:space="preserve"> </w:t>
            </w:r>
            <w:r w:rsidRPr="000C1906">
              <w:t>mg or 0.75</w:t>
            </w:r>
            <w:r w:rsidR="001938A2">
              <w:t xml:space="preserve"> </w:t>
            </w:r>
            <w:r w:rsidRPr="000C1906">
              <w:t>mg).</w:t>
            </w:r>
          </w:p>
        </w:tc>
        <w:tc>
          <w:tcPr>
            <w:tcW w:w="758" w:type="pct"/>
            <w:shd w:val="clear" w:color="auto" w:fill="auto"/>
            <w:vAlign w:val="center"/>
          </w:tcPr>
          <w:p w:rsidR="009F0307" w:rsidRPr="000C1906" w:rsidRDefault="009F0307" w:rsidP="006824D5">
            <w:pPr>
              <w:pStyle w:val="Tabletext"/>
              <w:keepNext/>
              <w:keepLines/>
              <w:rPr>
                <w:lang w:val="en-US"/>
              </w:rPr>
            </w:pPr>
            <w:r w:rsidRPr="000C1906">
              <w:rPr>
                <w:lang w:val="en-US"/>
              </w:rPr>
              <w:t>Moderate, favours talazoparib</w:t>
            </w:r>
          </w:p>
        </w:tc>
      </w:tr>
      <w:tr w:rsidR="009F0307" w:rsidRPr="00A96EBC" w:rsidTr="00645718">
        <w:tc>
          <w:tcPr>
            <w:tcW w:w="705" w:type="pct"/>
            <w:shd w:val="clear" w:color="auto" w:fill="auto"/>
            <w:vAlign w:val="center"/>
          </w:tcPr>
          <w:p w:rsidR="009F0307" w:rsidRPr="000C1906" w:rsidRDefault="009F0307" w:rsidP="006824D5">
            <w:pPr>
              <w:pStyle w:val="Tabletext"/>
              <w:keepNext/>
              <w:keepLines/>
              <w:rPr>
                <w:lang w:val="en-US"/>
              </w:rPr>
            </w:pPr>
            <w:r w:rsidRPr="000C1906">
              <w:rPr>
                <w:lang w:val="en-US"/>
              </w:rPr>
              <w:t>Utilities</w:t>
            </w:r>
          </w:p>
        </w:tc>
        <w:tc>
          <w:tcPr>
            <w:tcW w:w="3537" w:type="pct"/>
            <w:shd w:val="clear" w:color="auto" w:fill="auto"/>
            <w:vAlign w:val="center"/>
          </w:tcPr>
          <w:p w:rsidR="009F0307" w:rsidRPr="000C1906" w:rsidRDefault="009F0307" w:rsidP="006824D5">
            <w:pPr>
              <w:pStyle w:val="Tabletext"/>
              <w:keepNext/>
              <w:keepLines/>
              <w:rPr>
                <w:lang w:val="en-US"/>
              </w:rPr>
            </w:pPr>
            <w:r w:rsidRPr="000C1906">
              <w:rPr>
                <w:lang w:val="en-US"/>
              </w:rPr>
              <w:t>The submission did not provide adequate information to assess the appropriateness of the HRQoL data from EMBRACA that was used as the basis for the utility values in the progression-free health state</w:t>
            </w:r>
            <w:r w:rsidR="004C2EDB" w:rsidRPr="000C1906">
              <w:rPr>
                <w:lang w:val="en-US"/>
              </w:rPr>
              <w:t>.</w:t>
            </w:r>
          </w:p>
        </w:tc>
        <w:tc>
          <w:tcPr>
            <w:tcW w:w="758" w:type="pct"/>
            <w:shd w:val="clear" w:color="auto" w:fill="auto"/>
            <w:vAlign w:val="center"/>
          </w:tcPr>
          <w:p w:rsidR="009F0307" w:rsidRPr="000C1906" w:rsidRDefault="009F0307" w:rsidP="006824D5">
            <w:pPr>
              <w:pStyle w:val="Tabletext"/>
              <w:keepNext/>
              <w:keepLines/>
              <w:rPr>
                <w:lang w:val="en-US"/>
              </w:rPr>
            </w:pPr>
            <w:r w:rsidRPr="000C1906">
              <w:rPr>
                <w:lang w:val="en-US"/>
              </w:rPr>
              <w:t>Unclear</w:t>
            </w:r>
          </w:p>
        </w:tc>
      </w:tr>
    </w:tbl>
    <w:p w:rsidR="009F0307" w:rsidRDefault="009F0307" w:rsidP="006824D5">
      <w:pPr>
        <w:pStyle w:val="TableFooter"/>
        <w:keepNext/>
        <w:keepLines/>
        <w:widowControl/>
      </w:pPr>
      <w:r>
        <w:t>OS = overall survival; gBRCA = germline BRCA mutation; ToT = time on treatment; RDI = relative dose intensity; HRQoL = health-related quality of life.</w:t>
      </w:r>
    </w:p>
    <w:p w:rsidR="009F0307" w:rsidRDefault="009F0307" w:rsidP="006824D5">
      <w:pPr>
        <w:pStyle w:val="TableFooter"/>
        <w:keepNext/>
        <w:keepLines/>
        <w:widowControl/>
      </w:pPr>
      <w:r>
        <w:t>Source: Compiled during the evaluation</w:t>
      </w:r>
    </w:p>
    <w:p w:rsidR="009F0307" w:rsidRPr="00275C5A" w:rsidRDefault="009F0307" w:rsidP="00561C55">
      <w:pPr>
        <w:widowControl/>
      </w:pPr>
    </w:p>
    <w:p w:rsidR="009F0307" w:rsidRPr="00AA6893" w:rsidRDefault="009F0307" w:rsidP="00561C55">
      <w:pPr>
        <w:pStyle w:val="ListParagraph"/>
        <w:widowControl/>
        <w:numPr>
          <w:ilvl w:val="1"/>
          <w:numId w:val="3"/>
        </w:numPr>
      </w:pPr>
      <w:bookmarkStart w:id="14" w:name="_Ref19110363"/>
      <w:r w:rsidRPr="00AA6893">
        <w:t>The extrapolation of OS curves in the model was based on immature OS data from EMBRACA, in which only about 38% of patients</w:t>
      </w:r>
      <w:r w:rsidR="00342F3E" w:rsidRPr="00AA6893">
        <w:t xml:space="preserve"> in both treatment arms ha</w:t>
      </w:r>
      <w:r w:rsidR="00F36E49" w:rsidRPr="00AA6893">
        <w:t>d</w:t>
      </w:r>
      <w:r w:rsidRPr="00AA6893">
        <w:t xml:space="preserve"> died </w:t>
      </w:r>
      <w:r w:rsidRPr="002E075F">
        <w:t>within the follow-up period of the trial</w:t>
      </w:r>
      <w:r w:rsidR="00342F3E" w:rsidRPr="002E075F">
        <w:t xml:space="preserve">. Further, there </w:t>
      </w:r>
      <w:r w:rsidRPr="002E075F">
        <w:t>was heavy censoring in the early portion of the curves. Therefore, the estimated OS benefit in the model was subject to high uncertainty.</w:t>
      </w:r>
      <w:bookmarkEnd w:id="14"/>
      <w:r w:rsidR="00606C4A" w:rsidRPr="002E075F">
        <w:t xml:space="preserve"> </w:t>
      </w:r>
      <w:r w:rsidR="007F6EFA" w:rsidRPr="002E075F">
        <w:t>The ESC considered that more mature OS data would be required to accurately inform any incremental benefit in terms of OS of talazoparib vs SoC.</w:t>
      </w:r>
      <w:r w:rsidR="007F6EFA">
        <w:rPr>
          <w:i/>
        </w:rPr>
        <w:t xml:space="preserve"> </w:t>
      </w:r>
    </w:p>
    <w:p w:rsidR="009F0307" w:rsidRPr="002E075F" w:rsidRDefault="00E84FD0" w:rsidP="00561C55">
      <w:pPr>
        <w:pStyle w:val="ListParagraph"/>
        <w:widowControl/>
        <w:numPr>
          <w:ilvl w:val="1"/>
          <w:numId w:val="3"/>
        </w:numPr>
      </w:pPr>
      <w:r w:rsidRPr="002E075F">
        <w:t>In addition, the selection of parametric functions to extrapolate the OS curves was poorly justified and the modelled long term OS benefit was not supported.</w:t>
      </w:r>
      <w:r w:rsidR="00262D57" w:rsidRPr="002E075F">
        <w:t xml:space="preserve"> </w:t>
      </w:r>
      <w:r w:rsidR="00B40AFE" w:rsidRPr="002E075F">
        <w:t xml:space="preserve">The PSCR stated that parametric </w:t>
      </w:r>
      <w:r w:rsidR="00DE443D" w:rsidRPr="002E075F">
        <w:t>function</w:t>
      </w:r>
      <w:r w:rsidR="00B40AFE" w:rsidRPr="002E075F">
        <w:t>s were</w:t>
      </w:r>
      <w:r w:rsidR="00DE443D" w:rsidRPr="002E075F">
        <w:t xml:space="preserve"> selected based on </w:t>
      </w:r>
      <w:r w:rsidR="00930EAF" w:rsidRPr="002E075F">
        <w:t xml:space="preserve">the statistical </w:t>
      </w:r>
      <w:r w:rsidR="00DE443D" w:rsidRPr="002E075F">
        <w:t xml:space="preserve">goodness of fit </w:t>
      </w:r>
      <w:r w:rsidR="00930EAF" w:rsidRPr="002E075F">
        <w:t>(</w:t>
      </w:r>
      <w:r w:rsidR="00DE443D" w:rsidRPr="002E075F">
        <w:t>AIB/BIC</w:t>
      </w:r>
      <w:r w:rsidR="00930EAF" w:rsidRPr="002E075F">
        <w:t>)</w:t>
      </w:r>
      <w:r w:rsidR="00DE443D" w:rsidRPr="002E075F">
        <w:t>.</w:t>
      </w:r>
      <w:r w:rsidR="00B40AFE" w:rsidRPr="002E075F">
        <w:t xml:space="preserve"> </w:t>
      </w:r>
      <w:r w:rsidR="00262D57" w:rsidRPr="002E075F">
        <w:t xml:space="preserve">The ESC </w:t>
      </w:r>
      <w:r w:rsidR="003B6973" w:rsidRPr="002E075F">
        <w:t>considered the clinical plausibility</w:t>
      </w:r>
      <w:r w:rsidR="006B7CA8" w:rsidRPr="002E075F">
        <w:t xml:space="preserve"> for the use of the chosen parametric functions to extrapolate OS</w:t>
      </w:r>
      <w:r w:rsidR="00D12A2D" w:rsidRPr="002E075F">
        <w:t xml:space="preserve"> </w:t>
      </w:r>
      <w:r w:rsidR="002F7009" w:rsidRPr="002E075F">
        <w:t xml:space="preserve">was </w:t>
      </w:r>
      <w:r w:rsidR="00930EAF" w:rsidRPr="002E075F">
        <w:t>not adequately justified</w:t>
      </w:r>
      <w:r w:rsidR="00D12A2D" w:rsidRPr="002E075F">
        <w:t xml:space="preserve">. The ESC noted that the </w:t>
      </w:r>
      <w:r w:rsidR="00930EAF" w:rsidRPr="002E075F">
        <w:t xml:space="preserve">selected parametric functions </w:t>
      </w:r>
      <w:r w:rsidR="002A02DD" w:rsidRPr="002E075F">
        <w:t>were not conservative</w:t>
      </w:r>
      <w:r w:rsidR="00930EAF" w:rsidRPr="002E075F">
        <w:t xml:space="preserve"> (</w:t>
      </w:r>
      <w:r w:rsidR="00EE3651" w:rsidRPr="002E075F">
        <w:t>i.e.</w:t>
      </w:r>
      <w:r w:rsidR="00930EAF" w:rsidRPr="002E075F">
        <w:t xml:space="preserve"> the </w:t>
      </w:r>
      <w:r w:rsidR="00D12A2D" w:rsidRPr="002E075F">
        <w:t xml:space="preserve">Gompertz function used to extrapolate the SoC OS curve </w:t>
      </w:r>
      <w:r w:rsidR="00DD1218" w:rsidRPr="002E075F">
        <w:t>resulted in the most conservative OS extrapolation</w:t>
      </w:r>
      <w:r w:rsidR="006030F1" w:rsidRPr="002E075F">
        <w:t xml:space="preserve"> while the </w:t>
      </w:r>
      <w:r w:rsidR="00DD1218" w:rsidRPr="002E075F">
        <w:t>log normal</w:t>
      </w:r>
      <w:r w:rsidR="006030F1" w:rsidRPr="002E075F">
        <w:t xml:space="preserve"> function used </w:t>
      </w:r>
      <w:r w:rsidR="00DD1218" w:rsidRPr="002E075F">
        <w:t>for</w:t>
      </w:r>
      <w:r w:rsidR="006030F1" w:rsidRPr="002E075F">
        <w:t xml:space="preserve"> the talazoparib OS curve </w:t>
      </w:r>
      <w:r w:rsidR="00A63E14" w:rsidRPr="002E075F">
        <w:t>was more optimistic</w:t>
      </w:r>
      <w:r w:rsidR="00930EAF" w:rsidRPr="002E075F">
        <w:t>)</w:t>
      </w:r>
      <w:r w:rsidR="00A63E14" w:rsidRPr="002E075F">
        <w:t xml:space="preserve">. </w:t>
      </w:r>
    </w:p>
    <w:p w:rsidR="009F0307" w:rsidRPr="002E075F" w:rsidRDefault="009F0307" w:rsidP="00561C55">
      <w:pPr>
        <w:pStyle w:val="ListParagraph"/>
        <w:widowControl/>
        <w:numPr>
          <w:ilvl w:val="1"/>
          <w:numId w:val="3"/>
        </w:numPr>
      </w:pPr>
      <w:bookmarkStart w:id="15" w:name="_Ref19110378"/>
      <w:r w:rsidRPr="002E075F">
        <w:t xml:space="preserve">The modelled OS in the extrapolated portion of the curves accounts for the majority (96%) of the total OS benefit </w:t>
      </w:r>
      <w:r w:rsidR="00F768D5" w:rsidRPr="002E075F">
        <w:t xml:space="preserve">(in terms of life-years gained) </w:t>
      </w:r>
      <w:r w:rsidRPr="002E075F">
        <w:t xml:space="preserve">in the model (see </w:t>
      </w:r>
      <w:r w:rsidR="00C825DD" w:rsidRPr="002E075F">
        <w:t xml:space="preserve">Figure </w:t>
      </w:r>
      <w:r w:rsidR="00C825DD" w:rsidRPr="002E075F">
        <w:rPr>
          <w:noProof/>
        </w:rPr>
        <w:t>4</w:t>
      </w:r>
      <w:r w:rsidR="00C825DD" w:rsidRPr="002E075F">
        <w:t xml:space="preserve"> </w:t>
      </w:r>
      <w:r w:rsidRPr="002E075F">
        <w:t>below).</w:t>
      </w:r>
      <w:bookmarkEnd w:id="15"/>
      <w:r w:rsidR="00DD1218" w:rsidRPr="002E075F">
        <w:t xml:space="preserve"> </w:t>
      </w:r>
      <w:r w:rsidR="001F405B" w:rsidRPr="002E075F">
        <w:t xml:space="preserve">The ESC </w:t>
      </w:r>
      <w:r w:rsidR="002F7009" w:rsidRPr="002E075F">
        <w:t xml:space="preserve">considered the magnitude of </w:t>
      </w:r>
      <w:r w:rsidR="001F405B" w:rsidRPr="002E075F">
        <w:t>incremental OS benefit</w:t>
      </w:r>
      <w:r w:rsidR="002F7009" w:rsidRPr="002E075F">
        <w:t xml:space="preserve"> was not adequately justified by the </w:t>
      </w:r>
      <w:r w:rsidR="001F405B" w:rsidRPr="002E075F">
        <w:t>available trial data</w:t>
      </w:r>
      <w:r w:rsidR="009A09DF" w:rsidRPr="002E075F">
        <w:t xml:space="preserve"> given the trial data were immature</w:t>
      </w:r>
      <w:r w:rsidR="00654EC2" w:rsidRPr="002E075F">
        <w:t xml:space="preserve"> and </w:t>
      </w:r>
      <w:r w:rsidR="00654EC2" w:rsidRPr="002E075F">
        <w:lastRenderedPageBreak/>
        <w:t>there was uncertainty around the applicability of trial results to Australian clinical practice</w:t>
      </w:r>
      <w:r w:rsidR="001F405B" w:rsidRPr="002E075F">
        <w:t>.</w:t>
      </w:r>
      <w:r w:rsidR="00CA7557" w:rsidRPr="002E075F">
        <w:t xml:space="preserve"> The ESC</w:t>
      </w:r>
      <w:r w:rsidR="000B0F02" w:rsidRPr="002E075F">
        <w:t xml:space="preserve"> </w:t>
      </w:r>
      <w:r w:rsidR="00601973" w:rsidRPr="002E075F">
        <w:t>also con</w:t>
      </w:r>
      <w:r w:rsidR="000B0F02" w:rsidRPr="002E075F">
        <w:t>sidered that</w:t>
      </w:r>
      <w:r w:rsidR="00DE5890" w:rsidRPr="002E075F">
        <w:t xml:space="preserve"> the modelled </w:t>
      </w:r>
      <w:r w:rsidR="00122A92" w:rsidRPr="002E075F">
        <w:t xml:space="preserve">incremental survival </w:t>
      </w:r>
      <w:r w:rsidR="009A09DF" w:rsidRPr="002E075F">
        <w:t>gain</w:t>
      </w:r>
      <w:r w:rsidR="00DE5890" w:rsidRPr="002E075F">
        <w:t>,</w:t>
      </w:r>
      <w:r w:rsidR="00122A92" w:rsidRPr="002E075F">
        <w:t xml:space="preserve"> </w:t>
      </w:r>
      <w:r w:rsidR="00DE5890" w:rsidRPr="002E075F">
        <w:t xml:space="preserve">which increased </w:t>
      </w:r>
      <w:r w:rsidR="00122A92" w:rsidRPr="002E075F">
        <w:t xml:space="preserve">over </w:t>
      </w:r>
      <w:r w:rsidR="00DE5890" w:rsidRPr="002E075F">
        <w:t xml:space="preserve">the duration of </w:t>
      </w:r>
      <w:r w:rsidR="00122A92" w:rsidRPr="002E075F">
        <w:t xml:space="preserve">the </w:t>
      </w:r>
      <w:r w:rsidR="00DE5890" w:rsidRPr="002E075F">
        <w:t>time horizon was not appropriate.</w:t>
      </w:r>
      <w:r w:rsidR="00847F8F" w:rsidRPr="002E075F">
        <w:t xml:space="preserve"> </w:t>
      </w:r>
    </w:p>
    <w:p w:rsidR="00606C4A" w:rsidRPr="00AA6893" w:rsidRDefault="00606C4A" w:rsidP="00561C55">
      <w:pPr>
        <w:widowControl/>
      </w:pPr>
    </w:p>
    <w:p w:rsidR="009F0307" w:rsidRDefault="00C825DD" w:rsidP="00C825DD">
      <w:pPr>
        <w:pStyle w:val="Caption"/>
        <w:rPr>
          <w:i/>
        </w:rPr>
      </w:pPr>
      <w:bookmarkStart w:id="16" w:name="_Ref22641612"/>
      <w:r>
        <w:t xml:space="preserve">Figure </w:t>
      </w:r>
      <w:r w:rsidR="005E2D1C">
        <w:rPr>
          <w:noProof/>
        </w:rPr>
        <w:t>4</w:t>
      </w:r>
      <w:bookmarkEnd w:id="16"/>
      <w:r w:rsidR="009F0307">
        <w:t>: Cumulative life years gained over the time horizon of the model (undiscounted)</w:t>
      </w:r>
    </w:p>
    <w:p w:rsidR="009F0307" w:rsidRPr="00D46920" w:rsidRDefault="009F0307" w:rsidP="00561C55">
      <w:pPr>
        <w:widowControl/>
        <w:jc w:val="left"/>
        <w:rPr>
          <w:i/>
        </w:rPr>
      </w:pPr>
      <w:r>
        <w:rPr>
          <w:noProof/>
          <w:lang w:eastAsia="en-AU"/>
        </w:rPr>
        <w:drawing>
          <wp:inline distT="0" distB="0" distL="0" distR="0" wp14:anchorId="18E5BAB8" wp14:editId="5CF7D73E">
            <wp:extent cx="5880580" cy="2958860"/>
            <wp:effectExtent l="0" t="0" r="6350" b="0"/>
            <wp:docPr id="1" name="Picture 1" title="Figure 4: Cumulative life years gained over the time horizon of the model (undiscou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6158" cy="2976761"/>
                    </a:xfrm>
                    <a:prstGeom prst="rect">
                      <a:avLst/>
                    </a:prstGeom>
                    <a:noFill/>
                  </pic:spPr>
                </pic:pic>
              </a:graphicData>
            </a:graphic>
          </wp:inline>
        </w:drawing>
      </w:r>
    </w:p>
    <w:p w:rsidR="009F0307" w:rsidRDefault="009F0307" w:rsidP="00561C55">
      <w:pPr>
        <w:pStyle w:val="TableFooter"/>
        <w:widowControl/>
      </w:pPr>
      <w:r>
        <w:t>KM = Kaplan Meier; LYG = life years gained; SoC = standard of care</w:t>
      </w:r>
    </w:p>
    <w:p w:rsidR="009F0307" w:rsidRDefault="009F0307" w:rsidP="00561C55">
      <w:pPr>
        <w:pStyle w:val="TableFooter"/>
        <w:widowControl/>
        <w:rPr>
          <w:lang w:val="en-US" w:eastAsia="en-AU"/>
        </w:rPr>
      </w:pPr>
      <w:r>
        <w:t xml:space="preserve">Source: complied during the evaluation based on information presented in </w:t>
      </w:r>
      <w:r>
        <w:rPr>
          <w:lang w:val="en-US" w:eastAsia="en-AU"/>
        </w:rPr>
        <w:t>‘Talazoparib mBC CUA Australia.xlsx’</w:t>
      </w:r>
    </w:p>
    <w:p w:rsidR="00D27C2C" w:rsidRDefault="00D27C2C" w:rsidP="00561C55">
      <w:pPr>
        <w:pStyle w:val="TableFooter"/>
        <w:widowControl/>
        <w:rPr>
          <w:lang w:val="en-US" w:eastAsia="en-AU"/>
        </w:rPr>
      </w:pPr>
    </w:p>
    <w:p w:rsidR="00E361DD" w:rsidRDefault="00E361DD" w:rsidP="00561C55">
      <w:pPr>
        <w:pStyle w:val="ListParagraph"/>
        <w:widowControl/>
        <w:numPr>
          <w:ilvl w:val="1"/>
          <w:numId w:val="3"/>
        </w:numPr>
      </w:pPr>
      <w:r>
        <w:t xml:space="preserve">A time horizon of 7 years was used in the base case. </w:t>
      </w:r>
      <w:r w:rsidRPr="000C1906">
        <w:t>The ESC noted that the PBAC previously accepted a time horizon of 3 years in its consideration of everolimus (July 2013) for the treatment of hormone-receptor positive HER2- advanced breast cancer and paclitaxel (November 2008) for the treatment of advanced breast cancer. The ESC also noted that the PBAC considered the time horizon of 10 years was too long in its consideration of palbociclib (March 2017) for the treatment of hormone receptor positive (HR+) HER2- advanced breast cancer where the median follow-up for a key trial (PALOMA-1) was 6.8 years.</w:t>
      </w:r>
    </w:p>
    <w:p w:rsidR="00DC0B94" w:rsidRPr="002E075F" w:rsidRDefault="00D27C2C" w:rsidP="00561C55">
      <w:pPr>
        <w:pStyle w:val="ListParagraph"/>
        <w:widowControl/>
        <w:numPr>
          <w:ilvl w:val="1"/>
          <w:numId w:val="3"/>
        </w:numPr>
        <w:rPr>
          <w:rStyle w:val="CommentReference"/>
          <w:rFonts w:ascii="Calibri" w:hAnsi="Calibri"/>
          <w:b w:val="0"/>
          <w:sz w:val="24"/>
          <w:szCs w:val="22"/>
        </w:rPr>
      </w:pPr>
      <w:r w:rsidRPr="002E075F">
        <w:t xml:space="preserve">The ESC considered that a shorter time horizon </w:t>
      </w:r>
      <w:r w:rsidR="003431F8" w:rsidRPr="002E075F">
        <w:t>would</w:t>
      </w:r>
      <w:r w:rsidRPr="002E075F">
        <w:t xml:space="preserve"> be</w:t>
      </w:r>
      <w:r w:rsidR="003431F8" w:rsidRPr="002E075F">
        <w:t xml:space="preserve"> more</w:t>
      </w:r>
      <w:r w:rsidRPr="002E075F">
        <w:t xml:space="preserve"> appropriate given the uncertainties around the potential OS benefit due to the immaturity of the data.  The ESC noted that the ICER increased from </w:t>
      </w:r>
      <w:r w:rsidR="00464D9D">
        <w:t>$55,000 - $75,000</w:t>
      </w:r>
      <w:r w:rsidRPr="002E075F">
        <w:t xml:space="preserve">/QALY to </w:t>
      </w:r>
      <w:r w:rsidR="00464D9D">
        <w:t>$75,000 - $95,000</w:t>
      </w:r>
      <w:r w:rsidRPr="002E075F">
        <w:t xml:space="preserve">/QALY when the time horizon was reduced to 5 years. </w:t>
      </w:r>
    </w:p>
    <w:p w:rsidR="00162BB7" w:rsidRPr="002E075F" w:rsidRDefault="00162BB7" w:rsidP="00561C55">
      <w:pPr>
        <w:pStyle w:val="ListParagraph"/>
        <w:widowControl/>
        <w:numPr>
          <w:ilvl w:val="1"/>
          <w:numId w:val="3"/>
        </w:numPr>
        <w:rPr>
          <w:rFonts w:asciiTheme="minorHAnsi" w:hAnsiTheme="minorHAnsi"/>
          <w:szCs w:val="24"/>
        </w:rPr>
      </w:pPr>
      <w:bookmarkStart w:id="17" w:name="_Ref19110804"/>
      <w:r w:rsidRPr="002E075F">
        <w:rPr>
          <w:lang w:val="en-US" w:eastAsia="en-AU"/>
        </w:rPr>
        <w:t xml:space="preserve">The submission used the time-on-treatment (ToT) Kaplan-Meier (KM) curves from the EMBRACA trial to inform the </w:t>
      </w:r>
      <w:r w:rsidR="00F36E49" w:rsidRPr="002E075F">
        <w:rPr>
          <w:lang w:val="en-US" w:eastAsia="en-AU"/>
        </w:rPr>
        <w:t>duration of</w:t>
      </w:r>
      <w:r w:rsidRPr="002E075F">
        <w:rPr>
          <w:lang w:val="en-US" w:eastAsia="en-AU"/>
        </w:rPr>
        <w:t xml:space="preserve"> treatment</w:t>
      </w:r>
      <w:r w:rsidR="00A630C7" w:rsidRPr="002E075F">
        <w:rPr>
          <w:lang w:val="en-US" w:eastAsia="en-AU"/>
        </w:rPr>
        <w:t xml:space="preserve"> (median duration of follow up was not provided for ToT)</w:t>
      </w:r>
      <w:r w:rsidRPr="002E075F">
        <w:rPr>
          <w:lang w:val="en-US" w:eastAsia="en-AU"/>
        </w:rPr>
        <w:t xml:space="preserve"> for both the talazoparib and SoC arms in the model. At the end of follow-up for ToT, 17% of patients </w:t>
      </w:r>
      <w:r w:rsidR="00A630C7" w:rsidRPr="002E075F">
        <w:rPr>
          <w:lang w:val="en-US" w:eastAsia="en-AU"/>
        </w:rPr>
        <w:t xml:space="preserve">remained </w:t>
      </w:r>
      <w:r w:rsidRPr="002E075F">
        <w:rPr>
          <w:lang w:val="en-US" w:eastAsia="en-AU"/>
        </w:rPr>
        <w:t xml:space="preserve">on treatment in the talazoparib arm, based on the ToT KM provided in the economic model. In the application of the ToT </w:t>
      </w:r>
      <w:r w:rsidRPr="002E075F">
        <w:rPr>
          <w:lang w:val="en-US" w:eastAsia="en-AU"/>
        </w:rPr>
        <w:lastRenderedPageBreak/>
        <w:t>KM curve for the talazoparib arm, the submission assumed that the proportion of patients on treatment at the end of follow up (17%) was immediately reduced to 0% on the next cycle, rather than extrapolating ongoing use. This was inappropriate and has</w:t>
      </w:r>
      <w:r w:rsidR="00A630C7" w:rsidRPr="002E075F">
        <w:rPr>
          <w:lang w:val="en-US" w:eastAsia="en-AU"/>
        </w:rPr>
        <w:t xml:space="preserve"> likely</w:t>
      </w:r>
      <w:r w:rsidRPr="002E075F">
        <w:rPr>
          <w:lang w:val="en-US" w:eastAsia="en-AU"/>
        </w:rPr>
        <w:t xml:space="preserve"> underestimated the </w:t>
      </w:r>
      <w:r w:rsidR="006D6944" w:rsidRPr="002E075F">
        <w:rPr>
          <w:lang w:val="en-US" w:eastAsia="en-AU"/>
        </w:rPr>
        <w:t>average</w:t>
      </w:r>
      <w:r w:rsidR="00390662" w:rsidRPr="002E075F">
        <w:rPr>
          <w:lang w:val="en-US" w:eastAsia="en-AU"/>
        </w:rPr>
        <w:t xml:space="preserve"> </w:t>
      </w:r>
      <w:r w:rsidRPr="002E075F">
        <w:rPr>
          <w:lang w:val="en-US" w:eastAsia="en-AU"/>
        </w:rPr>
        <w:t xml:space="preserve">cost of treatment with talazoparib. </w:t>
      </w:r>
      <w:bookmarkEnd w:id="17"/>
      <w:r w:rsidR="001C77CE" w:rsidRPr="002E075F">
        <w:rPr>
          <w:lang w:val="en-US" w:eastAsia="en-AU"/>
        </w:rPr>
        <w:t xml:space="preserve">The PSCR acknowledged </w:t>
      </w:r>
      <w:r w:rsidR="00301D5B" w:rsidRPr="002E075F">
        <w:rPr>
          <w:lang w:val="en-US" w:eastAsia="en-AU"/>
        </w:rPr>
        <w:t>that</w:t>
      </w:r>
      <w:r w:rsidR="006B7BA9" w:rsidRPr="002E075F">
        <w:rPr>
          <w:lang w:val="en-US" w:eastAsia="en-AU"/>
        </w:rPr>
        <w:t xml:space="preserve"> </w:t>
      </w:r>
      <w:r w:rsidR="008A6BC4" w:rsidRPr="002E075F">
        <w:rPr>
          <w:lang w:val="en-US" w:eastAsia="en-AU"/>
        </w:rPr>
        <w:t>using</w:t>
      </w:r>
      <w:r w:rsidR="00301D5B" w:rsidRPr="002E075F">
        <w:rPr>
          <w:lang w:val="en-US" w:eastAsia="en-AU"/>
        </w:rPr>
        <w:t xml:space="preserve"> </w:t>
      </w:r>
      <w:r w:rsidR="00770A61" w:rsidRPr="002E075F">
        <w:rPr>
          <w:lang w:val="en-US" w:eastAsia="en-AU"/>
        </w:rPr>
        <w:t xml:space="preserve">an </w:t>
      </w:r>
      <w:r w:rsidR="006B7BA9" w:rsidRPr="002E075F">
        <w:rPr>
          <w:lang w:val="en-US" w:eastAsia="en-AU"/>
        </w:rPr>
        <w:t>extrapola</w:t>
      </w:r>
      <w:r w:rsidR="00301D5B" w:rsidRPr="002E075F">
        <w:rPr>
          <w:lang w:val="en-US" w:eastAsia="en-AU"/>
        </w:rPr>
        <w:t xml:space="preserve">ted </w:t>
      </w:r>
      <w:r w:rsidR="006B7BA9" w:rsidRPr="002E075F">
        <w:rPr>
          <w:lang w:val="en-US" w:eastAsia="en-AU"/>
        </w:rPr>
        <w:t>ToT curve</w:t>
      </w:r>
      <w:r w:rsidR="00770A61" w:rsidRPr="002E075F">
        <w:rPr>
          <w:lang w:val="en-US" w:eastAsia="en-AU"/>
        </w:rPr>
        <w:t xml:space="preserve"> which assumes </w:t>
      </w:r>
      <w:r w:rsidR="005842CC" w:rsidRPr="002E075F">
        <w:rPr>
          <w:lang w:val="en-US" w:eastAsia="en-AU"/>
        </w:rPr>
        <w:t>the</w:t>
      </w:r>
      <w:r w:rsidR="00770A61" w:rsidRPr="002E075F">
        <w:rPr>
          <w:lang w:val="en-US" w:eastAsia="en-AU"/>
        </w:rPr>
        <w:t xml:space="preserve"> </w:t>
      </w:r>
      <w:r w:rsidR="005842CC" w:rsidRPr="002E075F">
        <w:rPr>
          <w:lang w:val="en-US" w:eastAsia="en-AU"/>
        </w:rPr>
        <w:t xml:space="preserve">per-cycle </w:t>
      </w:r>
      <w:r w:rsidR="00770A61" w:rsidRPr="002E075F">
        <w:rPr>
          <w:lang w:val="en-US" w:eastAsia="en-AU"/>
        </w:rPr>
        <w:t xml:space="preserve">probability of discontinuing treatment </w:t>
      </w:r>
      <w:r w:rsidR="005842CC" w:rsidRPr="002E075F">
        <w:rPr>
          <w:lang w:val="en-US" w:eastAsia="en-AU"/>
        </w:rPr>
        <w:t>is equal to the probability of</w:t>
      </w:r>
      <w:r w:rsidR="00770A61" w:rsidRPr="002E075F">
        <w:rPr>
          <w:lang w:val="en-US" w:eastAsia="en-AU"/>
        </w:rPr>
        <w:t xml:space="preserve"> disease progression, as conducted by the evaluation (see Table 10 below) was reasonable. The ESC considered that while</w:t>
      </w:r>
      <w:r w:rsidR="001D3F53" w:rsidRPr="002E075F">
        <w:rPr>
          <w:lang w:val="en-US" w:eastAsia="en-AU"/>
        </w:rPr>
        <w:t xml:space="preserve"> the</w:t>
      </w:r>
      <w:r w:rsidR="00770A61" w:rsidRPr="002E075F">
        <w:rPr>
          <w:lang w:val="en-US" w:eastAsia="en-AU"/>
        </w:rPr>
        <w:t xml:space="preserve"> application of the extrapolated ToT curve to the model</w:t>
      </w:r>
      <w:r w:rsidR="001D3F53" w:rsidRPr="002E075F">
        <w:rPr>
          <w:lang w:val="en-US" w:eastAsia="en-AU"/>
        </w:rPr>
        <w:t xml:space="preserve"> was a more appropriate estimate of average cost of treatment with talazoparib, the estimated costs may still be an underestimate noting that the PFS curve is </w:t>
      </w:r>
      <w:r w:rsidR="004E13D2">
        <w:rPr>
          <w:lang w:val="en-US" w:eastAsia="en-AU"/>
        </w:rPr>
        <w:t xml:space="preserve">also truncated (see Figure 4). </w:t>
      </w:r>
    </w:p>
    <w:p w:rsidR="009F0307" w:rsidRPr="00AA6893" w:rsidRDefault="009F0307" w:rsidP="00561C55">
      <w:pPr>
        <w:pStyle w:val="ListParagraph"/>
        <w:widowControl/>
        <w:numPr>
          <w:ilvl w:val="1"/>
          <w:numId w:val="3"/>
        </w:numPr>
        <w:rPr>
          <w:lang w:val="en-US" w:eastAsia="en-AU"/>
        </w:rPr>
      </w:pPr>
      <w:r w:rsidRPr="00AA6893">
        <w:rPr>
          <w:lang w:val="en-US" w:eastAsia="en-AU"/>
        </w:rPr>
        <w:t xml:space="preserve">The modelled PFS, OS and ToT for each of the arms </w:t>
      </w:r>
      <w:r w:rsidR="002C3631">
        <w:rPr>
          <w:lang w:val="en-US" w:eastAsia="en-AU"/>
        </w:rPr>
        <w:t xml:space="preserve">(per the submission base case) </w:t>
      </w:r>
      <w:r w:rsidRPr="00AA6893">
        <w:rPr>
          <w:lang w:val="en-US" w:eastAsia="en-AU"/>
        </w:rPr>
        <w:t xml:space="preserve">are provided </w:t>
      </w:r>
      <w:r w:rsidR="006B18F9" w:rsidRPr="00AA6893">
        <w:rPr>
          <w:lang w:val="en-US" w:eastAsia="en-AU"/>
        </w:rPr>
        <w:t xml:space="preserve">in </w:t>
      </w:r>
      <w:r w:rsidR="005E2D1C">
        <w:t xml:space="preserve">Figure </w:t>
      </w:r>
      <w:r w:rsidR="005E2D1C">
        <w:rPr>
          <w:noProof/>
        </w:rPr>
        <w:t>5</w:t>
      </w:r>
      <w:r w:rsidRPr="00AA6893">
        <w:rPr>
          <w:lang w:val="en-US" w:eastAsia="en-AU"/>
        </w:rPr>
        <w:t xml:space="preserve">. </w:t>
      </w:r>
    </w:p>
    <w:p w:rsidR="009F0307" w:rsidRDefault="009F0307" w:rsidP="00561C55">
      <w:pPr>
        <w:widowControl/>
      </w:pPr>
    </w:p>
    <w:p w:rsidR="00390662" w:rsidRDefault="005E2D1C" w:rsidP="005E2D1C">
      <w:pPr>
        <w:pStyle w:val="Caption"/>
      </w:pPr>
      <w:bookmarkStart w:id="18" w:name="_Ref22641670"/>
      <w:r>
        <w:t xml:space="preserve">Figure </w:t>
      </w:r>
      <w:r>
        <w:rPr>
          <w:noProof/>
        </w:rPr>
        <w:t>5</w:t>
      </w:r>
      <w:bookmarkEnd w:id="18"/>
      <w:r w:rsidR="00390662">
        <w:t>: Modelled PFS, OS and ToT curves for the SoC and talazoparib arm</w:t>
      </w:r>
      <w:r w:rsidR="002C3631">
        <w:t xml:space="preserve"> (per the submission base case)</w:t>
      </w:r>
    </w:p>
    <w:p w:rsidR="00547F7A" w:rsidRDefault="00AF743F" w:rsidP="00561C55">
      <w:pPr>
        <w:widowControl/>
      </w:pPr>
      <w:r w:rsidRPr="00AF743F">
        <w:rPr>
          <w:noProof/>
          <w:lang w:eastAsia="en-AU"/>
        </w:rPr>
        <w:drawing>
          <wp:inline distT="0" distB="0" distL="0" distR="0" wp14:anchorId="031A01A9" wp14:editId="203BF097">
            <wp:extent cx="6072996" cy="4404103"/>
            <wp:effectExtent l="0" t="0" r="4445" b="0"/>
            <wp:docPr id="30" name="Picture 30" title="Figure 5: Modelled PFS, OS and ToT curves for the SoC and talazoparib arm (per the submission ba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4233" cy="4412252"/>
                    </a:xfrm>
                    <a:prstGeom prst="rect">
                      <a:avLst/>
                    </a:prstGeom>
                    <a:noFill/>
                    <a:ln>
                      <a:noFill/>
                    </a:ln>
                  </pic:spPr>
                </pic:pic>
              </a:graphicData>
            </a:graphic>
          </wp:inline>
        </w:drawing>
      </w:r>
    </w:p>
    <w:p w:rsidR="00390662" w:rsidRPr="000E3253" w:rsidRDefault="00390662" w:rsidP="00561C55">
      <w:pPr>
        <w:pStyle w:val="TableFooter"/>
        <w:widowControl/>
        <w:rPr>
          <w:lang w:val="en-US" w:eastAsia="en-AU"/>
        </w:rPr>
      </w:pPr>
      <w:r w:rsidRPr="000E3253">
        <w:rPr>
          <w:lang w:val="en-US" w:eastAsia="en-AU"/>
        </w:rPr>
        <w:t xml:space="preserve">Talazoparib ToT – Extrapolated (Commentary): Sensitivity analysis assuming that the probability of discontinuing treatment over the cycle was equal to the probability of </w:t>
      </w:r>
      <w:r>
        <w:rPr>
          <w:lang w:val="en-US" w:eastAsia="en-AU"/>
        </w:rPr>
        <w:t>disease progression</w:t>
      </w:r>
      <w:r w:rsidRPr="000E3253">
        <w:rPr>
          <w:lang w:val="en-US" w:eastAsia="en-AU"/>
        </w:rPr>
        <w:t xml:space="preserve"> during that period. </w:t>
      </w:r>
    </w:p>
    <w:p w:rsidR="00390662" w:rsidRPr="000E3253" w:rsidRDefault="00390662" w:rsidP="00561C55">
      <w:pPr>
        <w:pStyle w:val="TableFooter"/>
        <w:widowControl/>
        <w:rPr>
          <w:lang w:val="en-US" w:eastAsia="en-AU"/>
        </w:rPr>
      </w:pPr>
      <w:r w:rsidRPr="000E3253">
        <w:rPr>
          <w:lang w:val="en-US" w:eastAsia="en-AU"/>
        </w:rPr>
        <w:t>Source: compiled during the evaluation based on information presented in ‘Talazoparib mBC CUA Australia.xlsx’</w:t>
      </w:r>
    </w:p>
    <w:p w:rsidR="00547F7A" w:rsidRPr="00601A45" w:rsidRDefault="00547F7A" w:rsidP="00561C55">
      <w:pPr>
        <w:widowControl/>
      </w:pPr>
    </w:p>
    <w:p w:rsidR="00555F0F" w:rsidRDefault="004B0CD5" w:rsidP="00555F0F">
      <w:pPr>
        <w:pStyle w:val="ListParagraph"/>
        <w:widowControl/>
        <w:numPr>
          <w:ilvl w:val="1"/>
          <w:numId w:val="3"/>
        </w:numPr>
      </w:pPr>
      <w:r w:rsidRPr="002E075F">
        <w:t xml:space="preserve">The submission estimated that approximately </w:t>
      </w:r>
      <w:r w:rsidR="00EB7243">
        <w:rPr>
          <w:noProof/>
          <w:color w:val="000000"/>
          <w:highlight w:val="black"/>
        </w:rPr>
        <w:t>'''''</w:t>
      </w:r>
      <w:r w:rsidRPr="002E075F">
        <w:t xml:space="preserve">% of the treated population would be expected to know their germline BRCA status at model entry. The cited reference (IPSOS 2019) for this estimate was a physician survey conducted by the Sponsor. The only statistic relating to BRCA testing was the proportion of metastatic triple-negative breast cancer (TNBC) patients who underwent BRCA testing (approximately </w:t>
      </w:r>
      <w:r w:rsidR="00EB7243">
        <w:rPr>
          <w:noProof/>
          <w:color w:val="000000"/>
          <w:highlight w:val="black"/>
        </w:rPr>
        <w:t>'''''</w:t>
      </w:r>
      <w:r w:rsidRPr="002E075F">
        <w:t>%; N=</w:t>
      </w:r>
      <w:r w:rsidR="00EB7243">
        <w:rPr>
          <w:noProof/>
          <w:color w:val="000000"/>
          <w:highlight w:val="black"/>
        </w:rPr>
        <w:t>'''''</w:t>
      </w:r>
      <w:r w:rsidRPr="002E075F">
        <w:t xml:space="preserve">) in 2018 (Slide 40, IPSOS Breast Oncology Monitor </w:t>
      </w:r>
      <w:r w:rsidR="00EB7243">
        <w:rPr>
          <w:noProof/>
          <w:color w:val="000000"/>
          <w:highlight w:val="black"/>
        </w:rPr>
        <w:t>'''''' ''''''''''</w:t>
      </w:r>
      <w:r w:rsidRPr="002E075F">
        <w:t xml:space="preserve">). It is unclear whether this sample is representative of patients with triple negative breast cancer in Australia, and whether this result could be generalised to patients with HR+ HER2- breast cancer. The submission then assumed that only the other </w:t>
      </w:r>
      <w:r w:rsidR="00EB7243">
        <w:rPr>
          <w:noProof/>
          <w:color w:val="000000"/>
          <w:highlight w:val="black"/>
        </w:rPr>
        <w:t>'''''</w:t>
      </w:r>
      <w:r w:rsidRPr="002E075F">
        <w:t xml:space="preserve">% of (to be talazoparib treated) patients will require germline BRCA testing to establish eligibility for treatment with talazoparib. </w:t>
      </w:r>
      <w:r w:rsidR="008144D7">
        <w:t>The PSCR</w:t>
      </w:r>
      <w:r w:rsidR="00555F0F" w:rsidRPr="002E075F">
        <w:t xml:space="preserve"> presented </w:t>
      </w:r>
      <w:r w:rsidR="00555F0F">
        <w:t xml:space="preserve">more recent </w:t>
      </w:r>
      <w:r w:rsidR="00555F0F" w:rsidRPr="002E075F">
        <w:t xml:space="preserve">data on the BRCA testing rate (IPSOS Healthcare oncology Monitor) for the second quarter of 2018 to the first quarter of 2019 </w:t>
      </w:r>
      <w:r w:rsidR="00555F0F">
        <w:t>which found</w:t>
      </w:r>
      <w:r w:rsidR="00555F0F" w:rsidRPr="002E075F">
        <w:t xml:space="preserve"> that approximately </w:t>
      </w:r>
      <w:r w:rsidR="00EB7243">
        <w:rPr>
          <w:noProof/>
          <w:color w:val="000000"/>
          <w:highlight w:val="black"/>
        </w:rPr>
        <w:t>'''''</w:t>
      </w:r>
      <w:r w:rsidR="00555F0F" w:rsidRPr="002E075F">
        <w:t xml:space="preserve">% </w:t>
      </w:r>
      <w:r w:rsidR="00555F0F">
        <w:t>of patients with triple</w:t>
      </w:r>
      <w:r w:rsidR="00555F0F" w:rsidRPr="006F49B4">
        <w:t xml:space="preserve"> </w:t>
      </w:r>
      <w:r w:rsidR="00555F0F" w:rsidRPr="002E075F">
        <w:t>negative breast cancer</w:t>
      </w:r>
      <w:r w:rsidR="00555F0F">
        <w:t xml:space="preserve"> had been tested for </w:t>
      </w:r>
      <w:r w:rsidR="008329D7">
        <w:t>a germline BRCA mutation</w:t>
      </w:r>
      <w:r w:rsidR="00555F0F" w:rsidRPr="002E075F">
        <w:t>. The ESC noted that these data were based on a small number of patients (</w:t>
      </w:r>
      <w:r w:rsidR="00EB7243">
        <w:rPr>
          <w:noProof/>
          <w:color w:val="000000"/>
          <w:highlight w:val="black"/>
        </w:rPr>
        <w:t>''''' '' ''''''</w:t>
      </w:r>
      <w:r w:rsidR="00555F0F" w:rsidRPr="002E075F">
        <w:t>) with triple negative breast cancer only and was therefore uncertain that the results could be reasonably extended to patients with HR+ HER2- breast cancer.</w:t>
      </w:r>
      <w:r w:rsidR="00555F0F">
        <w:t xml:space="preserve"> </w:t>
      </w:r>
      <w:r w:rsidR="00555F0F" w:rsidRPr="002E075F">
        <w:t>The ESC considered that the proportion of patients who would undergo testing was uncertain noting the current access issues associated with germline BRCA mutation testing (see paragraph 4.6).</w:t>
      </w:r>
    </w:p>
    <w:p w:rsidR="009F0307" w:rsidRPr="002E075F" w:rsidRDefault="00555F0F" w:rsidP="00555F0F">
      <w:pPr>
        <w:pStyle w:val="ListParagraph"/>
        <w:widowControl/>
        <w:numPr>
          <w:ilvl w:val="1"/>
          <w:numId w:val="3"/>
        </w:numPr>
      </w:pPr>
      <w:r w:rsidRPr="00555F0F">
        <w:t xml:space="preserve">The cost of germline BRCA mutation testing for patients considering therapy but subsequently found to be mutation negative were omitted. </w:t>
      </w:r>
      <w:r w:rsidR="003C0E28" w:rsidRPr="002E075F">
        <w:t xml:space="preserve">The ESC considered that the exclusion of the cost of testing for patients who </w:t>
      </w:r>
      <w:r w:rsidR="005842CC" w:rsidRPr="002E075F">
        <w:t xml:space="preserve">are potentially eligible for talazoparib but </w:t>
      </w:r>
      <w:r w:rsidR="003C0E28" w:rsidRPr="002E075F">
        <w:t>test negative for a germline BRCA mutation was inappropriate</w:t>
      </w:r>
      <w:r w:rsidR="003820A2" w:rsidRPr="002E075F">
        <w:t xml:space="preserve"> </w:t>
      </w:r>
      <w:r w:rsidR="003945A6" w:rsidRPr="002E075F">
        <w:t>and likely underestimate</w:t>
      </w:r>
      <w:r w:rsidR="00231C12" w:rsidRPr="002E075F">
        <w:t xml:space="preserve">d </w:t>
      </w:r>
      <w:r w:rsidR="003945A6" w:rsidRPr="002E075F">
        <w:t>the total costs assoc</w:t>
      </w:r>
      <w:r w:rsidR="009204EC" w:rsidRPr="002E075F">
        <w:t xml:space="preserve">iated with listing talazoparib. </w:t>
      </w:r>
    </w:p>
    <w:p w:rsidR="009F0307" w:rsidRPr="002E075F" w:rsidRDefault="009F0307" w:rsidP="00561C55">
      <w:pPr>
        <w:pStyle w:val="ListParagraph"/>
        <w:widowControl/>
        <w:numPr>
          <w:ilvl w:val="1"/>
          <w:numId w:val="3"/>
        </w:numPr>
        <w:rPr>
          <w:rFonts w:asciiTheme="minorHAnsi" w:hAnsiTheme="minorHAnsi"/>
          <w:szCs w:val="24"/>
        </w:rPr>
      </w:pPr>
      <w:bookmarkStart w:id="19" w:name="_Ref19110794"/>
      <w:r w:rsidRPr="002E075F">
        <w:t>The submission used a relative dose intensity (RDI) of 91.7% to calculate the cost of talazoparib in the model. The application of the RDI to the price for the 1</w:t>
      </w:r>
      <w:r w:rsidR="001938A2">
        <w:t xml:space="preserve"> </w:t>
      </w:r>
      <w:r w:rsidRPr="002E075F">
        <w:t xml:space="preserve">mg </w:t>
      </w:r>
      <w:r w:rsidR="00CF568A" w:rsidRPr="002E075F">
        <w:t>capsule</w:t>
      </w:r>
      <w:r w:rsidRPr="002E075F">
        <w:t xml:space="preserve"> strength was inappropriate and may have underestimated the cost per cycle of talazoparib. The maximum quantity (90 </w:t>
      </w:r>
      <w:r w:rsidR="00CF568A" w:rsidRPr="002E075F">
        <w:t>capsule</w:t>
      </w:r>
      <w:r w:rsidRPr="002E075F">
        <w:t>s) of 0.25</w:t>
      </w:r>
      <w:r w:rsidR="001938A2">
        <w:t xml:space="preserve"> </w:t>
      </w:r>
      <w:r w:rsidRPr="002E075F">
        <w:t xml:space="preserve">mg </w:t>
      </w:r>
      <w:r w:rsidR="00CF568A" w:rsidRPr="002E075F">
        <w:t>capsule</w:t>
      </w:r>
      <w:r w:rsidRPr="002E075F">
        <w:t>s allows for 30 days of treatment at a dose of 0.75</w:t>
      </w:r>
      <w:r w:rsidR="001938A2">
        <w:t xml:space="preserve"> mg/</w:t>
      </w:r>
      <w:r w:rsidRPr="002E075F">
        <w:t xml:space="preserve">day. Given that the price per maximum quantity (3 packs, 90 </w:t>
      </w:r>
      <w:r w:rsidR="00CF568A" w:rsidRPr="002E075F">
        <w:t>capsule</w:t>
      </w:r>
      <w:r w:rsidRPr="002E075F">
        <w:t>s) of the 0.25</w:t>
      </w:r>
      <w:r w:rsidR="001938A2">
        <w:t xml:space="preserve"> </w:t>
      </w:r>
      <w:r w:rsidRPr="002E075F">
        <w:t xml:space="preserve">mg strength is equivalent to the price per maximum quantity (30 </w:t>
      </w:r>
      <w:r w:rsidR="00CF568A" w:rsidRPr="002E075F">
        <w:t>capsule</w:t>
      </w:r>
      <w:r w:rsidRPr="002E075F">
        <w:t>s) of the 1</w:t>
      </w:r>
      <w:r w:rsidR="001938A2">
        <w:t xml:space="preserve"> </w:t>
      </w:r>
      <w:r w:rsidRPr="002E075F">
        <w:t xml:space="preserve">mg strength, the cost per 30 days for an average dose </w:t>
      </w:r>
      <w:r w:rsidR="00065A70" w:rsidRPr="002E075F">
        <w:t xml:space="preserve">of </w:t>
      </w:r>
      <w:r w:rsidRPr="002E075F">
        <w:t>0.75</w:t>
      </w:r>
      <w:r w:rsidR="001938A2">
        <w:t xml:space="preserve"> </w:t>
      </w:r>
      <w:r w:rsidRPr="002E075F">
        <w:t>mg</w:t>
      </w:r>
      <w:r w:rsidR="00F518A7" w:rsidRPr="002E075F">
        <w:t>/day</w:t>
      </w:r>
      <w:r w:rsidRPr="002E075F">
        <w:t xml:space="preserve"> and 1</w:t>
      </w:r>
      <w:r w:rsidR="001938A2">
        <w:t xml:space="preserve"> </w:t>
      </w:r>
      <w:r w:rsidRPr="002E075F">
        <w:t>mg</w:t>
      </w:r>
      <w:r w:rsidR="00F518A7" w:rsidRPr="002E075F">
        <w:t>/</w:t>
      </w:r>
      <w:r w:rsidR="00065A70" w:rsidRPr="002E075F">
        <w:t>day</w:t>
      </w:r>
      <w:r w:rsidRPr="002E075F">
        <w:t xml:space="preserve"> is also equivalent. Therefore, without further information on the duration of dose reductions below 0.75</w:t>
      </w:r>
      <w:r w:rsidR="001938A2">
        <w:t xml:space="preserve"> </w:t>
      </w:r>
      <w:r w:rsidRPr="002E075F">
        <w:t xml:space="preserve">mg/day it would be reasonable to assume that the cost per 30 days for an average relative dose intensity of 91.7% would be equivalent to the cost of either </w:t>
      </w:r>
      <w:r w:rsidR="00F518A7" w:rsidRPr="002E075F">
        <w:t>0</w:t>
      </w:r>
      <w:r w:rsidRPr="002E075F">
        <w:t>.75</w:t>
      </w:r>
      <w:r w:rsidR="001938A2">
        <w:t xml:space="preserve"> </w:t>
      </w:r>
      <w:r w:rsidRPr="002E075F">
        <w:t>mg/day or 1</w:t>
      </w:r>
      <w:r w:rsidR="001938A2">
        <w:t xml:space="preserve"> </w:t>
      </w:r>
      <w:r w:rsidRPr="002E075F">
        <w:t>mg/day.</w:t>
      </w:r>
      <w:bookmarkEnd w:id="19"/>
      <w:r w:rsidR="0029712B">
        <w:t xml:space="preserve"> The PSCR</w:t>
      </w:r>
      <w:r w:rsidR="00371B42" w:rsidRPr="002E075F">
        <w:t xml:space="preserve"> n</w:t>
      </w:r>
      <w:r w:rsidR="000549B4" w:rsidRPr="002E075F">
        <w:t xml:space="preserve">oted </w:t>
      </w:r>
      <w:r w:rsidR="00371B42" w:rsidRPr="002E075F">
        <w:t>there was minimal use of the lower doses (0.25 mg an</w:t>
      </w:r>
      <w:r w:rsidR="00CA7557" w:rsidRPr="002E075F">
        <w:t>d</w:t>
      </w:r>
      <w:r w:rsidR="00371B42" w:rsidRPr="002E075F">
        <w:t xml:space="preserve"> 0.5 mg) as the mean daily dose in the trial was 0.9</w:t>
      </w:r>
      <w:r w:rsidR="000549B4" w:rsidRPr="002E075F">
        <w:t xml:space="preserve"> mg. The ESC considered that this further supports the use of the full DPMQ </w:t>
      </w:r>
      <w:r w:rsidR="006E5737" w:rsidRPr="002E075F">
        <w:t xml:space="preserve">for each treatment cycle. </w:t>
      </w:r>
      <w:r w:rsidR="009E2F3D" w:rsidRPr="002E075F">
        <w:t>The ESC considered that</w:t>
      </w:r>
      <w:r w:rsidR="00C214E2" w:rsidRPr="002E075F">
        <w:t>, given the flat pricing structure proposed,</w:t>
      </w:r>
      <w:r w:rsidR="009E2F3D" w:rsidRPr="002E075F">
        <w:t xml:space="preserve"> it w</w:t>
      </w:r>
      <w:r w:rsidR="00C214E2" w:rsidRPr="002E075F">
        <w:t>ould be</w:t>
      </w:r>
      <w:r w:rsidR="009E2F3D" w:rsidRPr="002E075F">
        <w:t xml:space="preserve"> incorrect to </w:t>
      </w:r>
      <w:r w:rsidR="00C214E2" w:rsidRPr="002E075F">
        <w:t xml:space="preserve">take account of dose </w:t>
      </w:r>
      <w:r w:rsidR="00C214E2" w:rsidRPr="002E075F">
        <w:lastRenderedPageBreak/>
        <w:t xml:space="preserve">reductions simply by </w:t>
      </w:r>
      <w:r w:rsidR="009E2F3D" w:rsidRPr="002E075F">
        <w:t>multiply</w:t>
      </w:r>
      <w:r w:rsidR="00C214E2" w:rsidRPr="002E075F">
        <w:t>ing</w:t>
      </w:r>
      <w:r w:rsidR="009E2F3D" w:rsidRPr="002E075F">
        <w:t xml:space="preserve"> the RDI in the trial by the drug cost</w:t>
      </w:r>
      <w:r w:rsidR="003C2312" w:rsidRPr="002E075F">
        <w:t xml:space="preserve">. </w:t>
      </w:r>
      <w:r w:rsidR="006D69E0" w:rsidRPr="002E075F">
        <w:t xml:space="preserve">The ESC considered that </w:t>
      </w:r>
      <w:r w:rsidR="003C2312" w:rsidRPr="002E075F">
        <w:t xml:space="preserve">an RDI of </w:t>
      </w:r>
      <w:r w:rsidR="006D69E0" w:rsidRPr="002E075F">
        <w:t xml:space="preserve">100% would be </w:t>
      </w:r>
      <w:r w:rsidR="009E2F3D" w:rsidRPr="002E075F">
        <w:t xml:space="preserve">more </w:t>
      </w:r>
      <w:r w:rsidR="00A932BE" w:rsidRPr="002E075F">
        <w:t xml:space="preserve">appropriate in this case </w:t>
      </w:r>
      <w:r w:rsidR="006D69E0" w:rsidRPr="002E075F">
        <w:t xml:space="preserve">given the </w:t>
      </w:r>
      <w:r w:rsidR="00553549" w:rsidRPr="002E075F">
        <w:t>flat pricing, temporary nature dose reductions (</w:t>
      </w:r>
      <w:r w:rsidR="00C7297E" w:rsidRPr="002E075F">
        <w:t>dose modifications are only recommended to manage adverse drug reactions; and it is noted that the mean daily dose in the trial was 0.9 mg but 66% of patients in the talazoparib arm had an AE-associated dose modification) and</w:t>
      </w:r>
      <w:r w:rsidR="00553549" w:rsidRPr="002E075F">
        <w:t xml:space="preserve"> </w:t>
      </w:r>
      <w:r w:rsidR="00C7297E" w:rsidRPr="002E075F">
        <w:t xml:space="preserve">the </w:t>
      </w:r>
      <w:r w:rsidR="006D69E0" w:rsidRPr="002E075F">
        <w:t>potential for wastage (e.g. there will be fewer days of treatment per 0.25</w:t>
      </w:r>
      <w:r w:rsidR="001938A2">
        <w:t xml:space="preserve"> </w:t>
      </w:r>
      <w:r w:rsidR="006D69E0" w:rsidRPr="002E075F">
        <w:t>mg pack if the dose is increased to 1</w:t>
      </w:r>
      <w:r w:rsidR="001938A2">
        <w:t xml:space="preserve"> </w:t>
      </w:r>
      <w:r w:rsidR="006D69E0" w:rsidRPr="002E075F">
        <w:t xml:space="preserve">mg/day). </w:t>
      </w:r>
      <w:r w:rsidR="006A7160">
        <w:t>The pre-</w:t>
      </w:r>
      <w:r w:rsidR="0029712B">
        <w:t xml:space="preserve">PBAC response </w:t>
      </w:r>
      <w:r w:rsidR="006A7160">
        <w:t>indicated that it accepted the application of an RDI of 100% for talazoparib, as proposed by the ESC.</w:t>
      </w:r>
    </w:p>
    <w:p w:rsidR="009F0307" w:rsidRPr="002E075F" w:rsidRDefault="009F0307" w:rsidP="00561C55">
      <w:pPr>
        <w:pStyle w:val="ListParagraph"/>
        <w:widowControl/>
        <w:numPr>
          <w:ilvl w:val="1"/>
          <w:numId w:val="3"/>
        </w:numPr>
        <w:rPr>
          <w:rFonts w:asciiTheme="minorHAnsi" w:hAnsiTheme="minorHAnsi"/>
          <w:szCs w:val="24"/>
        </w:rPr>
      </w:pPr>
      <w:r w:rsidRPr="002E075F">
        <w:rPr>
          <w:rFonts w:asciiTheme="minorHAnsi" w:hAnsiTheme="minorHAnsi"/>
          <w:szCs w:val="24"/>
        </w:rPr>
        <w:t>Utilities for the progression-free health state were based on the EORTC QLQ-C30 data collected from the EMBRACA trial. The CSR noted that up to treatment cycle 12, the percentage of eligible patients who completed at least 1 question on the EORTC-QLQ-C30 was 81% in the talazoparib arm and 73% in the PCT (SoC) arm. No other information was provided in the submission regarding completion rates of the QoL questionnaires over the duration of follow up. Without information on the extent of completeness of HRQoL follow up</w:t>
      </w:r>
      <w:r w:rsidR="00FC69BF" w:rsidRPr="002E075F">
        <w:rPr>
          <w:rFonts w:asciiTheme="minorHAnsi" w:hAnsiTheme="minorHAnsi"/>
          <w:szCs w:val="24"/>
        </w:rPr>
        <w:t>,</w:t>
      </w:r>
      <w:r w:rsidRPr="002E075F">
        <w:rPr>
          <w:rFonts w:asciiTheme="minorHAnsi" w:hAnsiTheme="minorHAnsi"/>
          <w:szCs w:val="24"/>
        </w:rPr>
        <w:t xml:space="preserve"> it is difficult to assess any likely direction of bias. Furthermore, the open label nature of the trial may introduce bias into the utility estimates.</w:t>
      </w:r>
      <w:r w:rsidR="008D6664" w:rsidRPr="002E075F">
        <w:rPr>
          <w:rFonts w:asciiTheme="minorHAnsi" w:hAnsiTheme="minorHAnsi"/>
          <w:szCs w:val="24"/>
        </w:rPr>
        <w:t xml:space="preserve"> </w:t>
      </w:r>
      <w:r w:rsidR="002A02DD" w:rsidRPr="002E075F">
        <w:rPr>
          <w:rFonts w:asciiTheme="minorHAnsi" w:hAnsiTheme="minorHAnsi"/>
          <w:szCs w:val="24"/>
        </w:rPr>
        <w:t>Overall, t</w:t>
      </w:r>
      <w:r w:rsidR="00267ACD" w:rsidRPr="002E075F">
        <w:rPr>
          <w:rFonts w:asciiTheme="minorHAnsi" w:hAnsiTheme="minorHAnsi"/>
          <w:szCs w:val="24"/>
        </w:rPr>
        <w:t xml:space="preserve">he ESC </w:t>
      </w:r>
      <w:r w:rsidR="002A02DD" w:rsidRPr="002E075F">
        <w:rPr>
          <w:rFonts w:asciiTheme="minorHAnsi" w:hAnsiTheme="minorHAnsi"/>
          <w:szCs w:val="24"/>
        </w:rPr>
        <w:t>considered</w:t>
      </w:r>
      <w:r w:rsidR="00267ACD" w:rsidRPr="002E075F">
        <w:rPr>
          <w:rFonts w:asciiTheme="minorHAnsi" w:hAnsiTheme="minorHAnsi"/>
          <w:szCs w:val="24"/>
        </w:rPr>
        <w:t xml:space="preserve"> there was limited information regarding how progression-free health state utilities were derived from the HRQoL data collected in the trial. </w:t>
      </w:r>
    </w:p>
    <w:p w:rsidR="00896663" w:rsidRPr="002E075F" w:rsidRDefault="00896663" w:rsidP="00561C55">
      <w:pPr>
        <w:pStyle w:val="ListParagraph"/>
        <w:widowControl/>
        <w:numPr>
          <w:ilvl w:val="1"/>
          <w:numId w:val="3"/>
        </w:numPr>
        <w:rPr>
          <w:rFonts w:asciiTheme="minorHAnsi" w:hAnsiTheme="minorHAnsi"/>
          <w:szCs w:val="24"/>
        </w:rPr>
      </w:pPr>
      <w:r w:rsidRPr="002E075F">
        <w:rPr>
          <w:rFonts w:asciiTheme="minorHAnsi" w:hAnsiTheme="minorHAnsi"/>
          <w:szCs w:val="24"/>
        </w:rPr>
        <w:t xml:space="preserve">The submission </w:t>
      </w:r>
      <w:r w:rsidR="00333D55" w:rsidRPr="002E075F">
        <w:rPr>
          <w:rFonts w:asciiTheme="minorHAnsi" w:hAnsiTheme="minorHAnsi"/>
          <w:szCs w:val="24"/>
        </w:rPr>
        <w:t>based the post-progression utility value on</w:t>
      </w:r>
      <w:r w:rsidRPr="002E075F">
        <w:rPr>
          <w:rFonts w:asciiTheme="minorHAnsi" w:hAnsiTheme="minorHAnsi"/>
          <w:szCs w:val="24"/>
        </w:rPr>
        <w:t xml:space="preserve"> an average of the reported progressive disease utilities for metastatic breast cancer from the studies identified through a systematic literature review.</w:t>
      </w:r>
      <w:r w:rsidR="00ED1EF0" w:rsidRPr="002E075F">
        <w:t xml:space="preserve"> </w:t>
      </w:r>
      <w:r w:rsidR="00ED1EF0" w:rsidRPr="002E075F">
        <w:rPr>
          <w:rFonts w:asciiTheme="minorHAnsi" w:hAnsiTheme="minorHAnsi"/>
          <w:szCs w:val="24"/>
        </w:rPr>
        <w:t>The utility value chosen for the progressive disease health state appeared reasonable and was consistent with other economic evaluations for advanced breast cancer</w:t>
      </w:r>
      <w:r w:rsidR="00B33661" w:rsidRPr="002E075F">
        <w:rPr>
          <w:rFonts w:asciiTheme="minorHAnsi" w:hAnsiTheme="minorHAnsi"/>
          <w:szCs w:val="24"/>
        </w:rPr>
        <w:t xml:space="preserve"> considered by the PBAC</w:t>
      </w:r>
      <w:r w:rsidR="00ED1EF0" w:rsidRPr="002E075F">
        <w:rPr>
          <w:rFonts w:asciiTheme="minorHAnsi" w:hAnsiTheme="minorHAnsi"/>
          <w:szCs w:val="24"/>
        </w:rPr>
        <w:t>.</w:t>
      </w:r>
      <w:r w:rsidR="003C2312" w:rsidRPr="002E075F">
        <w:rPr>
          <w:rFonts w:asciiTheme="minorHAnsi" w:hAnsiTheme="minorHAnsi"/>
          <w:szCs w:val="24"/>
        </w:rPr>
        <w:t xml:space="preserve"> The ESC</w:t>
      </w:r>
      <w:r w:rsidR="00EE45DB" w:rsidRPr="002E075F">
        <w:rPr>
          <w:rFonts w:asciiTheme="minorHAnsi" w:hAnsiTheme="minorHAnsi"/>
          <w:szCs w:val="24"/>
        </w:rPr>
        <w:t xml:space="preserve"> noted that the utilities have little impact on the ICER in the current model</w:t>
      </w:r>
      <w:r w:rsidR="00D5581F">
        <w:rPr>
          <w:rFonts w:asciiTheme="minorHAnsi" w:hAnsiTheme="minorHAnsi"/>
          <w:szCs w:val="24"/>
        </w:rPr>
        <w:t>, however</w:t>
      </w:r>
      <w:r w:rsidR="003C2312" w:rsidRPr="002E075F">
        <w:rPr>
          <w:rFonts w:asciiTheme="minorHAnsi" w:hAnsiTheme="minorHAnsi"/>
          <w:szCs w:val="24"/>
        </w:rPr>
        <w:t xml:space="preserve"> considered that utilities may have a larger impact on the ICER if the time horizon was reduced. </w:t>
      </w:r>
    </w:p>
    <w:p w:rsidR="009F0307" w:rsidRPr="00A57BC5" w:rsidRDefault="009F0307" w:rsidP="00561C55">
      <w:pPr>
        <w:pStyle w:val="ListParagraph"/>
        <w:widowControl/>
        <w:numPr>
          <w:ilvl w:val="1"/>
          <w:numId w:val="3"/>
        </w:numPr>
        <w:rPr>
          <w:rStyle w:val="CommentReference"/>
          <w:rFonts w:asciiTheme="minorHAnsi" w:hAnsiTheme="minorHAnsi"/>
          <w:b w:val="0"/>
          <w:sz w:val="24"/>
          <w:szCs w:val="24"/>
        </w:rPr>
      </w:pPr>
      <w:r>
        <w:rPr>
          <w:rStyle w:val="CommentReference"/>
          <w:rFonts w:asciiTheme="minorHAnsi" w:hAnsiTheme="minorHAnsi"/>
          <w:b w:val="0"/>
          <w:sz w:val="24"/>
          <w:szCs w:val="24"/>
        </w:rPr>
        <w:t xml:space="preserve">The results of the economic evaluation are presented below. </w:t>
      </w:r>
    </w:p>
    <w:p w:rsidR="009F0307" w:rsidRDefault="009F0307" w:rsidP="00561C55">
      <w:pPr>
        <w:pStyle w:val="Caption"/>
        <w:widowControl/>
      </w:pPr>
      <w:r>
        <w:t xml:space="preserve">Table </w:t>
      </w:r>
      <w:r w:rsidR="00112C13">
        <w:rPr>
          <w:noProof/>
        </w:rPr>
        <w:t>9</w:t>
      </w:r>
      <w:r>
        <w:t>: Results of the economic evaluation presented in the submission</w:t>
      </w:r>
    </w:p>
    <w:tbl>
      <w:tblPr>
        <w:tblStyle w:val="TableGrid"/>
        <w:tblW w:w="5000" w:type="pct"/>
        <w:tblLayout w:type="fixed"/>
        <w:tblLook w:val="04A0" w:firstRow="1" w:lastRow="0" w:firstColumn="1" w:lastColumn="0" w:noHBand="0" w:noVBand="1"/>
        <w:tblCaption w:val="Table 9: Results of the economic evaluation presented in the submission"/>
      </w:tblPr>
      <w:tblGrid>
        <w:gridCol w:w="5524"/>
        <w:gridCol w:w="1163"/>
        <w:gridCol w:w="1163"/>
        <w:gridCol w:w="1167"/>
      </w:tblGrid>
      <w:tr w:rsidR="009F0307" w:rsidRPr="00595EFF" w:rsidTr="0047282F">
        <w:trPr>
          <w:tblHeader/>
        </w:trPr>
        <w:tc>
          <w:tcPr>
            <w:tcW w:w="3063" w:type="pct"/>
            <w:vMerge w:val="restart"/>
            <w:noWrap/>
          </w:tcPr>
          <w:p w:rsidR="009F0307" w:rsidRPr="00F269E9" w:rsidRDefault="009F0307" w:rsidP="00561C55">
            <w:pPr>
              <w:pStyle w:val="Tabletext"/>
              <w:jc w:val="center"/>
              <w:rPr>
                <w:b/>
              </w:rPr>
            </w:pPr>
            <w:r w:rsidRPr="00F269E9">
              <w:rPr>
                <w:b/>
              </w:rPr>
              <w:t>Outcome</w:t>
            </w:r>
          </w:p>
        </w:tc>
        <w:tc>
          <w:tcPr>
            <w:tcW w:w="1937" w:type="pct"/>
            <w:gridSpan w:val="3"/>
            <w:noWrap/>
          </w:tcPr>
          <w:p w:rsidR="009F0307" w:rsidRPr="00F269E9" w:rsidRDefault="009F0307" w:rsidP="00561C55">
            <w:pPr>
              <w:pStyle w:val="Tabletext"/>
              <w:jc w:val="center"/>
              <w:rPr>
                <w:b/>
              </w:rPr>
            </w:pPr>
            <w:r w:rsidRPr="00F269E9">
              <w:rPr>
                <w:b/>
              </w:rPr>
              <w:t>Submission base case</w:t>
            </w:r>
          </w:p>
        </w:tc>
      </w:tr>
      <w:tr w:rsidR="00777C4F" w:rsidRPr="00595EFF" w:rsidTr="0047282F">
        <w:trPr>
          <w:tblHeader/>
        </w:trPr>
        <w:tc>
          <w:tcPr>
            <w:tcW w:w="3063" w:type="pct"/>
            <w:vMerge/>
            <w:noWrap/>
            <w:hideMark/>
          </w:tcPr>
          <w:p w:rsidR="009F0307" w:rsidRPr="00F269E9" w:rsidRDefault="009F0307" w:rsidP="00561C55">
            <w:pPr>
              <w:pStyle w:val="Tabletext"/>
              <w:jc w:val="center"/>
              <w:rPr>
                <w:b/>
              </w:rPr>
            </w:pPr>
          </w:p>
        </w:tc>
        <w:tc>
          <w:tcPr>
            <w:tcW w:w="645" w:type="pct"/>
            <w:noWrap/>
            <w:hideMark/>
          </w:tcPr>
          <w:p w:rsidR="009F0307" w:rsidRPr="00F269E9" w:rsidRDefault="009F0307" w:rsidP="00561C55">
            <w:pPr>
              <w:pStyle w:val="Tabletext"/>
              <w:jc w:val="center"/>
              <w:rPr>
                <w:b/>
              </w:rPr>
            </w:pPr>
            <w:r w:rsidRPr="00F269E9">
              <w:rPr>
                <w:b/>
              </w:rPr>
              <w:t>Talazoparib</w:t>
            </w:r>
          </w:p>
        </w:tc>
        <w:tc>
          <w:tcPr>
            <w:tcW w:w="645" w:type="pct"/>
            <w:noWrap/>
            <w:hideMark/>
          </w:tcPr>
          <w:p w:rsidR="009F0307" w:rsidRPr="00F269E9" w:rsidRDefault="009F0307" w:rsidP="00561C55">
            <w:pPr>
              <w:pStyle w:val="Tabletext"/>
              <w:jc w:val="center"/>
              <w:rPr>
                <w:b/>
              </w:rPr>
            </w:pPr>
            <w:r w:rsidRPr="00F269E9">
              <w:rPr>
                <w:b/>
              </w:rPr>
              <w:t>SoC</w:t>
            </w:r>
          </w:p>
        </w:tc>
        <w:tc>
          <w:tcPr>
            <w:tcW w:w="646" w:type="pct"/>
            <w:noWrap/>
            <w:hideMark/>
          </w:tcPr>
          <w:p w:rsidR="009F0307" w:rsidRPr="00F269E9" w:rsidRDefault="009F0307" w:rsidP="00561C55">
            <w:pPr>
              <w:pStyle w:val="Tabletext"/>
              <w:jc w:val="center"/>
              <w:rPr>
                <w:b/>
              </w:rPr>
            </w:pPr>
            <w:r w:rsidRPr="00F269E9">
              <w:rPr>
                <w:b/>
              </w:rPr>
              <w:t>Incremental</w:t>
            </w:r>
          </w:p>
        </w:tc>
      </w:tr>
      <w:tr w:rsidR="00777C4F" w:rsidRPr="00595EFF" w:rsidTr="0047282F">
        <w:trPr>
          <w:tblHeader/>
        </w:trPr>
        <w:tc>
          <w:tcPr>
            <w:tcW w:w="3063" w:type="pct"/>
            <w:noWrap/>
            <w:hideMark/>
          </w:tcPr>
          <w:p w:rsidR="009F0307" w:rsidRPr="00595EFF" w:rsidRDefault="009F0307" w:rsidP="00561C55">
            <w:pPr>
              <w:pStyle w:val="Tabletext"/>
            </w:pPr>
            <w:r w:rsidRPr="00595EFF">
              <w:t>Costs</w:t>
            </w:r>
          </w:p>
        </w:tc>
        <w:tc>
          <w:tcPr>
            <w:tcW w:w="645" w:type="pct"/>
            <w:noWrap/>
            <w:hideMark/>
          </w:tcPr>
          <w:p w:rsidR="009F0307" w:rsidRPr="00595EFF" w:rsidRDefault="009F0307" w:rsidP="00561C55">
            <w:pPr>
              <w:pStyle w:val="Tabletext"/>
              <w:jc w:val="right"/>
            </w:pPr>
            <w:r w:rsidRPr="00D44969">
              <w:t>$</w:t>
            </w:r>
            <w:r w:rsidR="00EB7243">
              <w:rPr>
                <w:noProof/>
                <w:color w:val="000000"/>
                <w:highlight w:val="black"/>
              </w:rPr>
              <w:t>''''''''''''''''</w:t>
            </w:r>
          </w:p>
        </w:tc>
        <w:tc>
          <w:tcPr>
            <w:tcW w:w="645" w:type="pct"/>
            <w:noWrap/>
            <w:hideMark/>
          </w:tcPr>
          <w:p w:rsidR="009F0307" w:rsidRPr="00595EFF" w:rsidRDefault="009F0307" w:rsidP="00561C55">
            <w:pPr>
              <w:pStyle w:val="Tabletext"/>
              <w:jc w:val="right"/>
            </w:pPr>
            <w:r w:rsidRPr="00D44969">
              <w:t>$22,018</w:t>
            </w:r>
          </w:p>
        </w:tc>
        <w:tc>
          <w:tcPr>
            <w:tcW w:w="646" w:type="pct"/>
            <w:noWrap/>
            <w:hideMark/>
          </w:tcPr>
          <w:p w:rsidR="009F0307" w:rsidRPr="00595EFF" w:rsidRDefault="009F0307" w:rsidP="00561C55">
            <w:pPr>
              <w:pStyle w:val="Tabletext"/>
              <w:jc w:val="right"/>
            </w:pPr>
            <w:r w:rsidRPr="00D44969">
              <w:t>$</w:t>
            </w:r>
            <w:r w:rsidR="00EB7243">
              <w:rPr>
                <w:noProof/>
                <w:color w:val="000000"/>
                <w:highlight w:val="black"/>
              </w:rPr>
              <w:t>'''''''''''''''</w:t>
            </w:r>
          </w:p>
        </w:tc>
      </w:tr>
      <w:tr w:rsidR="00777C4F" w:rsidRPr="00595EFF" w:rsidTr="0047282F">
        <w:trPr>
          <w:tblHeader/>
        </w:trPr>
        <w:tc>
          <w:tcPr>
            <w:tcW w:w="3063" w:type="pct"/>
            <w:noWrap/>
            <w:hideMark/>
          </w:tcPr>
          <w:p w:rsidR="009F0307" w:rsidRPr="00595EFF" w:rsidRDefault="009F0307" w:rsidP="00561C55">
            <w:pPr>
              <w:pStyle w:val="Tabletext"/>
            </w:pPr>
            <w:r w:rsidRPr="00595EFF">
              <w:t>Life Years</w:t>
            </w:r>
          </w:p>
        </w:tc>
        <w:tc>
          <w:tcPr>
            <w:tcW w:w="645" w:type="pct"/>
            <w:noWrap/>
            <w:hideMark/>
          </w:tcPr>
          <w:p w:rsidR="009F0307" w:rsidRPr="00EB7243" w:rsidRDefault="00EB7243" w:rsidP="00561C55">
            <w:pPr>
              <w:pStyle w:val="Tabletext"/>
              <w:jc w:val="center"/>
              <w:rPr>
                <w:highlight w:val="black"/>
              </w:rPr>
            </w:pPr>
            <w:r>
              <w:rPr>
                <w:noProof/>
                <w:color w:val="000000"/>
                <w:highlight w:val="black"/>
              </w:rPr>
              <w:t>'''''''''''''</w:t>
            </w:r>
          </w:p>
        </w:tc>
        <w:tc>
          <w:tcPr>
            <w:tcW w:w="645" w:type="pct"/>
            <w:noWrap/>
            <w:hideMark/>
          </w:tcPr>
          <w:p w:rsidR="009F0307" w:rsidRPr="00595EFF" w:rsidRDefault="009F0307" w:rsidP="00561C55">
            <w:pPr>
              <w:pStyle w:val="Tabletext"/>
              <w:jc w:val="center"/>
            </w:pPr>
            <w:r w:rsidRPr="00D44969">
              <w:t>1.600</w:t>
            </w:r>
          </w:p>
        </w:tc>
        <w:tc>
          <w:tcPr>
            <w:tcW w:w="646" w:type="pct"/>
            <w:noWrap/>
            <w:hideMark/>
          </w:tcPr>
          <w:p w:rsidR="009F0307" w:rsidRPr="00EB7243" w:rsidRDefault="00EB7243" w:rsidP="00561C55">
            <w:pPr>
              <w:pStyle w:val="Tabletext"/>
              <w:jc w:val="center"/>
              <w:rPr>
                <w:highlight w:val="black"/>
              </w:rPr>
            </w:pPr>
            <w:r>
              <w:rPr>
                <w:noProof/>
                <w:color w:val="000000"/>
                <w:highlight w:val="black"/>
              </w:rPr>
              <w:t>'''''''''''''''</w:t>
            </w:r>
          </w:p>
        </w:tc>
      </w:tr>
      <w:tr w:rsidR="00777C4F" w:rsidRPr="00595EFF" w:rsidTr="0047282F">
        <w:trPr>
          <w:tblHeader/>
        </w:trPr>
        <w:tc>
          <w:tcPr>
            <w:tcW w:w="3063" w:type="pct"/>
            <w:noWrap/>
            <w:hideMark/>
          </w:tcPr>
          <w:p w:rsidR="009F0307" w:rsidRPr="00595EFF" w:rsidRDefault="009F0307" w:rsidP="00561C55">
            <w:pPr>
              <w:pStyle w:val="Tabletext"/>
            </w:pPr>
            <w:r w:rsidRPr="00595EFF">
              <w:t>QALYs</w:t>
            </w:r>
          </w:p>
        </w:tc>
        <w:tc>
          <w:tcPr>
            <w:tcW w:w="645" w:type="pct"/>
            <w:noWrap/>
            <w:hideMark/>
          </w:tcPr>
          <w:p w:rsidR="009F0307" w:rsidRPr="00EB7243" w:rsidRDefault="00EB7243" w:rsidP="00561C55">
            <w:pPr>
              <w:pStyle w:val="Tabletext"/>
              <w:jc w:val="center"/>
              <w:rPr>
                <w:highlight w:val="black"/>
              </w:rPr>
            </w:pPr>
            <w:r>
              <w:rPr>
                <w:noProof/>
                <w:color w:val="000000"/>
                <w:highlight w:val="black"/>
              </w:rPr>
              <w:t>'''''''''''''</w:t>
            </w:r>
          </w:p>
        </w:tc>
        <w:tc>
          <w:tcPr>
            <w:tcW w:w="645" w:type="pct"/>
            <w:noWrap/>
            <w:hideMark/>
          </w:tcPr>
          <w:p w:rsidR="009F0307" w:rsidRPr="00595EFF" w:rsidRDefault="009F0307" w:rsidP="00561C55">
            <w:pPr>
              <w:pStyle w:val="Tabletext"/>
              <w:jc w:val="center"/>
            </w:pPr>
            <w:r w:rsidRPr="00D44969">
              <w:t>0.908</w:t>
            </w:r>
          </w:p>
        </w:tc>
        <w:tc>
          <w:tcPr>
            <w:tcW w:w="646" w:type="pct"/>
            <w:noWrap/>
            <w:hideMark/>
          </w:tcPr>
          <w:p w:rsidR="009F0307" w:rsidRPr="00EB7243" w:rsidRDefault="00EB7243" w:rsidP="00561C55">
            <w:pPr>
              <w:pStyle w:val="Tabletext"/>
              <w:jc w:val="center"/>
              <w:rPr>
                <w:highlight w:val="black"/>
              </w:rPr>
            </w:pPr>
            <w:r>
              <w:rPr>
                <w:noProof/>
                <w:color w:val="000000"/>
                <w:highlight w:val="black"/>
              </w:rPr>
              <w:t>'''''''''''''</w:t>
            </w:r>
          </w:p>
        </w:tc>
      </w:tr>
      <w:tr w:rsidR="00777C4F" w:rsidRPr="00595EFF" w:rsidTr="0047282F">
        <w:trPr>
          <w:tblHeader/>
        </w:trPr>
        <w:tc>
          <w:tcPr>
            <w:tcW w:w="3063" w:type="pct"/>
            <w:noWrap/>
            <w:hideMark/>
          </w:tcPr>
          <w:p w:rsidR="009F0307" w:rsidRPr="00595EFF" w:rsidRDefault="009F0307" w:rsidP="00561C55">
            <w:pPr>
              <w:pStyle w:val="Tabletext"/>
            </w:pPr>
            <w:r w:rsidRPr="00595EFF">
              <w:t>Cost/LY</w:t>
            </w:r>
          </w:p>
        </w:tc>
        <w:tc>
          <w:tcPr>
            <w:tcW w:w="645" w:type="pct"/>
            <w:noWrap/>
            <w:hideMark/>
          </w:tcPr>
          <w:p w:rsidR="009F0307" w:rsidRPr="00595EFF" w:rsidRDefault="009F0307" w:rsidP="00561C55">
            <w:pPr>
              <w:pStyle w:val="Tabletext"/>
              <w:jc w:val="right"/>
            </w:pPr>
            <w:r w:rsidRPr="00D44969">
              <w:t>$</w:t>
            </w:r>
            <w:r w:rsidR="00EB7243">
              <w:rPr>
                <w:noProof/>
                <w:color w:val="000000"/>
                <w:highlight w:val="black"/>
              </w:rPr>
              <w:t>''''''''''''''''</w:t>
            </w:r>
          </w:p>
        </w:tc>
        <w:tc>
          <w:tcPr>
            <w:tcW w:w="645" w:type="pct"/>
            <w:noWrap/>
            <w:hideMark/>
          </w:tcPr>
          <w:p w:rsidR="009F0307" w:rsidRPr="00595EFF" w:rsidRDefault="009F0307" w:rsidP="00561C55">
            <w:pPr>
              <w:pStyle w:val="Tabletext"/>
              <w:jc w:val="right"/>
            </w:pPr>
            <w:r w:rsidRPr="00D44969">
              <w:t>$13,757</w:t>
            </w:r>
          </w:p>
        </w:tc>
        <w:tc>
          <w:tcPr>
            <w:tcW w:w="646" w:type="pct"/>
            <w:noWrap/>
            <w:hideMark/>
          </w:tcPr>
          <w:p w:rsidR="009F0307" w:rsidRPr="00595EFF" w:rsidRDefault="009F0307" w:rsidP="00561C55">
            <w:pPr>
              <w:pStyle w:val="Tabletext"/>
              <w:jc w:val="right"/>
            </w:pPr>
            <w:r w:rsidRPr="00D44969">
              <w:t>$</w:t>
            </w:r>
            <w:r w:rsidR="00EB7243">
              <w:rPr>
                <w:noProof/>
                <w:color w:val="000000"/>
                <w:highlight w:val="black"/>
              </w:rPr>
              <w:t>'''''''''''''''</w:t>
            </w:r>
          </w:p>
        </w:tc>
      </w:tr>
      <w:tr w:rsidR="00777C4F" w:rsidRPr="00595EFF" w:rsidTr="0047282F">
        <w:trPr>
          <w:tblHeader/>
        </w:trPr>
        <w:tc>
          <w:tcPr>
            <w:tcW w:w="3063" w:type="pct"/>
            <w:tcBorders>
              <w:bottom w:val="double" w:sz="4" w:space="0" w:color="auto"/>
            </w:tcBorders>
            <w:noWrap/>
            <w:hideMark/>
          </w:tcPr>
          <w:p w:rsidR="009F0307" w:rsidRPr="00595EFF" w:rsidRDefault="009F0307" w:rsidP="00561C55">
            <w:pPr>
              <w:pStyle w:val="Tabletext"/>
            </w:pPr>
            <w:r w:rsidRPr="00595EFF">
              <w:t>Cost/QALY</w:t>
            </w:r>
          </w:p>
        </w:tc>
        <w:tc>
          <w:tcPr>
            <w:tcW w:w="645" w:type="pct"/>
            <w:tcBorders>
              <w:bottom w:val="double" w:sz="4" w:space="0" w:color="auto"/>
            </w:tcBorders>
            <w:noWrap/>
            <w:hideMark/>
          </w:tcPr>
          <w:p w:rsidR="009F0307" w:rsidRPr="00595EFF" w:rsidRDefault="009F0307" w:rsidP="00561C55">
            <w:pPr>
              <w:pStyle w:val="Tabletext"/>
              <w:jc w:val="right"/>
            </w:pPr>
            <w:r w:rsidRPr="00D44969">
              <w:t>$</w:t>
            </w:r>
            <w:r w:rsidR="00EB7243">
              <w:rPr>
                <w:noProof/>
                <w:color w:val="000000"/>
                <w:highlight w:val="black"/>
              </w:rPr>
              <w:t>'''''''''''''''</w:t>
            </w:r>
          </w:p>
        </w:tc>
        <w:tc>
          <w:tcPr>
            <w:tcW w:w="645" w:type="pct"/>
            <w:tcBorders>
              <w:bottom w:val="double" w:sz="4" w:space="0" w:color="auto"/>
            </w:tcBorders>
            <w:noWrap/>
            <w:hideMark/>
          </w:tcPr>
          <w:p w:rsidR="009F0307" w:rsidRPr="00595EFF" w:rsidRDefault="009F0307" w:rsidP="00561C55">
            <w:pPr>
              <w:pStyle w:val="Tabletext"/>
              <w:jc w:val="right"/>
            </w:pPr>
            <w:r w:rsidRPr="00D44969">
              <w:t>$24,246</w:t>
            </w:r>
          </w:p>
        </w:tc>
        <w:tc>
          <w:tcPr>
            <w:tcW w:w="646" w:type="pct"/>
            <w:tcBorders>
              <w:bottom w:val="double" w:sz="4" w:space="0" w:color="auto"/>
            </w:tcBorders>
            <w:noWrap/>
            <w:hideMark/>
          </w:tcPr>
          <w:p w:rsidR="009F0307" w:rsidRPr="00C70453" w:rsidRDefault="009F0307" w:rsidP="00561C55">
            <w:pPr>
              <w:pStyle w:val="Tabletext"/>
              <w:jc w:val="right"/>
              <w:rPr>
                <w:b/>
                <w:bCs/>
              </w:rPr>
            </w:pPr>
            <w:r w:rsidRPr="00C70453">
              <w:rPr>
                <w:b/>
                <w:bCs/>
              </w:rPr>
              <w:t>$</w:t>
            </w:r>
            <w:r w:rsidR="00EB7243">
              <w:rPr>
                <w:b/>
                <w:bCs/>
                <w:noProof/>
                <w:color w:val="000000"/>
                <w:highlight w:val="black"/>
              </w:rPr>
              <w:t>'''''''''''''</w:t>
            </w:r>
          </w:p>
        </w:tc>
      </w:tr>
      <w:tr w:rsidR="00777C4F" w:rsidRPr="00595EFF" w:rsidTr="0047282F">
        <w:trPr>
          <w:tblHeader/>
        </w:trPr>
        <w:tc>
          <w:tcPr>
            <w:tcW w:w="3063" w:type="pct"/>
            <w:tcBorders>
              <w:top w:val="double" w:sz="4" w:space="0" w:color="auto"/>
            </w:tcBorders>
            <w:noWrap/>
          </w:tcPr>
          <w:p w:rsidR="00522156" w:rsidRPr="002E075F" w:rsidRDefault="00522156" w:rsidP="00561C55">
            <w:pPr>
              <w:pStyle w:val="Tabletext"/>
            </w:pPr>
            <w:r w:rsidRPr="002E075F">
              <w:t>PSCR accepted base case: Incremental Cost/QALY</w:t>
            </w:r>
          </w:p>
        </w:tc>
        <w:tc>
          <w:tcPr>
            <w:tcW w:w="645" w:type="pct"/>
            <w:tcBorders>
              <w:top w:val="double" w:sz="4" w:space="0" w:color="auto"/>
            </w:tcBorders>
            <w:noWrap/>
          </w:tcPr>
          <w:p w:rsidR="00522156" w:rsidRPr="002E075F" w:rsidRDefault="00522156" w:rsidP="00561C55">
            <w:pPr>
              <w:pStyle w:val="Tabletext"/>
              <w:jc w:val="right"/>
            </w:pPr>
          </w:p>
        </w:tc>
        <w:tc>
          <w:tcPr>
            <w:tcW w:w="645" w:type="pct"/>
            <w:tcBorders>
              <w:top w:val="double" w:sz="4" w:space="0" w:color="auto"/>
            </w:tcBorders>
            <w:noWrap/>
          </w:tcPr>
          <w:p w:rsidR="00522156" w:rsidRPr="002E075F" w:rsidRDefault="00522156" w:rsidP="00561C55">
            <w:pPr>
              <w:pStyle w:val="Tabletext"/>
              <w:jc w:val="right"/>
            </w:pPr>
          </w:p>
        </w:tc>
        <w:tc>
          <w:tcPr>
            <w:tcW w:w="646" w:type="pct"/>
            <w:tcBorders>
              <w:top w:val="double" w:sz="4" w:space="0" w:color="auto"/>
            </w:tcBorders>
            <w:noWrap/>
          </w:tcPr>
          <w:p w:rsidR="00522156" w:rsidRPr="002E075F" w:rsidRDefault="00522156" w:rsidP="00561C55">
            <w:pPr>
              <w:pStyle w:val="Tabletext"/>
              <w:jc w:val="right"/>
            </w:pPr>
            <w:r w:rsidRPr="002E075F">
              <w:t>$</w:t>
            </w:r>
            <w:r w:rsidR="00EB7243">
              <w:rPr>
                <w:noProof/>
                <w:color w:val="000000"/>
                <w:highlight w:val="black"/>
              </w:rPr>
              <w:t>''''''''''''''''''</w:t>
            </w:r>
          </w:p>
        </w:tc>
      </w:tr>
      <w:tr w:rsidR="00777C4F" w:rsidRPr="00595EFF" w:rsidTr="0047282F">
        <w:trPr>
          <w:tblHeader/>
        </w:trPr>
        <w:tc>
          <w:tcPr>
            <w:tcW w:w="3063" w:type="pct"/>
            <w:noWrap/>
          </w:tcPr>
          <w:p w:rsidR="00522156" w:rsidRPr="002E075F" w:rsidRDefault="00522156" w:rsidP="00561C55">
            <w:pPr>
              <w:pStyle w:val="Tabletext"/>
            </w:pPr>
            <w:r w:rsidRPr="002E075F">
              <w:t>ESC respecified base case</w:t>
            </w:r>
            <w:r w:rsidR="00777C4F">
              <w:t>, accepted by pre-PBAC response</w:t>
            </w:r>
            <w:r w:rsidRPr="002E075F">
              <w:t>: Incremental Cost/QALY</w:t>
            </w:r>
          </w:p>
        </w:tc>
        <w:tc>
          <w:tcPr>
            <w:tcW w:w="645" w:type="pct"/>
            <w:noWrap/>
          </w:tcPr>
          <w:p w:rsidR="00522156" w:rsidRPr="002E075F" w:rsidRDefault="00522156" w:rsidP="00561C55">
            <w:pPr>
              <w:pStyle w:val="Tabletext"/>
              <w:jc w:val="right"/>
            </w:pPr>
          </w:p>
        </w:tc>
        <w:tc>
          <w:tcPr>
            <w:tcW w:w="645" w:type="pct"/>
            <w:noWrap/>
          </w:tcPr>
          <w:p w:rsidR="00522156" w:rsidRPr="002E075F" w:rsidRDefault="00522156" w:rsidP="00561C55">
            <w:pPr>
              <w:pStyle w:val="Tabletext"/>
              <w:jc w:val="right"/>
            </w:pPr>
          </w:p>
        </w:tc>
        <w:tc>
          <w:tcPr>
            <w:tcW w:w="646" w:type="pct"/>
            <w:noWrap/>
          </w:tcPr>
          <w:p w:rsidR="00522156" w:rsidRPr="002E075F" w:rsidRDefault="00522156" w:rsidP="00561C55">
            <w:pPr>
              <w:pStyle w:val="Tabletext"/>
              <w:jc w:val="right"/>
            </w:pPr>
            <w:r w:rsidRPr="002E075F">
              <w:t>$</w:t>
            </w:r>
            <w:r w:rsidR="00EB7243">
              <w:rPr>
                <w:noProof/>
                <w:color w:val="000000"/>
                <w:highlight w:val="black"/>
              </w:rPr>
              <w:t>'''''''''''''''</w:t>
            </w:r>
          </w:p>
        </w:tc>
      </w:tr>
    </w:tbl>
    <w:p w:rsidR="009F0307" w:rsidRPr="00A57BC5" w:rsidRDefault="009F0307" w:rsidP="00561C55">
      <w:pPr>
        <w:widowControl/>
        <w:rPr>
          <w:rStyle w:val="CommentReference"/>
          <w:rFonts w:asciiTheme="minorHAnsi" w:hAnsiTheme="minorHAnsi"/>
          <w:b w:val="0"/>
          <w:sz w:val="24"/>
          <w:szCs w:val="24"/>
        </w:rPr>
      </w:pPr>
      <w:r w:rsidRPr="002D6C2E">
        <w:rPr>
          <w:rFonts w:ascii="Arial Narrow" w:hAnsi="Arial Narrow"/>
          <w:sz w:val="18"/>
        </w:rPr>
        <w:t>Source: Table 3.7.5, Section 3 of the submission</w:t>
      </w:r>
    </w:p>
    <w:p w:rsidR="009F0307" w:rsidRPr="00D110BD" w:rsidRDefault="009F0307" w:rsidP="00561C55">
      <w:pPr>
        <w:widowControl/>
      </w:pPr>
    </w:p>
    <w:p w:rsidR="009F0307" w:rsidRPr="002E075F" w:rsidRDefault="009F0307" w:rsidP="00561C55">
      <w:pPr>
        <w:pStyle w:val="ListParagraph"/>
        <w:widowControl/>
        <w:numPr>
          <w:ilvl w:val="1"/>
          <w:numId w:val="3"/>
        </w:numPr>
      </w:pPr>
      <w:r w:rsidRPr="002E075F">
        <w:lastRenderedPageBreak/>
        <w:t>As noted above, given the highly uncertain OS benefit of talazoparib versus SoC in the model, the result of the economic evaluation was uncertain.</w:t>
      </w:r>
    </w:p>
    <w:p w:rsidR="008F6524" w:rsidRDefault="008F6524" w:rsidP="00561C55">
      <w:pPr>
        <w:pStyle w:val="ListParagraph"/>
        <w:widowControl/>
        <w:numPr>
          <w:ilvl w:val="1"/>
          <w:numId w:val="3"/>
        </w:numPr>
      </w:pPr>
      <w:r w:rsidRPr="002E075F">
        <w:t>The ESC considered</w:t>
      </w:r>
      <w:r w:rsidR="009424E4" w:rsidRPr="002E075F">
        <w:t xml:space="preserve"> that the base case should be respecified </w:t>
      </w:r>
      <w:r w:rsidR="000707FC" w:rsidRPr="002E075F">
        <w:t>to</w:t>
      </w:r>
      <w:r w:rsidR="00712EF7" w:rsidRPr="002E075F">
        <w:t xml:space="preserve"> correct the costs associated with talazoparib treatment by</w:t>
      </w:r>
      <w:r w:rsidR="00CF66AE" w:rsidRPr="002E075F">
        <w:t xml:space="preserve"> incorporat</w:t>
      </w:r>
      <w:r w:rsidR="00712EF7" w:rsidRPr="002E075F">
        <w:t>ing</w:t>
      </w:r>
      <w:r w:rsidR="00B02D07" w:rsidRPr="002E075F">
        <w:t xml:space="preserve"> the extrapolated ToT curve and an RDI of 100</w:t>
      </w:r>
      <w:r w:rsidR="00B02D07" w:rsidRPr="002E075F">
        <w:rPr>
          <w:rFonts w:asciiTheme="minorHAnsi" w:hAnsiTheme="minorHAnsi" w:cstheme="minorHAnsi"/>
          <w:szCs w:val="24"/>
        </w:rPr>
        <w:t>%</w:t>
      </w:r>
      <w:r w:rsidR="00712EF7" w:rsidRPr="002E075F">
        <w:rPr>
          <w:rFonts w:asciiTheme="minorHAnsi" w:hAnsiTheme="minorHAnsi" w:cstheme="minorHAnsi"/>
          <w:szCs w:val="24"/>
        </w:rPr>
        <w:t>. T</w:t>
      </w:r>
      <w:r w:rsidR="004E7CF6" w:rsidRPr="002E075F">
        <w:rPr>
          <w:rFonts w:asciiTheme="minorHAnsi" w:hAnsiTheme="minorHAnsi" w:cstheme="minorHAnsi"/>
          <w:szCs w:val="24"/>
        </w:rPr>
        <w:t>his resulted</w:t>
      </w:r>
      <w:r w:rsidR="004E7CF6" w:rsidRPr="002E075F">
        <w:t xml:space="preserve"> in an ICER of </w:t>
      </w:r>
      <w:r w:rsidR="00464D9D">
        <w:t>$95,000 - $115,000</w:t>
      </w:r>
      <w:r w:rsidR="00824E41" w:rsidRPr="002E075F">
        <w:t xml:space="preserve"> per QALY</w:t>
      </w:r>
      <w:r w:rsidR="003A5333" w:rsidRPr="002E075F">
        <w:t xml:space="preserve">. </w:t>
      </w:r>
      <w:r w:rsidR="0029712B">
        <w:t xml:space="preserve">The pre-PBAC response </w:t>
      </w:r>
      <w:r w:rsidR="00CA28B0">
        <w:t xml:space="preserve">considered the respecified base case to be reasonable. </w:t>
      </w:r>
    </w:p>
    <w:p w:rsidR="006A7160" w:rsidRPr="002E075F" w:rsidRDefault="006A7160" w:rsidP="00561C55">
      <w:pPr>
        <w:pStyle w:val="ListParagraph"/>
        <w:widowControl/>
        <w:numPr>
          <w:ilvl w:val="1"/>
          <w:numId w:val="3"/>
        </w:numPr>
      </w:pPr>
      <w:r w:rsidRPr="002E075F">
        <w:t>The ESC considered that a shorter time horizon would further</w:t>
      </w:r>
      <w:r w:rsidR="005E2D1C">
        <w:t xml:space="preserve"> increase the ICER (see Figure 6</w:t>
      </w:r>
      <w:r w:rsidRPr="002E075F">
        <w:t>).</w:t>
      </w:r>
    </w:p>
    <w:p w:rsidR="009F0307" w:rsidRPr="00AA6893" w:rsidRDefault="005E2D1C" w:rsidP="00C825DD">
      <w:pPr>
        <w:pStyle w:val="ListParagraph"/>
        <w:keepNext/>
        <w:widowControl/>
        <w:numPr>
          <w:ilvl w:val="1"/>
          <w:numId w:val="3"/>
        </w:numPr>
      </w:pPr>
      <w:r>
        <w:t xml:space="preserve">Figure </w:t>
      </w:r>
      <w:r>
        <w:rPr>
          <w:noProof/>
        </w:rPr>
        <w:t>6</w:t>
      </w:r>
      <w:r w:rsidR="00C825DD">
        <w:t xml:space="preserve"> </w:t>
      </w:r>
      <w:r w:rsidR="009F0307" w:rsidRPr="00AA6893">
        <w:t xml:space="preserve">provides a summary of the ICER ($/QALY) over the time horizon of the model. </w:t>
      </w:r>
    </w:p>
    <w:p w:rsidR="009F0307" w:rsidRDefault="005E2D1C" w:rsidP="005E2D1C">
      <w:pPr>
        <w:pStyle w:val="Caption"/>
      </w:pPr>
      <w:bookmarkStart w:id="20" w:name="_Ref22641710"/>
      <w:r>
        <w:t xml:space="preserve">Figure </w:t>
      </w:r>
      <w:r>
        <w:rPr>
          <w:noProof/>
        </w:rPr>
        <w:t>6</w:t>
      </w:r>
      <w:bookmarkEnd w:id="20"/>
      <w:r w:rsidR="009F0307">
        <w:t xml:space="preserve">: Trace of the ICER ($/QALY) over the time horizon of the model. </w:t>
      </w:r>
    </w:p>
    <w:p w:rsidR="00BE2CDB" w:rsidRPr="00EB7243" w:rsidRDefault="00BE2CDB" w:rsidP="00BE2CDB"/>
    <w:p w:rsidR="009F0307" w:rsidRPr="00EB7243" w:rsidRDefault="00EB7243" w:rsidP="00C825DD">
      <w:pPr>
        <w:keepNext/>
        <w:widowControl/>
        <w:rPr>
          <w:i/>
        </w:rPr>
      </w:pPr>
      <w:bookmarkStart w:id="21" w:name="_GoBack"/>
      <w:r>
        <w:rPr>
          <w:i/>
          <w:noProof/>
          <w:snapToGrid/>
          <w:lang w:eastAsia="en-AU"/>
        </w:rPr>
        <w:drawing>
          <wp:inline distT="0" distB="0" distL="0" distR="0">
            <wp:extent cx="5908675" cy="3179445"/>
            <wp:effectExtent l="0" t="0" r="0" b="1905"/>
            <wp:docPr id="2" name="Picture 2" title="Figure 6: Trace of the ICER ($/QALY) over the time horizon of the model. "/>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extLst>
                        <a:ext uri="{28A0092B-C50C-407E-A947-70E740481C1C}">
                          <a14:useLocalDpi xmlns:a14="http://schemas.microsoft.com/office/drawing/2010/main" val="0"/>
                        </a:ext>
                      </a:extLst>
                    </a:blip>
                    <a:stretch>
                      <a:fillRect/>
                    </a:stretch>
                  </pic:blipFill>
                  <pic:spPr>
                    <a:xfrm>
                      <a:off x="0" y="0"/>
                      <a:ext cx="5908675" cy="3179445"/>
                    </a:xfrm>
                    <a:prstGeom prst="rect">
                      <a:avLst/>
                    </a:prstGeom>
                  </pic:spPr>
                </pic:pic>
              </a:graphicData>
            </a:graphic>
          </wp:inline>
        </w:drawing>
      </w:r>
      <w:bookmarkEnd w:id="21"/>
    </w:p>
    <w:p w:rsidR="004701AE" w:rsidRPr="00BE2CDB" w:rsidRDefault="004701AE" w:rsidP="00C825DD">
      <w:pPr>
        <w:pStyle w:val="TableFooter"/>
        <w:keepNext/>
        <w:widowControl/>
        <w:rPr>
          <w:lang w:val="en-US" w:eastAsia="en-AU"/>
        </w:rPr>
      </w:pPr>
      <w:r w:rsidRPr="00BE2CDB">
        <w:t xml:space="preserve">Source: Constructed during the evaluation based on information presented in </w:t>
      </w:r>
      <w:r w:rsidRPr="00BE2CDB">
        <w:rPr>
          <w:lang w:val="en-US" w:eastAsia="en-AU"/>
        </w:rPr>
        <w:t>Talazoparib mBC CUA Australia.xlsx’</w:t>
      </w:r>
    </w:p>
    <w:p w:rsidR="004701AE" w:rsidRPr="001D2377" w:rsidRDefault="004701AE" w:rsidP="00561C55">
      <w:pPr>
        <w:widowControl/>
      </w:pPr>
    </w:p>
    <w:p w:rsidR="009F0307" w:rsidRPr="003225DE" w:rsidRDefault="009F0307" w:rsidP="00561C55">
      <w:pPr>
        <w:pStyle w:val="ListParagraph"/>
        <w:widowControl/>
        <w:numPr>
          <w:ilvl w:val="1"/>
          <w:numId w:val="3"/>
        </w:numPr>
      </w:pPr>
      <w:r w:rsidRPr="003225DE">
        <w:t>The key sensitivity analyses are presented below.</w:t>
      </w:r>
      <w:r w:rsidR="006A7160">
        <w:t xml:space="preserve"> </w:t>
      </w:r>
    </w:p>
    <w:p w:rsidR="00C05464" w:rsidRPr="00117B10" w:rsidRDefault="00C05464" w:rsidP="00C05464">
      <w:pPr>
        <w:pStyle w:val="TableHeading"/>
        <w:keepLines/>
        <w:rPr>
          <w:rStyle w:val="CommentReference"/>
          <w:b/>
        </w:rPr>
      </w:pPr>
      <w:r w:rsidRPr="00117B10">
        <w:rPr>
          <w:rStyle w:val="CommentReference"/>
          <w:b/>
        </w:rPr>
        <w:lastRenderedPageBreak/>
        <w:t xml:space="preserve">Table </w:t>
      </w:r>
      <w:r>
        <w:rPr>
          <w:rStyle w:val="CommentReference"/>
          <w:b/>
          <w:noProof/>
        </w:rPr>
        <w:t>10</w:t>
      </w:r>
      <w:r w:rsidRPr="00117B10">
        <w:rPr>
          <w:rStyle w:val="CommentReference"/>
          <w:b/>
        </w:rPr>
        <w:t>: Results of selected sensitivity analyses</w:t>
      </w:r>
      <w:r>
        <w:rPr>
          <w:rStyle w:val="CommentReference"/>
          <w:b/>
        </w:rPr>
        <w:t xml:space="preserve"> (based on the base case proposed by ESC</w:t>
      </w:r>
      <w:r w:rsidR="00265065">
        <w:rPr>
          <w:rStyle w:val="CommentReference"/>
          <w:b/>
        </w:rPr>
        <w:t xml:space="preserve"> which was</w:t>
      </w:r>
      <w:r>
        <w:rPr>
          <w:rStyle w:val="CommentReference"/>
          <w:b/>
        </w:rPr>
        <w:t xml:space="preserve"> and accepted in the pre-PBAC response) </w:t>
      </w:r>
    </w:p>
    <w:tbl>
      <w:tblPr>
        <w:tblStyle w:val="TableGrid"/>
        <w:tblW w:w="5000" w:type="pct"/>
        <w:tblLook w:val="04A0" w:firstRow="1" w:lastRow="0" w:firstColumn="1" w:lastColumn="0" w:noHBand="0" w:noVBand="1"/>
        <w:tblCaption w:val="Table 10: Results of selected sensitivity analyses (based on the base case proposed by ESC which was and accepted in the pre-PBAC response) "/>
      </w:tblPr>
      <w:tblGrid>
        <w:gridCol w:w="2958"/>
        <w:gridCol w:w="2676"/>
        <w:gridCol w:w="1137"/>
        <w:gridCol w:w="1174"/>
        <w:gridCol w:w="1072"/>
      </w:tblGrid>
      <w:tr w:rsidR="00C05464" w:rsidRPr="00BC67F4" w:rsidTr="0047282F">
        <w:trPr>
          <w:tblHeader/>
        </w:trPr>
        <w:tc>
          <w:tcPr>
            <w:tcW w:w="1649" w:type="pct"/>
            <w:vAlign w:val="bottom"/>
          </w:tcPr>
          <w:p w:rsidR="00C05464" w:rsidRPr="002E075F" w:rsidRDefault="00C05464" w:rsidP="00C05464">
            <w:pPr>
              <w:pStyle w:val="Tabletext"/>
              <w:keepNext/>
              <w:keepLines/>
              <w:jc w:val="center"/>
              <w:rPr>
                <w:b/>
              </w:rPr>
            </w:pPr>
            <w:r w:rsidRPr="002E075F">
              <w:rPr>
                <w:b/>
              </w:rPr>
              <w:t>Parameter</w:t>
            </w:r>
          </w:p>
          <w:p w:rsidR="00C05464" w:rsidRPr="002E075F" w:rsidRDefault="00C05464" w:rsidP="00C05464">
            <w:pPr>
              <w:pStyle w:val="Tabletext"/>
              <w:keepNext/>
              <w:keepLines/>
              <w:jc w:val="center"/>
              <w:rPr>
                <w:b/>
              </w:rPr>
            </w:pPr>
            <w:r w:rsidRPr="002E075F">
              <w:rPr>
                <w:b/>
              </w:rPr>
              <w:t>(base case)</w:t>
            </w:r>
          </w:p>
        </w:tc>
        <w:tc>
          <w:tcPr>
            <w:tcW w:w="1493" w:type="pct"/>
            <w:vAlign w:val="bottom"/>
          </w:tcPr>
          <w:p w:rsidR="00C05464" w:rsidRPr="002E075F" w:rsidRDefault="00C05464" w:rsidP="00C05464">
            <w:pPr>
              <w:pStyle w:val="Tabletext"/>
              <w:keepNext/>
              <w:keepLines/>
              <w:jc w:val="center"/>
              <w:rPr>
                <w:b/>
              </w:rPr>
            </w:pPr>
            <w:r w:rsidRPr="002E075F">
              <w:rPr>
                <w:b/>
              </w:rPr>
              <w:t>Value Tested</w:t>
            </w:r>
          </w:p>
        </w:tc>
        <w:tc>
          <w:tcPr>
            <w:tcW w:w="595" w:type="pct"/>
            <w:vAlign w:val="bottom"/>
          </w:tcPr>
          <w:p w:rsidR="00C05464" w:rsidRPr="002E075F" w:rsidRDefault="00C05464" w:rsidP="00C05464">
            <w:pPr>
              <w:pStyle w:val="Tabletext"/>
              <w:keepNext/>
              <w:keepLines/>
              <w:jc w:val="center"/>
              <w:rPr>
                <w:b/>
              </w:rPr>
            </w:pPr>
            <w:r w:rsidRPr="002E075F">
              <w:rPr>
                <w:b/>
              </w:rPr>
              <w:t>Incremental Costs</w:t>
            </w:r>
          </w:p>
        </w:tc>
        <w:tc>
          <w:tcPr>
            <w:tcW w:w="660" w:type="pct"/>
            <w:vAlign w:val="bottom"/>
          </w:tcPr>
          <w:p w:rsidR="00C05464" w:rsidRPr="002E075F" w:rsidRDefault="00C05464" w:rsidP="00C05464">
            <w:pPr>
              <w:pStyle w:val="Tabletext"/>
              <w:keepNext/>
              <w:keepLines/>
              <w:jc w:val="center"/>
              <w:rPr>
                <w:b/>
              </w:rPr>
            </w:pPr>
            <w:r w:rsidRPr="002E075F">
              <w:rPr>
                <w:b/>
              </w:rPr>
              <w:t>Incremental QALYs</w:t>
            </w:r>
          </w:p>
        </w:tc>
        <w:tc>
          <w:tcPr>
            <w:tcW w:w="604" w:type="pct"/>
            <w:vAlign w:val="bottom"/>
          </w:tcPr>
          <w:p w:rsidR="00C05464" w:rsidRPr="002E075F" w:rsidRDefault="00C05464" w:rsidP="00C05464">
            <w:pPr>
              <w:pStyle w:val="Tabletext"/>
              <w:keepNext/>
              <w:keepLines/>
              <w:jc w:val="center"/>
              <w:rPr>
                <w:b/>
              </w:rPr>
            </w:pPr>
            <w:r w:rsidRPr="002E075F">
              <w:rPr>
                <w:b/>
              </w:rPr>
              <w:t>ICER ($/QALY)</w:t>
            </w:r>
          </w:p>
        </w:tc>
      </w:tr>
      <w:tr w:rsidR="00C05464" w:rsidRPr="00BC67F4" w:rsidTr="0047282F">
        <w:trPr>
          <w:tblHeader/>
        </w:trPr>
        <w:tc>
          <w:tcPr>
            <w:tcW w:w="1649" w:type="pct"/>
            <w:vAlign w:val="center"/>
          </w:tcPr>
          <w:p w:rsidR="00C05464" w:rsidRPr="00C05464" w:rsidRDefault="00C05464" w:rsidP="00C05464">
            <w:pPr>
              <w:pStyle w:val="Tabletext"/>
              <w:keepNext/>
              <w:keepLines/>
              <w:rPr>
                <w:vertAlign w:val="superscript"/>
              </w:rPr>
            </w:pPr>
            <w:r>
              <w:rPr>
                <w:rStyle w:val="CommentReference"/>
              </w:rPr>
              <w:t>B</w:t>
            </w:r>
            <w:r w:rsidRPr="00C05464">
              <w:rPr>
                <w:rStyle w:val="CommentReference"/>
              </w:rPr>
              <w:t>ase case proposed by ESC and accepted in pre-PBAC response</w:t>
            </w:r>
            <w:r>
              <w:rPr>
                <w:rStyle w:val="CommentReference"/>
              </w:rPr>
              <w:t xml:space="preserve"> </w:t>
            </w:r>
            <w:r>
              <w:rPr>
                <w:rStyle w:val="CommentReference"/>
                <w:vertAlign w:val="superscript"/>
              </w:rPr>
              <w:t>a</w:t>
            </w:r>
          </w:p>
        </w:tc>
        <w:tc>
          <w:tcPr>
            <w:tcW w:w="1493" w:type="pct"/>
            <w:vAlign w:val="center"/>
          </w:tcPr>
          <w:p w:rsidR="00C05464" w:rsidRPr="002E075F" w:rsidRDefault="00C05464" w:rsidP="00C05464">
            <w:pPr>
              <w:pStyle w:val="Tabletext"/>
              <w:keepNext/>
              <w:keepLines/>
              <w:rPr>
                <w:b/>
              </w:rPr>
            </w:pPr>
          </w:p>
        </w:tc>
        <w:tc>
          <w:tcPr>
            <w:tcW w:w="595" w:type="pct"/>
            <w:vAlign w:val="center"/>
          </w:tcPr>
          <w:p w:rsidR="00C05464" w:rsidRPr="00EB7243" w:rsidRDefault="00EB7243" w:rsidP="00C05464">
            <w:pPr>
              <w:pStyle w:val="TableText0"/>
              <w:keepLines/>
              <w:spacing w:before="0" w:after="0"/>
              <w:jc w:val="right"/>
              <w:rPr>
                <w:rFonts w:cs="Calibri"/>
                <w:color w:val="000000"/>
                <w:szCs w:val="20"/>
                <w:highlight w:val="black"/>
              </w:rPr>
            </w:pPr>
            <w:r>
              <w:rPr>
                <w:noProof/>
                <w:color w:val="000000"/>
                <w:highlight w:val="black"/>
              </w:rPr>
              <w:t>''''''''''''''''''''</w:t>
            </w:r>
          </w:p>
        </w:tc>
        <w:tc>
          <w:tcPr>
            <w:tcW w:w="660" w:type="pct"/>
            <w:vAlign w:val="center"/>
          </w:tcPr>
          <w:p w:rsidR="00C05464" w:rsidRPr="00EB7243" w:rsidRDefault="00EB7243" w:rsidP="00C05464">
            <w:pPr>
              <w:pStyle w:val="TableText0"/>
              <w:keepLines/>
              <w:spacing w:before="0" w:after="0"/>
              <w:jc w:val="center"/>
              <w:rPr>
                <w:rFonts w:cs="Calibri"/>
                <w:color w:val="000000"/>
                <w:szCs w:val="20"/>
                <w:highlight w:val="black"/>
              </w:rPr>
            </w:pPr>
            <w:r>
              <w:rPr>
                <w:noProof/>
                <w:color w:val="000000"/>
                <w:highlight w:val="black"/>
              </w:rPr>
              <w:t>'''''''''''''''''</w:t>
            </w:r>
          </w:p>
        </w:tc>
        <w:tc>
          <w:tcPr>
            <w:tcW w:w="604" w:type="pct"/>
            <w:vAlign w:val="center"/>
          </w:tcPr>
          <w:p w:rsidR="00C05464" w:rsidRPr="00EB7243" w:rsidRDefault="00EB7243" w:rsidP="00C05464">
            <w:pPr>
              <w:pStyle w:val="TableText0"/>
              <w:keepLines/>
              <w:spacing w:before="0" w:after="0"/>
              <w:jc w:val="right"/>
              <w:rPr>
                <w:rFonts w:cs="Calibri"/>
                <w:color w:val="000000"/>
                <w:szCs w:val="20"/>
                <w:highlight w:val="black"/>
              </w:rPr>
            </w:pPr>
            <w:r>
              <w:rPr>
                <w:rFonts w:cs="Times New Roman"/>
                <w:noProof/>
                <w:color w:val="000000"/>
                <w:highlight w:val="black"/>
              </w:rPr>
              <w:t>'''''''''''''''''''</w:t>
            </w:r>
          </w:p>
        </w:tc>
      </w:tr>
      <w:tr w:rsidR="00C05464" w:rsidRPr="00BC67F4" w:rsidTr="0047282F">
        <w:trPr>
          <w:tblHeader/>
        </w:trPr>
        <w:tc>
          <w:tcPr>
            <w:tcW w:w="5000" w:type="pct"/>
            <w:gridSpan w:val="5"/>
            <w:vAlign w:val="center"/>
          </w:tcPr>
          <w:p w:rsidR="00C05464" w:rsidRPr="002E075F" w:rsidRDefault="00C05464" w:rsidP="00C05464">
            <w:pPr>
              <w:pStyle w:val="TableText0"/>
              <w:keepLines/>
              <w:spacing w:before="0" w:after="0"/>
              <w:rPr>
                <w:rFonts w:cs="Times New Roman"/>
                <w:b/>
              </w:rPr>
            </w:pPr>
            <w:r w:rsidRPr="002E075F">
              <w:rPr>
                <w:b/>
              </w:rPr>
              <w:t>Costs of gBRCA testing</w:t>
            </w:r>
          </w:p>
        </w:tc>
      </w:tr>
      <w:tr w:rsidR="00C05464" w:rsidRPr="00BC67F4" w:rsidTr="0047282F">
        <w:trPr>
          <w:trHeight w:val="1037"/>
          <w:tblHeader/>
        </w:trPr>
        <w:tc>
          <w:tcPr>
            <w:tcW w:w="1649" w:type="pct"/>
            <w:vAlign w:val="center"/>
          </w:tcPr>
          <w:p w:rsidR="00C05464" w:rsidRPr="002E075F" w:rsidRDefault="00EB7243" w:rsidP="00C05464">
            <w:pPr>
              <w:pStyle w:val="Tabletext"/>
              <w:keepNext/>
              <w:keepLines/>
            </w:pPr>
            <w:r>
              <w:rPr>
                <w:noProof/>
                <w:color w:val="000000"/>
                <w:highlight w:val="black"/>
              </w:rPr>
              <w:t>''''''</w:t>
            </w:r>
            <w:r w:rsidR="00C05464" w:rsidRPr="002E075F">
              <w:t>% of treated patients tested</w:t>
            </w:r>
          </w:p>
        </w:tc>
        <w:tc>
          <w:tcPr>
            <w:tcW w:w="1493" w:type="pct"/>
            <w:vAlign w:val="center"/>
          </w:tcPr>
          <w:p w:rsidR="00C05464" w:rsidRPr="002E075F" w:rsidRDefault="00C05464" w:rsidP="00C05464">
            <w:pPr>
              <w:pStyle w:val="Tabletext"/>
              <w:keepNext/>
              <w:keepLines/>
            </w:pPr>
            <w:r w:rsidRPr="002E075F">
              <w:t xml:space="preserve">Approximately 16.38 patients would need to be tested in order to identify an additional patient with gBRCA mutations. Only applied to </w:t>
            </w:r>
            <w:r w:rsidR="00EB7243">
              <w:rPr>
                <w:noProof/>
                <w:color w:val="000000"/>
                <w:highlight w:val="black"/>
              </w:rPr>
              <w:t>'''''''</w:t>
            </w:r>
            <w:r w:rsidRPr="002E075F">
              <w:t>% of the treated population that were assumed to require testing</w:t>
            </w:r>
            <w:r>
              <w:t xml:space="preserve"> </w:t>
            </w:r>
            <w:r>
              <w:rPr>
                <w:vertAlign w:val="superscript"/>
              </w:rPr>
              <w:t>b</w:t>
            </w:r>
          </w:p>
        </w:tc>
        <w:tc>
          <w:tcPr>
            <w:tcW w:w="595" w:type="pct"/>
            <w:vAlign w:val="bottom"/>
          </w:tcPr>
          <w:p w:rsidR="00C05464" w:rsidRPr="00EB7243" w:rsidRDefault="00EB7243" w:rsidP="00C05464">
            <w:pPr>
              <w:pStyle w:val="Tabletext"/>
              <w:keepNext/>
              <w:keepLines/>
              <w:jc w:val="right"/>
              <w:rPr>
                <w:highlight w:val="black"/>
              </w:rPr>
            </w:pPr>
            <w:r>
              <w:rPr>
                <w:noProof/>
                <w:color w:val="000000"/>
                <w:highlight w:val="black"/>
              </w:rPr>
              <w:t>''''''''''''''''''</w:t>
            </w:r>
          </w:p>
        </w:tc>
        <w:tc>
          <w:tcPr>
            <w:tcW w:w="660" w:type="pct"/>
            <w:vAlign w:val="bottom"/>
          </w:tcPr>
          <w:p w:rsidR="00C05464" w:rsidRPr="00EB7243" w:rsidRDefault="00EB7243" w:rsidP="00C05464">
            <w:pPr>
              <w:pStyle w:val="Tabletext"/>
              <w:keepNext/>
              <w:keepLines/>
              <w:jc w:val="center"/>
              <w:rPr>
                <w:highlight w:val="black"/>
              </w:rPr>
            </w:pPr>
            <w:r>
              <w:rPr>
                <w:noProof/>
                <w:color w:val="000000"/>
                <w:highlight w:val="black"/>
              </w:rPr>
              <w:t>''''''''''''''''''</w:t>
            </w:r>
          </w:p>
        </w:tc>
        <w:tc>
          <w:tcPr>
            <w:tcW w:w="604" w:type="pct"/>
            <w:vAlign w:val="bottom"/>
          </w:tcPr>
          <w:p w:rsidR="00C05464" w:rsidRPr="00EB7243" w:rsidRDefault="00EB7243" w:rsidP="00C05464">
            <w:pPr>
              <w:keepNext/>
              <w:keepLines/>
              <w:widowControl/>
              <w:jc w:val="right"/>
              <w:rPr>
                <w:rFonts w:ascii="Arial Narrow" w:hAnsi="Arial Narrow" w:cs="Times New Roman"/>
                <w:snapToGrid/>
                <w:sz w:val="20"/>
                <w:highlight w:val="black"/>
              </w:rPr>
            </w:pPr>
            <w:r>
              <w:rPr>
                <w:rFonts w:ascii="Arial Narrow" w:hAnsi="Arial Narrow" w:cs="Times New Roman"/>
                <w:noProof/>
                <w:snapToGrid/>
                <w:color w:val="000000"/>
                <w:sz w:val="20"/>
                <w:highlight w:val="black"/>
              </w:rPr>
              <w:t>''''''''''''''''''''</w:t>
            </w:r>
          </w:p>
        </w:tc>
      </w:tr>
      <w:tr w:rsidR="00C05464" w:rsidRPr="00BC67F4" w:rsidTr="0047282F">
        <w:trPr>
          <w:tblHeader/>
        </w:trPr>
        <w:tc>
          <w:tcPr>
            <w:tcW w:w="5000" w:type="pct"/>
            <w:gridSpan w:val="5"/>
            <w:vAlign w:val="center"/>
          </w:tcPr>
          <w:p w:rsidR="00C05464" w:rsidRPr="002E075F" w:rsidRDefault="00C05464" w:rsidP="00C05464">
            <w:pPr>
              <w:pStyle w:val="Tabletext"/>
              <w:keepNext/>
              <w:keepLines/>
              <w:rPr>
                <w:b/>
              </w:rPr>
            </w:pPr>
            <w:r w:rsidRPr="002E075F">
              <w:rPr>
                <w:b/>
              </w:rPr>
              <w:t>Health state allocation: Extrapolation of OS</w:t>
            </w:r>
          </w:p>
        </w:tc>
      </w:tr>
      <w:tr w:rsidR="00C05464" w:rsidRPr="00BC67F4" w:rsidTr="0047282F">
        <w:trPr>
          <w:tblHeader/>
        </w:trPr>
        <w:tc>
          <w:tcPr>
            <w:tcW w:w="1649" w:type="pct"/>
            <w:vMerge w:val="restart"/>
            <w:vAlign w:val="center"/>
          </w:tcPr>
          <w:p w:rsidR="00C05464" w:rsidRPr="002E075F" w:rsidRDefault="00C05464" w:rsidP="00C05464">
            <w:pPr>
              <w:pStyle w:val="Tabletext"/>
              <w:keepNext/>
              <w:keepLines/>
            </w:pPr>
            <w:r w:rsidRPr="002E075F">
              <w:t>Extrapolation of OS curves</w:t>
            </w:r>
          </w:p>
          <w:p w:rsidR="00C05464" w:rsidRPr="002E075F" w:rsidRDefault="00C05464" w:rsidP="00C05464">
            <w:pPr>
              <w:pStyle w:val="Tabletext"/>
              <w:keepNext/>
              <w:keepLines/>
            </w:pPr>
            <w:r w:rsidRPr="002E075F">
              <w:t>(talazoparib arm: log-normal; SoC arm: Gompertz)</w:t>
            </w:r>
          </w:p>
        </w:tc>
        <w:tc>
          <w:tcPr>
            <w:tcW w:w="1493" w:type="pct"/>
            <w:vAlign w:val="center"/>
          </w:tcPr>
          <w:p w:rsidR="00C05464" w:rsidRPr="002E075F" w:rsidRDefault="00C05464" w:rsidP="00C05464">
            <w:pPr>
              <w:pStyle w:val="Tabletext"/>
              <w:keepNext/>
              <w:keepLines/>
            </w:pPr>
            <w:r w:rsidRPr="002E075F">
              <w:rPr>
                <w:szCs w:val="20"/>
              </w:rPr>
              <w:t>Weibull (both arms)</w:t>
            </w:r>
          </w:p>
        </w:tc>
        <w:tc>
          <w:tcPr>
            <w:tcW w:w="595" w:type="pct"/>
            <w:vAlign w:val="center"/>
          </w:tcPr>
          <w:p w:rsidR="00C05464" w:rsidRPr="00EB7243" w:rsidRDefault="00EB7243" w:rsidP="00C05464">
            <w:pPr>
              <w:pStyle w:val="Tabletext"/>
              <w:keepNext/>
              <w:keepLines/>
              <w:jc w:val="right"/>
              <w:rPr>
                <w:highlight w:val="black"/>
              </w:rPr>
            </w:pPr>
            <w:r>
              <w:rPr>
                <w:noProof/>
                <w:color w:val="000000"/>
                <w:szCs w:val="20"/>
                <w:highlight w:val="black"/>
              </w:rPr>
              <w:t>''''''''''''''''''''</w:t>
            </w:r>
          </w:p>
        </w:tc>
        <w:tc>
          <w:tcPr>
            <w:tcW w:w="660" w:type="pct"/>
            <w:vAlign w:val="center"/>
          </w:tcPr>
          <w:p w:rsidR="00C05464" w:rsidRPr="002E075F" w:rsidRDefault="00C05464" w:rsidP="00C05464">
            <w:pPr>
              <w:pStyle w:val="Tabletext"/>
              <w:keepNext/>
              <w:keepLines/>
              <w:jc w:val="center"/>
            </w:pPr>
            <w:r w:rsidRPr="002E075F">
              <w:rPr>
                <w:szCs w:val="20"/>
              </w:rPr>
              <w:t>0.2713</w:t>
            </w:r>
          </w:p>
        </w:tc>
        <w:tc>
          <w:tcPr>
            <w:tcW w:w="604" w:type="pct"/>
            <w:vAlign w:val="center"/>
          </w:tcPr>
          <w:p w:rsidR="00C05464" w:rsidRPr="00EB7243" w:rsidRDefault="00EB7243" w:rsidP="00C05464">
            <w:pPr>
              <w:pStyle w:val="Tabletext"/>
              <w:keepNext/>
              <w:keepLines/>
              <w:jc w:val="right"/>
              <w:rPr>
                <w:highlight w:val="black"/>
              </w:rPr>
            </w:pPr>
            <w:r>
              <w:rPr>
                <w:noProof/>
                <w:color w:val="000000"/>
                <w:szCs w:val="20"/>
                <w:highlight w:val="black"/>
              </w:rPr>
              <w:t>'''''''''''''''''''''</w:t>
            </w:r>
          </w:p>
        </w:tc>
      </w:tr>
      <w:tr w:rsidR="00C05464" w:rsidRPr="00BC67F4" w:rsidTr="0047282F">
        <w:trPr>
          <w:tblHeader/>
        </w:trPr>
        <w:tc>
          <w:tcPr>
            <w:tcW w:w="1649" w:type="pct"/>
            <w:vMerge/>
            <w:vAlign w:val="center"/>
          </w:tcPr>
          <w:p w:rsidR="00C05464" w:rsidRPr="002E075F" w:rsidRDefault="00C05464" w:rsidP="00C05464">
            <w:pPr>
              <w:pStyle w:val="Tabletext"/>
              <w:keepNext/>
              <w:keepLines/>
            </w:pPr>
          </w:p>
        </w:tc>
        <w:tc>
          <w:tcPr>
            <w:tcW w:w="1493" w:type="pct"/>
            <w:vAlign w:val="center"/>
          </w:tcPr>
          <w:p w:rsidR="00C05464" w:rsidRPr="002E075F" w:rsidRDefault="00C05464" w:rsidP="00C05464">
            <w:pPr>
              <w:pStyle w:val="Tabletext"/>
              <w:keepNext/>
              <w:keepLines/>
            </w:pPr>
            <w:r w:rsidRPr="002E075F">
              <w:rPr>
                <w:szCs w:val="20"/>
              </w:rPr>
              <w:t>Log-normal (both arms)</w:t>
            </w:r>
          </w:p>
        </w:tc>
        <w:tc>
          <w:tcPr>
            <w:tcW w:w="595" w:type="pct"/>
            <w:vAlign w:val="center"/>
          </w:tcPr>
          <w:p w:rsidR="00C05464" w:rsidRPr="00EB7243" w:rsidRDefault="00EB7243" w:rsidP="00C05464">
            <w:pPr>
              <w:pStyle w:val="Tabletext"/>
              <w:keepNext/>
              <w:keepLines/>
              <w:jc w:val="right"/>
              <w:rPr>
                <w:highlight w:val="black"/>
              </w:rPr>
            </w:pPr>
            <w:r>
              <w:rPr>
                <w:noProof/>
                <w:color w:val="000000"/>
                <w:szCs w:val="20"/>
                <w:highlight w:val="black"/>
              </w:rPr>
              <w:t>'''''''''''''''''''</w:t>
            </w:r>
          </w:p>
        </w:tc>
        <w:tc>
          <w:tcPr>
            <w:tcW w:w="660" w:type="pct"/>
            <w:vAlign w:val="center"/>
          </w:tcPr>
          <w:p w:rsidR="00C05464" w:rsidRPr="002E075F" w:rsidRDefault="00C05464" w:rsidP="00C05464">
            <w:pPr>
              <w:pStyle w:val="Tabletext"/>
              <w:keepNext/>
              <w:keepLines/>
              <w:jc w:val="center"/>
            </w:pPr>
            <w:r w:rsidRPr="002E075F">
              <w:rPr>
                <w:szCs w:val="20"/>
              </w:rPr>
              <w:t>0.1596</w:t>
            </w:r>
          </w:p>
        </w:tc>
        <w:tc>
          <w:tcPr>
            <w:tcW w:w="604" w:type="pct"/>
            <w:vAlign w:val="center"/>
          </w:tcPr>
          <w:p w:rsidR="00C05464" w:rsidRPr="00EB7243" w:rsidRDefault="00EB7243" w:rsidP="00C05464">
            <w:pPr>
              <w:pStyle w:val="Tabletext"/>
              <w:keepNext/>
              <w:keepLines/>
              <w:jc w:val="right"/>
              <w:rPr>
                <w:highlight w:val="black"/>
              </w:rPr>
            </w:pPr>
            <w:r>
              <w:rPr>
                <w:noProof/>
                <w:color w:val="000000"/>
                <w:szCs w:val="20"/>
                <w:highlight w:val="black"/>
              </w:rPr>
              <w:t>''''''''''''''''''''''</w:t>
            </w:r>
          </w:p>
        </w:tc>
      </w:tr>
      <w:tr w:rsidR="00C05464" w:rsidRPr="00BC67F4" w:rsidTr="0047282F">
        <w:trPr>
          <w:tblHeader/>
        </w:trPr>
        <w:tc>
          <w:tcPr>
            <w:tcW w:w="1649" w:type="pct"/>
            <w:vMerge/>
            <w:vAlign w:val="center"/>
          </w:tcPr>
          <w:p w:rsidR="00C05464" w:rsidRPr="002E075F" w:rsidRDefault="00C05464" w:rsidP="00C05464">
            <w:pPr>
              <w:pStyle w:val="Tabletext"/>
              <w:keepNext/>
              <w:keepLines/>
            </w:pPr>
          </w:p>
        </w:tc>
        <w:tc>
          <w:tcPr>
            <w:tcW w:w="1493" w:type="pct"/>
            <w:vAlign w:val="center"/>
          </w:tcPr>
          <w:p w:rsidR="00C05464" w:rsidRPr="002E075F" w:rsidRDefault="00C05464" w:rsidP="00C05464">
            <w:pPr>
              <w:pStyle w:val="Tabletext"/>
              <w:keepNext/>
              <w:keepLines/>
            </w:pPr>
            <w:r w:rsidRPr="002E075F">
              <w:rPr>
                <w:szCs w:val="20"/>
              </w:rPr>
              <w:t>Log-logistic (both arms)</w:t>
            </w:r>
          </w:p>
        </w:tc>
        <w:tc>
          <w:tcPr>
            <w:tcW w:w="595" w:type="pct"/>
            <w:vAlign w:val="center"/>
          </w:tcPr>
          <w:p w:rsidR="00C05464" w:rsidRPr="00EB7243" w:rsidRDefault="00EB7243" w:rsidP="00C05464">
            <w:pPr>
              <w:pStyle w:val="Tabletext"/>
              <w:keepNext/>
              <w:keepLines/>
              <w:jc w:val="right"/>
              <w:rPr>
                <w:highlight w:val="black"/>
              </w:rPr>
            </w:pPr>
            <w:r>
              <w:rPr>
                <w:noProof/>
                <w:color w:val="000000"/>
                <w:szCs w:val="20"/>
                <w:highlight w:val="black"/>
              </w:rPr>
              <w:t>''''''''''''''''''</w:t>
            </w:r>
          </w:p>
        </w:tc>
        <w:tc>
          <w:tcPr>
            <w:tcW w:w="660" w:type="pct"/>
            <w:vAlign w:val="center"/>
          </w:tcPr>
          <w:p w:rsidR="00C05464" w:rsidRPr="002E075F" w:rsidRDefault="00C05464" w:rsidP="00C05464">
            <w:pPr>
              <w:pStyle w:val="Tabletext"/>
              <w:keepNext/>
              <w:keepLines/>
              <w:jc w:val="center"/>
            </w:pPr>
            <w:r w:rsidRPr="002E075F">
              <w:rPr>
                <w:szCs w:val="20"/>
              </w:rPr>
              <w:t>0.1881</w:t>
            </w:r>
          </w:p>
        </w:tc>
        <w:tc>
          <w:tcPr>
            <w:tcW w:w="604" w:type="pct"/>
            <w:vAlign w:val="center"/>
          </w:tcPr>
          <w:p w:rsidR="00C05464" w:rsidRPr="00EB7243" w:rsidRDefault="00EB7243" w:rsidP="00C05464">
            <w:pPr>
              <w:pStyle w:val="Tabletext"/>
              <w:keepNext/>
              <w:keepLines/>
              <w:jc w:val="right"/>
              <w:rPr>
                <w:highlight w:val="black"/>
              </w:rPr>
            </w:pPr>
            <w:r>
              <w:rPr>
                <w:noProof/>
                <w:color w:val="000000"/>
                <w:szCs w:val="20"/>
                <w:highlight w:val="black"/>
              </w:rPr>
              <w:t>''''''''''''''''''''''''</w:t>
            </w:r>
          </w:p>
        </w:tc>
      </w:tr>
      <w:tr w:rsidR="00C05464" w:rsidRPr="00BC67F4" w:rsidTr="0047282F">
        <w:trPr>
          <w:tblHeader/>
        </w:trPr>
        <w:tc>
          <w:tcPr>
            <w:tcW w:w="1649" w:type="pct"/>
            <w:vMerge/>
            <w:vAlign w:val="center"/>
          </w:tcPr>
          <w:p w:rsidR="00C05464" w:rsidRPr="002E075F" w:rsidRDefault="00C05464" w:rsidP="00C05464">
            <w:pPr>
              <w:pStyle w:val="Tabletext"/>
              <w:keepNext/>
              <w:keepLines/>
            </w:pPr>
          </w:p>
        </w:tc>
        <w:tc>
          <w:tcPr>
            <w:tcW w:w="1493" w:type="pct"/>
            <w:vAlign w:val="center"/>
          </w:tcPr>
          <w:p w:rsidR="00C05464" w:rsidRPr="002E075F" w:rsidRDefault="00C05464" w:rsidP="00C05464">
            <w:pPr>
              <w:pStyle w:val="Tabletext"/>
              <w:keepNext/>
              <w:keepLines/>
            </w:pPr>
            <w:r w:rsidRPr="002E075F">
              <w:rPr>
                <w:szCs w:val="20"/>
              </w:rPr>
              <w:t>Exponential (both arms)</w:t>
            </w:r>
          </w:p>
        </w:tc>
        <w:tc>
          <w:tcPr>
            <w:tcW w:w="595" w:type="pct"/>
            <w:vAlign w:val="center"/>
          </w:tcPr>
          <w:p w:rsidR="00C05464" w:rsidRPr="00EB7243" w:rsidRDefault="00EB7243" w:rsidP="00C05464">
            <w:pPr>
              <w:pStyle w:val="Tabletext"/>
              <w:keepNext/>
              <w:keepLines/>
              <w:jc w:val="right"/>
              <w:rPr>
                <w:highlight w:val="black"/>
              </w:rPr>
            </w:pPr>
            <w:r>
              <w:rPr>
                <w:noProof/>
                <w:color w:val="000000"/>
                <w:szCs w:val="20"/>
                <w:highlight w:val="black"/>
              </w:rPr>
              <w:t>''''''''''''''''''</w:t>
            </w:r>
          </w:p>
        </w:tc>
        <w:tc>
          <w:tcPr>
            <w:tcW w:w="660" w:type="pct"/>
            <w:vAlign w:val="center"/>
          </w:tcPr>
          <w:p w:rsidR="00C05464" w:rsidRPr="002E075F" w:rsidRDefault="00C05464" w:rsidP="00C05464">
            <w:pPr>
              <w:pStyle w:val="Tabletext"/>
              <w:keepNext/>
              <w:keepLines/>
              <w:jc w:val="center"/>
            </w:pPr>
            <w:r w:rsidRPr="002E075F">
              <w:rPr>
                <w:szCs w:val="20"/>
              </w:rPr>
              <w:t>0.3078</w:t>
            </w:r>
          </w:p>
        </w:tc>
        <w:tc>
          <w:tcPr>
            <w:tcW w:w="604" w:type="pct"/>
            <w:vAlign w:val="center"/>
          </w:tcPr>
          <w:p w:rsidR="00C05464" w:rsidRPr="00EB7243" w:rsidRDefault="00EB7243" w:rsidP="00C05464">
            <w:pPr>
              <w:pStyle w:val="Tabletext"/>
              <w:keepNext/>
              <w:keepLines/>
              <w:jc w:val="right"/>
              <w:rPr>
                <w:highlight w:val="black"/>
              </w:rPr>
            </w:pPr>
            <w:r>
              <w:rPr>
                <w:noProof/>
                <w:color w:val="000000"/>
                <w:szCs w:val="20"/>
                <w:highlight w:val="black"/>
              </w:rPr>
              <w:t>''''''''''''''''''''''</w:t>
            </w:r>
          </w:p>
        </w:tc>
      </w:tr>
      <w:tr w:rsidR="00C05464" w:rsidRPr="00BC67F4" w:rsidTr="0047282F">
        <w:trPr>
          <w:tblHeader/>
        </w:trPr>
        <w:tc>
          <w:tcPr>
            <w:tcW w:w="1649" w:type="pct"/>
            <w:vMerge/>
            <w:vAlign w:val="center"/>
          </w:tcPr>
          <w:p w:rsidR="00C05464" w:rsidRPr="002E075F" w:rsidRDefault="00C05464" w:rsidP="00C05464">
            <w:pPr>
              <w:pStyle w:val="Tabletext"/>
              <w:keepNext/>
              <w:keepLines/>
            </w:pPr>
          </w:p>
        </w:tc>
        <w:tc>
          <w:tcPr>
            <w:tcW w:w="1493" w:type="pct"/>
            <w:vAlign w:val="center"/>
          </w:tcPr>
          <w:p w:rsidR="00C05464" w:rsidRPr="002E075F" w:rsidRDefault="00C05464" w:rsidP="00C05464">
            <w:pPr>
              <w:pStyle w:val="Tabletext"/>
              <w:keepNext/>
              <w:keepLines/>
            </w:pPr>
            <w:r w:rsidRPr="002E075F">
              <w:rPr>
                <w:szCs w:val="20"/>
              </w:rPr>
              <w:t>Gompertz (both arms)</w:t>
            </w:r>
          </w:p>
        </w:tc>
        <w:tc>
          <w:tcPr>
            <w:tcW w:w="595" w:type="pct"/>
            <w:vAlign w:val="center"/>
          </w:tcPr>
          <w:p w:rsidR="00C05464" w:rsidRPr="00EB7243" w:rsidRDefault="00EB7243" w:rsidP="00C05464">
            <w:pPr>
              <w:pStyle w:val="Tabletext"/>
              <w:keepNext/>
              <w:keepLines/>
              <w:jc w:val="right"/>
              <w:rPr>
                <w:highlight w:val="black"/>
              </w:rPr>
            </w:pPr>
            <w:r>
              <w:rPr>
                <w:noProof/>
                <w:color w:val="000000"/>
                <w:szCs w:val="20"/>
                <w:highlight w:val="black"/>
              </w:rPr>
              <w:t>'''''''''''''''''''</w:t>
            </w:r>
          </w:p>
        </w:tc>
        <w:tc>
          <w:tcPr>
            <w:tcW w:w="660" w:type="pct"/>
            <w:vAlign w:val="center"/>
          </w:tcPr>
          <w:p w:rsidR="00C05464" w:rsidRPr="002E075F" w:rsidRDefault="00C05464" w:rsidP="00C05464">
            <w:pPr>
              <w:pStyle w:val="Tabletext"/>
              <w:keepNext/>
              <w:keepLines/>
              <w:jc w:val="center"/>
            </w:pPr>
            <w:r w:rsidRPr="002E075F">
              <w:rPr>
                <w:szCs w:val="20"/>
              </w:rPr>
              <w:t>0.3225</w:t>
            </w:r>
          </w:p>
        </w:tc>
        <w:tc>
          <w:tcPr>
            <w:tcW w:w="604" w:type="pct"/>
            <w:vAlign w:val="center"/>
          </w:tcPr>
          <w:p w:rsidR="00C05464" w:rsidRPr="00EB7243" w:rsidRDefault="00EB7243" w:rsidP="00C05464">
            <w:pPr>
              <w:pStyle w:val="Tabletext"/>
              <w:keepNext/>
              <w:keepLines/>
              <w:jc w:val="right"/>
              <w:rPr>
                <w:highlight w:val="black"/>
              </w:rPr>
            </w:pPr>
            <w:r>
              <w:rPr>
                <w:noProof/>
                <w:color w:val="000000"/>
                <w:szCs w:val="20"/>
                <w:highlight w:val="black"/>
              </w:rPr>
              <w:t>''''''''''''''''''''</w:t>
            </w:r>
          </w:p>
        </w:tc>
      </w:tr>
    </w:tbl>
    <w:p w:rsidR="00C05464" w:rsidRPr="002E075F" w:rsidRDefault="00C05464" w:rsidP="00C05464">
      <w:pPr>
        <w:pStyle w:val="TableFooter"/>
        <w:keepLines/>
        <w:widowControl/>
      </w:pPr>
      <w:r>
        <w:rPr>
          <w:vertAlign w:val="superscript"/>
        </w:rPr>
        <w:t>a</w:t>
      </w:r>
      <w:r w:rsidRPr="002E075F">
        <w:t xml:space="preserve"> The cost of treatment with talazoparib is still likely to be underestimated. The extrapolated portion of the ToT curve is truncated at maximum follow up for PFS (see Figure 4 above). Furthermore, the submission's estimates did not account for potential wastage, as talazoparib is typically dispensed in a maximum quantity that allows for 30 days treatment at the recommended dose (i.e. a 30 capsule pack of 1</w:t>
      </w:r>
      <w:r w:rsidR="009E4359">
        <w:t xml:space="preserve"> </w:t>
      </w:r>
      <w:r w:rsidRPr="002E075F">
        <w:t>mg strength, at 1</w:t>
      </w:r>
      <w:r w:rsidR="009E4359">
        <w:t xml:space="preserve"> </w:t>
      </w:r>
      <w:r w:rsidRPr="002E075F">
        <w:t xml:space="preserve">mg/day), there would likely be wastage in practice.  </w:t>
      </w:r>
    </w:p>
    <w:p w:rsidR="00C05464" w:rsidRPr="002E075F" w:rsidRDefault="00C05464" w:rsidP="00C05464">
      <w:pPr>
        <w:pStyle w:val="TableFooter"/>
        <w:keepLines/>
        <w:widowControl/>
      </w:pPr>
      <w:r>
        <w:rPr>
          <w:vertAlign w:val="superscript"/>
        </w:rPr>
        <w:t>b</w:t>
      </w:r>
      <w:r w:rsidRPr="002E075F">
        <w:rPr>
          <w:vertAlign w:val="superscript"/>
        </w:rPr>
        <w:t xml:space="preserve"> </w:t>
      </w:r>
      <w:r w:rsidRPr="002E075F">
        <w:t xml:space="preserve">Including costs for </w:t>
      </w:r>
      <w:r w:rsidR="00EB7243">
        <w:rPr>
          <w:noProof/>
          <w:color w:val="000000"/>
          <w:highlight w:val="black"/>
        </w:rPr>
        <w:t>''''''</w:t>
      </w:r>
      <w:r w:rsidRPr="002E075F">
        <w:t>% of patients who are treated, but would need to test to identify their mutation status upon PBS listing of talazoparib. Based on estimates in Section 4, the overall prevalence of g</w:t>
      </w:r>
      <w:r w:rsidR="009E4359">
        <w:t>BRCA mutation</w:t>
      </w:r>
      <w:r w:rsidRPr="002E075F">
        <w:t xml:space="preserve"> was 6.10% in the HER2-negative breast cancer populations. This would mean that, on average, 16.38 patients would need to be tested to identify one additional gBRCAm patient eligible for treatment with talazoparib. The average cost of the test ($1200) was multiplied by the average number of patients to be tested to identify an additional case (16.38) for the </w:t>
      </w:r>
      <w:r w:rsidR="00EB7243">
        <w:rPr>
          <w:noProof/>
          <w:color w:val="000000"/>
          <w:highlight w:val="black"/>
        </w:rPr>
        <w:t>''''''</w:t>
      </w:r>
      <w:r w:rsidRPr="002E075F">
        <w:t>% of the treated population who would not be expected to know their gBRCA mutation status. The cost of gBRCA testing included in the sensitivity analysis is still likely to be an underestimate, as those who are currently untested (i.e. lower risk patients) are likely to have a lower prevalence than the general HER2 negative breast cancer population.</w:t>
      </w:r>
    </w:p>
    <w:p w:rsidR="00C05464" w:rsidRPr="002E075F" w:rsidRDefault="00C05464" w:rsidP="00C05464">
      <w:pPr>
        <w:pStyle w:val="TableFooter"/>
        <w:keepLines/>
        <w:widowControl/>
      </w:pPr>
      <w:r w:rsidRPr="002E075F">
        <w:t>Source: Compiled during the evaluation</w:t>
      </w:r>
    </w:p>
    <w:p w:rsidR="00C05464" w:rsidRPr="004701AE" w:rsidRDefault="00C05464" w:rsidP="00561C55">
      <w:pPr>
        <w:pStyle w:val="TableFooter"/>
        <w:keepLines/>
        <w:widowControl/>
        <w:rPr>
          <w:i/>
        </w:rPr>
      </w:pPr>
    </w:p>
    <w:p w:rsidR="009F0307" w:rsidRPr="00AA6893" w:rsidRDefault="009F0307" w:rsidP="00561C55">
      <w:pPr>
        <w:pStyle w:val="ListParagraph"/>
        <w:widowControl/>
        <w:numPr>
          <w:ilvl w:val="1"/>
          <w:numId w:val="3"/>
        </w:numPr>
      </w:pPr>
      <w:r w:rsidRPr="00AA6893">
        <w:t xml:space="preserve">The sensitivity analyses show that the results of the model were most sensitive to </w:t>
      </w:r>
      <w:r w:rsidR="004B0CD5" w:rsidRPr="00AA6893">
        <w:t>the following</w:t>
      </w:r>
      <w:r w:rsidRPr="00AA6893">
        <w:t xml:space="preserve"> identified areas of uncertainty:</w:t>
      </w:r>
    </w:p>
    <w:p w:rsidR="004B0CD5" w:rsidRPr="00AA6893" w:rsidRDefault="004B0CD5" w:rsidP="00561C55">
      <w:pPr>
        <w:pStyle w:val="ListParagraph"/>
        <w:widowControl/>
        <w:numPr>
          <w:ilvl w:val="0"/>
          <w:numId w:val="2"/>
        </w:numPr>
        <w:spacing w:after="0"/>
        <w:ind w:left="993" w:hanging="284"/>
      </w:pPr>
      <w:r w:rsidRPr="00AA6893">
        <w:t xml:space="preserve">The parametric functions used to extrapolate overall survival. The treatment benefit in the extrapolated portion of the OS curve remains highly uncertain given the immaturity of the OS data from EMBRACA.  </w:t>
      </w:r>
    </w:p>
    <w:p w:rsidR="004B0CD5" w:rsidRPr="00AA6893" w:rsidRDefault="004B0CD5" w:rsidP="00561C55">
      <w:pPr>
        <w:pStyle w:val="ListParagraph"/>
        <w:widowControl/>
        <w:numPr>
          <w:ilvl w:val="0"/>
          <w:numId w:val="2"/>
        </w:numPr>
        <w:spacing w:after="0"/>
        <w:ind w:left="993" w:hanging="284"/>
      </w:pPr>
      <w:r w:rsidRPr="00AA6893">
        <w:t xml:space="preserve">The inclusion of the cost of gBRCA testing for patients who test negative for gBRCA mutations. It should be noted that the prevalence of germline BRCA mutations in the estimated </w:t>
      </w:r>
      <w:r w:rsidR="00EB7243">
        <w:rPr>
          <w:noProof/>
          <w:color w:val="000000"/>
          <w:highlight w:val="black"/>
        </w:rPr>
        <w:t>'''''</w:t>
      </w:r>
      <w:r w:rsidRPr="00AA6893">
        <w:t xml:space="preserve">% </w:t>
      </w:r>
      <w:r w:rsidR="004E7CF6">
        <w:t xml:space="preserve">of the </w:t>
      </w:r>
      <w:r w:rsidRPr="00AA6893">
        <w:t>population whose BRCA mutation status was assumed to be unknown at model entry may be lower than the general HER2- breast cancer populations used in the sensitivity analysis since high risk patients should have been tested under MBS Items 73296 or 73297. Therefore, the average number of patients who would need to be tested to identify an additional gBRCA mutation positive patient would likely be higher and this sensitivity analysis would not capture the full cost associated with gBRCA mutation testing. Therefore, this sensitivity analysis is still likely to underestimate the ICER.</w:t>
      </w:r>
    </w:p>
    <w:p w:rsidR="00996E02" w:rsidRPr="00AA6893" w:rsidRDefault="00996E02" w:rsidP="00561C55">
      <w:pPr>
        <w:pStyle w:val="ListParagraph"/>
        <w:widowControl/>
        <w:spacing w:after="0"/>
        <w:ind w:left="993"/>
      </w:pPr>
    </w:p>
    <w:p w:rsidR="006D69E0" w:rsidRPr="002E075F" w:rsidRDefault="00C05464" w:rsidP="00561C55">
      <w:pPr>
        <w:pStyle w:val="ListParagraph"/>
        <w:widowControl/>
        <w:numPr>
          <w:ilvl w:val="1"/>
          <w:numId w:val="3"/>
        </w:numPr>
      </w:pPr>
      <w:r>
        <w:lastRenderedPageBreak/>
        <w:t>T</w:t>
      </w:r>
      <w:r w:rsidR="00427C4C" w:rsidRPr="002E075F">
        <w:t xml:space="preserve">he ESC considered </w:t>
      </w:r>
      <w:r w:rsidR="00824E41" w:rsidRPr="002E075F">
        <w:t xml:space="preserve">that </w:t>
      </w:r>
      <w:r w:rsidR="00427C4C" w:rsidRPr="002E075F">
        <w:t>the true ICER/QALY was potentially</w:t>
      </w:r>
      <w:r w:rsidR="00B829EE" w:rsidRPr="002E075F">
        <w:t xml:space="preserve"> </w:t>
      </w:r>
      <w:r w:rsidR="00427C4C" w:rsidRPr="002E075F">
        <w:t xml:space="preserve">higher </w:t>
      </w:r>
      <w:r>
        <w:t xml:space="preserve">than </w:t>
      </w:r>
      <w:r w:rsidR="00464D9D">
        <w:t>$95,000 - $115,000</w:t>
      </w:r>
      <w:r>
        <w:t xml:space="preserve">/QALY </w:t>
      </w:r>
      <w:r w:rsidR="00427C4C" w:rsidRPr="002E075F">
        <w:t>given uncertainties around the OS bene</w:t>
      </w:r>
      <w:r w:rsidR="006406E6" w:rsidRPr="002E075F">
        <w:t xml:space="preserve">fit and the costs associated with gBRCA mutation testing for patients who test negative, as outlined above. </w:t>
      </w:r>
      <w:r w:rsidR="00B829EE" w:rsidRPr="002E075F">
        <w:t>The ESC noted that the ICER/QALY increased</w:t>
      </w:r>
      <w:r w:rsidR="00315EB3" w:rsidRPr="002E075F">
        <w:t xml:space="preserve"> to</w:t>
      </w:r>
      <w:r w:rsidR="006D69E0" w:rsidRPr="002E075F">
        <w:t>:</w:t>
      </w:r>
    </w:p>
    <w:p w:rsidR="006D69E0" w:rsidRPr="002E075F" w:rsidRDefault="004C0A6D" w:rsidP="00095A1A">
      <w:pPr>
        <w:pStyle w:val="ListParagraph"/>
        <w:widowControl/>
        <w:numPr>
          <w:ilvl w:val="0"/>
          <w:numId w:val="2"/>
        </w:numPr>
        <w:spacing w:after="0"/>
        <w:ind w:left="993" w:hanging="284"/>
      </w:pPr>
      <w:r>
        <w:rPr>
          <w:iCs/>
        </w:rPr>
        <w:t>$115,000 - $135,000</w:t>
      </w:r>
      <w:r w:rsidR="006D69E0" w:rsidRPr="002E075F">
        <w:rPr>
          <w:iCs/>
        </w:rPr>
        <w:t>/QALY when additional costs for gBRCA mutation testing were included; and</w:t>
      </w:r>
    </w:p>
    <w:p w:rsidR="00CF568A" w:rsidRPr="002E075F" w:rsidRDefault="00315EB3" w:rsidP="00095A1A">
      <w:pPr>
        <w:pStyle w:val="ListParagraph"/>
        <w:widowControl/>
        <w:numPr>
          <w:ilvl w:val="0"/>
          <w:numId w:val="2"/>
        </w:numPr>
        <w:spacing w:after="0"/>
        <w:ind w:left="993" w:hanging="284"/>
      </w:pPr>
      <w:r w:rsidRPr="002E075F">
        <w:t xml:space="preserve">over </w:t>
      </w:r>
      <w:r w:rsidR="004C0A6D">
        <w:t>$255,000 - $355,000</w:t>
      </w:r>
      <w:r w:rsidRPr="002E075F">
        <w:t xml:space="preserve">/QALY when OS was extrapolated using alternative functions </w:t>
      </w:r>
      <w:r w:rsidR="00503E1C" w:rsidRPr="002E075F">
        <w:t xml:space="preserve">and the model incorporated </w:t>
      </w:r>
      <w:r w:rsidR="00243B65" w:rsidRPr="002E075F">
        <w:t>gBRCA mutation testing costs for pa</w:t>
      </w:r>
      <w:r w:rsidR="0047282F">
        <w:t>tients who would test negative.</w:t>
      </w:r>
    </w:p>
    <w:p w:rsidR="009F0307" w:rsidRPr="002C2775" w:rsidRDefault="009F0307" w:rsidP="00C05464">
      <w:pPr>
        <w:pStyle w:val="Heading2"/>
        <w:widowControl/>
      </w:pPr>
      <w:bookmarkStart w:id="22" w:name="_Toc19717386"/>
      <w:r w:rsidRPr="002C2775">
        <w:t>Drug cost/patient/</w:t>
      </w:r>
      <w:r>
        <w:t>course</w:t>
      </w:r>
      <w:bookmarkEnd w:id="22"/>
    </w:p>
    <w:p w:rsidR="009F0307" w:rsidRPr="00C25D9C" w:rsidRDefault="009F0307" w:rsidP="00C05464">
      <w:pPr>
        <w:widowControl/>
      </w:pPr>
    </w:p>
    <w:p w:rsidR="009F0307" w:rsidRPr="00A60098" w:rsidRDefault="009F0307" w:rsidP="00C05464">
      <w:pPr>
        <w:pStyle w:val="ListParagraph"/>
        <w:widowControl/>
        <w:numPr>
          <w:ilvl w:val="1"/>
          <w:numId w:val="3"/>
        </w:numPr>
      </w:pPr>
      <w:r>
        <w:t>The drug cost/patient/course is summarised below.</w:t>
      </w:r>
      <w:r w:rsidR="00323D40">
        <w:t xml:space="preserve"> The costs have been updated to reflect the </w:t>
      </w:r>
      <w:r w:rsidR="00777C4F">
        <w:t xml:space="preserve">drug cost </w:t>
      </w:r>
      <w:r w:rsidR="00323D40">
        <w:t>changes accepted by the pre-PBAC response, as noted above.</w:t>
      </w:r>
    </w:p>
    <w:p w:rsidR="009F0307" w:rsidRDefault="009F0307" w:rsidP="00C05464">
      <w:pPr>
        <w:pStyle w:val="TableFooter"/>
        <w:widowControl/>
      </w:pPr>
    </w:p>
    <w:p w:rsidR="009F0307" w:rsidRPr="000E3253" w:rsidRDefault="009F0307" w:rsidP="00C05464">
      <w:pPr>
        <w:pStyle w:val="Caption"/>
        <w:keepNext/>
        <w:keepLines/>
        <w:widowControl/>
      </w:pPr>
      <w:r w:rsidRPr="000E3253">
        <w:t xml:space="preserve">Table </w:t>
      </w:r>
      <w:r w:rsidR="00112C13">
        <w:rPr>
          <w:noProof/>
        </w:rPr>
        <w:t>11</w:t>
      </w:r>
      <w:r w:rsidRPr="000E3253">
        <w:t xml:space="preserve">: </w:t>
      </w:r>
      <w:r w:rsidR="00162BB7" w:rsidRPr="000E3253">
        <w:t xml:space="preserve">Intervention </w:t>
      </w:r>
      <w:r w:rsidR="00162BB7">
        <w:t xml:space="preserve">and comparator </w:t>
      </w:r>
      <w:r w:rsidR="00162BB7" w:rsidRPr="000E3253">
        <w:t>cost</w:t>
      </w:r>
      <w:r w:rsidR="00162BB7">
        <w:t>s</w:t>
      </w:r>
      <w:r w:rsidR="00162BB7" w:rsidRPr="000E3253">
        <w:t xml:space="preserve"> per patient (undiscounted), medicine costs only</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52"/>
        <w:gridCol w:w="1128"/>
        <w:gridCol w:w="1266"/>
        <w:gridCol w:w="1409"/>
        <w:gridCol w:w="1444"/>
        <w:gridCol w:w="1457"/>
        <w:gridCol w:w="1237"/>
      </w:tblGrid>
      <w:tr w:rsidR="00162BB7" w:rsidRPr="000E3253" w:rsidTr="00CF568A">
        <w:tc>
          <w:tcPr>
            <w:tcW w:w="633" w:type="pct"/>
            <w:shd w:val="clear" w:color="auto" w:fill="auto"/>
            <w:vAlign w:val="center"/>
          </w:tcPr>
          <w:p w:rsidR="00162BB7" w:rsidRPr="000E3253" w:rsidRDefault="00162BB7" w:rsidP="00C05464">
            <w:pPr>
              <w:keepNext/>
              <w:keepLines/>
              <w:widowControl/>
              <w:jc w:val="left"/>
              <w:rPr>
                <w:rFonts w:ascii="Arial Narrow" w:hAnsi="Arial Narrow"/>
                <w:b/>
                <w:sz w:val="20"/>
                <w:lang w:val="en-US"/>
              </w:rPr>
            </w:pPr>
          </w:p>
        </w:tc>
        <w:tc>
          <w:tcPr>
            <w:tcW w:w="620" w:type="pct"/>
            <w:shd w:val="clear" w:color="auto" w:fill="auto"/>
            <w:vAlign w:val="center"/>
          </w:tcPr>
          <w:p w:rsidR="00162BB7" w:rsidRPr="000E3253" w:rsidRDefault="00162BB7" w:rsidP="00C05464">
            <w:pPr>
              <w:keepNext/>
              <w:keepLines/>
              <w:widowControl/>
              <w:jc w:val="left"/>
              <w:rPr>
                <w:rFonts w:ascii="Arial Narrow" w:hAnsi="Arial Narrow"/>
                <w:b/>
                <w:sz w:val="20"/>
                <w:lang w:val="en-US"/>
              </w:rPr>
            </w:pPr>
            <w:r>
              <w:rPr>
                <w:rFonts w:ascii="Arial Narrow" w:hAnsi="Arial Narrow"/>
                <w:b/>
                <w:sz w:val="20"/>
                <w:lang w:val="en-US"/>
              </w:rPr>
              <w:t>Talazoparib</w:t>
            </w:r>
          </w:p>
          <w:p w:rsidR="00162BB7" w:rsidRPr="000E3253" w:rsidRDefault="00162BB7" w:rsidP="00C05464">
            <w:pPr>
              <w:keepNext/>
              <w:keepLines/>
              <w:widowControl/>
              <w:jc w:val="left"/>
              <w:rPr>
                <w:rFonts w:ascii="Arial Narrow" w:hAnsi="Arial Narrow"/>
                <w:b/>
                <w:sz w:val="20"/>
                <w:lang w:val="en-US"/>
              </w:rPr>
            </w:pPr>
            <w:r w:rsidRPr="000E3253">
              <w:rPr>
                <w:rFonts w:ascii="Arial Narrow" w:hAnsi="Arial Narrow"/>
                <w:b/>
                <w:sz w:val="20"/>
                <w:lang w:val="en-US"/>
              </w:rPr>
              <w:t>Trial dose and duration</w:t>
            </w:r>
          </w:p>
        </w:tc>
        <w:tc>
          <w:tcPr>
            <w:tcW w:w="696" w:type="pct"/>
            <w:shd w:val="clear" w:color="auto" w:fill="auto"/>
            <w:vAlign w:val="center"/>
          </w:tcPr>
          <w:p w:rsidR="00162BB7" w:rsidRPr="000E3253" w:rsidRDefault="00162BB7" w:rsidP="00C05464">
            <w:pPr>
              <w:keepNext/>
              <w:keepLines/>
              <w:widowControl/>
              <w:jc w:val="left"/>
              <w:rPr>
                <w:rFonts w:ascii="Arial Narrow" w:hAnsi="Arial Narrow"/>
                <w:b/>
                <w:sz w:val="20"/>
                <w:lang w:val="en-US"/>
              </w:rPr>
            </w:pPr>
            <w:r>
              <w:rPr>
                <w:rFonts w:ascii="Arial Narrow" w:hAnsi="Arial Narrow"/>
                <w:b/>
                <w:sz w:val="20"/>
                <w:lang w:val="en-US"/>
              </w:rPr>
              <w:t>Talazoparib</w:t>
            </w:r>
          </w:p>
          <w:p w:rsidR="00162BB7" w:rsidRPr="000E3253" w:rsidRDefault="00162BB7" w:rsidP="00C05464">
            <w:pPr>
              <w:keepNext/>
              <w:keepLines/>
              <w:widowControl/>
              <w:jc w:val="left"/>
              <w:rPr>
                <w:rFonts w:ascii="Arial Narrow" w:hAnsi="Arial Narrow"/>
                <w:b/>
                <w:sz w:val="20"/>
                <w:lang w:val="en-US"/>
              </w:rPr>
            </w:pPr>
            <w:r>
              <w:rPr>
                <w:rFonts w:ascii="Arial Narrow" w:hAnsi="Arial Narrow"/>
                <w:b/>
                <w:sz w:val="20"/>
                <w:lang w:val="en-US"/>
              </w:rPr>
              <w:t>Economic m</w:t>
            </w:r>
            <w:r w:rsidRPr="000E3253">
              <w:rPr>
                <w:rFonts w:ascii="Arial Narrow" w:hAnsi="Arial Narrow"/>
                <w:b/>
                <w:sz w:val="20"/>
                <w:lang w:val="en-US"/>
              </w:rPr>
              <w:t>odel</w:t>
            </w:r>
          </w:p>
        </w:tc>
        <w:tc>
          <w:tcPr>
            <w:tcW w:w="775" w:type="pct"/>
            <w:shd w:val="clear" w:color="auto" w:fill="auto"/>
            <w:vAlign w:val="center"/>
          </w:tcPr>
          <w:p w:rsidR="00162BB7" w:rsidRPr="000E3253" w:rsidRDefault="00162BB7" w:rsidP="00C05464">
            <w:pPr>
              <w:keepNext/>
              <w:keepLines/>
              <w:widowControl/>
              <w:jc w:val="left"/>
              <w:rPr>
                <w:rFonts w:ascii="Arial Narrow" w:hAnsi="Arial Narrow"/>
                <w:b/>
                <w:sz w:val="20"/>
                <w:lang w:val="en-US"/>
              </w:rPr>
            </w:pPr>
            <w:r>
              <w:rPr>
                <w:rFonts w:ascii="Arial Narrow" w:hAnsi="Arial Narrow"/>
                <w:b/>
                <w:sz w:val="20"/>
                <w:lang w:val="en-US"/>
              </w:rPr>
              <w:t>Talazoparib</w:t>
            </w:r>
          </w:p>
          <w:p w:rsidR="00162BB7" w:rsidRPr="000E3253" w:rsidRDefault="00162BB7" w:rsidP="00C05464">
            <w:pPr>
              <w:keepNext/>
              <w:keepLines/>
              <w:widowControl/>
              <w:jc w:val="left"/>
              <w:rPr>
                <w:rFonts w:ascii="Arial Narrow" w:hAnsi="Arial Narrow"/>
                <w:b/>
                <w:sz w:val="20"/>
                <w:lang w:val="en-US"/>
              </w:rPr>
            </w:pPr>
            <w:r w:rsidRPr="000E3253">
              <w:rPr>
                <w:rFonts w:ascii="Arial Narrow" w:hAnsi="Arial Narrow"/>
                <w:b/>
                <w:sz w:val="20"/>
                <w:lang w:val="en-US"/>
              </w:rPr>
              <w:t>Financial estimates</w:t>
            </w:r>
          </w:p>
        </w:tc>
        <w:tc>
          <w:tcPr>
            <w:tcW w:w="794" w:type="pct"/>
            <w:shd w:val="clear" w:color="auto" w:fill="auto"/>
            <w:vAlign w:val="center"/>
          </w:tcPr>
          <w:p w:rsidR="00162BB7" w:rsidRPr="000E3253" w:rsidRDefault="00162BB7" w:rsidP="00C05464">
            <w:pPr>
              <w:keepNext/>
              <w:keepLines/>
              <w:widowControl/>
              <w:jc w:val="left"/>
              <w:rPr>
                <w:rFonts w:ascii="Arial Narrow" w:hAnsi="Arial Narrow"/>
                <w:b/>
                <w:sz w:val="20"/>
                <w:lang w:val="en-US"/>
              </w:rPr>
            </w:pPr>
            <w:r>
              <w:rPr>
                <w:rFonts w:ascii="Arial Narrow" w:hAnsi="Arial Narrow"/>
                <w:b/>
                <w:sz w:val="20"/>
                <w:lang w:val="en-US"/>
              </w:rPr>
              <w:t>SoC</w:t>
            </w:r>
          </w:p>
          <w:p w:rsidR="00162BB7" w:rsidRPr="000E3253" w:rsidRDefault="00162BB7" w:rsidP="00C05464">
            <w:pPr>
              <w:keepNext/>
              <w:keepLines/>
              <w:widowControl/>
              <w:jc w:val="left"/>
              <w:rPr>
                <w:rFonts w:ascii="Arial Narrow" w:hAnsi="Arial Narrow"/>
                <w:b/>
                <w:sz w:val="20"/>
                <w:lang w:val="en-US"/>
              </w:rPr>
            </w:pPr>
            <w:r w:rsidRPr="000E3253">
              <w:rPr>
                <w:rFonts w:ascii="Arial Narrow" w:hAnsi="Arial Narrow"/>
                <w:b/>
                <w:sz w:val="20"/>
                <w:lang w:val="en-US"/>
              </w:rPr>
              <w:t>Trial dose</w:t>
            </w:r>
            <w:r>
              <w:rPr>
                <w:rFonts w:ascii="Arial Narrow" w:hAnsi="Arial Narrow"/>
                <w:b/>
                <w:sz w:val="20"/>
                <w:lang w:val="en-US"/>
              </w:rPr>
              <w:t>s</w:t>
            </w:r>
            <w:r w:rsidRPr="000E3253">
              <w:rPr>
                <w:rFonts w:ascii="Arial Narrow" w:hAnsi="Arial Narrow"/>
                <w:b/>
                <w:sz w:val="20"/>
                <w:lang w:val="en-US"/>
              </w:rPr>
              <w:t xml:space="preserve"> and duration</w:t>
            </w:r>
            <w:r>
              <w:rPr>
                <w:rFonts w:ascii="Arial Narrow" w:hAnsi="Arial Narrow"/>
                <w:b/>
                <w:sz w:val="20"/>
                <w:lang w:val="en-US"/>
              </w:rPr>
              <w:t>s</w:t>
            </w:r>
          </w:p>
        </w:tc>
        <w:tc>
          <w:tcPr>
            <w:tcW w:w="801" w:type="pct"/>
            <w:shd w:val="clear" w:color="auto" w:fill="auto"/>
            <w:vAlign w:val="center"/>
          </w:tcPr>
          <w:p w:rsidR="00967BBA" w:rsidRDefault="00967BBA" w:rsidP="00C05464">
            <w:pPr>
              <w:keepNext/>
              <w:keepLines/>
              <w:widowControl/>
              <w:jc w:val="left"/>
              <w:rPr>
                <w:rFonts w:ascii="Arial Narrow" w:hAnsi="Arial Narrow"/>
                <w:b/>
                <w:sz w:val="20"/>
                <w:lang w:val="en-US"/>
              </w:rPr>
            </w:pPr>
            <w:r>
              <w:rPr>
                <w:rFonts w:ascii="Arial Narrow" w:hAnsi="Arial Narrow"/>
                <w:b/>
                <w:sz w:val="20"/>
                <w:lang w:val="en-US"/>
              </w:rPr>
              <w:t>SoC</w:t>
            </w:r>
            <w:r w:rsidR="00162BB7">
              <w:rPr>
                <w:rFonts w:ascii="Arial Narrow" w:hAnsi="Arial Narrow"/>
                <w:b/>
                <w:sz w:val="20"/>
                <w:lang w:val="en-US"/>
              </w:rPr>
              <w:t xml:space="preserve"> </w:t>
            </w:r>
          </w:p>
          <w:p w:rsidR="00162BB7" w:rsidRPr="000E3253" w:rsidRDefault="00162BB7" w:rsidP="00C05464">
            <w:pPr>
              <w:keepNext/>
              <w:keepLines/>
              <w:widowControl/>
              <w:jc w:val="left"/>
              <w:rPr>
                <w:rFonts w:ascii="Arial Narrow" w:hAnsi="Arial Narrow"/>
                <w:b/>
                <w:sz w:val="20"/>
                <w:lang w:val="en-US"/>
              </w:rPr>
            </w:pPr>
            <w:r>
              <w:rPr>
                <w:rFonts w:ascii="Arial Narrow" w:hAnsi="Arial Narrow"/>
                <w:b/>
                <w:sz w:val="20"/>
                <w:lang w:val="en-US"/>
              </w:rPr>
              <w:t>Econom</w:t>
            </w:r>
            <w:r w:rsidR="00967BBA">
              <w:rPr>
                <w:rFonts w:ascii="Arial Narrow" w:hAnsi="Arial Narrow"/>
                <w:b/>
                <w:sz w:val="20"/>
                <w:lang w:val="en-US"/>
              </w:rPr>
              <w:t xml:space="preserve">ic </w:t>
            </w:r>
            <w:r w:rsidRPr="000E3253">
              <w:rPr>
                <w:rFonts w:ascii="Arial Narrow" w:hAnsi="Arial Narrow"/>
                <w:b/>
                <w:sz w:val="20"/>
                <w:lang w:val="en-US"/>
              </w:rPr>
              <w:t>Model</w:t>
            </w:r>
          </w:p>
        </w:tc>
        <w:tc>
          <w:tcPr>
            <w:tcW w:w="680" w:type="pct"/>
            <w:vAlign w:val="center"/>
          </w:tcPr>
          <w:p w:rsidR="00162BB7" w:rsidRPr="000E3253" w:rsidRDefault="00162BB7" w:rsidP="00C05464">
            <w:pPr>
              <w:keepNext/>
              <w:keepLines/>
              <w:widowControl/>
              <w:jc w:val="left"/>
              <w:rPr>
                <w:rFonts w:ascii="Arial Narrow" w:hAnsi="Arial Narrow"/>
                <w:b/>
                <w:sz w:val="20"/>
                <w:lang w:val="en-US"/>
              </w:rPr>
            </w:pPr>
            <w:r>
              <w:rPr>
                <w:rFonts w:ascii="Arial Narrow" w:hAnsi="Arial Narrow"/>
                <w:b/>
                <w:sz w:val="20"/>
                <w:lang w:val="en-US"/>
              </w:rPr>
              <w:t xml:space="preserve">SoC </w:t>
            </w:r>
            <w:r w:rsidRPr="000E3253">
              <w:rPr>
                <w:rFonts w:ascii="Arial Narrow" w:hAnsi="Arial Narrow"/>
                <w:b/>
                <w:sz w:val="20"/>
                <w:lang w:val="en-US"/>
              </w:rPr>
              <w:t>Financial estimates</w:t>
            </w:r>
          </w:p>
        </w:tc>
      </w:tr>
      <w:tr w:rsidR="00CF568A" w:rsidRPr="000E3253" w:rsidTr="00CF568A">
        <w:tc>
          <w:tcPr>
            <w:tcW w:w="633" w:type="pct"/>
            <w:shd w:val="clear" w:color="auto" w:fill="auto"/>
            <w:vAlign w:val="center"/>
          </w:tcPr>
          <w:p w:rsidR="00CF568A" w:rsidRPr="000E3253" w:rsidRDefault="00CF568A" w:rsidP="00C05464">
            <w:pPr>
              <w:keepNext/>
              <w:keepLines/>
              <w:widowControl/>
              <w:jc w:val="left"/>
              <w:rPr>
                <w:rFonts w:ascii="Arial Narrow" w:hAnsi="Arial Narrow"/>
                <w:sz w:val="20"/>
                <w:lang w:val="en-US"/>
              </w:rPr>
            </w:pPr>
            <w:r w:rsidRPr="000E3253">
              <w:rPr>
                <w:rFonts w:ascii="Arial Narrow" w:hAnsi="Arial Narrow"/>
                <w:sz w:val="20"/>
                <w:lang w:val="en-US"/>
              </w:rPr>
              <w:t>Mean dose</w:t>
            </w:r>
          </w:p>
        </w:tc>
        <w:tc>
          <w:tcPr>
            <w:tcW w:w="2091" w:type="pct"/>
            <w:gridSpan w:val="3"/>
            <w:shd w:val="clear" w:color="auto" w:fill="auto"/>
            <w:vAlign w:val="center"/>
          </w:tcPr>
          <w:p w:rsidR="00CF568A" w:rsidRPr="000E3253" w:rsidRDefault="00CF568A" w:rsidP="00C05464">
            <w:pPr>
              <w:keepNext/>
              <w:keepLines/>
              <w:widowControl/>
              <w:jc w:val="center"/>
              <w:rPr>
                <w:rFonts w:ascii="Arial Narrow" w:hAnsi="Arial Narrow"/>
                <w:sz w:val="20"/>
                <w:lang w:val="en-US"/>
              </w:rPr>
            </w:pPr>
            <w:r w:rsidRPr="000E3253">
              <w:rPr>
                <w:rFonts w:ascii="Arial Narrow" w:hAnsi="Arial Narrow"/>
                <w:sz w:val="20"/>
                <w:lang w:val="en-US"/>
              </w:rPr>
              <w:t>0.91</w:t>
            </w:r>
            <w:r w:rsidR="001938A2">
              <w:rPr>
                <w:rFonts w:ascii="Arial Narrow" w:hAnsi="Arial Narrow"/>
                <w:sz w:val="20"/>
                <w:lang w:val="en-US"/>
              </w:rPr>
              <w:t xml:space="preserve"> </w:t>
            </w:r>
            <w:r w:rsidRPr="000E3253">
              <w:rPr>
                <w:rFonts w:ascii="Arial Narrow" w:hAnsi="Arial Narrow"/>
                <w:sz w:val="20"/>
                <w:lang w:val="en-US"/>
              </w:rPr>
              <w:t>mg</w:t>
            </w:r>
          </w:p>
          <w:p w:rsidR="00CF568A" w:rsidRPr="000E3253" w:rsidRDefault="00CF568A" w:rsidP="00C05464">
            <w:pPr>
              <w:keepNext/>
              <w:keepLines/>
              <w:widowControl/>
              <w:jc w:val="center"/>
              <w:rPr>
                <w:rFonts w:ascii="Arial Narrow" w:hAnsi="Arial Narrow"/>
                <w:sz w:val="20"/>
                <w:lang w:val="en-US"/>
              </w:rPr>
            </w:pPr>
            <w:r w:rsidRPr="000E3253">
              <w:rPr>
                <w:rFonts w:ascii="Arial Narrow" w:hAnsi="Arial Narrow"/>
                <w:sz w:val="20"/>
                <w:lang w:val="en-US"/>
              </w:rPr>
              <w:t>(1</w:t>
            </w:r>
            <w:r w:rsidR="001938A2">
              <w:rPr>
                <w:rFonts w:ascii="Arial Narrow" w:hAnsi="Arial Narrow"/>
                <w:sz w:val="20"/>
                <w:lang w:val="en-US"/>
              </w:rPr>
              <w:t xml:space="preserve"> </w:t>
            </w:r>
            <w:r w:rsidRPr="000E3253">
              <w:rPr>
                <w:rFonts w:ascii="Arial Narrow" w:hAnsi="Arial Narrow"/>
                <w:sz w:val="20"/>
                <w:lang w:val="en-US"/>
              </w:rPr>
              <w:t>mg * 91.7% RDI)</w:t>
            </w:r>
          </w:p>
        </w:tc>
        <w:tc>
          <w:tcPr>
            <w:tcW w:w="1595" w:type="pct"/>
            <w:gridSpan w:val="2"/>
            <w:shd w:val="clear" w:color="auto" w:fill="auto"/>
            <w:vAlign w:val="center"/>
          </w:tcPr>
          <w:p w:rsidR="00CF568A" w:rsidRPr="000E3253" w:rsidRDefault="00CF568A" w:rsidP="00C05464">
            <w:pPr>
              <w:keepNext/>
              <w:keepLines/>
              <w:widowControl/>
              <w:jc w:val="center"/>
              <w:rPr>
                <w:rFonts w:ascii="Arial Narrow" w:hAnsi="Arial Narrow"/>
                <w:sz w:val="20"/>
                <w:lang w:val="en-US"/>
              </w:rPr>
            </w:pPr>
            <w:r w:rsidRPr="000E3253">
              <w:rPr>
                <w:rFonts w:ascii="Arial Narrow" w:hAnsi="Arial Narrow"/>
                <w:sz w:val="20"/>
                <w:lang w:val="en-US"/>
              </w:rPr>
              <w:t>Capecitabine = 1250mg/m</w:t>
            </w:r>
            <w:r w:rsidRPr="000E3253">
              <w:rPr>
                <w:rFonts w:ascii="Arial Narrow" w:hAnsi="Arial Narrow"/>
                <w:sz w:val="20"/>
                <w:vertAlign w:val="superscript"/>
                <w:lang w:val="en-US"/>
              </w:rPr>
              <w:t>2</w:t>
            </w:r>
            <w:r w:rsidRPr="000E3253">
              <w:rPr>
                <w:rFonts w:ascii="Arial Narrow" w:hAnsi="Arial Narrow"/>
                <w:sz w:val="20"/>
                <w:lang w:val="en-US"/>
              </w:rPr>
              <w:t xml:space="preserve"> * 83.3% RDI</w:t>
            </w:r>
          </w:p>
          <w:p w:rsidR="00CF568A" w:rsidRPr="000E3253" w:rsidRDefault="00CF568A" w:rsidP="00C05464">
            <w:pPr>
              <w:keepNext/>
              <w:keepLines/>
              <w:widowControl/>
              <w:jc w:val="center"/>
              <w:rPr>
                <w:rFonts w:ascii="Arial Narrow" w:hAnsi="Arial Narrow"/>
                <w:sz w:val="20"/>
                <w:lang w:val="en-US"/>
              </w:rPr>
            </w:pPr>
            <w:r w:rsidRPr="000E3253">
              <w:rPr>
                <w:rFonts w:ascii="Arial Narrow" w:hAnsi="Arial Narrow"/>
                <w:sz w:val="20"/>
                <w:lang w:val="en-US"/>
              </w:rPr>
              <w:t>Eribulin = 1.40mg/m</w:t>
            </w:r>
            <w:r w:rsidRPr="000E3253">
              <w:rPr>
                <w:rFonts w:ascii="Arial Narrow" w:hAnsi="Arial Narrow"/>
                <w:sz w:val="20"/>
                <w:vertAlign w:val="superscript"/>
                <w:lang w:val="en-US"/>
              </w:rPr>
              <w:t>2</w:t>
            </w:r>
            <w:r w:rsidRPr="000E3253">
              <w:rPr>
                <w:rFonts w:ascii="Arial Narrow" w:hAnsi="Arial Narrow"/>
                <w:sz w:val="20"/>
                <w:lang w:val="en-US"/>
              </w:rPr>
              <w:t xml:space="preserve"> * 90.5% RDI</w:t>
            </w:r>
          </w:p>
          <w:p w:rsidR="00CF568A" w:rsidRPr="000E3253" w:rsidRDefault="00CF568A" w:rsidP="00C05464">
            <w:pPr>
              <w:keepNext/>
              <w:keepLines/>
              <w:widowControl/>
              <w:jc w:val="center"/>
              <w:rPr>
                <w:rFonts w:ascii="Arial Narrow" w:hAnsi="Arial Narrow"/>
                <w:sz w:val="20"/>
                <w:lang w:val="en-US"/>
              </w:rPr>
            </w:pPr>
            <w:r w:rsidRPr="000E3253">
              <w:rPr>
                <w:rFonts w:ascii="Arial Narrow" w:hAnsi="Arial Narrow"/>
                <w:sz w:val="20"/>
                <w:lang w:val="en-US"/>
              </w:rPr>
              <w:t>Gemcitabine = 1250mg/m</w:t>
            </w:r>
            <w:r w:rsidRPr="000E3253">
              <w:rPr>
                <w:rFonts w:ascii="Arial Narrow" w:hAnsi="Arial Narrow"/>
                <w:sz w:val="20"/>
                <w:vertAlign w:val="superscript"/>
                <w:lang w:val="en-US"/>
              </w:rPr>
              <w:t>2</w:t>
            </w:r>
            <w:r w:rsidRPr="000E3253">
              <w:rPr>
                <w:rFonts w:ascii="Arial Narrow" w:hAnsi="Arial Narrow"/>
                <w:sz w:val="20"/>
                <w:lang w:val="en-US"/>
              </w:rPr>
              <w:t xml:space="preserve"> * 86.3%  RDI </w:t>
            </w:r>
          </w:p>
          <w:p w:rsidR="00CF568A" w:rsidRPr="000E3253" w:rsidRDefault="00CF568A" w:rsidP="00C05464">
            <w:pPr>
              <w:keepNext/>
              <w:keepLines/>
              <w:widowControl/>
              <w:jc w:val="center"/>
              <w:rPr>
                <w:rFonts w:ascii="Arial Narrow" w:hAnsi="Arial Narrow"/>
                <w:b/>
                <w:sz w:val="20"/>
                <w:lang w:val="en-US"/>
              </w:rPr>
            </w:pPr>
            <w:r w:rsidRPr="000E3253">
              <w:rPr>
                <w:rFonts w:ascii="Arial Narrow" w:hAnsi="Arial Narrow"/>
                <w:sz w:val="20"/>
                <w:lang w:val="en-US"/>
              </w:rPr>
              <w:t>Vinorelbine = 3mg/m</w:t>
            </w:r>
            <w:r w:rsidRPr="000E3253">
              <w:rPr>
                <w:rFonts w:ascii="Arial Narrow" w:hAnsi="Arial Narrow"/>
                <w:sz w:val="20"/>
                <w:vertAlign w:val="superscript"/>
                <w:lang w:val="en-US"/>
              </w:rPr>
              <w:t>2</w:t>
            </w:r>
            <w:r w:rsidRPr="000E3253">
              <w:rPr>
                <w:rFonts w:ascii="Arial Narrow" w:hAnsi="Arial Narrow"/>
                <w:sz w:val="20"/>
                <w:lang w:val="en-US"/>
              </w:rPr>
              <w:t xml:space="preserve"> * 68.5% RDI</w:t>
            </w:r>
          </w:p>
        </w:tc>
        <w:tc>
          <w:tcPr>
            <w:tcW w:w="680" w:type="pct"/>
            <w:vAlign w:val="center"/>
          </w:tcPr>
          <w:p w:rsidR="00CF568A" w:rsidRPr="000E3253" w:rsidRDefault="00CF568A" w:rsidP="00C05464">
            <w:pPr>
              <w:keepNext/>
              <w:keepLines/>
              <w:widowControl/>
              <w:jc w:val="center"/>
              <w:rPr>
                <w:rFonts w:ascii="Arial Narrow" w:hAnsi="Arial Narrow"/>
                <w:sz w:val="20"/>
                <w:lang w:val="en-US"/>
              </w:rPr>
            </w:pPr>
            <w:r w:rsidRPr="000E3253">
              <w:rPr>
                <w:rFonts w:ascii="Arial Narrow" w:hAnsi="Arial Narrow"/>
                <w:sz w:val="20"/>
                <w:lang w:val="en-US"/>
              </w:rPr>
              <w:t>Capecitabine = 1250mg/m</w:t>
            </w:r>
            <w:r w:rsidRPr="000E3253">
              <w:rPr>
                <w:rFonts w:ascii="Arial Narrow" w:hAnsi="Arial Narrow"/>
                <w:sz w:val="20"/>
                <w:vertAlign w:val="superscript"/>
                <w:lang w:val="en-US"/>
              </w:rPr>
              <w:t>2</w:t>
            </w:r>
            <w:r w:rsidRPr="000E3253">
              <w:rPr>
                <w:rFonts w:ascii="Arial Narrow" w:hAnsi="Arial Narrow"/>
                <w:sz w:val="20"/>
                <w:lang w:val="en-US"/>
              </w:rPr>
              <w:t xml:space="preserve"> </w:t>
            </w:r>
          </w:p>
          <w:p w:rsidR="00CF568A" w:rsidRPr="000E3253" w:rsidRDefault="00CF568A" w:rsidP="00C05464">
            <w:pPr>
              <w:keepNext/>
              <w:keepLines/>
              <w:widowControl/>
              <w:jc w:val="center"/>
              <w:rPr>
                <w:rFonts w:ascii="Arial Narrow" w:hAnsi="Arial Narrow"/>
                <w:sz w:val="20"/>
                <w:lang w:val="en-US"/>
              </w:rPr>
            </w:pPr>
            <w:r w:rsidRPr="000E3253">
              <w:rPr>
                <w:rFonts w:ascii="Arial Narrow" w:hAnsi="Arial Narrow"/>
                <w:sz w:val="20"/>
                <w:lang w:val="en-US"/>
              </w:rPr>
              <w:t>Eribulin = 1.40mg/m</w:t>
            </w:r>
            <w:r w:rsidRPr="000E3253">
              <w:rPr>
                <w:rFonts w:ascii="Arial Narrow" w:hAnsi="Arial Narrow"/>
                <w:sz w:val="20"/>
                <w:vertAlign w:val="superscript"/>
                <w:lang w:val="en-US"/>
              </w:rPr>
              <w:t>2</w:t>
            </w:r>
            <w:r w:rsidRPr="000E3253">
              <w:rPr>
                <w:rFonts w:ascii="Arial Narrow" w:hAnsi="Arial Narrow"/>
                <w:sz w:val="20"/>
                <w:lang w:val="en-US"/>
              </w:rPr>
              <w:t xml:space="preserve"> </w:t>
            </w:r>
          </w:p>
          <w:p w:rsidR="00CF568A" w:rsidRPr="000E3253" w:rsidRDefault="00CF568A" w:rsidP="00C05464">
            <w:pPr>
              <w:keepNext/>
              <w:keepLines/>
              <w:widowControl/>
              <w:jc w:val="center"/>
              <w:rPr>
                <w:rFonts w:ascii="Arial Narrow" w:hAnsi="Arial Narrow"/>
                <w:sz w:val="20"/>
                <w:lang w:val="en-US"/>
              </w:rPr>
            </w:pPr>
            <w:r w:rsidRPr="000E3253">
              <w:rPr>
                <w:rFonts w:ascii="Arial Narrow" w:hAnsi="Arial Narrow"/>
                <w:sz w:val="20"/>
                <w:lang w:val="en-US"/>
              </w:rPr>
              <w:t>Gemcitabine = 1250mg/m</w:t>
            </w:r>
            <w:r w:rsidRPr="000E3253">
              <w:rPr>
                <w:rFonts w:ascii="Arial Narrow" w:hAnsi="Arial Narrow"/>
                <w:sz w:val="20"/>
                <w:vertAlign w:val="superscript"/>
                <w:lang w:val="en-US"/>
              </w:rPr>
              <w:t>2</w:t>
            </w:r>
          </w:p>
          <w:p w:rsidR="00CF568A" w:rsidRPr="000E3253" w:rsidRDefault="00CF568A" w:rsidP="00C05464">
            <w:pPr>
              <w:keepNext/>
              <w:keepLines/>
              <w:widowControl/>
              <w:jc w:val="center"/>
              <w:rPr>
                <w:rFonts w:ascii="Arial Narrow" w:hAnsi="Arial Narrow"/>
                <w:sz w:val="20"/>
                <w:vertAlign w:val="superscript"/>
                <w:lang w:val="en-US"/>
              </w:rPr>
            </w:pPr>
            <w:r w:rsidRPr="000E3253">
              <w:rPr>
                <w:rFonts w:ascii="Arial Narrow" w:hAnsi="Arial Narrow"/>
                <w:sz w:val="20"/>
                <w:lang w:val="en-US"/>
              </w:rPr>
              <w:t>Vinorelbine = 3mg/m</w:t>
            </w:r>
            <w:r w:rsidRPr="000E3253">
              <w:rPr>
                <w:rFonts w:ascii="Arial Narrow" w:hAnsi="Arial Narrow"/>
                <w:sz w:val="20"/>
                <w:vertAlign w:val="superscript"/>
                <w:lang w:val="en-US"/>
              </w:rPr>
              <w:t>2</w:t>
            </w:r>
          </w:p>
          <w:p w:rsidR="00CF568A" w:rsidRPr="000E3253" w:rsidRDefault="00CF568A" w:rsidP="00C05464">
            <w:pPr>
              <w:keepNext/>
              <w:keepLines/>
              <w:widowControl/>
              <w:jc w:val="center"/>
              <w:rPr>
                <w:rFonts w:ascii="Arial Narrow" w:hAnsi="Arial Narrow"/>
                <w:b/>
                <w:sz w:val="20"/>
                <w:lang w:val="en-US"/>
              </w:rPr>
            </w:pPr>
            <w:r w:rsidRPr="000E3253">
              <w:rPr>
                <w:rFonts w:ascii="Arial Narrow" w:hAnsi="Arial Narrow"/>
                <w:sz w:val="20"/>
                <w:lang w:val="en-US"/>
              </w:rPr>
              <w:t>BSA: 1.77m</w:t>
            </w:r>
            <w:r w:rsidRPr="00CF568A">
              <w:rPr>
                <w:rFonts w:ascii="Arial Narrow" w:hAnsi="Arial Narrow"/>
                <w:sz w:val="20"/>
                <w:vertAlign w:val="superscript"/>
                <w:lang w:val="en-US"/>
              </w:rPr>
              <w:t>2</w:t>
            </w:r>
          </w:p>
        </w:tc>
      </w:tr>
      <w:tr w:rsidR="009F0307" w:rsidRPr="002E075F" w:rsidTr="00CF568A">
        <w:tc>
          <w:tcPr>
            <w:tcW w:w="633" w:type="pct"/>
            <w:tcBorders>
              <w:bottom w:val="nil"/>
            </w:tcBorders>
            <w:shd w:val="clear" w:color="auto" w:fill="auto"/>
            <w:vAlign w:val="center"/>
          </w:tcPr>
          <w:p w:rsidR="009F0307" w:rsidRPr="002E075F" w:rsidRDefault="009F0307" w:rsidP="00C05464">
            <w:pPr>
              <w:keepNext/>
              <w:keepLines/>
              <w:widowControl/>
              <w:jc w:val="left"/>
              <w:rPr>
                <w:rFonts w:ascii="Arial Narrow" w:hAnsi="Arial Narrow"/>
                <w:sz w:val="20"/>
                <w:lang w:val="en-US"/>
              </w:rPr>
            </w:pPr>
            <w:r w:rsidRPr="002E075F">
              <w:rPr>
                <w:rFonts w:ascii="Arial Narrow" w:hAnsi="Arial Narrow"/>
                <w:sz w:val="20"/>
                <w:lang w:val="en-US"/>
              </w:rPr>
              <w:t>Mean duration (months)</w:t>
            </w:r>
          </w:p>
        </w:tc>
        <w:tc>
          <w:tcPr>
            <w:tcW w:w="620" w:type="pct"/>
            <w:tcBorders>
              <w:bottom w:val="nil"/>
            </w:tcBorders>
            <w:shd w:val="clear" w:color="auto" w:fill="auto"/>
            <w:vAlign w:val="center"/>
          </w:tcPr>
          <w:p w:rsidR="009F0307" w:rsidRPr="002E075F" w:rsidRDefault="009F0307" w:rsidP="00C05464">
            <w:pPr>
              <w:keepNext/>
              <w:keepLines/>
              <w:widowControl/>
              <w:jc w:val="center"/>
              <w:rPr>
                <w:rFonts w:ascii="Arial Narrow" w:hAnsi="Arial Narrow"/>
                <w:sz w:val="20"/>
                <w:lang w:val="en-US"/>
              </w:rPr>
            </w:pPr>
            <w:r w:rsidRPr="002E075F">
              <w:rPr>
                <w:rFonts w:ascii="Arial Narrow" w:hAnsi="Arial Narrow"/>
                <w:sz w:val="20"/>
                <w:lang w:val="en-US"/>
              </w:rPr>
              <w:t>8.4</w:t>
            </w:r>
            <w:r w:rsidRPr="002E075F">
              <w:rPr>
                <w:rFonts w:ascii="Arial Narrow" w:hAnsi="Arial Narrow"/>
                <w:sz w:val="20"/>
                <w:vertAlign w:val="superscript"/>
                <w:lang w:val="en-US"/>
              </w:rPr>
              <w:t>a</w:t>
            </w:r>
          </w:p>
        </w:tc>
        <w:tc>
          <w:tcPr>
            <w:tcW w:w="696" w:type="pct"/>
            <w:tcBorders>
              <w:bottom w:val="nil"/>
            </w:tcBorders>
            <w:shd w:val="clear" w:color="auto" w:fill="auto"/>
            <w:vAlign w:val="center"/>
          </w:tcPr>
          <w:p w:rsidR="009F0307" w:rsidRPr="002E075F" w:rsidRDefault="00323D40" w:rsidP="00323D40">
            <w:pPr>
              <w:keepNext/>
              <w:keepLines/>
              <w:widowControl/>
              <w:jc w:val="center"/>
              <w:rPr>
                <w:rFonts w:ascii="Arial Narrow" w:hAnsi="Arial Narrow"/>
                <w:sz w:val="20"/>
                <w:lang w:val="en-US"/>
              </w:rPr>
            </w:pPr>
            <w:r w:rsidRPr="002E075F">
              <w:rPr>
                <w:rFonts w:ascii="Arial Narrow" w:hAnsi="Arial Narrow"/>
                <w:sz w:val="20"/>
                <w:lang w:val="en-US"/>
              </w:rPr>
              <w:t>11.0 months</w:t>
            </w:r>
            <w:r w:rsidRPr="002E075F">
              <w:rPr>
                <w:rFonts w:ascii="Arial Narrow" w:hAnsi="Arial Narrow"/>
                <w:sz w:val="20"/>
                <w:vertAlign w:val="superscript"/>
                <w:lang w:val="en-US"/>
              </w:rPr>
              <w:t>b</w:t>
            </w:r>
          </w:p>
        </w:tc>
        <w:tc>
          <w:tcPr>
            <w:tcW w:w="775" w:type="pct"/>
            <w:tcBorders>
              <w:bottom w:val="nil"/>
            </w:tcBorders>
            <w:shd w:val="clear" w:color="auto" w:fill="auto"/>
            <w:vAlign w:val="center"/>
          </w:tcPr>
          <w:p w:rsidR="009F0307" w:rsidRPr="002E075F" w:rsidRDefault="009F0307" w:rsidP="00C05464">
            <w:pPr>
              <w:keepNext/>
              <w:keepLines/>
              <w:widowControl/>
              <w:jc w:val="center"/>
              <w:rPr>
                <w:rFonts w:ascii="Arial Narrow" w:hAnsi="Arial Narrow"/>
                <w:sz w:val="20"/>
                <w:lang w:val="en-US"/>
              </w:rPr>
            </w:pPr>
            <w:r w:rsidRPr="002E075F">
              <w:rPr>
                <w:rFonts w:ascii="Arial Narrow" w:hAnsi="Arial Narrow"/>
                <w:sz w:val="20"/>
                <w:lang w:val="en-US"/>
              </w:rPr>
              <w:t>8.6 months</w:t>
            </w:r>
          </w:p>
          <w:p w:rsidR="009F0307" w:rsidRPr="002E075F" w:rsidRDefault="009F0307" w:rsidP="00C05464">
            <w:pPr>
              <w:keepNext/>
              <w:keepLines/>
              <w:widowControl/>
              <w:jc w:val="center"/>
              <w:rPr>
                <w:rFonts w:ascii="Arial Narrow" w:hAnsi="Arial Narrow"/>
                <w:b/>
                <w:sz w:val="20"/>
                <w:lang w:val="en-US"/>
              </w:rPr>
            </w:pPr>
            <w:r w:rsidRPr="002E075F">
              <w:rPr>
                <w:rFonts w:ascii="Arial Narrow" w:hAnsi="Arial Narrow"/>
                <w:sz w:val="20"/>
                <w:lang w:val="en-US"/>
              </w:rPr>
              <w:t>(median PFS from EMBRACA)</w:t>
            </w:r>
          </w:p>
        </w:tc>
        <w:tc>
          <w:tcPr>
            <w:tcW w:w="794" w:type="pct"/>
            <w:tcBorders>
              <w:bottom w:val="nil"/>
            </w:tcBorders>
            <w:shd w:val="clear" w:color="auto" w:fill="auto"/>
            <w:vAlign w:val="center"/>
          </w:tcPr>
          <w:p w:rsidR="009F0307" w:rsidRPr="002E075F" w:rsidRDefault="009F0307" w:rsidP="00C05464">
            <w:pPr>
              <w:keepNext/>
              <w:keepLines/>
              <w:widowControl/>
              <w:jc w:val="center"/>
              <w:rPr>
                <w:rFonts w:ascii="Arial Narrow" w:hAnsi="Arial Narrow"/>
                <w:sz w:val="20"/>
                <w:lang w:val="en-US"/>
              </w:rPr>
            </w:pPr>
            <w:r w:rsidRPr="002E075F">
              <w:rPr>
                <w:rFonts w:ascii="Arial Narrow" w:hAnsi="Arial Narrow"/>
                <w:sz w:val="20"/>
                <w:lang w:val="en-US"/>
              </w:rPr>
              <w:t>Capecitabine = 5</w:t>
            </w:r>
          </w:p>
          <w:p w:rsidR="009F0307" w:rsidRPr="002E075F" w:rsidRDefault="009F0307" w:rsidP="00C05464">
            <w:pPr>
              <w:keepNext/>
              <w:keepLines/>
              <w:widowControl/>
              <w:jc w:val="center"/>
              <w:rPr>
                <w:rFonts w:ascii="Arial Narrow" w:hAnsi="Arial Narrow"/>
                <w:sz w:val="20"/>
                <w:lang w:val="en-US"/>
              </w:rPr>
            </w:pPr>
            <w:r w:rsidRPr="002E075F">
              <w:rPr>
                <w:rFonts w:ascii="Arial Narrow" w:hAnsi="Arial Narrow"/>
                <w:sz w:val="20"/>
                <w:lang w:val="en-US"/>
              </w:rPr>
              <w:t>Eribulin = 4.1</w:t>
            </w:r>
          </w:p>
          <w:p w:rsidR="009F0307" w:rsidRPr="002E075F" w:rsidRDefault="009F0307" w:rsidP="00C05464">
            <w:pPr>
              <w:keepNext/>
              <w:keepLines/>
              <w:widowControl/>
              <w:jc w:val="center"/>
              <w:rPr>
                <w:rFonts w:ascii="Arial Narrow" w:hAnsi="Arial Narrow"/>
                <w:sz w:val="20"/>
                <w:lang w:val="en-US"/>
              </w:rPr>
            </w:pPr>
            <w:r w:rsidRPr="002E075F">
              <w:rPr>
                <w:rFonts w:ascii="Arial Narrow" w:hAnsi="Arial Narrow"/>
                <w:sz w:val="20"/>
                <w:lang w:val="en-US"/>
              </w:rPr>
              <w:t>Gemcitabine = 4.7</w:t>
            </w:r>
          </w:p>
          <w:p w:rsidR="009F0307" w:rsidRPr="002E075F" w:rsidRDefault="009F0307" w:rsidP="00C05464">
            <w:pPr>
              <w:keepNext/>
              <w:keepLines/>
              <w:widowControl/>
              <w:jc w:val="center"/>
              <w:rPr>
                <w:rFonts w:ascii="Arial Narrow" w:hAnsi="Arial Narrow"/>
                <w:sz w:val="20"/>
                <w:lang w:val="en-US"/>
              </w:rPr>
            </w:pPr>
            <w:r w:rsidRPr="002E075F">
              <w:rPr>
                <w:rFonts w:ascii="Arial Narrow" w:hAnsi="Arial Narrow"/>
                <w:sz w:val="20"/>
                <w:lang w:val="en-US"/>
              </w:rPr>
              <w:t>Vinorelbine = 3.9</w:t>
            </w:r>
          </w:p>
        </w:tc>
        <w:tc>
          <w:tcPr>
            <w:tcW w:w="801" w:type="pct"/>
            <w:tcBorders>
              <w:bottom w:val="nil"/>
            </w:tcBorders>
            <w:shd w:val="clear" w:color="auto" w:fill="auto"/>
            <w:vAlign w:val="center"/>
          </w:tcPr>
          <w:p w:rsidR="009F0307" w:rsidRPr="002E075F" w:rsidRDefault="009F0307" w:rsidP="00C05464">
            <w:pPr>
              <w:keepNext/>
              <w:keepLines/>
              <w:widowControl/>
              <w:jc w:val="center"/>
              <w:rPr>
                <w:rFonts w:ascii="Arial Narrow" w:hAnsi="Arial Narrow"/>
                <w:b/>
                <w:sz w:val="20"/>
                <w:lang w:val="en-US"/>
              </w:rPr>
            </w:pPr>
            <w:r w:rsidRPr="002E075F">
              <w:rPr>
                <w:rFonts w:ascii="Arial Narrow" w:hAnsi="Arial Narrow"/>
                <w:sz w:val="20"/>
                <w:lang w:val="en-US"/>
              </w:rPr>
              <w:t>All regimens: 5.01</w:t>
            </w:r>
          </w:p>
        </w:tc>
        <w:tc>
          <w:tcPr>
            <w:tcW w:w="680" w:type="pct"/>
            <w:tcBorders>
              <w:bottom w:val="nil"/>
            </w:tcBorders>
            <w:vAlign w:val="center"/>
          </w:tcPr>
          <w:p w:rsidR="009F0307" w:rsidRPr="002E075F" w:rsidRDefault="009F0307" w:rsidP="00C05464">
            <w:pPr>
              <w:keepNext/>
              <w:keepLines/>
              <w:widowControl/>
              <w:jc w:val="center"/>
              <w:rPr>
                <w:rFonts w:ascii="Arial Narrow" w:hAnsi="Arial Narrow"/>
                <w:sz w:val="20"/>
                <w:lang w:val="en-US"/>
              </w:rPr>
            </w:pPr>
            <w:r w:rsidRPr="002E075F">
              <w:rPr>
                <w:rFonts w:ascii="Arial Narrow" w:hAnsi="Arial Narrow"/>
                <w:sz w:val="20"/>
                <w:lang w:val="en-US"/>
              </w:rPr>
              <w:t>5.6 months</w:t>
            </w:r>
          </w:p>
        </w:tc>
      </w:tr>
      <w:tr w:rsidR="009F0307" w:rsidRPr="002E075F" w:rsidTr="00CF568A">
        <w:tc>
          <w:tcPr>
            <w:tcW w:w="633" w:type="pct"/>
            <w:tcBorders>
              <w:bottom w:val="nil"/>
            </w:tcBorders>
            <w:shd w:val="clear" w:color="auto" w:fill="auto"/>
            <w:vAlign w:val="center"/>
          </w:tcPr>
          <w:p w:rsidR="00A45164" w:rsidRDefault="009F0307" w:rsidP="00A45164">
            <w:pPr>
              <w:keepNext/>
              <w:keepLines/>
              <w:widowControl/>
              <w:jc w:val="left"/>
              <w:rPr>
                <w:rFonts w:ascii="Arial Narrow" w:hAnsi="Arial Narrow"/>
                <w:sz w:val="20"/>
                <w:lang w:val="en-US"/>
              </w:rPr>
            </w:pPr>
            <w:r w:rsidRPr="002E075F">
              <w:rPr>
                <w:rFonts w:ascii="Arial Narrow" w:hAnsi="Arial Narrow"/>
                <w:sz w:val="20"/>
                <w:lang w:val="en-US"/>
              </w:rPr>
              <w:t>Cost/patient</w:t>
            </w:r>
            <w:r w:rsidR="00A45164">
              <w:rPr>
                <w:rFonts w:ascii="Arial Narrow" w:hAnsi="Arial Narrow"/>
                <w:sz w:val="20"/>
                <w:lang w:val="en-US"/>
              </w:rPr>
              <w:t>/</w:t>
            </w:r>
          </w:p>
          <w:p w:rsidR="009F0307" w:rsidRPr="002E075F" w:rsidRDefault="009F0307" w:rsidP="00A45164">
            <w:pPr>
              <w:keepNext/>
              <w:keepLines/>
              <w:widowControl/>
              <w:jc w:val="left"/>
              <w:rPr>
                <w:rFonts w:ascii="Arial Narrow" w:hAnsi="Arial Narrow"/>
                <w:sz w:val="20"/>
                <w:lang w:val="en-US"/>
              </w:rPr>
            </w:pPr>
            <w:r w:rsidRPr="002E075F">
              <w:rPr>
                <w:rFonts w:ascii="Arial Narrow" w:hAnsi="Arial Narrow"/>
                <w:sz w:val="20"/>
                <w:lang w:val="en-US"/>
              </w:rPr>
              <w:t>30 days</w:t>
            </w:r>
          </w:p>
        </w:tc>
        <w:tc>
          <w:tcPr>
            <w:tcW w:w="620" w:type="pct"/>
            <w:tcBorders>
              <w:bottom w:val="nil"/>
            </w:tcBorders>
            <w:shd w:val="clear" w:color="auto" w:fill="auto"/>
            <w:vAlign w:val="center"/>
          </w:tcPr>
          <w:p w:rsidR="009F0307" w:rsidRPr="00EB7243" w:rsidRDefault="00EB7243" w:rsidP="00323D40">
            <w:pPr>
              <w:keepNext/>
              <w:keepLines/>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96" w:type="pct"/>
            <w:tcBorders>
              <w:bottom w:val="nil"/>
            </w:tcBorders>
            <w:shd w:val="clear" w:color="auto" w:fill="auto"/>
            <w:vAlign w:val="center"/>
          </w:tcPr>
          <w:p w:rsidR="009F0307" w:rsidRPr="00EB7243" w:rsidRDefault="00EB7243" w:rsidP="00323D40">
            <w:pPr>
              <w:keepNext/>
              <w:keepLines/>
              <w:widowControl/>
              <w:jc w:val="center"/>
              <w:rPr>
                <w:rFonts w:ascii="Arial Narrow" w:hAnsi="Arial Narrow"/>
                <w:sz w:val="20"/>
                <w:highlight w:val="black"/>
                <w:lang w:val="en-US"/>
              </w:rPr>
            </w:pPr>
            <w:r>
              <w:rPr>
                <w:rFonts w:ascii="Arial Narrow" w:hAnsi="Arial Narrow"/>
                <w:noProof/>
                <w:color w:val="000000"/>
                <w:sz w:val="20"/>
                <w:highlight w:val="black"/>
                <w:lang w:val="en-US"/>
              </w:rPr>
              <w:t xml:space="preserve">'''''''''''''''''''''''''''' </w:t>
            </w:r>
          </w:p>
        </w:tc>
        <w:tc>
          <w:tcPr>
            <w:tcW w:w="775" w:type="pct"/>
            <w:tcBorders>
              <w:bottom w:val="nil"/>
            </w:tcBorders>
            <w:shd w:val="clear" w:color="auto" w:fill="auto"/>
            <w:vAlign w:val="center"/>
          </w:tcPr>
          <w:p w:rsidR="009F0307" w:rsidRPr="00EB7243" w:rsidRDefault="00EB7243" w:rsidP="00C05464">
            <w:pPr>
              <w:keepNext/>
              <w:keepLines/>
              <w:widowControl/>
              <w:jc w:val="center"/>
              <w:rPr>
                <w:rFonts w:ascii="Arial" w:hAnsi="Arial"/>
                <w:snapToGrid/>
                <w:color w:val="000000"/>
                <w:sz w:val="22"/>
                <w:highlight w:val="black"/>
                <w:lang w:eastAsia="en-AU"/>
              </w:rPr>
            </w:pPr>
            <w:r>
              <w:rPr>
                <w:rFonts w:ascii="Arial Narrow" w:hAnsi="Arial Narrow"/>
                <w:noProof/>
                <w:color w:val="000000"/>
                <w:sz w:val="20"/>
                <w:highlight w:val="black"/>
                <w:lang w:val="en-US"/>
              </w:rPr>
              <w:t>'''''''''''''''</w:t>
            </w:r>
          </w:p>
        </w:tc>
        <w:tc>
          <w:tcPr>
            <w:tcW w:w="794" w:type="pct"/>
            <w:tcBorders>
              <w:bottom w:val="nil"/>
            </w:tcBorders>
            <w:shd w:val="clear" w:color="auto" w:fill="auto"/>
            <w:vAlign w:val="center"/>
          </w:tcPr>
          <w:p w:rsidR="009F0307" w:rsidRPr="00EB7243" w:rsidRDefault="00EB7243" w:rsidP="00C05464">
            <w:pPr>
              <w:keepNext/>
              <w:keepLines/>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801" w:type="pct"/>
            <w:tcBorders>
              <w:bottom w:val="nil"/>
            </w:tcBorders>
            <w:shd w:val="clear" w:color="auto" w:fill="auto"/>
            <w:vAlign w:val="center"/>
          </w:tcPr>
          <w:p w:rsidR="009F0307" w:rsidRPr="00EB7243" w:rsidRDefault="00EB7243" w:rsidP="00C05464">
            <w:pPr>
              <w:keepNext/>
              <w:keepLines/>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80" w:type="pct"/>
            <w:tcBorders>
              <w:bottom w:val="nil"/>
            </w:tcBorders>
            <w:vAlign w:val="center"/>
          </w:tcPr>
          <w:p w:rsidR="009F0307" w:rsidRPr="00EB7243" w:rsidRDefault="00EB7243" w:rsidP="00C05464">
            <w:pPr>
              <w:keepNext/>
              <w:keepLines/>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r>
      <w:tr w:rsidR="009F0307" w:rsidRPr="002E075F" w:rsidTr="00323D40">
        <w:tc>
          <w:tcPr>
            <w:tcW w:w="633" w:type="pct"/>
            <w:tcBorders>
              <w:bottom w:val="single" w:sz="4" w:space="0" w:color="auto"/>
            </w:tcBorders>
            <w:shd w:val="clear" w:color="auto" w:fill="auto"/>
            <w:vAlign w:val="center"/>
          </w:tcPr>
          <w:p w:rsidR="009F0307" w:rsidRPr="002E075F" w:rsidRDefault="00A45164" w:rsidP="00C05464">
            <w:pPr>
              <w:keepNext/>
              <w:keepLines/>
              <w:widowControl/>
              <w:jc w:val="left"/>
              <w:rPr>
                <w:rFonts w:ascii="Arial Narrow" w:hAnsi="Arial Narrow"/>
                <w:sz w:val="20"/>
                <w:lang w:val="en-US"/>
              </w:rPr>
            </w:pPr>
            <w:r>
              <w:rPr>
                <w:rFonts w:ascii="Arial Narrow" w:hAnsi="Arial Narrow"/>
                <w:sz w:val="20"/>
                <w:lang w:val="en-US"/>
              </w:rPr>
              <w:t xml:space="preserve">Cost/patient/ </w:t>
            </w:r>
            <w:r w:rsidR="009F0307" w:rsidRPr="002E075F">
              <w:rPr>
                <w:rFonts w:ascii="Arial Narrow" w:hAnsi="Arial Narrow"/>
                <w:sz w:val="20"/>
                <w:lang w:val="en-US"/>
              </w:rPr>
              <w:t>course</w:t>
            </w:r>
          </w:p>
        </w:tc>
        <w:tc>
          <w:tcPr>
            <w:tcW w:w="620" w:type="pct"/>
            <w:tcBorders>
              <w:bottom w:val="single" w:sz="4" w:space="0" w:color="auto"/>
            </w:tcBorders>
            <w:shd w:val="clear" w:color="auto" w:fill="auto"/>
            <w:vAlign w:val="center"/>
          </w:tcPr>
          <w:p w:rsidR="009F0307" w:rsidRPr="00EB7243" w:rsidRDefault="00EB7243" w:rsidP="00C05464">
            <w:pPr>
              <w:keepNext/>
              <w:keepLines/>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96" w:type="pct"/>
            <w:tcBorders>
              <w:bottom w:val="single" w:sz="4" w:space="0" w:color="auto"/>
            </w:tcBorders>
            <w:shd w:val="clear" w:color="auto" w:fill="auto"/>
            <w:vAlign w:val="center"/>
          </w:tcPr>
          <w:p w:rsidR="009F0307" w:rsidRPr="00EB7243" w:rsidRDefault="00EB7243" w:rsidP="00323D40">
            <w:pPr>
              <w:keepNext/>
              <w:keepLines/>
              <w:widowControl/>
              <w:jc w:val="center"/>
              <w:rPr>
                <w:rFonts w:ascii="Arial Narrow" w:hAnsi="Arial Narrow"/>
                <w:sz w:val="20"/>
                <w:highlight w:val="black"/>
                <w:lang w:val="en-US"/>
              </w:rPr>
            </w:pPr>
            <w:r>
              <w:rPr>
                <w:rFonts w:ascii="Arial Narrow" w:hAnsi="Arial Narrow"/>
                <w:noProof/>
                <w:color w:val="000000"/>
                <w:sz w:val="20"/>
                <w:highlight w:val="black"/>
                <w:lang w:val="en-US"/>
              </w:rPr>
              <w:t xml:space="preserve">'''''''''''''''''''''''''' </w:t>
            </w:r>
          </w:p>
        </w:tc>
        <w:tc>
          <w:tcPr>
            <w:tcW w:w="775" w:type="pct"/>
            <w:tcBorders>
              <w:bottom w:val="single" w:sz="4" w:space="0" w:color="auto"/>
            </w:tcBorders>
            <w:shd w:val="clear" w:color="auto" w:fill="auto"/>
            <w:vAlign w:val="center"/>
          </w:tcPr>
          <w:p w:rsidR="009F0307" w:rsidRPr="00EB7243" w:rsidRDefault="00EB7243" w:rsidP="00C05464">
            <w:pPr>
              <w:keepNext/>
              <w:keepLines/>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794" w:type="pct"/>
            <w:tcBorders>
              <w:bottom w:val="single" w:sz="4" w:space="0" w:color="auto"/>
            </w:tcBorders>
            <w:shd w:val="clear" w:color="auto" w:fill="auto"/>
            <w:vAlign w:val="center"/>
          </w:tcPr>
          <w:p w:rsidR="009F0307" w:rsidRPr="00EB7243" w:rsidRDefault="00EB7243" w:rsidP="00C05464">
            <w:pPr>
              <w:keepNext/>
              <w:keepLines/>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801" w:type="pct"/>
            <w:tcBorders>
              <w:bottom w:val="single" w:sz="4" w:space="0" w:color="auto"/>
            </w:tcBorders>
            <w:shd w:val="clear" w:color="auto" w:fill="auto"/>
            <w:vAlign w:val="center"/>
          </w:tcPr>
          <w:p w:rsidR="009F0307" w:rsidRPr="00EB7243" w:rsidRDefault="00EB7243" w:rsidP="00C05464">
            <w:pPr>
              <w:keepNext/>
              <w:keepLines/>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680" w:type="pct"/>
            <w:tcBorders>
              <w:bottom w:val="single" w:sz="4" w:space="0" w:color="auto"/>
            </w:tcBorders>
            <w:vAlign w:val="center"/>
          </w:tcPr>
          <w:p w:rsidR="009F0307" w:rsidRPr="00EB7243" w:rsidRDefault="00EB7243" w:rsidP="00C05464">
            <w:pPr>
              <w:keepNext/>
              <w:keepLines/>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r>
    </w:tbl>
    <w:p w:rsidR="009F0307" w:rsidRPr="002E075F" w:rsidRDefault="009F0307" w:rsidP="00C05464">
      <w:pPr>
        <w:pStyle w:val="TableFooter"/>
        <w:keepNext/>
        <w:keepLines/>
        <w:widowControl/>
        <w:rPr>
          <w:lang w:val="en-US"/>
        </w:rPr>
      </w:pPr>
      <w:r w:rsidRPr="002E075F">
        <w:rPr>
          <w:lang w:val="en-US"/>
        </w:rPr>
        <w:t xml:space="preserve">RDI = relative dose intensity; PFS = progression-free </w:t>
      </w:r>
      <w:r w:rsidR="00685BDF" w:rsidRPr="002E075F">
        <w:rPr>
          <w:lang w:val="en-US"/>
        </w:rPr>
        <w:t>survival;</w:t>
      </w:r>
      <w:r w:rsidRPr="002E075F">
        <w:rPr>
          <w:lang w:val="en-US"/>
        </w:rPr>
        <w:t xml:space="preserve"> BSA = body surface area; NR = not applicable</w:t>
      </w:r>
      <w:r w:rsidR="0021344D" w:rsidRPr="002E075F">
        <w:rPr>
          <w:lang w:val="en-US"/>
        </w:rPr>
        <w:t>; SoC = standard of care</w:t>
      </w:r>
    </w:p>
    <w:p w:rsidR="009F0307" w:rsidRPr="002E075F" w:rsidRDefault="009F0307" w:rsidP="00C05464">
      <w:pPr>
        <w:pStyle w:val="TableFooter"/>
        <w:keepNext/>
        <w:keepLines/>
        <w:widowControl/>
        <w:rPr>
          <w:lang w:val="en-US"/>
        </w:rPr>
      </w:pPr>
      <w:r w:rsidRPr="002E075F">
        <w:rPr>
          <w:vertAlign w:val="superscript"/>
          <w:lang w:val="en-US"/>
        </w:rPr>
        <w:t>a</w:t>
      </w:r>
      <w:r w:rsidR="00A45164">
        <w:rPr>
          <w:vertAlign w:val="superscript"/>
          <w:lang w:val="en-US"/>
        </w:rPr>
        <w:t xml:space="preserve"> </w:t>
      </w:r>
      <w:r w:rsidRPr="002E075F">
        <w:rPr>
          <w:lang w:val="en-US"/>
        </w:rPr>
        <w:t>Table 25 of the EMBRACA CSR</w:t>
      </w:r>
    </w:p>
    <w:p w:rsidR="009F0307" w:rsidRPr="002E075F" w:rsidRDefault="009F0307" w:rsidP="00C05464">
      <w:pPr>
        <w:pStyle w:val="TableFooter"/>
        <w:keepNext/>
        <w:keepLines/>
        <w:widowControl/>
      </w:pPr>
      <w:r w:rsidRPr="002E075F">
        <w:rPr>
          <w:vertAlign w:val="superscript"/>
          <w:lang w:val="en-US"/>
        </w:rPr>
        <w:t>b</w:t>
      </w:r>
      <w:r w:rsidRPr="002E075F">
        <w:rPr>
          <w:lang w:val="en-US"/>
        </w:rPr>
        <w:t xml:space="preserve"> </w:t>
      </w:r>
      <w:r w:rsidR="00B40AFE" w:rsidRPr="002E075F">
        <w:rPr>
          <w:lang w:val="en-US"/>
        </w:rPr>
        <w:t>Per ESC’s respecified base case</w:t>
      </w:r>
      <w:r w:rsidR="00323D40">
        <w:rPr>
          <w:lang w:val="en-US"/>
        </w:rPr>
        <w:t>, which was accepted in the pre-PBAC response</w:t>
      </w:r>
      <w:r w:rsidRPr="002E075F">
        <w:rPr>
          <w:lang w:val="en-US"/>
        </w:rPr>
        <w:t xml:space="preserve">: Time on treatment extrapolated beyond follow up in EMBRACA by assuming the per cycle probability of </w:t>
      </w:r>
      <w:r w:rsidRPr="002E075F">
        <w:t xml:space="preserve">treatment cessation </w:t>
      </w:r>
      <w:r w:rsidR="007E413B" w:rsidRPr="002E075F">
        <w:t xml:space="preserve">is </w:t>
      </w:r>
      <w:r w:rsidRPr="002E075F">
        <w:t xml:space="preserve">equal </w:t>
      </w:r>
      <w:r w:rsidR="007E413B" w:rsidRPr="002E075F">
        <w:t>to</w:t>
      </w:r>
      <w:r w:rsidRPr="002E075F">
        <w:t xml:space="preserve"> the per cycle probability of progression.</w:t>
      </w:r>
    </w:p>
    <w:p w:rsidR="009F0307" w:rsidRPr="002E075F" w:rsidRDefault="00B52EA1" w:rsidP="00C05464">
      <w:pPr>
        <w:pStyle w:val="TableFooter"/>
        <w:keepNext/>
        <w:keepLines/>
        <w:widowControl/>
        <w:rPr>
          <w:lang w:val="en-US"/>
        </w:rPr>
      </w:pPr>
      <w:r>
        <w:rPr>
          <w:vertAlign w:val="superscript"/>
        </w:rPr>
        <w:t>c</w:t>
      </w:r>
      <w:r w:rsidR="00DC0B94" w:rsidRPr="002E075F">
        <w:t xml:space="preserve"> </w:t>
      </w:r>
      <w:r w:rsidR="00B40AFE" w:rsidRPr="002E075F">
        <w:t>Per ESC’s respecified base case</w:t>
      </w:r>
      <w:r w:rsidR="00323D40">
        <w:rPr>
          <w:lang w:val="en-US"/>
        </w:rPr>
        <w:t>, which was accepted in the pre-PBAC response</w:t>
      </w:r>
      <w:r w:rsidR="009F0307" w:rsidRPr="002E075F">
        <w:t>: Revised during the evaluation to account for the cost per dose between 0.75</w:t>
      </w:r>
      <w:r w:rsidR="001938A2">
        <w:t xml:space="preserve"> </w:t>
      </w:r>
      <w:r w:rsidR="009F0307" w:rsidRPr="002E075F">
        <w:t>mg and 1</w:t>
      </w:r>
      <w:r w:rsidR="001938A2">
        <w:t xml:space="preserve"> </w:t>
      </w:r>
      <w:r w:rsidR="009F0307" w:rsidRPr="002E075F">
        <w:t xml:space="preserve">mg. Cost per 30 days assumed equal to DPMQ of 30 </w:t>
      </w:r>
      <w:r w:rsidR="00CF568A" w:rsidRPr="002E075F">
        <w:t>capsule</w:t>
      </w:r>
      <w:r w:rsidR="009F0307" w:rsidRPr="002E075F">
        <w:t xml:space="preserve"> pack of 1</w:t>
      </w:r>
      <w:r w:rsidR="001938A2">
        <w:t xml:space="preserve"> </w:t>
      </w:r>
      <w:r w:rsidR="009F0307" w:rsidRPr="002E075F">
        <w:t xml:space="preserve">mg strength </w:t>
      </w:r>
      <w:r w:rsidR="009F0307" w:rsidRPr="002E075F">
        <w:rPr>
          <w:lang w:val="en-US"/>
        </w:rPr>
        <w:t xml:space="preserve">OR 90 </w:t>
      </w:r>
      <w:r w:rsidR="00CF568A" w:rsidRPr="002E075F">
        <w:rPr>
          <w:lang w:val="en-US"/>
        </w:rPr>
        <w:t>capsule</w:t>
      </w:r>
      <w:r w:rsidR="009F0307" w:rsidRPr="002E075F">
        <w:rPr>
          <w:lang w:val="en-US"/>
        </w:rPr>
        <w:t xml:space="preserve"> pack of the 0.25</w:t>
      </w:r>
      <w:r w:rsidR="001938A2">
        <w:rPr>
          <w:lang w:val="en-US"/>
        </w:rPr>
        <w:t xml:space="preserve"> </w:t>
      </w:r>
      <w:r w:rsidR="009F0307" w:rsidRPr="002E075F">
        <w:rPr>
          <w:lang w:val="en-US"/>
        </w:rPr>
        <w:t>mg strength (0.75</w:t>
      </w:r>
      <w:r w:rsidR="001938A2">
        <w:rPr>
          <w:lang w:val="en-US"/>
        </w:rPr>
        <w:t xml:space="preserve"> </w:t>
      </w:r>
      <w:r w:rsidR="009F0307" w:rsidRPr="002E075F">
        <w:rPr>
          <w:lang w:val="en-US"/>
        </w:rPr>
        <w:t xml:space="preserve">mg per day for 30 days) = </w:t>
      </w:r>
      <w:r w:rsidR="009F0307" w:rsidRPr="002E075F">
        <w:rPr>
          <w:sz w:val="20"/>
          <w:lang w:val="en-US"/>
        </w:rPr>
        <w:t>$</w:t>
      </w:r>
      <w:r w:rsidR="00EB7243">
        <w:rPr>
          <w:noProof/>
          <w:color w:val="000000"/>
          <w:sz w:val="20"/>
          <w:highlight w:val="black"/>
          <w:lang w:val="en-US"/>
        </w:rPr>
        <w:t>''''''''''''''''''''''</w:t>
      </w:r>
      <w:r w:rsidR="009F0307" w:rsidRPr="002E075F">
        <w:rPr>
          <w:lang w:val="en-US"/>
        </w:rPr>
        <w:t xml:space="preserve">. </w:t>
      </w:r>
    </w:p>
    <w:p w:rsidR="009F0307" w:rsidRPr="002E075F" w:rsidRDefault="00B52EA1" w:rsidP="00C05464">
      <w:pPr>
        <w:pStyle w:val="TableFooter"/>
        <w:keepNext/>
        <w:keepLines/>
        <w:widowControl/>
        <w:rPr>
          <w:lang w:val="en-US"/>
        </w:rPr>
      </w:pPr>
      <w:r>
        <w:rPr>
          <w:vertAlign w:val="superscript"/>
          <w:lang w:val="en-US"/>
        </w:rPr>
        <w:t>d</w:t>
      </w:r>
      <w:r w:rsidR="009F0307" w:rsidRPr="002E075F">
        <w:rPr>
          <w:lang w:val="en-US"/>
        </w:rPr>
        <w:t xml:space="preserve"> Assuming mean dose equal to target dose * RDI, weighted by usage in EMBRACA, and a BSA of 1.8m</w:t>
      </w:r>
      <w:r w:rsidR="009F0307" w:rsidRPr="002E075F">
        <w:rPr>
          <w:vertAlign w:val="superscript"/>
          <w:lang w:val="en-US"/>
        </w:rPr>
        <w:t>2</w:t>
      </w:r>
      <w:r w:rsidR="009F0307" w:rsidRPr="002E075F">
        <w:rPr>
          <w:lang w:val="en-US"/>
        </w:rPr>
        <w:t xml:space="preserve">. </w:t>
      </w:r>
    </w:p>
    <w:p w:rsidR="009F0307" w:rsidRPr="002E075F" w:rsidRDefault="00B52EA1" w:rsidP="00C05464">
      <w:pPr>
        <w:pStyle w:val="TableFooter"/>
        <w:keepNext/>
        <w:keepLines/>
        <w:widowControl/>
        <w:rPr>
          <w:lang w:val="en-US"/>
        </w:rPr>
      </w:pPr>
      <w:r>
        <w:rPr>
          <w:vertAlign w:val="superscript"/>
          <w:lang w:val="en-US"/>
        </w:rPr>
        <w:t>e</w:t>
      </w:r>
      <w:r w:rsidR="009F0307" w:rsidRPr="002E075F">
        <w:rPr>
          <w:vertAlign w:val="superscript"/>
          <w:lang w:val="en-US"/>
        </w:rPr>
        <w:t xml:space="preserve"> </w:t>
      </w:r>
      <w:r w:rsidR="009F0307" w:rsidRPr="002E075F">
        <w:rPr>
          <w:lang w:val="en-US"/>
        </w:rPr>
        <w:t xml:space="preserve">Calculated during the evaluation by dividing the total cost of talazoparib to the PBS by the number of patients to be treated. Small differences between Section 3 and Section 4 estimates are likely to be due to rounding. </w:t>
      </w:r>
    </w:p>
    <w:p w:rsidR="009F0307" w:rsidRPr="002E075F" w:rsidRDefault="00B52EA1" w:rsidP="00C05464">
      <w:pPr>
        <w:pStyle w:val="TableFooter"/>
        <w:keepNext/>
        <w:keepLines/>
        <w:widowControl/>
        <w:rPr>
          <w:lang w:val="en-US"/>
        </w:rPr>
      </w:pPr>
      <w:r>
        <w:rPr>
          <w:vertAlign w:val="superscript"/>
          <w:lang w:val="en-US"/>
        </w:rPr>
        <w:t>f</w:t>
      </w:r>
      <w:r w:rsidR="009F0307" w:rsidRPr="002E075F">
        <w:rPr>
          <w:vertAlign w:val="superscript"/>
          <w:lang w:val="en-US"/>
        </w:rPr>
        <w:t xml:space="preserve"> </w:t>
      </w:r>
      <w:r w:rsidR="009F0307" w:rsidRPr="002E075F">
        <w:rPr>
          <w:lang w:val="en-US"/>
        </w:rPr>
        <w:t xml:space="preserve">Calculated during the evaluation by dividing the total cost offsets associated with comparator regimens by the total number of patients expected to be treated </w:t>
      </w:r>
      <w:r w:rsidR="00B26100" w:rsidRPr="002E075F">
        <w:rPr>
          <w:lang w:val="en-US"/>
        </w:rPr>
        <w:t>i.e.</w:t>
      </w:r>
      <w:r w:rsidR="009F0307" w:rsidRPr="002E075F">
        <w:rPr>
          <w:lang w:val="en-US"/>
        </w:rPr>
        <w:t xml:space="preserve"> for year 1: </w:t>
      </w:r>
      <w:r w:rsidR="009F0307" w:rsidRPr="002E075F">
        <w:rPr>
          <w:bCs/>
        </w:rPr>
        <w:t xml:space="preserve">$647,354 / </w:t>
      </w:r>
      <w:r w:rsidR="00EB7243">
        <w:rPr>
          <w:noProof/>
          <w:color w:val="000000"/>
          <w:highlight w:val="black"/>
          <w:lang w:eastAsia="en-AU"/>
        </w:rPr>
        <w:t>''''''''</w:t>
      </w:r>
      <w:r w:rsidR="009F0307" w:rsidRPr="002E075F">
        <w:rPr>
          <w:color w:val="000000"/>
          <w:lang w:eastAsia="en-AU"/>
        </w:rPr>
        <w:t xml:space="preserve"> patients. </w:t>
      </w:r>
    </w:p>
    <w:p w:rsidR="009F0307" w:rsidRPr="002E075F" w:rsidRDefault="009F0307" w:rsidP="00C05464">
      <w:pPr>
        <w:pStyle w:val="TableFooter"/>
        <w:keepNext/>
        <w:keepLines/>
        <w:widowControl/>
        <w:rPr>
          <w:lang w:val="en-US"/>
        </w:rPr>
      </w:pPr>
      <w:r w:rsidRPr="002E075F">
        <w:rPr>
          <w:lang w:val="en-US"/>
        </w:rPr>
        <w:t>Source: Compiled during the evaluation, based on information presented in the Submission.</w:t>
      </w:r>
    </w:p>
    <w:p w:rsidR="009F0307" w:rsidRPr="001E2B1E" w:rsidRDefault="009F0307" w:rsidP="00A45164"/>
    <w:p w:rsidR="009F0307" w:rsidRPr="00C9624D" w:rsidRDefault="009F0307" w:rsidP="00561C55">
      <w:pPr>
        <w:pStyle w:val="Heading2"/>
        <w:widowControl/>
      </w:pPr>
      <w:bookmarkStart w:id="23" w:name="_Toc19717387"/>
      <w:r w:rsidRPr="00C9624D">
        <w:lastRenderedPageBreak/>
        <w:t>Estimated PBS usage &amp; financial implications</w:t>
      </w:r>
      <w:bookmarkEnd w:id="23"/>
    </w:p>
    <w:p w:rsidR="009F0307" w:rsidRPr="00882085" w:rsidRDefault="009F0307" w:rsidP="00561C55">
      <w:pPr>
        <w:widowControl/>
        <w:ind w:left="720" w:hanging="720"/>
        <w:rPr>
          <w:b/>
          <w:i/>
        </w:rPr>
      </w:pPr>
    </w:p>
    <w:p w:rsidR="009F0307" w:rsidRPr="00AA6893" w:rsidRDefault="009F0307" w:rsidP="00561C55">
      <w:pPr>
        <w:pStyle w:val="ListParagraph"/>
        <w:widowControl/>
        <w:numPr>
          <w:ilvl w:val="1"/>
          <w:numId w:val="3"/>
        </w:numPr>
      </w:pPr>
      <w:r w:rsidRPr="00AA6893">
        <w:t xml:space="preserve">This submission </w:t>
      </w:r>
      <w:r w:rsidR="00146059">
        <w:t>was not</w:t>
      </w:r>
      <w:r w:rsidRPr="00AA6893">
        <w:t xml:space="preserve"> considered by DUSC.</w:t>
      </w:r>
    </w:p>
    <w:p w:rsidR="009F0307" w:rsidRPr="00AA6893" w:rsidRDefault="009F0307" w:rsidP="00561C55">
      <w:pPr>
        <w:pStyle w:val="ListParagraph"/>
        <w:widowControl/>
        <w:numPr>
          <w:ilvl w:val="1"/>
          <w:numId w:val="3"/>
        </w:numPr>
      </w:pPr>
      <w:r w:rsidRPr="00AA6893">
        <w:t>The submission used an epidemiological approach to estimate the financial impact of listing talazoparib on the PBS and expansion of an MBS Item for gBRCA</w:t>
      </w:r>
      <w:r w:rsidR="00D40E9F" w:rsidRPr="00AA6893">
        <w:t xml:space="preserve"> </w:t>
      </w:r>
      <w:r w:rsidRPr="00AA6893">
        <w:t>m</w:t>
      </w:r>
      <w:r w:rsidR="00D40E9F" w:rsidRPr="00AA6893">
        <w:t>utation</w:t>
      </w:r>
      <w:r w:rsidRPr="00AA6893">
        <w:t xml:space="preserve"> testing for eligibility to talazoparib. </w:t>
      </w:r>
    </w:p>
    <w:p w:rsidR="009F0307" w:rsidRPr="00AA6893" w:rsidRDefault="009F0307" w:rsidP="00561C55">
      <w:pPr>
        <w:pStyle w:val="ListParagraph"/>
        <w:widowControl/>
        <w:numPr>
          <w:ilvl w:val="1"/>
          <w:numId w:val="3"/>
        </w:numPr>
      </w:pPr>
      <w:r w:rsidRPr="00AA6893">
        <w:t>The approach used to estimate the number of patients with HR+ HER2- breast cancer and TNBC appeared reasonable</w:t>
      </w:r>
      <w:r w:rsidR="00D5581F">
        <w:t>,</w:t>
      </w:r>
      <w:r w:rsidRPr="00AA6893">
        <w:t xml:space="preserve"> and was</w:t>
      </w:r>
      <w:r w:rsidR="00682952" w:rsidRPr="00AA6893">
        <w:t xml:space="preserve"> broadly</w:t>
      </w:r>
      <w:r w:rsidRPr="00AA6893">
        <w:t xml:space="preserve"> consistent with</w:t>
      </w:r>
      <w:r w:rsidR="00F45F98" w:rsidRPr="00AA6893">
        <w:t xml:space="preserve"> </w:t>
      </w:r>
      <w:r w:rsidR="00682952" w:rsidRPr="00AA6893">
        <w:t>that</w:t>
      </w:r>
      <w:r w:rsidRPr="00AA6893">
        <w:t xml:space="preserve"> previous</w:t>
      </w:r>
      <w:r w:rsidR="00F45F98" w:rsidRPr="00AA6893">
        <w:t>ly</w:t>
      </w:r>
      <w:r w:rsidR="00682952" w:rsidRPr="00AA6893">
        <w:t xml:space="preserve"> accepted by the</w:t>
      </w:r>
      <w:r w:rsidRPr="00AA6893">
        <w:t xml:space="preserve"> PBAC and </w:t>
      </w:r>
      <w:r w:rsidR="004C6AF9" w:rsidRPr="00AA6893">
        <w:t>DUSC for</w:t>
      </w:r>
      <w:r w:rsidR="00682952" w:rsidRPr="00AA6893">
        <w:t xml:space="preserve"> </w:t>
      </w:r>
      <w:r w:rsidR="00E73F83" w:rsidRPr="00AA6893">
        <w:t xml:space="preserve">the </w:t>
      </w:r>
      <w:r w:rsidR="00731818" w:rsidRPr="00AA6893">
        <w:t>March 2017</w:t>
      </w:r>
      <w:r w:rsidR="00E73F83" w:rsidRPr="00AA6893">
        <w:t xml:space="preserve"> </w:t>
      </w:r>
      <w:r w:rsidR="00682952" w:rsidRPr="00AA6893">
        <w:t>palbociclib</w:t>
      </w:r>
      <w:r w:rsidR="00E73F83" w:rsidRPr="00AA6893">
        <w:t xml:space="preserve"> submission</w:t>
      </w:r>
      <w:r w:rsidRPr="00AA6893">
        <w:t xml:space="preserve">. However, the submission </w:t>
      </w:r>
      <w:r w:rsidR="0016225E" w:rsidRPr="00AA6893">
        <w:t xml:space="preserve">inappropriately </w:t>
      </w:r>
      <w:r w:rsidRPr="00AA6893">
        <w:t>excluded approximately 5.9%</w:t>
      </w:r>
      <w:r w:rsidR="0016225E" w:rsidRPr="00AA6893">
        <w:t xml:space="preserve"> of patients</w:t>
      </w:r>
      <w:r w:rsidRPr="00AA6893">
        <w:t xml:space="preserve"> from the calculation</w:t>
      </w:r>
      <w:r w:rsidR="0016225E" w:rsidRPr="00AA6893">
        <w:t xml:space="preserve"> of the </w:t>
      </w:r>
      <w:r w:rsidR="00731818" w:rsidRPr="00AA6893">
        <w:t xml:space="preserve">number of </w:t>
      </w:r>
      <w:r w:rsidR="0016225E" w:rsidRPr="00AA6893">
        <w:t>breast cancer cases</w:t>
      </w:r>
      <w:r w:rsidRPr="00AA6893">
        <w:t xml:space="preserve">, </w:t>
      </w:r>
      <w:r w:rsidR="00933589" w:rsidRPr="00AA6893">
        <w:t xml:space="preserve">primarily </w:t>
      </w:r>
      <w:r w:rsidRPr="00AA6893">
        <w:t>due to their unknown disease stage at diagnosis based on AIHW 2018 Cancer Data in Australia</w:t>
      </w:r>
      <w:r w:rsidR="00BF1A6C" w:rsidRPr="00AA6893">
        <w:t xml:space="preserve"> (5.5%). The remaining 0.4% (5.9% - 5.5% = 0.4%) of breast cancer patients that were excluded from the submission’s estimates</w:t>
      </w:r>
      <w:r w:rsidR="00AD3E0E" w:rsidRPr="00AA6893">
        <w:t xml:space="preserve"> was </w:t>
      </w:r>
      <w:r w:rsidR="00BF1A6C" w:rsidRPr="00AA6893">
        <w:t>likely due to a typographical error relating to the proportion of patients with Stage I-II disease at diagnosis</w:t>
      </w:r>
      <w:r w:rsidRPr="00AA6893">
        <w:t>.</w:t>
      </w:r>
    </w:p>
    <w:p w:rsidR="009F0307" w:rsidRPr="00AA6893" w:rsidRDefault="009F0307" w:rsidP="00561C55">
      <w:pPr>
        <w:pStyle w:val="ListParagraph"/>
        <w:widowControl/>
        <w:numPr>
          <w:ilvl w:val="1"/>
          <w:numId w:val="3"/>
        </w:numPr>
      </w:pPr>
      <w:r w:rsidRPr="00AA6893">
        <w:t>The prevalence of gBRCA mutations in the HR+ HER2- and TNBC subpopulations were highly uncertain, given that the reported prevalence in these populations varied greatly in the literature.</w:t>
      </w:r>
      <w:r w:rsidRPr="00AA6893" w:rsidDel="00A47F6C">
        <w:t xml:space="preserve"> </w:t>
      </w:r>
    </w:p>
    <w:p w:rsidR="009F0307" w:rsidRPr="00AA6893" w:rsidRDefault="004B0CD5" w:rsidP="00561C55">
      <w:pPr>
        <w:pStyle w:val="ListParagraph"/>
        <w:widowControl/>
        <w:numPr>
          <w:ilvl w:val="1"/>
          <w:numId w:val="3"/>
        </w:numPr>
      </w:pPr>
      <w:r w:rsidRPr="00AA6893">
        <w:t>It is likely that the submission has underestimated the cost per patient per course of talazoparib, and overestimated the cost offsets associated with the treatment of comparator regimens</w:t>
      </w:r>
      <w:r w:rsidR="00D5581F">
        <w:t>,</w:t>
      </w:r>
      <w:r w:rsidRPr="00AA6893">
        <w:t xml:space="preserve"> due to the following:</w:t>
      </w:r>
    </w:p>
    <w:p w:rsidR="009F0307" w:rsidRPr="00AA6893" w:rsidRDefault="009F0307" w:rsidP="00561C55">
      <w:pPr>
        <w:pStyle w:val="Bulletpoints"/>
        <w:widowControl/>
        <w:ind w:left="1134" w:hanging="425"/>
      </w:pPr>
      <w:r w:rsidRPr="00AA6893">
        <w:t xml:space="preserve">For talazoparib: The average duration of therapy was assumed to be equal to the observed </w:t>
      </w:r>
      <w:r w:rsidRPr="00AA6893">
        <w:rPr>
          <w:u w:val="single"/>
        </w:rPr>
        <w:t>median PFS</w:t>
      </w:r>
      <w:r w:rsidRPr="00AA6893">
        <w:t xml:space="preserve"> in the EMBRACA trial (8.6 months). This is inappropriate</w:t>
      </w:r>
      <w:r w:rsidR="00E91E39" w:rsidRPr="00AA6893">
        <w:t xml:space="preserve"> and it is unclear why the submission used this estimate, when the ToT curve for EMBRACA was available and was used in the economic model</w:t>
      </w:r>
      <w:r w:rsidRPr="00AA6893">
        <w:t>. The submission assumed a relative dose intensity of 91.7%</w:t>
      </w:r>
      <w:r w:rsidR="00724399" w:rsidRPr="00AA6893">
        <w:t xml:space="preserve"> to calculate the cost of talazoparib</w:t>
      </w:r>
      <w:r w:rsidRPr="00AA6893">
        <w:t xml:space="preserve">. As noted in </w:t>
      </w:r>
      <w:r w:rsidR="00967BBA" w:rsidRPr="00AA6893">
        <w:t>the economic section above</w:t>
      </w:r>
      <w:r w:rsidRPr="00AA6893">
        <w:t>, the application of the RDI to the price for the 1</w:t>
      </w:r>
      <w:r w:rsidR="001938A2">
        <w:t xml:space="preserve"> </w:t>
      </w:r>
      <w:r w:rsidRPr="00AA6893">
        <w:t>mg capsule strength will underestimate the cost per cycle of talazoparib, given the flat pricing structure for the 1</w:t>
      </w:r>
      <w:r w:rsidR="001938A2">
        <w:t xml:space="preserve"> </w:t>
      </w:r>
      <w:r w:rsidRPr="00AA6893">
        <w:t>mg 30 capsule pack and 0.25</w:t>
      </w:r>
      <w:r w:rsidR="001938A2">
        <w:t xml:space="preserve"> </w:t>
      </w:r>
      <w:r w:rsidRPr="00AA6893">
        <w:t>mg 90 capsule pack. Furthermore, the submission did not allow for wastage</w:t>
      </w:r>
      <w:r w:rsidR="000F532F" w:rsidRPr="00AA6893">
        <w:rPr>
          <w:iCs/>
        </w:rPr>
        <w:t xml:space="preserve"> associated with the unused portion of packs upon treatment cessation</w:t>
      </w:r>
      <w:r w:rsidRPr="00AA6893">
        <w:t>.</w:t>
      </w:r>
      <w:r w:rsidR="002531A3">
        <w:rPr>
          <w:i/>
        </w:rPr>
        <w:t xml:space="preserve"> </w:t>
      </w:r>
    </w:p>
    <w:p w:rsidR="009F0307" w:rsidRPr="00AA6893" w:rsidRDefault="009F0307" w:rsidP="00561C55">
      <w:pPr>
        <w:pStyle w:val="Bulletpoints"/>
        <w:widowControl/>
        <w:ind w:left="1134" w:hanging="425"/>
      </w:pPr>
      <w:r w:rsidRPr="00AA6893">
        <w:t>For comparator regimens: the average duration of therapy was assumed to be equal to the observed median PFS in the EMBRACA trial (5.6 months).</w:t>
      </w:r>
      <w:r w:rsidR="0021344D" w:rsidRPr="00AA6893">
        <w:t xml:space="preserve"> Again, it would have been more appropriate to use the observed mean for the purposes of estimating total use.</w:t>
      </w:r>
      <w:r w:rsidRPr="00AA6893">
        <w:t xml:space="preserve"> Although these regimens are available for use until progression, many</w:t>
      </w:r>
      <w:r w:rsidR="006039A0" w:rsidRPr="00AA6893">
        <w:t xml:space="preserve"> patients</w:t>
      </w:r>
      <w:r w:rsidRPr="00AA6893">
        <w:t xml:space="preserve"> w</w:t>
      </w:r>
      <w:r w:rsidR="006039A0" w:rsidRPr="00AA6893">
        <w:t>ould</w:t>
      </w:r>
      <w:r w:rsidRPr="00AA6893">
        <w:t xml:space="preserve"> discontinue treatment due to notable adverse events associated with chemotherapy. Also, the submission assumed 100% relative dose intensity for all comparator regimens. This approach is inconsistent with the trial evidence that showed a</w:t>
      </w:r>
      <w:r w:rsidR="006039A0" w:rsidRPr="00AA6893">
        <w:t>n</w:t>
      </w:r>
      <w:r w:rsidRPr="00AA6893">
        <w:t xml:space="preserve"> RDI between 68.5% for vinorelbine and </w:t>
      </w:r>
      <w:r w:rsidRPr="00AA6893">
        <w:lastRenderedPageBreak/>
        <w:t>90.5% for eribulin. This approach was also inconsistent with that used to cost talazoparib.</w:t>
      </w:r>
    </w:p>
    <w:p w:rsidR="009F0307" w:rsidRPr="00AA6893" w:rsidRDefault="009F0307" w:rsidP="00561C55">
      <w:pPr>
        <w:pStyle w:val="Bulletpoints"/>
        <w:widowControl/>
        <w:numPr>
          <w:ilvl w:val="0"/>
          <w:numId w:val="0"/>
        </w:numPr>
      </w:pPr>
    </w:p>
    <w:p w:rsidR="009F0307" w:rsidRPr="002E075F" w:rsidRDefault="003373D5" w:rsidP="00561C55">
      <w:pPr>
        <w:pStyle w:val="ListParagraph"/>
        <w:widowControl/>
        <w:numPr>
          <w:ilvl w:val="1"/>
          <w:numId w:val="3"/>
        </w:numPr>
      </w:pPr>
      <w:r w:rsidRPr="002E075F">
        <w:t>Similar to the economic model</w:t>
      </w:r>
      <w:r w:rsidR="00D23248" w:rsidRPr="002E075F">
        <w:t xml:space="preserve">, the </w:t>
      </w:r>
      <w:r w:rsidR="009F0307" w:rsidRPr="002E075F">
        <w:t xml:space="preserve">submission only included the cost of gBRCA mutation testing for those patients who test positive. This is inappropriate and underestimates the cost associated with gBRCA testing. It is likely that the prevalence of gBRCA mutations in those patients who are not currently covered by MBS Items 72396 and 73297 </w:t>
      </w:r>
      <w:r w:rsidR="000B796F" w:rsidRPr="002E075F">
        <w:t>(</w:t>
      </w:r>
      <w:r w:rsidRPr="002E075F">
        <w:t>i.e.</w:t>
      </w:r>
      <w:r w:rsidR="000B796F" w:rsidRPr="002E075F">
        <w:t xml:space="preserve"> currently untested) </w:t>
      </w:r>
      <w:r w:rsidR="009F0307" w:rsidRPr="002E075F">
        <w:t>is lower than estimated in the general HR+, HER2- breast cancer population.</w:t>
      </w:r>
      <w:r w:rsidR="0029712B">
        <w:t xml:space="preserve"> The PSCR </w:t>
      </w:r>
      <w:r w:rsidR="00CB502A" w:rsidRPr="002E075F">
        <w:t>argued that the cost to the MBS for gBRCA</w:t>
      </w:r>
      <w:r w:rsidR="004E7431">
        <w:t xml:space="preserve"> mutation</w:t>
      </w:r>
      <w:r w:rsidR="00CB502A" w:rsidRPr="002E075F">
        <w:t xml:space="preserve"> testing was conservatively estimated by including the cost of the test incurred by the total additional eligible advanced gBRCAm HER2- breast cancer population which was estimated to</w:t>
      </w:r>
      <w:r w:rsidR="0031554E" w:rsidRPr="002E075F">
        <w:t xml:space="preserve"> be 15% in year 1 increasing to 30% in year 6</w:t>
      </w:r>
      <w:r w:rsidR="00CB502A" w:rsidRPr="002E075F">
        <w:t xml:space="preserve">. The PSCR noted that this uptake is in addition to the estimated 50% of the proposed population </w:t>
      </w:r>
      <w:r w:rsidR="002C0D6B">
        <w:t>who</w:t>
      </w:r>
      <w:r w:rsidR="002C0D6B" w:rsidRPr="002E075F">
        <w:t xml:space="preserve"> </w:t>
      </w:r>
      <w:r w:rsidR="00CB502A" w:rsidRPr="002E075F">
        <w:t>already have undertaking a gBRCA</w:t>
      </w:r>
      <w:r w:rsidR="004E7431">
        <w:t xml:space="preserve"> mutation </w:t>
      </w:r>
      <w:r w:rsidR="00CB502A" w:rsidRPr="002E075F">
        <w:t xml:space="preserve">test. </w:t>
      </w:r>
      <w:r w:rsidR="0031554E" w:rsidRPr="002E075F">
        <w:t>The ESC noted that for the first year of listing, the submission only included the costs of gBRCA</w:t>
      </w:r>
      <w:r w:rsidR="004E7431">
        <w:t xml:space="preserve"> mutation</w:t>
      </w:r>
      <w:r w:rsidR="0031554E" w:rsidRPr="002E075F">
        <w:t xml:space="preserve"> testing for </w:t>
      </w:r>
      <w:r w:rsidR="00EB7243">
        <w:rPr>
          <w:noProof/>
          <w:color w:val="000000"/>
          <w:highlight w:val="black"/>
        </w:rPr>
        <w:t>''''' ''''' '''''' '''''''</w:t>
      </w:r>
      <w:r w:rsidR="0031554E" w:rsidRPr="002E075F">
        <w:t xml:space="preserve"> patients who were expected to undertake testing and test positive. As not all patients tested would be expected to be positive, the ESC considered that the submission did not incorporate the testings costs for the total number of patients </w:t>
      </w:r>
      <w:r w:rsidR="00211758" w:rsidRPr="002E075F">
        <w:t>who would</w:t>
      </w:r>
      <w:r w:rsidR="0031554E" w:rsidRPr="002E075F">
        <w:t xml:space="preserve"> undertake gBRCA</w:t>
      </w:r>
      <w:r w:rsidR="004E7431">
        <w:t xml:space="preserve"> mutation</w:t>
      </w:r>
      <w:r w:rsidR="0031554E" w:rsidRPr="002E075F">
        <w:t xml:space="preserve"> </w:t>
      </w:r>
      <w:r w:rsidR="00211758" w:rsidRPr="002E075F">
        <w:t>testing to</w:t>
      </w:r>
      <w:r w:rsidR="0031554E" w:rsidRPr="002E075F">
        <w:t xml:space="preserve"> determine eligibility with talazoparib. </w:t>
      </w:r>
    </w:p>
    <w:p w:rsidR="007D4545" w:rsidRPr="00AA6893" w:rsidRDefault="007D4545" w:rsidP="00561C55">
      <w:pPr>
        <w:pStyle w:val="ListParagraph"/>
        <w:widowControl/>
        <w:numPr>
          <w:ilvl w:val="1"/>
          <w:numId w:val="3"/>
        </w:numPr>
      </w:pPr>
      <w:r w:rsidRPr="00AA6893">
        <w:t xml:space="preserve">The submission assumed an uptake rate of talazoparib of 65% in year 1, increasing to 80% in years 4-6. </w:t>
      </w:r>
    </w:p>
    <w:p w:rsidR="004A3F29" w:rsidRPr="00AA6893" w:rsidRDefault="009F0307" w:rsidP="00561C55">
      <w:pPr>
        <w:pStyle w:val="ListParagraph"/>
        <w:widowControl/>
        <w:numPr>
          <w:ilvl w:val="1"/>
          <w:numId w:val="3"/>
        </w:numPr>
      </w:pPr>
      <w:r w:rsidRPr="00AA6893">
        <w:t>The estimated financial implications of listin</w:t>
      </w:r>
      <w:r w:rsidR="00564DC2">
        <w:t>g talazoparib are summarised in T</w:t>
      </w:r>
      <w:r w:rsidRPr="00AA6893">
        <w:t>able</w:t>
      </w:r>
      <w:r w:rsidR="00564DC2">
        <w:t xml:space="preserve"> 12</w:t>
      </w:r>
      <w:r w:rsidRPr="00AA6893">
        <w:t>.</w:t>
      </w:r>
    </w:p>
    <w:p w:rsidR="009F0307" w:rsidRPr="007761F6" w:rsidRDefault="009F0307" w:rsidP="00561C55">
      <w:pPr>
        <w:pStyle w:val="Caption"/>
        <w:widowControl/>
        <w:rPr>
          <w:b w:val="0"/>
        </w:rPr>
      </w:pPr>
      <w:r w:rsidRPr="007761F6">
        <w:t xml:space="preserve">Table </w:t>
      </w:r>
      <w:r w:rsidR="00112C13">
        <w:rPr>
          <w:noProof/>
        </w:rPr>
        <w:t>12</w:t>
      </w:r>
      <w:r w:rsidRPr="007761F6">
        <w:t>:</w:t>
      </w:r>
      <w:r w:rsidRPr="007761F6">
        <w:rPr>
          <w:b w:val="0"/>
        </w:rPr>
        <w:t xml:space="preserve"> </w:t>
      </w:r>
      <w:r w:rsidRPr="007761F6">
        <w:rPr>
          <w:rStyle w:val="CommentReference"/>
          <w:b/>
        </w:rPr>
        <w:t>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72"/>
        <w:gridCol w:w="992"/>
        <w:gridCol w:w="994"/>
        <w:gridCol w:w="992"/>
        <w:gridCol w:w="992"/>
        <w:gridCol w:w="992"/>
        <w:gridCol w:w="1005"/>
      </w:tblGrid>
      <w:tr w:rsidR="009F0307" w:rsidRPr="00CF568A" w:rsidTr="00564DC2">
        <w:trPr>
          <w:tblHeader/>
        </w:trPr>
        <w:tc>
          <w:tcPr>
            <w:tcW w:w="1662" w:type="pct"/>
            <w:shd w:val="clear" w:color="auto" w:fill="auto"/>
            <w:vAlign w:val="center"/>
          </w:tcPr>
          <w:p w:rsidR="009F0307" w:rsidRPr="00CF568A" w:rsidRDefault="009F0307" w:rsidP="00561C55">
            <w:pPr>
              <w:pStyle w:val="Tabletext"/>
              <w:rPr>
                <w:szCs w:val="20"/>
              </w:rPr>
            </w:pPr>
          </w:p>
        </w:tc>
        <w:tc>
          <w:tcPr>
            <w:tcW w:w="555" w:type="pct"/>
            <w:shd w:val="clear" w:color="auto" w:fill="auto"/>
            <w:vAlign w:val="center"/>
          </w:tcPr>
          <w:p w:rsidR="009F0307" w:rsidRPr="00CF568A" w:rsidRDefault="009F0307" w:rsidP="00561C55">
            <w:pPr>
              <w:pStyle w:val="Tabletext"/>
              <w:jc w:val="center"/>
              <w:rPr>
                <w:b/>
                <w:szCs w:val="20"/>
              </w:rPr>
            </w:pPr>
            <w:r w:rsidRPr="00CF568A">
              <w:rPr>
                <w:b/>
                <w:szCs w:val="20"/>
              </w:rPr>
              <w:t>Year 1</w:t>
            </w:r>
          </w:p>
        </w:tc>
        <w:tc>
          <w:tcPr>
            <w:tcW w:w="556" w:type="pct"/>
            <w:shd w:val="clear" w:color="auto" w:fill="auto"/>
            <w:vAlign w:val="center"/>
          </w:tcPr>
          <w:p w:rsidR="009F0307" w:rsidRPr="00CF568A" w:rsidRDefault="009F0307" w:rsidP="00561C55">
            <w:pPr>
              <w:pStyle w:val="Tabletext"/>
              <w:jc w:val="center"/>
              <w:rPr>
                <w:b/>
                <w:szCs w:val="20"/>
              </w:rPr>
            </w:pPr>
            <w:r w:rsidRPr="00CF568A">
              <w:rPr>
                <w:b/>
                <w:szCs w:val="20"/>
              </w:rPr>
              <w:t>Year 2</w:t>
            </w:r>
          </w:p>
        </w:tc>
        <w:tc>
          <w:tcPr>
            <w:tcW w:w="555" w:type="pct"/>
            <w:shd w:val="clear" w:color="auto" w:fill="auto"/>
            <w:vAlign w:val="center"/>
          </w:tcPr>
          <w:p w:rsidR="009F0307" w:rsidRPr="00CF568A" w:rsidRDefault="009F0307" w:rsidP="00561C55">
            <w:pPr>
              <w:pStyle w:val="Tabletext"/>
              <w:jc w:val="center"/>
              <w:rPr>
                <w:b/>
                <w:szCs w:val="20"/>
              </w:rPr>
            </w:pPr>
            <w:r w:rsidRPr="00CF568A">
              <w:rPr>
                <w:b/>
                <w:szCs w:val="20"/>
              </w:rPr>
              <w:t>Year 3</w:t>
            </w:r>
          </w:p>
        </w:tc>
        <w:tc>
          <w:tcPr>
            <w:tcW w:w="555" w:type="pct"/>
            <w:shd w:val="clear" w:color="auto" w:fill="auto"/>
            <w:vAlign w:val="center"/>
          </w:tcPr>
          <w:p w:rsidR="009F0307" w:rsidRPr="00CF568A" w:rsidRDefault="009F0307" w:rsidP="00561C55">
            <w:pPr>
              <w:pStyle w:val="Tabletext"/>
              <w:jc w:val="center"/>
              <w:rPr>
                <w:b/>
                <w:szCs w:val="20"/>
              </w:rPr>
            </w:pPr>
            <w:r w:rsidRPr="00CF568A">
              <w:rPr>
                <w:b/>
                <w:szCs w:val="20"/>
              </w:rPr>
              <w:t>Year 4</w:t>
            </w:r>
          </w:p>
        </w:tc>
        <w:tc>
          <w:tcPr>
            <w:tcW w:w="555" w:type="pct"/>
            <w:shd w:val="clear" w:color="auto" w:fill="auto"/>
            <w:vAlign w:val="center"/>
          </w:tcPr>
          <w:p w:rsidR="009F0307" w:rsidRPr="00CF568A" w:rsidRDefault="009F0307" w:rsidP="00561C55">
            <w:pPr>
              <w:pStyle w:val="Tabletext"/>
              <w:jc w:val="center"/>
              <w:rPr>
                <w:b/>
                <w:szCs w:val="20"/>
              </w:rPr>
            </w:pPr>
            <w:r w:rsidRPr="00CF568A">
              <w:rPr>
                <w:b/>
                <w:szCs w:val="20"/>
              </w:rPr>
              <w:t>Year 5</w:t>
            </w:r>
          </w:p>
        </w:tc>
        <w:tc>
          <w:tcPr>
            <w:tcW w:w="562" w:type="pct"/>
          </w:tcPr>
          <w:p w:rsidR="009F0307" w:rsidRPr="00CF568A" w:rsidRDefault="009F0307" w:rsidP="00561C55">
            <w:pPr>
              <w:pStyle w:val="Tabletext"/>
              <w:jc w:val="center"/>
              <w:rPr>
                <w:b/>
                <w:szCs w:val="20"/>
              </w:rPr>
            </w:pPr>
            <w:r w:rsidRPr="00CF568A">
              <w:rPr>
                <w:b/>
                <w:szCs w:val="20"/>
              </w:rPr>
              <w:t>Year 6</w:t>
            </w:r>
          </w:p>
        </w:tc>
      </w:tr>
      <w:tr w:rsidR="009F0307" w:rsidRPr="00CF568A" w:rsidTr="009F0307">
        <w:tc>
          <w:tcPr>
            <w:tcW w:w="5000" w:type="pct"/>
            <w:gridSpan w:val="7"/>
            <w:shd w:val="clear" w:color="auto" w:fill="auto"/>
            <w:vAlign w:val="center"/>
          </w:tcPr>
          <w:p w:rsidR="009F0307" w:rsidRPr="00CF568A" w:rsidRDefault="009F0307" w:rsidP="00561C55">
            <w:pPr>
              <w:pStyle w:val="Tabletext"/>
              <w:rPr>
                <w:b/>
                <w:bCs/>
                <w:color w:val="000000"/>
                <w:szCs w:val="20"/>
              </w:rPr>
            </w:pPr>
            <w:r w:rsidRPr="00CF568A">
              <w:rPr>
                <w:b/>
                <w:bCs/>
                <w:color w:val="000000"/>
                <w:szCs w:val="20"/>
              </w:rPr>
              <w:t>Estimated extent of use</w:t>
            </w:r>
          </w:p>
        </w:tc>
      </w:tr>
      <w:tr w:rsidR="009F0307" w:rsidRPr="00CF568A" w:rsidTr="004C0A6D">
        <w:trPr>
          <w:trHeight w:val="125"/>
        </w:trPr>
        <w:tc>
          <w:tcPr>
            <w:tcW w:w="1662" w:type="pct"/>
            <w:shd w:val="clear" w:color="auto" w:fill="auto"/>
            <w:vAlign w:val="center"/>
          </w:tcPr>
          <w:p w:rsidR="009F0307" w:rsidRPr="00CF568A" w:rsidRDefault="009F0307" w:rsidP="00561C55">
            <w:pPr>
              <w:pStyle w:val="Tabletext"/>
              <w:rPr>
                <w:szCs w:val="20"/>
              </w:rPr>
            </w:pPr>
            <w:r w:rsidRPr="00CF568A">
              <w:rPr>
                <w:szCs w:val="20"/>
              </w:rPr>
              <w:t>Number of patients treated</w:t>
            </w:r>
          </w:p>
        </w:tc>
        <w:tc>
          <w:tcPr>
            <w:tcW w:w="555" w:type="pct"/>
            <w:shd w:val="clear" w:color="auto" w:fill="auto"/>
          </w:tcPr>
          <w:p w:rsidR="009F0307" w:rsidRPr="00EB7243" w:rsidRDefault="00EB7243" w:rsidP="00561C55">
            <w:pPr>
              <w:pStyle w:val="Tabletext"/>
              <w:jc w:val="center"/>
              <w:rPr>
                <w:bCs/>
                <w:color w:val="000000"/>
                <w:szCs w:val="20"/>
                <w:highlight w:val="black"/>
              </w:rPr>
            </w:pPr>
            <w:r>
              <w:rPr>
                <w:noProof/>
                <w:color w:val="000000"/>
                <w:szCs w:val="20"/>
                <w:highlight w:val="black"/>
                <w:lang w:eastAsia="en-AU"/>
              </w:rPr>
              <w:t>''''''''''''</w:t>
            </w:r>
          </w:p>
        </w:tc>
        <w:tc>
          <w:tcPr>
            <w:tcW w:w="556" w:type="pct"/>
            <w:shd w:val="clear" w:color="auto" w:fill="auto"/>
          </w:tcPr>
          <w:p w:rsidR="009F0307" w:rsidRPr="00EB7243" w:rsidRDefault="00EB7243" w:rsidP="00561C55">
            <w:pPr>
              <w:pStyle w:val="Tabletext"/>
              <w:jc w:val="center"/>
              <w:rPr>
                <w:bCs/>
                <w:color w:val="000000"/>
                <w:szCs w:val="20"/>
                <w:highlight w:val="black"/>
              </w:rPr>
            </w:pPr>
            <w:r>
              <w:rPr>
                <w:noProof/>
                <w:color w:val="000000"/>
                <w:szCs w:val="20"/>
                <w:highlight w:val="black"/>
                <w:lang w:eastAsia="en-AU"/>
              </w:rPr>
              <w:t>''''''''''</w:t>
            </w:r>
          </w:p>
        </w:tc>
        <w:tc>
          <w:tcPr>
            <w:tcW w:w="555" w:type="pct"/>
            <w:shd w:val="clear" w:color="auto" w:fill="auto"/>
          </w:tcPr>
          <w:p w:rsidR="009F0307" w:rsidRPr="00EB7243" w:rsidRDefault="00EB7243" w:rsidP="00561C55">
            <w:pPr>
              <w:pStyle w:val="Tabletext"/>
              <w:jc w:val="center"/>
              <w:rPr>
                <w:bCs/>
                <w:color w:val="000000"/>
                <w:szCs w:val="20"/>
                <w:highlight w:val="black"/>
              </w:rPr>
            </w:pPr>
            <w:r>
              <w:rPr>
                <w:noProof/>
                <w:color w:val="000000"/>
                <w:szCs w:val="20"/>
                <w:highlight w:val="black"/>
                <w:lang w:eastAsia="en-AU"/>
              </w:rPr>
              <w:t>''''''''</w:t>
            </w:r>
          </w:p>
        </w:tc>
        <w:tc>
          <w:tcPr>
            <w:tcW w:w="555" w:type="pct"/>
            <w:shd w:val="clear" w:color="auto" w:fill="auto"/>
          </w:tcPr>
          <w:p w:rsidR="009F0307" w:rsidRPr="00EB7243" w:rsidRDefault="00EB7243" w:rsidP="00561C55">
            <w:pPr>
              <w:pStyle w:val="Tabletext"/>
              <w:jc w:val="center"/>
              <w:rPr>
                <w:bCs/>
                <w:color w:val="000000"/>
                <w:szCs w:val="20"/>
                <w:highlight w:val="black"/>
              </w:rPr>
            </w:pPr>
            <w:r>
              <w:rPr>
                <w:noProof/>
                <w:color w:val="000000"/>
                <w:szCs w:val="20"/>
                <w:highlight w:val="black"/>
                <w:lang w:eastAsia="en-AU"/>
              </w:rPr>
              <w:t>''''''''''</w:t>
            </w:r>
          </w:p>
        </w:tc>
        <w:tc>
          <w:tcPr>
            <w:tcW w:w="555" w:type="pct"/>
            <w:shd w:val="clear" w:color="auto" w:fill="auto"/>
          </w:tcPr>
          <w:p w:rsidR="009F0307" w:rsidRPr="00EB7243" w:rsidRDefault="00EB7243" w:rsidP="00561C55">
            <w:pPr>
              <w:pStyle w:val="Tabletext"/>
              <w:jc w:val="center"/>
              <w:rPr>
                <w:bCs/>
                <w:color w:val="000000"/>
                <w:szCs w:val="20"/>
                <w:highlight w:val="black"/>
              </w:rPr>
            </w:pPr>
            <w:r>
              <w:rPr>
                <w:noProof/>
                <w:color w:val="000000"/>
                <w:szCs w:val="20"/>
                <w:highlight w:val="black"/>
                <w:lang w:eastAsia="en-AU"/>
              </w:rPr>
              <w:t>''''''''''</w:t>
            </w:r>
          </w:p>
        </w:tc>
        <w:tc>
          <w:tcPr>
            <w:tcW w:w="562" w:type="pct"/>
          </w:tcPr>
          <w:p w:rsidR="009F0307" w:rsidRPr="00EB7243" w:rsidRDefault="00EB7243" w:rsidP="00561C55">
            <w:pPr>
              <w:pStyle w:val="Tabletext"/>
              <w:jc w:val="center"/>
              <w:rPr>
                <w:bCs/>
                <w:color w:val="000000"/>
                <w:szCs w:val="20"/>
                <w:highlight w:val="black"/>
              </w:rPr>
            </w:pPr>
            <w:r>
              <w:rPr>
                <w:noProof/>
                <w:color w:val="000000"/>
                <w:szCs w:val="20"/>
                <w:highlight w:val="black"/>
                <w:lang w:eastAsia="en-AU"/>
              </w:rPr>
              <w:t>'''''''''</w:t>
            </w:r>
          </w:p>
        </w:tc>
      </w:tr>
      <w:tr w:rsidR="009F0307" w:rsidRPr="00CF568A" w:rsidTr="00564DC2">
        <w:tc>
          <w:tcPr>
            <w:tcW w:w="1662" w:type="pct"/>
            <w:shd w:val="clear" w:color="auto" w:fill="auto"/>
            <w:vAlign w:val="center"/>
          </w:tcPr>
          <w:p w:rsidR="009F0307" w:rsidRPr="00CF568A" w:rsidRDefault="009F0307" w:rsidP="00561C55">
            <w:pPr>
              <w:pStyle w:val="Tabletext"/>
              <w:rPr>
                <w:szCs w:val="20"/>
              </w:rPr>
            </w:pPr>
            <w:r w:rsidRPr="00CF568A">
              <w:rPr>
                <w:szCs w:val="20"/>
              </w:rPr>
              <w:t>Number of scripts dispensed</w:t>
            </w:r>
            <w:r w:rsidRPr="00CF568A">
              <w:rPr>
                <w:szCs w:val="20"/>
                <w:vertAlign w:val="superscript"/>
              </w:rPr>
              <w:t>a</w:t>
            </w:r>
          </w:p>
        </w:tc>
        <w:tc>
          <w:tcPr>
            <w:tcW w:w="555" w:type="pct"/>
            <w:shd w:val="clear" w:color="auto" w:fill="auto"/>
            <w:vAlign w:val="center"/>
          </w:tcPr>
          <w:p w:rsidR="009F0307" w:rsidRPr="00EB7243" w:rsidRDefault="00EB7243" w:rsidP="00561C55">
            <w:pPr>
              <w:pStyle w:val="Tabletext"/>
              <w:jc w:val="center"/>
              <w:rPr>
                <w:bCs/>
                <w:color w:val="000000"/>
                <w:szCs w:val="20"/>
                <w:highlight w:val="black"/>
              </w:rPr>
            </w:pPr>
            <w:r>
              <w:rPr>
                <w:noProof/>
                <w:color w:val="000000"/>
                <w:szCs w:val="20"/>
                <w:highlight w:val="black"/>
                <w:lang w:eastAsia="en-AU"/>
              </w:rPr>
              <w:t>''''''''''</w:t>
            </w:r>
          </w:p>
        </w:tc>
        <w:tc>
          <w:tcPr>
            <w:tcW w:w="556" w:type="pct"/>
            <w:shd w:val="clear" w:color="auto" w:fill="auto"/>
            <w:vAlign w:val="center"/>
          </w:tcPr>
          <w:p w:rsidR="009F0307" w:rsidRPr="00EB7243" w:rsidRDefault="00EB7243" w:rsidP="00561C55">
            <w:pPr>
              <w:pStyle w:val="Tabletext"/>
              <w:jc w:val="center"/>
              <w:rPr>
                <w:bCs/>
                <w:color w:val="000000"/>
                <w:szCs w:val="20"/>
                <w:highlight w:val="black"/>
              </w:rPr>
            </w:pPr>
            <w:r>
              <w:rPr>
                <w:noProof/>
                <w:color w:val="000000"/>
                <w:szCs w:val="20"/>
                <w:highlight w:val="black"/>
                <w:lang w:eastAsia="en-AU"/>
              </w:rPr>
              <w:t>'''''''''</w:t>
            </w:r>
          </w:p>
        </w:tc>
        <w:tc>
          <w:tcPr>
            <w:tcW w:w="555" w:type="pct"/>
            <w:shd w:val="clear" w:color="auto" w:fill="auto"/>
            <w:vAlign w:val="center"/>
          </w:tcPr>
          <w:p w:rsidR="009F0307" w:rsidRPr="00EB7243" w:rsidRDefault="00EB7243" w:rsidP="00561C55">
            <w:pPr>
              <w:pStyle w:val="Tabletext"/>
              <w:jc w:val="center"/>
              <w:rPr>
                <w:bCs/>
                <w:color w:val="000000"/>
                <w:szCs w:val="20"/>
                <w:highlight w:val="black"/>
              </w:rPr>
            </w:pPr>
            <w:r>
              <w:rPr>
                <w:noProof/>
                <w:color w:val="000000"/>
                <w:szCs w:val="20"/>
                <w:highlight w:val="black"/>
                <w:lang w:eastAsia="en-AU"/>
              </w:rPr>
              <w:t>'''''''''''''</w:t>
            </w:r>
          </w:p>
        </w:tc>
        <w:tc>
          <w:tcPr>
            <w:tcW w:w="555" w:type="pct"/>
            <w:shd w:val="clear" w:color="auto" w:fill="auto"/>
            <w:vAlign w:val="center"/>
          </w:tcPr>
          <w:p w:rsidR="009F0307" w:rsidRPr="00EB7243" w:rsidRDefault="00EB7243" w:rsidP="00561C55">
            <w:pPr>
              <w:pStyle w:val="Tabletext"/>
              <w:jc w:val="center"/>
              <w:rPr>
                <w:bCs/>
                <w:color w:val="000000"/>
                <w:szCs w:val="20"/>
                <w:highlight w:val="black"/>
              </w:rPr>
            </w:pPr>
            <w:r>
              <w:rPr>
                <w:noProof/>
                <w:color w:val="000000"/>
                <w:szCs w:val="20"/>
                <w:highlight w:val="black"/>
                <w:lang w:eastAsia="en-AU"/>
              </w:rPr>
              <w:t>'''''''''''''''</w:t>
            </w:r>
          </w:p>
        </w:tc>
        <w:tc>
          <w:tcPr>
            <w:tcW w:w="555" w:type="pct"/>
            <w:shd w:val="clear" w:color="auto" w:fill="auto"/>
            <w:vAlign w:val="center"/>
          </w:tcPr>
          <w:p w:rsidR="009F0307" w:rsidRPr="00EB7243" w:rsidRDefault="00EB7243" w:rsidP="00561C55">
            <w:pPr>
              <w:pStyle w:val="Tabletext"/>
              <w:jc w:val="center"/>
              <w:rPr>
                <w:bCs/>
                <w:color w:val="000000"/>
                <w:szCs w:val="20"/>
                <w:highlight w:val="black"/>
              </w:rPr>
            </w:pPr>
            <w:r>
              <w:rPr>
                <w:noProof/>
                <w:color w:val="000000"/>
                <w:szCs w:val="20"/>
                <w:highlight w:val="black"/>
                <w:lang w:eastAsia="en-AU"/>
              </w:rPr>
              <w:t>'''''''''''''''</w:t>
            </w:r>
          </w:p>
        </w:tc>
        <w:tc>
          <w:tcPr>
            <w:tcW w:w="562" w:type="pct"/>
            <w:vAlign w:val="center"/>
          </w:tcPr>
          <w:p w:rsidR="009F0307" w:rsidRPr="00EB7243" w:rsidRDefault="00EB7243" w:rsidP="00561C55">
            <w:pPr>
              <w:pStyle w:val="Tabletext"/>
              <w:jc w:val="center"/>
              <w:rPr>
                <w:bCs/>
                <w:color w:val="000000"/>
                <w:szCs w:val="20"/>
                <w:highlight w:val="black"/>
              </w:rPr>
            </w:pPr>
            <w:r>
              <w:rPr>
                <w:noProof/>
                <w:color w:val="000000"/>
                <w:szCs w:val="20"/>
                <w:highlight w:val="black"/>
                <w:lang w:eastAsia="en-AU"/>
              </w:rPr>
              <w:t>'''''''''''''''</w:t>
            </w:r>
          </w:p>
        </w:tc>
      </w:tr>
      <w:tr w:rsidR="009F0307" w:rsidRPr="00CF568A" w:rsidTr="009F0307">
        <w:tc>
          <w:tcPr>
            <w:tcW w:w="5000" w:type="pct"/>
            <w:gridSpan w:val="7"/>
            <w:shd w:val="clear" w:color="auto" w:fill="auto"/>
            <w:vAlign w:val="center"/>
          </w:tcPr>
          <w:p w:rsidR="009F0307" w:rsidRPr="00CF568A" w:rsidRDefault="009F0307" w:rsidP="00561C55">
            <w:pPr>
              <w:pStyle w:val="Tabletext"/>
              <w:rPr>
                <w:b/>
                <w:bCs/>
                <w:color w:val="000000"/>
                <w:szCs w:val="20"/>
              </w:rPr>
            </w:pPr>
            <w:r w:rsidRPr="00CF568A">
              <w:rPr>
                <w:b/>
                <w:bCs/>
                <w:color w:val="000000"/>
                <w:szCs w:val="20"/>
              </w:rPr>
              <w:t>Estimated financial implications of talazoparib</w:t>
            </w:r>
          </w:p>
        </w:tc>
      </w:tr>
      <w:tr w:rsidR="009F0307" w:rsidRPr="00CF568A" w:rsidTr="00564DC2">
        <w:tc>
          <w:tcPr>
            <w:tcW w:w="1662" w:type="pct"/>
            <w:shd w:val="clear" w:color="auto" w:fill="auto"/>
            <w:vAlign w:val="center"/>
          </w:tcPr>
          <w:p w:rsidR="009F0307" w:rsidRPr="00CF568A" w:rsidRDefault="009F0307" w:rsidP="00561C55">
            <w:pPr>
              <w:pStyle w:val="Tabletext"/>
              <w:rPr>
                <w:szCs w:val="20"/>
              </w:rPr>
            </w:pPr>
            <w:r w:rsidRPr="00CF568A">
              <w:rPr>
                <w:szCs w:val="20"/>
              </w:rPr>
              <w:t>Cost to PBS/RPBS</w:t>
            </w:r>
          </w:p>
        </w:tc>
        <w:tc>
          <w:tcPr>
            <w:tcW w:w="555" w:type="pct"/>
            <w:shd w:val="clear" w:color="auto" w:fill="auto"/>
            <w:vAlign w:val="center"/>
          </w:tcPr>
          <w:p w:rsidR="009F0307" w:rsidRPr="00EB7243" w:rsidRDefault="00EB7243" w:rsidP="00561C55">
            <w:pPr>
              <w:pStyle w:val="Tabletext"/>
              <w:jc w:val="right"/>
              <w:rPr>
                <w:bCs/>
                <w:color w:val="000000"/>
                <w:szCs w:val="20"/>
                <w:highlight w:val="black"/>
              </w:rPr>
            </w:pPr>
            <w:r>
              <w:rPr>
                <w:noProof/>
                <w:color w:val="000000"/>
                <w:szCs w:val="20"/>
                <w:highlight w:val="black"/>
                <w:lang w:eastAsia="en-AU"/>
              </w:rPr>
              <w:t>''''''''''''''''''''''''</w:t>
            </w:r>
          </w:p>
        </w:tc>
        <w:tc>
          <w:tcPr>
            <w:tcW w:w="556" w:type="pct"/>
            <w:shd w:val="clear" w:color="auto" w:fill="auto"/>
            <w:vAlign w:val="center"/>
          </w:tcPr>
          <w:p w:rsidR="009F0307" w:rsidRPr="00EB7243" w:rsidRDefault="00EB7243" w:rsidP="00561C55">
            <w:pPr>
              <w:pStyle w:val="Tabletext"/>
              <w:jc w:val="right"/>
              <w:rPr>
                <w:bCs/>
                <w:color w:val="000000"/>
                <w:szCs w:val="20"/>
                <w:highlight w:val="black"/>
              </w:rPr>
            </w:pPr>
            <w:r>
              <w:rPr>
                <w:noProof/>
                <w:color w:val="000000"/>
                <w:szCs w:val="20"/>
                <w:highlight w:val="black"/>
                <w:lang w:eastAsia="en-AU"/>
              </w:rPr>
              <w:t>'''''''''''''''''''''''''''''</w:t>
            </w:r>
          </w:p>
        </w:tc>
        <w:tc>
          <w:tcPr>
            <w:tcW w:w="555" w:type="pct"/>
            <w:shd w:val="clear" w:color="auto" w:fill="auto"/>
            <w:vAlign w:val="center"/>
          </w:tcPr>
          <w:p w:rsidR="009F0307" w:rsidRPr="00EB7243" w:rsidRDefault="00EB7243" w:rsidP="00561C55">
            <w:pPr>
              <w:pStyle w:val="Tabletext"/>
              <w:jc w:val="right"/>
              <w:rPr>
                <w:bCs/>
                <w:color w:val="000000"/>
                <w:szCs w:val="20"/>
                <w:highlight w:val="black"/>
              </w:rPr>
            </w:pPr>
            <w:r>
              <w:rPr>
                <w:noProof/>
                <w:color w:val="000000"/>
                <w:szCs w:val="20"/>
                <w:highlight w:val="black"/>
                <w:lang w:eastAsia="en-AU"/>
              </w:rPr>
              <w:t>'''''''''''''''''''''''''''</w:t>
            </w:r>
          </w:p>
        </w:tc>
        <w:tc>
          <w:tcPr>
            <w:tcW w:w="555" w:type="pct"/>
            <w:shd w:val="clear" w:color="auto" w:fill="auto"/>
            <w:vAlign w:val="center"/>
          </w:tcPr>
          <w:p w:rsidR="009F0307" w:rsidRPr="00EB7243" w:rsidRDefault="00EB7243" w:rsidP="00561C55">
            <w:pPr>
              <w:pStyle w:val="Tabletext"/>
              <w:jc w:val="right"/>
              <w:rPr>
                <w:bCs/>
                <w:color w:val="000000"/>
                <w:szCs w:val="20"/>
                <w:highlight w:val="black"/>
              </w:rPr>
            </w:pPr>
            <w:r>
              <w:rPr>
                <w:noProof/>
                <w:color w:val="000000"/>
                <w:szCs w:val="20"/>
                <w:highlight w:val="black"/>
                <w:lang w:eastAsia="en-AU"/>
              </w:rPr>
              <w:t>''''''''''''''''''''''''''</w:t>
            </w:r>
          </w:p>
        </w:tc>
        <w:tc>
          <w:tcPr>
            <w:tcW w:w="555" w:type="pct"/>
            <w:shd w:val="clear" w:color="auto" w:fill="auto"/>
            <w:vAlign w:val="center"/>
          </w:tcPr>
          <w:p w:rsidR="009F0307" w:rsidRPr="00EB7243" w:rsidRDefault="00EB7243" w:rsidP="00561C55">
            <w:pPr>
              <w:pStyle w:val="Tabletext"/>
              <w:jc w:val="right"/>
              <w:rPr>
                <w:bCs/>
                <w:color w:val="000000"/>
                <w:szCs w:val="20"/>
                <w:highlight w:val="black"/>
              </w:rPr>
            </w:pPr>
            <w:r>
              <w:rPr>
                <w:noProof/>
                <w:color w:val="000000"/>
                <w:szCs w:val="20"/>
                <w:highlight w:val="black"/>
                <w:lang w:eastAsia="en-AU"/>
              </w:rPr>
              <w:t>'''''''''''''''''''''''''</w:t>
            </w:r>
          </w:p>
        </w:tc>
        <w:tc>
          <w:tcPr>
            <w:tcW w:w="562" w:type="pct"/>
            <w:vAlign w:val="center"/>
          </w:tcPr>
          <w:p w:rsidR="009F0307" w:rsidRPr="00EB7243" w:rsidRDefault="00EB7243" w:rsidP="00561C55">
            <w:pPr>
              <w:pStyle w:val="Tabletext"/>
              <w:jc w:val="right"/>
              <w:rPr>
                <w:bCs/>
                <w:color w:val="000000"/>
                <w:szCs w:val="20"/>
                <w:highlight w:val="black"/>
              </w:rPr>
            </w:pPr>
            <w:r>
              <w:rPr>
                <w:noProof/>
                <w:color w:val="000000"/>
                <w:szCs w:val="20"/>
                <w:highlight w:val="black"/>
                <w:lang w:eastAsia="en-AU"/>
              </w:rPr>
              <w:t>''''''''''''''''''''''''''''</w:t>
            </w:r>
          </w:p>
        </w:tc>
      </w:tr>
      <w:tr w:rsidR="009F0307" w:rsidRPr="00CF568A" w:rsidTr="00564DC2">
        <w:tc>
          <w:tcPr>
            <w:tcW w:w="1662" w:type="pct"/>
            <w:shd w:val="clear" w:color="auto" w:fill="auto"/>
            <w:vAlign w:val="center"/>
          </w:tcPr>
          <w:p w:rsidR="009F0307" w:rsidRPr="00CF568A" w:rsidRDefault="009F0307" w:rsidP="00561C55">
            <w:pPr>
              <w:pStyle w:val="Tabletext"/>
              <w:rPr>
                <w:szCs w:val="20"/>
              </w:rPr>
            </w:pPr>
            <w:r w:rsidRPr="00CF568A">
              <w:rPr>
                <w:szCs w:val="20"/>
              </w:rPr>
              <w:t>Copayments</w:t>
            </w:r>
          </w:p>
        </w:tc>
        <w:tc>
          <w:tcPr>
            <w:tcW w:w="555" w:type="pct"/>
            <w:shd w:val="clear" w:color="auto" w:fill="auto"/>
            <w:vAlign w:val="center"/>
          </w:tcPr>
          <w:p w:rsidR="009F0307" w:rsidRPr="00EB7243" w:rsidRDefault="00EB7243" w:rsidP="00561C55">
            <w:pPr>
              <w:pStyle w:val="Tabletext"/>
              <w:jc w:val="right"/>
              <w:rPr>
                <w:bCs/>
                <w:color w:val="000000"/>
                <w:szCs w:val="20"/>
                <w:highlight w:val="black"/>
              </w:rPr>
            </w:pPr>
            <w:r>
              <w:rPr>
                <w:noProof/>
                <w:color w:val="000000"/>
                <w:szCs w:val="20"/>
                <w:highlight w:val="black"/>
                <w:lang w:eastAsia="en-AU"/>
              </w:rPr>
              <w:t>''''''''''''''''''''''</w:t>
            </w:r>
          </w:p>
        </w:tc>
        <w:tc>
          <w:tcPr>
            <w:tcW w:w="556" w:type="pct"/>
            <w:shd w:val="clear" w:color="auto" w:fill="auto"/>
            <w:vAlign w:val="center"/>
          </w:tcPr>
          <w:p w:rsidR="009F0307" w:rsidRPr="00EB7243" w:rsidRDefault="00EB7243" w:rsidP="00561C55">
            <w:pPr>
              <w:pStyle w:val="Tabletext"/>
              <w:jc w:val="right"/>
              <w:rPr>
                <w:bCs/>
                <w:color w:val="000000"/>
                <w:szCs w:val="20"/>
                <w:highlight w:val="black"/>
              </w:rPr>
            </w:pPr>
            <w:r>
              <w:rPr>
                <w:noProof/>
                <w:color w:val="000000"/>
                <w:szCs w:val="20"/>
                <w:highlight w:val="black"/>
                <w:lang w:eastAsia="en-AU"/>
              </w:rPr>
              <w:t>'''''''''''''''''''''</w:t>
            </w:r>
          </w:p>
        </w:tc>
        <w:tc>
          <w:tcPr>
            <w:tcW w:w="555" w:type="pct"/>
            <w:shd w:val="clear" w:color="auto" w:fill="auto"/>
            <w:vAlign w:val="center"/>
          </w:tcPr>
          <w:p w:rsidR="009F0307" w:rsidRPr="00EB7243" w:rsidRDefault="00EB7243" w:rsidP="00561C55">
            <w:pPr>
              <w:pStyle w:val="Tabletext"/>
              <w:jc w:val="right"/>
              <w:rPr>
                <w:bCs/>
                <w:color w:val="000000"/>
                <w:szCs w:val="20"/>
                <w:highlight w:val="black"/>
              </w:rPr>
            </w:pPr>
            <w:r>
              <w:rPr>
                <w:noProof/>
                <w:color w:val="000000"/>
                <w:szCs w:val="20"/>
                <w:highlight w:val="black"/>
                <w:lang w:eastAsia="en-AU"/>
              </w:rPr>
              <w:t>'''''''''''''''''''</w:t>
            </w:r>
          </w:p>
        </w:tc>
        <w:tc>
          <w:tcPr>
            <w:tcW w:w="555" w:type="pct"/>
            <w:shd w:val="clear" w:color="auto" w:fill="auto"/>
            <w:vAlign w:val="center"/>
          </w:tcPr>
          <w:p w:rsidR="009F0307" w:rsidRPr="00EB7243" w:rsidRDefault="00EB7243" w:rsidP="00561C55">
            <w:pPr>
              <w:pStyle w:val="Tabletext"/>
              <w:jc w:val="right"/>
              <w:rPr>
                <w:bCs/>
                <w:color w:val="000000"/>
                <w:szCs w:val="20"/>
                <w:highlight w:val="black"/>
              </w:rPr>
            </w:pPr>
            <w:r>
              <w:rPr>
                <w:noProof/>
                <w:color w:val="000000"/>
                <w:szCs w:val="20"/>
                <w:highlight w:val="black"/>
                <w:lang w:eastAsia="en-AU"/>
              </w:rPr>
              <w:t>''''''''''''''''''''</w:t>
            </w:r>
          </w:p>
        </w:tc>
        <w:tc>
          <w:tcPr>
            <w:tcW w:w="555" w:type="pct"/>
            <w:shd w:val="clear" w:color="auto" w:fill="auto"/>
            <w:vAlign w:val="center"/>
          </w:tcPr>
          <w:p w:rsidR="009F0307" w:rsidRPr="00EB7243" w:rsidRDefault="00EB7243" w:rsidP="00561C55">
            <w:pPr>
              <w:pStyle w:val="Tabletext"/>
              <w:jc w:val="right"/>
              <w:rPr>
                <w:bCs/>
                <w:color w:val="000000"/>
                <w:szCs w:val="20"/>
                <w:highlight w:val="black"/>
              </w:rPr>
            </w:pPr>
            <w:r>
              <w:rPr>
                <w:noProof/>
                <w:color w:val="000000"/>
                <w:szCs w:val="20"/>
                <w:highlight w:val="black"/>
                <w:lang w:eastAsia="en-AU"/>
              </w:rPr>
              <w:t>''''''''''''''''''''''</w:t>
            </w:r>
          </w:p>
        </w:tc>
        <w:tc>
          <w:tcPr>
            <w:tcW w:w="562" w:type="pct"/>
            <w:vAlign w:val="center"/>
          </w:tcPr>
          <w:p w:rsidR="009F0307" w:rsidRPr="00EB7243" w:rsidRDefault="00EB7243" w:rsidP="00561C55">
            <w:pPr>
              <w:pStyle w:val="Tabletext"/>
              <w:jc w:val="right"/>
              <w:rPr>
                <w:bCs/>
                <w:color w:val="000000"/>
                <w:szCs w:val="20"/>
                <w:highlight w:val="black"/>
              </w:rPr>
            </w:pPr>
            <w:r>
              <w:rPr>
                <w:noProof/>
                <w:color w:val="000000"/>
                <w:szCs w:val="20"/>
                <w:highlight w:val="black"/>
                <w:lang w:eastAsia="en-AU"/>
              </w:rPr>
              <w:t>''''''''''''''''''''</w:t>
            </w:r>
          </w:p>
        </w:tc>
      </w:tr>
      <w:tr w:rsidR="009F0307" w:rsidRPr="00CF568A" w:rsidTr="00564DC2">
        <w:tc>
          <w:tcPr>
            <w:tcW w:w="1662" w:type="pct"/>
            <w:shd w:val="clear" w:color="auto" w:fill="auto"/>
            <w:vAlign w:val="center"/>
          </w:tcPr>
          <w:p w:rsidR="009F0307" w:rsidRPr="00CF568A" w:rsidRDefault="009F0307" w:rsidP="00561C55">
            <w:pPr>
              <w:pStyle w:val="Tabletext"/>
              <w:rPr>
                <w:szCs w:val="20"/>
              </w:rPr>
            </w:pPr>
            <w:r w:rsidRPr="00CF568A">
              <w:rPr>
                <w:szCs w:val="20"/>
              </w:rPr>
              <w:t>Cost to PBS/RPBS less copayments</w:t>
            </w:r>
          </w:p>
        </w:tc>
        <w:tc>
          <w:tcPr>
            <w:tcW w:w="555" w:type="pct"/>
            <w:shd w:val="clear" w:color="auto" w:fill="auto"/>
            <w:vAlign w:val="center"/>
          </w:tcPr>
          <w:p w:rsidR="009F0307" w:rsidRPr="00EB7243" w:rsidRDefault="00EB7243" w:rsidP="00561C55">
            <w:pPr>
              <w:pStyle w:val="Tabletext"/>
              <w:jc w:val="right"/>
              <w:rPr>
                <w:bCs/>
                <w:color w:val="000000"/>
                <w:szCs w:val="20"/>
                <w:highlight w:val="black"/>
              </w:rPr>
            </w:pPr>
            <w:r>
              <w:rPr>
                <w:noProof/>
                <w:color w:val="000000"/>
                <w:szCs w:val="20"/>
                <w:highlight w:val="black"/>
                <w:lang w:eastAsia="en-AU"/>
              </w:rPr>
              <w:t>''''''''''''''''''''''''''''</w:t>
            </w:r>
          </w:p>
        </w:tc>
        <w:tc>
          <w:tcPr>
            <w:tcW w:w="556" w:type="pct"/>
            <w:shd w:val="clear" w:color="auto" w:fill="auto"/>
            <w:vAlign w:val="center"/>
          </w:tcPr>
          <w:p w:rsidR="009F0307" w:rsidRPr="00EB7243" w:rsidRDefault="00EB7243" w:rsidP="00561C55">
            <w:pPr>
              <w:pStyle w:val="Tabletext"/>
              <w:jc w:val="right"/>
              <w:rPr>
                <w:bCs/>
                <w:color w:val="000000"/>
                <w:szCs w:val="20"/>
                <w:highlight w:val="black"/>
              </w:rPr>
            </w:pPr>
            <w:r>
              <w:rPr>
                <w:noProof/>
                <w:color w:val="000000"/>
                <w:szCs w:val="20"/>
                <w:highlight w:val="black"/>
                <w:lang w:eastAsia="en-AU"/>
              </w:rPr>
              <w:t>''''''''''''''''''''''''''''</w:t>
            </w:r>
          </w:p>
        </w:tc>
        <w:tc>
          <w:tcPr>
            <w:tcW w:w="555" w:type="pct"/>
            <w:shd w:val="clear" w:color="auto" w:fill="auto"/>
            <w:vAlign w:val="center"/>
          </w:tcPr>
          <w:p w:rsidR="009F0307" w:rsidRPr="00EB7243" w:rsidRDefault="00EB7243" w:rsidP="00561C55">
            <w:pPr>
              <w:pStyle w:val="Tabletext"/>
              <w:jc w:val="right"/>
              <w:rPr>
                <w:bCs/>
                <w:color w:val="000000"/>
                <w:szCs w:val="20"/>
                <w:highlight w:val="black"/>
              </w:rPr>
            </w:pPr>
            <w:r>
              <w:rPr>
                <w:noProof/>
                <w:color w:val="000000"/>
                <w:szCs w:val="20"/>
                <w:highlight w:val="black"/>
                <w:lang w:eastAsia="en-AU"/>
              </w:rPr>
              <w:t>'''''''''''''''''''''''''''</w:t>
            </w:r>
          </w:p>
        </w:tc>
        <w:tc>
          <w:tcPr>
            <w:tcW w:w="555" w:type="pct"/>
            <w:shd w:val="clear" w:color="auto" w:fill="auto"/>
            <w:vAlign w:val="center"/>
          </w:tcPr>
          <w:p w:rsidR="009F0307" w:rsidRPr="00EB7243" w:rsidRDefault="00EB7243" w:rsidP="00561C55">
            <w:pPr>
              <w:pStyle w:val="Tabletext"/>
              <w:jc w:val="right"/>
              <w:rPr>
                <w:bCs/>
                <w:color w:val="000000"/>
                <w:szCs w:val="20"/>
                <w:highlight w:val="black"/>
              </w:rPr>
            </w:pPr>
            <w:r>
              <w:rPr>
                <w:noProof/>
                <w:color w:val="000000"/>
                <w:szCs w:val="20"/>
                <w:highlight w:val="black"/>
                <w:lang w:eastAsia="en-AU"/>
              </w:rPr>
              <w:t>'''''''''''''''''''''''''''''</w:t>
            </w:r>
          </w:p>
        </w:tc>
        <w:tc>
          <w:tcPr>
            <w:tcW w:w="555" w:type="pct"/>
            <w:shd w:val="clear" w:color="auto" w:fill="auto"/>
            <w:vAlign w:val="center"/>
          </w:tcPr>
          <w:p w:rsidR="009F0307" w:rsidRPr="00EB7243" w:rsidRDefault="00EB7243" w:rsidP="00561C55">
            <w:pPr>
              <w:pStyle w:val="Tabletext"/>
              <w:jc w:val="right"/>
              <w:rPr>
                <w:bCs/>
                <w:color w:val="000000"/>
                <w:szCs w:val="20"/>
                <w:highlight w:val="black"/>
              </w:rPr>
            </w:pPr>
            <w:r>
              <w:rPr>
                <w:noProof/>
                <w:color w:val="000000"/>
                <w:szCs w:val="20"/>
                <w:highlight w:val="black"/>
                <w:lang w:eastAsia="en-AU"/>
              </w:rPr>
              <w:t>'''''''''''''''''''''''''</w:t>
            </w:r>
          </w:p>
        </w:tc>
        <w:tc>
          <w:tcPr>
            <w:tcW w:w="562" w:type="pct"/>
            <w:vAlign w:val="center"/>
          </w:tcPr>
          <w:p w:rsidR="009F0307" w:rsidRPr="00EB7243" w:rsidRDefault="00EB7243" w:rsidP="00561C55">
            <w:pPr>
              <w:pStyle w:val="Tabletext"/>
              <w:jc w:val="right"/>
              <w:rPr>
                <w:bCs/>
                <w:color w:val="000000"/>
                <w:szCs w:val="20"/>
                <w:highlight w:val="black"/>
              </w:rPr>
            </w:pPr>
            <w:r>
              <w:rPr>
                <w:noProof/>
                <w:color w:val="000000"/>
                <w:szCs w:val="20"/>
                <w:highlight w:val="black"/>
                <w:lang w:eastAsia="en-AU"/>
              </w:rPr>
              <w:t>''''''''''''''''''''''''</w:t>
            </w:r>
          </w:p>
        </w:tc>
      </w:tr>
      <w:tr w:rsidR="009F0307" w:rsidRPr="00CF568A" w:rsidTr="009F0307">
        <w:tc>
          <w:tcPr>
            <w:tcW w:w="5000" w:type="pct"/>
            <w:gridSpan w:val="7"/>
            <w:shd w:val="clear" w:color="auto" w:fill="auto"/>
            <w:vAlign w:val="center"/>
          </w:tcPr>
          <w:p w:rsidR="009F0307" w:rsidRPr="00CF568A" w:rsidRDefault="009F0307" w:rsidP="00561C55">
            <w:pPr>
              <w:pStyle w:val="Tabletext"/>
              <w:rPr>
                <w:bCs/>
                <w:color w:val="000000"/>
                <w:szCs w:val="20"/>
              </w:rPr>
            </w:pPr>
            <w:r w:rsidRPr="00CF568A">
              <w:rPr>
                <w:b/>
                <w:bCs/>
                <w:color w:val="000000"/>
                <w:szCs w:val="20"/>
              </w:rPr>
              <w:t>Estimated financial implications for other medicines (standard of care)</w:t>
            </w:r>
          </w:p>
        </w:tc>
      </w:tr>
      <w:tr w:rsidR="009F0307" w:rsidRPr="00CF568A" w:rsidTr="00564DC2">
        <w:tc>
          <w:tcPr>
            <w:tcW w:w="1662" w:type="pct"/>
            <w:shd w:val="clear" w:color="auto" w:fill="auto"/>
            <w:vAlign w:val="center"/>
          </w:tcPr>
          <w:p w:rsidR="009F0307" w:rsidRPr="00CF568A" w:rsidRDefault="009F0307" w:rsidP="00561C55">
            <w:pPr>
              <w:pStyle w:val="Tabletext"/>
              <w:rPr>
                <w:szCs w:val="20"/>
              </w:rPr>
            </w:pPr>
            <w:r w:rsidRPr="00CF568A">
              <w:rPr>
                <w:szCs w:val="20"/>
              </w:rPr>
              <w:t>Cost to PBS/RPBS</w:t>
            </w:r>
          </w:p>
        </w:tc>
        <w:tc>
          <w:tcPr>
            <w:tcW w:w="555" w:type="pct"/>
            <w:shd w:val="clear" w:color="auto" w:fill="auto"/>
          </w:tcPr>
          <w:p w:rsidR="009F0307" w:rsidRPr="00EB7243" w:rsidRDefault="00EB7243" w:rsidP="00561C55">
            <w:pPr>
              <w:pStyle w:val="Tabletext"/>
              <w:jc w:val="right"/>
              <w:rPr>
                <w:bCs/>
                <w:color w:val="000000"/>
                <w:szCs w:val="20"/>
                <w:highlight w:val="black"/>
              </w:rPr>
            </w:pPr>
            <w:r>
              <w:rPr>
                <w:rFonts w:cs="Arial"/>
                <w:bCs/>
                <w:noProof/>
                <w:color w:val="000000"/>
                <w:szCs w:val="20"/>
                <w:highlight w:val="black"/>
              </w:rPr>
              <w:t>'''''''''''''''''''''''</w:t>
            </w:r>
          </w:p>
        </w:tc>
        <w:tc>
          <w:tcPr>
            <w:tcW w:w="556" w:type="pct"/>
            <w:shd w:val="clear" w:color="auto" w:fill="auto"/>
          </w:tcPr>
          <w:p w:rsidR="009F0307" w:rsidRPr="00EB7243" w:rsidRDefault="00EB7243" w:rsidP="00561C55">
            <w:pPr>
              <w:pStyle w:val="Tabletext"/>
              <w:jc w:val="right"/>
              <w:rPr>
                <w:bCs/>
                <w:color w:val="000000"/>
                <w:szCs w:val="20"/>
                <w:highlight w:val="black"/>
              </w:rPr>
            </w:pPr>
            <w:r>
              <w:rPr>
                <w:rFonts w:cs="Arial"/>
                <w:bCs/>
                <w:noProof/>
                <w:color w:val="000000"/>
                <w:szCs w:val="20"/>
                <w:highlight w:val="black"/>
              </w:rPr>
              <w:t>'''''''''''''''''''''</w:t>
            </w:r>
          </w:p>
        </w:tc>
        <w:tc>
          <w:tcPr>
            <w:tcW w:w="555" w:type="pct"/>
            <w:shd w:val="clear" w:color="auto" w:fill="auto"/>
          </w:tcPr>
          <w:p w:rsidR="009F0307" w:rsidRPr="00EB7243" w:rsidRDefault="00EB7243" w:rsidP="00561C55">
            <w:pPr>
              <w:pStyle w:val="Tabletext"/>
              <w:jc w:val="right"/>
              <w:rPr>
                <w:bCs/>
                <w:color w:val="000000"/>
                <w:szCs w:val="20"/>
                <w:highlight w:val="black"/>
              </w:rPr>
            </w:pPr>
            <w:r>
              <w:rPr>
                <w:rFonts w:cs="Arial"/>
                <w:bCs/>
                <w:noProof/>
                <w:color w:val="000000"/>
                <w:szCs w:val="20"/>
                <w:highlight w:val="black"/>
              </w:rPr>
              <w:t>'''''''''''''''''''''</w:t>
            </w:r>
          </w:p>
        </w:tc>
        <w:tc>
          <w:tcPr>
            <w:tcW w:w="555" w:type="pct"/>
            <w:shd w:val="clear" w:color="auto" w:fill="auto"/>
          </w:tcPr>
          <w:p w:rsidR="009F0307" w:rsidRPr="00EB7243" w:rsidRDefault="00EB7243" w:rsidP="00561C55">
            <w:pPr>
              <w:pStyle w:val="Tabletext"/>
              <w:jc w:val="right"/>
              <w:rPr>
                <w:bCs/>
                <w:color w:val="000000"/>
                <w:szCs w:val="20"/>
                <w:highlight w:val="black"/>
              </w:rPr>
            </w:pPr>
            <w:r>
              <w:rPr>
                <w:rFonts w:cs="Arial"/>
                <w:bCs/>
                <w:noProof/>
                <w:color w:val="000000"/>
                <w:szCs w:val="20"/>
                <w:highlight w:val="black"/>
              </w:rPr>
              <w:t>''''''''''''''''''''''''</w:t>
            </w:r>
          </w:p>
        </w:tc>
        <w:tc>
          <w:tcPr>
            <w:tcW w:w="555" w:type="pct"/>
            <w:shd w:val="clear" w:color="auto" w:fill="auto"/>
          </w:tcPr>
          <w:p w:rsidR="009F0307" w:rsidRPr="00EB7243" w:rsidRDefault="00EB7243" w:rsidP="00561C55">
            <w:pPr>
              <w:pStyle w:val="Tabletext"/>
              <w:jc w:val="right"/>
              <w:rPr>
                <w:bCs/>
                <w:color w:val="000000"/>
                <w:szCs w:val="20"/>
                <w:highlight w:val="black"/>
              </w:rPr>
            </w:pPr>
            <w:r>
              <w:rPr>
                <w:rFonts w:cs="Arial"/>
                <w:bCs/>
                <w:noProof/>
                <w:color w:val="000000"/>
                <w:szCs w:val="20"/>
                <w:highlight w:val="black"/>
              </w:rPr>
              <w:t>''''''''''''''''''''''</w:t>
            </w:r>
          </w:p>
        </w:tc>
        <w:tc>
          <w:tcPr>
            <w:tcW w:w="562" w:type="pct"/>
          </w:tcPr>
          <w:p w:rsidR="009F0307" w:rsidRPr="00EB7243" w:rsidRDefault="00EB7243" w:rsidP="00561C55">
            <w:pPr>
              <w:pStyle w:val="Tabletext"/>
              <w:jc w:val="right"/>
              <w:rPr>
                <w:bCs/>
                <w:color w:val="000000"/>
                <w:szCs w:val="20"/>
                <w:highlight w:val="black"/>
              </w:rPr>
            </w:pPr>
            <w:r>
              <w:rPr>
                <w:rFonts w:cs="Arial"/>
                <w:bCs/>
                <w:noProof/>
                <w:color w:val="000000"/>
                <w:szCs w:val="20"/>
                <w:highlight w:val="black"/>
              </w:rPr>
              <w:t>''''''''''''''''''''''''</w:t>
            </w:r>
          </w:p>
        </w:tc>
      </w:tr>
      <w:tr w:rsidR="009F0307" w:rsidRPr="00CF568A" w:rsidTr="00564DC2">
        <w:tc>
          <w:tcPr>
            <w:tcW w:w="1662" w:type="pct"/>
            <w:shd w:val="clear" w:color="auto" w:fill="auto"/>
            <w:vAlign w:val="center"/>
          </w:tcPr>
          <w:p w:rsidR="009F0307" w:rsidRPr="00CF568A" w:rsidRDefault="009F0307" w:rsidP="00561C55">
            <w:pPr>
              <w:pStyle w:val="Tabletext"/>
              <w:rPr>
                <w:szCs w:val="20"/>
              </w:rPr>
            </w:pPr>
            <w:r w:rsidRPr="00CF568A">
              <w:rPr>
                <w:szCs w:val="20"/>
              </w:rPr>
              <w:t>Copayments</w:t>
            </w:r>
          </w:p>
        </w:tc>
        <w:tc>
          <w:tcPr>
            <w:tcW w:w="555" w:type="pct"/>
            <w:shd w:val="clear" w:color="auto" w:fill="auto"/>
          </w:tcPr>
          <w:p w:rsidR="009F0307" w:rsidRPr="00EB7243" w:rsidRDefault="00EB7243" w:rsidP="00561C55">
            <w:pPr>
              <w:pStyle w:val="Tabletext"/>
              <w:jc w:val="right"/>
              <w:rPr>
                <w:bCs/>
                <w:color w:val="000000"/>
                <w:szCs w:val="20"/>
                <w:highlight w:val="black"/>
              </w:rPr>
            </w:pPr>
            <w:r>
              <w:rPr>
                <w:rFonts w:cs="Arial"/>
                <w:bCs/>
                <w:noProof/>
                <w:color w:val="000000"/>
                <w:szCs w:val="20"/>
                <w:highlight w:val="black"/>
              </w:rPr>
              <w:t>''''''''''''''''''''''</w:t>
            </w:r>
          </w:p>
        </w:tc>
        <w:tc>
          <w:tcPr>
            <w:tcW w:w="556" w:type="pct"/>
            <w:shd w:val="clear" w:color="auto" w:fill="auto"/>
          </w:tcPr>
          <w:p w:rsidR="009F0307" w:rsidRPr="00EB7243" w:rsidRDefault="00EB7243" w:rsidP="00561C55">
            <w:pPr>
              <w:pStyle w:val="Tabletext"/>
              <w:jc w:val="right"/>
              <w:rPr>
                <w:bCs/>
                <w:color w:val="000000"/>
                <w:szCs w:val="20"/>
                <w:highlight w:val="black"/>
              </w:rPr>
            </w:pPr>
            <w:r>
              <w:rPr>
                <w:rFonts w:cs="Arial"/>
                <w:bCs/>
                <w:noProof/>
                <w:color w:val="000000"/>
                <w:szCs w:val="20"/>
                <w:highlight w:val="black"/>
              </w:rPr>
              <w:t>'''''''''''''''''''</w:t>
            </w:r>
          </w:p>
        </w:tc>
        <w:tc>
          <w:tcPr>
            <w:tcW w:w="555" w:type="pct"/>
            <w:shd w:val="clear" w:color="auto" w:fill="auto"/>
          </w:tcPr>
          <w:p w:rsidR="009F0307" w:rsidRPr="00EB7243" w:rsidRDefault="00EB7243" w:rsidP="00561C55">
            <w:pPr>
              <w:pStyle w:val="Tabletext"/>
              <w:jc w:val="right"/>
              <w:rPr>
                <w:bCs/>
                <w:color w:val="000000"/>
                <w:szCs w:val="20"/>
                <w:highlight w:val="black"/>
              </w:rPr>
            </w:pPr>
            <w:r>
              <w:rPr>
                <w:rFonts w:cs="Arial"/>
                <w:bCs/>
                <w:noProof/>
                <w:color w:val="000000"/>
                <w:szCs w:val="20"/>
                <w:highlight w:val="black"/>
              </w:rPr>
              <w:t>'''''''''''''''''''''''</w:t>
            </w:r>
          </w:p>
        </w:tc>
        <w:tc>
          <w:tcPr>
            <w:tcW w:w="555" w:type="pct"/>
            <w:shd w:val="clear" w:color="auto" w:fill="auto"/>
          </w:tcPr>
          <w:p w:rsidR="009F0307" w:rsidRPr="00EB7243" w:rsidRDefault="00EB7243" w:rsidP="00561C55">
            <w:pPr>
              <w:pStyle w:val="Tabletext"/>
              <w:jc w:val="right"/>
              <w:rPr>
                <w:bCs/>
                <w:color w:val="000000"/>
                <w:szCs w:val="20"/>
                <w:highlight w:val="black"/>
              </w:rPr>
            </w:pPr>
            <w:r>
              <w:rPr>
                <w:rFonts w:cs="Arial"/>
                <w:bCs/>
                <w:noProof/>
                <w:color w:val="000000"/>
                <w:szCs w:val="20"/>
                <w:highlight w:val="black"/>
              </w:rPr>
              <w:t>'''''''''''''''''''''''</w:t>
            </w:r>
          </w:p>
        </w:tc>
        <w:tc>
          <w:tcPr>
            <w:tcW w:w="555" w:type="pct"/>
            <w:shd w:val="clear" w:color="auto" w:fill="auto"/>
          </w:tcPr>
          <w:p w:rsidR="009F0307" w:rsidRPr="00EB7243" w:rsidRDefault="00EB7243" w:rsidP="00561C55">
            <w:pPr>
              <w:pStyle w:val="Tabletext"/>
              <w:jc w:val="right"/>
              <w:rPr>
                <w:bCs/>
                <w:color w:val="000000"/>
                <w:szCs w:val="20"/>
                <w:highlight w:val="black"/>
              </w:rPr>
            </w:pPr>
            <w:r>
              <w:rPr>
                <w:rFonts w:cs="Arial"/>
                <w:bCs/>
                <w:noProof/>
                <w:color w:val="000000"/>
                <w:szCs w:val="20"/>
                <w:highlight w:val="black"/>
              </w:rPr>
              <w:t>''''''''''''''''''''''</w:t>
            </w:r>
          </w:p>
        </w:tc>
        <w:tc>
          <w:tcPr>
            <w:tcW w:w="562" w:type="pct"/>
          </w:tcPr>
          <w:p w:rsidR="009F0307" w:rsidRPr="00EB7243" w:rsidRDefault="00EB7243" w:rsidP="00561C55">
            <w:pPr>
              <w:pStyle w:val="Tabletext"/>
              <w:jc w:val="right"/>
              <w:rPr>
                <w:bCs/>
                <w:color w:val="000000"/>
                <w:szCs w:val="20"/>
                <w:highlight w:val="black"/>
              </w:rPr>
            </w:pPr>
            <w:r>
              <w:rPr>
                <w:rFonts w:cs="Arial"/>
                <w:bCs/>
                <w:noProof/>
                <w:color w:val="000000"/>
                <w:szCs w:val="20"/>
                <w:highlight w:val="black"/>
              </w:rPr>
              <w:t>'''''''''''''''''''</w:t>
            </w:r>
          </w:p>
        </w:tc>
      </w:tr>
      <w:tr w:rsidR="009F0307" w:rsidRPr="00CF568A" w:rsidTr="00564DC2">
        <w:tc>
          <w:tcPr>
            <w:tcW w:w="1662" w:type="pct"/>
            <w:shd w:val="clear" w:color="auto" w:fill="auto"/>
            <w:vAlign w:val="center"/>
          </w:tcPr>
          <w:p w:rsidR="009F0307" w:rsidRPr="00CF568A" w:rsidRDefault="009F0307" w:rsidP="00561C55">
            <w:pPr>
              <w:pStyle w:val="Tabletext"/>
              <w:rPr>
                <w:szCs w:val="20"/>
              </w:rPr>
            </w:pPr>
            <w:r w:rsidRPr="00CF568A">
              <w:rPr>
                <w:szCs w:val="20"/>
              </w:rPr>
              <w:t>Cost to PBS/RPBS less copayments</w:t>
            </w:r>
          </w:p>
        </w:tc>
        <w:tc>
          <w:tcPr>
            <w:tcW w:w="555" w:type="pct"/>
            <w:shd w:val="clear" w:color="auto" w:fill="auto"/>
            <w:vAlign w:val="center"/>
          </w:tcPr>
          <w:p w:rsidR="009F0307" w:rsidRPr="00EB7243" w:rsidRDefault="00EB7243" w:rsidP="00564DC2">
            <w:pPr>
              <w:pStyle w:val="Tabletext"/>
              <w:jc w:val="right"/>
              <w:rPr>
                <w:bCs/>
                <w:color w:val="000000"/>
                <w:szCs w:val="20"/>
                <w:highlight w:val="black"/>
              </w:rPr>
            </w:pPr>
            <w:r>
              <w:rPr>
                <w:rFonts w:cs="Arial"/>
                <w:bCs/>
                <w:noProof/>
                <w:color w:val="000000"/>
                <w:szCs w:val="20"/>
                <w:highlight w:val="black"/>
              </w:rPr>
              <w:t>'''''''''''''''''''''''</w:t>
            </w:r>
          </w:p>
        </w:tc>
        <w:tc>
          <w:tcPr>
            <w:tcW w:w="556" w:type="pct"/>
            <w:shd w:val="clear" w:color="auto" w:fill="auto"/>
            <w:vAlign w:val="center"/>
          </w:tcPr>
          <w:p w:rsidR="009F0307" w:rsidRPr="00EB7243" w:rsidRDefault="00EB7243" w:rsidP="00564DC2">
            <w:pPr>
              <w:pStyle w:val="Tabletext"/>
              <w:jc w:val="right"/>
              <w:rPr>
                <w:bCs/>
                <w:color w:val="000000"/>
                <w:szCs w:val="20"/>
                <w:highlight w:val="black"/>
              </w:rPr>
            </w:pPr>
            <w:r>
              <w:rPr>
                <w:rFonts w:cs="Arial"/>
                <w:bCs/>
                <w:noProof/>
                <w:color w:val="000000"/>
                <w:szCs w:val="20"/>
                <w:highlight w:val="black"/>
              </w:rPr>
              <w:t>''''''''''''''''''''''''</w:t>
            </w:r>
          </w:p>
        </w:tc>
        <w:tc>
          <w:tcPr>
            <w:tcW w:w="555" w:type="pct"/>
            <w:shd w:val="clear" w:color="auto" w:fill="auto"/>
            <w:vAlign w:val="center"/>
          </w:tcPr>
          <w:p w:rsidR="009F0307" w:rsidRPr="00EB7243" w:rsidRDefault="00EB7243" w:rsidP="00564DC2">
            <w:pPr>
              <w:pStyle w:val="Tabletext"/>
              <w:jc w:val="right"/>
              <w:rPr>
                <w:bCs/>
                <w:color w:val="000000"/>
                <w:szCs w:val="20"/>
                <w:highlight w:val="black"/>
              </w:rPr>
            </w:pPr>
            <w:r>
              <w:rPr>
                <w:rFonts w:cs="Arial"/>
                <w:bCs/>
                <w:noProof/>
                <w:color w:val="000000"/>
                <w:szCs w:val="20"/>
                <w:highlight w:val="black"/>
              </w:rPr>
              <w:t>'''''''''''''''''''''''</w:t>
            </w:r>
          </w:p>
        </w:tc>
        <w:tc>
          <w:tcPr>
            <w:tcW w:w="555" w:type="pct"/>
            <w:shd w:val="clear" w:color="auto" w:fill="auto"/>
            <w:vAlign w:val="center"/>
          </w:tcPr>
          <w:p w:rsidR="009F0307" w:rsidRPr="00EB7243" w:rsidRDefault="00EB7243" w:rsidP="00564DC2">
            <w:pPr>
              <w:pStyle w:val="Tabletext"/>
              <w:jc w:val="right"/>
              <w:rPr>
                <w:bCs/>
                <w:color w:val="000000"/>
                <w:szCs w:val="20"/>
                <w:highlight w:val="black"/>
              </w:rPr>
            </w:pPr>
            <w:r>
              <w:rPr>
                <w:rFonts w:cs="Arial"/>
                <w:bCs/>
                <w:noProof/>
                <w:color w:val="000000"/>
                <w:szCs w:val="20"/>
                <w:highlight w:val="black"/>
              </w:rPr>
              <w:t>''''''''''''''''''''''''</w:t>
            </w:r>
          </w:p>
        </w:tc>
        <w:tc>
          <w:tcPr>
            <w:tcW w:w="555" w:type="pct"/>
            <w:shd w:val="clear" w:color="auto" w:fill="auto"/>
            <w:vAlign w:val="center"/>
          </w:tcPr>
          <w:p w:rsidR="009F0307" w:rsidRPr="00EB7243" w:rsidRDefault="00EB7243" w:rsidP="00564DC2">
            <w:pPr>
              <w:pStyle w:val="Tabletext"/>
              <w:jc w:val="right"/>
              <w:rPr>
                <w:bCs/>
                <w:color w:val="000000"/>
                <w:szCs w:val="20"/>
                <w:highlight w:val="black"/>
              </w:rPr>
            </w:pPr>
            <w:r>
              <w:rPr>
                <w:rFonts w:cs="Arial"/>
                <w:bCs/>
                <w:noProof/>
                <w:color w:val="000000"/>
                <w:szCs w:val="20"/>
                <w:highlight w:val="black"/>
              </w:rPr>
              <w:t>''''''''''''''''''''''''</w:t>
            </w:r>
          </w:p>
        </w:tc>
        <w:tc>
          <w:tcPr>
            <w:tcW w:w="562" w:type="pct"/>
            <w:vAlign w:val="center"/>
          </w:tcPr>
          <w:p w:rsidR="009F0307" w:rsidRPr="00EB7243" w:rsidRDefault="00EB7243" w:rsidP="00564DC2">
            <w:pPr>
              <w:pStyle w:val="Tabletext"/>
              <w:jc w:val="right"/>
              <w:rPr>
                <w:bCs/>
                <w:color w:val="000000"/>
                <w:szCs w:val="20"/>
                <w:highlight w:val="black"/>
              </w:rPr>
            </w:pPr>
            <w:r>
              <w:rPr>
                <w:rFonts w:cs="Arial"/>
                <w:bCs/>
                <w:noProof/>
                <w:color w:val="000000"/>
                <w:szCs w:val="20"/>
                <w:highlight w:val="black"/>
              </w:rPr>
              <w:t>''''''''''''''''''''''</w:t>
            </w:r>
          </w:p>
        </w:tc>
      </w:tr>
      <w:tr w:rsidR="009F0307" w:rsidRPr="00CF568A" w:rsidTr="009F0307">
        <w:tc>
          <w:tcPr>
            <w:tcW w:w="5000" w:type="pct"/>
            <w:gridSpan w:val="7"/>
            <w:shd w:val="clear" w:color="auto" w:fill="auto"/>
            <w:vAlign w:val="center"/>
          </w:tcPr>
          <w:p w:rsidR="009F0307" w:rsidRPr="00CF568A" w:rsidRDefault="009F0307" w:rsidP="00561C55">
            <w:pPr>
              <w:pStyle w:val="Tabletext"/>
              <w:rPr>
                <w:b/>
                <w:bCs/>
                <w:color w:val="000000"/>
                <w:szCs w:val="20"/>
              </w:rPr>
            </w:pPr>
            <w:r w:rsidRPr="00CF568A">
              <w:rPr>
                <w:b/>
                <w:bCs/>
                <w:color w:val="000000"/>
                <w:szCs w:val="20"/>
              </w:rPr>
              <w:t>Net financial implications</w:t>
            </w:r>
            <w:r w:rsidRPr="00CF568A">
              <w:rPr>
                <w:b/>
                <w:bCs/>
                <w:color w:val="4BACC6" w:themeColor="accent5"/>
                <w:szCs w:val="20"/>
              </w:rPr>
              <w:t xml:space="preserve"> </w:t>
            </w:r>
          </w:p>
        </w:tc>
      </w:tr>
      <w:tr w:rsidR="009F0307" w:rsidRPr="00CF568A" w:rsidTr="00564DC2">
        <w:tc>
          <w:tcPr>
            <w:tcW w:w="1662" w:type="pct"/>
            <w:shd w:val="clear" w:color="auto" w:fill="auto"/>
            <w:vAlign w:val="center"/>
          </w:tcPr>
          <w:p w:rsidR="009F0307" w:rsidRPr="00CF568A" w:rsidRDefault="009F0307" w:rsidP="00561C55">
            <w:pPr>
              <w:pStyle w:val="Tabletext"/>
              <w:rPr>
                <w:szCs w:val="20"/>
              </w:rPr>
            </w:pPr>
            <w:r w:rsidRPr="00CF568A">
              <w:rPr>
                <w:szCs w:val="20"/>
              </w:rPr>
              <w:t>Net cost to PBS/RPBS</w:t>
            </w:r>
          </w:p>
        </w:tc>
        <w:tc>
          <w:tcPr>
            <w:tcW w:w="555" w:type="pct"/>
            <w:shd w:val="clear" w:color="auto" w:fill="auto"/>
          </w:tcPr>
          <w:p w:rsidR="009F0307" w:rsidRPr="00EB7243" w:rsidRDefault="00EB7243" w:rsidP="00561C55">
            <w:pPr>
              <w:pStyle w:val="Tabletext"/>
              <w:jc w:val="right"/>
              <w:rPr>
                <w:rFonts w:cs="Arial"/>
                <w:bCs/>
                <w:szCs w:val="20"/>
                <w:highlight w:val="black"/>
              </w:rPr>
            </w:pPr>
            <w:r>
              <w:rPr>
                <w:rFonts w:cs="Arial"/>
                <w:bCs/>
                <w:noProof/>
                <w:color w:val="000000"/>
                <w:szCs w:val="20"/>
                <w:highlight w:val="black"/>
              </w:rPr>
              <w:t>''''''''''''''''''''''''''</w:t>
            </w:r>
          </w:p>
        </w:tc>
        <w:tc>
          <w:tcPr>
            <w:tcW w:w="556" w:type="pct"/>
            <w:shd w:val="clear" w:color="auto" w:fill="auto"/>
          </w:tcPr>
          <w:p w:rsidR="009F0307" w:rsidRPr="00EB7243" w:rsidRDefault="00EB7243" w:rsidP="00561C55">
            <w:pPr>
              <w:pStyle w:val="Tabletext"/>
              <w:jc w:val="right"/>
              <w:rPr>
                <w:rFonts w:cs="Arial"/>
                <w:bCs/>
                <w:szCs w:val="20"/>
                <w:highlight w:val="black"/>
              </w:rPr>
            </w:pPr>
            <w:r>
              <w:rPr>
                <w:rFonts w:cs="Arial"/>
                <w:bCs/>
                <w:noProof/>
                <w:color w:val="000000"/>
                <w:szCs w:val="20"/>
                <w:highlight w:val="black"/>
              </w:rPr>
              <w:t>'''''''''''''''''''''''''''</w:t>
            </w:r>
          </w:p>
        </w:tc>
        <w:tc>
          <w:tcPr>
            <w:tcW w:w="555" w:type="pct"/>
            <w:shd w:val="clear" w:color="auto" w:fill="auto"/>
          </w:tcPr>
          <w:p w:rsidR="009F0307" w:rsidRPr="00EB7243" w:rsidRDefault="00EB7243" w:rsidP="00561C55">
            <w:pPr>
              <w:pStyle w:val="Tabletext"/>
              <w:jc w:val="right"/>
              <w:rPr>
                <w:rFonts w:cs="Arial"/>
                <w:bCs/>
                <w:szCs w:val="20"/>
                <w:highlight w:val="black"/>
              </w:rPr>
            </w:pPr>
            <w:r>
              <w:rPr>
                <w:rFonts w:cs="Arial"/>
                <w:bCs/>
                <w:noProof/>
                <w:color w:val="000000"/>
                <w:szCs w:val="20"/>
                <w:highlight w:val="black"/>
              </w:rPr>
              <w:t>''''''''''''''''''''''''''</w:t>
            </w:r>
          </w:p>
        </w:tc>
        <w:tc>
          <w:tcPr>
            <w:tcW w:w="555" w:type="pct"/>
            <w:shd w:val="clear" w:color="auto" w:fill="auto"/>
          </w:tcPr>
          <w:p w:rsidR="009F0307" w:rsidRPr="00EB7243" w:rsidRDefault="00EB7243" w:rsidP="00561C55">
            <w:pPr>
              <w:pStyle w:val="Tabletext"/>
              <w:jc w:val="right"/>
              <w:rPr>
                <w:rFonts w:cs="Arial"/>
                <w:bCs/>
                <w:szCs w:val="20"/>
                <w:highlight w:val="black"/>
              </w:rPr>
            </w:pPr>
            <w:r>
              <w:rPr>
                <w:rFonts w:cs="Arial"/>
                <w:bCs/>
                <w:noProof/>
                <w:color w:val="000000"/>
                <w:szCs w:val="20"/>
                <w:highlight w:val="black"/>
              </w:rPr>
              <w:t>''''''''''''''''''''''''</w:t>
            </w:r>
          </w:p>
        </w:tc>
        <w:tc>
          <w:tcPr>
            <w:tcW w:w="555" w:type="pct"/>
            <w:shd w:val="clear" w:color="auto" w:fill="auto"/>
          </w:tcPr>
          <w:p w:rsidR="009F0307" w:rsidRPr="00EB7243" w:rsidRDefault="00EB7243" w:rsidP="00561C55">
            <w:pPr>
              <w:pStyle w:val="Tabletext"/>
              <w:jc w:val="right"/>
              <w:rPr>
                <w:rFonts w:cs="Arial"/>
                <w:bCs/>
                <w:szCs w:val="20"/>
                <w:highlight w:val="black"/>
              </w:rPr>
            </w:pPr>
            <w:r>
              <w:rPr>
                <w:rFonts w:cs="Arial"/>
                <w:bCs/>
                <w:noProof/>
                <w:color w:val="000000"/>
                <w:szCs w:val="20"/>
                <w:highlight w:val="black"/>
              </w:rPr>
              <w:t>''''''''''''''''''''''''''</w:t>
            </w:r>
          </w:p>
        </w:tc>
        <w:tc>
          <w:tcPr>
            <w:tcW w:w="562" w:type="pct"/>
          </w:tcPr>
          <w:p w:rsidR="009F0307" w:rsidRPr="00EB7243" w:rsidRDefault="00EB7243" w:rsidP="00561C55">
            <w:pPr>
              <w:pStyle w:val="Tabletext"/>
              <w:jc w:val="right"/>
              <w:rPr>
                <w:rFonts w:cs="Arial"/>
                <w:bCs/>
                <w:szCs w:val="20"/>
                <w:highlight w:val="black"/>
              </w:rPr>
            </w:pPr>
            <w:r>
              <w:rPr>
                <w:rFonts w:cs="Arial"/>
                <w:bCs/>
                <w:noProof/>
                <w:color w:val="000000"/>
                <w:szCs w:val="20"/>
                <w:highlight w:val="black"/>
              </w:rPr>
              <w:t>''''''''''''''''''''''''''</w:t>
            </w:r>
          </w:p>
        </w:tc>
      </w:tr>
      <w:tr w:rsidR="009F0307" w:rsidRPr="00CF568A" w:rsidTr="00564DC2">
        <w:tc>
          <w:tcPr>
            <w:tcW w:w="1662" w:type="pct"/>
            <w:shd w:val="clear" w:color="auto" w:fill="auto"/>
            <w:vAlign w:val="center"/>
          </w:tcPr>
          <w:p w:rsidR="009F0307" w:rsidRPr="00CF568A" w:rsidRDefault="009F0307" w:rsidP="00561C55">
            <w:pPr>
              <w:pStyle w:val="Tabletext"/>
              <w:rPr>
                <w:szCs w:val="20"/>
              </w:rPr>
            </w:pPr>
            <w:r w:rsidRPr="00CF568A">
              <w:rPr>
                <w:szCs w:val="20"/>
              </w:rPr>
              <w:t>Net cost to MBS</w:t>
            </w:r>
            <w:r w:rsidR="000B796F" w:rsidRPr="00CF568A" w:rsidDel="000B796F">
              <w:rPr>
                <w:szCs w:val="20"/>
              </w:rPr>
              <w:t xml:space="preserve"> </w:t>
            </w:r>
          </w:p>
        </w:tc>
        <w:tc>
          <w:tcPr>
            <w:tcW w:w="555" w:type="pct"/>
            <w:shd w:val="clear" w:color="auto" w:fill="auto"/>
            <w:vAlign w:val="bottom"/>
          </w:tcPr>
          <w:p w:rsidR="009F0307" w:rsidRPr="00EB7243" w:rsidRDefault="00EB7243" w:rsidP="00561C55">
            <w:pPr>
              <w:pStyle w:val="Tabletext"/>
              <w:jc w:val="right"/>
              <w:rPr>
                <w:rFonts w:cs="Arial"/>
                <w:bCs/>
                <w:szCs w:val="20"/>
                <w:highlight w:val="black"/>
              </w:rPr>
            </w:pPr>
            <w:r>
              <w:rPr>
                <w:rFonts w:cs="Arial"/>
                <w:bCs/>
                <w:noProof/>
                <w:color w:val="000000"/>
                <w:szCs w:val="20"/>
                <w:highlight w:val="black"/>
              </w:rPr>
              <w:t>'''''''''''''''''''</w:t>
            </w:r>
          </w:p>
        </w:tc>
        <w:tc>
          <w:tcPr>
            <w:tcW w:w="556" w:type="pct"/>
            <w:shd w:val="clear" w:color="auto" w:fill="auto"/>
            <w:vAlign w:val="bottom"/>
          </w:tcPr>
          <w:p w:rsidR="009F0307" w:rsidRPr="00EB7243" w:rsidRDefault="00EB7243" w:rsidP="00561C55">
            <w:pPr>
              <w:pStyle w:val="Tabletext"/>
              <w:jc w:val="right"/>
              <w:rPr>
                <w:rFonts w:cs="Arial"/>
                <w:bCs/>
                <w:szCs w:val="20"/>
                <w:highlight w:val="black"/>
              </w:rPr>
            </w:pPr>
            <w:r>
              <w:rPr>
                <w:rFonts w:cs="Arial"/>
                <w:bCs/>
                <w:noProof/>
                <w:color w:val="000000"/>
                <w:szCs w:val="20"/>
                <w:highlight w:val="black"/>
              </w:rPr>
              <w:t>'''''''''''''''''''</w:t>
            </w:r>
          </w:p>
        </w:tc>
        <w:tc>
          <w:tcPr>
            <w:tcW w:w="555" w:type="pct"/>
            <w:shd w:val="clear" w:color="auto" w:fill="auto"/>
            <w:vAlign w:val="bottom"/>
          </w:tcPr>
          <w:p w:rsidR="009F0307" w:rsidRPr="00EB7243" w:rsidRDefault="00EB7243" w:rsidP="00561C55">
            <w:pPr>
              <w:pStyle w:val="Tabletext"/>
              <w:jc w:val="right"/>
              <w:rPr>
                <w:rFonts w:cs="Arial"/>
                <w:bCs/>
                <w:szCs w:val="20"/>
                <w:highlight w:val="black"/>
              </w:rPr>
            </w:pPr>
            <w:r>
              <w:rPr>
                <w:rFonts w:cs="Arial"/>
                <w:bCs/>
                <w:noProof/>
                <w:color w:val="000000"/>
                <w:szCs w:val="20"/>
                <w:highlight w:val="black"/>
              </w:rPr>
              <w:t>''''''''''''''''''''</w:t>
            </w:r>
          </w:p>
        </w:tc>
        <w:tc>
          <w:tcPr>
            <w:tcW w:w="555" w:type="pct"/>
            <w:shd w:val="clear" w:color="auto" w:fill="auto"/>
            <w:vAlign w:val="bottom"/>
          </w:tcPr>
          <w:p w:rsidR="009F0307" w:rsidRPr="00EB7243" w:rsidRDefault="00EB7243" w:rsidP="00561C55">
            <w:pPr>
              <w:pStyle w:val="Tabletext"/>
              <w:jc w:val="right"/>
              <w:rPr>
                <w:rFonts w:cs="Arial"/>
                <w:bCs/>
                <w:szCs w:val="20"/>
                <w:highlight w:val="black"/>
              </w:rPr>
            </w:pPr>
            <w:r>
              <w:rPr>
                <w:rFonts w:cs="Arial"/>
                <w:bCs/>
                <w:noProof/>
                <w:color w:val="000000"/>
                <w:szCs w:val="20"/>
                <w:highlight w:val="black"/>
              </w:rPr>
              <w:t>''''''''''''''''''''</w:t>
            </w:r>
          </w:p>
        </w:tc>
        <w:tc>
          <w:tcPr>
            <w:tcW w:w="555" w:type="pct"/>
            <w:shd w:val="clear" w:color="auto" w:fill="auto"/>
            <w:vAlign w:val="bottom"/>
          </w:tcPr>
          <w:p w:rsidR="009F0307" w:rsidRPr="00EB7243" w:rsidRDefault="00EB7243" w:rsidP="00561C55">
            <w:pPr>
              <w:pStyle w:val="Tabletext"/>
              <w:jc w:val="right"/>
              <w:rPr>
                <w:rFonts w:cs="Arial"/>
                <w:bCs/>
                <w:szCs w:val="20"/>
                <w:highlight w:val="black"/>
              </w:rPr>
            </w:pPr>
            <w:r>
              <w:rPr>
                <w:rFonts w:cs="Arial"/>
                <w:bCs/>
                <w:noProof/>
                <w:color w:val="000000"/>
                <w:szCs w:val="20"/>
                <w:highlight w:val="black"/>
              </w:rPr>
              <w:t>'''''''''''''''''''</w:t>
            </w:r>
          </w:p>
        </w:tc>
        <w:tc>
          <w:tcPr>
            <w:tcW w:w="562" w:type="pct"/>
            <w:vAlign w:val="bottom"/>
          </w:tcPr>
          <w:p w:rsidR="009F0307" w:rsidRPr="00EB7243" w:rsidRDefault="00EB7243" w:rsidP="00561C55">
            <w:pPr>
              <w:pStyle w:val="Tabletext"/>
              <w:jc w:val="right"/>
              <w:rPr>
                <w:rFonts w:cs="Arial"/>
                <w:bCs/>
                <w:szCs w:val="20"/>
                <w:highlight w:val="black"/>
              </w:rPr>
            </w:pPr>
            <w:r>
              <w:rPr>
                <w:rFonts w:cs="Arial"/>
                <w:bCs/>
                <w:noProof/>
                <w:color w:val="000000"/>
                <w:szCs w:val="20"/>
                <w:highlight w:val="black"/>
              </w:rPr>
              <w:t>'''''''''''''''''''''</w:t>
            </w:r>
          </w:p>
        </w:tc>
      </w:tr>
      <w:tr w:rsidR="009F0307" w:rsidRPr="00CF568A" w:rsidTr="00564DC2">
        <w:tc>
          <w:tcPr>
            <w:tcW w:w="1662" w:type="pct"/>
            <w:shd w:val="clear" w:color="auto" w:fill="auto"/>
            <w:vAlign w:val="center"/>
          </w:tcPr>
          <w:p w:rsidR="009F0307" w:rsidRPr="00CF568A" w:rsidRDefault="009F0307" w:rsidP="00561C55">
            <w:pPr>
              <w:pStyle w:val="Tabletext"/>
              <w:rPr>
                <w:szCs w:val="20"/>
              </w:rPr>
            </w:pPr>
            <w:r w:rsidRPr="00CF568A">
              <w:rPr>
                <w:szCs w:val="20"/>
              </w:rPr>
              <w:t>Net cost to PBS/RPBS/MBS/</w:t>
            </w:r>
            <w:r w:rsidR="00DA1CEF" w:rsidRPr="00CF568A" w:rsidDel="00DA1CEF">
              <w:rPr>
                <w:szCs w:val="20"/>
              </w:rPr>
              <w:t xml:space="preserve"> </w:t>
            </w:r>
            <w:r w:rsidR="00DA1CEF">
              <w:rPr>
                <w:szCs w:val="20"/>
              </w:rPr>
              <w:t>/other</w:t>
            </w:r>
          </w:p>
        </w:tc>
        <w:tc>
          <w:tcPr>
            <w:tcW w:w="555" w:type="pct"/>
            <w:shd w:val="clear" w:color="auto" w:fill="auto"/>
            <w:vAlign w:val="center"/>
          </w:tcPr>
          <w:p w:rsidR="009F0307" w:rsidRPr="00EB7243" w:rsidRDefault="00EB7243" w:rsidP="00564DC2">
            <w:pPr>
              <w:pStyle w:val="Tabletext"/>
              <w:jc w:val="right"/>
              <w:rPr>
                <w:rFonts w:cs="Arial"/>
                <w:bCs/>
                <w:szCs w:val="20"/>
                <w:highlight w:val="black"/>
              </w:rPr>
            </w:pPr>
            <w:r>
              <w:rPr>
                <w:rFonts w:cs="Arial"/>
                <w:bCs/>
                <w:noProof/>
                <w:color w:val="000000"/>
                <w:szCs w:val="20"/>
                <w:highlight w:val="black"/>
              </w:rPr>
              <w:t>'''''''''''''''''''''''''</w:t>
            </w:r>
          </w:p>
        </w:tc>
        <w:tc>
          <w:tcPr>
            <w:tcW w:w="556" w:type="pct"/>
            <w:shd w:val="clear" w:color="auto" w:fill="auto"/>
            <w:vAlign w:val="center"/>
          </w:tcPr>
          <w:p w:rsidR="009F0307" w:rsidRPr="00EB7243" w:rsidRDefault="00EB7243" w:rsidP="00564DC2">
            <w:pPr>
              <w:pStyle w:val="Tabletext"/>
              <w:jc w:val="right"/>
              <w:rPr>
                <w:rFonts w:cs="Arial"/>
                <w:bCs/>
                <w:szCs w:val="20"/>
                <w:highlight w:val="black"/>
              </w:rPr>
            </w:pPr>
            <w:r>
              <w:rPr>
                <w:rFonts w:cs="Arial"/>
                <w:bCs/>
                <w:noProof/>
                <w:color w:val="000000"/>
                <w:szCs w:val="20"/>
                <w:highlight w:val="black"/>
              </w:rPr>
              <w:t>'''''''''''''''''''''''''''''</w:t>
            </w:r>
          </w:p>
        </w:tc>
        <w:tc>
          <w:tcPr>
            <w:tcW w:w="555" w:type="pct"/>
            <w:shd w:val="clear" w:color="auto" w:fill="auto"/>
            <w:vAlign w:val="center"/>
          </w:tcPr>
          <w:p w:rsidR="009F0307" w:rsidRPr="00EB7243" w:rsidRDefault="00EB7243" w:rsidP="00564DC2">
            <w:pPr>
              <w:pStyle w:val="Tabletext"/>
              <w:jc w:val="right"/>
              <w:rPr>
                <w:rFonts w:cs="Arial"/>
                <w:bCs/>
                <w:szCs w:val="20"/>
                <w:highlight w:val="black"/>
              </w:rPr>
            </w:pPr>
            <w:r>
              <w:rPr>
                <w:rFonts w:cs="Arial"/>
                <w:bCs/>
                <w:noProof/>
                <w:color w:val="000000"/>
                <w:szCs w:val="20"/>
                <w:highlight w:val="black"/>
              </w:rPr>
              <w:t>'''''''''''''''''''''''</w:t>
            </w:r>
          </w:p>
        </w:tc>
        <w:tc>
          <w:tcPr>
            <w:tcW w:w="555" w:type="pct"/>
            <w:shd w:val="clear" w:color="auto" w:fill="auto"/>
            <w:vAlign w:val="center"/>
          </w:tcPr>
          <w:p w:rsidR="009F0307" w:rsidRPr="00EB7243" w:rsidRDefault="00EB7243" w:rsidP="00564DC2">
            <w:pPr>
              <w:pStyle w:val="Tabletext"/>
              <w:jc w:val="right"/>
              <w:rPr>
                <w:rFonts w:cs="Arial"/>
                <w:bCs/>
                <w:szCs w:val="20"/>
                <w:highlight w:val="black"/>
              </w:rPr>
            </w:pPr>
            <w:r>
              <w:rPr>
                <w:rFonts w:cs="Arial"/>
                <w:bCs/>
                <w:noProof/>
                <w:color w:val="000000"/>
                <w:szCs w:val="20"/>
                <w:highlight w:val="black"/>
              </w:rPr>
              <w:t>''''''''''''''''''''''''</w:t>
            </w:r>
          </w:p>
        </w:tc>
        <w:tc>
          <w:tcPr>
            <w:tcW w:w="555" w:type="pct"/>
            <w:shd w:val="clear" w:color="auto" w:fill="auto"/>
            <w:vAlign w:val="center"/>
          </w:tcPr>
          <w:p w:rsidR="009F0307" w:rsidRPr="00EB7243" w:rsidRDefault="00EB7243" w:rsidP="00564DC2">
            <w:pPr>
              <w:pStyle w:val="Tabletext"/>
              <w:jc w:val="right"/>
              <w:rPr>
                <w:rFonts w:cs="Arial"/>
                <w:bCs/>
                <w:szCs w:val="20"/>
                <w:highlight w:val="black"/>
              </w:rPr>
            </w:pPr>
            <w:r>
              <w:rPr>
                <w:rFonts w:cs="Arial"/>
                <w:bCs/>
                <w:noProof/>
                <w:color w:val="000000"/>
                <w:szCs w:val="20"/>
                <w:highlight w:val="black"/>
              </w:rPr>
              <w:t>'''''''''''''''''''''''''''''</w:t>
            </w:r>
          </w:p>
        </w:tc>
        <w:tc>
          <w:tcPr>
            <w:tcW w:w="562" w:type="pct"/>
            <w:vAlign w:val="center"/>
          </w:tcPr>
          <w:p w:rsidR="009F0307" w:rsidRPr="00EB7243" w:rsidRDefault="00EB7243" w:rsidP="00564DC2">
            <w:pPr>
              <w:pStyle w:val="Tabletext"/>
              <w:jc w:val="right"/>
              <w:rPr>
                <w:rFonts w:cs="Arial"/>
                <w:bCs/>
                <w:szCs w:val="20"/>
                <w:highlight w:val="black"/>
              </w:rPr>
            </w:pPr>
            <w:r>
              <w:rPr>
                <w:rFonts w:cs="Arial"/>
                <w:bCs/>
                <w:noProof/>
                <w:color w:val="000000"/>
                <w:szCs w:val="20"/>
                <w:highlight w:val="black"/>
              </w:rPr>
              <w:t>''''''''''''''''''''''''</w:t>
            </w:r>
          </w:p>
        </w:tc>
      </w:tr>
    </w:tbl>
    <w:p w:rsidR="009F0307" w:rsidRDefault="009F0307" w:rsidP="00561C55">
      <w:pPr>
        <w:pStyle w:val="TableFooter"/>
        <w:widowControl/>
        <w:tabs>
          <w:tab w:val="left" w:pos="142"/>
        </w:tabs>
      </w:pPr>
      <w:r w:rsidRPr="000E3253">
        <w:rPr>
          <w:vertAlign w:val="superscript"/>
        </w:rPr>
        <w:t>a</w:t>
      </w:r>
      <w:r w:rsidRPr="000E3253">
        <w:tab/>
        <w:t>Assuming an average of 8 scripts (</w:t>
      </w:r>
      <w:r w:rsidR="00A20D34">
        <w:t xml:space="preserve">8.6 months duration; </w:t>
      </w:r>
      <w:r w:rsidRPr="000E3253">
        <w:t xml:space="preserve">8.73 packs </w:t>
      </w:r>
      <w:r w:rsidR="00A20D34">
        <w:t>1</w:t>
      </w:r>
      <w:r w:rsidR="001938A2">
        <w:t xml:space="preserve"> </w:t>
      </w:r>
      <w:r w:rsidR="00A20D34">
        <w:t xml:space="preserve">mg strength </w:t>
      </w:r>
      <w:r w:rsidRPr="000E3253">
        <w:t>* 91.7% RDI) per year as estimated by the submission.</w:t>
      </w:r>
    </w:p>
    <w:p w:rsidR="00BF2FC8" w:rsidRPr="000E3253" w:rsidRDefault="00BF2FC8" w:rsidP="00561C55">
      <w:pPr>
        <w:pStyle w:val="TableFooter"/>
        <w:widowControl/>
        <w:tabs>
          <w:tab w:val="left" w:pos="142"/>
        </w:tabs>
      </w:pPr>
      <w:r w:rsidRPr="00BF2FC8">
        <w:t xml:space="preserve">* </w:t>
      </w:r>
      <w:r w:rsidR="00EB7243">
        <w:rPr>
          <w:noProof/>
          <w:color w:val="000000"/>
          <w:highlight w:val="black"/>
        </w:rPr>
        <w:t>''''''</w:t>
      </w:r>
      <w:r w:rsidRPr="00BF2FC8">
        <w:t xml:space="preserve"> additional patients from Pfizer’s Compassionate Access Program to be grandfathered onto PBS in Year 1 of PBS listing.</w:t>
      </w:r>
    </w:p>
    <w:p w:rsidR="009F0307" w:rsidRPr="000E3253" w:rsidRDefault="009F0307" w:rsidP="00561C55">
      <w:pPr>
        <w:pStyle w:val="TableFooter"/>
        <w:widowControl/>
        <w:rPr>
          <w:rStyle w:val="CommentReference"/>
        </w:rPr>
      </w:pPr>
      <w:r w:rsidRPr="000E3253">
        <w:t xml:space="preserve">Source: Compiled during the evaluation based on information presented in </w:t>
      </w:r>
      <w:r w:rsidR="00CF568A">
        <w:t>Section 4 of the submission</w:t>
      </w:r>
    </w:p>
    <w:p w:rsidR="009F0307" w:rsidRDefault="009F0307" w:rsidP="00561C55">
      <w:pPr>
        <w:widowControl/>
      </w:pPr>
    </w:p>
    <w:p w:rsidR="004C0A6D" w:rsidRPr="004C0A6D" w:rsidRDefault="004C0A6D" w:rsidP="004C0A6D">
      <w:pPr>
        <w:rPr>
          <w:rFonts w:asciiTheme="minorHAnsi" w:hAnsiTheme="minorHAnsi"/>
          <w:szCs w:val="24"/>
        </w:rPr>
      </w:pPr>
      <w:r w:rsidRPr="004C0A6D">
        <w:rPr>
          <w:rFonts w:asciiTheme="minorHAnsi" w:hAnsiTheme="minorHAnsi"/>
          <w:szCs w:val="24"/>
        </w:rPr>
        <w:lastRenderedPageBreak/>
        <w:t>The red</w:t>
      </w:r>
      <w:r>
        <w:rPr>
          <w:rFonts w:asciiTheme="minorHAnsi" w:hAnsiTheme="minorHAnsi"/>
          <w:szCs w:val="24"/>
        </w:rPr>
        <w:t>acted table shows that at Year 6</w:t>
      </w:r>
      <w:r w:rsidRPr="004C0A6D">
        <w:rPr>
          <w:rFonts w:asciiTheme="minorHAnsi" w:hAnsiTheme="minorHAnsi"/>
          <w:szCs w:val="24"/>
        </w:rPr>
        <w:t>, the estimated number of patients was &lt;</w:t>
      </w:r>
      <w:r>
        <w:rPr>
          <w:rFonts w:asciiTheme="minorHAnsi" w:hAnsiTheme="minorHAnsi"/>
          <w:szCs w:val="24"/>
        </w:rPr>
        <w:t>500</w:t>
      </w:r>
      <w:r w:rsidRPr="004C0A6D">
        <w:rPr>
          <w:rFonts w:asciiTheme="minorHAnsi" w:hAnsiTheme="minorHAnsi"/>
          <w:szCs w:val="24"/>
        </w:rPr>
        <w:t xml:space="preserve"> and the net cost to the PBS would be </w:t>
      </w:r>
      <w:r>
        <w:rPr>
          <w:rFonts w:asciiTheme="minorHAnsi" w:hAnsiTheme="minorHAnsi"/>
          <w:szCs w:val="24"/>
        </w:rPr>
        <w:t>$0 – 10 million per year.</w:t>
      </w:r>
    </w:p>
    <w:p w:rsidR="004C0A6D" w:rsidRPr="000E3253" w:rsidRDefault="004C0A6D" w:rsidP="00561C55">
      <w:pPr>
        <w:widowControl/>
      </w:pPr>
    </w:p>
    <w:p w:rsidR="009F0307" w:rsidRPr="000E3253" w:rsidRDefault="009F0307" w:rsidP="00C825DD">
      <w:pPr>
        <w:pStyle w:val="Heading2"/>
        <w:keepNext/>
        <w:widowControl/>
      </w:pPr>
      <w:bookmarkStart w:id="24" w:name="_Toc19717388"/>
      <w:r w:rsidRPr="000E3253">
        <w:t>Quality Use of Medicines</w:t>
      </w:r>
      <w:bookmarkEnd w:id="24"/>
    </w:p>
    <w:p w:rsidR="009F0307" w:rsidRPr="000E3253" w:rsidRDefault="009F0307" w:rsidP="00C825DD">
      <w:pPr>
        <w:keepNext/>
        <w:widowControl/>
      </w:pPr>
    </w:p>
    <w:p w:rsidR="009F0307" w:rsidRPr="000E3253" w:rsidRDefault="009F0307" w:rsidP="00C825DD">
      <w:pPr>
        <w:pStyle w:val="ListParagraph"/>
        <w:keepNext/>
        <w:widowControl/>
        <w:numPr>
          <w:ilvl w:val="1"/>
          <w:numId w:val="3"/>
        </w:numPr>
        <w:rPr>
          <w:color w:val="000000" w:themeColor="text1"/>
        </w:rPr>
      </w:pPr>
      <w:r w:rsidRPr="000E3253">
        <w:rPr>
          <w:color w:val="000000" w:themeColor="text1"/>
        </w:rPr>
        <w:t>The sponsor detailed a number of activities designed to support the quality use of medicines, including:</w:t>
      </w:r>
    </w:p>
    <w:p w:rsidR="009F0307" w:rsidRPr="000E3253" w:rsidRDefault="009F0307" w:rsidP="00564DC2">
      <w:pPr>
        <w:pStyle w:val="Bulletpoints"/>
        <w:widowControl/>
        <w:ind w:left="1077" w:hanging="357"/>
      </w:pPr>
      <w:r w:rsidRPr="000E3253">
        <w:t xml:space="preserve">Provision of education materials for talazoparib to relevant health care professionals. </w:t>
      </w:r>
    </w:p>
    <w:p w:rsidR="009F0307" w:rsidRPr="000E3253" w:rsidRDefault="009F0307" w:rsidP="00564DC2">
      <w:pPr>
        <w:pStyle w:val="Bulletpoints"/>
        <w:widowControl/>
        <w:ind w:left="1077" w:hanging="357"/>
      </w:pPr>
      <w:r w:rsidRPr="000E3253">
        <w:t xml:space="preserve">Evidence-based information and other support for patients. </w:t>
      </w:r>
    </w:p>
    <w:p w:rsidR="00575984" w:rsidRDefault="00575984" w:rsidP="00575984">
      <w:pPr>
        <w:pStyle w:val="Bulletpoints"/>
        <w:widowControl/>
        <w:numPr>
          <w:ilvl w:val="0"/>
          <w:numId w:val="0"/>
        </w:numPr>
        <w:ind w:left="1276"/>
      </w:pPr>
    </w:p>
    <w:p w:rsidR="00575984" w:rsidRPr="00575984" w:rsidRDefault="00575984" w:rsidP="00575984">
      <w:pPr>
        <w:pStyle w:val="ListParagraph"/>
        <w:ind w:left="709"/>
        <w:rPr>
          <w:rFonts w:asciiTheme="minorHAnsi" w:hAnsiTheme="minorHAnsi"/>
          <w:i/>
        </w:rPr>
      </w:pPr>
      <w:r w:rsidRPr="00525B39">
        <w:rPr>
          <w:rFonts w:asciiTheme="minorHAnsi" w:hAnsiTheme="minorHAnsi"/>
          <w:i/>
        </w:rPr>
        <w:t>For more detail on PBAC’s view, see section 7 PBAC outcome.</w:t>
      </w:r>
    </w:p>
    <w:p w:rsidR="006460BE" w:rsidRDefault="006460BE" w:rsidP="00564DC2">
      <w:pPr>
        <w:pStyle w:val="PBACHeading1"/>
        <w:keepNext/>
      </w:pPr>
      <w:r>
        <w:t xml:space="preserve">PBAC Outcome </w:t>
      </w:r>
    </w:p>
    <w:p w:rsidR="009F0307" w:rsidRPr="000E3253" w:rsidRDefault="009F0307" w:rsidP="00564DC2">
      <w:pPr>
        <w:keepNext/>
        <w:widowControl/>
      </w:pPr>
    </w:p>
    <w:p w:rsidR="006460BE" w:rsidRDefault="004B3098" w:rsidP="00564DC2">
      <w:pPr>
        <w:keepNext/>
        <w:widowControl/>
        <w:numPr>
          <w:ilvl w:val="1"/>
          <w:numId w:val="3"/>
        </w:numPr>
        <w:spacing w:after="120"/>
        <w:rPr>
          <w:rFonts w:asciiTheme="minorHAnsi" w:hAnsiTheme="minorHAnsi"/>
          <w:bCs/>
          <w:szCs w:val="24"/>
          <w:lang w:val="en-GB"/>
        </w:rPr>
      </w:pPr>
      <w:r>
        <w:rPr>
          <w:rFonts w:asciiTheme="minorHAnsi" w:hAnsiTheme="minorHAnsi"/>
          <w:bCs/>
          <w:szCs w:val="24"/>
          <w:lang w:val="en-GB"/>
        </w:rPr>
        <w:t xml:space="preserve">The PBAC did not recommend the listing of talazoparib for the treatment of patients with germline breast cancer susceptibility gene mutated (gBRCAm) </w:t>
      </w:r>
      <w:r w:rsidR="00BF4109">
        <w:rPr>
          <w:rFonts w:asciiTheme="minorHAnsi" w:hAnsiTheme="minorHAnsi"/>
          <w:bCs/>
          <w:szCs w:val="24"/>
          <w:lang w:val="en-GB"/>
        </w:rPr>
        <w:t>human epidermal growth factor receptor negative (HER2-) locally advanced inoperable or metastatic breast cancer</w:t>
      </w:r>
      <w:r w:rsidR="00A860B1">
        <w:rPr>
          <w:rFonts w:asciiTheme="minorHAnsi" w:hAnsiTheme="minorHAnsi"/>
          <w:bCs/>
          <w:szCs w:val="24"/>
          <w:lang w:val="en-GB"/>
        </w:rPr>
        <w:t xml:space="preserve">. </w:t>
      </w:r>
      <w:r w:rsidR="001E1533">
        <w:rPr>
          <w:rFonts w:asciiTheme="minorHAnsi" w:hAnsiTheme="minorHAnsi"/>
          <w:bCs/>
          <w:szCs w:val="24"/>
          <w:lang w:val="en-GB"/>
        </w:rPr>
        <w:t xml:space="preserve">The </w:t>
      </w:r>
      <w:r w:rsidR="00782F8B">
        <w:rPr>
          <w:rFonts w:asciiTheme="minorHAnsi" w:hAnsiTheme="minorHAnsi"/>
          <w:bCs/>
          <w:szCs w:val="24"/>
          <w:lang w:val="en-GB"/>
        </w:rPr>
        <w:t xml:space="preserve">PBAC considered that although treatment with talazoparib provided a moderate benefit in terms of </w:t>
      </w:r>
      <w:r w:rsidR="0009541B">
        <w:rPr>
          <w:rFonts w:asciiTheme="minorHAnsi" w:hAnsiTheme="minorHAnsi"/>
          <w:bCs/>
          <w:szCs w:val="24"/>
          <w:lang w:val="en-GB"/>
        </w:rPr>
        <w:t xml:space="preserve">progression free survival (PFS), </w:t>
      </w:r>
      <w:r w:rsidR="002C0D6B">
        <w:rPr>
          <w:rFonts w:asciiTheme="minorHAnsi" w:hAnsiTheme="minorHAnsi"/>
          <w:bCs/>
          <w:szCs w:val="24"/>
          <w:lang w:val="en-GB"/>
        </w:rPr>
        <w:t>it was unclear</w:t>
      </w:r>
      <w:r w:rsidR="00D5581F">
        <w:rPr>
          <w:rFonts w:asciiTheme="minorHAnsi" w:hAnsiTheme="minorHAnsi"/>
          <w:bCs/>
          <w:szCs w:val="24"/>
          <w:lang w:val="en-GB"/>
        </w:rPr>
        <w:t xml:space="preserve"> given the immature data</w:t>
      </w:r>
      <w:r w:rsidR="002C0D6B">
        <w:rPr>
          <w:rFonts w:asciiTheme="minorHAnsi" w:hAnsiTheme="minorHAnsi"/>
          <w:bCs/>
          <w:szCs w:val="24"/>
          <w:lang w:val="en-GB"/>
        </w:rPr>
        <w:t xml:space="preserve"> whether talazoparib would lead to any gains in</w:t>
      </w:r>
      <w:r w:rsidR="00D12909">
        <w:rPr>
          <w:rFonts w:asciiTheme="minorHAnsi" w:hAnsiTheme="minorHAnsi"/>
          <w:bCs/>
          <w:szCs w:val="24"/>
          <w:lang w:val="en-GB"/>
        </w:rPr>
        <w:t xml:space="preserve"> overall survival</w:t>
      </w:r>
      <w:r w:rsidR="00BD65C0">
        <w:rPr>
          <w:rFonts w:asciiTheme="minorHAnsi" w:hAnsiTheme="minorHAnsi"/>
          <w:bCs/>
          <w:szCs w:val="24"/>
          <w:lang w:val="en-GB"/>
        </w:rPr>
        <w:t xml:space="preserve"> (OS)</w:t>
      </w:r>
      <w:r w:rsidR="00A45C1B">
        <w:rPr>
          <w:rFonts w:asciiTheme="minorHAnsi" w:hAnsiTheme="minorHAnsi"/>
          <w:bCs/>
          <w:szCs w:val="24"/>
          <w:lang w:val="en-GB"/>
        </w:rPr>
        <w:t>. T</w:t>
      </w:r>
      <w:r w:rsidR="007C08B3">
        <w:rPr>
          <w:rFonts w:asciiTheme="minorHAnsi" w:hAnsiTheme="minorHAnsi"/>
          <w:bCs/>
          <w:szCs w:val="24"/>
          <w:lang w:val="en-GB"/>
        </w:rPr>
        <w:t>he</w:t>
      </w:r>
      <w:r w:rsidR="00D12909">
        <w:rPr>
          <w:rFonts w:asciiTheme="minorHAnsi" w:hAnsiTheme="minorHAnsi"/>
          <w:bCs/>
          <w:szCs w:val="24"/>
          <w:lang w:val="en-GB"/>
        </w:rPr>
        <w:t xml:space="preserve"> PBAC considered t</w:t>
      </w:r>
      <w:r w:rsidR="00BD65C0">
        <w:rPr>
          <w:rFonts w:asciiTheme="minorHAnsi" w:hAnsiTheme="minorHAnsi"/>
          <w:bCs/>
          <w:szCs w:val="24"/>
          <w:lang w:val="en-GB"/>
        </w:rPr>
        <w:t xml:space="preserve">he modelled incremental OS </w:t>
      </w:r>
      <w:r w:rsidR="00F53716">
        <w:rPr>
          <w:rFonts w:asciiTheme="minorHAnsi" w:hAnsiTheme="minorHAnsi"/>
          <w:bCs/>
          <w:szCs w:val="24"/>
          <w:lang w:val="en-GB"/>
        </w:rPr>
        <w:t>benefit</w:t>
      </w:r>
      <w:r w:rsidR="007C08B3">
        <w:rPr>
          <w:rFonts w:asciiTheme="minorHAnsi" w:hAnsiTheme="minorHAnsi"/>
          <w:bCs/>
          <w:szCs w:val="24"/>
          <w:lang w:val="en-GB"/>
        </w:rPr>
        <w:t xml:space="preserve"> </w:t>
      </w:r>
      <w:r w:rsidR="00CF0DB5">
        <w:rPr>
          <w:rFonts w:asciiTheme="minorHAnsi" w:hAnsiTheme="minorHAnsi"/>
          <w:bCs/>
          <w:szCs w:val="24"/>
          <w:lang w:val="en-GB"/>
        </w:rPr>
        <w:t xml:space="preserve">was </w:t>
      </w:r>
      <w:r w:rsidR="00A45C1B">
        <w:rPr>
          <w:rFonts w:asciiTheme="minorHAnsi" w:hAnsiTheme="minorHAnsi"/>
          <w:bCs/>
          <w:szCs w:val="24"/>
          <w:lang w:val="en-GB"/>
        </w:rPr>
        <w:t xml:space="preserve">optimistic and </w:t>
      </w:r>
      <w:r w:rsidR="006C51EE">
        <w:rPr>
          <w:rFonts w:asciiTheme="minorHAnsi" w:hAnsiTheme="minorHAnsi"/>
          <w:bCs/>
          <w:szCs w:val="24"/>
          <w:lang w:val="en-GB"/>
        </w:rPr>
        <w:t>the</w:t>
      </w:r>
      <w:r w:rsidR="00CF0DB5">
        <w:rPr>
          <w:rFonts w:asciiTheme="minorHAnsi" w:hAnsiTheme="minorHAnsi"/>
          <w:bCs/>
          <w:szCs w:val="24"/>
          <w:lang w:val="en-GB"/>
        </w:rPr>
        <w:t xml:space="preserve"> ICER</w:t>
      </w:r>
      <w:r w:rsidR="006C51EE">
        <w:rPr>
          <w:rFonts w:asciiTheme="minorHAnsi" w:hAnsiTheme="minorHAnsi"/>
          <w:bCs/>
          <w:szCs w:val="24"/>
          <w:lang w:val="en-GB"/>
        </w:rPr>
        <w:t xml:space="preserve"> was</w:t>
      </w:r>
      <w:r w:rsidR="00FC61A3">
        <w:rPr>
          <w:rFonts w:asciiTheme="minorHAnsi" w:hAnsiTheme="minorHAnsi"/>
          <w:bCs/>
          <w:szCs w:val="24"/>
          <w:lang w:val="en-GB"/>
        </w:rPr>
        <w:t xml:space="preserve"> unacceptably high, </w:t>
      </w:r>
      <w:r w:rsidR="00CF0DB5">
        <w:rPr>
          <w:rFonts w:asciiTheme="minorHAnsi" w:hAnsiTheme="minorHAnsi"/>
          <w:bCs/>
          <w:szCs w:val="24"/>
          <w:lang w:val="en-GB"/>
        </w:rPr>
        <w:t>uncertain and</w:t>
      </w:r>
      <w:r w:rsidR="00A45C1B">
        <w:rPr>
          <w:rFonts w:asciiTheme="minorHAnsi" w:hAnsiTheme="minorHAnsi"/>
          <w:bCs/>
          <w:szCs w:val="24"/>
          <w:lang w:val="en-GB"/>
        </w:rPr>
        <w:t xml:space="preserve"> </w:t>
      </w:r>
      <w:r w:rsidR="002F6C7F">
        <w:rPr>
          <w:rFonts w:asciiTheme="minorHAnsi" w:hAnsiTheme="minorHAnsi"/>
          <w:bCs/>
          <w:szCs w:val="24"/>
          <w:lang w:val="en-GB"/>
        </w:rPr>
        <w:t>potentially</w:t>
      </w:r>
      <w:r w:rsidR="00CF0DB5">
        <w:rPr>
          <w:rFonts w:asciiTheme="minorHAnsi" w:hAnsiTheme="minorHAnsi"/>
          <w:bCs/>
          <w:szCs w:val="24"/>
          <w:lang w:val="en-GB"/>
        </w:rPr>
        <w:t xml:space="preserve"> underestimated</w:t>
      </w:r>
      <w:r w:rsidR="00A45C1B">
        <w:rPr>
          <w:rFonts w:asciiTheme="minorHAnsi" w:hAnsiTheme="minorHAnsi"/>
          <w:bCs/>
          <w:szCs w:val="24"/>
          <w:lang w:val="en-GB"/>
        </w:rPr>
        <w:t xml:space="preserve">. </w:t>
      </w:r>
    </w:p>
    <w:p w:rsidR="00C646D8" w:rsidRDefault="009A7EA8" w:rsidP="00F5612A">
      <w:pPr>
        <w:widowControl/>
        <w:numPr>
          <w:ilvl w:val="1"/>
          <w:numId w:val="3"/>
        </w:numPr>
        <w:spacing w:after="120"/>
        <w:rPr>
          <w:rFonts w:asciiTheme="minorHAnsi" w:hAnsiTheme="minorHAnsi"/>
          <w:bCs/>
          <w:szCs w:val="24"/>
          <w:lang w:val="en-GB"/>
        </w:rPr>
      </w:pPr>
      <w:r>
        <w:rPr>
          <w:rFonts w:asciiTheme="minorHAnsi" w:hAnsiTheme="minorHAnsi"/>
          <w:bCs/>
          <w:szCs w:val="24"/>
          <w:lang w:val="en-GB"/>
        </w:rPr>
        <w:t xml:space="preserve">The PBAC acknowledged </w:t>
      </w:r>
      <w:r w:rsidR="00822028">
        <w:rPr>
          <w:rFonts w:asciiTheme="minorHAnsi" w:hAnsiTheme="minorHAnsi"/>
          <w:bCs/>
          <w:szCs w:val="24"/>
          <w:lang w:val="en-GB"/>
        </w:rPr>
        <w:t xml:space="preserve">there is a clinical </w:t>
      </w:r>
      <w:r>
        <w:rPr>
          <w:rFonts w:asciiTheme="minorHAnsi" w:hAnsiTheme="minorHAnsi"/>
          <w:bCs/>
          <w:szCs w:val="24"/>
          <w:lang w:val="en-GB"/>
        </w:rPr>
        <w:t>need for</w:t>
      </w:r>
      <w:r w:rsidR="00D5581F">
        <w:rPr>
          <w:rFonts w:asciiTheme="minorHAnsi" w:hAnsiTheme="minorHAnsi"/>
          <w:bCs/>
          <w:szCs w:val="24"/>
          <w:lang w:val="en-GB"/>
        </w:rPr>
        <w:t xml:space="preserve"> more</w:t>
      </w:r>
      <w:r>
        <w:rPr>
          <w:rFonts w:asciiTheme="minorHAnsi" w:hAnsiTheme="minorHAnsi"/>
          <w:bCs/>
          <w:szCs w:val="24"/>
          <w:lang w:val="en-GB"/>
        </w:rPr>
        <w:t xml:space="preserve"> effective therapies </w:t>
      </w:r>
      <w:r w:rsidR="00301A29">
        <w:rPr>
          <w:rFonts w:asciiTheme="minorHAnsi" w:hAnsiTheme="minorHAnsi"/>
          <w:bCs/>
          <w:szCs w:val="24"/>
          <w:lang w:val="en-GB"/>
        </w:rPr>
        <w:t xml:space="preserve">for patients </w:t>
      </w:r>
      <w:r w:rsidR="00822028">
        <w:rPr>
          <w:rFonts w:asciiTheme="minorHAnsi" w:hAnsiTheme="minorHAnsi"/>
          <w:bCs/>
          <w:szCs w:val="24"/>
          <w:lang w:val="en-GB"/>
        </w:rPr>
        <w:t>with gBRCAm HER2- breast cancer</w:t>
      </w:r>
      <w:r w:rsidR="00D5581F">
        <w:rPr>
          <w:rFonts w:asciiTheme="minorHAnsi" w:hAnsiTheme="minorHAnsi"/>
          <w:bCs/>
          <w:szCs w:val="24"/>
          <w:lang w:val="en-GB"/>
        </w:rPr>
        <w:t>,</w:t>
      </w:r>
      <w:r w:rsidR="00822028">
        <w:rPr>
          <w:rFonts w:asciiTheme="minorHAnsi" w:hAnsiTheme="minorHAnsi"/>
          <w:bCs/>
          <w:szCs w:val="24"/>
          <w:lang w:val="en-GB"/>
        </w:rPr>
        <w:t xml:space="preserve"> and that this need was highest for patients with</w:t>
      </w:r>
      <w:r w:rsidR="00FC7ED5">
        <w:rPr>
          <w:rFonts w:asciiTheme="minorHAnsi" w:hAnsiTheme="minorHAnsi"/>
          <w:bCs/>
          <w:szCs w:val="24"/>
          <w:lang w:val="en-GB"/>
        </w:rPr>
        <w:t xml:space="preserve"> the more aggressive</w:t>
      </w:r>
      <w:r w:rsidR="00822028">
        <w:rPr>
          <w:rFonts w:asciiTheme="minorHAnsi" w:hAnsiTheme="minorHAnsi"/>
          <w:bCs/>
          <w:szCs w:val="24"/>
          <w:lang w:val="en-GB"/>
        </w:rPr>
        <w:t xml:space="preserve"> triple negative</w:t>
      </w:r>
      <w:r w:rsidR="00FC7ED5">
        <w:rPr>
          <w:rFonts w:asciiTheme="minorHAnsi" w:hAnsiTheme="minorHAnsi"/>
          <w:bCs/>
          <w:szCs w:val="24"/>
          <w:lang w:val="en-GB"/>
        </w:rPr>
        <w:t xml:space="preserve"> form of</w:t>
      </w:r>
      <w:r w:rsidR="00822028">
        <w:rPr>
          <w:rFonts w:asciiTheme="minorHAnsi" w:hAnsiTheme="minorHAnsi"/>
          <w:bCs/>
          <w:szCs w:val="24"/>
          <w:lang w:val="en-GB"/>
        </w:rPr>
        <w:t xml:space="preserve"> breast cancer</w:t>
      </w:r>
      <w:r w:rsidR="00D2293B">
        <w:rPr>
          <w:rFonts w:asciiTheme="minorHAnsi" w:hAnsiTheme="minorHAnsi"/>
          <w:bCs/>
          <w:szCs w:val="24"/>
          <w:lang w:val="en-GB"/>
        </w:rPr>
        <w:t xml:space="preserve"> in whom </w:t>
      </w:r>
      <w:r w:rsidR="00D5581F">
        <w:rPr>
          <w:rFonts w:asciiTheme="minorHAnsi" w:hAnsiTheme="minorHAnsi"/>
          <w:bCs/>
          <w:szCs w:val="24"/>
          <w:lang w:val="en-GB"/>
        </w:rPr>
        <w:t>outcomes remain</w:t>
      </w:r>
      <w:r w:rsidR="00D2293B">
        <w:rPr>
          <w:rFonts w:asciiTheme="minorHAnsi" w:hAnsiTheme="minorHAnsi"/>
          <w:bCs/>
          <w:szCs w:val="24"/>
          <w:lang w:val="en-GB"/>
        </w:rPr>
        <w:t xml:space="preserve"> poor despite the range of systemic therapies available</w:t>
      </w:r>
      <w:r w:rsidR="00ED498A">
        <w:rPr>
          <w:rFonts w:asciiTheme="minorHAnsi" w:hAnsiTheme="minorHAnsi"/>
          <w:bCs/>
          <w:szCs w:val="24"/>
          <w:lang w:val="en-GB"/>
        </w:rPr>
        <w:t xml:space="preserve">. </w:t>
      </w:r>
      <w:r w:rsidR="00493BCA">
        <w:rPr>
          <w:rFonts w:asciiTheme="minorHAnsi" w:hAnsiTheme="minorHAnsi"/>
          <w:bCs/>
          <w:szCs w:val="24"/>
          <w:lang w:val="en-GB"/>
        </w:rPr>
        <w:t xml:space="preserve">The PBAC noted </w:t>
      </w:r>
      <w:r w:rsidR="00B92D58">
        <w:rPr>
          <w:rFonts w:asciiTheme="minorHAnsi" w:hAnsiTheme="minorHAnsi"/>
          <w:bCs/>
          <w:szCs w:val="24"/>
          <w:lang w:val="en-GB"/>
        </w:rPr>
        <w:t>that the</w:t>
      </w:r>
      <w:r w:rsidR="00493BCA">
        <w:rPr>
          <w:rFonts w:asciiTheme="minorHAnsi" w:hAnsiTheme="minorHAnsi"/>
          <w:bCs/>
          <w:szCs w:val="24"/>
          <w:lang w:val="en-GB"/>
        </w:rPr>
        <w:t xml:space="preserve"> majority of patients with </w:t>
      </w:r>
      <w:r w:rsidR="0038316D">
        <w:rPr>
          <w:rFonts w:asciiTheme="minorHAnsi" w:hAnsiTheme="minorHAnsi"/>
          <w:bCs/>
          <w:szCs w:val="24"/>
          <w:lang w:val="en-GB"/>
        </w:rPr>
        <w:t xml:space="preserve">a germline BRCA mutation </w:t>
      </w:r>
      <w:r w:rsidR="00240466">
        <w:rPr>
          <w:rFonts w:asciiTheme="minorHAnsi" w:hAnsiTheme="minorHAnsi"/>
          <w:bCs/>
          <w:szCs w:val="24"/>
          <w:lang w:val="en-GB"/>
        </w:rPr>
        <w:t xml:space="preserve">would </w:t>
      </w:r>
      <w:r w:rsidR="0038316D">
        <w:rPr>
          <w:rFonts w:asciiTheme="minorHAnsi" w:hAnsiTheme="minorHAnsi"/>
          <w:bCs/>
          <w:szCs w:val="24"/>
          <w:lang w:val="en-GB"/>
        </w:rPr>
        <w:t>have</w:t>
      </w:r>
      <w:r w:rsidR="00B92D58">
        <w:rPr>
          <w:rFonts w:asciiTheme="minorHAnsi" w:hAnsiTheme="minorHAnsi"/>
          <w:bCs/>
          <w:szCs w:val="24"/>
          <w:lang w:val="en-GB"/>
        </w:rPr>
        <w:t xml:space="preserve"> triple negative breast cancer. </w:t>
      </w:r>
    </w:p>
    <w:p w:rsidR="00B92D58" w:rsidRDefault="00D23BBE" w:rsidP="00F5612A">
      <w:pPr>
        <w:widowControl/>
        <w:numPr>
          <w:ilvl w:val="1"/>
          <w:numId w:val="3"/>
        </w:numPr>
        <w:spacing w:after="120"/>
        <w:rPr>
          <w:rFonts w:asciiTheme="minorHAnsi" w:hAnsiTheme="minorHAnsi"/>
          <w:bCs/>
          <w:szCs w:val="24"/>
          <w:lang w:val="en-GB"/>
        </w:rPr>
      </w:pPr>
      <w:r>
        <w:rPr>
          <w:rFonts w:asciiTheme="minorHAnsi" w:hAnsiTheme="minorHAnsi"/>
          <w:bCs/>
          <w:szCs w:val="24"/>
          <w:lang w:val="en-GB"/>
        </w:rPr>
        <w:t xml:space="preserve">The PBAC considered that </w:t>
      </w:r>
      <w:r w:rsidR="0074648E">
        <w:rPr>
          <w:rFonts w:asciiTheme="minorHAnsi" w:hAnsiTheme="minorHAnsi"/>
          <w:bCs/>
          <w:szCs w:val="24"/>
          <w:lang w:val="en-GB"/>
        </w:rPr>
        <w:t>SoC</w:t>
      </w:r>
      <w:r>
        <w:rPr>
          <w:rFonts w:asciiTheme="minorHAnsi" w:hAnsiTheme="minorHAnsi"/>
          <w:bCs/>
          <w:szCs w:val="24"/>
          <w:lang w:val="en-GB"/>
        </w:rPr>
        <w:t xml:space="preserve"> single-agent chemotherapy represented by capecitabine, eribulin, vinorelbine and gemcitabine was an appropriate comparator. However, the PBAC considered it would have been appropriate for platinum therapy to be included in </w:t>
      </w:r>
      <w:r w:rsidR="001C4619">
        <w:rPr>
          <w:rFonts w:asciiTheme="minorHAnsi" w:hAnsiTheme="minorHAnsi"/>
          <w:bCs/>
          <w:szCs w:val="24"/>
          <w:lang w:val="en-GB"/>
        </w:rPr>
        <w:t xml:space="preserve">the </w:t>
      </w:r>
      <w:r>
        <w:rPr>
          <w:rFonts w:asciiTheme="minorHAnsi" w:hAnsiTheme="minorHAnsi"/>
          <w:bCs/>
          <w:szCs w:val="24"/>
          <w:lang w:val="en-GB"/>
        </w:rPr>
        <w:t xml:space="preserve">group of comparator </w:t>
      </w:r>
      <w:r w:rsidR="007866D0">
        <w:rPr>
          <w:rFonts w:asciiTheme="minorHAnsi" w:hAnsiTheme="minorHAnsi"/>
          <w:bCs/>
          <w:szCs w:val="24"/>
          <w:lang w:val="en-GB"/>
        </w:rPr>
        <w:t>chemotherapy regimens</w:t>
      </w:r>
      <w:r w:rsidR="00CE130B">
        <w:rPr>
          <w:rFonts w:asciiTheme="minorHAnsi" w:hAnsiTheme="minorHAnsi"/>
          <w:bCs/>
          <w:szCs w:val="24"/>
          <w:lang w:val="en-GB"/>
        </w:rPr>
        <w:t>,</w:t>
      </w:r>
      <w:r w:rsidR="007866D0">
        <w:rPr>
          <w:rFonts w:asciiTheme="minorHAnsi" w:hAnsiTheme="minorHAnsi"/>
          <w:bCs/>
          <w:szCs w:val="24"/>
          <w:lang w:val="en-GB"/>
        </w:rPr>
        <w:t xml:space="preserve"> noting that </w:t>
      </w:r>
      <w:r w:rsidR="00A31AF7">
        <w:rPr>
          <w:rFonts w:asciiTheme="minorHAnsi" w:hAnsiTheme="minorHAnsi"/>
          <w:bCs/>
          <w:szCs w:val="24"/>
          <w:lang w:val="en-GB"/>
        </w:rPr>
        <w:t xml:space="preserve">the 2018 ESMO Consensus Guidelines </w:t>
      </w:r>
      <w:r w:rsidR="00CB5380">
        <w:rPr>
          <w:rFonts w:asciiTheme="minorHAnsi" w:hAnsiTheme="minorHAnsi"/>
          <w:bCs/>
          <w:szCs w:val="24"/>
          <w:lang w:val="en-GB"/>
        </w:rPr>
        <w:t>recommend use of</w:t>
      </w:r>
      <w:r w:rsidR="00A31AF7">
        <w:rPr>
          <w:rFonts w:asciiTheme="minorHAnsi" w:hAnsiTheme="minorHAnsi"/>
          <w:bCs/>
          <w:szCs w:val="24"/>
          <w:lang w:val="en-GB"/>
        </w:rPr>
        <w:t xml:space="preserve"> </w:t>
      </w:r>
      <w:r w:rsidR="00A15172">
        <w:rPr>
          <w:rFonts w:asciiTheme="minorHAnsi" w:hAnsiTheme="minorHAnsi"/>
          <w:bCs/>
          <w:szCs w:val="24"/>
          <w:lang w:val="en-GB"/>
        </w:rPr>
        <w:t xml:space="preserve">a </w:t>
      </w:r>
      <w:r w:rsidR="00A31AF7">
        <w:rPr>
          <w:rFonts w:asciiTheme="minorHAnsi" w:hAnsiTheme="minorHAnsi"/>
          <w:bCs/>
          <w:szCs w:val="24"/>
          <w:lang w:val="en-GB"/>
        </w:rPr>
        <w:t>platinum</w:t>
      </w:r>
      <w:r w:rsidR="00991736">
        <w:rPr>
          <w:rFonts w:asciiTheme="minorHAnsi" w:hAnsiTheme="minorHAnsi"/>
          <w:bCs/>
          <w:szCs w:val="24"/>
          <w:lang w:val="en-GB"/>
        </w:rPr>
        <w:t>-based</w:t>
      </w:r>
      <w:r w:rsidR="00A31AF7">
        <w:rPr>
          <w:rFonts w:asciiTheme="minorHAnsi" w:hAnsiTheme="minorHAnsi"/>
          <w:bCs/>
          <w:szCs w:val="24"/>
          <w:lang w:val="en-GB"/>
        </w:rPr>
        <w:t xml:space="preserve"> regimen for patients with BRCA-associated triple negative or </w:t>
      </w:r>
      <w:r w:rsidR="00A31AF7" w:rsidRPr="00A31AF7">
        <w:rPr>
          <w:rFonts w:asciiTheme="minorHAnsi" w:hAnsiTheme="minorHAnsi"/>
          <w:bCs/>
          <w:szCs w:val="24"/>
          <w:lang w:val="en-GB"/>
        </w:rPr>
        <w:t>endocrine-resistant metastatic breast cancer previously treated with an anthrac</w:t>
      </w:r>
      <w:r w:rsidR="00CB5380">
        <w:rPr>
          <w:rFonts w:asciiTheme="minorHAnsi" w:hAnsiTheme="minorHAnsi"/>
          <w:bCs/>
          <w:szCs w:val="24"/>
          <w:lang w:val="en-GB"/>
        </w:rPr>
        <w:t>ycline with or without a taxane.</w:t>
      </w:r>
      <w:r w:rsidR="002C507E">
        <w:rPr>
          <w:rFonts w:asciiTheme="minorHAnsi" w:hAnsiTheme="minorHAnsi"/>
          <w:bCs/>
          <w:szCs w:val="24"/>
          <w:lang w:val="en-GB"/>
        </w:rPr>
        <w:t xml:space="preserve"> The PBAC noted that the</w:t>
      </w:r>
      <w:r w:rsidR="00F976DE">
        <w:rPr>
          <w:rFonts w:asciiTheme="minorHAnsi" w:hAnsiTheme="minorHAnsi"/>
          <w:bCs/>
          <w:szCs w:val="24"/>
          <w:lang w:val="en-GB"/>
        </w:rPr>
        <w:t xml:space="preserve"> final</w:t>
      </w:r>
      <w:r w:rsidR="002C507E">
        <w:rPr>
          <w:rFonts w:asciiTheme="minorHAnsi" w:hAnsiTheme="minorHAnsi"/>
          <w:bCs/>
          <w:szCs w:val="24"/>
          <w:lang w:val="en-GB"/>
        </w:rPr>
        <w:t xml:space="preserve"> TGA indication</w:t>
      </w:r>
      <w:r w:rsidR="00BB5104">
        <w:rPr>
          <w:rFonts w:asciiTheme="minorHAnsi" w:hAnsiTheme="minorHAnsi"/>
          <w:bCs/>
          <w:szCs w:val="24"/>
          <w:lang w:val="en-GB"/>
        </w:rPr>
        <w:t xml:space="preserve"> </w:t>
      </w:r>
      <w:r w:rsidR="00F976DE">
        <w:rPr>
          <w:rFonts w:asciiTheme="minorHAnsi" w:hAnsiTheme="minorHAnsi"/>
          <w:bCs/>
          <w:szCs w:val="24"/>
          <w:lang w:val="en-GB"/>
        </w:rPr>
        <w:t>f</w:t>
      </w:r>
      <w:r w:rsidR="00BB5104">
        <w:rPr>
          <w:rFonts w:asciiTheme="minorHAnsi" w:hAnsiTheme="minorHAnsi"/>
          <w:bCs/>
          <w:szCs w:val="24"/>
          <w:lang w:val="en-GB"/>
        </w:rPr>
        <w:t>or talazoparib</w:t>
      </w:r>
      <w:r w:rsidR="002C507E">
        <w:rPr>
          <w:rFonts w:asciiTheme="minorHAnsi" w:hAnsiTheme="minorHAnsi"/>
          <w:bCs/>
          <w:szCs w:val="24"/>
          <w:lang w:val="en-GB"/>
        </w:rPr>
        <w:t xml:space="preserve"> may provide more clarity around </w:t>
      </w:r>
      <w:r w:rsidR="00BB5104">
        <w:rPr>
          <w:rFonts w:asciiTheme="minorHAnsi" w:hAnsiTheme="minorHAnsi"/>
          <w:bCs/>
          <w:szCs w:val="24"/>
          <w:lang w:val="en-GB"/>
        </w:rPr>
        <w:t>its</w:t>
      </w:r>
      <w:r w:rsidR="002C507E">
        <w:rPr>
          <w:rFonts w:asciiTheme="minorHAnsi" w:hAnsiTheme="minorHAnsi"/>
          <w:bCs/>
          <w:szCs w:val="24"/>
          <w:lang w:val="en-GB"/>
        </w:rPr>
        <w:t xml:space="preserve"> place in the Australian clinical setting</w:t>
      </w:r>
      <w:r w:rsidR="00BB5104">
        <w:rPr>
          <w:rFonts w:asciiTheme="minorHAnsi" w:hAnsiTheme="minorHAnsi"/>
          <w:bCs/>
          <w:szCs w:val="24"/>
          <w:lang w:val="en-GB"/>
        </w:rPr>
        <w:t xml:space="preserve"> relative to platinum </w:t>
      </w:r>
      <w:r w:rsidR="00344A54">
        <w:rPr>
          <w:rFonts w:asciiTheme="minorHAnsi" w:hAnsiTheme="minorHAnsi"/>
          <w:bCs/>
          <w:szCs w:val="24"/>
          <w:lang w:val="en-GB"/>
        </w:rPr>
        <w:t>chemo</w:t>
      </w:r>
      <w:r w:rsidR="00BB5104">
        <w:rPr>
          <w:rFonts w:asciiTheme="minorHAnsi" w:hAnsiTheme="minorHAnsi"/>
          <w:bCs/>
          <w:szCs w:val="24"/>
          <w:lang w:val="en-GB"/>
        </w:rPr>
        <w:t>therapy</w:t>
      </w:r>
      <w:r w:rsidR="002C507E">
        <w:rPr>
          <w:rFonts w:asciiTheme="minorHAnsi" w:hAnsiTheme="minorHAnsi"/>
          <w:bCs/>
          <w:szCs w:val="24"/>
          <w:lang w:val="en-GB"/>
        </w:rPr>
        <w:t xml:space="preserve">. </w:t>
      </w:r>
      <w:r w:rsidR="00595042">
        <w:rPr>
          <w:rFonts w:asciiTheme="minorHAnsi" w:hAnsiTheme="minorHAnsi"/>
          <w:bCs/>
          <w:szCs w:val="24"/>
          <w:lang w:val="en-GB"/>
        </w:rPr>
        <w:t xml:space="preserve"> </w:t>
      </w:r>
    </w:p>
    <w:p w:rsidR="00261935" w:rsidRDefault="008A154D" w:rsidP="00F20544">
      <w:pPr>
        <w:pStyle w:val="ListParagraph"/>
        <w:numPr>
          <w:ilvl w:val="1"/>
          <w:numId w:val="3"/>
        </w:numPr>
        <w:rPr>
          <w:rFonts w:asciiTheme="minorHAnsi" w:hAnsiTheme="minorHAnsi"/>
          <w:bCs/>
          <w:szCs w:val="24"/>
          <w:lang w:val="en-GB"/>
        </w:rPr>
      </w:pPr>
      <w:r w:rsidRPr="00B902AE">
        <w:rPr>
          <w:rFonts w:asciiTheme="minorHAnsi" w:hAnsiTheme="minorHAnsi"/>
          <w:bCs/>
          <w:szCs w:val="24"/>
          <w:lang w:val="en-GB"/>
        </w:rPr>
        <w:t>The PBA</w:t>
      </w:r>
      <w:r w:rsidR="00295924">
        <w:rPr>
          <w:rFonts w:asciiTheme="minorHAnsi" w:hAnsiTheme="minorHAnsi"/>
          <w:bCs/>
          <w:szCs w:val="24"/>
          <w:lang w:val="en-GB"/>
        </w:rPr>
        <w:t xml:space="preserve">C noted the submission was </w:t>
      </w:r>
      <w:r w:rsidRPr="00B902AE">
        <w:rPr>
          <w:rFonts w:asciiTheme="minorHAnsi" w:hAnsiTheme="minorHAnsi"/>
          <w:bCs/>
          <w:szCs w:val="24"/>
          <w:lang w:val="en-GB"/>
        </w:rPr>
        <w:t xml:space="preserve">based on the EMBRACA </w:t>
      </w:r>
      <w:r w:rsidR="00571C05" w:rsidRPr="00B902AE">
        <w:rPr>
          <w:rFonts w:asciiTheme="minorHAnsi" w:hAnsiTheme="minorHAnsi"/>
          <w:bCs/>
          <w:szCs w:val="24"/>
          <w:lang w:val="en-GB"/>
        </w:rPr>
        <w:t>trial, which</w:t>
      </w:r>
      <w:r w:rsidRPr="00B902AE">
        <w:rPr>
          <w:rFonts w:asciiTheme="minorHAnsi" w:hAnsiTheme="minorHAnsi"/>
          <w:bCs/>
          <w:szCs w:val="24"/>
          <w:lang w:val="en-GB"/>
        </w:rPr>
        <w:t xml:space="preserve"> compared </w:t>
      </w:r>
      <w:r w:rsidRPr="00B902AE">
        <w:rPr>
          <w:rFonts w:asciiTheme="minorHAnsi" w:hAnsiTheme="minorHAnsi"/>
          <w:bCs/>
          <w:szCs w:val="24"/>
          <w:lang w:val="en-GB"/>
        </w:rPr>
        <w:lastRenderedPageBreak/>
        <w:t xml:space="preserve">talazoparib with physician’s choice of single agent chemotherapy in patients with </w:t>
      </w:r>
      <w:r w:rsidR="00571C05" w:rsidRPr="00B902AE">
        <w:rPr>
          <w:rFonts w:asciiTheme="minorHAnsi" w:hAnsiTheme="minorHAnsi"/>
          <w:bCs/>
          <w:szCs w:val="24"/>
          <w:lang w:val="en-GB"/>
        </w:rPr>
        <w:t>gBRCAm locally advanced inoperable and/or metastatic breast cancer.</w:t>
      </w:r>
      <w:r w:rsidR="00B902AE" w:rsidRPr="00B902AE">
        <w:rPr>
          <w:rFonts w:asciiTheme="minorHAnsi" w:hAnsiTheme="minorHAnsi"/>
          <w:bCs/>
          <w:szCs w:val="24"/>
          <w:lang w:val="en-GB"/>
        </w:rPr>
        <w:t xml:space="preserve"> The PBAC noted that the median PFS was 8.6 (95% CI: 7.2, 9.3) and 5.6 months</w:t>
      </w:r>
      <w:r w:rsidR="00B902AE">
        <w:rPr>
          <w:rFonts w:asciiTheme="minorHAnsi" w:hAnsiTheme="minorHAnsi"/>
          <w:bCs/>
          <w:szCs w:val="24"/>
          <w:lang w:val="en-GB"/>
        </w:rPr>
        <w:t xml:space="preserve"> </w:t>
      </w:r>
      <w:r w:rsidR="00B902AE" w:rsidRPr="00B902AE">
        <w:rPr>
          <w:rFonts w:asciiTheme="minorHAnsi" w:hAnsiTheme="minorHAnsi"/>
          <w:bCs/>
          <w:szCs w:val="24"/>
          <w:lang w:val="en-GB"/>
        </w:rPr>
        <w:t>(95% CI: 4.2, 6.7)</w:t>
      </w:r>
      <w:r w:rsidR="00B902AE">
        <w:rPr>
          <w:rFonts w:asciiTheme="minorHAnsi" w:hAnsiTheme="minorHAnsi"/>
          <w:bCs/>
          <w:szCs w:val="24"/>
          <w:lang w:val="en-GB"/>
        </w:rPr>
        <w:t xml:space="preserve"> </w:t>
      </w:r>
      <w:r w:rsidR="00B902AE" w:rsidRPr="00B902AE">
        <w:rPr>
          <w:rFonts w:asciiTheme="minorHAnsi" w:hAnsiTheme="minorHAnsi"/>
          <w:bCs/>
          <w:szCs w:val="24"/>
          <w:lang w:val="en-GB"/>
        </w:rPr>
        <w:t>in the</w:t>
      </w:r>
      <w:r w:rsidR="00B902AE">
        <w:rPr>
          <w:rFonts w:asciiTheme="minorHAnsi" w:hAnsiTheme="minorHAnsi"/>
          <w:bCs/>
          <w:szCs w:val="24"/>
          <w:lang w:val="en-GB"/>
        </w:rPr>
        <w:t xml:space="preserve"> talazoparib and </w:t>
      </w:r>
      <w:r w:rsidR="0074648E">
        <w:rPr>
          <w:rFonts w:asciiTheme="minorHAnsi" w:hAnsiTheme="minorHAnsi"/>
          <w:bCs/>
          <w:szCs w:val="24"/>
          <w:lang w:val="en-GB"/>
        </w:rPr>
        <w:t>SoC arms respectively</w:t>
      </w:r>
      <w:r w:rsidR="00F20544">
        <w:rPr>
          <w:rFonts w:asciiTheme="minorHAnsi" w:hAnsiTheme="minorHAnsi"/>
          <w:bCs/>
          <w:szCs w:val="24"/>
          <w:lang w:val="en-GB"/>
        </w:rPr>
        <w:t>, with a hazard ratio for PFS of 0.54 (</w:t>
      </w:r>
      <w:r w:rsidR="00F20544" w:rsidRPr="00B902AE">
        <w:rPr>
          <w:rFonts w:asciiTheme="minorHAnsi" w:hAnsiTheme="minorHAnsi"/>
          <w:bCs/>
          <w:szCs w:val="24"/>
          <w:lang w:val="en-GB"/>
        </w:rPr>
        <w:t xml:space="preserve">95% CI: </w:t>
      </w:r>
      <w:r w:rsidR="00F20544">
        <w:rPr>
          <w:rFonts w:asciiTheme="minorHAnsi" w:hAnsiTheme="minorHAnsi"/>
          <w:bCs/>
          <w:szCs w:val="24"/>
          <w:lang w:val="en-GB"/>
        </w:rPr>
        <w:t>0.41, 0.71)</w:t>
      </w:r>
      <w:r w:rsidR="0074648E">
        <w:rPr>
          <w:rFonts w:asciiTheme="minorHAnsi" w:hAnsiTheme="minorHAnsi"/>
          <w:bCs/>
          <w:szCs w:val="24"/>
          <w:lang w:val="en-GB"/>
        </w:rPr>
        <w:t>.</w:t>
      </w:r>
      <w:r w:rsidR="00695626">
        <w:rPr>
          <w:rFonts w:asciiTheme="minorHAnsi" w:hAnsiTheme="minorHAnsi"/>
          <w:bCs/>
          <w:szCs w:val="24"/>
          <w:lang w:val="en-GB"/>
        </w:rPr>
        <w:t xml:space="preserve"> The </w:t>
      </w:r>
      <w:r w:rsidR="00997251">
        <w:rPr>
          <w:rFonts w:asciiTheme="minorHAnsi" w:hAnsiTheme="minorHAnsi"/>
          <w:bCs/>
          <w:szCs w:val="24"/>
          <w:lang w:val="en-GB"/>
        </w:rPr>
        <w:t>PBAC considered th</w:t>
      </w:r>
      <w:r w:rsidR="00F20544">
        <w:rPr>
          <w:rFonts w:asciiTheme="minorHAnsi" w:hAnsiTheme="minorHAnsi"/>
          <w:bCs/>
          <w:szCs w:val="24"/>
          <w:lang w:val="en-GB"/>
        </w:rPr>
        <w:t xml:space="preserve">is represented </w:t>
      </w:r>
      <w:r w:rsidR="00997251">
        <w:rPr>
          <w:rFonts w:asciiTheme="minorHAnsi" w:hAnsiTheme="minorHAnsi"/>
          <w:bCs/>
          <w:szCs w:val="24"/>
          <w:lang w:val="en-GB"/>
        </w:rPr>
        <w:t>a moderate benefit in terms of PFS</w:t>
      </w:r>
      <w:r w:rsidR="00D5581F">
        <w:rPr>
          <w:rFonts w:asciiTheme="minorHAnsi" w:hAnsiTheme="minorHAnsi"/>
          <w:bCs/>
          <w:szCs w:val="24"/>
          <w:lang w:val="en-GB"/>
        </w:rPr>
        <w:t>,</w:t>
      </w:r>
      <w:r w:rsidR="00695626">
        <w:rPr>
          <w:rFonts w:asciiTheme="minorHAnsi" w:hAnsiTheme="minorHAnsi"/>
          <w:bCs/>
          <w:szCs w:val="24"/>
          <w:lang w:val="en-GB"/>
        </w:rPr>
        <w:t xml:space="preserve"> but </w:t>
      </w:r>
      <w:r w:rsidR="00F878DC">
        <w:rPr>
          <w:rFonts w:asciiTheme="minorHAnsi" w:hAnsiTheme="minorHAnsi"/>
          <w:bCs/>
          <w:szCs w:val="24"/>
          <w:lang w:val="en-GB"/>
        </w:rPr>
        <w:t>was uncertain of the</w:t>
      </w:r>
      <w:r w:rsidR="00804183">
        <w:rPr>
          <w:rFonts w:asciiTheme="minorHAnsi" w:hAnsiTheme="minorHAnsi"/>
          <w:bCs/>
          <w:szCs w:val="24"/>
          <w:lang w:val="en-GB"/>
        </w:rPr>
        <w:t xml:space="preserve"> </w:t>
      </w:r>
      <w:r w:rsidR="00FA3450">
        <w:rPr>
          <w:rFonts w:asciiTheme="minorHAnsi" w:hAnsiTheme="minorHAnsi"/>
          <w:bCs/>
          <w:szCs w:val="24"/>
          <w:lang w:val="en-GB"/>
        </w:rPr>
        <w:t>true</w:t>
      </w:r>
      <w:r w:rsidR="00512F67">
        <w:rPr>
          <w:rFonts w:asciiTheme="minorHAnsi" w:hAnsiTheme="minorHAnsi"/>
          <w:bCs/>
          <w:szCs w:val="24"/>
          <w:lang w:val="en-GB"/>
        </w:rPr>
        <w:t xml:space="preserve"> magnitude of </w:t>
      </w:r>
      <w:r w:rsidR="00562FE7">
        <w:rPr>
          <w:rFonts w:asciiTheme="minorHAnsi" w:hAnsiTheme="minorHAnsi"/>
          <w:bCs/>
          <w:szCs w:val="24"/>
          <w:lang w:val="en-GB"/>
        </w:rPr>
        <w:t xml:space="preserve">the </w:t>
      </w:r>
      <w:r w:rsidR="00512F67">
        <w:rPr>
          <w:rFonts w:asciiTheme="minorHAnsi" w:hAnsiTheme="minorHAnsi"/>
          <w:bCs/>
          <w:szCs w:val="24"/>
          <w:lang w:val="en-GB"/>
        </w:rPr>
        <w:t>treatment effect.</w:t>
      </w:r>
      <w:r w:rsidR="00A76F17">
        <w:rPr>
          <w:rFonts w:asciiTheme="minorHAnsi" w:hAnsiTheme="minorHAnsi"/>
          <w:bCs/>
          <w:szCs w:val="24"/>
          <w:lang w:val="en-GB"/>
        </w:rPr>
        <w:t xml:space="preserve"> The PBAC noted a higher proportion of patients in the SoC</w:t>
      </w:r>
      <w:r w:rsidR="006A6BE2">
        <w:rPr>
          <w:rFonts w:asciiTheme="minorHAnsi" w:hAnsiTheme="minorHAnsi"/>
          <w:bCs/>
          <w:szCs w:val="24"/>
          <w:lang w:val="en-GB"/>
        </w:rPr>
        <w:t xml:space="preserve"> comparator</w:t>
      </w:r>
      <w:r w:rsidR="00A76F17">
        <w:rPr>
          <w:rFonts w:asciiTheme="minorHAnsi" w:hAnsiTheme="minorHAnsi"/>
          <w:bCs/>
          <w:szCs w:val="24"/>
          <w:lang w:val="en-GB"/>
        </w:rPr>
        <w:t xml:space="preserve"> arm </w:t>
      </w:r>
      <w:r w:rsidR="00EA2EE2">
        <w:rPr>
          <w:rFonts w:asciiTheme="minorHAnsi" w:hAnsiTheme="minorHAnsi"/>
          <w:bCs/>
          <w:szCs w:val="24"/>
          <w:lang w:val="en-GB"/>
        </w:rPr>
        <w:t xml:space="preserve">were censored from the primary analysis </w:t>
      </w:r>
      <w:r w:rsidR="00D2293B">
        <w:rPr>
          <w:rFonts w:asciiTheme="minorHAnsi" w:hAnsiTheme="minorHAnsi"/>
          <w:bCs/>
          <w:szCs w:val="24"/>
          <w:lang w:val="en-GB"/>
        </w:rPr>
        <w:t>for</w:t>
      </w:r>
      <w:r w:rsidR="00663CC3">
        <w:rPr>
          <w:rFonts w:asciiTheme="minorHAnsi" w:hAnsiTheme="minorHAnsi"/>
          <w:bCs/>
          <w:szCs w:val="24"/>
          <w:lang w:val="en-GB"/>
        </w:rPr>
        <w:t xml:space="preserve"> potentially informative reasons (i.e. </w:t>
      </w:r>
      <w:r w:rsidR="00EA2EE2">
        <w:rPr>
          <w:rFonts w:asciiTheme="minorHAnsi" w:hAnsiTheme="minorHAnsi"/>
          <w:bCs/>
          <w:szCs w:val="24"/>
          <w:lang w:val="en-GB"/>
        </w:rPr>
        <w:t>discontinuation with no adequate post baseline tumour assessment and no evidence of disease progression or death prior to the start of new antineoplastic therapy</w:t>
      </w:r>
      <w:r w:rsidR="00663CC3">
        <w:rPr>
          <w:rFonts w:asciiTheme="minorHAnsi" w:hAnsiTheme="minorHAnsi"/>
          <w:bCs/>
          <w:szCs w:val="24"/>
          <w:lang w:val="en-GB"/>
        </w:rPr>
        <w:t>)</w:t>
      </w:r>
      <w:r w:rsidR="00EA2EE2">
        <w:rPr>
          <w:rFonts w:asciiTheme="minorHAnsi" w:hAnsiTheme="minorHAnsi"/>
          <w:bCs/>
          <w:szCs w:val="24"/>
          <w:lang w:val="en-GB"/>
        </w:rPr>
        <w:t>.</w:t>
      </w:r>
      <w:r w:rsidR="00512F67">
        <w:rPr>
          <w:rFonts w:asciiTheme="minorHAnsi" w:hAnsiTheme="minorHAnsi"/>
          <w:bCs/>
          <w:szCs w:val="24"/>
          <w:lang w:val="en-GB"/>
        </w:rPr>
        <w:t xml:space="preserve"> </w:t>
      </w:r>
      <w:r w:rsidR="00AA1C40">
        <w:rPr>
          <w:rFonts w:asciiTheme="minorHAnsi" w:hAnsiTheme="minorHAnsi"/>
          <w:bCs/>
          <w:szCs w:val="24"/>
          <w:lang w:val="en-GB"/>
        </w:rPr>
        <w:t>Further,</w:t>
      </w:r>
      <w:r w:rsidR="008539BF">
        <w:rPr>
          <w:rFonts w:asciiTheme="minorHAnsi" w:hAnsiTheme="minorHAnsi"/>
          <w:bCs/>
          <w:szCs w:val="24"/>
          <w:lang w:val="en-GB"/>
        </w:rPr>
        <w:t xml:space="preserve"> the PBAC </w:t>
      </w:r>
      <w:r w:rsidR="00EC6911">
        <w:rPr>
          <w:rFonts w:asciiTheme="minorHAnsi" w:hAnsiTheme="minorHAnsi"/>
          <w:bCs/>
          <w:szCs w:val="24"/>
          <w:lang w:val="en-GB"/>
        </w:rPr>
        <w:t>considered that</w:t>
      </w:r>
      <w:r w:rsidR="001D5DC0">
        <w:rPr>
          <w:rFonts w:asciiTheme="minorHAnsi" w:hAnsiTheme="minorHAnsi"/>
          <w:bCs/>
          <w:szCs w:val="24"/>
          <w:lang w:val="en-GB"/>
        </w:rPr>
        <w:t xml:space="preserve"> the </w:t>
      </w:r>
      <w:r w:rsidR="006F49B4">
        <w:rPr>
          <w:rFonts w:asciiTheme="minorHAnsi" w:hAnsiTheme="minorHAnsi"/>
          <w:bCs/>
          <w:szCs w:val="24"/>
          <w:lang w:val="en-GB"/>
        </w:rPr>
        <w:t xml:space="preserve">incremental </w:t>
      </w:r>
      <w:r w:rsidR="001D5DC0">
        <w:rPr>
          <w:rFonts w:asciiTheme="minorHAnsi" w:hAnsiTheme="minorHAnsi"/>
          <w:bCs/>
          <w:szCs w:val="24"/>
          <w:lang w:val="en-GB"/>
        </w:rPr>
        <w:t xml:space="preserve">treatment effect </w:t>
      </w:r>
      <w:r w:rsidR="00EC6911">
        <w:rPr>
          <w:rFonts w:asciiTheme="minorHAnsi" w:hAnsiTheme="minorHAnsi"/>
          <w:bCs/>
          <w:szCs w:val="24"/>
          <w:lang w:val="en-GB"/>
        </w:rPr>
        <w:t xml:space="preserve">may be lower </w:t>
      </w:r>
      <w:r w:rsidR="001D5DC0">
        <w:rPr>
          <w:rFonts w:asciiTheme="minorHAnsi" w:hAnsiTheme="minorHAnsi"/>
          <w:bCs/>
          <w:szCs w:val="24"/>
          <w:lang w:val="en-GB"/>
        </w:rPr>
        <w:t xml:space="preserve">in </w:t>
      </w:r>
      <w:r w:rsidR="00FA3450">
        <w:rPr>
          <w:rFonts w:asciiTheme="minorHAnsi" w:hAnsiTheme="minorHAnsi"/>
          <w:bCs/>
          <w:szCs w:val="24"/>
          <w:lang w:val="en-GB"/>
        </w:rPr>
        <w:t xml:space="preserve">Australian </w:t>
      </w:r>
      <w:r w:rsidR="00EC6911">
        <w:rPr>
          <w:rFonts w:asciiTheme="minorHAnsi" w:hAnsiTheme="minorHAnsi"/>
          <w:bCs/>
          <w:szCs w:val="24"/>
          <w:lang w:val="en-GB"/>
        </w:rPr>
        <w:t>clinical practice</w:t>
      </w:r>
      <w:r w:rsidR="00F878DC">
        <w:rPr>
          <w:rFonts w:asciiTheme="minorHAnsi" w:hAnsiTheme="minorHAnsi"/>
          <w:bCs/>
          <w:szCs w:val="24"/>
          <w:lang w:val="en-GB"/>
        </w:rPr>
        <w:t xml:space="preserve"> as</w:t>
      </w:r>
      <w:r w:rsidR="00261935">
        <w:rPr>
          <w:rFonts w:asciiTheme="minorHAnsi" w:hAnsiTheme="minorHAnsi"/>
          <w:bCs/>
          <w:szCs w:val="24"/>
          <w:lang w:val="en-GB"/>
        </w:rPr>
        <w:t>:</w:t>
      </w:r>
    </w:p>
    <w:p w:rsidR="00261935" w:rsidRPr="0041294F" w:rsidRDefault="00261935" w:rsidP="0041294F">
      <w:pPr>
        <w:pStyle w:val="ListParagraph"/>
        <w:numPr>
          <w:ilvl w:val="0"/>
          <w:numId w:val="37"/>
        </w:numPr>
        <w:spacing w:after="0"/>
        <w:ind w:left="1077" w:hanging="357"/>
        <w:rPr>
          <w:rFonts w:asciiTheme="minorHAnsi" w:hAnsiTheme="minorHAnsi"/>
          <w:bCs/>
          <w:szCs w:val="24"/>
          <w:lang w:val="en-GB"/>
        </w:rPr>
      </w:pPr>
      <w:r w:rsidRPr="0041294F">
        <w:rPr>
          <w:rFonts w:asciiTheme="minorHAnsi" w:hAnsiTheme="minorHAnsi"/>
          <w:bCs/>
          <w:szCs w:val="24"/>
          <w:lang w:val="en-GB"/>
        </w:rPr>
        <w:t xml:space="preserve">platinum chemotherapy </w:t>
      </w:r>
      <w:r w:rsidR="0041294F" w:rsidRPr="0041294F">
        <w:rPr>
          <w:rFonts w:asciiTheme="minorHAnsi" w:hAnsiTheme="minorHAnsi"/>
          <w:bCs/>
          <w:szCs w:val="24"/>
          <w:lang w:val="en-GB"/>
        </w:rPr>
        <w:t xml:space="preserve">was </w:t>
      </w:r>
      <w:r w:rsidRPr="0041294F">
        <w:rPr>
          <w:rFonts w:asciiTheme="minorHAnsi" w:hAnsiTheme="minorHAnsi"/>
          <w:bCs/>
          <w:szCs w:val="24"/>
          <w:lang w:val="en-GB"/>
        </w:rPr>
        <w:t xml:space="preserve">excluded from </w:t>
      </w:r>
      <w:r w:rsidR="006762AD">
        <w:rPr>
          <w:rFonts w:asciiTheme="minorHAnsi" w:hAnsiTheme="minorHAnsi"/>
          <w:bCs/>
          <w:szCs w:val="24"/>
          <w:lang w:val="en-GB"/>
        </w:rPr>
        <w:t xml:space="preserve">the </w:t>
      </w:r>
      <w:r w:rsidRPr="0041294F">
        <w:rPr>
          <w:rFonts w:asciiTheme="minorHAnsi" w:hAnsiTheme="minorHAnsi"/>
          <w:bCs/>
          <w:szCs w:val="24"/>
          <w:lang w:val="en-GB"/>
        </w:rPr>
        <w:t>SoC</w:t>
      </w:r>
      <w:r w:rsidR="006762AD">
        <w:rPr>
          <w:rFonts w:asciiTheme="minorHAnsi" w:hAnsiTheme="minorHAnsi"/>
          <w:bCs/>
          <w:szCs w:val="24"/>
          <w:lang w:val="en-GB"/>
        </w:rPr>
        <w:t xml:space="preserve"> comparator arm;</w:t>
      </w:r>
    </w:p>
    <w:p w:rsidR="0041294F" w:rsidRPr="0041294F" w:rsidRDefault="006762AD" w:rsidP="0041294F">
      <w:pPr>
        <w:pStyle w:val="ListParagraph"/>
        <w:numPr>
          <w:ilvl w:val="0"/>
          <w:numId w:val="37"/>
        </w:numPr>
        <w:spacing w:after="0"/>
        <w:ind w:left="1077" w:hanging="357"/>
        <w:rPr>
          <w:rFonts w:asciiTheme="minorHAnsi" w:hAnsiTheme="minorHAnsi"/>
          <w:bCs/>
          <w:szCs w:val="24"/>
          <w:lang w:val="en-GB"/>
        </w:rPr>
      </w:pPr>
      <w:r>
        <w:t>few</w:t>
      </w:r>
      <w:r w:rsidR="0041294F">
        <w:t xml:space="preserve"> patients in </w:t>
      </w:r>
      <w:r w:rsidR="0041294F" w:rsidRPr="0041294F">
        <w:t xml:space="preserve">the EMBRACA trial </w:t>
      </w:r>
      <w:r>
        <w:t>received</w:t>
      </w:r>
      <w:r w:rsidR="0041294F" w:rsidRPr="0041294F">
        <w:t xml:space="preserve"> prior platinum-based chemotherapy</w:t>
      </w:r>
      <w:r w:rsidR="0041294F">
        <w:t xml:space="preserve"> </w:t>
      </w:r>
      <w:r w:rsidR="0041294F" w:rsidRPr="0041294F">
        <w:t>(</w:t>
      </w:r>
      <w:r>
        <w:t>17.6</w:t>
      </w:r>
      <w:r w:rsidR="0041294F" w:rsidRPr="0041294F">
        <w:t>%)</w:t>
      </w:r>
      <w:r>
        <w:t xml:space="preserve">, while </w:t>
      </w:r>
      <w:r w:rsidRPr="00D62B73">
        <w:t xml:space="preserve">local market research data estimated that 70% of Australian patients with metastatic triple negative breast cancer received </w:t>
      </w:r>
      <w:r w:rsidRPr="0041294F">
        <w:t>platinum-based chemotherapy</w:t>
      </w:r>
      <w:r>
        <w:t xml:space="preserve"> </w:t>
      </w:r>
      <w:r w:rsidRPr="00D62B73">
        <w:t>as first-line treatment</w:t>
      </w:r>
      <w:r w:rsidR="006A6BE2">
        <w:t xml:space="preserve"> (see paragraph 6.12)</w:t>
      </w:r>
      <w:r w:rsidR="0041294F" w:rsidRPr="0041294F">
        <w:t xml:space="preserve">; and </w:t>
      </w:r>
    </w:p>
    <w:p w:rsidR="0041294F" w:rsidRPr="000608D4" w:rsidRDefault="0041294F" w:rsidP="000608D4">
      <w:pPr>
        <w:pStyle w:val="ListParagraph"/>
        <w:numPr>
          <w:ilvl w:val="0"/>
          <w:numId w:val="37"/>
        </w:numPr>
        <w:rPr>
          <w:rFonts w:asciiTheme="minorHAnsi" w:hAnsiTheme="minorHAnsi"/>
          <w:bCs/>
          <w:szCs w:val="24"/>
          <w:lang w:val="en-GB"/>
        </w:rPr>
      </w:pPr>
      <w:r w:rsidRPr="0041294F">
        <w:t xml:space="preserve">the majority of patients in the EMBRACA trial received ≤1 prior cytotoxic chemotherapy regimen </w:t>
      </w:r>
      <w:r>
        <w:t>(75%), while in Australian clinical practice</w:t>
      </w:r>
      <w:r w:rsidR="00344A54">
        <w:t>,</w:t>
      </w:r>
      <w:r w:rsidRPr="0041294F">
        <w:rPr>
          <w:rFonts w:asciiTheme="minorHAnsi" w:hAnsiTheme="minorHAnsi"/>
          <w:bCs/>
          <w:szCs w:val="24"/>
          <w:lang w:val="en-GB"/>
        </w:rPr>
        <w:t xml:space="preserve"> </w:t>
      </w:r>
      <w:r>
        <w:rPr>
          <w:rFonts w:asciiTheme="minorHAnsi" w:hAnsiTheme="minorHAnsi"/>
          <w:bCs/>
          <w:szCs w:val="24"/>
          <w:lang w:val="en-GB"/>
        </w:rPr>
        <w:t xml:space="preserve">the proportion of </w:t>
      </w:r>
      <w:r w:rsidR="00562FE7">
        <w:rPr>
          <w:rFonts w:asciiTheme="minorHAnsi" w:hAnsiTheme="minorHAnsi"/>
          <w:bCs/>
          <w:szCs w:val="24"/>
          <w:lang w:val="en-GB"/>
        </w:rPr>
        <w:t xml:space="preserve">more heavily </w:t>
      </w:r>
      <w:r w:rsidRPr="00261935">
        <w:rPr>
          <w:rFonts w:asciiTheme="minorHAnsi" w:hAnsiTheme="minorHAnsi"/>
          <w:bCs/>
          <w:szCs w:val="24"/>
          <w:lang w:val="en-GB"/>
        </w:rPr>
        <w:t>pre-treated patients</w:t>
      </w:r>
      <w:r>
        <w:rPr>
          <w:rFonts w:asciiTheme="minorHAnsi" w:hAnsiTheme="minorHAnsi"/>
          <w:bCs/>
          <w:szCs w:val="24"/>
          <w:lang w:val="en-GB"/>
        </w:rPr>
        <w:t xml:space="preserve"> may be higher</w:t>
      </w:r>
      <w:r w:rsidRPr="00261935">
        <w:rPr>
          <w:rFonts w:asciiTheme="minorHAnsi" w:hAnsiTheme="minorHAnsi"/>
          <w:bCs/>
          <w:szCs w:val="24"/>
          <w:lang w:val="en-GB"/>
        </w:rPr>
        <w:t xml:space="preserve"> (including </w:t>
      </w:r>
      <w:r w:rsidR="00F20544">
        <w:rPr>
          <w:rFonts w:asciiTheme="minorHAnsi" w:hAnsiTheme="minorHAnsi"/>
          <w:bCs/>
          <w:szCs w:val="24"/>
          <w:lang w:val="en-GB"/>
        </w:rPr>
        <w:t xml:space="preserve">patients who received </w:t>
      </w:r>
      <w:r w:rsidRPr="00261935">
        <w:rPr>
          <w:rFonts w:asciiTheme="minorHAnsi" w:hAnsiTheme="minorHAnsi"/>
          <w:bCs/>
          <w:szCs w:val="24"/>
          <w:lang w:val="en-GB"/>
        </w:rPr>
        <w:t>previous platinum</w:t>
      </w:r>
      <w:r w:rsidR="00F20544" w:rsidRPr="0041294F">
        <w:t>-based therapy</w:t>
      </w:r>
      <w:r w:rsidR="00F20544">
        <w:t>, as noted above</w:t>
      </w:r>
      <w:r w:rsidRPr="00261935">
        <w:rPr>
          <w:rFonts w:asciiTheme="minorHAnsi" w:hAnsiTheme="minorHAnsi"/>
          <w:bCs/>
          <w:szCs w:val="24"/>
          <w:lang w:val="en-GB"/>
        </w:rPr>
        <w:t>)</w:t>
      </w:r>
      <w:r w:rsidR="006762AD">
        <w:rPr>
          <w:rFonts w:asciiTheme="minorHAnsi" w:hAnsiTheme="minorHAnsi"/>
          <w:bCs/>
          <w:szCs w:val="24"/>
          <w:lang w:val="en-GB"/>
        </w:rPr>
        <w:t>.</w:t>
      </w:r>
    </w:p>
    <w:p w:rsidR="00D717AC" w:rsidRPr="006C6EF0" w:rsidRDefault="006C6EF0" w:rsidP="005C1051">
      <w:pPr>
        <w:pStyle w:val="ListParagraph"/>
        <w:numPr>
          <w:ilvl w:val="1"/>
          <w:numId w:val="3"/>
        </w:numPr>
        <w:rPr>
          <w:rFonts w:asciiTheme="minorHAnsi" w:hAnsiTheme="minorHAnsi"/>
          <w:bCs/>
          <w:szCs w:val="24"/>
          <w:lang w:val="en-GB"/>
        </w:rPr>
      </w:pPr>
      <w:r w:rsidRPr="006C6EF0">
        <w:rPr>
          <w:rFonts w:asciiTheme="minorHAnsi" w:hAnsiTheme="minorHAnsi"/>
          <w:bCs/>
          <w:szCs w:val="24"/>
          <w:lang w:val="en-GB"/>
        </w:rPr>
        <w:t xml:space="preserve">The pre-PBAC response provided the results of pre-specified subgroup and covariate analyses on PFS across previous lines of chemotherapy regimens (0, 1 or </w:t>
      </w:r>
      <w:r w:rsidRPr="006C6EF0">
        <w:rPr>
          <w:rFonts w:asciiTheme="minorHAnsi" w:hAnsiTheme="minorHAnsi" w:cstheme="minorHAnsi"/>
          <w:bCs/>
          <w:szCs w:val="24"/>
          <w:lang w:val="en-GB"/>
        </w:rPr>
        <w:t>≥</w:t>
      </w:r>
      <w:r w:rsidRPr="006C6EF0">
        <w:rPr>
          <w:rFonts w:asciiTheme="minorHAnsi" w:hAnsiTheme="minorHAnsi"/>
          <w:bCs/>
          <w:szCs w:val="24"/>
          <w:lang w:val="en-GB"/>
        </w:rPr>
        <w:t xml:space="preserve">2 prior cytotoxic regimens) and prior platinum use. </w:t>
      </w:r>
      <w:r>
        <w:rPr>
          <w:rFonts w:asciiTheme="minorHAnsi" w:hAnsiTheme="minorHAnsi"/>
          <w:bCs/>
          <w:szCs w:val="24"/>
          <w:lang w:val="en-GB"/>
        </w:rPr>
        <w:t>H</w:t>
      </w:r>
      <w:r w:rsidR="00E16D74" w:rsidRPr="006C6EF0">
        <w:rPr>
          <w:rFonts w:asciiTheme="minorHAnsi" w:hAnsiTheme="minorHAnsi"/>
          <w:bCs/>
          <w:szCs w:val="24"/>
          <w:lang w:val="en-GB"/>
        </w:rPr>
        <w:t>owever, the PBAC considere</w:t>
      </w:r>
      <w:r w:rsidR="00D56486" w:rsidRPr="006C6EF0">
        <w:rPr>
          <w:rFonts w:asciiTheme="minorHAnsi" w:hAnsiTheme="minorHAnsi"/>
          <w:bCs/>
          <w:szCs w:val="24"/>
          <w:lang w:val="en-GB"/>
        </w:rPr>
        <w:t>d there were limitations associated with these analyses (see paragraph 6.2</w:t>
      </w:r>
      <w:r w:rsidR="000B0FF3" w:rsidRPr="006C6EF0">
        <w:rPr>
          <w:rFonts w:asciiTheme="minorHAnsi" w:hAnsiTheme="minorHAnsi"/>
          <w:bCs/>
          <w:szCs w:val="24"/>
          <w:lang w:val="en-GB"/>
        </w:rPr>
        <w:t>1</w:t>
      </w:r>
      <w:r w:rsidR="00D56486" w:rsidRPr="006C6EF0">
        <w:rPr>
          <w:rFonts w:asciiTheme="minorHAnsi" w:hAnsiTheme="minorHAnsi"/>
          <w:bCs/>
          <w:szCs w:val="24"/>
          <w:lang w:val="en-GB"/>
        </w:rPr>
        <w:t>).</w:t>
      </w:r>
      <w:r w:rsidR="00582057" w:rsidRPr="006C6EF0">
        <w:rPr>
          <w:rFonts w:asciiTheme="minorHAnsi" w:hAnsiTheme="minorHAnsi"/>
          <w:bCs/>
          <w:szCs w:val="24"/>
          <w:lang w:val="en-GB"/>
        </w:rPr>
        <w:t xml:space="preserve"> </w:t>
      </w:r>
      <w:r w:rsidR="00347120" w:rsidRPr="006C6EF0">
        <w:rPr>
          <w:rFonts w:asciiTheme="minorHAnsi" w:hAnsiTheme="minorHAnsi"/>
          <w:bCs/>
          <w:szCs w:val="24"/>
          <w:lang w:val="en-GB"/>
        </w:rPr>
        <w:t>Overall, the PBAC considered there w</w:t>
      </w:r>
      <w:r>
        <w:rPr>
          <w:rFonts w:asciiTheme="minorHAnsi" w:hAnsiTheme="minorHAnsi"/>
          <w:bCs/>
          <w:szCs w:val="24"/>
          <w:lang w:val="en-GB"/>
        </w:rPr>
        <w:t>ere</w:t>
      </w:r>
      <w:r w:rsidR="00347120" w:rsidRPr="006C6EF0">
        <w:rPr>
          <w:rFonts w:asciiTheme="minorHAnsi" w:hAnsiTheme="minorHAnsi"/>
          <w:bCs/>
          <w:szCs w:val="24"/>
          <w:lang w:val="en-GB"/>
        </w:rPr>
        <w:t xml:space="preserve"> insufficient data to determine</w:t>
      </w:r>
      <w:r w:rsidR="00D55864" w:rsidRPr="006C6EF0">
        <w:rPr>
          <w:rFonts w:asciiTheme="minorHAnsi" w:hAnsiTheme="minorHAnsi"/>
          <w:bCs/>
          <w:szCs w:val="24"/>
          <w:lang w:val="en-GB"/>
        </w:rPr>
        <w:t xml:space="preserve"> the extent to which</w:t>
      </w:r>
      <w:r w:rsidR="00347120" w:rsidRPr="006C6EF0">
        <w:rPr>
          <w:rFonts w:asciiTheme="minorHAnsi" w:hAnsiTheme="minorHAnsi"/>
          <w:bCs/>
          <w:szCs w:val="24"/>
          <w:lang w:val="en-GB"/>
        </w:rPr>
        <w:t xml:space="preserve"> </w:t>
      </w:r>
      <w:r w:rsidR="00D2293B" w:rsidRPr="006C6EF0">
        <w:rPr>
          <w:rFonts w:asciiTheme="minorHAnsi" w:hAnsiTheme="minorHAnsi"/>
          <w:bCs/>
          <w:szCs w:val="24"/>
          <w:lang w:val="en-GB"/>
        </w:rPr>
        <w:t xml:space="preserve">the following factors impacted on the treatment effect of talazoparib: </w:t>
      </w:r>
      <w:r w:rsidR="00D55864" w:rsidRPr="006C6EF0">
        <w:rPr>
          <w:rFonts w:asciiTheme="minorHAnsi" w:hAnsiTheme="minorHAnsi"/>
          <w:bCs/>
          <w:szCs w:val="24"/>
          <w:lang w:val="en-GB"/>
        </w:rPr>
        <w:t xml:space="preserve">the exclusion of </w:t>
      </w:r>
      <w:r w:rsidR="0085223A" w:rsidRPr="006C6EF0">
        <w:rPr>
          <w:rFonts w:asciiTheme="minorHAnsi" w:hAnsiTheme="minorHAnsi"/>
          <w:bCs/>
          <w:szCs w:val="24"/>
          <w:lang w:val="en-GB"/>
        </w:rPr>
        <w:t>platinum therapy</w:t>
      </w:r>
      <w:r w:rsidR="00D55864" w:rsidRPr="006C6EF0">
        <w:rPr>
          <w:rFonts w:asciiTheme="minorHAnsi" w:hAnsiTheme="minorHAnsi"/>
          <w:bCs/>
          <w:szCs w:val="24"/>
          <w:lang w:val="en-GB"/>
        </w:rPr>
        <w:t xml:space="preserve"> from</w:t>
      </w:r>
      <w:r w:rsidR="00E3133C" w:rsidRPr="006C6EF0">
        <w:rPr>
          <w:rFonts w:asciiTheme="minorHAnsi" w:hAnsiTheme="minorHAnsi"/>
          <w:bCs/>
          <w:szCs w:val="24"/>
          <w:lang w:val="en-GB"/>
        </w:rPr>
        <w:t xml:space="preserve"> the</w:t>
      </w:r>
      <w:r w:rsidR="00D55864" w:rsidRPr="006C6EF0">
        <w:rPr>
          <w:rFonts w:asciiTheme="minorHAnsi" w:hAnsiTheme="minorHAnsi"/>
          <w:bCs/>
          <w:szCs w:val="24"/>
          <w:lang w:val="en-GB"/>
        </w:rPr>
        <w:t xml:space="preserve"> </w:t>
      </w:r>
      <w:r w:rsidR="0085223A" w:rsidRPr="006C6EF0">
        <w:rPr>
          <w:rFonts w:asciiTheme="minorHAnsi" w:hAnsiTheme="minorHAnsi"/>
          <w:bCs/>
          <w:szCs w:val="24"/>
          <w:lang w:val="en-GB"/>
        </w:rPr>
        <w:t>SoC</w:t>
      </w:r>
      <w:r w:rsidR="00E3133C" w:rsidRPr="006C6EF0">
        <w:rPr>
          <w:rFonts w:asciiTheme="minorHAnsi" w:hAnsiTheme="minorHAnsi"/>
          <w:bCs/>
          <w:szCs w:val="24"/>
          <w:lang w:val="en-GB"/>
        </w:rPr>
        <w:t xml:space="preserve"> comparator arm</w:t>
      </w:r>
      <w:r w:rsidR="00D2293B" w:rsidRPr="006C6EF0">
        <w:rPr>
          <w:rFonts w:asciiTheme="minorHAnsi" w:hAnsiTheme="minorHAnsi"/>
          <w:bCs/>
          <w:szCs w:val="24"/>
          <w:lang w:val="en-GB"/>
        </w:rPr>
        <w:t>;</w:t>
      </w:r>
      <w:r w:rsidR="00D349B2" w:rsidRPr="006C6EF0">
        <w:rPr>
          <w:rFonts w:asciiTheme="minorHAnsi" w:hAnsiTheme="minorHAnsi"/>
          <w:bCs/>
          <w:szCs w:val="24"/>
          <w:lang w:val="en-GB"/>
        </w:rPr>
        <w:t xml:space="preserve"> </w:t>
      </w:r>
      <w:r w:rsidR="00F20544" w:rsidRPr="006C6EF0">
        <w:rPr>
          <w:rFonts w:asciiTheme="minorHAnsi" w:hAnsiTheme="minorHAnsi"/>
          <w:bCs/>
          <w:szCs w:val="24"/>
          <w:lang w:val="en-GB"/>
        </w:rPr>
        <w:t xml:space="preserve">the limited number of patients with prior platinum chemotherapy in the trial; and </w:t>
      </w:r>
      <w:r w:rsidR="00D349B2" w:rsidRPr="006C6EF0">
        <w:rPr>
          <w:rFonts w:asciiTheme="minorHAnsi" w:hAnsiTheme="minorHAnsi"/>
          <w:bCs/>
          <w:szCs w:val="24"/>
          <w:lang w:val="en-GB"/>
        </w:rPr>
        <w:t xml:space="preserve">the likely fewer heavily </w:t>
      </w:r>
      <w:r>
        <w:rPr>
          <w:rFonts w:asciiTheme="minorHAnsi" w:hAnsiTheme="minorHAnsi"/>
          <w:bCs/>
          <w:szCs w:val="24"/>
          <w:lang w:val="en-GB"/>
        </w:rPr>
        <w:t>pre-</w:t>
      </w:r>
      <w:r w:rsidR="00D349B2" w:rsidRPr="006C6EF0">
        <w:rPr>
          <w:rFonts w:asciiTheme="minorHAnsi" w:hAnsiTheme="minorHAnsi"/>
          <w:bCs/>
          <w:szCs w:val="24"/>
          <w:lang w:val="en-GB"/>
        </w:rPr>
        <w:t xml:space="preserve">treated patients compared to Australian clinical </w:t>
      </w:r>
      <w:r w:rsidR="00D2293B" w:rsidRPr="006C6EF0">
        <w:rPr>
          <w:rFonts w:asciiTheme="minorHAnsi" w:hAnsiTheme="minorHAnsi"/>
          <w:bCs/>
          <w:szCs w:val="24"/>
          <w:lang w:val="en-GB"/>
        </w:rPr>
        <w:t>practice</w:t>
      </w:r>
      <w:r w:rsidR="00D349B2" w:rsidRPr="006C6EF0">
        <w:rPr>
          <w:rFonts w:asciiTheme="minorHAnsi" w:hAnsiTheme="minorHAnsi"/>
          <w:bCs/>
          <w:szCs w:val="24"/>
          <w:lang w:val="en-GB"/>
        </w:rPr>
        <w:t>.</w:t>
      </w:r>
    </w:p>
    <w:p w:rsidR="00D75DF2" w:rsidRDefault="00D75DF2" w:rsidP="00D77D06">
      <w:pPr>
        <w:pStyle w:val="ListParagraph"/>
        <w:numPr>
          <w:ilvl w:val="1"/>
          <w:numId w:val="3"/>
        </w:numPr>
        <w:rPr>
          <w:rFonts w:asciiTheme="minorHAnsi" w:hAnsiTheme="minorHAnsi"/>
          <w:bCs/>
          <w:szCs w:val="24"/>
          <w:lang w:val="en-GB"/>
        </w:rPr>
      </w:pPr>
      <w:r>
        <w:rPr>
          <w:rFonts w:asciiTheme="minorHAnsi" w:hAnsiTheme="minorHAnsi"/>
          <w:bCs/>
          <w:szCs w:val="24"/>
          <w:lang w:val="en-GB"/>
        </w:rPr>
        <w:t>The PBAC agreed with the ESC that</w:t>
      </w:r>
      <w:r w:rsidR="00D2293B">
        <w:rPr>
          <w:rFonts w:asciiTheme="minorHAnsi" w:hAnsiTheme="minorHAnsi"/>
          <w:bCs/>
          <w:szCs w:val="24"/>
          <w:lang w:val="en-GB"/>
        </w:rPr>
        <w:t xml:space="preserve"> it</w:t>
      </w:r>
      <w:r>
        <w:rPr>
          <w:rFonts w:asciiTheme="minorHAnsi" w:hAnsiTheme="minorHAnsi"/>
          <w:bCs/>
          <w:szCs w:val="24"/>
          <w:lang w:val="en-GB"/>
        </w:rPr>
        <w:t xml:space="preserve"> </w:t>
      </w:r>
      <w:r w:rsidR="00D2293B" w:rsidRPr="00D2293B">
        <w:rPr>
          <w:rFonts w:asciiTheme="minorHAnsi" w:hAnsiTheme="minorHAnsi"/>
          <w:bCs/>
          <w:szCs w:val="24"/>
          <w:lang w:val="en-GB"/>
        </w:rPr>
        <w:t>was unclear</w:t>
      </w:r>
      <w:r w:rsidR="00D5581F">
        <w:rPr>
          <w:rFonts w:asciiTheme="minorHAnsi" w:hAnsiTheme="minorHAnsi"/>
          <w:bCs/>
          <w:szCs w:val="24"/>
          <w:lang w:val="en-GB"/>
        </w:rPr>
        <w:t xml:space="preserve"> given the immature data</w:t>
      </w:r>
      <w:r w:rsidR="00D2293B" w:rsidRPr="00D2293B">
        <w:rPr>
          <w:rFonts w:asciiTheme="minorHAnsi" w:hAnsiTheme="minorHAnsi"/>
          <w:bCs/>
          <w:szCs w:val="24"/>
          <w:lang w:val="en-GB"/>
        </w:rPr>
        <w:t xml:space="preserve"> whether talazoparib would lead to any gains in overall survival (OS)</w:t>
      </w:r>
      <w:r w:rsidR="00D6208D">
        <w:rPr>
          <w:rFonts w:asciiTheme="minorHAnsi" w:hAnsiTheme="minorHAnsi"/>
          <w:bCs/>
          <w:szCs w:val="24"/>
          <w:lang w:val="en-GB"/>
        </w:rPr>
        <w:t xml:space="preserve">. </w:t>
      </w:r>
      <w:r w:rsidR="0091517B">
        <w:rPr>
          <w:rFonts w:asciiTheme="minorHAnsi" w:hAnsiTheme="minorHAnsi"/>
          <w:bCs/>
          <w:szCs w:val="24"/>
          <w:lang w:val="en-GB"/>
        </w:rPr>
        <w:t>T</w:t>
      </w:r>
      <w:r w:rsidR="005C6A25">
        <w:rPr>
          <w:rFonts w:asciiTheme="minorHAnsi" w:hAnsiTheme="minorHAnsi"/>
          <w:bCs/>
          <w:szCs w:val="24"/>
          <w:lang w:val="en-GB"/>
        </w:rPr>
        <w:t xml:space="preserve">he PBAC considered </w:t>
      </w:r>
      <w:r w:rsidR="000D236F">
        <w:rPr>
          <w:rFonts w:asciiTheme="minorHAnsi" w:hAnsiTheme="minorHAnsi"/>
          <w:bCs/>
          <w:szCs w:val="24"/>
          <w:lang w:val="en-GB"/>
        </w:rPr>
        <w:t xml:space="preserve">the OS data beyond the median </w:t>
      </w:r>
      <w:r w:rsidR="006A36D7">
        <w:rPr>
          <w:rFonts w:asciiTheme="minorHAnsi" w:hAnsiTheme="minorHAnsi"/>
          <w:bCs/>
          <w:szCs w:val="24"/>
          <w:lang w:val="en-GB"/>
        </w:rPr>
        <w:t>14-month</w:t>
      </w:r>
      <w:r w:rsidR="000D236F">
        <w:rPr>
          <w:rFonts w:asciiTheme="minorHAnsi" w:hAnsiTheme="minorHAnsi"/>
          <w:bCs/>
          <w:szCs w:val="24"/>
          <w:lang w:val="en-GB"/>
        </w:rPr>
        <w:t xml:space="preserve"> follow up for OS </w:t>
      </w:r>
      <w:r w:rsidR="00A72FAA">
        <w:rPr>
          <w:rFonts w:asciiTheme="minorHAnsi" w:hAnsiTheme="minorHAnsi"/>
          <w:bCs/>
          <w:szCs w:val="24"/>
          <w:lang w:val="en-GB"/>
        </w:rPr>
        <w:t>to be unreliable</w:t>
      </w:r>
      <w:r w:rsidR="00D5581F">
        <w:rPr>
          <w:rFonts w:asciiTheme="minorHAnsi" w:hAnsiTheme="minorHAnsi"/>
          <w:bCs/>
          <w:szCs w:val="24"/>
          <w:lang w:val="en-GB"/>
        </w:rPr>
        <w:t>,</w:t>
      </w:r>
      <w:r w:rsidR="000D236F">
        <w:rPr>
          <w:rFonts w:asciiTheme="minorHAnsi" w:hAnsiTheme="minorHAnsi"/>
          <w:bCs/>
          <w:szCs w:val="24"/>
          <w:lang w:val="en-GB"/>
        </w:rPr>
        <w:t xml:space="preserve"> given the high proportion of censoring in both treatment arms.</w:t>
      </w:r>
      <w:r w:rsidR="00E67F92">
        <w:rPr>
          <w:rFonts w:asciiTheme="minorHAnsi" w:hAnsiTheme="minorHAnsi"/>
          <w:bCs/>
          <w:szCs w:val="24"/>
          <w:lang w:val="en-GB"/>
        </w:rPr>
        <w:t xml:space="preserve"> The PBAC noted that</w:t>
      </w:r>
      <w:r w:rsidR="00A537E0">
        <w:rPr>
          <w:rFonts w:asciiTheme="minorHAnsi" w:hAnsiTheme="minorHAnsi"/>
          <w:bCs/>
          <w:szCs w:val="24"/>
          <w:lang w:val="en-GB"/>
        </w:rPr>
        <w:t xml:space="preserve"> </w:t>
      </w:r>
      <w:r w:rsidR="00E67F92">
        <w:rPr>
          <w:rFonts w:asciiTheme="minorHAnsi" w:hAnsiTheme="minorHAnsi"/>
          <w:bCs/>
          <w:szCs w:val="24"/>
          <w:lang w:val="en-GB"/>
        </w:rPr>
        <w:t xml:space="preserve">OS was not statistically significant at the interim analysis (HR 0.76, 95% CI </w:t>
      </w:r>
      <w:r w:rsidR="00A537E0">
        <w:rPr>
          <w:rFonts w:asciiTheme="minorHAnsi" w:hAnsiTheme="minorHAnsi"/>
          <w:bCs/>
          <w:szCs w:val="24"/>
          <w:lang w:val="en-GB"/>
        </w:rPr>
        <w:t>0.55, 1.06) of the EMBRACA trial</w:t>
      </w:r>
      <w:r w:rsidR="00D77D06">
        <w:rPr>
          <w:rFonts w:asciiTheme="minorHAnsi" w:hAnsiTheme="minorHAnsi"/>
          <w:bCs/>
          <w:szCs w:val="24"/>
          <w:lang w:val="en-GB"/>
        </w:rPr>
        <w:t>;</w:t>
      </w:r>
      <w:r w:rsidR="00D77D06" w:rsidRPr="00D77D06">
        <w:t xml:space="preserve"> </w:t>
      </w:r>
      <w:r w:rsidR="00D77D06" w:rsidRPr="00D77D06">
        <w:rPr>
          <w:rFonts w:asciiTheme="minorHAnsi" w:hAnsiTheme="minorHAnsi"/>
          <w:bCs/>
          <w:szCs w:val="24"/>
          <w:lang w:val="en-GB"/>
        </w:rPr>
        <w:t>and a</w:t>
      </w:r>
      <w:r w:rsidR="00D77D06">
        <w:rPr>
          <w:rFonts w:asciiTheme="minorHAnsi" w:hAnsiTheme="minorHAnsi"/>
          <w:bCs/>
          <w:szCs w:val="24"/>
          <w:lang w:val="en-GB"/>
        </w:rPr>
        <w:t>fter</w:t>
      </w:r>
      <w:r w:rsidR="00D77D06" w:rsidRPr="00D77D06">
        <w:rPr>
          <w:rFonts w:asciiTheme="minorHAnsi" w:hAnsiTheme="minorHAnsi"/>
          <w:bCs/>
          <w:szCs w:val="24"/>
          <w:lang w:val="en-GB"/>
        </w:rPr>
        <w:t xml:space="preserve"> 12 months</w:t>
      </w:r>
      <w:r w:rsidR="00D77D06">
        <w:rPr>
          <w:rFonts w:asciiTheme="minorHAnsi" w:hAnsiTheme="minorHAnsi"/>
          <w:bCs/>
          <w:szCs w:val="24"/>
          <w:lang w:val="en-GB"/>
        </w:rPr>
        <w:t>,</w:t>
      </w:r>
      <w:r w:rsidR="00D77D06" w:rsidRPr="00D77D06">
        <w:rPr>
          <w:rFonts w:asciiTheme="minorHAnsi" w:hAnsiTheme="minorHAnsi"/>
          <w:bCs/>
          <w:szCs w:val="24"/>
          <w:lang w:val="en-GB"/>
        </w:rPr>
        <w:t xml:space="preserve"> 75% of pat</w:t>
      </w:r>
      <w:r w:rsidR="00D77D06">
        <w:rPr>
          <w:rFonts w:asciiTheme="minorHAnsi" w:hAnsiTheme="minorHAnsi"/>
          <w:bCs/>
          <w:szCs w:val="24"/>
          <w:lang w:val="en-GB"/>
        </w:rPr>
        <w:t>ients were alive in the talazoparib arm</w:t>
      </w:r>
      <w:r w:rsidR="00D77D06" w:rsidRPr="00D77D06">
        <w:rPr>
          <w:rFonts w:asciiTheme="minorHAnsi" w:hAnsiTheme="minorHAnsi"/>
          <w:bCs/>
          <w:szCs w:val="24"/>
          <w:lang w:val="en-GB"/>
        </w:rPr>
        <w:t xml:space="preserve"> versus 73% in the SOC arm</w:t>
      </w:r>
      <w:r w:rsidR="00D1730D">
        <w:rPr>
          <w:rFonts w:asciiTheme="minorHAnsi" w:hAnsiTheme="minorHAnsi"/>
          <w:bCs/>
          <w:szCs w:val="24"/>
          <w:lang w:val="en-GB"/>
        </w:rPr>
        <w:t xml:space="preserve">. The PBAC noted the final OS results for the EMBRACA trial are expected in early January 2020. </w:t>
      </w:r>
      <w:r w:rsidR="00A537E0">
        <w:rPr>
          <w:rFonts w:asciiTheme="minorHAnsi" w:hAnsiTheme="minorHAnsi"/>
          <w:bCs/>
          <w:szCs w:val="24"/>
          <w:lang w:val="en-GB"/>
        </w:rPr>
        <w:t xml:space="preserve"> </w:t>
      </w:r>
    </w:p>
    <w:p w:rsidR="00A72FAA" w:rsidRDefault="00D37F7F" w:rsidP="00B902AE">
      <w:pPr>
        <w:pStyle w:val="ListParagraph"/>
        <w:numPr>
          <w:ilvl w:val="1"/>
          <w:numId w:val="3"/>
        </w:numPr>
        <w:rPr>
          <w:rFonts w:asciiTheme="minorHAnsi" w:hAnsiTheme="minorHAnsi"/>
          <w:bCs/>
          <w:szCs w:val="24"/>
          <w:lang w:val="en-GB"/>
        </w:rPr>
      </w:pPr>
      <w:r>
        <w:rPr>
          <w:rFonts w:asciiTheme="minorHAnsi" w:hAnsiTheme="minorHAnsi"/>
          <w:bCs/>
          <w:szCs w:val="24"/>
          <w:lang w:val="en-GB"/>
        </w:rPr>
        <w:t xml:space="preserve">The PBAC </w:t>
      </w:r>
      <w:r w:rsidR="00973AD9">
        <w:rPr>
          <w:rFonts w:asciiTheme="minorHAnsi" w:hAnsiTheme="minorHAnsi"/>
          <w:bCs/>
          <w:szCs w:val="24"/>
          <w:lang w:val="en-GB"/>
        </w:rPr>
        <w:t xml:space="preserve">considered that the claim of non-inferior safety compared </w:t>
      </w:r>
      <w:r w:rsidR="00EE4B49">
        <w:rPr>
          <w:rFonts w:asciiTheme="minorHAnsi" w:hAnsiTheme="minorHAnsi"/>
          <w:bCs/>
          <w:szCs w:val="24"/>
          <w:lang w:val="en-GB"/>
        </w:rPr>
        <w:t>with SoC was reasonable overall</w:t>
      </w:r>
      <w:r w:rsidR="002863F7">
        <w:rPr>
          <w:rFonts w:asciiTheme="minorHAnsi" w:hAnsiTheme="minorHAnsi"/>
          <w:bCs/>
          <w:szCs w:val="24"/>
          <w:lang w:val="en-GB"/>
        </w:rPr>
        <w:t>,</w:t>
      </w:r>
      <w:r w:rsidR="00EE4B49">
        <w:rPr>
          <w:rFonts w:asciiTheme="minorHAnsi" w:hAnsiTheme="minorHAnsi"/>
          <w:bCs/>
          <w:szCs w:val="24"/>
          <w:lang w:val="en-GB"/>
        </w:rPr>
        <w:t xml:space="preserve"> noting that most grade 3-4 AEs</w:t>
      </w:r>
      <w:r w:rsidR="009F4A26">
        <w:rPr>
          <w:rFonts w:asciiTheme="minorHAnsi" w:hAnsiTheme="minorHAnsi"/>
          <w:bCs/>
          <w:szCs w:val="24"/>
          <w:lang w:val="en-GB"/>
        </w:rPr>
        <w:t xml:space="preserve"> in the talazoparib arm</w:t>
      </w:r>
      <w:r w:rsidR="00EE4B49">
        <w:rPr>
          <w:rFonts w:asciiTheme="minorHAnsi" w:hAnsiTheme="minorHAnsi"/>
          <w:bCs/>
          <w:szCs w:val="24"/>
          <w:lang w:val="en-GB"/>
        </w:rPr>
        <w:t xml:space="preserve"> were hematologic laboratory </w:t>
      </w:r>
      <w:r w:rsidR="00A36CCC">
        <w:rPr>
          <w:rFonts w:asciiTheme="minorHAnsi" w:hAnsiTheme="minorHAnsi"/>
          <w:bCs/>
          <w:szCs w:val="24"/>
          <w:lang w:val="en-GB"/>
        </w:rPr>
        <w:t>abnormalities that were managed with dose reduction</w:t>
      </w:r>
      <w:r w:rsidR="006C6EF0">
        <w:rPr>
          <w:rFonts w:asciiTheme="minorHAnsi" w:hAnsiTheme="minorHAnsi"/>
          <w:bCs/>
          <w:szCs w:val="24"/>
          <w:lang w:val="en-GB"/>
        </w:rPr>
        <w:t>s</w:t>
      </w:r>
      <w:r w:rsidR="00A36CCC">
        <w:rPr>
          <w:rFonts w:asciiTheme="minorHAnsi" w:hAnsiTheme="minorHAnsi"/>
          <w:bCs/>
          <w:szCs w:val="24"/>
          <w:lang w:val="en-GB"/>
        </w:rPr>
        <w:t xml:space="preserve"> or </w:t>
      </w:r>
      <w:r w:rsidR="00A36CCC">
        <w:rPr>
          <w:rFonts w:asciiTheme="minorHAnsi" w:hAnsiTheme="minorHAnsi"/>
          <w:bCs/>
          <w:szCs w:val="24"/>
          <w:lang w:val="en-GB"/>
        </w:rPr>
        <w:lastRenderedPageBreak/>
        <w:t>interruption</w:t>
      </w:r>
      <w:r w:rsidR="006C6EF0">
        <w:rPr>
          <w:rFonts w:asciiTheme="minorHAnsi" w:hAnsiTheme="minorHAnsi"/>
          <w:bCs/>
          <w:szCs w:val="24"/>
          <w:lang w:val="en-GB"/>
        </w:rPr>
        <w:t>s</w:t>
      </w:r>
      <w:r w:rsidR="00EE4B49">
        <w:rPr>
          <w:rFonts w:asciiTheme="minorHAnsi" w:hAnsiTheme="minorHAnsi"/>
          <w:bCs/>
          <w:szCs w:val="24"/>
          <w:lang w:val="en-GB"/>
        </w:rPr>
        <w:t xml:space="preserve">. </w:t>
      </w:r>
    </w:p>
    <w:p w:rsidR="00973AD9" w:rsidRDefault="000725A5" w:rsidP="00B902AE">
      <w:pPr>
        <w:pStyle w:val="ListParagraph"/>
        <w:numPr>
          <w:ilvl w:val="1"/>
          <w:numId w:val="3"/>
        </w:numPr>
        <w:rPr>
          <w:rFonts w:asciiTheme="minorHAnsi" w:hAnsiTheme="minorHAnsi"/>
          <w:bCs/>
          <w:szCs w:val="24"/>
          <w:lang w:val="en-GB"/>
        </w:rPr>
      </w:pPr>
      <w:r>
        <w:rPr>
          <w:rFonts w:asciiTheme="minorHAnsi" w:hAnsiTheme="minorHAnsi"/>
          <w:bCs/>
          <w:szCs w:val="24"/>
          <w:lang w:val="en-GB"/>
        </w:rPr>
        <w:t xml:space="preserve">The PBAC noted that treatment with talazoparib was associated with a </w:t>
      </w:r>
      <w:r w:rsidR="00871527">
        <w:rPr>
          <w:rFonts w:asciiTheme="minorHAnsi" w:hAnsiTheme="minorHAnsi"/>
          <w:bCs/>
          <w:szCs w:val="24"/>
          <w:lang w:val="en-GB"/>
        </w:rPr>
        <w:t xml:space="preserve">statistically </w:t>
      </w:r>
      <w:r>
        <w:rPr>
          <w:rFonts w:asciiTheme="minorHAnsi" w:hAnsiTheme="minorHAnsi"/>
          <w:bCs/>
          <w:szCs w:val="24"/>
          <w:lang w:val="en-GB"/>
        </w:rPr>
        <w:t>significant improvement in quality of life compared to SoC</w:t>
      </w:r>
      <w:r w:rsidR="00871527">
        <w:rPr>
          <w:rFonts w:asciiTheme="minorHAnsi" w:hAnsiTheme="minorHAnsi"/>
          <w:bCs/>
          <w:szCs w:val="24"/>
          <w:lang w:val="en-GB"/>
        </w:rPr>
        <w:t xml:space="preserve"> </w:t>
      </w:r>
      <w:r w:rsidR="00871527" w:rsidRPr="00AA6893">
        <w:t>measured by EORT</w:t>
      </w:r>
      <w:r w:rsidR="00871527">
        <w:t>C</w:t>
      </w:r>
      <w:r w:rsidR="00871527" w:rsidRPr="00AA6893">
        <w:t xml:space="preserve"> QLQ-C30</w:t>
      </w:r>
      <w:r w:rsidR="00871527">
        <w:t xml:space="preserve"> (</w:t>
      </w:r>
      <w:r w:rsidR="00871527" w:rsidRPr="00AA6893">
        <w:t xml:space="preserve">overall mean change in scores from baseline </w:t>
      </w:r>
      <w:r w:rsidR="00871527">
        <w:t xml:space="preserve">was </w:t>
      </w:r>
      <w:r w:rsidR="00871527" w:rsidRPr="00AA6893">
        <w:t>3.0 for talazoparib v</w:t>
      </w:r>
      <w:r w:rsidR="00871527">
        <w:t>ersu</w:t>
      </w:r>
      <w:r w:rsidR="00871527" w:rsidRPr="00AA6893">
        <w:t>s -5.4 for SoC; p&lt;0.0001)</w:t>
      </w:r>
      <w:r>
        <w:rPr>
          <w:rFonts w:asciiTheme="minorHAnsi" w:hAnsiTheme="minorHAnsi"/>
          <w:bCs/>
          <w:szCs w:val="24"/>
          <w:lang w:val="en-GB"/>
        </w:rPr>
        <w:t xml:space="preserve">. </w:t>
      </w:r>
      <w:r w:rsidR="00CA3896">
        <w:rPr>
          <w:rFonts w:asciiTheme="minorHAnsi" w:hAnsiTheme="minorHAnsi"/>
          <w:bCs/>
          <w:szCs w:val="24"/>
          <w:lang w:val="en-GB"/>
        </w:rPr>
        <w:t xml:space="preserve">The PBAC </w:t>
      </w:r>
      <w:r w:rsidR="00D22C2C">
        <w:rPr>
          <w:rFonts w:asciiTheme="minorHAnsi" w:hAnsiTheme="minorHAnsi"/>
          <w:bCs/>
          <w:szCs w:val="24"/>
          <w:lang w:val="en-GB"/>
        </w:rPr>
        <w:t xml:space="preserve">acknowledged these </w:t>
      </w:r>
      <w:r w:rsidR="00D22C2C" w:rsidRPr="00AA6893">
        <w:t xml:space="preserve">results should be interpreted in the context of the open-label design of the EMBRACA trial, the high proportion of censoring/missing data, and the uncertainty regarding the level of compliance with the HRQoL questionnaires over the duration of follow up. </w:t>
      </w:r>
    </w:p>
    <w:p w:rsidR="00575050" w:rsidRDefault="0095696D" w:rsidP="005316A8">
      <w:pPr>
        <w:pStyle w:val="ListParagraph"/>
        <w:numPr>
          <w:ilvl w:val="1"/>
          <w:numId w:val="3"/>
        </w:numPr>
        <w:rPr>
          <w:rFonts w:asciiTheme="minorHAnsi" w:hAnsiTheme="minorHAnsi"/>
          <w:bCs/>
          <w:szCs w:val="24"/>
          <w:lang w:val="en-GB"/>
        </w:rPr>
      </w:pPr>
      <w:r>
        <w:rPr>
          <w:rFonts w:asciiTheme="minorHAnsi" w:hAnsiTheme="minorHAnsi"/>
          <w:bCs/>
          <w:szCs w:val="24"/>
          <w:lang w:val="en-GB"/>
        </w:rPr>
        <w:t xml:space="preserve">The PBAC noted </w:t>
      </w:r>
      <w:r w:rsidR="006C6EF0">
        <w:rPr>
          <w:rFonts w:asciiTheme="minorHAnsi" w:hAnsiTheme="minorHAnsi"/>
          <w:bCs/>
          <w:szCs w:val="24"/>
          <w:lang w:val="en-GB"/>
        </w:rPr>
        <w:t xml:space="preserve">that </w:t>
      </w:r>
      <w:r w:rsidR="00575050">
        <w:rPr>
          <w:rFonts w:asciiTheme="minorHAnsi" w:hAnsiTheme="minorHAnsi"/>
          <w:bCs/>
          <w:szCs w:val="24"/>
          <w:lang w:val="en-GB"/>
        </w:rPr>
        <w:t xml:space="preserve">a </w:t>
      </w:r>
      <w:r>
        <w:rPr>
          <w:rFonts w:asciiTheme="minorHAnsi" w:hAnsiTheme="minorHAnsi"/>
          <w:bCs/>
          <w:szCs w:val="24"/>
          <w:lang w:val="en-GB"/>
        </w:rPr>
        <w:t>respecified base case</w:t>
      </w:r>
      <w:r w:rsidR="006C6EF0">
        <w:rPr>
          <w:rFonts w:asciiTheme="minorHAnsi" w:hAnsiTheme="minorHAnsi"/>
          <w:bCs/>
          <w:szCs w:val="24"/>
          <w:lang w:val="en-GB"/>
        </w:rPr>
        <w:t xml:space="preserve"> of the economic model</w:t>
      </w:r>
      <w:r w:rsidR="00575050">
        <w:rPr>
          <w:rFonts w:asciiTheme="minorHAnsi" w:hAnsiTheme="minorHAnsi"/>
          <w:bCs/>
          <w:szCs w:val="24"/>
          <w:lang w:val="en-GB"/>
        </w:rPr>
        <w:t>,</w:t>
      </w:r>
      <w:r w:rsidR="001B6AA3">
        <w:rPr>
          <w:rFonts w:asciiTheme="minorHAnsi" w:hAnsiTheme="minorHAnsi"/>
          <w:bCs/>
          <w:szCs w:val="24"/>
          <w:lang w:val="en-GB"/>
        </w:rPr>
        <w:t xml:space="preserve"> </w:t>
      </w:r>
      <w:r w:rsidR="008514E4">
        <w:rPr>
          <w:rFonts w:asciiTheme="minorHAnsi" w:hAnsiTheme="minorHAnsi"/>
          <w:bCs/>
          <w:szCs w:val="24"/>
          <w:lang w:val="en-GB"/>
        </w:rPr>
        <w:t>which</w:t>
      </w:r>
      <w:r>
        <w:rPr>
          <w:rFonts w:asciiTheme="minorHAnsi" w:hAnsiTheme="minorHAnsi"/>
          <w:bCs/>
          <w:szCs w:val="24"/>
          <w:lang w:val="en-GB"/>
        </w:rPr>
        <w:t xml:space="preserve"> corrected for </w:t>
      </w:r>
      <w:r w:rsidR="005E1656">
        <w:rPr>
          <w:rFonts w:asciiTheme="minorHAnsi" w:hAnsiTheme="minorHAnsi"/>
          <w:bCs/>
          <w:szCs w:val="24"/>
          <w:lang w:val="en-GB"/>
        </w:rPr>
        <w:t>the costs of treatment with talazoparib</w:t>
      </w:r>
      <w:r w:rsidR="00C84EE6">
        <w:rPr>
          <w:rFonts w:asciiTheme="minorHAnsi" w:hAnsiTheme="minorHAnsi"/>
          <w:bCs/>
          <w:szCs w:val="24"/>
          <w:lang w:val="en-GB"/>
        </w:rPr>
        <w:t xml:space="preserve">, </w:t>
      </w:r>
      <w:r w:rsidR="00575050">
        <w:rPr>
          <w:rFonts w:asciiTheme="minorHAnsi" w:hAnsiTheme="minorHAnsi"/>
          <w:bCs/>
          <w:szCs w:val="24"/>
          <w:lang w:val="en-GB"/>
        </w:rPr>
        <w:t xml:space="preserve">was proposed by </w:t>
      </w:r>
      <w:r w:rsidR="006C6EF0">
        <w:rPr>
          <w:rFonts w:asciiTheme="minorHAnsi" w:hAnsiTheme="minorHAnsi"/>
          <w:bCs/>
          <w:szCs w:val="24"/>
          <w:lang w:val="en-GB"/>
        </w:rPr>
        <w:t xml:space="preserve">the </w:t>
      </w:r>
      <w:r w:rsidR="00575050">
        <w:rPr>
          <w:rFonts w:asciiTheme="minorHAnsi" w:hAnsiTheme="minorHAnsi"/>
          <w:bCs/>
          <w:szCs w:val="24"/>
          <w:lang w:val="en-GB"/>
        </w:rPr>
        <w:t>ESC and accepted by the pre-PBAC response</w:t>
      </w:r>
      <w:r w:rsidR="00926DD6">
        <w:rPr>
          <w:rFonts w:asciiTheme="minorHAnsi" w:hAnsiTheme="minorHAnsi"/>
          <w:bCs/>
          <w:szCs w:val="24"/>
          <w:lang w:val="en-GB"/>
        </w:rPr>
        <w:t>,</w:t>
      </w:r>
      <w:r w:rsidR="00575050">
        <w:rPr>
          <w:rFonts w:asciiTheme="minorHAnsi" w:hAnsiTheme="minorHAnsi"/>
          <w:bCs/>
          <w:szCs w:val="24"/>
          <w:lang w:val="en-GB"/>
        </w:rPr>
        <w:t xml:space="preserve"> and resulted in an ICER of</w:t>
      </w:r>
      <w:r w:rsidR="001B6AA3">
        <w:rPr>
          <w:rFonts w:asciiTheme="minorHAnsi" w:hAnsiTheme="minorHAnsi"/>
          <w:bCs/>
          <w:szCs w:val="24"/>
          <w:lang w:val="en-GB"/>
        </w:rPr>
        <w:t xml:space="preserve"> </w:t>
      </w:r>
      <w:r w:rsidR="004C0A6D">
        <w:rPr>
          <w:rFonts w:asciiTheme="minorHAnsi" w:hAnsiTheme="minorHAnsi"/>
          <w:bCs/>
          <w:szCs w:val="24"/>
          <w:lang w:val="en-GB"/>
        </w:rPr>
        <w:t>$95,000 - $115,000</w:t>
      </w:r>
      <w:r w:rsidR="00327315">
        <w:rPr>
          <w:rFonts w:asciiTheme="minorHAnsi" w:hAnsiTheme="minorHAnsi"/>
          <w:bCs/>
          <w:szCs w:val="24"/>
          <w:lang w:val="en-GB"/>
        </w:rPr>
        <w:t xml:space="preserve">/QALY </w:t>
      </w:r>
      <w:r w:rsidR="00575050">
        <w:rPr>
          <w:rFonts w:asciiTheme="minorHAnsi" w:hAnsiTheme="minorHAnsi"/>
          <w:bCs/>
          <w:szCs w:val="24"/>
          <w:lang w:val="en-GB"/>
        </w:rPr>
        <w:t>(</w:t>
      </w:r>
      <w:r w:rsidR="00327315">
        <w:rPr>
          <w:rFonts w:asciiTheme="minorHAnsi" w:hAnsiTheme="minorHAnsi"/>
          <w:bCs/>
          <w:szCs w:val="24"/>
          <w:lang w:val="en-GB"/>
        </w:rPr>
        <w:t>compared to the base case</w:t>
      </w:r>
      <w:r w:rsidR="00926DD6">
        <w:rPr>
          <w:rFonts w:asciiTheme="minorHAnsi" w:hAnsiTheme="minorHAnsi"/>
          <w:bCs/>
          <w:szCs w:val="24"/>
          <w:lang w:val="en-GB"/>
        </w:rPr>
        <w:t xml:space="preserve"> ICER</w:t>
      </w:r>
      <w:r w:rsidR="00327315">
        <w:rPr>
          <w:rFonts w:asciiTheme="minorHAnsi" w:hAnsiTheme="minorHAnsi"/>
          <w:bCs/>
          <w:szCs w:val="24"/>
          <w:lang w:val="en-GB"/>
        </w:rPr>
        <w:t xml:space="preserve"> presented in the submission of </w:t>
      </w:r>
      <w:r w:rsidR="006F3AC1">
        <w:rPr>
          <w:rFonts w:asciiTheme="minorHAnsi" w:hAnsiTheme="minorHAnsi"/>
          <w:bCs/>
          <w:szCs w:val="24"/>
          <w:lang w:val="en-GB"/>
        </w:rPr>
        <w:t>$</w:t>
      </w:r>
      <w:r w:rsidR="004C0A6D">
        <w:rPr>
          <w:rFonts w:asciiTheme="minorHAnsi" w:hAnsiTheme="minorHAnsi"/>
          <w:bCs/>
          <w:szCs w:val="24"/>
          <w:lang w:val="en-GB"/>
        </w:rPr>
        <w:t>$55,000 - $75,000</w:t>
      </w:r>
      <w:r w:rsidR="006F3AC1">
        <w:rPr>
          <w:rFonts w:asciiTheme="minorHAnsi" w:hAnsiTheme="minorHAnsi"/>
          <w:bCs/>
          <w:szCs w:val="24"/>
          <w:lang w:val="en-GB"/>
        </w:rPr>
        <w:t>/QALY</w:t>
      </w:r>
      <w:r w:rsidR="00575050">
        <w:rPr>
          <w:rFonts w:asciiTheme="minorHAnsi" w:hAnsiTheme="minorHAnsi"/>
          <w:bCs/>
          <w:szCs w:val="24"/>
          <w:lang w:val="en-GB"/>
        </w:rPr>
        <w:t>)</w:t>
      </w:r>
      <w:r w:rsidR="006F3AC1">
        <w:rPr>
          <w:rFonts w:asciiTheme="minorHAnsi" w:hAnsiTheme="minorHAnsi"/>
          <w:bCs/>
          <w:szCs w:val="24"/>
          <w:lang w:val="en-GB"/>
        </w:rPr>
        <w:t xml:space="preserve">. While the PBAC </w:t>
      </w:r>
      <w:r w:rsidR="00C972A4">
        <w:rPr>
          <w:rFonts w:asciiTheme="minorHAnsi" w:hAnsiTheme="minorHAnsi"/>
          <w:bCs/>
          <w:szCs w:val="24"/>
          <w:lang w:val="en-GB"/>
        </w:rPr>
        <w:t>con</w:t>
      </w:r>
      <w:r w:rsidR="00E66197">
        <w:rPr>
          <w:rFonts w:asciiTheme="minorHAnsi" w:hAnsiTheme="minorHAnsi"/>
          <w:bCs/>
          <w:szCs w:val="24"/>
          <w:lang w:val="en-GB"/>
        </w:rPr>
        <w:t xml:space="preserve">sidered the changes made to the model in the respecified base case analysis </w:t>
      </w:r>
      <w:r w:rsidR="000B7110">
        <w:rPr>
          <w:rFonts w:asciiTheme="minorHAnsi" w:hAnsiTheme="minorHAnsi"/>
          <w:bCs/>
          <w:szCs w:val="24"/>
          <w:lang w:val="en-GB"/>
        </w:rPr>
        <w:t>wer</w:t>
      </w:r>
      <w:r w:rsidR="00C062A4">
        <w:rPr>
          <w:rFonts w:asciiTheme="minorHAnsi" w:hAnsiTheme="minorHAnsi"/>
          <w:bCs/>
          <w:szCs w:val="24"/>
          <w:lang w:val="en-GB"/>
        </w:rPr>
        <w:t>e appropriate, it considered the</w:t>
      </w:r>
      <w:r w:rsidR="00701F6C">
        <w:rPr>
          <w:rFonts w:asciiTheme="minorHAnsi" w:hAnsiTheme="minorHAnsi"/>
          <w:bCs/>
          <w:szCs w:val="24"/>
          <w:lang w:val="en-GB"/>
        </w:rPr>
        <w:t xml:space="preserve"> ICER</w:t>
      </w:r>
      <w:r w:rsidR="00133843">
        <w:rPr>
          <w:rFonts w:asciiTheme="minorHAnsi" w:hAnsiTheme="minorHAnsi"/>
          <w:bCs/>
          <w:szCs w:val="24"/>
          <w:lang w:val="en-GB"/>
        </w:rPr>
        <w:t xml:space="preserve"> </w:t>
      </w:r>
      <w:r w:rsidR="00E66197">
        <w:rPr>
          <w:rFonts w:asciiTheme="minorHAnsi" w:hAnsiTheme="minorHAnsi"/>
          <w:bCs/>
          <w:szCs w:val="24"/>
          <w:lang w:val="en-GB"/>
        </w:rPr>
        <w:t>to be</w:t>
      </w:r>
      <w:r w:rsidR="00D831E4">
        <w:rPr>
          <w:rFonts w:asciiTheme="minorHAnsi" w:hAnsiTheme="minorHAnsi"/>
          <w:bCs/>
          <w:szCs w:val="24"/>
          <w:lang w:val="en-GB"/>
        </w:rPr>
        <w:t xml:space="preserve"> unacceptably high</w:t>
      </w:r>
      <w:r w:rsidR="0003166D">
        <w:rPr>
          <w:rFonts w:asciiTheme="minorHAnsi" w:hAnsiTheme="minorHAnsi"/>
          <w:bCs/>
          <w:szCs w:val="24"/>
          <w:lang w:val="en-GB"/>
        </w:rPr>
        <w:t>.</w:t>
      </w:r>
      <w:r w:rsidR="00565CCA">
        <w:rPr>
          <w:rFonts w:asciiTheme="minorHAnsi" w:hAnsiTheme="minorHAnsi"/>
          <w:bCs/>
          <w:szCs w:val="24"/>
          <w:lang w:val="en-GB"/>
        </w:rPr>
        <w:t xml:space="preserve"> </w:t>
      </w:r>
    </w:p>
    <w:p w:rsidR="00334831" w:rsidRDefault="00575050" w:rsidP="00926DD6">
      <w:pPr>
        <w:pStyle w:val="ListParagraph"/>
        <w:numPr>
          <w:ilvl w:val="1"/>
          <w:numId w:val="3"/>
        </w:numPr>
        <w:rPr>
          <w:rFonts w:asciiTheme="minorHAnsi" w:hAnsiTheme="minorHAnsi"/>
          <w:bCs/>
          <w:szCs w:val="24"/>
          <w:lang w:val="en-GB"/>
        </w:rPr>
      </w:pPr>
      <w:r>
        <w:rPr>
          <w:rFonts w:asciiTheme="minorHAnsi" w:hAnsiTheme="minorHAnsi"/>
          <w:bCs/>
          <w:szCs w:val="24"/>
          <w:lang w:val="en-GB"/>
        </w:rPr>
        <w:t>T</w:t>
      </w:r>
      <w:r w:rsidR="007F2015">
        <w:rPr>
          <w:rFonts w:asciiTheme="minorHAnsi" w:hAnsiTheme="minorHAnsi"/>
          <w:bCs/>
          <w:szCs w:val="24"/>
          <w:lang w:val="en-GB"/>
        </w:rPr>
        <w:t>he</w:t>
      </w:r>
      <w:r w:rsidR="00C84EE6">
        <w:rPr>
          <w:rFonts w:asciiTheme="minorHAnsi" w:hAnsiTheme="minorHAnsi"/>
          <w:bCs/>
          <w:szCs w:val="24"/>
          <w:lang w:val="en-GB"/>
        </w:rPr>
        <w:t xml:space="preserve"> PBAC considered the ICER was </w:t>
      </w:r>
      <w:r w:rsidR="00600EE5">
        <w:rPr>
          <w:rFonts w:asciiTheme="minorHAnsi" w:hAnsiTheme="minorHAnsi"/>
          <w:bCs/>
          <w:szCs w:val="24"/>
          <w:lang w:val="en-GB"/>
        </w:rPr>
        <w:t xml:space="preserve">underestimated </w:t>
      </w:r>
      <w:r w:rsidR="006C6EF0">
        <w:rPr>
          <w:rFonts w:asciiTheme="minorHAnsi" w:hAnsiTheme="minorHAnsi"/>
          <w:bCs/>
          <w:szCs w:val="24"/>
          <w:lang w:val="en-GB"/>
        </w:rPr>
        <w:t>due to</w:t>
      </w:r>
      <w:r w:rsidR="007F2015">
        <w:rPr>
          <w:rFonts w:asciiTheme="minorHAnsi" w:hAnsiTheme="minorHAnsi"/>
          <w:bCs/>
          <w:szCs w:val="24"/>
          <w:lang w:val="en-GB"/>
        </w:rPr>
        <w:t xml:space="preserve"> </w:t>
      </w:r>
      <w:r w:rsidR="00133843">
        <w:rPr>
          <w:rFonts w:asciiTheme="minorHAnsi" w:hAnsiTheme="minorHAnsi"/>
          <w:bCs/>
          <w:szCs w:val="24"/>
          <w:lang w:val="en-GB"/>
        </w:rPr>
        <w:t>uncertain</w:t>
      </w:r>
      <w:r w:rsidR="00EC558F">
        <w:rPr>
          <w:rFonts w:asciiTheme="minorHAnsi" w:hAnsiTheme="minorHAnsi"/>
          <w:bCs/>
          <w:szCs w:val="24"/>
          <w:lang w:val="en-GB"/>
        </w:rPr>
        <w:t>ties</w:t>
      </w:r>
      <w:r w:rsidR="00133843">
        <w:rPr>
          <w:rFonts w:asciiTheme="minorHAnsi" w:hAnsiTheme="minorHAnsi"/>
          <w:bCs/>
          <w:szCs w:val="24"/>
          <w:lang w:val="en-GB"/>
        </w:rPr>
        <w:t xml:space="preserve"> </w:t>
      </w:r>
      <w:r w:rsidR="00701F6C">
        <w:rPr>
          <w:rFonts w:asciiTheme="minorHAnsi" w:hAnsiTheme="minorHAnsi"/>
          <w:bCs/>
          <w:szCs w:val="24"/>
          <w:lang w:val="en-GB"/>
        </w:rPr>
        <w:t>around the modelled OS benefit</w:t>
      </w:r>
      <w:r w:rsidR="00EC558F">
        <w:rPr>
          <w:rFonts w:asciiTheme="minorHAnsi" w:hAnsiTheme="minorHAnsi"/>
          <w:bCs/>
          <w:szCs w:val="24"/>
          <w:lang w:val="en-GB"/>
        </w:rPr>
        <w:t xml:space="preserve"> and time horizon</w:t>
      </w:r>
      <w:r w:rsidR="005316A8">
        <w:rPr>
          <w:rFonts w:asciiTheme="minorHAnsi" w:hAnsiTheme="minorHAnsi"/>
          <w:bCs/>
          <w:szCs w:val="24"/>
          <w:lang w:val="en-GB"/>
        </w:rPr>
        <w:t>,</w:t>
      </w:r>
      <w:r w:rsidR="005316A8" w:rsidRPr="005316A8">
        <w:t xml:space="preserve"> </w:t>
      </w:r>
      <w:r w:rsidR="005316A8" w:rsidRPr="005316A8">
        <w:rPr>
          <w:rFonts w:asciiTheme="minorHAnsi" w:hAnsiTheme="minorHAnsi"/>
          <w:bCs/>
          <w:szCs w:val="24"/>
          <w:lang w:val="en-GB"/>
        </w:rPr>
        <w:t xml:space="preserve">noting that the ICER was sensitive to the choice of parametric function used to extrapolate the OS curves and </w:t>
      </w:r>
      <w:r w:rsidR="00926DD6">
        <w:rPr>
          <w:rFonts w:asciiTheme="minorHAnsi" w:hAnsiTheme="minorHAnsi"/>
          <w:bCs/>
          <w:szCs w:val="24"/>
          <w:lang w:val="en-GB"/>
        </w:rPr>
        <w:t xml:space="preserve">the </w:t>
      </w:r>
      <w:r w:rsidR="005316A8" w:rsidRPr="005316A8">
        <w:rPr>
          <w:rFonts w:asciiTheme="minorHAnsi" w:hAnsiTheme="minorHAnsi"/>
          <w:bCs/>
          <w:szCs w:val="24"/>
          <w:lang w:val="en-GB"/>
        </w:rPr>
        <w:t>time horizon</w:t>
      </w:r>
      <w:r w:rsidR="00701F6C">
        <w:rPr>
          <w:rFonts w:asciiTheme="minorHAnsi" w:hAnsiTheme="minorHAnsi"/>
          <w:bCs/>
          <w:szCs w:val="24"/>
          <w:lang w:val="en-GB"/>
        </w:rPr>
        <w:t>.</w:t>
      </w:r>
      <w:r w:rsidR="0075265A">
        <w:rPr>
          <w:rFonts w:asciiTheme="minorHAnsi" w:hAnsiTheme="minorHAnsi"/>
          <w:bCs/>
          <w:szCs w:val="24"/>
          <w:lang w:val="en-GB"/>
        </w:rPr>
        <w:t xml:space="preserve"> The PBAC noted the majority of OS benefit </w:t>
      </w:r>
      <w:r>
        <w:rPr>
          <w:rFonts w:asciiTheme="minorHAnsi" w:hAnsiTheme="minorHAnsi"/>
          <w:bCs/>
          <w:szCs w:val="24"/>
          <w:lang w:val="en-GB"/>
        </w:rPr>
        <w:t>in the model</w:t>
      </w:r>
      <w:r w:rsidR="00F125D8">
        <w:rPr>
          <w:rFonts w:asciiTheme="minorHAnsi" w:hAnsiTheme="minorHAnsi"/>
          <w:bCs/>
          <w:szCs w:val="24"/>
          <w:lang w:val="en-GB"/>
        </w:rPr>
        <w:t xml:space="preserve"> </w:t>
      </w:r>
      <w:r w:rsidR="003C6FB8">
        <w:rPr>
          <w:rFonts w:asciiTheme="minorHAnsi" w:hAnsiTheme="minorHAnsi"/>
          <w:bCs/>
          <w:szCs w:val="24"/>
          <w:lang w:val="en-GB"/>
        </w:rPr>
        <w:t>occurs beyond the median follow up for OS in the trial</w:t>
      </w:r>
      <w:r w:rsidR="00C84EE6">
        <w:rPr>
          <w:rFonts w:asciiTheme="minorHAnsi" w:hAnsiTheme="minorHAnsi"/>
          <w:bCs/>
          <w:szCs w:val="24"/>
          <w:lang w:val="en-GB"/>
        </w:rPr>
        <w:t>,</w:t>
      </w:r>
      <w:r w:rsidR="003C6FB8">
        <w:rPr>
          <w:rFonts w:asciiTheme="minorHAnsi" w:hAnsiTheme="minorHAnsi"/>
          <w:bCs/>
          <w:szCs w:val="24"/>
          <w:lang w:val="en-GB"/>
        </w:rPr>
        <w:t xml:space="preserve"> and</w:t>
      </w:r>
      <w:r w:rsidR="008D7879">
        <w:rPr>
          <w:rFonts w:asciiTheme="minorHAnsi" w:hAnsiTheme="minorHAnsi"/>
          <w:bCs/>
          <w:szCs w:val="24"/>
          <w:lang w:val="en-GB"/>
        </w:rPr>
        <w:t xml:space="preserve"> that</w:t>
      </w:r>
      <w:r w:rsidR="003C6FB8">
        <w:rPr>
          <w:rFonts w:asciiTheme="minorHAnsi" w:hAnsiTheme="minorHAnsi"/>
          <w:bCs/>
          <w:szCs w:val="24"/>
          <w:lang w:val="en-GB"/>
        </w:rPr>
        <w:t xml:space="preserve"> extrapolation of OS curves w</w:t>
      </w:r>
      <w:r w:rsidR="006C6EF0">
        <w:rPr>
          <w:rFonts w:asciiTheme="minorHAnsi" w:hAnsiTheme="minorHAnsi"/>
          <w:bCs/>
          <w:szCs w:val="24"/>
          <w:lang w:val="en-GB"/>
        </w:rPr>
        <w:t>as</w:t>
      </w:r>
      <w:r w:rsidR="003C6FB8">
        <w:rPr>
          <w:rFonts w:asciiTheme="minorHAnsi" w:hAnsiTheme="minorHAnsi"/>
          <w:bCs/>
          <w:szCs w:val="24"/>
          <w:lang w:val="en-GB"/>
        </w:rPr>
        <w:t xml:space="preserve"> based on a small number of events.</w:t>
      </w:r>
      <w:r w:rsidR="008D7879">
        <w:rPr>
          <w:rFonts w:asciiTheme="minorHAnsi" w:hAnsiTheme="minorHAnsi"/>
          <w:bCs/>
          <w:szCs w:val="24"/>
          <w:lang w:val="en-GB"/>
        </w:rPr>
        <w:t xml:space="preserve"> </w:t>
      </w:r>
      <w:r w:rsidR="00926DD6">
        <w:rPr>
          <w:rFonts w:asciiTheme="minorHAnsi" w:hAnsiTheme="minorHAnsi"/>
          <w:bCs/>
          <w:szCs w:val="24"/>
          <w:lang w:val="en-GB"/>
        </w:rPr>
        <w:t>T</w:t>
      </w:r>
      <w:r w:rsidR="00D35C78">
        <w:rPr>
          <w:rFonts w:asciiTheme="minorHAnsi" w:hAnsiTheme="minorHAnsi"/>
          <w:bCs/>
          <w:szCs w:val="24"/>
          <w:lang w:val="en-GB"/>
        </w:rPr>
        <w:t xml:space="preserve">he PBAC considered the modelled incremental gain was </w:t>
      </w:r>
      <w:r w:rsidR="00C84EE6">
        <w:rPr>
          <w:rFonts w:asciiTheme="minorHAnsi" w:hAnsiTheme="minorHAnsi"/>
          <w:bCs/>
          <w:szCs w:val="24"/>
          <w:lang w:val="en-GB"/>
        </w:rPr>
        <w:t>implausible</w:t>
      </w:r>
      <w:r w:rsidR="00B4781F">
        <w:rPr>
          <w:rFonts w:asciiTheme="minorHAnsi" w:hAnsiTheme="minorHAnsi"/>
          <w:bCs/>
          <w:szCs w:val="24"/>
          <w:lang w:val="en-GB"/>
        </w:rPr>
        <w:t xml:space="preserve"> </w:t>
      </w:r>
      <w:r w:rsidR="00C84EE6">
        <w:rPr>
          <w:rFonts w:asciiTheme="minorHAnsi" w:hAnsiTheme="minorHAnsi"/>
          <w:bCs/>
          <w:szCs w:val="24"/>
          <w:lang w:val="en-GB"/>
        </w:rPr>
        <w:t>on the basis of the PFS and</w:t>
      </w:r>
      <w:r w:rsidR="00B4781F">
        <w:rPr>
          <w:rFonts w:asciiTheme="minorHAnsi" w:hAnsiTheme="minorHAnsi"/>
          <w:bCs/>
          <w:szCs w:val="24"/>
          <w:lang w:val="en-GB"/>
        </w:rPr>
        <w:t xml:space="preserve"> OS data available</w:t>
      </w:r>
      <w:r w:rsidR="00926DD6">
        <w:rPr>
          <w:rFonts w:asciiTheme="minorHAnsi" w:hAnsiTheme="minorHAnsi"/>
          <w:bCs/>
          <w:szCs w:val="24"/>
          <w:lang w:val="en-GB"/>
        </w:rPr>
        <w:t xml:space="preserve"> (</w:t>
      </w:r>
      <w:r w:rsidR="00C84EE6">
        <w:rPr>
          <w:rFonts w:asciiTheme="minorHAnsi" w:hAnsiTheme="minorHAnsi"/>
          <w:bCs/>
          <w:szCs w:val="24"/>
          <w:lang w:val="en-GB"/>
        </w:rPr>
        <w:t>i.e.</w:t>
      </w:r>
      <w:r w:rsidR="00926DD6" w:rsidRPr="00926DD6">
        <w:t xml:space="preserve"> </w:t>
      </w:r>
      <w:r w:rsidR="00926DD6" w:rsidRPr="00926DD6">
        <w:rPr>
          <w:rFonts w:asciiTheme="minorHAnsi" w:hAnsiTheme="minorHAnsi"/>
          <w:bCs/>
          <w:szCs w:val="24"/>
          <w:lang w:val="en-GB"/>
        </w:rPr>
        <w:t>the PBAC considered the selected parametric function was poorly justified</w:t>
      </w:r>
      <w:r w:rsidR="00C84EE6">
        <w:rPr>
          <w:rFonts w:asciiTheme="minorHAnsi" w:hAnsiTheme="minorHAnsi"/>
          <w:bCs/>
          <w:szCs w:val="24"/>
          <w:lang w:val="en-GB"/>
        </w:rPr>
        <w:t>,</w:t>
      </w:r>
      <w:r w:rsidR="00926DD6" w:rsidRPr="00926DD6">
        <w:rPr>
          <w:rFonts w:asciiTheme="minorHAnsi" w:hAnsiTheme="minorHAnsi"/>
          <w:bCs/>
          <w:szCs w:val="24"/>
          <w:lang w:val="en-GB"/>
        </w:rPr>
        <w:t xml:space="preserve"> and it was inappropriate for the modelled incremental survival gain to increase over the duration of the time horizon</w:t>
      </w:r>
      <w:r w:rsidR="00926DD6">
        <w:rPr>
          <w:rFonts w:asciiTheme="minorHAnsi" w:hAnsiTheme="minorHAnsi"/>
          <w:bCs/>
          <w:szCs w:val="24"/>
          <w:lang w:val="en-GB"/>
        </w:rPr>
        <w:t>)</w:t>
      </w:r>
      <w:r w:rsidR="00B4781F">
        <w:rPr>
          <w:rFonts w:asciiTheme="minorHAnsi" w:hAnsiTheme="minorHAnsi"/>
          <w:bCs/>
          <w:szCs w:val="24"/>
          <w:lang w:val="en-GB"/>
        </w:rPr>
        <w:t>.</w:t>
      </w:r>
      <w:r w:rsidR="00D252C2">
        <w:rPr>
          <w:rFonts w:asciiTheme="minorHAnsi" w:hAnsiTheme="minorHAnsi"/>
          <w:bCs/>
          <w:szCs w:val="24"/>
          <w:lang w:val="en-GB"/>
        </w:rPr>
        <w:t xml:space="preserve"> </w:t>
      </w:r>
      <w:r w:rsidR="00D3051B">
        <w:rPr>
          <w:rFonts w:asciiTheme="minorHAnsi" w:hAnsiTheme="minorHAnsi"/>
          <w:bCs/>
          <w:szCs w:val="24"/>
          <w:lang w:val="en-GB"/>
        </w:rPr>
        <w:t xml:space="preserve">The PBAC </w:t>
      </w:r>
      <w:r w:rsidR="005316A8">
        <w:rPr>
          <w:rFonts w:asciiTheme="minorHAnsi" w:hAnsiTheme="minorHAnsi"/>
          <w:bCs/>
          <w:szCs w:val="24"/>
          <w:lang w:val="en-GB"/>
        </w:rPr>
        <w:t xml:space="preserve">advised </w:t>
      </w:r>
      <w:r w:rsidR="00F50225">
        <w:rPr>
          <w:rFonts w:asciiTheme="minorHAnsi" w:hAnsiTheme="minorHAnsi"/>
          <w:bCs/>
          <w:szCs w:val="24"/>
          <w:lang w:val="en-GB"/>
        </w:rPr>
        <w:t>tha</w:t>
      </w:r>
      <w:r w:rsidR="00862B22">
        <w:rPr>
          <w:rFonts w:asciiTheme="minorHAnsi" w:hAnsiTheme="minorHAnsi"/>
          <w:bCs/>
          <w:szCs w:val="24"/>
          <w:lang w:val="en-GB"/>
        </w:rPr>
        <w:t xml:space="preserve">t </w:t>
      </w:r>
      <w:r>
        <w:rPr>
          <w:rFonts w:asciiTheme="minorHAnsi" w:hAnsiTheme="minorHAnsi"/>
          <w:bCs/>
          <w:szCs w:val="24"/>
          <w:lang w:val="en-GB"/>
        </w:rPr>
        <w:t xml:space="preserve">more </w:t>
      </w:r>
      <w:r w:rsidR="00862B22">
        <w:rPr>
          <w:rFonts w:asciiTheme="minorHAnsi" w:hAnsiTheme="minorHAnsi"/>
          <w:bCs/>
          <w:szCs w:val="24"/>
          <w:lang w:val="en-GB"/>
        </w:rPr>
        <w:t>mature OS data would be required to determine the most appropriate OS extrapolation method and time horizon</w:t>
      </w:r>
      <w:r w:rsidR="00DD74B3">
        <w:rPr>
          <w:rFonts w:asciiTheme="minorHAnsi" w:hAnsiTheme="minorHAnsi"/>
          <w:bCs/>
          <w:szCs w:val="24"/>
          <w:lang w:val="en-GB"/>
        </w:rPr>
        <w:t xml:space="preserve"> to reliably inform the cost-effectiveness of talazoparib. </w:t>
      </w:r>
    </w:p>
    <w:p w:rsidR="008C7EEC" w:rsidRDefault="00DB1FD8" w:rsidP="00926DD6">
      <w:pPr>
        <w:pStyle w:val="ListParagraph"/>
        <w:numPr>
          <w:ilvl w:val="1"/>
          <w:numId w:val="3"/>
        </w:numPr>
        <w:rPr>
          <w:rFonts w:asciiTheme="minorHAnsi" w:hAnsiTheme="minorHAnsi"/>
          <w:bCs/>
          <w:szCs w:val="24"/>
          <w:lang w:val="en-GB"/>
        </w:rPr>
      </w:pPr>
      <w:r>
        <w:rPr>
          <w:rFonts w:asciiTheme="minorHAnsi" w:hAnsiTheme="minorHAnsi"/>
          <w:bCs/>
          <w:szCs w:val="24"/>
          <w:lang w:val="en-GB"/>
        </w:rPr>
        <w:t xml:space="preserve">The PBAC </w:t>
      </w:r>
      <w:r w:rsidR="006C6EF0">
        <w:rPr>
          <w:rFonts w:asciiTheme="minorHAnsi" w:hAnsiTheme="minorHAnsi"/>
          <w:bCs/>
          <w:szCs w:val="24"/>
          <w:lang w:val="en-GB"/>
        </w:rPr>
        <w:t xml:space="preserve">also </w:t>
      </w:r>
      <w:r>
        <w:rPr>
          <w:rFonts w:asciiTheme="minorHAnsi" w:hAnsiTheme="minorHAnsi"/>
          <w:bCs/>
          <w:szCs w:val="24"/>
          <w:lang w:val="en-GB"/>
        </w:rPr>
        <w:t>con</w:t>
      </w:r>
      <w:r w:rsidR="004E7431">
        <w:rPr>
          <w:rFonts w:asciiTheme="minorHAnsi" w:hAnsiTheme="minorHAnsi"/>
          <w:bCs/>
          <w:szCs w:val="24"/>
          <w:lang w:val="en-GB"/>
        </w:rPr>
        <w:t>sidered that the costs of gBRCA mutation</w:t>
      </w:r>
      <w:r>
        <w:rPr>
          <w:rFonts w:asciiTheme="minorHAnsi" w:hAnsiTheme="minorHAnsi"/>
          <w:bCs/>
          <w:szCs w:val="24"/>
          <w:lang w:val="en-GB"/>
        </w:rPr>
        <w:t xml:space="preserve"> testing </w:t>
      </w:r>
      <w:r w:rsidR="00B71083">
        <w:rPr>
          <w:rFonts w:asciiTheme="minorHAnsi" w:hAnsiTheme="minorHAnsi"/>
          <w:bCs/>
          <w:szCs w:val="24"/>
          <w:lang w:val="en-GB"/>
        </w:rPr>
        <w:t xml:space="preserve">were underestimated in the </w:t>
      </w:r>
      <w:r w:rsidR="00926DD6">
        <w:rPr>
          <w:rFonts w:asciiTheme="minorHAnsi" w:hAnsiTheme="minorHAnsi"/>
          <w:bCs/>
          <w:szCs w:val="24"/>
          <w:lang w:val="en-GB"/>
        </w:rPr>
        <w:t xml:space="preserve">economic </w:t>
      </w:r>
      <w:r w:rsidR="00B71083">
        <w:rPr>
          <w:rFonts w:asciiTheme="minorHAnsi" w:hAnsiTheme="minorHAnsi"/>
          <w:bCs/>
          <w:szCs w:val="24"/>
          <w:lang w:val="en-GB"/>
        </w:rPr>
        <w:t>model</w:t>
      </w:r>
      <w:r w:rsidR="00F012BD">
        <w:rPr>
          <w:rFonts w:asciiTheme="minorHAnsi" w:hAnsiTheme="minorHAnsi"/>
          <w:bCs/>
          <w:szCs w:val="24"/>
          <w:lang w:val="en-GB"/>
        </w:rPr>
        <w:t>.</w:t>
      </w:r>
      <w:r w:rsidR="00C84EE6">
        <w:rPr>
          <w:rFonts w:asciiTheme="minorHAnsi" w:hAnsiTheme="minorHAnsi"/>
          <w:bCs/>
          <w:szCs w:val="24"/>
          <w:lang w:val="en-GB"/>
        </w:rPr>
        <w:t xml:space="preserve"> </w:t>
      </w:r>
      <w:r w:rsidR="00C66AFC">
        <w:rPr>
          <w:rFonts w:asciiTheme="minorHAnsi" w:hAnsiTheme="minorHAnsi"/>
          <w:bCs/>
          <w:szCs w:val="24"/>
          <w:lang w:val="en-GB"/>
        </w:rPr>
        <w:t>The PBAC considered that the exclusion of testing costs</w:t>
      </w:r>
      <w:r w:rsidR="00ED15A0">
        <w:rPr>
          <w:rFonts w:asciiTheme="minorHAnsi" w:hAnsiTheme="minorHAnsi"/>
          <w:bCs/>
          <w:szCs w:val="24"/>
          <w:lang w:val="en-GB"/>
        </w:rPr>
        <w:t xml:space="preserve"> </w:t>
      </w:r>
      <w:r w:rsidR="00C66AFC">
        <w:rPr>
          <w:rFonts w:asciiTheme="minorHAnsi" w:hAnsiTheme="minorHAnsi"/>
          <w:bCs/>
          <w:szCs w:val="24"/>
          <w:lang w:val="en-GB"/>
        </w:rPr>
        <w:t xml:space="preserve">for patients who </w:t>
      </w:r>
      <w:r w:rsidR="00FB0169" w:rsidRPr="00FB0169">
        <w:rPr>
          <w:rFonts w:asciiTheme="minorHAnsi" w:hAnsiTheme="minorHAnsi"/>
          <w:bCs/>
          <w:szCs w:val="24"/>
          <w:lang w:val="en-GB"/>
        </w:rPr>
        <w:t>do not test positive for a germline BRCA mutation</w:t>
      </w:r>
      <w:r w:rsidR="00C66AFC">
        <w:rPr>
          <w:rFonts w:asciiTheme="minorHAnsi" w:hAnsiTheme="minorHAnsi"/>
          <w:bCs/>
          <w:szCs w:val="24"/>
          <w:lang w:val="en-GB"/>
        </w:rPr>
        <w:t xml:space="preserve"> </w:t>
      </w:r>
      <w:r w:rsidR="00B71083">
        <w:rPr>
          <w:rFonts w:asciiTheme="minorHAnsi" w:hAnsiTheme="minorHAnsi"/>
          <w:bCs/>
          <w:szCs w:val="24"/>
          <w:lang w:val="en-GB"/>
        </w:rPr>
        <w:t>was inappropriate.</w:t>
      </w:r>
      <w:r w:rsidR="00FB0169">
        <w:rPr>
          <w:rFonts w:asciiTheme="minorHAnsi" w:hAnsiTheme="minorHAnsi"/>
          <w:bCs/>
          <w:szCs w:val="24"/>
          <w:lang w:val="en-GB"/>
        </w:rPr>
        <w:t xml:space="preserve"> </w:t>
      </w:r>
      <w:r w:rsidR="00926DD6">
        <w:rPr>
          <w:rFonts w:asciiTheme="minorHAnsi" w:hAnsiTheme="minorHAnsi"/>
          <w:bCs/>
          <w:szCs w:val="24"/>
          <w:lang w:val="en-GB"/>
        </w:rPr>
        <w:t>In addition, t</w:t>
      </w:r>
      <w:r w:rsidR="00557A4D">
        <w:rPr>
          <w:rFonts w:asciiTheme="minorHAnsi" w:hAnsiTheme="minorHAnsi"/>
          <w:bCs/>
          <w:szCs w:val="24"/>
          <w:lang w:val="en-GB"/>
        </w:rPr>
        <w:t xml:space="preserve">he PBAC agreed with the ESC </w:t>
      </w:r>
      <w:r w:rsidR="00A0041A">
        <w:rPr>
          <w:rFonts w:asciiTheme="minorHAnsi" w:hAnsiTheme="minorHAnsi"/>
          <w:bCs/>
          <w:szCs w:val="24"/>
          <w:lang w:val="en-GB"/>
        </w:rPr>
        <w:t xml:space="preserve">that the proportion of the eligible patient population who would already know their </w:t>
      </w:r>
      <w:r w:rsidR="001A22ED">
        <w:rPr>
          <w:rFonts w:asciiTheme="minorHAnsi" w:hAnsiTheme="minorHAnsi"/>
          <w:bCs/>
          <w:szCs w:val="24"/>
          <w:lang w:val="en-GB"/>
        </w:rPr>
        <w:t>germline BRCA mutation</w:t>
      </w:r>
      <w:r w:rsidR="00A0041A">
        <w:rPr>
          <w:rFonts w:asciiTheme="minorHAnsi" w:hAnsiTheme="minorHAnsi"/>
          <w:bCs/>
          <w:szCs w:val="24"/>
          <w:lang w:val="en-GB"/>
        </w:rPr>
        <w:t xml:space="preserve"> status was likely lower than assumed in the submission </w:t>
      </w:r>
      <w:r w:rsidR="00EF356F">
        <w:rPr>
          <w:rFonts w:asciiTheme="minorHAnsi" w:hAnsiTheme="minorHAnsi"/>
          <w:bCs/>
          <w:szCs w:val="24"/>
          <w:lang w:val="en-GB"/>
        </w:rPr>
        <w:t xml:space="preserve">noting there were currently access issues to genetic testing </w:t>
      </w:r>
      <w:r w:rsidR="00C034CF">
        <w:rPr>
          <w:rFonts w:asciiTheme="minorHAnsi" w:hAnsiTheme="minorHAnsi"/>
          <w:bCs/>
          <w:szCs w:val="24"/>
          <w:lang w:val="en-GB"/>
        </w:rPr>
        <w:t>due to the</w:t>
      </w:r>
      <w:r w:rsidR="00EF356F">
        <w:rPr>
          <w:rFonts w:asciiTheme="minorHAnsi" w:hAnsiTheme="minorHAnsi"/>
          <w:bCs/>
          <w:szCs w:val="24"/>
          <w:lang w:val="en-GB"/>
        </w:rPr>
        <w:t xml:space="preserve"> limited </w:t>
      </w:r>
      <w:r w:rsidR="00CC0745">
        <w:rPr>
          <w:rFonts w:asciiTheme="minorHAnsi" w:hAnsiTheme="minorHAnsi"/>
          <w:bCs/>
          <w:szCs w:val="24"/>
          <w:lang w:val="en-GB"/>
        </w:rPr>
        <w:t xml:space="preserve">availability of </w:t>
      </w:r>
      <w:r w:rsidR="00EF356F">
        <w:rPr>
          <w:rFonts w:asciiTheme="minorHAnsi" w:hAnsiTheme="minorHAnsi"/>
          <w:bCs/>
          <w:szCs w:val="24"/>
          <w:lang w:val="en-GB"/>
        </w:rPr>
        <w:t xml:space="preserve">genetic cancer services </w:t>
      </w:r>
      <w:r w:rsidR="00CC0745">
        <w:rPr>
          <w:rFonts w:asciiTheme="minorHAnsi" w:hAnsiTheme="minorHAnsi"/>
          <w:bCs/>
          <w:szCs w:val="24"/>
          <w:lang w:val="en-GB"/>
        </w:rPr>
        <w:t xml:space="preserve">throughout Australia. </w:t>
      </w:r>
      <w:r w:rsidR="00EF356F">
        <w:rPr>
          <w:rFonts w:asciiTheme="minorHAnsi" w:hAnsiTheme="minorHAnsi"/>
          <w:bCs/>
          <w:szCs w:val="24"/>
          <w:lang w:val="en-GB"/>
        </w:rPr>
        <w:t xml:space="preserve"> </w:t>
      </w:r>
    </w:p>
    <w:p w:rsidR="00BB262B" w:rsidRDefault="00F06C97" w:rsidP="00DD74B3">
      <w:pPr>
        <w:pStyle w:val="ListParagraph"/>
        <w:numPr>
          <w:ilvl w:val="1"/>
          <w:numId w:val="3"/>
        </w:numPr>
        <w:rPr>
          <w:rFonts w:asciiTheme="minorHAnsi" w:hAnsiTheme="minorHAnsi"/>
          <w:bCs/>
          <w:szCs w:val="24"/>
          <w:lang w:val="en-GB"/>
        </w:rPr>
      </w:pPr>
      <w:r>
        <w:rPr>
          <w:rFonts w:asciiTheme="minorHAnsi" w:hAnsiTheme="minorHAnsi"/>
          <w:bCs/>
          <w:szCs w:val="24"/>
          <w:lang w:val="en-GB"/>
        </w:rPr>
        <w:t xml:space="preserve">The PBAC considered the financial implications were underestimated </w:t>
      </w:r>
      <w:r w:rsidR="001E16B4">
        <w:rPr>
          <w:rFonts w:asciiTheme="minorHAnsi" w:hAnsiTheme="minorHAnsi"/>
          <w:bCs/>
          <w:szCs w:val="24"/>
          <w:lang w:val="en-GB"/>
        </w:rPr>
        <w:t xml:space="preserve">in terms of </w:t>
      </w:r>
      <w:r w:rsidR="00750734">
        <w:rPr>
          <w:rFonts w:asciiTheme="minorHAnsi" w:hAnsiTheme="minorHAnsi"/>
          <w:bCs/>
          <w:szCs w:val="24"/>
          <w:lang w:val="en-GB"/>
        </w:rPr>
        <w:t>gBRCA mutation</w:t>
      </w:r>
      <w:r w:rsidR="00B1404D">
        <w:rPr>
          <w:rFonts w:asciiTheme="minorHAnsi" w:hAnsiTheme="minorHAnsi"/>
          <w:bCs/>
          <w:szCs w:val="24"/>
          <w:lang w:val="en-GB"/>
        </w:rPr>
        <w:t xml:space="preserve"> testing cost</w:t>
      </w:r>
      <w:r w:rsidR="00112EB7">
        <w:rPr>
          <w:rFonts w:asciiTheme="minorHAnsi" w:hAnsiTheme="minorHAnsi"/>
          <w:bCs/>
          <w:szCs w:val="24"/>
          <w:lang w:val="en-GB"/>
        </w:rPr>
        <w:t>s</w:t>
      </w:r>
      <w:r w:rsidR="00B1404D">
        <w:rPr>
          <w:rFonts w:asciiTheme="minorHAnsi" w:hAnsiTheme="minorHAnsi"/>
          <w:bCs/>
          <w:szCs w:val="24"/>
          <w:lang w:val="en-GB"/>
        </w:rPr>
        <w:t xml:space="preserve"> and the cost </w:t>
      </w:r>
      <w:r w:rsidR="003A0519">
        <w:rPr>
          <w:rFonts w:asciiTheme="minorHAnsi" w:hAnsiTheme="minorHAnsi"/>
          <w:bCs/>
          <w:szCs w:val="24"/>
          <w:lang w:val="en-GB"/>
        </w:rPr>
        <w:t xml:space="preserve">per patient </w:t>
      </w:r>
      <w:r w:rsidR="00B1404D">
        <w:rPr>
          <w:rFonts w:asciiTheme="minorHAnsi" w:hAnsiTheme="minorHAnsi"/>
          <w:bCs/>
          <w:szCs w:val="24"/>
          <w:lang w:val="en-GB"/>
        </w:rPr>
        <w:t>of talazoparib.</w:t>
      </w:r>
      <w:r w:rsidR="00750734">
        <w:rPr>
          <w:rFonts w:asciiTheme="minorHAnsi" w:hAnsiTheme="minorHAnsi"/>
          <w:bCs/>
          <w:szCs w:val="24"/>
          <w:lang w:val="en-GB"/>
        </w:rPr>
        <w:t xml:space="preserve"> The PBAC noted that</w:t>
      </w:r>
      <w:r w:rsidR="00C84EE6">
        <w:rPr>
          <w:rFonts w:asciiTheme="minorHAnsi" w:hAnsiTheme="minorHAnsi"/>
          <w:bCs/>
          <w:szCs w:val="24"/>
          <w:lang w:val="en-GB"/>
        </w:rPr>
        <w:t xml:space="preserve"> </w:t>
      </w:r>
      <w:r w:rsidR="00750734">
        <w:rPr>
          <w:rFonts w:asciiTheme="minorHAnsi" w:hAnsiTheme="minorHAnsi"/>
          <w:bCs/>
          <w:szCs w:val="24"/>
          <w:lang w:val="en-GB"/>
        </w:rPr>
        <w:t xml:space="preserve">the costs of gBRCA mutation testing for patients who would not test positive </w:t>
      </w:r>
      <w:r w:rsidR="00E87609">
        <w:rPr>
          <w:rFonts w:asciiTheme="minorHAnsi" w:hAnsiTheme="minorHAnsi"/>
          <w:bCs/>
          <w:szCs w:val="24"/>
          <w:lang w:val="en-GB"/>
        </w:rPr>
        <w:t>were not incorporated</w:t>
      </w:r>
      <w:r w:rsidR="00750734">
        <w:rPr>
          <w:rFonts w:asciiTheme="minorHAnsi" w:hAnsiTheme="minorHAnsi"/>
          <w:bCs/>
          <w:szCs w:val="24"/>
          <w:lang w:val="en-GB"/>
        </w:rPr>
        <w:t>.</w:t>
      </w:r>
      <w:r w:rsidR="00E87609">
        <w:rPr>
          <w:rFonts w:asciiTheme="minorHAnsi" w:hAnsiTheme="minorHAnsi"/>
          <w:bCs/>
          <w:szCs w:val="24"/>
          <w:lang w:val="en-GB"/>
        </w:rPr>
        <w:t xml:space="preserve"> </w:t>
      </w:r>
      <w:r w:rsidR="001745D1">
        <w:rPr>
          <w:rFonts w:asciiTheme="minorHAnsi" w:hAnsiTheme="minorHAnsi"/>
          <w:bCs/>
          <w:szCs w:val="24"/>
          <w:lang w:val="en-GB"/>
        </w:rPr>
        <w:t>The PBAC</w:t>
      </w:r>
      <w:r w:rsidR="00E87609">
        <w:rPr>
          <w:rFonts w:asciiTheme="minorHAnsi" w:hAnsiTheme="minorHAnsi"/>
          <w:bCs/>
          <w:szCs w:val="24"/>
          <w:lang w:val="en-GB"/>
        </w:rPr>
        <w:t xml:space="preserve"> also</w:t>
      </w:r>
      <w:r w:rsidR="001745D1">
        <w:rPr>
          <w:rFonts w:asciiTheme="minorHAnsi" w:hAnsiTheme="minorHAnsi"/>
          <w:bCs/>
          <w:szCs w:val="24"/>
          <w:lang w:val="en-GB"/>
        </w:rPr>
        <w:t xml:space="preserve"> noted</w:t>
      </w:r>
      <w:r w:rsidR="00112EB7">
        <w:rPr>
          <w:rFonts w:asciiTheme="minorHAnsi" w:hAnsiTheme="minorHAnsi"/>
          <w:bCs/>
          <w:szCs w:val="24"/>
          <w:lang w:val="en-GB"/>
        </w:rPr>
        <w:t xml:space="preserve"> the average duration of therapy with </w:t>
      </w:r>
      <w:r w:rsidR="00112EB7">
        <w:rPr>
          <w:rFonts w:asciiTheme="minorHAnsi" w:hAnsiTheme="minorHAnsi"/>
          <w:bCs/>
          <w:szCs w:val="24"/>
          <w:lang w:val="en-GB"/>
        </w:rPr>
        <w:lastRenderedPageBreak/>
        <w:t xml:space="preserve">talazoparib </w:t>
      </w:r>
      <w:r w:rsidR="00750734">
        <w:rPr>
          <w:rFonts w:asciiTheme="minorHAnsi" w:hAnsiTheme="minorHAnsi"/>
          <w:bCs/>
          <w:szCs w:val="24"/>
          <w:lang w:val="en-GB"/>
        </w:rPr>
        <w:t>was assumed to equal the median PFS from the trial, which would underestimate</w:t>
      </w:r>
      <w:r w:rsidR="0005768B">
        <w:rPr>
          <w:rFonts w:asciiTheme="minorHAnsi" w:hAnsiTheme="minorHAnsi"/>
          <w:bCs/>
          <w:szCs w:val="24"/>
          <w:lang w:val="en-GB"/>
        </w:rPr>
        <w:t xml:space="preserve"> the duration of therapy with talazoparib. </w:t>
      </w:r>
      <w:r w:rsidR="00144E7F">
        <w:rPr>
          <w:rFonts w:asciiTheme="minorHAnsi" w:hAnsiTheme="minorHAnsi"/>
          <w:bCs/>
          <w:szCs w:val="24"/>
          <w:lang w:val="en-GB"/>
        </w:rPr>
        <w:t>The PBAC considered it would have been more appropriate to use the extrapolated time-on-treatment curve as per the respecified</w:t>
      </w:r>
      <w:r w:rsidR="00E452B0">
        <w:rPr>
          <w:rFonts w:asciiTheme="minorHAnsi" w:hAnsiTheme="minorHAnsi"/>
          <w:bCs/>
          <w:szCs w:val="24"/>
          <w:lang w:val="en-GB"/>
        </w:rPr>
        <w:t xml:space="preserve"> economic</w:t>
      </w:r>
      <w:r w:rsidR="00144E7F">
        <w:rPr>
          <w:rFonts w:asciiTheme="minorHAnsi" w:hAnsiTheme="minorHAnsi"/>
          <w:bCs/>
          <w:szCs w:val="24"/>
          <w:lang w:val="en-GB"/>
        </w:rPr>
        <w:t xml:space="preserve"> </w:t>
      </w:r>
      <w:r w:rsidR="002C0D6B">
        <w:rPr>
          <w:rFonts w:asciiTheme="minorHAnsi" w:hAnsiTheme="minorHAnsi"/>
          <w:bCs/>
          <w:szCs w:val="24"/>
          <w:lang w:val="en-GB"/>
        </w:rPr>
        <w:t>model</w:t>
      </w:r>
      <w:r w:rsidR="00144E7F">
        <w:rPr>
          <w:rFonts w:asciiTheme="minorHAnsi" w:hAnsiTheme="minorHAnsi"/>
          <w:bCs/>
          <w:szCs w:val="24"/>
          <w:lang w:val="en-GB"/>
        </w:rPr>
        <w:t xml:space="preserve"> to estimate the duration of therapy. </w:t>
      </w:r>
      <w:r w:rsidR="001745D1">
        <w:rPr>
          <w:rFonts w:asciiTheme="minorHAnsi" w:hAnsiTheme="minorHAnsi"/>
          <w:bCs/>
          <w:szCs w:val="24"/>
          <w:lang w:val="en-GB"/>
        </w:rPr>
        <w:t xml:space="preserve">The PBAC </w:t>
      </w:r>
      <w:r w:rsidR="00E87609">
        <w:rPr>
          <w:rFonts w:asciiTheme="minorHAnsi" w:hAnsiTheme="minorHAnsi"/>
          <w:bCs/>
          <w:szCs w:val="24"/>
          <w:lang w:val="en-GB"/>
        </w:rPr>
        <w:t>further</w:t>
      </w:r>
      <w:r w:rsidR="001745D1">
        <w:rPr>
          <w:rFonts w:asciiTheme="minorHAnsi" w:hAnsiTheme="minorHAnsi"/>
          <w:bCs/>
          <w:szCs w:val="24"/>
          <w:lang w:val="en-GB"/>
        </w:rPr>
        <w:t xml:space="preserve"> noted that</w:t>
      </w:r>
      <w:r w:rsidR="00E452B0">
        <w:rPr>
          <w:rFonts w:asciiTheme="minorHAnsi" w:hAnsiTheme="minorHAnsi"/>
          <w:bCs/>
          <w:szCs w:val="24"/>
          <w:lang w:val="en-GB"/>
        </w:rPr>
        <w:t xml:space="preserve"> a relative dose intensity of 91.7% was inappropriately applied to the cost of the 1 mg strength capsules (see paragraph 6.58).</w:t>
      </w:r>
      <w:r w:rsidR="00D11DE3">
        <w:rPr>
          <w:rFonts w:asciiTheme="minorHAnsi" w:hAnsiTheme="minorHAnsi"/>
          <w:bCs/>
          <w:szCs w:val="24"/>
          <w:lang w:val="en-GB"/>
        </w:rPr>
        <w:t xml:space="preserve"> The PBAC considered that while </w:t>
      </w:r>
      <w:r w:rsidR="000144CA">
        <w:rPr>
          <w:rFonts w:asciiTheme="minorHAnsi" w:hAnsiTheme="minorHAnsi"/>
          <w:bCs/>
          <w:szCs w:val="24"/>
          <w:lang w:val="en-GB"/>
        </w:rPr>
        <w:t>the eligible patient p</w:t>
      </w:r>
      <w:r w:rsidR="00E14A93">
        <w:rPr>
          <w:rFonts w:asciiTheme="minorHAnsi" w:hAnsiTheme="minorHAnsi"/>
          <w:bCs/>
          <w:szCs w:val="24"/>
          <w:lang w:val="en-GB"/>
        </w:rPr>
        <w:t xml:space="preserve">opulation was relatively small, </w:t>
      </w:r>
      <w:r w:rsidR="007C5F88">
        <w:rPr>
          <w:rFonts w:asciiTheme="minorHAnsi" w:hAnsiTheme="minorHAnsi"/>
          <w:bCs/>
          <w:szCs w:val="24"/>
          <w:lang w:val="en-GB"/>
        </w:rPr>
        <w:t>there may</w:t>
      </w:r>
      <w:r w:rsidR="00E14A93">
        <w:rPr>
          <w:rFonts w:asciiTheme="minorHAnsi" w:hAnsiTheme="minorHAnsi"/>
          <w:bCs/>
          <w:szCs w:val="24"/>
          <w:lang w:val="en-GB"/>
        </w:rPr>
        <w:t xml:space="preserve"> be an increase </w:t>
      </w:r>
      <w:r w:rsidR="007C5F88">
        <w:rPr>
          <w:rFonts w:asciiTheme="minorHAnsi" w:hAnsiTheme="minorHAnsi"/>
          <w:bCs/>
          <w:szCs w:val="24"/>
          <w:lang w:val="en-GB"/>
        </w:rPr>
        <w:t xml:space="preserve">in patient numbers </w:t>
      </w:r>
      <w:r w:rsidR="00095A1A">
        <w:rPr>
          <w:rFonts w:asciiTheme="minorHAnsi" w:hAnsiTheme="minorHAnsi"/>
          <w:bCs/>
          <w:szCs w:val="24"/>
          <w:lang w:val="en-GB"/>
        </w:rPr>
        <w:t>if</w:t>
      </w:r>
      <w:r w:rsidR="00E14A93">
        <w:rPr>
          <w:rFonts w:asciiTheme="minorHAnsi" w:hAnsiTheme="minorHAnsi"/>
          <w:bCs/>
          <w:szCs w:val="24"/>
          <w:lang w:val="en-GB"/>
        </w:rPr>
        <w:t xml:space="preserve"> gBRCA mutation testing </w:t>
      </w:r>
      <w:r w:rsidR="00AC72D1">
        <w:rPr>
          <w:rFonts w:asciiTheme="minorHAnsi" w:hAnsiTheme="minorHAnsi"/>
          <w:bCs/>
          <w:szCs w:val="24"/>
          <w:lang w:val="en-GB"/>
        </w:rPr>
        <w:t>is subsidised</w:t>
      </w:r>
      <w:r w:rsidR="007C5F88">
        <w:rPr>
          <w:rFonts w:asciiTheme="minorHAnsi" w:hAnsiTheme="minorHAnsi"/>
          <w:bCs/>
          <w:szCs w:val="24"/>
          <w:lang w:val="en-GB"/>
        </w:rPr>
        <w:t xml:space="preserve"> for patients with HER2- breast cancer. </w:t>
      </w:r>
    </w:p>
    <w:p w:rsidR="00DB06A9" w:rsidRDefault="00611134" w:rsidP="00DD74B3">
      <w:pPr>
        <w:pStyle w:val="ListParagraph"/>
        <w:numPr>
          <w:ilvl w:val="1"/>
          <w:numId w:val="3"/>
        </w:numPr>
        <w:rPr>
          <w:rFonts w:asciiTheme="minorHAnsi" w:hAnsiTheme="minorHAnsi"/>
          <w:bCs/>
          <w:szCs w:val="24"/>
          <w:lang w:val="en-GB"/>
        </w:rPr>
      </w:pPr>
      <w:r>
        <w:rPr>
          <w:rFonts w:asciiTheme="minorHAnsi" w:hAnsiTheme="minorHAnsi"/>
          <w:bCs/>
          <w:szCs w:val="24"/>
          <w:lang w:val="en-GB"/>
        </w:rPr>
        <w:t xml:space="preserve">The PBAC </w:t>
      </w:r>
      <w:r w:rsidR="00AC72D1">
        <w:rPr>
          <w:rFonts w:asciiTheme="minorHAnsi" w:hAnsiTheme="minorHAnsi"/>
          <w:bCs/>
          <w:szCs w:val="24"/>
          <w:lang w:val="en-GB"/>
        </w:rPr>
        <w:t xml:space="preserve">advised that any resubmission </w:t>
      </w:r>
      <w:r w:rsidR="0070542F">
        <w:rPr>
          <w:rFonts w:asciiTheme="minorHAnsi" w:hAnsiTheme="minorHAnsi"/>
          <w:bCs/>
          <w:szCs w:val="24"/>
          <w:lang w:val="en-GB"/>
        </w:rPr>
        <w:t>would need to be a major resubmission</w:t>
      </w:r>
      <w:r w:rsidR="00C84EE6">
        <w:rPr>
          <w:rFonts w:asciiTheme="minorHAnsi" w:hAnsiTheme="minorHAnsi"/>
          <w:bCs/>
          <w:szCs w:val="24"/>
          <w:lang w:val="en-GB"/>
        </w:rPr>
        <w:t xml:space="preserve">. It should </w:t>
      </w:r>
      <w:r w:rsidR="00AC72D1">
        <w:rPr>
          <w:rFonts w:asciiTheme="minorHAnsi" w:hAnsiTheme="minorHAnsi"/>
          <w:bCs/>
          <w:szCs w:val="24"/>
          <w:lang w:val="en-GB"/>
        </w:rPr>
        <w:t xml:space="preserve">provide </w:t>
      </w:r>
      <w:r w:rsidR="00C84EE6">
        <w:rPr>
          <w:rFonts w:asciiTheme="minorHAnsi" w:hAnsiTheme="minorHAnsi"/>
          <w:bCs/>
          <w:szCs w:val="24"/>
          <w:lang w:val="en-GB"/>
        </w:rPr>
        <w:t>updated</w:t>
      </w:r>
      <w:r w:rsidR="00AC72D1">
        <w:rPr>
          <w:rFonts w:asciiTheme="minorHAnsi" w:hAnsiTheme="minorHAnsi"/>
          <w:bCs/>
          <w:szCs w:val="24"/>
          <w:lang w:val="en-GB"/>
        </w:rPr>
        <w:t xml:space="preserve"> OS data from the EMBRACA trial</w:t>
      </w:r>
      <w:r w:rsidR="00C84EE6">
        <w:rPr>
          <w:rFonts w:asciiTheme="minorHAnsi" w:hAnsiTheme="minorHAnsi"/>
          <w:bCs/>
          <w:szCs w:val="24"/>
          <w:lang w:val="en-GB"/>
        </w:rPr>
        <w:t>,</w:t>
      </w:r>
      <w:r w:rsidR="004A6C9A">
        <w:rPr>
          <w:rFonts w:asciiTheme="minorHAnsi" w:hAnsiTheme="minorHAnsi"/>
          <w:bCs/>
          <w:szCs w:val="24"/>
          <w:lang w:val="en-GB"/>
        </w:rPr>
        <w:t xml:space="preserve"> and address the issues around the </w:t>
      </w:r>
      <w:r w:rsidR="00C84EE6">
        <w:rPr>
          <w:rFonts w:asciiTheme="minorHAnsi" w:hAnsiTheme="minorHAnsi"/>
          <w:bCs/>
          <w:szCs w:val="24"/>
          <w:lang w:val="en-GB"/>
        </w:rPr>
        <w:t xml:space="preserve">time horizon, other aspects of the </w:t>
      </w:r>
      <w:r w:rsidR="004A6C9A">
        <w:rPr>
          <w:rFonts w:asciiTheme="minorHAnsi" w:hAnsiTheme="minorHAnsi"/>
          <w:bCs/>
          <w:szCs w:val="24"/>
          <w:lang w:val="en-GB"/>
        </w:rPr>
        <w:t>economic model</w:t>
      </w:r>
      <w:r w:rsidR="00C84EE6">
        <w:rPr>
          <w:rFonts w:asciiTheme="minorHAnsi" w:hAnsiTheme="minorHAnsi"/>
          <w:bCs/>
          <w:szCs w:val="24"/>
          <w:lang w:val="en-GB"/>
        </w:rPr>
        <w:t>,</w:t>
      </w:r>
      <w:r w:rsidR="004A6C9A">
        <w:rPr>
          <w:rFonts w:asciiTheme="minorHAnsi" w:hAnsiTheme="minorHAnsi"/>
          <w:bCs/>
          <w:szCs w:val="24"/>
          <w:lang w:val="en-GB"/>
        </w:rPr>
        <w:t xml:space="preserve"> and financial implications n</w:t>
      </w:r>
      <w:r w:rsidR="00DB06A9">
        <w:rPr>
          <w:rFonts w:asciiTheme="minorHAnsi" w:hAnsiTheme="minorHAnsi"/>
          <w:bCs/>
          <w:szCs w:val="24"/>
          <w:lang w:val="en-GB"/>
        </w:rPr>
        <w:t>oted above.</w:t>
      </w:r>
    </w:p>
    <w:p w:rsidR="004F2EB0" w:rsidRDefault="00DB06A9" w:rsidP="00DD74B3">
      <w:pPr>
        <w:pStyle w:val="ListParagraph"/>
        <w:numPr>
          <w:ilvl w:val="1"/>
          <w:numId w:val="3"/>
        </w:numPr>
        <w:rPr>
          <w:rFonts w:asciiTheme="minorHAnsi" w:hAnsiTheme="minorHAnsi"/>
          <w:bCs/>
          <w:szCs w:val="24"/>
          <w:lang w:val="en-GB"/>
        </w:rPr>
      </w:pPr>
      <w:r>
        <w:rPr>
          <w:rFonts w:asciiTheme="minorHAnsi" w:hAnsiTheme="minorHAnsi"/>
          <w:bCs/>
          <w:szCs w:val="24"/>
          <w:lang w:val="en-GB"/>
        </w:rPr>
        <w:t xml:space="preserve">The PBAC considered </w:t>
      </w:r>
      <w:r w:rsidR="00663014">
        <w:rPr>
          <w:rFonts w:asciiTheme="minorHAnsi" w:hAnsiTheme="minorHAnsi"/>
          <w:bCs/>
          <w:szCs w:val="24"/>
          <w:lang w:val="en-GB"/>
        </w:rPr>
        <w:t>that an initial treatment restriction for the 0.25 mg strength capsule would be required</w:t>
      </w:r>
      <w:r w:rsidR="00C84EE6">
        <w:rPr>
          <w:rFonts w:asciiTheme="minorHAnsi" w:hAnsiTheme="minorHAnsi"/>
          <w:bCs/>
          <w:szCs w:val="24"/>
          <w:lang w:val="en-GB"/>
        </w:rPr>
        <w:t>,</w:t>
      </w:r>
      <w:r w:rsidR="00663014">
        <w:rPr>
          <w:rFonts w:asciiTheme="minorHAnsi" w:hAnsiTheme="minorHAnsi"/>
          <w:bCs/>
          <w:szCs w:val="24"/>
          <w:lang w:val="en-GB"/>
        </w:rPr>
        <w:t xml:space="preserve"> as the recommended daily dose for patients with moderate renal impairment is 0.75 mg. </w:t>
      </w:r>
    </w:p>
    <w:p w:rsidR="00954C40" w:rsidRDefault="00333845" w:rsidP="00DD74B3">
      <w:pPr>
        <w:pStyle w:val="ListParagraph"/>
        <w:numPr>
          <w:ilvl w:val="1"/>
          <w:numId w:val="3"/>
        </w:numPr>
        <w:rPr>
          <w:rFonts w:asciiTheme="minorHAnsi" w:hAnsiTheme="minorHAnsi"/>
          <w:bCs/>
          <w:szCs w:val="24"/>
          <w:lang w:val="en-GB"/>
        </w:rPr>
      </w:pPr>
      <w:r>
        <w:rPr>
          <w:rFonts w:asciiTheme="minorHAnsi" w:hAnsiTheme="minorHAnsi"/>
          <w:bCs/>
          <w:szCs w:val="24"/>
          <w:lang w:val="en-GB"/>
        </w:rPr>
        <w:t>The PBAC considered</w:t>
      </w:r>
      <w:r w:rsidR="00FC38D1">
        <w:rPr>
          <w:rFonts w:asciiTheme="minorHAnsi" w:hAnsiTheme="minorHAnsi"/>
          <w:bCs/>
          <w:szCs w:val="24"/>
          <w:lang w:val="en-GB"/>
        </w:rPr>
        <w:t xml:space="preserve"> </w:t>
      </w:r>
      <w:r w:rsidR="00AA598C">
        <w:rPr>
          <w:rFonts w:asciiTheme="minorHAnsi" w:hAnsiTheme="minorHAnsi"/>
          <w:bCs/>
          <w:szCs w:val="24"/>
          <w:lang w:val="en-GB"/>
        </w:rPr>
        <w:t>that initial and continuing treatment phases should provide up to 6 months of treatment</w:t>
      </w:r>
      <w:r w:rsidR="00C84EE6">
        <w:rPr>
          <w:rFonts w:asciiTheme="minorHAnsi" w:hAnsiTheme="minorHAnsi"/>
          <w:bCs/>
          <w:szCs w:val="24"/>
          <w:lang w:val="en-GB"/>
        </w:rPr>
        <w:t>,</w:t>
      </w:r>
      <w:r w:rsidR="00652B75">
        <w:rPr>
          <w:rFonts w:asciiTheme="minorHAnsi" w:hAnsiTheme="minorHAnsi"/>
          <w:bCs/>
          <w:szCs w:val="24"/>
          <w:lang w:val="en-GB"/>
        </w:rPr>
        <w:t xml:space="preserve"> and </w:t>
      </w:r>
      <w:r w:rsidR="00AA598C">
        <w:rPr>
          <w:rFonts w:asciiTheme="minorHAnsi" w:hAnsiTheme="minorHAnsi"/>
          <w:bCs/>
          <w:szCs w:val="24"/>
          <w:lang w:val="en-GB"/>
        </w:rPr>
        <w:t>considered</w:t>
      </w:r>
      <w:r>
        <w:rPr>
          <w:rFonts w:asciiTheme="minorHAnsi" w:hAnsiTheme="minorHAnsi"/>
          <w:bCs/>
          <w:szCs w:val="24"/>
          <w:lang w:val="en-GB"/>
        </w:rPr>
        <w:t xml:space="preserve"> that a maximum quantity of 1 pack</w:t>
      </w:r>
      <w:r w:rsidR="00065205">
        <w:rPr>
          <w:rFonts w:asciiTheme="minorHAnsi" w:hAnsiTheme="minorHAnsi"/>
          <w:bCs/>
          <w:szCs w:val="24"/>
          <w:lang w:val="en-GB"/>
        </w:rPr>
        <w:t xml:space="preserve"> (containing 30 capsules)</w:t>
      </w:r>
      <w:r>
        <w:rPr>
          <w:rFonts w:asciiTheme="minorHAnsi" w:hAnsiTheme="minorHAnsi"/>
          <w:bCs/>
          <w:szCs w:val="24"/>
          <w:lang w:val="en-GB"/>
        </w:rPr>
        <w:t xml:space="preserve"> with 5 repeats would be appropriate</w:t>
      </w:r>
      <w:r w:rsidR="00744767">
        <w:rPr>
          <w:rFonts w:asciiTheme="minorHAnsi" w:hAnsiTheme="minorHAnsi"/>
          <w:bCs/>
          <w:szCs w:val="24"/>
          <w:lang w:val="en-GB"/>
        </w:rPr>
        <w:t xml:space="preserve"> for both </w:t>
      </w:r>
      <w:r w:rsidR="00095A1A">
        <w:rPr>
          <w:rFonts w:asciiTheme="minorHAnsi" w:hAnsiTheme="minorHAnsi"/>
          <w:bCs/>
          <w:szCs w:val="24"/>
          <w:lang w:val="en-GB"/>
        </w:rPr>
        <w:t xml:space="preserve">the </w:t>
      </w:r>
      <w:r w:rsidR="00744767">
        <w:rPr>
          <w:rFonts w:asciiTheme="minorHAnsi" w:hAnsiTheme="minorHAnsi"/>
          <w:bCs/>
          <w:szCs w:val="24"/>
          <w:lang w:val="en-GB"/>
        </w:rPr>
        <w:t>initial and continuing treatment</w:t>
      </w:r>
      <w:r w:rsidR="00954C40">
        <w:rPr>
          <w:rFonts w:asciiTheme="minorHAnsi" w:hAnsiTheme="minorHAnsi"/>
          <w:bCs/>
          <w:szCs w:val="24"/>
          <w:lang w:val="en-GB"/>
        </w:rPr>
        <w:t xml:space="preserve"> phases</w:t>
      </w:r>
      <w:r w:rsidR="00065205">
        <w:rPr>
          <w:rFonts w:asciiTheme="minorHAnsi" w:hAnsiTheme="minorHAnsi"/>
          <w:bCs/>
          <w:szCs w:val="24"/>
          <w:lang w:val="en-GB"/>
        </w:rPr>
        <w:t>. The PBAC</w:t>
      </w:r>
      <w:r w:rsidR="00744767">
        <w:rPr>
          <w:rFonts w:asciiTheme="minorHAnsi" w:hAnsiTheme="minorHAnsi"/>
          <w:bCs/>
          <w:szCs w:val="24"/>
          <w:lang w:val="en-GB"/>
        </w:rPr>
        <w:t xml:space="preserve"> not</w:t>
      </w:r>
      <w:r w:rsidR="00065205">
        <w:rPr>
          <w:rFonts w:asciiTheme="minorHAnsi" w:hAnsiTheme="minorHAnsi"/>
          <w:bCs/>
          <w:szCs w:val="24"/>
          <w:lang w:val="en-GB"/>
        </w:rPr>
        <w:t>ed</w:t>
      </w:r>
      <w:r w:rsidR="00744767">
        <w:rPr>
          <w:rFonts w:asciiTheme="minorHAnsi" w:hAnsiTheme="minorHAnsi"/>
          <w:bCs/>
          <w:szCs w:val="24"/>
          <w:lang w:val="en-GB"/>
        </w:rPr>
        <w:t xml:space="preserve"> this would provide 6 months of treatment</w:t>
      </w:r>
      <w:r w:rsidR="00954C40">
        <w:rPr>
          <w:rFonts w:asciiTheme="minorHAnsi" w:hAnsiTheme="minorHAnsi"/>
          <w:bCs/>
          <w:szCs w:val="24"/>
          <w:lang w:val="en-GB"/>
        </w:rPr>
        <w:t xml:space="preserve"> </w:t>
      </w:r>
      <w:r w:rsidR="00FC38D1">
        <w:rPr>
          <w:rFonts w:asciiTheme="minorHAnsi" w:hAnsiTheme="minorHAnsi"/>
          <w:bCs/>
          <w:szCs w:val="24"/>
          <w:lang w:val="en-GB"/>
        </w:rPr>
        <w:t>for patient</w:t>
      </w:r>
      <w:r w:rsidR="00D77D06">
        <w:rPr>
          <w:rFonts w:asciiTheme="minorHAnsi" w:hAnsiTheme="minorHAnsi"/>
          <w:bCs/>
          <w:szCs w:val="24"/>
          <w:lang w:val="en-GB"/>
        </w:rPr>
        <w:t>s</w:t>
      </w:r>
      <w:r w:rsidR="00FC38D1">
        <w:rPr>
          <w:rFonts w:asciiTheme="minorHAnsi" w:hAnsiTheme="minorHAnsi"/>
          <w:bCs/>
          <w:szCs w:val="24"/>
          <w:lang w:val="en-GB"/>
        </w:rPr>
        <w:t xml:space="preserve"> on the 1 mg/day dose and 2 months of treatment for patients on the 0.75 mg/day dose </w:t>
      </w:r>
      <w:r w:rsidR="00954C40">
        <w:rPr>
          <w:rFonts w:asciiTheme="minorHAnsi" w:hAnsiTheme="minorHAnsi"/>
          <w:bCs/>
          <w:szCs w:val="24"/>
          <w:lang w:val="en-GB"/>
        </w:rPr>
        <w:t>in each treatment phase</w:t>
      </w:r>
      <w:r w:rsidR="00FC38D1">
        <w:rPr>
          <w:rFonts w:asciiTheme="minorHAnsi" w:hAnsiTheme="minorHAnsi"/>
          <w:bCs/>
          <w:szCs w:val="24"/>
          <w:lang w:val="en-GB"/>
        </w:rPr>
        <w:t>.</w:t>
      </w:r>
      <w:r w:rsidR="00A04CFA">
        <w:rPr>
          <w:rFonts w:asciiTheme="minorHAnsi" w:hAnsiTheme="minorHAnsi"/>
          <w:bCs/>
          <w:szCs w:val="24"/>
          <w:lang w:val="en-GB"/>
        </w:rPr>
        <w:t xml:space="preserve"> The PBAC considere</w:t>
      </w:r>
      <w:r w:rsidR="001938A2">
        <w:rPr>
          <w:rFonts w:asciiTheme="minorHAnsi" w:hAnsiTheme="minorHAnsi"/>
          <w:bCs/>
          <w:szCs w:val="24"/>
          <w:lang w:val="en-GB"/>
        </w:rPr>
        <w:t>d that for patients on 0.75 mg/</w:t>
      </w:r>
      <w:r w:rsidR="00A04CFA">
        <w:rPr>
          <w:rFonts w:asciiTheme="minorHAnsi" w:hAnsiTheme="minorHAnsi"/>
          <w:bCs/>
          <w:szCs w:val="24"/>
          <w:lang w:val="en-GB"/>
        </w:rPr>
        <w:t>day, an increase in the maximum quantity of 0.25 mg capsules to provide up to 6 months of treat</w:t>
      </w:r>
      <w:r w:rsidR="003E71FC">
        <w:rPr>
          <w:rFonts w:asciiTheme="minorHAnsi" w:hAnsiTheme="minorHAnsi"/>
          <w:bCs/>
          <w:szCs w:val="24"/>
          <w:lang w:val="en-GB"/>
        </w:rPr>
        <w:t>ment should be permitted.</w:t>
      </w:r>
    </w:p>
    <w:p w:rsidR="00DB06A9" w:rsidRDefault="00954C40" w:rsidP="00DD74B3">
      <w:pPr>
        <w:pStyle w:val="ListParagraph"/>
        <w:numPr>
          <w:ilvl w:val="1"/>
          <w:numId w:val="3"/>
        </w:numPr>
        <w:rPr>
          <w:rFonts w:asciiTheme="minorHAnsi" w:hAnsiTheme="minorHAnsi"/>
          <w:bCs/>
          <w:szCs w:val="24"/>
          <w:lang w:val="en-GB"/>
        </w:rPr>
      </w:pPr>
      <w:r>
        <w:rPr>
          <w:rFonts w:asciiTheme="minorHAnsi" w:hAnsiTheme="minorHAnsi"/>
          <w:bCs/>
          <w:szCs w:val="24"/>
          <w:lang w:val="en-GB"/>
        </w:rPr>
        <w:t xml:space="preserve">The PBAC considered that continuing treatment should be restricted to patients with stable or responding disease according to the Response Evaluation Criteria in Solid Tumours (RECIST), </w:t>
      </w:r>
      <w:r w:rsidR="00762022">
        <w:rPr>
          <w:rFonts w:asciiTheme="minorHAnsi" w:hAnsiTheme="minorHAnsi"/>
          <w:bCs/>
          <w:szCs w:val="24"/>
          <w:lang w:val="en-GB"/>
        </w:rPr>
        <w:t xml:space="preserve">which was used to evaluate disease progression in the trial. </w:t>
      </w:r>
    </w:p>
    <w:p w:rsidR="00FF39BE" w:rsidRDefault="00FF39BE" w:rsidP="00DD74B3">
      <w:pPr>
        <w:pStyle w:val="ListParagraph"/>
        <w:numPr>
          <w:ilvl w:val="1"/>
          <w:numId w:val="3"/>
        </w:numPr>
        <w:rPr>
          <w:rFonts w:asciiTheme="minorHAnsi" w:hAnsiTheme="minorHAnsi"/>
          <w:bCs/>
          <w:szCs w:val="24"/>
          <w:lang w:val="en-GB"/>
        </w:rPr>
      </w:pPr>
      <w:r>
        <w:rPr>
          <w:rFonts w:asciiTheme="minorHAnsi" w:hAnsiTheme="minorHAnsi"/>
          <w:bCs/>
          <w:szCs w:val="24"/>
          <w:lang w:val="en-GB"/>
        </w:rPr>
        <w:t xml:space="preserve">The PBAC agreed with the ESC that treatment with talazoparib should be restricted to patients with an Eastern Cooperative Oncology Group (ECOG) status of </w:t>
      </w:r>
      <w:r>
        <w:rPr>
          <w:rFonts w:asciiTheme="minorHAnsi" w:hAnsiTheme="minorHAnsi" w:cstheme="minorHAnsi"/>
          <w:bCs/>
          <w:szCs w:val="24"/>
          <w:lang w:val="en-GB"/>
        </w:rPr>
        <w:t>≤</w:t>
      </w:r>
      <w:r>
        <w:rPr>
          <w:rFonts w:asciiTheme="minorHAnsi" w:hAnsiTheme="minorHAnsi"/>
          <w:bCs/>
          <w:szCs w:val="24"/>
          <w:lang w:val="en-GB"/>
        </w:rPr>
        <w:t xml:space="preserve"> 1 noting there was limited evidence in the trial for patients with an ECOG status of &gt; 1.  </w:t>
      </w:r>
    </w:p>
    <w:p w:rsidR="005C0FA9" w:rsidRDefault="00DB06A9" w:rsidP="00DB06A9">
      <w:pPr>
        <w:pStyle w:val="ListParagraph"/>
        <w:numPr>
          <w:ilvl w:val="1"/>
          <w:numId w:val="3"/>
        </w:numPr>
        <w:rPr>
          <w:rFonts w:asciiTheme="minorHAnsi" w:hAnsiTheme="minorHAnsi"/>
          <w:bCs/>
          <w:szCs w:val="24"/>
          <w:lang w:val="en-GB"/>
        </w:rPr>
      </w:pPr>
      <w:r>
        <w:rPr>
          <w:rFonts w:asciiTheme="minorHAnsi" w:hAnsiTheme="minorHAnsi"/>
          <w:bCs/>
          <w:szCs w:val="24"/>
          <w:lang w:val="en-GB"/>
        </w:rPr>
        <w:t>The PBAC considered that the proposed restriction criteria ‘</w:t>
      </w:r>
      <w:r w:rsidRPr="00DB06A9">
        <w:rPr>
          <w:rFonts w:asciiTheme="minorHAnsi" w:hAnsiTheme="minorHAnsi"/>
          <w:bCs/>
          <w:szCs w:val="24"/>
          <w:lang w:val="en-GB"/>
        </w:rPr>
        <w:t>Patient must be resistant to endocrine therapy and/or have received at least one previous chemotherapy regimen in the (neo)adjuvant, locally advanced or metastatic setting</w:t>
      </w:r>
      <w:r>
        <w:rPr>
          <w:rFonts w:asciiTheme="minorHAnsi" w:hAnsiTheme="minorHAnsi"/>
          <w:bCs/>
          <w:szCs w:val="24"/>
          <w:lang w:val="en-GB"/>
        </w:rPr>
        <w:t>’</w:t>
      </w:r>
      <w:r w:rsidR="00AC72D1">
        <w:rPr>
          <w:rFonts w:asciiTheme="minorHAnsi" w:hAnsiTheme="minorHAnsi"/>
          <w:bCs/>
          <w:szCs w:val="24"/>
          <w:lang w:val="en-GB"/>
        </w:rPr>
        <w:t xml:space="preserve"> </w:t>
      </w:r>
      <w:r>
        <w:rPr>
          <w:rFonts w:asciiTheme="minorHAnsi" w:hAnsiTheme="minorHAnsi"/>
          <w:bCs/>
          <w:szCs w:val="24"/>
          <w:lang w:val="en-GB"/>
        </w:rPr>
        <w:t xml:space="preserve">could </w:t>
      </w:r>
      <w:r w:rsidR="00912085">
        <w:rPr>
          <w:rFonts w:asciiTheme="minorHAnsi" w:hAnsiTheme="minorHAnsi"/>
          <w:bCs/>
          <w:szCs w:val="24"/>
          <w:lang w:val="en-GB"/>
        </w:rPr>
        <w:t>amended</w:t>
      </w:r>
      <w:r>
        <w:rPr>
          <w:rFonts w:asciiTheme="minorHAnsi" w:hAnsiTheme="minorHAnsi"/>
          <w:bCs/>
          <w:szCs w:val="24"/>
          <w:lang w:val="en-GB"/>
        </w:rPr>
        <w:t xml:space="preserve"> to ‘Patient must have received prior chemotherapy in the adjuvant or metastatic setting</w:t>
      </w:r>
      <w:r w:rsidR="001C54F8">
        <w:rPr>
          <w:rFonts w:asciiTheme="minorHAnsi" w:hAnsiTheme="minorHAnsi"/>
          <w:bCs/>
          <w:szCs w:val="24"/>
          <w:lang w:val="en-GB"/>
        </w:rPr>
        <w:t>’</w:t>
      </w:r>
      <w:r w:rsidR="00453854">
        <w:rPr>
          <w:rFonts w:asciiTheme="minorHAnsi" w:hAnsiTheme="minorHAnsi"/>
          <w:bCs/>
          <w:szCs w:val="24"/>
          <w:lang w:val="en-GB"/>
        </w:rPr>
        <w:t xml:space="preserve"> as the PBAC considered it would be appropriate to allow treatment with talazoparib, irrespective of prior </w:t>
      </w:r>
      <w:r w:rsidR="00C84EE6">
        <w:rPr>
          <w:rFonts w:asciiTheme="minorHAnsi" w:hAnsiTheme="minorHAnsi"/>
          <w:bCs/>
          <w:szCs w:val="24"/>
          <w:lang w:val="en-GB"/>
        </w:rPr>
        <w:t>chemotherapy agent</w:t>
      </w:r>
      <w:r>
        <w:rPr>
          <w:rFonts w:asciiTheme="minorHAnsi" w:hAnsiTheme="minorHAnsi"/>
          <w:bCs/>
          <w:szCs w:val="24"/>
          <w:lang w:val="en-GB"/>
        </w:rPr>
        <w:t>.</w:t>
      </w:r>
      <w:r w:rsidR="00611134">
        <w:rPr>
          <w:rFonts w:asciiTheme="minorHAnsi" w:hAnsiTheme="minorHAnsi"/>
          <w:bCs/>
          <w:szCs w:val="24"/>
          <w:lang w:val="en-GB"/>
        </w:rPr>
        <w:t xml:space="preserve"> </w:t>
      </w:r>
    </w:p>
    <w:p w:rsidR="00453854" w:rsidRDefault="00AE3A65" w:rsidP="00AE3A65">
      <w:pPr>
        <w:pStyle w:val="ListParagraph"/>
        <w:numPr>
          <w:ilvl w:val="1"/>
          <w:numId w:val="3"/>
        </w:numPr>
        <w:rPr>
          <w:rFonts w:asciiTheme="minorHAnsi" w:hAnsiTheme="minorHAnsi"/>
          <w:bCs/>
          <w:szCs w:val="24"/>
          <w:lang w:val="en-GB"/>
        </w:rPr>
      </w:pPr>
      <w:r>
        <w:rPr>
          <w:rFonts w:asciiTheme="minorHAnsi" w:hAnsiTheme="minorHAnsi"/>
          <w:bCs/>
          <w:szCs w:val="24"/>
          <w:lang w:val="en-GB"/>
        </w:rPr>
        <w:t>The PBAC noted that the s</w:t>
      </w:r>
      <w:r w:rsidRPr="00AE3A65">
        <w:rPr>
          <w:rFonts w:asciiTheme="minorHAnsi" w:hAnsiTheme="minorHAnsi"/>
          <w:bCs/>
          <w:szCs w:val="24"/>
          <w:lang w:val="en-GB"/>
        </w:rPr>
        <w:t>ponsor requested that grandfathering provisions apply for a small number of eligible gBRCAm HER2- advanced breast cancer patients already receiving talazoparib.</w:t>
      </w:r>
      <w:r>
        <w:rPr>
          <w:rFonts w:asciiTheme="minorHAnsi" w:hAnsiTheme="minorHAnsi"/>
          <w:bCs/>
          <w:szCs w:val="24"/>
          <w:lang w:val="en-GB"/>
        </w:rPr>
        <w:t xml:space="preserve"> How</w:t>
      </w:r>
      <w:r w:rsidR="00095A1A">
        <w:rPr>
          <w:rFonts w:asciiTheme="minorHAnsi" w:hAnsiTheme="minorHAnsi"/>
          <w:bCs/>
          <w:szCs w:val="24"/>
          <w:lang w:val="en-GB"/>
        </w:rPr>
        <w:t xml:space="preserve">ever, the PBAC considered that </w:t>
      </w:r>
      <w:r>
        <w:rPr>
          <w:rFonts w:asciiTheme="minorHAnsi" w:hAnsiTheme="minorHAnsi"/>
          <w:bCs/>
          <w:szCs w:val="24"/>
          <w:lang w:val="en-GB"/>
        </w:rPr>
        <w:t xml:space="preserve">separate restrictions for </w:t>
      </w:r>
      <w:r>
        <w:rPr>
          <w:rFonts w:asciiTheme="minorHAnsi" w:hAnsiTheme="minorHAnsi"/>
          <w:bCs/>
          <w:szCs w:val="24"/>
          <w:lang w:val="en-GB"/>
        </w:rPr>
        <w:lastRenderedPageBreak/>
        <w:t>grandfathered patients would not be required as grandfather</w:t>
      </w:r>
      <w:r w:rsidR="00095A1A">
        <w:rPr>
          <w:rFonts w:asciiTheme="minorHAnsi" w:hAnsiTheme="minorHAnsi"/>
          <w:bCs/>
          <w:szCs w:val="24"/>
          <w:lang w:val="en-GB"/>
        </w:rPr>
        <w:t>ed</w:t>
      </w:r>
      <w:r>
        <w:rPr>
          <w:rFonts w:asciiTheme="minorHAnsi" w:hAnsiTheme="minorHAnsi"/>
          <w:bCs/>
          <w:szCs w:val="24"/>
          <w:lang w:val="en-GB"/>
        </w:rPr>
        <w:t xml:space="preserve"> patients should be able to qualify under the proposed initial treatment restriction. </w:t>
      </w:r>
    </w:p>
    <w:p w:rsidR="00ED0153" w:rsidRPr="00B27B9D" w:rsidRDefault="00ED0153" w:rsidP="006460BE">
      <w:pPr>
        <w:widowControl/>
        <w:numPr>
          <w:ilvl w:val="1"/>
          <w:numId w:val="3"/>
        </w:numPr>
        <w:spacing w:after="120"/>
        <w:jc w:val="left"/>
        <w:rPr>
          <w:rFonts w:asciiTheme="minorHAnsi" w:hAnsiTheme="minorHAnsi"/>
          <w:bCs/>
          <w:szCs w:val="24"/>
          <w:lang w:val="en-GB"/>
        </w:rPr>
      </w:pPr>
      <w:r>
        <w:rPr>
          <w:rFonts w:asciiTheme="minorHAnsi" w:hAnsiTheme="minorHAnsi"/>
          <w:bCs/>
          <w:szCs w:val="24"/>
          <w:lang w:val="en-GB"/>
        </w:rPr>
        <w:t xml:space="preserve">The PBAC noted that this submission is eligible for an Independent Review. </w:t>
      </w:r>
    </w:p>
    <w:p w:rsidR="006460BE" w:rsidRPr="006460BE" w:rsidRDefault="006460BE" w:rsidP="006460BE">
      <w:pPr>
        <w:widowControl/>
        <w:spacing w:before="240"/>
        <w:rPr>
          <w:rFonts w:asciiTheme="minorHAnsi" w:hAnsiTheme="minorHAnsi"/>
          <w:b/>
          <w:bCs/>
          <w:szCs w:val="24"/>
          <w:lang w:val="en-GB"/>
        </w:rPr>
      </w:pPr>
      <w:r w:rsidRPr="006460BE">
        <w:rPr>
          <w:rFonts w:asciiTheme="minorHAnsi" w:hAnsiTheme="minorHAnsi"/>
          <w:b/>
          <w:bCs/>
          <w:szCs w:val="24"/>
          <w:lang w:val="en-GB"/>
        </w:rPr>
        <w:t>Outcome:</w:t>
      </w:r>
    </w:p>
    <w:p w:rsidR="002C5099" w:rsidRDefault="006460BE" w:rsidP="00A45164">
      <w:pPr>
        <w:widowControl/>
        <w:spacing w:after="120"/>
        <w:rPr>
          <w:rFonts w:asciiTheme="minorHAnsi" w:hAnsiTheme="minorHAnsi"/>
          <w:bCs/>
          <w:szCs w:val="24"/>
          <w:lang w:val="en-GB"/>
        </w:rPr>
      </w:pPr>
      <w:r w:rsidRPr="006460BE">
        <w:rPr>
          <w:rFonts w:asciiTheme="minorHAnsi" w:hAnsiTheme="minorHAnsi"/>
          <w:bCs/>
          <w:szCs w:val="24"/>
          <w:lang w:val="en-GB"/>
        </w:rPr>
        <w:t xml:space="preserve">Rejected </w:t>
      </w:r>
    </w:p>
    <w:p w:rsidR="004C0A6D" w:rsidRDefault="004C0A6D" w:rsidP="004C0A6D">
      <w:pPr>
        <w:pStyle w:val="2Sections"/>
        <w:numPr>
          <w:ilvl w:val="0"/>
          <w:numId w:val="3"/>
        </w:numPr>
        <w:rPr>
          <w:rFonts w:cstheme="minorHAnsi"/>
        </w:rPr>
      </w:pPr>
      <w:r>
        <w:t xml:space="preserve">Context for Decision </w:t>
      </w:r>
    </w:p>
    <w:p w:rsidR="00A971DC" w:rsidRPr="00A971DC" w:rsidRDefault="00A971DC" w:rsidP="00A971DC">
      <w:pPr>
        <w:spacing w:after="120" w:line="276" w:lineRule="auto"/>
        <w:rPr>
          <w:rFonts w:asciiTheme="minorHAnsi" w:eastAsiaTheme="minorHAnsi" w:hAnsiTheme="minorHAnsi"/>
          <w:bCs/>
        </w:rPr>
      </w:pPr>
      <w:r w:rsidRPr="00A971DC">
        <w:rPr>
          <w:rFonts w:asciiTheme="minorHAnsi" w:eastAsiaTheme="minorHAnsi" w:hAnsiTheme="minorHAnsi"/>
          <w:bC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4C0A6D" w:rsidRPr="00D53BD3" w:rsidRDefault="004C0A6D" w:rsidP="004C0A6D">
      <w:pPr>
        <w:pStyle w:val="2Sections"/>
        <w:numPr>
          <w:ilvl w:val="0"/>
          <w:numId w:val="3"/>
        </w:numPr>
      </w:pPr>
      <w:r w:rsidRPr="00D53BD3">
        <w:t>Sponsor’s Comment</w:t>
      </w:r>
    </w:p>
    <w:p w:rsidR="004C0A6D" w:rsidRPr="00A971DC" w:rsidRDefault="004C0A6D" w:rsidP="00A971DC">
      <w:pPr>
        <w:spacing w:after="120" w:line="276" w:lineRule="auto"/>
        <w:rPr>
          <w:rFonts w:asciiTheme="minorHAnsi" w:eastAsiaTheme="minorHAnsi" w:hAnsiTheme="minorHAnsi"/>
          <w:bCs/>
        </w:rPr>
      </w:pPr>
      <w:r w:rsidRPr="00D53BD3">
        <w:rPr>
          <w:rFonts w:asciiTheme="minorHAnsi" w:eastAsiaTheme="minorHAnsi" w:hAnsiTheme="minorHAnsi"/>
          <w:bCs/>
        </w:rPr>
        <w:t>The sponsor had no comment.</w:t>
      </w:r>
    </w:p>
    <w:sectPr w:rsidR="004C0A6D" w:rsidRPr="00A971DC" w:rsidSect="00173A3C">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243" w:rsidRDefault="00EB7243" w:rsidP="00124A51">
      <w:r>
        <w:separator/>
      </w:r>
    </w:p>
    <w:p w:rsidR="00EB7243" w:rsidRDefault="00EB7243"/>
  </w:endnote>
  <w:endnote w:type="continuationSeparator" w:id="0">
    <w:p w:rsidR="00EB7243" w:rsidRDefault="00EB7243" w:rsidP="00124A51">
      <w:r>
        <w:continuationSeparator/>
      </w:r>
    </w:p>
    <w:p w:rsidR="00EB7243" w:rsidRDefault="00EB7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243" w:rsidRDefault="00EB7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C8" w:rsidRDefault="003A20C8" w:rsidP="00335D44">
    <w:pPr>
      <w:widowControl/>
      <w:ind w:left="709"/>
      <w:contextualSpacing/>
      <w:jc w:val="center"/>
      <w:rPr>
        <w:rFonts w:eastAsia="Calibri" w:cs="Times New Roman"/>
        <w:snapToGrid/>
      </w:rPr>
    </w:pPr>
  </w:p>
  <w:p w:rsidR="003A20C8" w:rsidRPr="00073EEF" w:rsidRDefault="003A20C8" w:rsidP="00551477">
    <w:pPr>
      <w:keepNext/>
      <w:widowControl/>
      <w:tabs>
        <w:tab w:val="center" w:pos="4153"/>
        <w:tab w:val="right" w:pos="8306"/>
      </w:tabs>
      <w:spacing w:after="120"/>
      <w:ind w:left="360"/>
      <w:jc w:val="center"/>
      <w:rPr>
        <w:snapToGrid/>
        <w:szCs w:val="24"/>
      </w:rPr>
    </w:pPr>
    <w:r w:rsidRPr="00551477">
      <w:rPr>
        <w:b/>
        <w:snapToGrid/>
        <w:szCs w:val="24"/>
      </w:rPr>
      <w:fldChar w:fldCharType="begin"/>
    </w:r>
    <w:r w:rsidRPr="00551477">
      <w:rPr>
        <w:b/>
        <w:snapToGrid/>
        <w:szCs w:val="24"/>
      </w:rPr>
      <w:instrText xml:space="preserve"> PAGE   \* MERGEFORMAT </w:instrText>
    </w:r>
    <w:r w:rsidRPr="00551477">
      <w:rPr>
        <w:b/>
        <w:snapToGrid/>
        <w:szCs w:val="24"/>
      </w:rPr>
      <w:fldChar w:fldCharType="separate"/>
    </w:r>
    <w:r w:rsidR="00EF1084">
      <w:rPr>
        <w:b/>
        <w:noProof/>
        <w:snapToGrid/>
        <w:szCs w:val="24"/>
      </w:rPr>
      <w:t>26</w:t>
    </w:r>
    <w:r w:rsidRPr="00551477">
      <w:rPr>
        <w:b/>
        <w:noProof/>
        <w:snapToGrid/>
        <w:szCs w:val="24"/>
      </w:rPr>
      <w:fldChar w:fldCharType="end"/>
    </w:r>
    <w:r w:rsidRPr="00551477">
      <w:rPr>
        <w:b/>
        <w:noProof/>
        <w:snapToGrid/>
        <w:szCs w:val="24"/>
      </w:rPr>
      <w:t xml:space="preserve"> </w:t>
    </w:r>
  </w:p>
  <w:p w:rsidR="003A20C8" w:rsidRPr="00820B9D" w:rsidRDefault="003A20C8" w:rsidP="00551477">
    <w:pPr>
      <w:widowControl/>
      <w:contextualSpacing/>
      <w:jc w:val="center"/>
      <w:rPr>
        <w:rFonts w:ascii="Arial" w:hAnsi="Arial"/>
        <w:bCs/>
        <w:snapToGrid/>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243" w:rsidRDefault="00EB7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243" w:rsidRDefault="00EB7243" w:rsidP="00124A51">
      <w:r>
        <w:separator/>
      </w:r>
    </w:p>
    <w:p w:rsidR="00EB7243" w:rsidRDefault="00EB7243"/>
  </w:footnote>
  <w:footnote w:type="continuationSeparator" w:id="0">
    <w:p w:rsidR="00EB7243" w:rsidRDefault="00EB7243" w:rsidP="00124A51">
      <w:r>
        <w:continuationSeparator/>
      </w:r>
    </w:p>
    <w:p w:rsidR="00EB7243" w:rsidRDefault="00EB7243"/>
  </w:footnote>
  <w:footnote w:id="1">
    <w:p w:rsidR="003A20C8" w:rsidRDefault="003A20C8" w:rsidP="00BD37E2">
      <w:pPr>
        <w:pStyle w:val="FootnoteText"/>
      </w:pPr>
      <w:r>
        <w:rPr>
          <w:rStyle w:val="FootnoteReference"/>
        </w:rPr>
        <w:footnoteRef/>
      </w:r>
      <w:r>
        <w:t xml:space="preserve"> An application form was included in the references folder accompanying the submission titled: </w:t>
      </w:r>
      <w:r w:rsidRPr="00FD038E">
        <w:t>Germline BRCA mutation testing to determine eligibility for talazoparib treatment in patients with locally advanced or metastatic HER2-negative breast cancer (either hormone recept</w:t>
      </w:r>
      <w:r>
        <w:t>or positive or triple negative).</w:t>
      </w:r>
    </w:p>
  </w:footnote>
  <w:footnote w:id="2">
    <w:p w:rsidR="003A20C8" w:rsidRDefault="003A20C8">
      <w:pPr>
        <w:pStyle w:val="FootnoteText"/>
      </w:pPr>
      <w:r>
        <w:rPr>
          <w:rStyle w:val="FootnoteReference"/>
        </w:rPr>
        <w:footnoteRef/>
      </w:r>
      <w:r>
        <w:t xml:space="preserve"> Tutt A, Tovey H, Cheang MCU, et al: Carboplatin in BRCA 1/2-mutated and triple-negative breast cancer BRCAness groups: the TNT Trial. Nature Medicine 24(5):628-637,2018 </w:t>
      </w:r>
      <w:hyperlink r:id="rId1" w:history="1">
        <w:r w:rsidRPr="00244CB6">
          <w:rPr>
            <w:rStyle w:val="Hyperlink"/>
          </w:rPr>
          <w:t>https://doi.org/10.1038/s41591-018-0009-7</w:t>
        </w:r>
      </w:hyperlink>
    </w:p>
  </w:footnote>
  <w:footnote w:id="3">
    <w:p w:rsidR="003A20C8" w:rsidRDefault="003A20C8">
      <w:pPr>
        <w:pStyle w:val="FootnoteText"/>
      </w:pPr>
      <w:r>
        <w:rPr>
          <w:rStyle w:val="FootnoteReference"/>
        </w:rPr>
        <w:footnoteRef/>
      </w:r>
      <w:r>
        <w:t xml:space="preserve"> </w:t>
      </w:r>
      <w:r w:rsidRPr="00414F89">
        <w:t>Cherny NI, Dafni U, Bogaerts J, et al: ESMO-Magnitude of Clinical Benefit Scale version 1.1. Annals</w:t>
      </w:r>
      <w:r>
        <w:t xml:space="preserve"> of Oncology 28:2340-2366, 2017</w:t>
      </w:r>
    </w:p>
  </w:footnote>
  <w:footnote w:id="4">
    <w:p w:rsidR="003A20C8" w:rsidRDefault="003A20C8" w:rsidP="00B77941">
      <w:pPr>
        <w:pStyle w:val="FootnoteText"/>
      </w:pPr>
      <w:r>
        <w:rPr>
          <w:rStyle w:val="FootnoteReference"/>
        </w:rPr>
        <w:footnoteRef/>
      </w:r>
      <w:r>
        <w:t xml:space="preserve"> </w:t>
      </w:r>
      <w:r w:rsidRPr="004D1F6C">
        <w:t>Litton JK, Rugo HS, Ettl J, Hurvitz SA, Gonçalves A, Lee K-H, et al. Talazoparib in patients with advanced breast cancer and a germline BRCA mutation. New England Journal of Medicine. 2018;379(8):753-63</w:t>
      </w:r>
    </w:p>
  </w:footnote>
  <w:footnote w:id="5">
    <w:p w:rsidR="003A20C8" w:rsidRDefault="003A20C8">
      <w:pPr>
        <w:pStyle w:val="FootnoteText"/>
      </w:pPr>
      <w:r>
        <w:rPr>
          <w:rStyle w:val="FootnoteReference"/>
        </w:rPr>
        <w:footnoteRef/>
      </w:r>
      <w:r>
        <w:t xml:space="preserve"> </w:t>
      </w:r>
      <w:r w:rsidRPr="00A9358A">
        <w:t>Bagust A, Beale SJ. Exploring the Effects of Early Censoring and Analysis of Clinical Trial Survival Data on Effectiveness and Cost-effectiveness Estimation through a Case Study in Advanced Breast Cancer. Medical Decision Making. 2018;38(7):789-96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243" w:rsidRDefault="00EB7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C8" w:rsidRPr="00073EEF" w:rsidRDefault="003A20C8" w:rsidP="00493251">
    <w:pPr>
      <w:keepNext/>
      <w:widowControl/>
      <w:tabs>
        <w:tab w:val="center" w:pos="4153"/>
        <w:tab w:val="right" w:pos="8306"/>
      </w:tabs>
      <w:ind w:left="360"/>
      <w:jc w:val="center"/>
      <w:rPr>
        <w:i/>
        <w:snapToGrid/>
        <w:color w:val="808080"/>
        <w:szCs w:val="24"/>
      </w:rPr>
    </w:pPr>
    <w:r>
      <w:rPr>
        <w:i/>
        <w:snapToGrid/>
        <w:color w:val="808080"/>
        <w:szCs w:val="24"/>
      </w:rPr>
      <w:t>Public Summary Document</w:t>
    </w:r>
    <w:r w:rsidRPr="00073EEF">
      <w:rPr>
        <w:i/>
        <w:snapToGrid/>
        <w:color w:val="808080"/>
        <w:szCs w:val="24"/>
      </w:rPr>
      <w:t xml:space="preserve"> – November 2019 PBAC Meeting</w:t>
    </w:r>
  </w:p>
  <w:p w:rsidR="003A20C8" w:rsidRDefault="003A20C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243" w:rsidRDefault="00EB7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A5A0872"/>
    <w:lvl w:ilvl="0">
      <w:start w:val="1"/>
      <w:numFmt w:val="decimal"/>
      <w:lvlText w:val="%1."/>
      <w:lvlJc w:val="left"/>
      <w:pPr>
        <w:tabs>
          <w:tab w:val="num" w:pos="360"/>
        </w:tabs>
        <w:ind w:left="360" w:hanging="360"/>
      </w:pPr>
    </w:lvl>
  </w:abstractNum>
  <w:abstractNum w:abstractNumId="1" w15:restartNumberingAfterBreak="0">
    <w:nsid w:val="04DB6EC1"/>
    <w:multiLevelType w:val="hybridMultilevel"/>
    <w:tmpl w:val="EA00BD8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383609"/>
    <w:multiLevelType w:val="hybridMultilevel"/>
    <w:tmpl w:val="D7E05ED4"/>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0847D9"/>
    <w:multiLevelType w:val="hybridMultilevel"/>
    <w:tmpl w:val="18828F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8A2ACA"/>
    <w:multiLevelType w:val="hybridMultilevel"/>
    <w:tmpl w:val="9670AD4C"/>
    <w:lvl w:ilvl="0" w:tplc="0C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B7C48"/>
    <w:multiLevelType w:val="hybridMultilevel"/>
    <w:tmpl w:val="26D65C08"/>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222E81"/>
    <w:multiLevelType w:val="hybridMultilevel"/>
    <w:tmpl w:val="3DEAB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747272"/>
    <w:multiLevelType w:val="hybridMultilevel"/>
    <w:tmpl w:val="BA689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A04D58"/>
    <w:multiLevelType w:val="hybridMultilevel"/>
    <w:tmpl w:val="B1D81BD0"/>
    <w:lvl w:ilvl="0" w:tplc="30B0202C">
      <w:start w:val="16"/>
      <w:numFmt w:val="bullet"/>
      <w:lvlText w:val="-"/>
      <w:lvlJc w:val="left"/>
      <w:pPr>
        <w:ind w:left="1080" w:hanging="360"/>
      </w:pPr>
      <w:rPr>
        <w:rFonts w:ascii="Calibri" w:eastAsia="Times New Roman" w:hAnsi="Calibri" w:cs="Calibri" w:hint="default"/>
        <w: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9616ADE"/>
    <w:multiLevelType w:val="hybridMultilevel"/>
    <w:tmpl w:val="2FBA6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7C34E2"/>
    <w:multiLevelType w:val="hybridMultilevel"/>
    <w:tmpl w:val="31F04D3A"/>
    <w:lvl w:ilvl="0" w:tplc="0C090001">
      <w:start w:val="1"/>
      <w:numFmt w:val="bullet"/>
      <w:lvlText w:val=""/>
      <w:lvlJc w:val="left"/>
      <w:pPr>
        <w:ind w:left="135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002640"/>
    <w:multiLevelType w:val="hybridMultilevel"/>
    <w:tmpl w:val="010EE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C10489"/>
    <w:multiLevelType w:val="hybridMultilevel"/>
    <w:tmpl w:val="5E1CD1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602126"/>
    <w:multiLevelType w:val="hybridMultilevel"/>
    <w:tmpl w:val="59986EC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672CE"/>
    <w:multiLevelType w:val="hybridMultilevel"/>
    <w:tmpl w:val="31807A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1B8397B"/>
    <w:multiLevelType w:val="hybridMultilevel"/>
    <w:tmpl w:val="E0DAA79E"/>
    <w:lvl w:ilvl="0" w:tplc="856E2F0C">
      <w:start w:val="1"/>
      <w:numFmt w:val="bullet"/>
      <w:lvlText w:val=""/>
      <w:lvlJc w:val="left"/>
      <w:pPr>
        <w:ind w:left="135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6030B34"/>
    <w:multiLevelType w:val="hybridMultilevel"/>
    <w:tmpl w:val="706EA812"/>
    <w:lvl w:ilvl="0" w:tplc="2EA4988A">
      <w:start w:val="1"/>
      <w:numFmt w:val="bullet"/>
      <w:lvlText w:val=""/>
      <w:lvlJc w:val="left"/>
      <w:pPr>
        <w:ind w:left="1080" w:hanging="360"/>
      </w:pPr>
      <w:rPr>
        <w:rFonts w:ascii="Symbol" w:hAnsi="Symbol"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7DC620C"/>
    <w:multiLevelType w:val="hybridMultilevel"/>
    <w:tmpl w:val="F00A499C"/>
    <w:lvl w:ilvl="0" w:tplc="AB36CDE8">
      <w:start w:val="1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76300F"/>
    <w:multiLevelType w:val="hybridMultilevel"/>
    <w:tmpl w:val="66D45F42"/>
    <w:lvl w:ilvl="0" w:tplc="0246780A">
      <w:start w:val="1"/>
      <w:numFmt w:val="bullet"/>
      <w:pStyle w:val="ListBullet"/>
      <w:lvlText w:val=""/>
      <w:lvlJc w:val="left"/>
      <w:pPr>
        <w:tabs>
          <w:tab w:val="num" w:pos="357"/>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pStyle w:val="ListBulletlvl3"/>
      <w:lvlText w:val=""/>
      <w:lvlJc w:val="left"/>
      <w:pPr>
        <w:ind w:left="2160" w:hanging="360"/>
      </w:pPr>
      <w:rPr>
        <w:rFonts w:ascii="Wingdings" w:hAnsi="Wingdings" w:hint="default"/>
      </w:rPr>
    </w:lvl>
    <w:lvl w:ilvl="3" w:tplc="04090001">
      <w:start w:val="1"/>
      <w:numFmt w:val="bullet"/>
      <w:pStyle w:val="ListBulletlvl4"/>
      <w:lvlText w:val=""/>
      <w:lvlJc w:val="left"/>
      <w:pPr>
        <w:ind w:left="2880" w:hanging="360"/>
      </w:pPr>
      <w:rPr>
        <w:rFonts w:ascii="Symbol" w:hAnsi="Symbol" w:hint="default"/>
      </w:rPr>
    </w:lvl>
    <w:lvl w:ilvl="4" w:tplc="04090003">
      <w:start w:val="1"/>
      <w:numFmt w:val="bullet"/>
      <w:pStyle w:val="ListBulletlvl5"/>
      <w:lvlText w:val="o"/>
      <w:lvlJc w:val="left"/>
      <w:pPr>
        <w:ind w:left="3600" w:hanging="360"/>
      </w:pPr>
      <w:rPr>
        <w:rFonts w:ascii="Courier New" w:hAnsi="Courier New" w:hint="default"/>
      </w:rPr>
    </w:lvl>
    <w:lvl w:ilvl="5" w:tplc="04090005">
      <w:start w:val="1"/>
      <w:numFmt w:val="bullet"/>
      <w:pStyle w:val="ListBulletlvl6"/>
      <w:lvlText w:val=""/>
      <w:lvlJc w:val="left"/>
      <w:pPr>
        <w:ind w:left="4320" w:hanging="360"/>
      </w:pPr>
      <w:rPr>
        <w:rFonts w:ascii="Wingdings" w:hAnsi="Wingdings" w:hint="default"/>
      </w:rPr>
    </w:lvl>
    <w:lvl w:ilvl="6" w:tplc="04090001">
      <w:start w:val="1"/>
      <w:numFmt w:val="bullet"/>
      <w:pStyle w:val="ListBulletlvl7"/>
      <w:lvlText w:val=""/>
      <w:lvlJc w:val="left"/>
      <w:pPr>
        <w:ind w:left="5040" w:hanging="360"/>
      </w:pPr>
      <w:rPr>
        <w:rFonts w:ascii="Symbol" w:hAnsi="Symbol" w:hint="default"/>
      </w:rPr>
    </w:lvl>
    <w:lvl w:ilvl="7" w:tplc="04090003">
      <w:start w:val="1"/>
      <w:numFmt w:val="bullet"/>
      <w:pStyle w:val="ListBulletlvl8"/>
      <w:lvlText w:val="o"/>
      <w:lvlJc w:val="left"/>
      <w:pPr>
        <w:ind w:left="5760" w:hanging="360"/>
      </w:pPr>
      <w:rPr>
        <w:rFonts w:ascii="Courier New" w:hAnsi="Courier New" w:hint="default"/>
      </w:rPr>
    </w:lvl>
    <w:lvl w:ilvl="8" w:tplc="04090005">
      <w:start w:val="1"/>
      <w:numFmt w:val="bullet"/>
      <w:pStyle w:val="ListBulletlvl9"/>
      <w:lvlText w:val=""/>
      <w:lvlJc w:val="left"/>
      <w:pPr>
        <w:ind w:left="6480" w:hanging="360"/>
      </w:pPr>
      <w:rPr>
        <w:rFonts w:ascii="Wingdings" w:hAnsi="Wingdings" w:hint="default"/>
      </w:rPr>
    </w:lvl>
  </w:abstractNum>
  <w:abstractNum w:abstractNumId="22" w15:restartNumberingAfterBreak="0">
    <w:nsid w:val="5A967089"/>
    <w:multiLevelType w:val="multilevel"/>
    <w:tmpl w:val="16C4C1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817363"/>
    <w:multiLevelType w:val="hybridMultilevel"/>
    <w:tmpl w:val="B70A8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A026D0"/>
    <w:multiLevelType w:val="hybridMultilevel"/>
    <w:tmpl w:val="974A856E"/>
    <w:lvl w:ilvl="0" w:tplc="A99C61D2">
      <w:start w:val="1"/>
      <w:numFmt w:val="bullet"/>
      <w:pStyle w:val="BulletedText"/>
      <w:lvlText w:val=""/>
      <w:lvlJc w:val="left"/>
      <w:pPr>
        <w:ind w:left="717" w:hanging="360"/>
      </w:pPr>
      <w:rPr>
        <w:rFonts w:ascii="Symbol" w:hAnsi="Symbol" w:hint="default"/>
        <w:color w:val="auto"/>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D033C"/>
    <w:multiLevelType w:val="multilevel"/>
    <w:tmpl w:val="9A2E7B60"/>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11"/>
  </w:num>
  <w:num w:numId="2">
    <w:abstractNumId w:val="1"/>
  </w:num>
  <w:num w:numId="3">
    <w:abstractNumId w:val="25"/>
  </w:num>
  <w:num w:numId="4">
    <w:abstractNumId w:val="15"/>
  </w:num>
  <w:num w:numId="5">
    <w:abstractNumId w:val="3"/>
  </w:num>
  <w:num w:numId="6">
    <w:abstractNumId w:val="2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17"/>
  </w:num>
  <w:num w:numId="14">
    <w:abstractNumId w:val="10"/>
  </w:num>
  <w:num w:numId="15">
    <w:abstractNumId w:val="12"/>
  </w:num>
  <w:num w:numId="16">
    <w:abstractNumId w:val="5"/>
  </w:num>
  <w:num w:numId="17">
    <w:abstractNumId w:val="23"/>
  </w:num>
  <w:num w:numId="18">
    <w:abstractNumId w:val="8"/>
  </w:num>
  <w:num w:numId="19">
    <w:abstractNumId w:val="24"/>
  </w:num>
  <w:num w:numId="20">
    <w:abstractNumId w:val="7"/>
  </w:num>
  <w:num w:numId="21">
    <w:abstractNumId w:val="0"/>
  </w:num>
  <w:num w:numId="22">
    <w:abstractNumId w:val="14"/>
  </w:num>
  <w:num w:numId="23">
    <w:abstractNumId w:val="15"/>
  </w:num>
  <w:num w:numId="24">
    <w:abstractNumId w:val="26"/>
  </w:num>
  <w:num w:numId="25">
    <w:abstractNumId w:val="6"/>
  </w:num>
  <w:num w:numId="26">
    <w:abstractNumId w:val="16"/>
  </w:num>
  <w:num w:numId="27">
    <w:abstractNumId w:val="15"/>
  </w:num>
  <w:num w:numId="28">
    <w:abstractNumId w:val="15"/>
  </w:num>
  <w:num w:numId="29">
    <w:abstractNumId w:val="15"/>
  </w:num>
  <w:num w:numId="30">
    <w:abstractNumId w:val="15"/>
  </w:num>
  <w:num w:numId="31">
    <w:abstractNumId w:val="9"/>
  </w:num>
  <w:num w:numId="32">
    <w:abstractNumId w:val="2"/>
  </w:num>
  <w:num w:numId="33">
    <w:abstractNumId w:val="18"/>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5"/>
  </w:num>
  <w:num w:numId="37">
    <w:abstractNumId w:val="19"/>
  </w:num>
  <w:num w:numId="3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KxMDKwNDK1NDQ1NDZQ0lEKTi0uzszPAykwqwUASfU2mSwAAAA="/>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2z59wsi9drf4e0d0pv9rel5epezs250zwa&quot;&gt;Talazoparib&lt;record-ids&gt;&lt;item&gt;1&lt;/item&gt;&lt;item&gt;2&lt;/item&gt;&lt;item&gt;3&lt;/item&gt;&lt;item&gt;7&lt;/item&gt;&lt;item&gt;11&lt;/item&gt;&lt;item&gt;12&lt;/item&gt;&lt;item&gt;13&lt;/item&gt;&lt;item&gt;14&lt;/item&gt;&lt;item&gt;15&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record-ids&gt;&lt;/item&gt;&lt;/Libraries&gt;"/>
  </w:docVars>
  <w:rsids>
    <w:rsidRoot w:val="00E65E79"/>
    <w:rsid w:val="00000554"/>
    <w:rsid w:val="00000790"/>
    <w:rsid w:val="00000922"/>
    <w:rsid w:val="0000110B"/>
    <w:rsid w:val="00002CEF"/>
    <w:rsid w:val="00003322"/>
    <w:rsid w:val="00003499"/>
    <w:rsid w:val="00003721"/>
    <w:rsid w:val="000039B7"/>
    <w:rsid w:val="00003D91"/>
    <w:rsid w:val="00004AD1"/>
    <w:rsid w:val="00004AE6"/>
    <w:rsid w:val="00004FA1"/>
    <w:rsid w:val="000058A7"/>
    <w:rsid w:val="000072D3"/>
    <w:rsid w:val="000077B6"/>
    <w:rsid w:val="00010508"/>
    <w:rsid w:val="00012AB9"/>
    <w:rsid w:val="00013247"/>
    <w:rsid w:val="000141B6"/>
    <w:rsid w:val="000144CA"/>
    <w:rsid w:val="0001459C"/>
    <w:rsid w:val="000150A5"/>
    <w:rsid w:val="00015886"/>
    <w:rsid w:val="000162EF"/>
    <w:rsid w:val="00016598"/>
    <w:rsid w:val="00021E69"/>
    <w:rsid w:val="0002225F"/>
    <w:rsid w:val="000223DF"/>
    <w:rsid w:val="00022696"/>
    <w:rsid w:val="00023763"/>
    <w:rsid w:val="00024AD8"/>
    <w:rsid w:val="00024C98"/>
    <w:rsid w:val="00025390"/>
    <w:rsid w:val="00025399"/>
    <w:rsid w:val="0002760F"/>
    <w:rsid w:val="000301A4"/>
    <w:rsid w:val="00030B30"/>
    <w:rsid w:val="00030F98"/>
    <w:rsid w:val="0003166D"/>
    <w:rsid w:val="000317EC"/>
    <w:rsid w:val="00032027"/>
    <w:rsid w:val="00033863"/>
    <w:rsid w:val="000338F5"/>
    <w:rsid w:val="00035DC0"/>
    <w:rsid w:val="00036829"/>
    <w:rsid w:val="00040371"/>
    <w:rsid w:val="00040484"/>
    <w:rsid w:val="00040895"/>
    <w:rsid w:val="000413A3"/>
    <w:rsid w:val="000438A9"/>
    <w:rsid w:val="00043C37"/>
    <w:rsid w:val="00044909"/>
    <w:rsid w:val="00044AC5"/>
    <w:rsid w:val="00044F62"/>
    <w:rsid w:val="00045017"/>
    <w:rsid w:val="00045441"/>
    <w:rsid w:val="00045A2B"/>
    <w:rsid w:val="000461CC"/>
    <w:rsid w:val="0004698F"/>
    <w:rsid w:val="00047FBA"/>
    <w:rsid w:val="00050AB6"/>
    <w:rsid w:val="00050AEE"/>
    <w:rsid w:val="00050F83"/>
    <w:rsid w:val="000515A3"/>
    <w:rsid w:val="000517B2"/>
    <w:rsid w:val="00052140"/>
    <w:rsid w:val="00052B80"/>
    <w:rsid w:val="000539D0"/>
    <w:rsid w:val="00054621"/>
    <w:rsid w:val="000546D7"/>
    <w:rsid w:val="00054747"/>
    <w:rsid w:val="000549B4"/>
    <w:rsid w:val="00054D90"/>
    <w:rsid w:val="00055483"/>
    <w:rsid w:val="00056C10"/>
    <w:rsid w:val="00056CF1"/>
    <w:rsid w:val="00056DA8"/>
    <w:rsid w:val="0005765D"/>
    <w:rsid w:val="0005768B"/>
    <w:rsid w:val="00057C8B"/>
    <w:rsid w:val="00060001"/>
    <w:rsid w:val="000608D4"/>
    <w:rsid w:val="00060EE2"/>
    <w:rsid w:val="00060F77"/>
    <w:rsid w:val="000613B2"/>
    <w:rsid w:val="0006176D"/>
    <w:rsid w:val="000629D5"/>
    <w:rsid w:val="00064650"/>
    <w:rsid w:val="00064BAE"/>
    <w:rsid w:val="00065205"/>
    <w:rsid w:val="00065A70"/>
    <w:rsid w:val="00066360"/>
    <w:rsid w:val="00066E7D"/>
    <w:rsid w:val="00067494"/>
    <w:rsid w:val="000707FC"/>
    <w:rsid w:val="00071248"/>
    <w:rsid w:val="000720B9"/>
    <w:rsid w:val="000725A5"/>
    <w:rsid w:val="00072611"/>
    <w:rsid w:val="00073441"/>
    <w:rsid w:val="000737F7"/>
    <w:rsid w:val="00073E9D"/>
    <w:rsid w:val="00073EEF"/>
    <w:rsid w:val="00075FC5"/>
    <w:rsid w:val="0007672F"/>
    <w:rsid w:val="000774F0"/>
    <w:rsid w:val="00077B4F"/>
    <w:rsid w:val="0008026F"/>
    <w:rsid w:val="00080909"/>
    <w:rsid w:val="000812CA"/>
    <w:rsid w:val="0008170D"/>
    <w:rsid w:val="0008258D"/>
    <w:rsid w:val="00082B4F"/>
    <w:rsid w:val="00082D92"/>
    <w:rsid w:val="000835A1"/>
    <w:rsid w:val="000838E3"/>
    <w:rsid w:val="00083E39"/>
    <w:rsid w:val="00083E99"/>
    <w:rsid w:val="00083EED"/>
    <w:rsid w:val="0008488B"/>
    <w:rsid w:val="000856C5"/>
    <w:rsid w:val="0008680B"/>
    <w:rsid w:val="000876E8"/>
    <w:rsid w:val="000904F5"/>
    <w:rsid w:val="00090C7E"/>
    <w:rsid w:val="00091064"/>
    <w:rsid w:val="00092600"/>
    <w:rsid w:val="0009262B"/>
    <w:rsid w:val="00092877"/>
    <w:rsid w:val="00092BDA"/>
    <w:rsid w:val="00093310"/>
    <w:rsid w:val="000934FA"/>
    <w:rsid w:val="00093D61"/>
    <w:rsid w:val="000942C1"/>
    <w:rsid w:val="0009445C"/>
    <w:rsid w:val="0009541B"/>
    <w:rsid w:val="00095A1A"/>
    <w:rsid w:val="00095FE5"/>
    <w:rsid w:val="0009601E"/>
    <w:rsid w:val="00096284"/>
    <w:rsid w:val="000A0997"/>
    <w:rsid w:val="000A0CD3"/>
    <w:rsid w:val="000A0D36"/>
    <w:rsid w:val="000A1E23"/>
    <w:rsid w:val="000A22BA"/>
    <w:rsid w:val="000A2AFE"/>
    <w:rsid w:val="000A324C"/>
    <w:rsid w:val="000A4F33"/>
    <w:rsid w:val="000A5D3A"/>
    <w:rsid w:val="000A5FEC"/>
    <w:rsid w:val="000A7A00"/>
    <w:rsid w:val="000A7D08"/>
    <w:rsid w:val="000B0670"/>
    <w:rsid w:val="000B0E75"/>
    <w:rsid w:val="000B0F02"/>
    <w:rsid w:val="000B0FF3"/>
    <w:rsid w:val="000B12A5"/>
    <w:rsid w:val="000B153C"/>
    <w:rsid w:val="000B32E5"/>
    <w:rsid w:val="000B3587"/>
    <w:rsid w:val="000B6CAC"/>
    <w:rsid w:val="000B7110"/>
    <w:rsid w:val="000B7612"/>
    <w:rsid w:val="000B796F"/>
    <w:rsid w:val="000B7DD9"/>
    <w:rsid w:val="000C1906"/>
    <w:rsid w:val="000C1E7F"/>
    <w:rsid w:val="000C34DD"/>
    <w:rsid w:val="000C391F"/>
    <w:rsid w:val="000C3DF9"/>
    <w:rsid w:val="000C6209"/>
    <w:rsid w:val="000C65FA"/>
    <w:rsid w:val="000C6713"/>
    <w:rsid w:val="000C69AF"/>
    <w:rsid w:val="000C69D2"/>
    <w:rsid w:val="000C6D45"/>
    <w:rsid w:val="000C7696"/>
    <w:rsid w:val="000D019D"/>
    <w:rsid w:val="000D0BFA"/>
    <w:rsid w:val="000D1BFC"/>
    <w:rsid w:val="000D236F"/>
    <w:rsid w:val="000D281A"/>
    <w:rsid w:val="000D326A"/>
    <w:rsid w:val="000D4DEA"/>
    <w:rsid w:val="000D51FB"/>
    <w:rsid w:val="000E12D2"/>
    <w:rsid w:val="000E135D"/>
    <w:rsid w:val="000E1386"/>
    <w:rsid w:val="000E13DF"/>
    <w:rsid w:val="000E3253"/>
    <w:rsid w:val="000E38AF"/>
    <w:rsid w:val="000E38F1"/>
    <w:rsid w:val="000E4C6D"/>
    <w:rsid w:val="000E71AF"/>
    <w:rsid w:val="000F00BA"/>
    <w:rsid w:val="000F316A"/>
    <w:rsid w:val="000F3C74"/>
    <w:rsid w:val="000F491B"/>
    <w:rsid w:val="000F4BB8"/>
    <w:rsid w:val="000F532F"/>
    <w:rsid w:val="000F5770"/>
    <w:rsid w:val="000F6667"/>
    <w:rsid w:val="000F7127"/>
    <w:rsid w:val="000F73E0"/>
    <w:rsid w:val="0010080F"/>
    <w:rsid w:val="00100E20"/>
    <w:rsid w:val="00100F8A"/>
    <w:rsid w:val="00101C0F"/>
    <w:rsid w:val="00103E77"/>
    <w:rsid w:val="0010437A"/>
    <w:rsid w:val="0010555D"/>
    <w:rsid w:val="00105AE2"/>
    <w:rsid w:val="00106B80"/>
    <w:rsid w:val="00107B25"/>
    <w:rsid w:val="00107D04"/>
    <w:rsid w:val="00107DA9"/>
    <w:rsid w:val="0011032E"/>
    <w:rsid w:val="00110634"/>
    <w:rsid w:val="0011089B"/>
    <w:rsid w:val="00111326"/>
    <w:rsid w:val="00111BFB"/>
    <w:rsid w:val="00112A12"/>
    <w:rsid w:val="00112C13"/>
    <w:rsid w:val="00112EB7"/>
    <w:rsid w:val="00113390"/>
    <w:rsid w:val="0011348B"/>
    <w:rsid w:val="00113BDB"/>
    <w:rsid w:val="00114382"/>
    <w:rsid w:val="00115033"/>
    <w:rsid w:val="00115982"/>
    <w:rsid w:val="00116519"/>
    <w:rsid w:val="00116876"/>
    <w:rsid w:val="00116C53"/>
    <w:rsid w:val="00117B10"/>
    <w:rsid w:val="001202A4"/>
    <w:rsid w:val="001205D5"/>
    <w:rsid w:val="00120765"/>
    <w:rsid w:val="0012094A"/>
    <w:rsid w:val="00120E71"/>
    <w:rsid w:val="00120EE6"/>
    <w:rsid w:val="00121799"/>
    <w:rsid w:val="001222FC"/>
    <w:rsid w:val="00122A92"/>
    <w:rsid w:val="00122ADB"/>
    <w:rsid w:val="001238CF"/>
    <w:rsid w:val="001240A8"/>
    <w:rsid w:val="00124A51"/>
    <w:rsid w:val="00126621"/>
    <w:rsid w:val="00126861"/>
    <w:rsid w:val="001277C8"/>
    <w:rsid w:val="001301E9"/>
    <w:rsid w:val="0013180A"/>
    <w:rsid w:val="00131D82"/>
    <w:rsid w:val="00132A4B"/>
    <w:rsid w:val="00133843"/>
    <w:rsid w:val="00133D36"/>
    <w:rsid w:val="00134F95"/>
    <w:rsid w:val="001354ED"/>
    <w:rsid w:val="001369F4"/>
    <w:rsid w:val="00137645"/>
    <w:rsid w:val="0014015A"/>
    <w:rsid w:val="00140E99"/>
    <w:rsid w:val="001415E6"/>
    <w:rsid w:val="00141605"/>
    <w:rsid w:val="00142304"/>
    <w:rsid w:val="00143541"/>
    <w:rsid w:val="0014486F"/>
    <w:rsid w:val="00144E7F"/>
    <w:rsid w:val="00145540"/>
    <w:rsid w:val="001456B0"/>
    <w:rsid w:val="00146059"/>
    <w:rsid w:val="00146831"/>
    <w:rsid w:val="0014795B"/>
    <w:rsid w:val="00151D46"/>
    <w:rsid w:val="00151FCB"/>
    <w:rsid w:val="0015383A"/>
    <w:rsid w:val="00153D92"/>
    <w:rsid w:val="001548DA"/>
    <w:rsid w:val="00155130"/>
    <w:rsid w:val="00157130"/>
    <w:rsid w:val="001576B1"/>
    <w:rsid w:val="00160A4C"/>
    <w:rsid w:val="00160D7A"/>
    <w:rsid w:val="00161C66"/>
    <w:rsid w:val="0016225E"/>
    <w:rsid w:val="001627F0"/>
    <w:rsid w:val="00162913"/>
    <w:rsid w:val="00162BB7"/>
    <w:rsid w:val="00163EFF"/>
    <w:rsid w:val="001641DA"/>
    <w:rsid w:val="0016493A"/>
    <w:rsid w:val="00165835"/>
    <w:rsid w:val="001661FB"/>
    <w:rsid w:val="0016706F"/>
    <w:rsid w:val="001673C9"/>
    <w:rsid w:val="001710EB"/>
    <w:rsid w:val="0017213F"/>
    <w:rsid w:val="00172576"/>
    <w:rsid w:val="00172A7E"/>
    <w:rsid w:val="00173565"/>
    <w:rsid w:val="001737BF"/>
    <w:rsid w:val="00173A3C"/>
    <w:rsid w:val="00173B07"/>
    <w:rsid w:val="00173FBE"/>
    <w:rsid w:val="001745D1"/>
    <w:rsid w:val="001748DC"/>
    <w:rsid w:val="00174983"/>
    <w:rsid w:val="00175CB4"/>
    <w:rsid w:val="0017761E"/>
    <w:rsid w:val="00180456"/>
    <w:rsid w:val="00180A5B"/>
    <w:rsid w:val="00181583"/>
    <w:rsid w:val="00181D9C"/>
    <w:rsid w:val="00182D83"/>
    <w:rsid w:val="00185F72"/>
    <w:rsid w:val="00187366"/>
    <w:rsid w:val="0018752F"/>
    <w:rsid w:val="00190431"/>
    <w:rsid w:val="00190B70"/>
    <w:rsid w:val="00192F25"/>
    <w:rsid w:val="001938A2"/>
    <w:rsid w:val="00195222"/>
    <w:rsid w:val="00196983"/>
    <w:rsid w:val="001975D8"/>
    <w:rsid w:val="001A0439"/>
    <w:rsid w:val="001A22ED"/>
    <w:rsid w:val="001A2806"/>
    <w:rsid w:val="001A2A2F"/>
    <w:rsid w:val="001A3565"/>
    <w:rsid w:val="001A43FA"/>
    <w:rsid w:val="001A519B"/>
    <w:rsid w:val="001A59FB"/>
    <w:rsid w:val="001A5C65"/>
    <w:rsid w:val="001A5D90"/>
    <w:rsid w:val="001A6354"/>
    <w:rsid w:val="001A6F65"/>
    <w:rsid w:val="001A7911"/>
    <w:rsid w:val="001A7AE8"/>
    <w:rsid w:val="001A7D63"/>
    <w:rsid w:val="001B1911"/>
    <w:rsid w:val="001B204E"/>
    <w:rsid w:val="001B3443"/>
    <w:rsid w:val="001B3455"/>
    <w:rsid w:val="001B46A5"/>
    <w:rsid w:val="001B4D20"/>
    <w:rsid w:val="001B58BE"/>
    <w:rsid w:val="001B58D1"/>
    <w:rsid w:val="001B5FA5"/>
    <w:rsid w:val="001B5FC2"/>
    <w:rsid w:val="001B6126"/>
    <w:rsid w:val="001B6973"/>
    <w:rsid w:val="001B6AA3"/>
    <w:rsid w:val="001B7CB6"/>
    <w:rsid w:val="001B7CE0"/>
    <w:rsid w:val="001C0C9A"/>
    <w:rsid w:val="001C1F16"/>
    <w:rsid w:val="001C2A9B"/>
    <w:rsid w:val="001C3F06"/>
    <w:rsid w:val="001C4299"/>
    <w:rsid w:val="001C4619"/>
    <w:rsid w:val="001C4B46"/>
    <w:rsid w:val="001C4B4E"/>
    <w:rsid w:val="001C53E4"/>
    <w:rsid w:val="001C54F8"/>
    <w:rsid w:val="001C572F"/>
    <w:rsid w:val="001C5B11"/>
    <w:rsid w:val="001C5F0C"/>
    <w:rsid w:val="001C5F94"/>
    <w:rsid w:val="001C6E66"/>
    <w:rsid w:val="001C77CE"/>
    <w:rsid w:val="001D07D8"/>
    <w:rsid w:val="001D2377"/>
    <w:rsid w:val="001D2DAC"/>
    <w:rsid w:val="001D3EA5"/>
    <w:rsid w:val="001D3F53"/>
    <w:rsid w:val="001D5DC0"/>
    <w:rsid w:val="001D601A"/>
    <w:rsid w:val="001D6086"/>
    <w:rsid w:val="001D6A0D"/>
    <w:rsid w:val="001D7C6C"/>
    <w:rsid w:val="001D7E69"/>
    <w:rsid w:val="001E0718"/>
    <w:rsid w:val="001E1533"/>
    <w:rsid w:val="001E16B4"/>
    <w:rsid w:val="001E204D"/>
    <w:rsid w:val="001E21F7"/>
    <w:rsid w:val="001E238E"/>
    <w:rsid w:val="001E2483"/>
    <w:rsid w:val="001E261C"/>
    <w:rsid w:val="001E2B1E"/>
    <w:rsid w:val="001E30D4"/>
    <w:rsid w:val="001E4776"/>
    <w:rsid w:val="001E52EB"/>
    <w:rsid w:val="001E5570"/>
    <w:rsid w:val="001E61D2"/>
    <w:rsid w:val="001E644E"/>
    <w:rsid w:val="001E740C"/>
    <w:rsid w:val="001F0B20"/>
    <w:rsid w:val="001F0B6B"/>
    <w:rsid w:val="001F1235"/>
    <w:rsid w:val="001F1518"/>
    <w:rsid w:val="001F16DB"/>
    <w:rsid w:val="001F1CB3"/>
    <w:rsid w:val="001F1ED3"/>
    <w:rsid w:val="001F354B"/>
    <w:rsid w:val="001F38B5"/>
    <w:rsid w:val="001F405B"/>
    <w:rsid w:val="001F5454"/>
    <w:rsid w:val="001F54CD"/>
    <w:rsid w:val="001F58BA"/>
    <w:rsid w:val="001F7361"/>
    <w:rsid w:val="001F7A24"/>
    <w:rsid w:val="00200BD2"/>
    <w:rsid w:val="00200D3D"/>
    <w:rsid w:val="002011B0"/>
    <w:rsid w:val="00203181"/>
    <w:rsid w:val="00203496"/>
    <w:rsid w:val="00203783"/>
    <w:rsid w:val="0020385F"/>
    <w:rsid w:val="00203966"/>
    <w:rsid w:val="00204772"/>
    <w:rsid w:val="00205F92"/>
    <w:rsid w:val="00206619"/>
    <w:rsid w:val="00207021"/>
    <w:rsid w:val="0020732F"/>
    <w:rsid w:val="00207D00"/>
    <w:rsid w:val="002105C1"/>
    <w:rsid w:val="0021070E"/>
    <w:rsid w:val="00211758"/>
    <w:rsid w:val="00211EB2"/>
    <w:rsid w:val="002124EB"/>
    <w:rsid w:val="0021344D"/>
    <w:rsid w:val="00213685"/>
    <w:rsid w:val="00214266"/>
    <w:rsid w:val="00214AF2"/>
    <w:rsid w:val="00214C04"/>
    <w:rsid w:val="002153DC"/>
    <w:rsid w:val="00215DCB"/>
    <w:rsid w:val="00215F6A"/>
    <w:rsid w:val="00216180"/>
    <w:rsid w:val="00217FC0"/>
    <w:rsid w:val="002208DA"/>
    <w:rsid w:val="00220B86"/>
    <w:rsid w:val="00221D47"/>
    <w:rsid w:val="0022330C"/>
    <w:rsid w:val="00223B49"/>
    <w:rsid w:val="00224813"/>
    <w:rsid w:val="00224DD4"/>
    <w:rsid w:val="002256AF"/>
    <w:rsid w:val="00225949"/>
    <w:rsid w:val="00226296"/>
    <w:rsid w:val="00226D10"/>
    <w:rsid w:val="002278BE"/>
    <w:rsid w:val="002309CC"/>
    <w:rsid w:val="00230BF1"/>
    <w:rsid w:val="00230C99"/>
    <w:rsid w:val="00231A27"/>
    <w:rsid w:val="00231BE2"/>
    <w:rsid w:val="00231C12"/>
    <w:rsid w:val="0023209F"/>
    <w:rsid w:val="00233318"/>
    <w:rsid w:val="002341E2"/>
    <w:rsid w:val="00234739"/>
    <w:rsid w:val="00235858"/>
    <w:rsid w:val="00235C8E"/>
    <w:rsid w:val="0023629D"/>
    <w:rsid w:val="00237255"/>
    <w:rsid w:val="00240466"/>
    <w:rsid w:val="0024051D"/>
    <w:rsid w:val="002424AF"/>
    <w:rsid w:val="002437F8"/>
    <w:rsid w:val="00243993"/>
    <w:rsid w:val="002439DC"/>
    <w:rsid w:val="00243B65"/>
    <w:rsid w:val="00244DC8"/>
    <w:rsid w:val="002458BA"/>
    <w:rsid w:val="0024598C"/>
    <w:rsid w:val="0024636C"/>
    <w:rsid w:val="002465B2"/>
    <w:rsid w:val="0024743F"/>
    <w:rsid w:val="002474DC"/>
    <w:rsid w:val="002478F1"/>
    <w:rsid w:val="00247925"/>
    <w:rsid w:val="0025016E"/>
    <w:rsid w:val="00251C0F"/>
    <w:rsid w:val="00252401"/>
    <w:rsid w:val="002531A3"/>
    <w:rsid w:val="0025340E"/>
    <w:rsid w:val="00254DCF"/>
    <w:rsid w:val="0025534B"/>
    <w:rsid w:val="002559EE"/>
    <w:rsid w:val="00255BB7"/>
    <w:rsid w:val="0025671E"/>
    <w:rsid w:val="00257541"/>
    <w:rsid w:val="002578A1"/>
    <w:rsid w:val="00261935"/>
    <w:rsid w:val="00262A1A"/>
    <w:rsid w:val="00262A87"/>
    <w:rsid w:val="00262D57"/>
    <w:rsid w:val="00264CF4"/>
    <w:rsid w:val="00264D26"/>
    <w:rsid w:val="00264EE7"/>
    <w:rsid w:val="00265065"/>
    <w:rsid w:val="00266BEC"/>
    <w:rsid w:val="0026723E"/>
    <w:rsid w:val="00267642"/>
    <w:rsid w:val="00267ACD"/>
    <w:rsid w:val="00267AEA"/>
    <w:rsid w:val="002700E6"/>
    <w:rsid w:val="002707E8"/>
    <w:rsid w:val="00270A5F"/>
    <w:rsid w:val="00271205"/>
    <w:rsid w:val="00271542"/>
    <w:rsid w:val="00272166"/>
    <w:rsid w:val="002721B8"/>
    <w:rsid w:val="0027294B"/>
    <w:rsid w:val="002735DF"/>
    <w:rsid w:val="00273863"/>
    <w:rsid w:val="00274187"/>
    <w:rsid w:val="00274A94"/>
    <w:rsid w:val="00275C5A"/>
    <w:rsid w:val="00276AAE"/>
    <w:rsid w:val="00280425"/>
    <w:rsid w:val="00280876"/>
    <w:rsid w:val="00280B3B"/>
    <w:rsid w:val="00281014"/>
    <w:rsid w:val="002811C4"/>
    <w:rsid w:val="00281B73"/>
    <w:rsid w:val="00282BA9"/>
    <w:rsid w:val="0028350B"/>
    <w:rsid w:val="0028386D"/>
    <w:rsid w:val="00284F09"/>
    <w:rsid w:val="00284F51"/>
    <w:rsid w:val="002863F7"/>
    <w:rsid w:val="00287B64"/>
    <w:rsid w:val="00287F40"/>
    <w:rsid w:val="002928BA"/>
    <w:rsid w:val="00295924"/>
    <w:rsid w:val="0029685A"/>
    <w:rsid w:val="0029712B"/>
    <w:rsid w:val="0029739C"/>
    <w:rsid w:val="002A02DD"/>
    <w:rsid w:val="002A14AB"/>
    <w:rsid w:val="002A267C"/>
    <w:rsid w:val="002A2F50"/>
    <w:rsid w:val="002B09A4"/>
    <w:rsid w:val="002B0AB3"/>
    <w:rsid w:val="002B1533"/>
    <w:rsid w:val="002B1A31"/>
    <w:rsid w:val="002B1C1F"/>
    <w:rsid w:val="002B2DA2"/>
    <w:rsid w:val="002B35DC"/>
    <w:rsid w:val="002B432F"/>
    <w:rsid w:val="002B465B"/>
    <w:rsid w:val="002B51CA"/>
    <w:rsid w:val="002B623B"/>
    <w:rsid w:val="002B62B3"/>
    <w:rsid w:val="002B6754"/>
    <w:rsid w:val="002B6CCE"/>
    <w:rsid w:val="002C08FF"/>
    <w:rsid w:val="002C0D6B"/>
    <w:rsid w:val="002C2335"/>
    <w:rsid w:val="002C2369"/>
    <w:rsid w:val="002C2510"/>
    <w:rsid w:val="002C2775"/>
    <w:rsid w:val="002C27C1"/>
    <w:rsid w:val="002C2FBB"/>
    <w:rsid w:val="002C3229"/>
    <w:rsid w:val="002C3631"/>
    <w:rsid w:val="002C4CCE"/>
    <w:rsid w:val="002C507E"/>
    <w:rsid w:val="002C5099"/>
    <w:rsid w:val="002C5889"/>
    <w:rsid w:val="002C71CE"/>
    <w:rsid w:val="002C759D"/>
    <w:rsid w:val="002D0B38"/>
    <w:rsid w:val="002D0BE4"/>
    <w:rsid w:val="002D1DF6"/>
    <w:rsid w:val="002D320F"/>
    <w:rsid w:val="002D39F0"/>
    <w:rsid w:val="002D4B86"/>
    <w:rsid w:val="002D5588"/>
    <w:rsid w:val="002D577C"/>
    <w:rsid w:val="002D7B41"/>
    <w:rsid w:val="002E0310"/>
    <w:rsid w:val="002E0488"/>
    <w:rsid w:val="002E075F"/>
    <w:rsid w:val="002E15B9"/>
    <w:rsid w:val="002E162E"/>
    <w:rsid w:val="002E2158"/>
    <w:rsid w:val="002E2B53"/>
    <w:rsid w:val="002E2EC1"/>
    <w:rsid w:val="002E3869"/>
    <w:rsid w:val="002E7722"/>
    <w:rsid w:val="002E79E0"/>
    <w:rsid w:val="002F07BA"/>
    <w:rsid w:val="002F0DA9"/>
    <w:rsid w:val="002F1652"/>
    <w:rsid w:val="002F3B53"/>
    <w:rsid w:val="002F4579"/>
    <w:rsid w:val="002F54C0"/>
    <w:rsid w:val="002F55DB"/>
    <w:rsid w:val="002F62BB"/>
    <w:rsid w:val="002F643C"/>
    <w:rsid w:val="002F6C7F"/>
    <w:rsid w:val="002F7009"/>
    <w:rsid w:val="002F71C0"/>
    <w:rsid w:val="00300734"/>
    <w:rsid w:val="00300837"/>
    <w:rsid w:val="00300E5C"/>
    <w:rsid w:val="00301017"/>
    <w:rsid w:val="00301505"/>
    <w:rsid w:val="0030155F"/>
    <w:rsid w:val="00301A29"/>
    <w:rsid w:val="00301D5B"/>
    <w:rsid w:val="003047CE"/>
    <w:rsid w:val="0030494C"/>
    <w:rsid w:val="0030587B"/>
    <w:rsid w:val="0030638E"/>
    <w:rsid w:val="00306D98"/>
    <w:rsid w:val="0030785B"/>
    <w:rsid w:val="0030786C"/>
    <w:rsid w:val="0031031A"/>
    <w:rsid w:val="00310981"/>
    <w:rsid w:val="003111D2"/>
    <w:rsid w:val="003131A8"/>
    <w:rsid w:val="00313D8A"/>
    <w:rsid w:val="003142F2"/>
    <w:rsid w:val="00315498"/>
    <w:rsid w:val="0031554E"/>
    <w:rsid w:val="00315EB3"/>
    <w:rsid w:val="0031778B"/>
    <w:rsid w:val="00321641"/>
    <w:rsid w:val="00321EFE"/>
    <w:rsid w:val="00322107"/>
    <w:rsid w:val="003224E2"/>
    <w:rsid w:val="003225DE"/>
    <w:rsid w:val="00322846"/>
    <w:rsid w:val="00322AC1"/>
    <w:rsid w:val="0032307E"/>
    <w:rsid w:val="00323A9C"/>
    <w:rsid w:val="00323CCA"/>
    <w:rsid w:val="00323D40"/>
    <w:rsid w:val="0032542B"/>
    <w:rsid w:val="00325C10"/>
    <w:rsid w:val="00326DA7"/>
    <w:rsid w:val="003270E4"/>
    <w:rsid w:val="00327315"/>
    <w:rsid w:val="00327317"/>
    <w:rsid w:val="003276E6"/>
    <w:rsid w:val="00330F5C"/>
    <w:rsid w:val="00331D94"/>
    <w:rsid w:val="00333845"/>
    <w:rsid w:val="00333D55"/>
    <w:rsid w:val="00334831"/>
    <w:rsid w:val="003351EE"/>
    <w:rsid w:val="00335D44"/>
    <w:rsid w:val="003366C9"/>
    <w:rsid w:val="00336879"/>
    <w:rsid w:val="00336F64"/>
    <w:rsid w:val="00337175"/>
    <w:rsid w:val="003371A0"/>
    <w:rsid w:val="003371B0"/>
    <w:rsid w:val="003373D5"/>
    <w:rsid w:val="00340DF1"/>
    <w:rsid w:val="00340FDB"/>
    <w:rsid w:val="0034228C"/>
    <w:rsid w:val="00342727"/>
    <w:rsid w:val="00342F3E"/>
    <w:rsid w:val="003431F8"/>
    <w:rsid w:val="003445CB"/>
    <w:rsid w:val="00344925"/>
    <w:rsid w:val="00344A54"/>
    <w:rsid w:val="00344E19"/>
    <w:rsid w:val="0034547A"/>
    <w:rsid w:val="00346535"/>
    <w:rsid w:val="00347120"/>
    <w:rsid w:val="003500B3"/>
    <w:rsid w:val="003517F9"/>
    <w:rsid w:val="00351B05"/>
    <w:rsid w:val="003532CE"/>
    <w:rsid w:val="00354DE9"/>
    <w:rsid w:val="0035620E"/>
    <w:rsid w:val="00356F1B"/>
    <w:rsid w:val="0036186D"/>
    <w:rsid w:val="0036192D"/>
    <w:rsid w:val="0036216A"/>
    <w:rsid w:val="003622D1"/>
    <w:rsid w:val="003624C4"/>
    <w:rsid w:val="00362B05"/>
    <w:rsid w:val="00364A1F"/>
    <w:rsid w:val="003654AC"/>
    <w:rsid w:val="00365F56"/>
    <w:rsid w:val="00366F9C"/>
    <w:rsid w:val="003678A8"/>
    <w:rsid w:val="00367A8D"/>
    <w:rsid w:val="00370EAB"/>
    <w:rsid w:val="003710CF"/>
    <w:rsid w:val="00371B42"/>
    <w:rsid w:val="00371E6B"/>
    <w:rsid w:val="00372693"/>
    <w:rsid w:val="0037358A"/>
    <w:rsid w:val="003741B8"/>
    <w:rsid w:val="00374511"/>
    <w:rsid w:val="00374A50"/>
    <w:rsid w:val="003750F6"/>
    <w:rsid w:val="00375821"/>
    <w:rsid w:val="003760FC"/>
    <w:rsid w:val="0038186E"/>
    <w:rsid w:val="00381A6F"/>
    <w:rsid w:val="00381BFE"/>
    <w:rsid w:val="003820A2"/>
    <w:rsid w:val="00382280"/>
    <w:rsid w:val="0038316D"/>
    <w:rsid w:val="0038365C"/>
    <w:rsid w:val="0038369B"/>
    <w:rsid w:val="00383B78"/>
    <w:rsid w:val="00384BF9"/>
    <w:rsid w:val="00385335"/>
    <w:rsid w:val="00385A9D"/>
    <w:rsid w:val="0039002B"/>
    <w:rsid w:val="003902B1"/>
    <w:rsid w:val="003902B5"/>
    <w:rsid w:val="00390662"/>
    <w:rsid w:val="003906DA"/>
    <w:rsid w:val="00390723"/>
    <w:rsid w:val="003922CB"/>
    <w:rsid w:val="0039276A"/>
    <w:rsid w:val="00392A44"/>
    <w:rsid w:val="0039387D"/>
    <w:rsid w:val="003945A6"/>
    <w:rsid w:val="00396896"/>
    <w:rsid w:val="00396DC9"/>
    <w:rsid w:val="00396FD0"/>
    <w:rsid w:val="003976CE"/>
    <w:rsid w:val="00397ED6"/>
    <w:rsid w:val="003A0519"/>
    <w:rsid w:val="003A0651"/>
    <w:rsid w:val="003A1A7A"/>
    <w:rsid w:val="003A20C8"/>
    <w:rsid w:val="003A2392"/>
    <w:rsid w:val="003A2831"/>
    <w:rsid w:val="003A356F"/>
    <w:rsid w:val="003A3DD6"/>
    <w:rsid w:val="003A3ED1"/>
    <w:rsid w:val="003A5333"/>
    <w:rsid w:val="003A5526"/>
    <w:rsid w:val="003A575E"/>
    <w:rsid w:val="003A62B3"/>
    <w:rsid w:val="003A6360"/>
    <w:rsid w:val="003A6E42"/>
    <w:rsid w:val="003B0B2F"/>
    <w:rsid w:val="003B0FC0"/>
    <w:rsid w:val="003B387A"/>
    <w:rsid w:val="003B4CB9"/>
    <w:rsid w:val="003B54FC"/>
    <w:rsid w:val="003B58E6"/>
    <w:rsid w:val="003B5B61"/>
    <w:rsid w:val="003B6780"/>
    <w:rsid w:val="003B6973"/>
    <w:rsid w:val="003B6C46"/>
    <w:rsid w:val="003B7486"/>
    <w:rsid w:val="003C0994"/>
    <w:rsid w:val="003C0E28"/>
    <w:rsid w:val="003C1288"/>
    <w:rsid w:val="003C1654"/>
    <w:rsid w:val="003C2312"/>
    <w:rsid w:val="003C2AA9"/>
    <w:rsid w:val="003C498A"/>
    <w:rsid w:val="003C4B4C"/>
    <w:rsid w:val="003C5A1F"/>
    <w:rsid w:val="003C623C"/>
    <w:rsid w:val="003C6FB8"/>
    <w:rsid w:val="003C7029"/>
    <w:rsid w:val="003C71EE"/>
    <w:rsid w:val="003C720B"/>
    <w:rsid w:val="003C7D19"/>
    <w:rsid w:val="003D0678"/>
    <w:rsid w:val="003D0812"/>
    <w:rsid w:val="003D0AF2"/>
    <w:rsid w:val="003D1828"/>
    <w:rsid w:val="003D1A59"/>
    <w:rsid w:val="003D1DE4"/>
    <w:rsid w:val="003D2422"/>
    <w:rsid w:val="003D2C8F"/>
    <w:rsid w:val="003D2E6E"/>
    <w:rsid w:val="003D38D2"/>
    <w:rsid w:val="003D39A1"/>
    <w:rsid w:val="003D3FBF"/>
    <w:rsid w:val="003D45F5"/>
    <w:rsid w:val="003D480D"/>
    <w:rsid w:val="003D4A30"/>
    <w:rsid w:val="003D5DCC"/>
    <w:rsid w:val="003D6ED0"/>
    <w:rsid w:val="003D79BB"/>
    <w:rsid w:val="003D7C98"/>
    <w:rsid w:val="003D7D81"/>
    <w:rsid w:val="003E0543"/>
    <w:rsid w:val="003E1E62"/>
    <w:rsid w:val="003E2C25"/>
    <w:rsid w:val="003E328C"/>
    <w:rsid w:val="003E51FD"/>
    <w:rsid w:val="003E71FC"/>
    <w:rsid w:val="003F1A1F"/>
    <w:rsid w:val="003F2556"/>
    <w:rsid w:val="003F4156"/>
    <w:rsid w:val="003F727A"/>
    <w:rsid w:val="003F7769"/>
    <w:rsid w:val="00400B29"/>
    <w:rsid w:val="00403415"/>
    <w:rsid w:val="0040426D"/>
    <w:rsid w:val="0040504B"/>
    <w:rsid w:val="0040620D"/>
    <w:rsid w:val="0040698F"/>
    <w:rsid w:val="00407238"/>
    <w:rsid w:val="004079D2"/>
    <w:rsid w:val="00410708"/>
    <w:rsid w:val="00410BC5"/>
    <w:rsid w:val="00410EC7"/>
    <w:rsid w:val="00411B39"/>
    <w:rsid w:val="0041294F"/>
    <w:rsid w:val="00413A1E"/>
    <w:rsid w:val="00414476"/>
    <w:rsid w:val="00414C2E"/>
    <w:rsid w:val="00414F89"/>
    <w:rsid w:val="004151CF"/>
    <w:rsid w:val="00416364"/>
    <w:rsid w:val="0042039D"/>
    <w:rsid w:val="00420AA6"/>
    <w:rsid w:val="00420B9F"/>
    <w:rsid w:val="004211C9"/>
    <w:rsid w:val="00422260"/>
    <w:rsid w:val="00423288"/>
    <w:rsid w:val="00423895"/>
    <w:rsid w:val="0042413F"/>
    <w:rsid w:val="00424ABC"/>
    <w:rsid w:val="00424E6C"/>
    <w:rsid w:val="004250BC"/>
    <w:rsid w:val="0042655D"/>
    <w:rsid w:val="00427C4C"/>
    <w:rsid w:val="00427F25"/>
    <w:rsid w:val="004306E9"/>
    <w:rsid w:val="00430F95"/>
    <w:rsid w:val="004319A5"/>
    <w:rsid w:val="004319F8"/>
    <w:rsid w:val="00431E55"/>
    <w:rsid w:val="004320A9"/>
    <w:rsid w:val="004321F6"/>
    <w:rsid w:val="00432A0D"/>
    <w:rsid w:val="00433044"/>
    <w:rsid w:val="0043342E"/>
    <w:rsid w:val="00434D8E"/>
    <w:rsid w:val="004354DB"/>
    <w:rsid w:val="00435716"/>
    <w:rsid w:val="00435786"/>
    <w:rsid w:val="004375B5"/>
    <w:rsid w:val="004375B9"/>
    <w:rsid w:val="004378CC"/>
    <w:rsid w:val="00437D3F"/>
    <w:rsid w:val="00440E67"/>
    <w:rsid w:val="00440E81"/>
    <w:rsid w:val="004428D0"/>
    <w:rsid w:val="00443A2C"/>
    <w:rsid w:val="00443B30"/>
    <w:rsid w:val="00443F9F"/>
    <w:rsid w:val="004443A7"/>
    <w:rsid w:val="0044442C"/>
    <w:rsid w:val="00444F3F"/>
    <w:rsid w:val="00445941"/>
    <w:rsid w:val="004464EB"/>
    <w:rsid w:val="00447D26"/>
    <w:rsid w:val="00450ED7"/>
    <w:rsid w:val="004511EB"/>
    <w:rsid w:val="00452188"/>
    <w:rsid w:val="00453720"/>
    <w:rsid w:val="00453854"/>
    <w:rsid w:val="004540D3"/>
    <w:rsid w:val="00455A30"/>
    <w:rsid w:val="00455D45"/>
    <w:rsid w:val="00456C4A"/>
    <w:rsid w:val="004578AC"/>
    <w:rsid w:val="004578B0"/>
    <w:rsid w:val="0046071E"/>
    <w:rsid w:val="00460D0F"/>
    <w:rsid w:val="00463015"/>
    <w:rsid w:val="00464595"/>
    <w:rsid w:val="00464D9D"/>
    <w:rsid w:val="00464E40"/>
    <w:rsid w:val="00466CB3"/>
    <w:rsid w:val="0046750C"/>
    <w:rsid w:val="00467D13"/>
    <w:rsid w:val="004701AE"/>
    <w:rsid w:val="00471508"/>
    <w:rsid w:val="0047282F"/>
    <w:rsid w:val="004728E2"/>
    <w:rsid w:val="00472A79"/>
    <w:rsid w:val="00473F19"/>
    <w:rsid w:val="0047405F"/>
    <w:rsid w:val="004750FF"/>
    <w:rsid w:val="0047546B"/>
    <w:rsid w:val="00475923"/>
    <w:rsid w:val="00475E22"/>
    <w:rsid w:val="00476FB9"/>
    <w:rsid w:val="004777CC"/>
    <w:rsid w:val="004802D3"/>
    <w:rsid w:val="0048088E"/>
    <w:rsid w:val="0048118C"/>
    <w:rsid w:val="00482720"/>
    <w:rsid w:val="00482A59"/>
    <w:rsid w:val="004835E7"/>
    <w:rsid w:val="004848C7"/>
    <w:rsid w:val="00484F59"/>
    <w:rsid w:val="00485750"/>
    <w:rsid w:val="004857CD"/>
    <w:rsid w:val="004867E2"/>
    <w:rsid w:val="004902D9"/>
    <w:rsid w:val="00491334"/>
    <w:rsid w:val="00491B3A"/>
    <w:rsid w:val="00491C6D"/>
    <w:rsid w:val="004929EF"/>
    <w:rsid w:val="00492CFD"/>
    <w:rsid w:val="00493251"/>
    <w:rsid w:val="00493BCA"/>
    <w:rsid w:val="00494714"/>
    <w:rsid w:val="00494DD5"/>
    <w:rsid w:val="004962D2"/>
    <w:rsid w:val="00497A83"/>
    <w:rsid w:val="004A0409"/>
    <w:rsid w:val="004A06A6"/>
    <w:rsid w:val="004A0DA1"/>
    <w:rsid w:val="004A1217"/>
    <w:rsid w:val="004A1342"/>
    <w:rsid w:val="004A171F"/>
    <w:rsid w:val="004A2B15"/>
    <w:rsid w:val="004A3F29"/>
    <w:rsid w:val="004A447E"/>
    <w:rsid w:val="004A4904"/>
    <w:rsid w:val="004A4909"/>
    <w:rsid w:val="004A4BBD"/>
    <w:rsid w:val="004A4C15"/>
    <w:rsid w:val="004A52E9"/>
    <w:rsid w:val="004A604F"/>
    <w:rsid w:val="004A6597"/>
    <w:rsid w:val="004A6C9A"/>
    <w:rsid w:val="004A7848"/>
    <w:rsid w:val="004B0CD5"/>
    <w:rsid w:val="004B1CB4"/>
    <w:rsid w:val="004B247E"/>
    <w:rsid w:val="004B2F18"/>
    <w:rsid w:val="004B3098"/>
    <w:rsid w:val="004B3DDB"/>
    <w:rsid w:val="004B44FD"/>
    <w:rsid w:val="004B45AF"/>
    <w:rsid w:val="004B5B4D"/>
    <w:rsid w:val="004B5CFC"/>
    <w:rsid w:val="004B774D"/>
    <w:rsid w:val="004C0A6D"/>
    <w:rsid w:val="004C1762"/>
    <w:rsid w:val="004C2EDB"/>
    <w:rsid w:val="004C387C"/>
    <w:rsid w:val="004C3B4F"/>
    <w:rsid w:val="004C4154"/>
    <w:rsid w:val="004C4AED"/>
    <w:rsid w:val="004C4B2E"/>
    <w:rsid w:val="004C4E4B"/>
    <w:rsid w:val="004C5A9C"/>
    <w:rsid w:val="004C5EA4"/>
    <w:rsid w:val="004C6AF9"/>
    <w:rsid w:val="004C6B97"/>
    <w:rsid w:val="004C7F8D"/>
    <w:rsid w:val="004D04A8"/>
    <w:rsid w:val="004D0C9A"/>
    <w:rsid w:val="004D1F6C"/>
    <w:rsid w:val="004D2C2D"/>
    <w:rsid w:val="004D4823"/>
    <w:rsid w:val="004D668E"/>
    <w:rsid w:val="004D6AC1"/>
    <w:rsid w:val="004D7227"/>
    <w:rsid w:val="004E010C"/>
    <w:rsid w:val="004E0E7F"/>
    <w:rsid w:val="004E0EB8"/>
    <w:rsid w:val="004E13D2"/>
    <w:rsid w:val="004E2ADC"/>
    <w:rsid w:val="004E307A"/>
    <w:rsid w:val="004E3F17"/>
    <w:rsid w:val="004E43B2"/>
    <w:rsid w:val="004E47A1"/>
    <w:rsid w:val="004E7431"/>
    <w:rsid w:val="004E7CF6"/>
    <w:rsid w:val="004F049D"/>
    <w:rsid w:val="004F04C3"/>
    <w:rsid w:val="004F12E4"/>
    <w:rsid w:val="004F1905"/>
    <w:rsid w:val="004F1A25"/>
    <w:rsid w:val="004F1D02"/>
    <w:rsid w:val="004F2679"/>
    <w:rsid w:val="004F2E36"/>
    <w:rsid w:val="004F2EB0"/>
    <w:rsid w:val="004F2F21"/>
    <w:rsid w:val="004F4557"/>
    <w:rsid w:val="004F46F1"/>
    <w:rsid w:val="004F5762"/>
    <w:rsid w:val="004F6913"/>
    <w:rsid w:val="004F6D2A"/>
    <w:rsid w:val="004F7865"/>
    <w:rsid w:val="0050133E"/>
    <w:rsid w:val="005015F9"/>
    <w:rsid w:val="0050219B"/>
    <w:rsid w:val="005035F8"/>
    <w:rsid w:val="00503AFE"/>
    <w:rsid w:val="00503E1C"/>
    <w:rsid w:val="00503F17"/>
    <w:rsid w:val="00506928"/>
    <w:rsid w:val="00506BD5"/>
    <w:rsid w:val="00507889"/>
    <w:rsid w:val="00510C06"/>
    <w:rsid w:val="00510F70"/>
    <w:rsid w:val="005112E6"/>
    <w:rsid w:val="00511F87"/>
    <w:rsid w:val="005128BA"/>
    <w:rsid w:val="00512F67"/>
    <w:rsid w:val="00513FAE"/>
    <w:rsid w:val="00514360"/>
    <w:rsid w:val="005152B5"/>
    <w:rsid w:val="00517859"/>
    <w:rsid w:val="005205AB"/>
    <w:rsid w:val="00521319"/>
    <w:rsid w:val="00521499"/>
    <w:rsid w:val="00522156"/>
    <w:rsid w:val="005226D9"/>
    <w:rsid w:val="00522BC8"/>
    <w:rsid w:val="00522E1C"/>
    <w:rsid w:val="00523182"/>
    <w:rsid w:val="00523824"/>
    <w:rsid w:val="00523BD0"/>
    <w:rsid w:val="00523C28"/>
    <w:rsid w:val="00525F42"/>
    <w:rsid w:val="00526D4E"/>
    <w:rsid w:val="00526F52"/>
    <w:rsid w:val="0052791E"/>
    <w:rsid w:val="00530413"/>
    <w:rsid w:val="005316A8"/>
    <w:rsid w:val="00532B39"/>
    <w:rsid w:val="00533DE7"/>
    <w:rsid w:val="005341FE"/>
    <w:rsid w:val="00535C88"/>
    <w:rsid w:val="00535D28"/>
    <w:rsid w:val="00536F42"/>
    <w:rsid w:val="00537182"/>
    <w:rsid w:val="00537299"/>
    <w:rsid w:val="005378F1"/>
    <w:rsid w:val="00537D5F"/>
    <w:rsid w:val="00540EB2"/>
    <w:rsid w:val="00542743"/>
    <w:rsid w:val="00542C2D"/>
    <w:rsid w:val="00545B3B"/>
    <w:rsid w:val="00546409"/>
    <w:rsid w:val="005470ED"/>
    <w:rsid w:val="00547F7A"/>
    <w:rsid w:val="00550509"/>
    <w:rsid w:val="00551477"/>
    <w:rsid w:val="00551985"/>
    <w:rsid w:val="005520F8"/>
    <w:rsid w:val="00552333"/>
    <w:rsid w:val="00552BD3"/>
    <w:rsid w:val="00553549"/>
    <w:rsid w:val="00553EEF"/>
    <w:rsid w:val="00554092"/>
    <w:rsid w:val="00554C0B"/>
    <w:rsid w:val="00555109"/>
    <w:rsid w:val="00555F0F"/>
    <w:rsid w:val="00557A4D"/>
    <w:rsid w:val="00561749"/>
    <w:rsid w:val="00561C55"/>
    <w:rsid w:val="00562811"/>
    <w:rsid w:val="00562FE7"/>
    <w:rsid w:val="00563285"/>
    <w:rsid w:val="00563382"/>
    <w:rsid w:val="00563822"/>
    <w:rsid w:val="00563B26"/>
    <w:rsid w:val="00564DC2"/>
    <w:rsid w:val="00565046"/>
    <w:rsid w:val="0056587C"/>
    <w:rsid w:val="00565CCA"/>
    <w:rsid w:val="0056696F"/>
    <w:rsid w:val="00566C65"/>
    <w:rsid w:val="0057042C"/>
    <w:rsid w:val="0057101C"/>
    <w:rsid w:val="00571C05"/>
    <w:rsid w:val="00571EB4"/>
    <w:rsid w:val="00572269"/>
    <w:rsid w:val="0057244A"/>
    <w:rsid w:val="00573BB1"/>
    <w:rsid w:val="00575050"/>
    <w:rsid w:val="00575984"/>
    <w:rsid w:val="00575D8D"/>
    <w:rsid w:val="0057605C"/>
    <w:rsid w:val="005768F8"/>
    <w:rsid w:val="00576972"/>
    <w:rsid w:val="00576D27"/>
    <w:rsid w:val="00577291"/>
    <w:rsid w:val="005776B6"/>
    <w:rsid w:val="0057773A"/>
    <w:rsid w:val="00577904"/>
    <w:rsid w:val="00577F7E"/>
    <w:rsid w:val="00582057"/>
    <w:rsid w:val="00583699"/>
    <w:rsid w:val="00583C22"/>
    <w:rsid w:val="00583D26"/>
    <w:rsid w:val="005842CC"/>
    <w:rsid w:val="00585CDD"/>
    <w:rsid w:val="00586BF6"/>
    <w:rsid w:val="00586DAC"/>
    <w:rsid w:val="00586FE7"/>
    <w:rsid w:val="00587058"/>
    <w:rsid w:val="00587A9F"/>
    <w:rsid w:val="00587FD0"/>
    <w:rsid w:val="00591957"/>
    <w:rsid w:val="00595042"/>
    <w:rsid w:val="005954B8"/>
    <w:rsid w:val="00597BF9"/>
    <w:rsid w:val="00597F3E"/>
    <w:rsid w:val="005A0958"/>
    <w:rsid w:val="005A0A3A"/>
    <w:rsid w:val="005A14CC"/>
    <w:rsid w:val="005A24FD"/>
    <w:rsid w:val="005A3542"/>
    <w:rsid w:val="005A373D"/>
    <w:rsid w:val="005A3C10"/>
    <w:rsid w:val="005A50D0"/>
    <w:rsid w:val="005A5236"/>
    <w:rsid w:val="005A5649"/>
    <w:rsid w:val="005A59F3"/>
    <w:rsid w:val="005A6005"/>
    <w:rsid w:val="005A651B"/>
    <w:rsid w:val="005B00E6"/>
    <w:rsid w:val="005B0D98"/>
    <w:rsid w:val="005B2288"/>
    <w:rsid w:val="005B2383"/>
    <w:rsid w:val="005B27FC"/>
    <w:rsid w:val="005B2E1D"/>
    <w:rsid w:val="005B47D5"/>
    <w:rsid w:val="005B5857"/>
    <w:rsid w:val="005B5C37"/>
    <w:rsid w:val="005B6806"/>
    <w:rsid w:val="005C0646"/>
    <w:rsid w:val="005C0FA9"/>
    <w:rsid w:val="005C1051"/>
    <w:rsid w:val="005C1B83"/>
    <w:rsid w:val="005C1C8F"/>
    <w:rsid w:val="005C2BD6"/>
    <w:rsid w:val="005C2D55"/>
    <w:rsid w:val="005C2F52"/>
    <w:rsid w:val="005C346B"/>
    <w:rsid w:val="005C34D1"/>
    <w:rsid w:val="005C4B68"/>
    <w:rsid w:val="005C5807"/>
    <w:rsid w:val="005C6169"/>
    <w:rsid w:val="005C6709"/>
    <w:rsid w:val="005C6A25"/>
    <w:rsid w:val="005C7809"/>
    <w:rsid w:val="005D044D"/>
    <w:rsid w:val="005D0ABD"/>
    <w:rsid w:val="005D18AD"/>
    <w:rsid w:val="005D217E"/>
    <w:rsid w:val="005D22AD"/>
    <w:rsid w:val="005D26B4"/>
    <w:rsid w:val="005D3CB3"/>
    <w:rsid w:val="005D58B4"/>
    <w:rsid w:val="005E1656"/>
    <w:rsid w:val="005E1EA1"/>
    <w:rsid w:val="005E2D1C"/>
    <w:rsid w:val="005E3197"/>
    <w:rsid w:val="005E4076"/>
    <w:rsid w:val="005E43B8"/>
    <w:rsid w:val="005E4A2D"/>
    <w:rsid w:val="005E6145"/>
    <w:rsid w:val="005E6CBC"/>
    <w:rsid w:val="005E6E3B"/>
    <w:rsid w:val="005E734A"/>
    <w:rsid w:val="005E73C0"/>
    <w:rsid w:val="005F15D4"/>
    <w:rsid w:val="005F1953"/>
    <w:rsid w:val="005F2706"/>
    <w:rsid w:val="005F290F"/>
    <w:rsid w:val="005F2A8A"/>
    <w:rsid w:val="005F2F29"/>
    <w:rsid w:val="005F3F45"/>
    <w:rsid w:val="005F5B69"/>
    <w:rsid w:val="005F5CEA"/>
    <w:rsid w:val="005F6A8F"/>
    <w:rsid w:val="005F7470"/>
    <w:rsid w:val="005F7D5F"/>
    <w:rsid w:val="0060069B"/>
    <w:rsid w:val="00600EE5"/>
    <w:rsid w:val="00601973"/>
    <w:rsid w:val="00601A1D"/>
    <w:rsid w:val="00602309"/>
    <w:rsid w:val="006024C6"/>
    <w:rsid w:val="00603038"/>
    <w:rsid w:val="006030F1"/>
    <w:rsid w:val="006039A0"/>
    <w:rsid w:val="00603DB9"/>
    <w:rsid w:val="00604CFC"/>
    <w:rsid w:val="00605C6F"/>
    <w:rsid w:val="00606C4A"/>
    <w:rsid w:val="00606FF4"/>
    <w:rsid w:val="00607669"/>
    <w:rsid w:val="00607AFD"/>
    <w:rsid w:val="00607B49"/>
    <w:rsid w:val="00610F93"/>
    <w:rsid w:val="00611134"/>
    <w:rsid w:val="006113EF"/>
    <w:rsid w:val="0061219B"/>
    <w:rsid w:val="00612516"/>
    <w:rsid w:val="00612F97"/>
    <w:rsid w:val="0061345D"/>
    <w:rsid w:val="00614784"/>
    <w:rsid w:val="006152CC"/>
    <w:rsid w:val="00615656"/>
    <w:rsid w:val="00616802"/>
    <w:rsid w:val="0061697B"/>
    <w:rsid w:val="00617441"/>
    <w:rsid w:val="0061746F"/>
    <w:rsid w:val="006178EA"/>
    <w:rsid w:val="00617E12"/>
    <w:rsid w:val="00617F11"/>
    <w:rsid w:val="00621477"/>
    <w:rsid w:val="006218E2"/>
    <w:rsid w:val="006231AF"/>
    <w:rsid w:val="006247F0"/>
    <w:rsid w:val="00624B43"/>
    <w:rsid w:val="006266BC"/>
    <w:rsid w:val="006268B1"/>
    <w:rsid w:val="0062702E"/>
    <w:rsid w:val="006271D1"/>
    <w:rsid w:val="0063106E"/>
    <w:rsid w:val="006311FE"/>
    <w:rsid w:val="0063158F"/>
    <w:rsid w:val="00631C84"/>
    <w:rsid w:val="00631D6B"/>
    <w:rsid w:val="00632BC2"/>
    <w:rsid w:val="00633098"/>
    <w:rsid w:val="006330A1"/>
    <w:rsid w:val="0063479F"/>
    <w:rsid w:val="00635012"/>
    <w:rsid w:val="006353F0"/>
    <w:rsid w:val="006364A1"/>
    <w:rsid w:val="00636AF0"/>
    <w:rsid w:val="00636D6A"/>
    <w:rsid w:val="00637AB2"/>
    <w:rsid w:val="00637BFD"/>
    <w:rsid w:val="00637FE5"/>
    <w:rsid w:val="0064050C"/>
    <w:rsid w:val="006406E6"/>
    <w:rsid w:val="00640E05"/>
    <w:rsid w:val="00641C4E"/>
    <w:rsid w:val="006432D9"/>
    <w:rsid w:val="00643DCC"/>
    <w:rsid w:val="00645340"/>
    <w:rsid w:val="00645718"/>
    <w:rsid w:val="006460BE"/>
    <w:rsid w:val="006469F6"/>
    <w:rsid w:val="006471CC"/>
    <w:rsid w:val="0065079F"/>
    <w:rsid w:val="00650D2A"/>
    <w:rsid w:val="006510BB"/>
    <w:rsid w:val="006527BE"/>
    <w:rsid w:val="006528BA"/>
    <w:rsid w:val="00652B75"/>
    <w:rsid w:val="00652E5E"/>
    <w:rsid w:val="00653145"/>
    <w:rsid w:val="0065379F"/>
    <w:rsid w:val="0065465F"/>
    <w:rsid w:val="00654EC2"/>
    <w:rsid w:val="00655F00"/>
    <w:rsid w:val="00656D6A"/>
    <w:rsid w:val="00656DE9"/>
    <w:rsid w:val="006577C6"/>
    <w:rsid w:val="006577E1"/>
    <w:rsid w:val="00657831"/>
    <w:rsid w:val="00661677"/>
    <w:rsid w:val="00661C28"/>
    <w:rsid w:val="00661C6B"/>
    <w:rsid w:val="00663014"/>
    <w:rsid w:val="00663CC3"/>
    <w:rsid w:val="00664571"/>
    <w:rsid w:val="00664FA2"/>
    <w:rsid w:val="00665CFF"/>
    <w:rsid w:val="0066669F"/>
    <w:rsid w:val="00673EA1"/>
    <w:rsid w:val="00674E42"/>
    <w:rsid w:val="00675C44"/>
    <w:rsid w:val="00675DFE"/>
    <w:rsid w:val="006762AD"/>
    <w:rsid w:val="00676916"/>
    <w:rsid w:val="00676F57"/>
    <w:rsid w:val="00677349"/>
    <w:rsid w:val="00680B1F"/>
    <w:rsid w:val="00680F06"/>
    <w:rsid w:val="006813BB"/>
    <w:rsid w:val="00681BF7"/>
    <w:rsid w:val="00682112"/>
    <w:rsid w:val="00682314"/>
    <w:rsid w:val="006824D5"/>
    <w:rsid w:val="00682952"/>
    <w:rsid w:val="00682DCB"/>
    <w:rsid w:val="00683243"/>
    <w:rsid w:val="006836A5"/>
    <w:rsid w:val="00684D38"/>
    <w:rsid w:val="00685BDF"/>
    <w:rsid w:val="00686957"/>
    <w:rsid w:val="006872BA"/>
    <w:rsid w:val="00687426"/>
    <w:rsid w:val="00690AE0"/>
    <w:rsid w:val="00691648"/>
    <w:rsid w:val="006917D7"/>
    <w:rsid w:val="00692C35"/>
    <w:rsid w:val="00694ACE"/>
    <w:rsid w:val="00694F44"/>
    <w:rsid w:val="00695626"/>
    <w:rsid w:val="00695ECA"/>
    <w:rsid w:val="006960B6"/>
    <w:rsid w:val="006960DE"/>
    <w:rsid w:val="006A0806"/>
    <w:rsid w:val="006A227C"/>
    <w:rsid w:val="006A36D7"/>
    <w:rsid w:val="006A50B8"/>
    <w:rsid w:val="006A59A6"/>
    <w:rsid w:val="006A684B"/>
    <w:rsid w:val="006A6BE2"/>
    <w:rsid w:val="006A7160"/>
    <w:rsid w:val="006A7E5F"/>
    <w:rsid w:val="006B18F9"/>
    <w:rsid w:val="006B1A80"/>
    <w:rsid w:val="006B261B"/>
    <w:rsid w:val="006B27ED"/>
    <w:rsid w:val="006B28B8"/>
    <w:rsid w:val="006B2927"/>
    <w:rsid w:val="006B2C90"/>
    <w:rsid w:val="006B3179"/>
    <w:rsid w:val="006B3957"/>
    <w:rsid w:val="006B45E7"/>
    <w:rsid w:val="006B469C"/>
    <w:rsid w:val="006B5821"/>
    <w:rsid w:val="006B5F64"/>
    <w:rsid w:val="006B628A"/>
    <w:rsid w:val="006B6DD0"/>
    <w:rsid w:val="006B7BA9"/>
    <w:rsid w:val="006B7CA8"/>
    <w:rsid w:val="006C2A8E"/>
    <w:rsid w:val="006C2A99"/>
    <w:rsid w:val="006C2B1D"/>
    <w:rsid w:val="006C305F"/>
    <w:rsid w:val="006C40BF"/>
    <w:rsid w:val="006C51EE"/>
    <w:rsid w:val="006C5304"/>
    <w:rsid w:val="006C5764"/>
    <w:rsid w:val="006C5C8C"/>
    <w:rsid w:val="006C67D4"/>
    <w:rsid w:val="006C6EF0"/>
    <w:rsid w:val="006D08FC"/>
    <w:rsid w:val="006D2494"/>
    <w:rsid w:val="006D3610"/>
    <w:rsid w:val="006D3C7D"/>
    <w:rsid w:val="006D4913"/>
    <w:rsid w:val="006D5D5F"/>
    <w:rsid w:val="006D6846"/>
    <w:rsid w:val="006D6923"/>
    <w:rsid w:val="006D6944"/>
    <w:rsid w:val="006D69E0"/>
    <w:rsid w:val="006D6B1E"/>
    <w:rsid w:val="006E217B"/>
    <w:rsid w:val="006E291F"/>
    <w:rsid w:val="006E29BD"/>
    <w:rsid w:val="006E34C6"/>
    <w:rsid w:val="006E494E"/>
    <w:rsid w:val="006E5737"/>
    <w:rsid w:val="006E57D7"/>
    <w:rsid w:val="006E6BDF"/>
    <w:rsid w:val="006E6D29"/>
    <w:rsid w:val="006E733B"/>
    <w:rsid w:val="006E749B"/>
    <w:rsid w:val="006E74C7"/>
    <w:rsid w:val="006F0410"/>
    <w:rsid w:val="006F07AA"/>
    <w:rsid w:val="006F16DA"/>
    <w:rsid w:val="006F1D9C"/>
    <w:rsid w:val="006F20B9"/>
    <w:rsid w:val="006F24CD"/>
    <w:rsid w:val="006F3042"/>
    <w:rsid w:val="006F306C"/>
    <w:rsid w:val="006F3AC1"/>
    <w:rsid w:val="006F3CCB"/>
    <w:rsid w:val="006F4010"/>
    <w:rsid w:val="006F49B4"/>
    <w:rsid w:val="006F53ED"/>
    <w:rsid w:val="006F58FD"/>
    <w:rsid w:val="006F5C15"/>
    <w:rsid w:val="006F63A5"/>
    <w:rsid w:val="006F7548"/>
    <w:rsid w:val="006F78F8"/>
    <w:rsid w:val="007004B3"/>
    <w:rsid w:val="007010CE"/>
    <w:rsid w:val="0070136A"/>
    <w:rsid w:val="0070142B"/>
    <w:rsid w:val="00701F6C"/>
    <w:rsid w:val="0070276E"/>
    <w:rsid w:val="00702F8F"/>
    <w:rsid w:val="00703325"/>
    <w:rsid w:val="00704A8D"/>
    <w:rsid w:val="0070542F"/>
    <w:rsid w:val="007073F0"/>
    <w:rsid w:val="0070768A"/>
    <w:rsid w:val="0071040A"/>
    <w:rsid w:val="00710D49"/>
    <w:rsid w:val="0071160F"/>
    <w:rsid w:val="00711A36"/>
    <w:rsid w:val="007122B7"/>
    <w:rsid w:val="00712EF7"/>
    <w:rsid w:val="00713EE0"/>
    <w:rsid w:val="00714DED"/>
    <w:rsid w:val="0071529C"/>
    <w:rsid w:val="0071561B"/>
    <w:rsid w:val="0071678C"/>
    <w:rsid w:val="007172AD"/>
    <w:rsid w:val="007172ED"/>
    <w:rsid w:val="00717FD8"/>
    <w:rsid w:val="0072096B"/>
    <w:rsid w:val="00722633"/>
    <w:rsid w:val="00722B1B"/>
    <w:rsid w:val="0072416F"/>
    <w:rsid w:val="00724399"/>
    <w:rsid w:val="00724E8E"/>
    <w:rsid w:val="00727C94"/>
    <w:rsid w:val="00731818"/>
    <w:rsid w:val="00731EAE"/>
    <w:rsid w:val="00732109"/>
    <w:rsid w:val="00732E87"/>
    <w:rsid w:val="00733F56"/>
    <w:rsid w:val="007347AB"/>
    <w:rsid w:val="00735033"/>
    <w:rsid w:val="00735328"/>
    <w:rsid w:val="0073685B"/>
    <w:rsid w:val="00736B28"/>
    <w:rsid w:val="00737CB7"/>
    <w:rsid w:val="007414CB"/>
    <w:rsid w:val="00741B8E"/>
    <w:rsid w:val="00742E7A"/>
    <w:rsid w:val="007430BC"/>
    <w:rsid w:val="00743153"/>
    <w:rsid w:val="00743EC6"/>
    <w:rsid w:val="00744326"/>
    <w:rsid w:val="00744767"/>
    <w:rsid w:val="00745082"/>
    <w:rsid w:val="007451EB"/>
    <w:rsid w:val="0074648E"/>
    <w:rsid w:val="0074672C"/>
    <w:rsid w:val="0074703E"/>
    <w:rsid w:val="0074755D"/>
    <w:rsid w:val="00747D87"/>
    <w:rsid w:val="00750734"/>
    <w:rsid w:val="00752142"/>
    <w:rsid w:val="007522F7"/>
    <w:rsid w:val="007523F9"/>
    <w:rsid w:val="0075265A"/>
    <w:rsid w:val="00752E4E"/>
    <w:rsid w:val="00754B49"/>
    <w:rsid w:val="00755417"/>
    <w:rsid w:val="00755AC8"/>
    <w:rsid w:val="007571E7"/>
    <w:rsid w:val="007573E8"/>
    <w:rsid w:val="0075749D"/>
    <w:rsid w:val="00760C4E"/>
    <w:rsid w:val="00761064"/>
    <w:rsid w:val="00762022"/>
    <w:rsid w:val="007631E7"/>
    <w:rsid w:val="00764D68"/>
    <w:rsid w:val="00765B1A"/>
    <w:rsid w:val="0076681C"/>
    <w:rsid w:val="00767D22"/>
    <w:rsid w:val="00770A61"/>
    <w:rsid w:val="00771B4D"/>
    <w:rsid w:val="0077231B"/>
    <w:rsid w:val="007723A3"/>
    <w:rsid w:val="00772DDB"/>
    <w:rsid w:val="007735D7"/>
    <w:rsid w:val="00774A28"/>
    <w:rsid w:val="00775661"/>
    <w:rsid w:val="00776014"/>
    <w:rsid w:val="00777C4F"/>
    <w:rsid w:val="00782F8B"/>
    <w:rsid w:val="00783826"/>
    <w:rsid w:val="00783E16"/>
    <w:rsid w:val="0078438A"/>
    <w:rsid w:val="007843F2"/>
    <w:rsid w:val="007866D0"/>
    <w:rsid w:val="00787FDA"/>
    <w:rsid w:val="0079088A"/>
    <w:rsid w:val="007946BC"/>
    <w:rsid w:val="00795AF2"/>
    <w:rsid w:val="00795B28"/>
    <w:rsid w:val="007961D0"/>
    <w:rsid w:val="0079731E"/>
    <w:rsid w:val="007A0A12"/>
    <w:rsid w:val="007A0ACB"/>
    <w:rsid w:val="007A132D"/>
    <w:rsid w:val="007A190B"/>
    <w:rsid w:val="007A1BA4"/>
    <w:rsid w:val="007A2349"/>
    <w:rsid w:val="007A54DA"/>
    <w:rsid w:val="007A7598"/>
    <w:rsid w:val="007A774C"/>
    <w:rsid w:val="007A7E23"/>
    <w:rsid w:val="007B0D68"/>
    <w:rsid w:val="007B2131"/>
    <w:rsid w:val="007B251D"/>
    <w:rsid w:val="007B278C"/>
    <w:rsid w:val="007B349C"/>
    <w:rsid w:val="007B4F58"/>
    <w:rsid w:val="007B528D"/>
    <w:rsid w:val="007B5505"/>
    <w:rsid w:val="007B573C"/>
    <w:rsid w:val="007B6C8F"/>
    <w:rsid w:val="007B70EC"/>
    <w:rsid w:val="007B71A8"/>
    <w:rsid w:val="007B77D1"/>
    <w:rsid w:val="007B79FB"/>
    <w:rsid w:val="007C0718"/>
    <w:rsid w:val="007C07CB"/>
    <w:rsid w:val="007C08B3"/>
    <w:rsid w:val="007C1375"/>
    <w:rsid w:val="007C1703"/>
    <w:rsid w:val="007C1CD9"/>
    <w:rsid w:val="007C25DF"/>
    <w:rsid w:val="007C361D"/>
    <w:rsid w:val="007C4B84"/>
    <w:rsid w:val="007C5F88"/>
    <w:rsid w:val="007C65BB"/>
    <w:rsid w:val="007C664A"/>
    <w:rsid w:val="007D004F"/>
    <w:rsid w:val="007D00A2"/>
    <w:rsid w:val="007D0B38"/>
    <w:rsid w:val="007D217A"/>
    <w:rsid w:val="007D2292"/>
    <w:rsid w:val="007D27B1"/>
    <w:rsid w:val="007D4545"/>
    <w:rsid w:val="007D5440"/>
    <w:rsid w:val="007D6725"/>
    <w:rsid w:val="007D7797"/>
    <w:rsid w:val="007E00C7"/>
    <w:rsid w:val="007E0168"/>
    <w:rsid w:val="007E0217"/>
    <w:rsid w:val="007E022C"/>
    <w:rsid w:val="007E1000"/>
    <w:rsid w:val="007E15E8"/>
    <w:rsid w:val="007E19EA"/>
    <w:rsid w:val="007E341B"/>
    <w:rsid w:val="007E3970"/>
    <w:rsid w:val="007E413B"/>
    <w:rsid w:val="007E4A13"/>
    <w:rsid w:val="007E70CA"/>
    <w:rsid w:val="007F0607"/>
    <w:rsid w:val="007F09CB"/>
    <w:rsid w:val="007F1017"/>
    <w:rsid w:val="007F2015"/>
    <w:rsid w:val="007F21CA"/>
    <w:rsid w:val="007F3A4F"/>
    <w:rsid w:val="007F46F5"/>
    <w:rsid w:val="007F4A3F"/>
    <w:rsid w:val="007F4A61"/>
    <w:rsid w:val="007F4B63"/>
    <w:rsid w:val="007F54CD"/>
    <w:rsid w:val="007F61C2"/>
    <w:rsid w:val="007F66AF"/>
    <w:rsid w:val="007F6DD6"/>
    <w:rsid w:val="007F6EFA"/>
    <w:rsid w:val="007F7A8F"/>
    <w:rsid w:val="008001E2"/>
    <w:rsid w:val="0080172A"/>
    <w:rsid w:val="00804183"/>
    <w:rsid w:val="00804A7B"/>
    <w:rsid w:val="00805142"/>
    <w:rsid w:val="00805F3F"/>
    <w:rsid w:val="00807A8B"/>
    <w:rsid w:val="00810409"/>
    <w:rsid w:val="00810697"/>
    <w:rsid w:val="008107B7"/>
    <w:rsid w:val="00811046"/>
    <w:rsid w:val="008111DB"/>
    <w:rsid w:val="00811383"/>
    <w:rsid w:val="008115D3"/>
    <w:rsid w:val="00811D7B"/>
    <w:rsid w:val="00812149"/>
    <w:rsid w:val="00812CAC"/>
    <w:rsid w:val="008144D7"/>
    <w:rsid w:val="008166EF"/>
    <w:rsid w:val="00817E3D"/>
    <w:rsid w:val="00820B9D"/>
    <w:rsid w:val="00820E34"/>
    <w:rsid w:val="00821BA5"/>
    <w:rsid w:val="00822028"/>
    <w:rsid w:val="0082212C"/>
    <w:rsid w:val="00822F4A"/>
    <w:rsid w:val="0082371F"/>
    <w:rsid w:val="008249D3"/>
    <w:rsid w:val="00824E41"/>
    <w:rsid w:val="00825519"/>
    <w:rsid w:val="00825751"/>
    <w:rsid w:val="008259EA"/>
    <w:rsid w:val="008264EB"/>
    <w:rsid w:val="00827810"/>
    <w:rsid w:val="0083165D"/>
    <w:rsid w:val="00831E2F"/>
    <w:rsid w:val="008329D7"/>
    <w:rsid w:val="00833B05"/>
    <w:rsid w:val="00833C58"/>
    <w:rsid w:val="00833CA4"/>
    <w:rsid w:val="0083466E"/>
    <w:rsid w:val="008347C0"/>
    <w:rsid w:val="00834D69"/>
    <w:rsid w:val="00835899"/>
    <w:rsid w:val="008360BB"/>
    <w:rsid w:val="008362B4"/>
    <w:rsid w:val="008403E2"/>
    <w:rsid w:val="00840CA2"/>
    <w:rsid w:val="0084374F"/>
    <w:rsid w:val="00843979"/>
    <w:rsid w:val="00843AFB"/>
    <w:rsid w:val="00843EB2"/>
    <w:rsid w:val="008455C6"/>
    <w:rsid w:val="00847DF5"/>
    <w:rsid w:val="00847F8F"/>
    <w:rsid w:val="008514E4"/>
    <w:rsid w:val="008515FB"/>
    <w:rsid w:val="00851F63"/>
    <w:rsid w:val="0085223A"/>
    <w:rsid w:val="0085286E"/>
    <w:rsid w:val="0085305B"/>
    <w:rsid w:val="0085309D"/>
    <w:rsid w:val="008539BF"/>
    <w:rsid w:val="00853F87"/>
    <w:rsid w:val="00853FAD"/>
    <w:rsid w:val="008547EA"/>
    <w:rsid w:val="00854CFD"/>
    <w:rsid w:val="00854EF0"/>
    <w:rsid w:val="0085565C"/>
    <w:rsid w:val="00855A31"/>
    <w:rsid w:val="00856406"/>
    <w:rsid w:val="008567E4"/>
    <w:rsid w:val="00856897"/>
    <w:rsid w:val="00856A58"/>
    <w:rsid w:val="00856E9A"/>
    <w:rsid w:val="0086075D"/>
    <w:rsid w:val="0086128F"/>
    <w:rsid w:val="008612E3"/>
    <w:rsid w:val="00861B8B"/>
    <w:rsid w:val="00862502"/>
    <w:rsid w:val="00862627"/>
    <w:rsid w:val="00862A0E"/>
    <w:rsid w:val="00862B22"/>
    <w:rsid w:val="0086343A"/>
    <w:rsid w:val="008651ED"/>
    <w:rsid w:val="008660D4"/>
    <w:rsid w:val="00870F22"/>
    <w:rsid w:val="00871527"/>
    <w:rsid w:val="008719B9"/>
    <w:rsid w:val="00871FA9"/>
    <w:rsid w:val="008728E9"/>
    <w:rsid w:val="00873049"/>
    <w:rsid w:val="008731D9"/>
    <w:rsid w:val="008751B4"/>
    <w:rsid w:val="0087535C"/>
    <w:rsid w:val="00877599"/>
    <w:rsid w:val="008827D0"/>
    <w:rsid w:val="00882874"/>
    <w:rsid w:val="00883787"/>
    <w:rsid w:val="00883CFD"/>
    <w:rsid w:val="00883D33"/>
    <w:rsid w:val="00886CD2"/>
    <w:rsid w:val="00887633"/>
    <w:rsid w:val="008876F8"/>
    <w:rsid w:val="00890425"/>
    <w:rsid w:val="00891101"/>
    <w:rsid w:val="008916B2"/>
    <w:rsid w:val="008917E0"/>
    <w:rsid w:val="00892A36"/>
    <w:rsid w:val="00892D47"/>
    <w:rsid w:val="00893239"/>
    <w:rsid w:val="0089372A"/>
    <w:rsid w:val="00893D38"/>
    <w:rsid w:val="00894144"/>
    <w:rsid w:val="00894489"/>
    <w:rsid w:val="008946A5"/>
    <w:rsid w:val="008963A5"/>
    <w:rsid w:val="00896663"/>
    <w:rsid w:val="008975A5"/>
    <w:rsid w:val="00897E69"/>
    <w:rsid w:val="00897FC6"/>
    <w:rsid w:val="008A036B"/>
    <w:rsid w:val="008A082E"/>
    <w:rsid w:val="008A154D"/>
    <w:rsid w:val="008A3363"/>
    <w:rsid w:val="008A3371"/>
    <w:rsid w:val="008A3C3E"/>
    <w:rsid w:val="008A4E08"/>
    <w:rsid w:val="008A6241"/>
    <w:rsid w:val="008A6BC4"/>
    <w:rsid w:val="008A79DE"/>
    <w:rsid w:val="008B11F8"/>
    <w:rsid w:val="008B1574"/>
    <w:rsid w:val="008B1757"/>
    <w:rsid w:val="008B1811"/>
    <w:rsid w:val="008B2653"/>
    <w:rsid w:val="008B5FBC"/>
    <w:rsid w:val="008B6F19"/>
    <w:rsid w:val="008B717D"/>
    <w:rsid w:val="008B7D7E"/>
    <w:rsid w:val="008C12FF"/>
    <w:rsid w:val="008C1ED0"/>
    <w:rsid w:val="008C3EE6"/>
    <w:rsid w:val="008C49A5"/>
    <w:rsid w:val="008C6CE7"/>
    <w:rsid w:val="008C7831"/>
    <w:rsid w:val="008C7ECB"/>
    <w:rsid w:val="008C7EEC"/>
    <w:rsid w:val="008C7F23"/>
    <w:rsid w:val="008D0158"/>
    <w:rsid w:val="008D02EC"/>
    <w:rsid w:val="008D15B1"/>
    <w:rsid w:val="008D3184"/>
    <w:rsid w:val="008D3A75"/>
    <w:rsid w:val="008D4049"/>
    <w:rsid w:val="008D4755"/>
    <w:rsid w:val="008D4C3D"/>
    <w:rsid w:val="008D4F7D"/>
    <w:rsid w:val="008D5A00"/>
    <w:rsid w:val="008D6664"/>
    <w:rsid w:val="008D6EA2"/>
    <w:rsid w:val="008D7254"/>
    <w:rsid w:val="008D7879"/>
    <w:rsid w:val="008E01DD"/>
    <w:rsid w:val="008E0D3C"/>
    <w:rsid w:val="008E0F63"/>
    <w:rsid w:val="008E1B9E"/>
    <w:rsid w:val="008E55AB"/>
    <w:rsid w:val="008F00C5"/>
    <w:rsid w:val="008F0930"/>
    <w:rsid w:val="008F1115"/>
    <w:rsid w:val="008F120A"/>
    <w:rsid w:val="008F27E0"/>
    <w:rsid w:val="008F48EB"/>
    <w:rsid w:val="008F4F0B"/>
    <w:rsid w:val="008F5F08"/>
    <w:rsid w:val="008F6524"/>
    <w:rsid w:val="009018AA"/>
    <w:rsid w:val="00902EA8"/>
    <w:rsid w:val="009039B9"/>
    <w:rsid w:val="009046C4"/>
    <w:rsid w:val="00905610"/>
    <w:rsid w:val="00905A56"/>
    <w:rsid w:val="009062A5"/>
    <w:rsid w:val="00907717"/>
    <w:rsid w:val="00907F7E"/>
    <w:rsid w:val="00910882"/>
    <w:rsid w:val="00911272"/>
    <w:rsid w:val="00911559"/>
    <w:rsid w:val="00911C18"/>
    <w:rsid w:val="00912085"/>
    <w:rsid w:val="00912559"/>
    <w:rsid w:val="009135D6"/>
    <w:rsid w:val="00914A82"/>
    <w:rsid w:val="00914C77"/>
    <w:rsid w:val="00915051"/>
    <w:rsid w:val="009150B0"/>
    <w:rsid w:val="0091517B"/>
    <w:rsid w:val="0092004C"/>
    <w:rsid w:val="009204EC"/>
    <w:rsid w:val="009216DE"/>
    <w:rsid w:val="0092201B"/>
    <w:rsid w:val="0092369B"/>
    <w:rsid w:val="00923E02"/>
    <w:rsid w:val="00926DD6"/>
    <w:rsid w:val="00927BDD"/>
    <w:rsid w:val="00930EAF"/>
    <w:rsid w:val="00930ED9"/>
    <w:rsid w:val="009310A2"/>
    <w:rsid w:val="00933579"/>
    <w:rsid w:val="00933589"/>
    <w:rsid w:val="009335D5"/>
    <w:rsid w:val="00933CC0"/>
    <w:rsid w:val="00935DCC"/>
    <w:rsid w:val="00935E8D"/>
    <w:rsid w:val="00936049"/>
    <w:rsid w:val="009369F4"/>
    <w:rsid w:val="009424E4"/>
    <w:rsid w:val="00943B55"/>
    <w:rsid w:val="00943FFF"/>
    <w:rsid w:val="00944083"/>
    <w:rsid w:val="00944F99"/>
    <w:rsid w:val="00946CCC"/>
    <w:rsid w:val="00947D45"/>
    <w:rsid w:val="00950047"/>
    <w:rsid w:val="00950AA3"/>
    <w:rsid w:val="009510A2"/>
    <w:rsid w:val="00951443"/>
    <w:rsid w:val="00951C7D"/>
    <w:rsid w:val="00953257"/>
    <w:rsid w:val="009532E0"/>
    <w:rsid w:val="00954008"/>
    <w:rsid w:val="0095405A"/>
    <w:rsid w:val="00954C40"/>
    <w:rsid w:val="00956013"/>
    <w:rsid w:val="0095696D"/>
    <w:rsid w:val="00961E8C"/>
    <w:rsid w:val="00962138"/>
    <w:rsid w:val="00962CB9"/>
    <w:rsid w:val="0096344A"/>
    <w:rsid w:val="00964312"/>
    <w:rsid w:val="009655F5"/>
    <w:rsid w:val="00965B8A"/>
    <w:rsid w:val="00966497"/>
    <w:rsid w:val="00967BBA"/>
    <w:rsid w:val="009717AC"/>
    <w:rsid w:val="009719FA"/>
    <w:rsid w:val="00972A87"/>
    <w:rsid w:val="00973A11"/>
    <w:rsid w:val="00973AD9"/>
    <w:rsid w:val="00973AEF"/>
    <w:rsid w:val="00973BC7"/>
    <w:rsid w:val="009745B7"/>
    <w:rsid w:val="0097501B"/>
    <w:rsid w:val="00975487"/>
    <w:rsid w:val="00975EF0"/>
    <w:rsid w:val="0097694B"/>
    <w:rsid w:val="009775CE"/>
    <w:rsid w:val="00977857"/>
    <w:rsid w:val="0098070B"/>
    <w:rsid w:val="009808FA"/>
    <w:rsid w:val="00980C9A"/>
    <w:rsid w:val="00983E57"/>
    <w:rsid w:val="0098675D"/>
    <w:rsid w:val="00986C90"/>
    <w:rsid w:val="00991667"/>
    <w:rsid w:val="00991736"/>
    <w:rsid w:val="009921B3"/>
    <w:rsid w:val="009943E7"/>
    <w:rsid w:val="0099498C"/>
    <w:rsid w:val="00994E6E"/>
    <w:rsid w:val="0099600C"/>
    <w:rsid w:val="00996B1A"/>
    <w:rsid w:val="00996E02"/>
    <w:rsid w:val="00996FC0"/>
    <w:rsid w:val="00997251"/>
    <w:rsid w:val="009978C1"/>
    <w:rsid w:val="009A0326"/>
    <w:rsid w:val="009A09DF"/>
    <w:rsid w:val="009A0F85"/>
    <w:rsid w:val="009A1ABC"/>
    <w:rsid w:val="009A26E1"/>
    <w:rsid w:val="009A46C7"/>
    <w:rsid w:val="009A533B"/>
    <w:rsid w:val="009A576B"/>
    <w:rsid w:val="009A5876"/>
    <w:rsid w:val="009A7EA8"/>
    <w:rsid w:val="009A7F10"/>
    <w:rsid w:val="009B3E26"/>
    <w:rsid w:val="009B6DA4"/>
    <w:rsid w:val="009B7FE1"/>
    <w:rsid w:val="009C0281"/>
    <w:rsid w:val="009C0C69"/>
    <w:rsid w:val="009C0DF8"/>
    <w:rsid w:val="009C1774"/>
    <w:rsid w:val="009C1931"/>
    <w:rsid w:val="009C1B68"/>
    <w:rsid w:val="009C1D75"/>
    <w:rsid w:val="009C2E06"/>
    <w:rsid w:val="009C340A"/>
    <w:rsid w:val="009C3F17"/>
    <w:rsid w:val="009C41E8"/>
    <w:rsid w:val="009C4903"/>
    <w:rsid w:val="009C5BEA"/>
    <w:rsid w:val="009C62DE"/>
    <w:rsid w:val="009C6735"/>
    <w:rsid w:val="009C6CEA"/>
    <w:rsid w:val="009C78F2"/>
    <w:rsid w:val="009C7B85"/>
    <w:rsid w:val="009D03AD"/>
    <w:rsid w:val="009D11C1"/>
    <w:rsid w:val="009D1345"/>
    <w:rsid w:val="009D1B21"/>
    <w:rsid w:val="009D3307"/>
    <w:rsid w:val="009D3E21"/>
    <w:rsid w:val="009D4888"/>
    <w:rsid w:val="009D4F2D"/>
    <w:rsid w:val="009D542C"/>
    <w:rsid w:val="009D5B91"/>
    <w:rsid w:val="009D61E6"/>
    <w:rsid w:val="009D6F21"/>
    <w:rsid w:val="009D792E"/>
    <w:rsid w:val="009E0DFE"/>
    <w:rsid w:val="009E158F"/>
    <w:rsid w:val="009E25D2"/>
    <w:rsid w:val="009E2F3D"/>
    <w:rsid w:val="009E31D3"/>
    <w:rsid w:val="009E3546"/>
    <w:rsid w:val="009E387D"/>
    <w:rsid w:val="009E4359"/>
    <w:rsid w:val="009E44B9"/>
    <w:rsid w:val="009E4BE7"/>
    <w:rsid w:val="009E4C07"/>
    <w:rsid w:val="009E5BBE"/>
    <w:rsid w:val="009E646B"/>
    <w:rsid w:val="009E6B1A"/>
    <w:rsid w:val="009E6BE0"/>
    <w:rsid w:val="009E7139"/>
    <w:rsid w:val="009F005C"/>
    <w:rsid w:val="009F0307"/>
    <w:rsid w:val="009F269B"/>
    <w:rsid w:val="009F2978"/>
    <w:rsid w:val="009F2C6C"/>
    <w:rsid w:val="009F3B36"/>
    <w:rsid w:val="009F4A26"/>
    <w:rsid w:val="00A0041A"/>
    <w:rsid w:val="00A01184"/>
    <w:rsid w:val="00A01A51"/>
    <w:rsid w:val="00A02D35"/>
    <w:rsid w:val="00A03D43"/>
    <w:rsid w:val="00A04380"/>
    <w:rsid w:val="00A04CFA"/>
    <w:rsid w:val="00A053E3"/>
    <w:rsid w:val="00A06227"/>
    <w:rsid w:val="00A06B3B"/>
    <w:rsid w:val="00A10B08"/>
    <w:rsid w:val="00A10CB8"/>
    <w:rsid w:val="00A11118"/>
    <w:rsid w:val="00A11CD0"/>
    <w:rsid w:val="00A12079"/>
    <w:rsid w:val="00A13948"/>
    <w:rsid w:val="00A14A09"/>
    <w:rsid w:val="00A14A0B"/>
    <w:rsid w:val="00A15172"/>
    <w:rsid w:val="00A1555B"/>
    <w:rsid w:val="00A155C5"/>
    <w:rsid w:val="00A156E6"/>
    <w:rsid w:val="00A16AD8"/>
    <w:rsid w:val="00A20D34"/>
    <w:rsid w:val="00A2193E"/>
    <w:rsid w:val="00A21CF3"/>
    <w:rsid w:val="00A23186"/>
    <w:rsid w:val="00A23464"/>
    <w:rsid w:val="00A2416E"/>
    <w:rsid w:val="00A257D7"/>
    <w:rsid w:val="00A2714D"/>
    <w:rsid w:val="00A27AEC"/>
    <w:rsid w:val="00A27B10"/>
    <w:rsid w:val="00A27B35"/>
    <w:rsid w:val="00A31AF7"/>
    <w:rsid w:val="00A320DB"/>
    <w:rsid w:val="00A329FD"/>
    <w:rsid w:val="00A32E30"/>
    <w:rsid w:val="00A332EA"/>
    <w:rsid w:val="00A33304"/>
    <w:rsid w:val="00A33616"/>
    <w:rsid w:val="00A33D59"/>
    <w:rsid w:val="00A34560"/>
    <w:rsid w:val="00A35D16"/>
    <w:rsid w:val="00A3606B"/>
    <w:rsid w:val="00A36126"/>
    <w:rsid w:val="00A366E6"/>
    <w:rsid w:val="00A36CCC"/>
    <w:rsid w:val="00A3757A"/>
    <w:rsid w:val="00A379F1"/>
    <w:rsid w:val="00A37BCD"/>
    <w:rsid w:val="00A40A9E"/>
    <w:rsid w:val="00A41861"/>
    <w:rsid w:val="00A425BA"/>
    <w:rsid w:val="00A43327"/>
    <w:rsid w:val="00A43433"/>
    <w:rsid w:val="00A43C59"/>
    <w:rsid w:val="00A45164"/>
    <w:rsid w:val="00A45C1B"/>
    <w:rsid w:val="00A45D97"/>
    <w:rsid w:val="00A45DEA"/>
    <w:rsid w:val="00A47233"/>
    <w:rsid w:val="00A502DF"/>
    <w:rsid w:val="00A50ECD"/>
    <w:rsid w:val="00A51687"/>
    <w:rsid w:val="00A518F3"/>
    <w:rsid w:val="00A518F7"/>
    <w:rsid w:val="00A5216C"/>
    <w:rsid w:val="00A524E8"/>
    <w:rsid w:val="00A52729"/>
    <w:rsid w:val="00A53675"/>
    <w:rsid w:val="00A537E0"/>
    <w:rsid w:val="00A552E3"/>
    <w:rsid w:val="00A564D7"/>
    <w:rsid w:val="00A56B6A"/>
    <w:rsid w:val="00A578DC"/>
    <w:rsid w:val="00A60098"/>
    <w:rsid w:val="00A60583"/>
    <w:rsid w:val="00A6116A"/>
    <w:rsid w:val="00A630C7"/>
    <w:rsid w:val="00A63E14"/>
    <w:rsid w:val="00A64001"/>
    <w:rsid w:val="00A64B6C"/>
    <w:rsid w:val="00A652FA"/>
    <w:rsid w:val="00A6725B"/>
    <w:rsid w:val="00A70605"/>
    <w:rsid w:val="00A71898"/>
    <w:rsid w:val="00A71915"/>
    <w:rsid w:val="00A71D06"/>
    <w:rsid w:val="00A72647"/>
    <w:rsid w:val="00A72FAA"/>
    <w:rsid w:val="00A73134"/>
    <w:rsid w:val="00A74EBF"/>
    <w:rsid w:val="00A763A0"/>
    <w:rsid w:val="00A76F17"/>
    <w:rsid w:val="00A77680"/>
    <w:rsid w:val="00A777B2"/>
    <w:rsid w:val="00A77D8D"/>
    <w:rsid w:val="00A77F45"/>
    <w:rsid w:val="00A80A56"/>
    <w:rsid w:val="00A81A59"/>
    <w:rsid w:val="00A82D69"/>
    <w:rsid w:val="00A83498"/>
    <w:rsid w:val="00A83952"/>
    <w:rsid w:val="00A84C8B"/>
    <w:rsid w:val="00A860B1"/>
    <w:rsid w:val="00A86E8B"/>
    <w:rsid w:val="00A87164"/>
    <w:rsid w:val="00A87658"/>
    <w:rsid w:val="00A879FA"/>
    <w:rsid w:val="00A90D39"/>
    <w:rsid w:val="00A91F26"/>
    <w:rsid w:val="00A93072"/>
    <w:rsid w:val="00A932BE"/>
    <w:rsid w:val="00A9358A"/>
    <w:rsid w:val="00A93953"/>
    <w:rsid w:val="00A93C98"/>
    <w:rsid w:val="00A95904"/>
    <w:rsid w:val="00A959D8"/>
    <w:rsid w:val="00A971DC"/>
    <w:rsid w:val="00A9736C"/>
    <w:rsid w:val="00AA10AC"/>
    <w:rsid w:val="00AA113D"/>
    <w:rsid w:val="00AA165E"/>
    <w:rsid w:val="00AA175E"/>
    <w:rsid w:val="00AA1C40"/>
    <w:rsid w:val="00AA23F1"/>
    <w:rsid w:val="00AA3AEE"/>
    <w:rsid w:val="00AA4964"/>
    <w:rsid w:val="00AA53AF"/>
    <w:rsid w:val="00AA560C"/>
    <w:rsid w:val="00AA58DC"/>
    <w:rsid w:val="00AA598C"/>
    <w:rsid w:val="00AA6893"/>
    <w:rsid w:val="00AA6C7D"/>
    <w:rsid w:val="00AA7471"/>
    <w:rsid w:val="00AA7FD6"/>
    <w:rsid w:val="00AB042A"/>
    <w:rsid w:val="00AB095C"/>
    <w:rsid w:val="00AB0F42"/>
    <w:rsid w:val="00AB203E"/>
    <w:rsid w:val="00AB21C5"/>
    <w:rsid w:val="00AB2D34"/>
    <w:rsid w:val="00AB3430"/>
    <w:rsid w:val="00AB39BE"/>
    <w:rsid w:val="00AB49E3"/>
    <w:rsid w:val="00AB4AD1"/>
    <w:rsid w:val="00AB5532"/>
    <w:rsid w:val="00AB5E9E"/>
    <w:rsid w:val="00AB6371"/>
    <w:rsid w:val="00AB7CFA"/>
    <w:rsid w:val="00AC1249"/>
    <w:rsid w:val="00AC1552"/>
    <w:rsid w:val="00AC3906"/>
    <w:rsid w:val="00AC396C"/>
    <w:rsid w:val="00AC5103"/>
    <w:rsid w:val="00AC5688"/>
    <w:rsid w:val="00AC5B48"/>
    <w:rsid w:val="00AC650B"/>
    <w:rsid w:val="00AC658E"/>
    <w:rsid w:val="00AC667B"/>
    <w:rsid w:val="00AC6713"/>
    <w:rsid w:val="00AC6C45"/>
    <w:rsid w:val="00AC72D1"/>
    <w:rsid w:val="00AD0CBD"/>
    <w:rsid w:val="00AD3B92"/>
    <w:rsid w:val="00AD3E0E"/>
    <w:rsid w:val="00AD5AB2"/>
    <w:rsid w:val="00AD6502"/>
    <w:rsid w:val="00AD6543"/>
    <w:rsid w:val="00AD7A11"/>
    <w:rsid w:val="00AE032A"/>
    <w:rsid w:val="00AE05C9"/>
    <w:rsid w:val="00AE08F9"/>
    <w:rsid w:val="00AE0AFB"/>
    <w:rsid w:val="00AE105A"/>
    <w:rsid w:val="00AE16ED"/>
    <w:rsid w:val="00AE1CC3"/>
    <w:rsid w:val="00AE3A65"/>
    <w:rsid w:val="00AE45F8"/>
    <w:rsid w:val="00AE7F04"/>
    <w:rsid w:val="00AF0240"/>
    <w:rsid w:val="00AF0627"/>
    <w:rsid w:val="00AF1315"/>
    <w:rsid w:val="00AF19BF"/>
    <w:rsid w:val="00AF1C41"/>
    <w:rsid w:val="00AF1DEA"/>
    <w:rsid w:val="00AF2AAD"/>
    <w:rsid w:val="00AF2DC3"/>
    <w:rsid w:val="00AF4DF6"/>
    <w:rsid w:val="00AF6046"/>
    <w:rsid w:val="00AF6AEC"/>
    <w:rsid w:val="00AF743F"/>
    <w:rsid w:val="00B019D9"/>
    <w:rsid w:val="00B01FD3"/>
    <w:rsid w:val="00B02645"/>
    <w:rsid w:val="00B02D07"/>
    <w:rsid w:val="00B033E5"/>
    <w:rsid w:val="00B03495"/>
    <w:rsid w:val="00B03A63"/>
    <w:rsid w:val="00B06916"/>
    <w:rsid w:val="00B109E6"/>
    <w:rsid w:val="00B10D0F"/>
    <w:rsid w:val="00B126DD"/>
    <w:rsid w:val="00B129A1"/>
    <w:rsid w:val="00B13284"/>
    <w:rsid w:val="00B1404D"/>
    <w:rsid w:val="00B145C8"/>
    <w:rsid w:val="00B14DF1"/>
    <w:rsid w:val="00B15D13"/>
    <w:rsid w:val="00B168F3"/>
    <w:rsid w:val="00B201A4"/>
    <w:rsid w:val="00B213A6"/>
    <w:rsid w:val="00B21E55"/>
    <w:rsid w:val="00B23C52"/>
    <w:rsid w:val="00B23D65"/>
    <w:rsid w:val="00B23E35"/>
    <w:rsid w:val="00B24D76"/>
    <w:rsid w:val="00B24DF6"/>
    <w:rsid w:val="00B26100"/>
    <w:rsid w:val="00B27B9D"/>
    <w:rsid w:val="00B32EF6"/>
    <w:rsid w:val="00B33661"/>
    <w:rsid w:val="00B3476D"/>
    <w:rsid w:val="00B34984"/>
    <w:rsid w:val="00B34FE2"/>
    <w:rsid w:val="00B357D8"/>
    <w:rsid w:val="00B363A0"/>
    <w:rsid w:val="00B3728D"/>
    <w:rsid w:val="00B378F7"/>
    <w:rsid w:val="00B37BFC"/>
    <w:rsid w:val="00B40358"/>
    <w:rsid w:val="00B40AFE"/>
    <w:rsid w:val="00B41614"/>
    <w:rsid w:val="00B42851"/>
    <w:rsid w:val="00B42F80"/>
    <w:rsid w:val="00B435CB"/>
    <w:rsid w:val="00B4403E"/>
    <w:rsid w:val="00B44F5B"/>
    <w:rsid w:val="00B458FC"/>
    <w:rsid w:val="00B474D4"/>
    <w:rsid w:val="00B475AC"/>
    <w:rsid w:val="00B4781F"/>
    <w:rsid w:val="00B50DB8"/>
    <w:rsid w:val="00B51CDB"/>
    <w:rsid w:val="00B52EA1"/>
    <w:rsid w:val="00B53654"/>
    <w:rsid w:val="00B53905"/>
    <w:rsid w:val="00B54B5B"/>
    <w:rsid w:val="00B55255"/>
    <w:rsid w:val="00B5562E"/>
    <w:rsid w:val="00B569A8"/>
    <w:rsid w:val="00B57000"/>
    <w:rsid w:val="00B60939"/>
    <w:rsid w:val="00B60AFD"/>
    <w:rsid w:val="00B60E1A"/>
    <w:rsid w:val="00B61258"/>
    <w:rsid w:val="00B61B58"/>
    <w:rsid w:val="00B62050"/>
    <w:rsid w:val="00B62715"/>
    <w:rsid w:val="00B669B4"/>
    <w:rsid w:val="00B67AEA"/>
    <w:rsid w:val="00B71083"/>
    <w:rsid w:val="00B71F16"/>
    <w:rsid w:val="00B72FF8"/>
    <w:rsid w:val="00B739AF"/>
    <w:rsid w:val="00B75BB7"/>
    <w:rsid w:val="00B76AEE"/>
    <w:rsid w:val="00B77756"/>
    <w:rsid w:val="00B77941"/>
    <w:rsid w:val="00B77E7D"/>
    <w:rsid w:val="00B80B01"/>
    <w:rsid w:val="00B810B8"/>
    <w:rsid w:val="00B815E2"/>
    <w:rsid w:val="00B8167A"/>
    <w:rsid w:val="00B818A4"/>
    <w:rsid w:val="00B81A04"/>
    <w:rsid w:val="00B8208F"/>
    <w:rsid w:val="00B829EE"/>
    <w:rsid w:val="00B84117"/>
    <w:rsid w:val="00B845B6"/>
    <w:rsid w:val="00B849E8"/>
    <w:rsid w:val="00B84A0F"/>
    <w:rsid w:val="00B85AA2"/>
    <w:rsid w:val="00B85DDD"/>
    <w:rsid w:val="00B8649C"/>
    <w:rsid w:val="00B87D8E"/>
    <w:rsid w:val="00B87EF9"/>
    <w:rsid w:val="00B87F0A"/>
    <w:rsid w:val="00B902AE"/>
    <w:rsid w:val="00B919EA"/>
    <w:rsid w:val="00B91D1A"/>
    <w:rsid w:val="00B92D0B"/>
    <w:rsid w:val="00B92D58"/>
    <w:rsid w:val="00B92E18"/>
    <w:rsid w:val="00B935C7"/>
    <w:rsid w:val="00B94150"/>
    <w:rsid w:val="00B944B6"/>
    <w:rsid w:val="00B947E8"/>
    <w:rsid w:val="00B94934"/>
    <w:rsid w:val="00B94945"/>
    <w:rsid w:val="00BA0BA8"/>
    <w:rsid w:val="00BA2FEE"/>
    <w:rsid w:val="00BA3051"/>
    <w:rsid w:val="00BA322D"/>
    <w:rsid w:val="00BA4B71"/>
    <w:rsid w:val="00BA6122"/>
    <w:rsid w:val="00BA6437"/>
    <w:rsid w:val="00BA6A0A"/>
    <w:rsid w:val="00BA7CA4"/>
    <w:rsid w:val="00BB005E"/>
    <w:rsid w:val="00BB045E"/>
    <w:rsid w:val="00BB0BDD"/>
    <w:rsid w:val="00BB244E"/>
    <w:rsid w:val="00BB262B"/>
    <w:rsid w:val="00BB2A73"/>
    <w:rsid w:val="00BB3048"/>
    <w:rsid w:val="00BB34C1"/>
    <w:rsid w:val="00BB4796"/>
    <w:rsid w:val="00BB4ACC"/>
    <w:rsid w:val="00BB5104"/>
    <w:rsid w:val="00BB5C37"/>
    <w:rsid w:val="00BB6967"/>
    <w:rsid w:val="00BB703E"/>
    <w:rsid w:val="00BB7405"/>
    <w:rsid w:val="00BB79F1"/>
    <w:rsid w:val="00BC135D"/>
    <w:rsid w:val="00BC14D9"/>
    <w:rsid w:val="00BC2D5F"/>
    <w:rsid w:val="00BC30B5"/>
    <w:rsid w:val="00BC3631"/>
    <w:rsid w:val="00BC3703"/>
    <w:rsid w:val="00BC42BF"/>
    <w:rsid w:val="00BC478C"/>
    <w:rsid w:val="00BC4B33"/>
    <w:rsid w:val="00BC5B8F"/>
    <w:rsid w:val="00BC68E3"/>
    <w:rsid w:val="00BC6B41"/>
    <w:rsid w:val="00BC72FF"/>
    <w:rsid w:val="00BD1CC9"/>
    <w:rsid w:val="00BD214C"/>
    <w:rsid w:val="00BD2983"/>
    <w:rsid w:val="00BD2E09"/>
    <w:rsid w:val="00BD37E2"/>
    <w:rsid w:val="00BD3B90"/>
    <w:rsid w:val="00BD3D72"/>
    <w:rsid w:val="00BD43C5"/>
    <w:rsid w:val="00BD46EB"/>
    <w:rsid w:val="00BD473F"/>
    <w:rsid w:val="00BD49CD"/>
    <w:rsid w:val="00BD4D81"/>
    <w:rsid w:val="00BD65C0"/>
    <w:rsid w:val="00BD68A3"/>
    <w:rsid w:val="00BD6938"/>
    <w:rsid w:val="00BD6CF3"/>
    <w:rsid w:val="00BD7F69"/>
    <w:rsid w:val="00BE00F0"/>
    <w:rsid w:val="00BE0FAA"/>
    <w:rsid w:val="00BE1C09"/>
    <w:rsid w:val="00BE217B"/>
    <w:rsid w:val="00BE2180"/>
    <w:rsid w:val="00BE21F2"/>
    <w:rsid w:val="00BE2CDB"/>
    <w:rsid w:val="00BE2E71"/>
    <w:rsid w:val="00BE3E85"/>
    <w:rsid w:val="00BE4275"/>
    <w:rsid w:val="00BE4512"/>
    <w:rsid w:val="00BE4CBD"/>
    <w:rsid w:val="00BE734D"/>
    <w:rsid w:val="00BE7B1B"/>
    <w:rsid w:val="00BF0F95"/>
    <w:rsid w:val="00BF1352"/>
    <w:rsid w:val="00BF1A6C"/>
    <w:rsid w:val="00BF2433"/>
    <w:rsid w:val="00BF2B5C"/>
    <w:rsid w:val="00BF2E61"/>
    <w:rsid w:val="00BF2FC8"/>
    <w:rsid w:val="00BF30C6"/>
    <w:rsid w:val="00BF4109"/>
    <w:rsid w:val="00BF43BF"/>
    <w:rsid w:val="00BF61C9"/>
    <w:rsid w:val="00BF6C94"/>
    <w:rsid w:val="00BF7258"/>
    <w:rsid w:val="00C00424"/>
    <w:rsid w:val="00C00747"/>
    <w:rsid w:val="00C0085B"/>
    <w:rsid w:val="00C02C0B"/>
    <w:rsid w:val="00C034AD"/>
    <w:rsid w:val="00C034CF"/>
    <w:rsid w:val="00C03C4C"/>
    <w:rsid w:val="00C03CCA"/>
    <w:rsid w:val="00C04475"/>
    <w:rsid w:val="00C04809"/>
    <w:rsid w:val="00C05464"/>
    <w:rsid w:val="00C062A4"/>
    <w:rsid w:val="00C0702A"/>
    <w:rsid w:val="00C12C14"/>
    <w:rsid w:val="00C132B8"/>
    <w:rsid w:val="00C15893"/>
    <w:rsid w:val="00C15F88"/>
    <w:rsid w:val="00C176BC"/>
    <w:rsid w:val="00C200AA"/>
    <w:rsid w:val="00C214E2"/>
    <w:rsid w:val="00C21D6E"/>
    <w:rsid w:val="00C22344"/>
    <w:rsid w:val="00C237ED"/>
    <w:rsid w:val="00C242A4"/>
    <w:rsid w:val="00C24461"/>
    <w:rsid w:val="00C24520"/>
    <w:rsid w:val="00C24632"/>
    <w:rsid w:val="00C24B2B"/>
    <w:rsid w:val="00C25418"/>
    <w:rsid w:val="00C25D9C"/>
    <w:rsid w:val="00C27220"/>
    <w:rsid w:val="00C2778B"/>
    <w:rsid w:val="00C2783A"/>
    <w:rsid w:val="00C27B76"/>
    <w:rsid w:val="00C30B30"/>
    <w:rsid w:val="00C31649"/>
    <w:rsid w:val="00C31E77"/>
    <w:rsid w:val="00C33E27"/>
    <w:rsid w:val="00C34CB5"/>
    <w:rsid w:val="00C34E6B"/>
    <w:rsid w:val="00C352DC"/>
    <w:rsid w:val="00C357D4"/>
    <w:rsid w:val="00C35CA8"/>
    <w:rsid w:val="00C37AB7"/>
    <w:rsid w:val="00C40385"/>
    <w:rsid w:val="00C43281"/>
    <w:rsid w:val="00C44C64"/>
    <w:rsid w:val="00C475AA"/>
    <w:rsid w:val="00C47D5A"/>
    <w:rsid w:val="00C5078A"/>
    <w:rsid w:val="00C51823"/>
    <w:rsid w:val="00C52A3F"/>
    <w:rsid w:val="00C54A8D"/>
    <w:rsid w:val="00C55124"/>
    <w:rsid w:val="00C55F99"/>
    <w:rsid w:val="00C5618B"/>
    <w:rsid w:val="00C5669E"/>
    <w:rsid w:val="00C56E77"/>
    <w:rsid w:val="00C60606"/>
    <w:rsid w:val="00C60868"/>
    <w:rsid w:val="00C63837"/>
    <w:rsid w:val="00C63EFE"/>
    <w:rsid w:val="00C63F06"/>
    <w:rsid w:val="00C646D8"/>
    <w:rsid w:val="00C64794"/>
    <w:rsid w:val="00C64D26"/>
    <w:rsid w:val="00C6550F"/>
    <w:rsid w:val="00C65576"/>
    <w:rsid w:val="00C66165"/>
    <w:rsid w:val="00C66AFC"/>
    <w:rsid w:val="00C67613"/>
    <w:rsid w:val="00C704DE"/>
    <w:rsid w:val="00C7151A"/>
    <w:rsid w:val="00C71F60"/>
    <w:rsid w:val="00C72241"/>
    <w:rsid w:val="00C7297E"/>
    <w:rsid w:val="00C73DFD"/>
    <w:rsid w:val="00C750C8"/>
    <w:rsid w:val="00C755E9"/>
    <w:rsid w:val="00C7560F"/>
    <w:rsid w:val="00C758EF"/>
    <w:rsid w:val="00C76A7F"/>
    <w:rsid w:val="00C76A80"/>
    <w:rsid w:val="00C80298"/>
    <w:rsid w:val="00C80A0E"/>
    <w:rsid w:val="00C81598"/>
    <w:rsid w:val="00C8213F"/>
    <w:rsid w:val="00C825DD"/>
    <w:rsid w:val="00C83436"/>
    <w:rsid w:val="00C83827"/>
    <w:rsid w:val="00C8458F"/>
    <w:rsid w:val="00C84EE6"/>
    <w:rsid w:val="00C85ACE"/>
    <w:rsid w:val="00C878F8"/>
    <w:rsid w:val="00C8797A"/>
    <w:rsid w:val="00C900B8"/>
    <w:rsid w:val="00C90C71"/>
    <w:rsid w:val="00C91BD4"/>
    <w:rsid w:val="00C92D77"/>
    <w:rsid w:val="00C931CF"/>
    <w:rsid w:val="00C93754"/>
    <w:rsid w:val="00C938CF"/>
    <w:rsid w:val="00C94749"/>
    <w:rsid w:val="00C9514A"/>
    <w:rsid w:val="00C9624D"/>
    <w:rsid w:val="00C969DA"/>
    <w:rsid w:val="00C96AC6"/>
    <w:rsid w:val="00C972A4"/>
    <w:rsid w:val="00C975FC"/>
    <w:rsid w:val="00CA129F"/>
    <w:rsid w:val="00CA1EAF"/>
    <w:rsid w:val="00CA28B0"/>
    <w:rsid w:val="00CA2C77"/>
    <w:rsid w:val="00CA2EAE"/>
    <w:rsid w:val="00CA3896"/>
    <w:rsid w:val="00CA3E49"/>
    <w:rsid w:val="00CA444F"/>
    <w:rsid w:val="00CA4517"/>
    <w:rsid w:val="00CA4AA2"/>
    <w:rsid w:val="00CA5245"/>
    <w:rsid w:val="00CA6514"/>
    <w:rsid w:val="00CA71F4"/>
    <w:rsid w:val="00CA7557"/>
    <w:rsid w:val="00CA7A9B"/>
    <w:rsid w:val="00CA7B09"/>
    <w:rsid w:val="00CA7BCF"/>
    <w:rsid w:val="00CB0098"/>
    <w:rsid w:val="00CB1435"/>
    <w:rsid w:val="00CB1657"/>
    <w:rsid w:val="00CB20FA"/>
    <w:rsid w:val="00CB2F2A"/>
    <w:rsid w:val="00CB3A10"/>
    <w:rsid w:val="00CB3EBB"/>
    <w:rsid w:val="00CB502A"/>
    <w:rsid w:val="00CB5286"/>
    <w:rsid w:val="00CB5380"/>
    <w:rsid w:val="00CB5B1A"/>
    <w:rsid w:val="00CB60F5"/>
    <w:rsid w:val="00CB6B22"/>
    <w:rsid w:val="00CB6B32"/>
    <w:rsid w:val="00CB7D78"/>
    <w:rsid w:val="00CB7DA8"/>
    <w:rsid w:val="00CB7DB4"/>
    <w:rsid w:val="00CB7F5F"/>
    <w:rsid w:val="00CC0745"/>
    <w:rsid w:val="00CC0B12"/>
    <w:rsid w:val="00CC0F4F"/>
    <w:rsid w:val="00CC1B39"/>
    <w:rsid w:val="00CC2209"/>
    <w:rsid w:val="00CC44E0"/>
    <w:rsid w:val="00CC47FF"/>
    <w:rsid w:val="00CC5E4E"/>
    <w:rsid w:val="00CD0EF6"/>
    <w:rsid w:val="00CD17D2"/>
    <w:rsid w:val="00CD3A36"/>
    <w:rsid w:val="00CD3DEF"/>
    <w:rsid w:val="00CD4569"/>
    <w:rsid w:val="00CD4828"/>
    <w:rsid w:val="00CD519B"/>
    <w:rsid w:val="00CD5A88"/>
    <w:rsid w:val="00CD6ADC"/>
    <w:rsid w:val="00CD70BE"/>
    <w:rsid w:val="00CE0D1D"/>
    <w:rsid w:val="00CE0F26"/>
    <w:rsid w:val="00CE130B"/>
    <w:rsid w:val="00CE2771"/>
    <w:rsid w:val="00CE3838"/>
    <w:rsid w:val="00CE3C2D"/>
    <w:rsid w:val="00CE4455"/>
    <w:rsid w:val="00CE501F"/>
    <w:rsid w:val="00CE579C"/>
    <w:rsid w:val="00CE6274"/>
    <w:rsid w:val="00CE7C67"/>
    <w:rsid w:val="00CF0BE7"/>
    <w:rsid w:val="00CF0C32"/>
    <w:rsid w:val="00CF0DB5"/>
    <w:rsid w:val="00CF2B8D"/>
    <w:rsid w:val="00CF2CE2"/>
    <w:rsid w:val="00CF456B"/>
    <w:rsid w:val="00CF4691"/>
    <w:rsid w:val="00CF568A"/>
    <w:rsid w:val="00CF5A22"/>
    <w:rsid w:val="00CF66AE"/>
    <w:rsid w:val="00CF67D3"/>
    <w:rsid w:val="00CF77EB"/>
    <w:rsid w:val="00D0262E"/>
    <w:rsid w:val="00D02CE5"/>
    <w:rsid w:val="00D0353E"/>
    <w:rsid w:val="00D0417F"/>
    <w:rsid w:val="00D043AB"/>
    <w:rsid w:val="00D05A7E"/>
    <w:rsid w:val="00D05C34"/>
    <w:rsid w:val="00D0660A"/>
    <w:rsid w:val="00D06FCC"/>
    <w:rsid w:val="00D0719A"/>
    <w:rsid w:val="00D10444"/>
    <w:rsid w:val="00D10709"/>
    <w:rsid w:val="00D10AF4"/>
    <w:rsid w:val="00D110BD"/>
    <w:rsid w:val="00D111E3"/>
    <w:rsid w:val="00D11DE3"/>
    <w:rsid w:val="00D11F3A"/>
    <w:rsid w:val="00D12909"/>
    <w:rsid w:val="00D12A2D"/>
    <w:rsid w:val="00D1314C"/>
    <w:rsid w:val="00D1323B"/>
    <w:rsid w:val="00D13675"/>
    <w:rsid w:val="00D141E1"/>
    <w:rsid w:val="00D1482E"/>
    <w:rsid w:val="00D15535"/>
    <w:rsid w:val="00D15E50"/>
    <w:rsid w:val="00D15FAC"/>
    <w:rsid w:val="00D164EA"/>
    <w:rsid w:val="00D1730D"/>
    <w:rsid w:val="00D17D6C"/>
    <w:rsid w:val="00D21946"/>
    <w:rsid w:val="00D2293B"/>
    <w:rsid w:val="00D22C2C"/>
    <w:rsid w:val="00D23248"/>
    <w:rsid w:val="00D2391D"/>
    <w:rsid w:val="00D23BBE"/>
    <w:rsid w:val="00D23ECC"/>
    <w:rsid w:val="00D252C2"/>
    <w:rsid w:val="00D25BE6"/>
    <w:rsid w:val="00D25E73"/>
    <w:rsid w:val="00D26737"/>
    <w:rsid w:val="00D26C25"/>
    <w:rsid w:val="00D2754D"/>
    <w:rsid w:val="00D27B27"/>
    <w:rsid w:val="00D27C2C"/>
    <w:rsid w:val="00D3051B"/>
    <w:rsid w:val="00D30CA1"/>
    <w:rsid w:val="00D321A7"/>
    <w:rsid w:val="00D32A8A"/>
    <w:rsid w:val="00D3383D"/>
    <w:rsid w:val="00D33BE9"/>
    <w:rsid w:val="00D349B2"/>
    <w:rsid w:val="00D357FF"/>
    <w:rsid w:val="00D359BE"/>
    <w:rsid w:val="00D35C78"/>
    <w:rsid w:val="00D36811"/>
    <w:rsid w:val="00D36D32"/>
    <w:rsid w:val="00D37F7F"/>
    <w:rsid w:val="00D406EB"/>
    <w:rsid w:val="00D407A5"/>
    <w:rsid w:val="00D40E9F"/>
    <w:rsid w:val="00D410D1"/>
    <w:rsid w:val="00D41427"/>
    <w:rsid w:val="00D424C7"/>
    <w:rsid w:val="00D42B6E"/>
    <w:rsid w:val="00D43B2A"/>
    <w:rsid w:val="00D46920"/>
    <w:rsid w:val="00D47575"/>
    <w:rsid w:val="00D47B43"/>
    <w:rsid w:val="00D50200"/>
    <w:rsid w:val="00D506FC"/>
    <w:rsid w:val="00D5125E"/>
    <w:rsid w:val="00D5170C"/>
    <w:rsid w:val="00D52516"/>
    <w:rsid w:val="00D5313E"/>
    <w:rsid w:val="00D53BDD"/>
    <w:rsid w:val="00D54267"/>
    <w:rsid w:val="00D54289"/>
    <w:rsid w:val="00D54357"/>
    <w:rsid w:val="00D54B5B"/>
    <w:rsid w:val="00D54E0D"/>
    <w:rsid w:val="00D5528A"/>
    <w:rsid w:val="00D5581F"/>
    <w:rsid w:val="00D55864"/>
    <w:rsid w:val="00D56486"/>
    <w:rsid w:val="00D57BE8"/>
    <w:rsid w:val="00D6020F"/>
    <w:rsid w:val="00D61232"/>
    <w:rsid w:val="00D612FD"/>
    <w:rsid w:val="00D6208D"/>
    <w:rsid w:val="00D621E9"/>
    <w:rsid w:val="00D62B73"/>
    <w:rsid w:val="00D639DC"/>
    <w:rsid w:val="00D649EC"/>
    <w:rsid w:val="00D64A53"/>
    <w:rsid w:val="00D64C4C"/>
    <w:rsid w:val="00D65AA3"/>
    <w:rsid w:val="00D65F9F"/>
    <w:rsid w:val="00D662F1"/>
    <w:rsid w:val="00D67D12"/>
    <w:rsid w:val="00D70F16"/>
    <w:rsid w:val="00D710F0"/>
    <w:rsid w:val="00D717AC"/>
    <w:rsid w:val="00D72BEC"/>
    <w:rsid w:val="00D73326"/>
    <w:rsid w:val="00D73AB5"/>
    <w:rsid w:val="00D74332"/>
    <w:rsid w:val="00D744FA"/>
    <w:rsid w:val="00D74682"/>
    <w:rsid w:val="00D74BE6"/>
    <w:rsid w:val="00D75476"/>
    <w:rsid w:val="00D75BA3"/>
    <w:rsid w:val="00D75DF2"/>
    <w:rsid w:val="00D7624F"/>
    <w:rsid w:val="00D7667E"/>
    <w:rsid w:val="00D76A44"/>
    <w:rsid w:val="00D77D06"/>
    <w:rsid w:val="00D77EA3"/>
    <w:rsid w:val="00D8016C"/>
    <w:rsid w:val="00D815EF"/>
    <w:rsid w:val="00D81600"/>
    <w:rsid w:val="00D81AC2"/>
    <w:rsid w:val="00D831E4"/>
    <w:rsid w:val="00D844D5"/>
    <w:rsid w:val="00D8465E"/>
    <w:rsid w:val="00D84A79"/>
    <w:rsid w:val="00D8564E"/>
    <w:rsid w:val="00D86BA6"/>
    <w:rsid w:val="00D8724F"/>
    <w:rsid w:val="00D87B24"/>
    <w:rsid w:val="00D9062C"/>
    <w:rsid w:val="00D91923"/>
    <w:rsid w:val="00D9225B"/>
    <w:rsid w:val="00D93753"/>
    <w:rsid w:val="00D93F45"/>
    <w:rsid w:val="00D948E6"/>
    <w:rsid w:val="00D94CCE"/>
    <w:rsid w:val="00D97F74"/>
    <w:rsid w:val="00DA0DDB"/>
    <w:rsid w:val="00DA1CEF"/>
    <w:rsid w:val="00DA3167"/>
    <w:rsid w:val="00DA4634"/>
    <w:rsid w:val="00DA4BB8"/>
    <w:rsid w:val="00DA4DC3"/>
    <w:rsid w:val="00DA66FB"/>
    <w:rsid w:val="00DA77A5"/>
    <w:rsid w:val="00DA7B97"/>
    <w:rsid w:val="00DB06A9"/>
    <w:rsid w:val="00DB108B"/>
    <w:rsid w:val="00DB1397"/>
    <w:rsid w:val="00DB1EBB"/>
    <w:rsid w:val="00DB1FD8"/>
    <w:rsid w:val="00DB484F"/>
    <w:rsid w:val="00DB4AD2"/>
    <w:rsid w:val="00DB5874"/>
    <w:rsid w:val="00DB5A3E"/>
    <w:rsid w:val="00DB5CEE"/>
    <w:rsid w:val="00DB6D79"/>
    <w:rsid w:val="00DB79B1"/>
    <w:rsid w:val="00DC04F6"/>
    <w:rsid w:val="00DC061B"/>
    <w:rsid w:val="00DC0B94"/>
    <w:rsid w:val="00DC1213"/>
    <w:rsid w:val="00DC2BA5"/>
    <w:rsid w:val="00DC3321"/>
    <w:rsid w:val="00DC3C57"/>
    <w:rsid w:val="00DC41F1"/>
    <w:rsid w:val="00DC4567"/>
    <w:rsid w:val="00DC5501"/>
    <w:rsid w:val="00DC7D59"/>
    <w:rsid w:val="00DD1218"/>
    <w:rsid w:val="00DD273C"/>
    <w:rsid w:val="00DD2973"/>
    <w:rsid w:val="00DD3F28"/>
    <w:rsid w:val="00DD4537"/>
    <w:rsid w:val="00DD4E15"/>
    <w:rsid w:val="00DD6237"/>
    <w:rsid w:val="00DD74B3"/>
    <w:rsid w:val="00DD7506"/>
    <w:rsid w:val="00DD78DC"/>
    <w:rsid w:val="00DE02A9"/>
    <w:rsid w:val="00DE1253"/>
    <w:rsid w:val="00DE1749"/>
    <w:rsid w:val="00DE2B16"/>
    <w:rsid w:val="00DE3138"/>
    <w:rsid w:val="00DE37F8"/>
    <w:rsid w:val="00DE40FF"/>
    <w:rsid w:val="00DE443D"/>
    <w:rsid w:val="00DE4CCA"/>
    <w:rsid w:val="00DE4CED"/>
    <w:rsid w:val="00DE4EB6"/>
    <w:rsid w:val="00DE4FCB"/>
    <w:rsid w:val="00DE5890"/>
    <w:rsid w:val="00DE6853"/>
    <w:rsid w:val="00DE7040"/>
    <w:rsid w:val="00DE7553"/>
    <w:rsid w:val="00DE7832"/>
    <w:rsid w:val="00DF03C3"/>
    <w:rsid w:val="00DF1400"/>
    <w:rsid w:val="00DF18FC"/>
    <w:rsid w:val="00DF331A"/>
    <w:rsid w:val="00DF5722"/>
    <w:rsid w:val="00DF5D2B"/>
    <w:rsid w:val="00DF648A"/>
    <w:rsid w:val="00DF6E67"/>
    <w:rsid w:val="00DF76C0"/>
    <w:rsid w:val="00E00535"/>
    <w:rsid w:val="00E00E8E"/>
    <w:rsid w:val="00E01FA2"/>
    <w:rsid w:val="00E029E0"/>
    <w:rsid w:val="00E03A63"/>
    <w:rsid w:val="00E05630"/>
    <w:rsid w:val="00E05DD6"/>
    <w:rsid w:val="00E06DBB"/>
    <w:rsid w:val="00E10149"/>
    <w:rsid w:val="00E102B2"/>
    <w:rsid w:val="00E11E3D"/>
    <w:rsid w:val="00E126F9"/>
    <w:rsid w:val="00E13EDD"/>
    <w:rsid w:val="00E14A93"/>
    <w:rsid w:val="00E14F97"/>
    <w:rsid w:val="00E15299"/>
    <w:rsid w:val="00E15916"/>
    <w:rsid w:val="00E15EF3"/>
    <w:rsid w:val="00E16154"/>
    <w:rsid w:val="00E16372"/>
    <w:rsid w:val="00E16870"/>
    <w:rsid w:val="00E16D74"/>
    <w:rsid w:val="00E2011F"/>
    <w:rsid w:val="00E20E4D"/>
    <w:rsid w:val="00E20ED6"/>
    <w:rsid w:val="00E21358"/>
    <w:rsid w:val="00E2249B"/>
    <w:rsid w:val="00E22A0D"/>
    <w:rsid w:val="00E231EC"/>
    <w:rsid w:val="00E23683"/>
    <w:rsid w:val="00E240E6"/>
    <w:rsid w:val="00E24CB4"/>
    <w:rsid w:val="00E24ECA"/>
    <w:rsid w:val="00E24F6E"/>
    <w:rsid w:val="00E26152"/>
    <w:rsid w:val="00E26B97"/>
    <w:rsid w:val="00E2771E"/>
    <w:rsid w:val="00E27B75"/>
    <w:rsid w:val="00E27F4C"/>
    <w:rsid w:val="00E3075F"/>
    <w:rsid w:val="00E30D39"/>
    <w:rsid w:val="00E3133C"/>
    <w:rsid w:val="00E31B55"/>
    <w:rsid w:val="00E3278D"/>
    <w:rsid w:val="00E34948"/>
    <w:rsid w:val="00E35019"/>
    <w:rsid w:val="00E350C6"/>
    <w:rsid w:val="00E361DD"/>
    <w:rsid w:val="00E36B06"/>
    <w:rsid w:val="00E371C6"/>
    <w:rsid w:val="00E37483"/>
    <w:rsid w:val="00E37569"/>
    <w:rsid w:val="00E40C80"/>
    <w:rsid w:val="00E4154E"/>
    <w:rsid w:val="00E41E30"/>
    <w:rsid w:val="00E428DF"/>
    <w:rsid w:val="00E42CFC"/>
    <w:rsid w:val="00E42D6D"/>
    <w:rsid w:val="00E438A8"/>
    <w:rsid w:val="00E43D70"/>
    <w:rsid w:val="00E4402D"/>
    <w:rsid w:val="00E452B0"/>
    <w:rsid w:val="00E466F3"/>
    <w:rsid w:val="00E47416"/>
    <w:rsid w:val="00E47B2C"/>
    <w:rsid w:val="00E47E37"/>
    <w:rsid w:val="00E50CDB"/>
    <w:rsid w:val="00E50F5F"/>
    <w:rsid w:val="00E51560"/>
    <w:rsid w:val="00E527F1"/>
    <w:rsid w:val="00E54347"/>
    <w:rsid w:val="00E5481B"/>
    <w:rsid w:val="00E55424"/>
    <w:rsid w:val="00E55BB5"/>
    <w:rsid w:val="00E604F9"/>
    <w:rsid w:val="00E606DA"/>
    <w:rsid w:val="00E62A87"/>
    <w:rsid w:val="00E64454"/>
    <w:rsid w:val="00E64909"/>
    <w:rsid w:val="00E65E79"/>
    <w:rsid w:val="00E66197"/>
    <w:rsid w:val="00E668E4"/>
    <w:rsid w:val="00E66BA2"/>
    <w:rsid w:val="00E67416"/>
    <w:rsid w:val="00E6751B"/>
    <w:rsid w:val="00E67A16"/>
    <w:rsid w:val="00E67F92"/>
    <w:rsid w:val="00E718B6"/>
    <w:rsid w:val="00E72277"/>
    <w:rsid w:val="00E723BA"/>
    <w:rsid w:val="00E72811"/>
    <w:rsid w:val="00E73581"/>
    <w:rsid w:val="00E738F8"/>
    <w:rsid w:val="00E73F83"/>
    <w:rsid w:val="00E73FC2"/>
    <w:rsid w:val="00E75152"/>
    <w:rsid w:val="00E758C1"/>
    <w:rsid w:val="00E7597D"/>
    <w:rsid w:val="00E75998"/>
    <w:rsid w:val="00E77817"/>
    <w:rsid w:val="00E80265"/>
    <w:rsid w:val="00E810F7"/>
    <w:rsid w:val="00E833F7"/>
    <w:rsid w:val="00E83BDF"/>
    <w:rsid w:val="00E84A16"/>
    <w:rsid w:val="00E84B20"/>
    <w:rsid w:val="00E84FD0"/>
    <w:rsid w:val="00E85199"/>
    <w:rsid w:val="00E85338"/>
    <w:rsid w:val="00E859B8"/>
    <w:rsid w:val="00E85EFE"/>
    <w:rsid w:val="00E87609"/>
    <w:rsid w:val="00E87A1D"/>
    <w:rsid w:val="00E901D1"/>
    <w:rsid w:val="00E91E39"/>
    <w:rsid w:val="00E920F0"/>
    <w:rsid w:val="00E926A5"/>
    <w:rsid w:val="00E92780"/>
    <w:rsid w:val="00E946ED"/>
    <w:rsid w:val="00E95D90"/>
    <w:rsid w:val="00E96233"/>
    <w:rsid w:val="00E97387"/>
    <w:rsid w:val="00E975B0"/>
    <w:rsid w:val="00E97780"/>
    <w:rsid w:val="00EA0A3A"/>
    <w:rsid w:val="00EA0CBF"/>
    <w:rsid w:val="00EA16CD"/>
    <w:rsid w:val="00EA17C3"/>
    <w:rsid w:val="00EA1D33"/>
    <w:rsid w:val="00EA2CAA"/>
    <w:rsid w:val="00EA2EE2"/>
    <w:rsid w:val="00EA3022"/>
    <w:rsid w:val="00EA3864"/>
    <w:rsid w:val="00EA5D00"/>
    <w:rsid w:val="00EB0890"/>
    <w:rsid w:val="00EB095B"/>
    <w:rsid w:val="00EB15B6"/>
    <w:rsid w:val="00EB17F4"/>
    <w:rsid w:val="00EB2000"/>
    <w:rsid w:val="00EB2D23"/>
    <w:rsid w:val="00EB30C7"/>
    <w:rsid w:val="00EB44A6"/>
    <w:rsid w:val="00EB4916"/>
    <w:rsid w:val="00EB4B3C"/>
    <w:rsid w:val="00EB61F5"/>
    <w:rsid w:val="00EB67D9"/>
    <w:rsid w:val="00EB7243"/>
    <w:rsid w:val="00EB735A"/>
    <w:rsid w:val="00EB7A5E"/>
    <w:rsid w:val="00EC00C9"/>
    <w:rsid w:val="00EC2649"/>
    <w:rsid w:val="00EC558F"/>
    <w:rsid w:val="00EC59B6"/>
    <w:rsid w:val="00EC5EDA"/>
    <w:rsid w:val="00EC60A3"/>
    <w:rsid w:val="00EC6478"/>
    <w:rsid w:val="00EC6911"/>
    <w:rsid w:val="00EC7255"/>
    <w:rsid w:val="00EC7DEC"/>
    <w:rsid w:val="00ED0153"/>
    <w:rsid w:val="00ED0F0D"/>
    <w:rsid w:val="00ED15A0"/>
    <w:rsid w:val="00ED1C8C"/>
    <w:rsid w:val="00ED1EF0"/>
    <w:rsid w:val="00ED2730"/>
    <w:rsid w:val="00ED2BF1"/>
    <w:rsid w:val="00ED498A"/>
    <w:rsid w:val="00ED4ED0"/>
    <w:rsid w:val="00ED57EA"/>
    <w:rsid w:val="00ED72CA"/>
    <w:rsid w:val="00ED7639"/>
    <w:rsid w:val="00EE01BD"/>
    <w:rsid w:val="00EE07D3"/>
    <w:rsid w:val="00EE22AF"/>
    <w:rsid w:val="00EE30A1"/>
    <w:rsid w:val="00EE3651"/>
    <w:rsid w:val="00EE36C4"/>
    <w:rsid w:val="00EE398A"/>
    <w:rsid w:val="00EE3EB4"/>
    <w:rsid w:val="00EE4277"/>
    <w:rsid w:val="00EE45DB"/>
    <w:rsid w:val="00EE4B49"/>
    <w:rsid w:val="00EE4D2E"/>
    <w:rsid w:val="00EF0171"/>
    <w:rsid w:val="00EF05B8"/>
    <w:rsid w:val="00EF0F26"/>
    <w:rsid w:val="00EF1084"/>
    <w:rsid w:val="00EF10CE"/>
    <w:rsid w:val="00EF1B25"/>
    <w:rsid w:val="00EF347D"/>
    <w:rsid w:val="00EF356F"/>
    <w:rsid w:val="00EF3DF1"/>
    <w:rsid w:val="00EF402D"/>
    <w:rsid w:val="00EF4747"/>
    <w:rsid w:val="00EF4BF8"/>
    <w:rsid w:val="00EF60A2"/>
    <w:rsid w:val="00F009A0"/>
    <w:rsid w:val="00F012BD"/>
    <w:rsid w:val="00F02253"/>
    <w:rsid w:val="00F02829"/>
    <w:rsid w:val="00F03C2E"/>
    <w:rsid w:val="00F03C6F"/>
    <w:rsid w:val="00F04A66"/>
    <w:rsid w:val="00F04B1C"/>
    <w:rsid w:val="00F04CBA"/>
    <w:rsid w:val="00F0516C"/>
    <w:rsid w:val="00F0566A"/>
    <w:rsid w:val="00F067A2"/>
    <w:rsid w:val="00F06C97"/>
    <w:rsid w:val="00F10BDA"/>
    <w:rsid w:val="00F11B78"/>
    <w:rsid w:val="00F11BA2"/>
    <w:rsid w:val="00F125D8"/>
    <w:rsid w:val="00F1263A"/>
    <w:rsid w:val="00F13753"/>
    <w:rsid w:val="00F13D13"/>
    <w:rsid w:val="00F148BA"/>
    <w:rsid w:val="00F15F18"/>
    <w:rsid w:val="00F16B68"/>
    <w:rsid w:val="00F20544"/>
    <w:rsid w:val="00F21B9C"/>
    <w:rsid w:val="00F22560"/>
    <w:rsid w:val="00F23277"/>
    <w:rsid w:val="00F247B3"/>
    <w:rsid w:val="00F24837"/>
    <w:rsid w:val="00F25088"/>
    <w:rsid w:val="00F2575F"/>
    <w:rsid w:val="00F25E5F"/>
    <w:rsid w:val="00F27565"/>
    <w:rsid w:val="00F2793A"/>
    <w:rsid w:val="00F30044"/>
    <w:rsid w:val="00F310D4"/>
    <w:rsid w:val="00F31D5A"/>
    <w:rsid w:val="00F33DE9"/>
    <w:rsid w:val="00F348C9"/>
    <w:rsid w:val="00F3619A"/>
    <w:rsid w:val="00F3632C"/>
    <w:rsid w:val="00F36E49"/>
    <w:rsid w:val="00F40AAA"/>
    <w:rsid w:val="00F40BA7"/>
    <w:rsid w:val="00F4230D"/>
    <w:rsid w:val="00F426FF"/>
    <w:rsid w:val="00F44EF9"/>
    <w:rsid w:val="00F451AE"/>
    <w:rsid w:val="00F4547B"/>
    <w:rsid w:val="00F45A90"/>
    <w:rsid w:val="00F45F98"/>
    <w:rsid w:val="00F46AC1"/>
    <w:rsid w:val="00F46CB6"/>
    <w:rsid w:val="00F479B7"/>
    <w:rsid w:val="00F47DE8"/>
    <w:rsid w:val="00F50225"/>
    <w:rsid w:val="00F518A7"/>
    <w:rsid w:val="00F52D64"/>
    <w:rsid w:val="00F53716"/>
    <w:rsid w:val="00F542C1"/>
    <w:rsid w:val="00F5477E"/>
    <w:rsid w:val="00F549F3"/>
    <w:rsid w:val="00F5519C"/>
    <w:rsid w:val="00F55E73"/>
    <w:rsid w:val="00F55EDA"/>
    <w:rsid w:val="00F5612A"/>
    <w:rsid w:val="00F56AE6"/>
    <w:rsid w:val="00F60092"/>
    <w:rsid w:val="00F62E31"/>
    <w:rsid w:val="00F6307F"/>
    <w:rsid w:val="00F64770"/>
    <w:rsid w:val="00F65F4B"/>
    <w:rsid w:val="00F67AC8"/>
    <w:rsid w:val="00F67E84"/>
    <w:rsid w:val="00F70C9D"/>
    <w:rsid w:val="00F712C9"/>
    <w:rsid w:val="00F716DB"/>
    <w:rsid w:val="00F71EBD"/>
    <w:rsid w:val="00F72DE2"/>
    <w:rsid w:val="00F730EB"/>
    <w:rsid w:val="00F74373"/>
    <w:rsid w:val="00F74CD9"/>
    <w:rsid w:val="00F754E4"/>
    <w:rsid w:val="00F768D5"/>
    <w:rsid w:val="00F80A7B"/>
    <w:rsid w:val="00F80AF1"/>
    <w:rsid w:val="00F80E5D"/>
    <w:rsid w:val="00F82328"/>
    <w:rsid w:val="00F83BB2"/>
    <w:rsid w:val="00F851CE"/>
    <w:rsid w:val="00F878DC"/>
    <w:rsid w:val="00F90F40"/>
    <w:rsid w:val="00F91219"/>
    <w:rsid w:val="00F91514"/>
    <w:rsid w:val="00F915B3"/>
    <w:rsid w:val="00F935FA"/>
    <w:rsid w:val="00F9611C"/>
    <w:rsid w:val="00F961A0"/>
    <w:rsid w:val="00F97324"/>
    <w:rsid w:val="00F976DE"/>
    <w:rsid w:val="00F97A78"/>
    <w:rsid w:val="00FA069F"/>
    <w:rsid w:val="00FA0B20"/>
    <w:rsid w:val="00FA12D9"/>
    <w:rsid w:val="00FA21E9"/>
    <w:rsid w:val="00FA24E7"/>
    <w:rsid w:val="00FA29D5"/>
    <w:rsid w:val="00FA2ED2"/>
    <w:rsid w:val="00FA3450"/>
    <w:rsid w:val="00FA5058"/>
    <w:rsid w:val="00FA66D0"/>
    <w:rsid w:val="00FB00EE"/>
    <w:rsid w:val="00FB0169"/>
    <w:rsid w:val="00FB0C4A"/>
    <w:rsid w:val="00FB2FCB"/>
    <w:rsid w:val="00FB4380"/>
    <w:rsid w:val="00FB4551"/>
    <w:rsid w:val="00FB60EF"/>
    <w:rsid w:val="00FB73C1"/>
    <w:rsid w:val="00FB75AC"/>
    <w:rsid w:val="00FC1074"/>
    <w:rsid w:val="00FC1633"/>
    <w:rsid w:val="00FC1884"/>
    <w:rsid w:val="00FC1E5F"/>
    <w:rsid w:val="00FC31E7"/>
    <w:rsid w:val="00FC371D"/>
    <w:rsid w:val="00FC38D1"/>
    <w:rsid w:val="00FC4C3F"/>
    <w:rsid w:val="00FC5A64"/>
    <w:rsid w:val="00FC5F0B"/>
    <w:rsid w:val="00FC5F26"/>
    <w:rsid w:val="00FC61A3"/>
    <w:rsid w:val="00FC69BF"/>
    <w:rsid w:val="00FC6DEF"/>
    <w:rsid w:val="00FC79BD"/>
    <w:rsid w:val="00FC7ED5"/>
    <w:rsid w:val="00FD038E"/>
    <w:rsid w:val="00FD07C2"/>
    <w:rsid w:val="00FD10AA"/>
    <w:rsid w:val="00FD2100"/>
    <w:rsid w:val="00FD25B1"/>
    <w:rsid w:val="00FD2A82"/>
    <w:rsid w:val="00FD436C"/>
    <w:rsid w:val="00FD446D"/>
    <w:rsid w:val="00FD456C"/>
    <w:rsid w:val="00FD627F"/>
    <w:rsid w:val="00FD6394"/>
    <w:rsid w:val="00FD6C5B"/>
    <w:rsid w:val="00FD7559"/>
    <w:rsid w:val="00FD7AB9"/>
    <w:rsid w:val="00FE0E6C"/>
    <w:rsid w:val="00FE279E"/>
    <w:rsid w:val="00FE2F6E"/>
    <w:rsid w:val="00FE3193"/>
    <w:rsid w:val="00FE37E6"/>
    <w:rsid w:val="00FE4533"/>
    <w:rsid w:val="00FE70C3"/>
    <w:rsid w:val="00FE78C2"/>
    <w:rsid w:val="00FF196B"/>
    <w:rsid w:val="00FF2325"/>
    <w:rsid w:val="00FF2BE1"/>
    <w:rsid w:val="00FF39BE"/>
    <w:rsid w:val="00FF3BD0"/>
    <w:rsid w:val="00FF3DCF"/>
    <w:rsid w:val="00FF42E7"/>
    <w:rsid w:val="00FF492C"/>
    <w:rsid w:val="00FF4A21"/>
    <w:rsid w:val="00FF4BBB"/>
    <w:rsid w:val="00FF5169"/>
    <w:rsid w:val="00FF5AA3"/>
    <w:rsid w:val="00FF5AD8"/>
    <w:rsid w:val="00FF5B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139"/>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heading,Lengende,Table + Not Bold,Caption Char1,Caption Char Char,legend,表タイトル,Figure header,NICE Caption,Caption_aa,fig cadre,Caption Char Char Char Char,fig cadre Char2,Caption Char2,fig cadre Char Char,Char1,c,Char,SMC Caption,- H17"/>
    <w:basedOn w:val="Normal"/>
    <w:next w:val="Normal"/>
    <w:link w:val="CaptionChar"/>
    <w:unhideWhenUsed/>
    <w:qFormat/>
    <w:rsid w:val="006577E1"/>
    <w:rPr>
      <w:rFonts w:ascii="Arial Narrow" w:hAnsi="Arial Narrow"/>
      <w:b/>
      <w:bCs/>
      <w:sz w:val="20"/>
      <w:szCs w:val="18"/>
    </w:rPr>
  </w:style>
  <w:style w:type="character" w:customStyle="1" w:styleId="CaptionChar">
    <w:name w:val="Caption Char"/>
    <w:aliases w:val="Figure heading Char,Lengende Char,Table + Not Bold Char,Caption Char1 Char,Caption Char Char Char,legend Char,表タイトル Char,Figure header Char,NICE Caption Char,Caption_aa Char,fig cadre Char,Caption Char Char Char Char Char,Caption Char2 Char"/>
    <w:link w:val="Caption"/>
    <w:rsid w:val="006577E1"/>
    <w:rPr>
      <w:rFonts w:ascii="Arial Narrow" w:hAnsi="Arial Narrow" w:cs="Arial"/>
      <w:b/>
      <w:bCs/>
      <w:snapToGrid w:val="0"/>
      <w:szCs w:val="18"/>
      <w:lang w:eastAsia="en-US"/>
    </w:rPr>
  </w:style>
  <w:style w:type="paragraph" w:styleId="Title">
    <w:name w:val="Title"/>
    <w:basedOn w:val="Normal"/>
    <w:next w:val="Normal"/>
    <w:link w:val="TitleChar"/>
    <w:qFormat/>
    <w:rsid w:val="002721B8"/>
    <w:pPr>
      <w:widowControl/>
      <w:spacing w:after="120"/>
      <w:contextualSpacing/>
      <w:jc w:val="left"/>
      <w:outlineLvl w:val="0"/>
    </w:pPr>
    <w:rPr>
      <w:rFonts w:eastAsia="Calibri" w:cs="Times New Roman"/>
      <w:b/>
      <w:snapToGrid/>
      <w:sz w:val="36"/>
      <w:szCs w:val="36"/>
    </w:rPr>
  </w:style>
  <w:style w:type="character" w:customStyle="1" w:styleId="TitleChar">
    <w:name w:val="Title Char"/>
    <w:basedOn w:val="DefaultParagraphFont"/>
    <w:link w:val="Title"/>
    <w:rsid w:val="002721B8"/>
    <w:rPr>
      <w:rFonts w:ascii="Calibri" w:eastAsia="Calibri" w:hAnsi="Calibri"/>
      <w:b/>
      <w:sz w:val="36"/>
      <w:szCs w:val="36"/>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Bullet List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qFormat/>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173A3C"/>
    <w:pPr>
      <w:numPr>
        <w:numId w:val="3"/>
      </w:num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basedOn w:val="Normal"/>
    <w:link w:val="TableTextChar0"/>
    <w:qFormat/>
    <w:rsid w:val="00A60098"/>
    <w:pPr>
      <w:keepNext/>
      <w:widowControl/>
      <w:spacing w:before="40" w:after="40"/>
      <w:jc w:val="left"/>
    </w:pPr>
    <w:rPr>
      <w:rFonts w:ascii="Arial Narrow" w:eastAsiaTheme="minorHAnsi" w:hAnsi="Arial Narrow" w:cstheme="minorBidi"/>
      <w:snapToGrid/>
      <w:sz w:val="20"/>
    </w:rPr>
  </w:style>
  <w:style w:type="paragraph" w:styleId="FootnoteText">
    <w:name w:val="footnote text"/>
    <w:basedOn w:val="Normal"/>
    <w:link w:val="FootnoteTextChar"/>
    <w:semiHidden/>
    <w:unhideWhenUsed/>
    <w:rsid w:val="00E15EF3"/>
    <w:rPr>
      <w:sz w:val="20"/>
      <w:szCs w:val="20"/>
    </w:rPr>
  </w:style>
  <w:style w:type="character" w:customStyle="1" w:styleId="FootnoteTextChar">
    <w:name w:val="Footnote Text Char"/>
    <w:basedOn w:val="DefaultParagraphFont"/>
    <w:link w:val="FootnoteText"/>
    <w:semiHidden/>
    <w:rsid w:val="00E15EF3"/>
    <w:rPr>
      <w:rFonts w:ascii="Calibri" w:hAnsi="Calibri" w:cs="Arial"/>
      <w:snapToGrid w:val="0"/>
      <w:lang w:eastAsia="en-US"/>
    </w:rPr>
  </w:style>
  <w:style w:type="character" w:styleId="FootnoteReference">
    <w:name w:val="footnote reference"/>
    <w:basedOn w:val="DefaultParagraphFont"/>
    <w:semiHidden/>
    <w:unhideWhenUsed/>
    <w:rsid w:val="00E15EF3"/>
    <w:rPr>
      <w:vertAlign w:val="superscript"/>
    </w:rPr>
  </w:style>
  <w:style w:type="paragraph" w:customStyle="1" w:styleId="Default">
    <w:name w:val="Default"/>
    <w:rsid w:val="0029739C"/>
    <w:pPr>
      <w:autoSpaceDE w:val="0"/>
      <w:autoSpaceDN w:val="0"/>
      <w:adjustRightInd w:val="0"/>
    </w:pPr>
    <w:rPr>
      <w:rFonts w:ascii="Verdana" w:eastAsiaTheme="minorHAnsi" w:hAnsi="Verdana" w:cs="Verdana"/>
      <w:color w:val="000000"/>
      <w:sz w:val="24"/>
      <w:szCs w:val="24"/>
      <w:lang w:eastAsia="en-US"/>
    </w:rPr>
  </w:style>
  <w:style w:type="paragraph" w:customStyle="1" w:styleId="MainBodyText">
    <w:name w:val="Main Body Text"/>
    <w:basedOn w:val="Normal"/>
    <w:link w:val="MainBodyTextChar"/>
    <w:rsid w:val="006C40BF"/>
    <w:pPr>
      <w:widowControl/>
      <w:spacing w:after="240" w:line="276" w:lineRule="auto"/>
    </w:pPr>
    <w:rPr>
      <w:rFonts w:ascii="Arial" w:hAnsi="Arial" w:cs="Times New Roman"/>
      <w:snapToGrid/>
      <w:sz w:val="22"/>
      <w:lang w:eastAsia="en-AU"/>
    </w:rPr>
  </w:style>
  <w:style w:type="character" w:customStyle="1" w:styleId="MainBodyTextChar">
    <w:name w:val="Main Body Text Char"/>
    <w:link w:val="MainBodyText"/>
    <w:rsid w:val="006C40BF"/>
    <w:rPr>
      <w:rFonts w:ascii="Arial" w:hAnsi="Arial"/>
      <w:sz w:val="22"/>
      <w:szCs w:val="22"/>
    </w:rPr>
  </w:style>
  <w:style w:type="paragraph" w:customStyle="1" w:styleId="TextUnderFigure">
    <w:name w:val="Text Under Figure"/>
    <w:basedOn w:val="Normal"/>
    <w:next w:val="MainBodyText"/>
    <w:rsid w:val="006C40BF"/>
    <w:pPr>
      <w:widowControl/>
      <w:spacing w:before="120" w:after="120" w:line="276" w:lineRule="auto"/>
      <w:contextualSpacing/>
      <w:jc w:val="left"/>
    </w:pPr>
    <w:rPr>
      <w:rFonts w:ascii="Arial" w:hAnsi="Arial" w:cs="Times New Roman"/>
      <w:i/>
      <w:snapToGrid/>
      <w:sz w:val="16"/>
      <w:lang w:eastAsia="en-AU"/>
    </w:rPr>
  </w:style>
  <w:style w:type="paragraph" w:customStyle="1" w:styleId="TableBullet">
    <w:name w:val="Table Bullet"/>
    <w:basedOn w:val="TableText0"/>
    <w:qFormat/>
    <w:rsid w:val="00D73326"/>
    <w:pPr>
      <w:keepNext w:val="0"/>
      <w:numPr>
        <w:numId w:val="5"/>
      </w:numPr>
      <w:spacing w:before="60" w:after="60"/>
      <w:ind w:left="357" w:hanging="357"/>
    </w:pPr>
    <w:rPr>
      <w:rFonts w:ascii="Arial" w:hAnsi="Arial"/>
      <w:sz w:val="18"/>
    </w:rPr>
  </w:style>
  <w:style w:type="character" w:customStyle="1" w:styleId="TableTextChar0">
    <w:name w:val="Table Text Char"/>
    <w:basedOn w:val="DefaultParagraphFont"/>
    <w:link w:val="TableText0"/>
    <w:rsid w:val="00D73326"/>
    <w:rPr>
      <w:rFonts w:ascii="Arial Narrow" w:eastAsiaTheme="minorHAnsi" w:hAnsi="Arial Narrow" w:cstheme="minorBidi"/>
      <w:szCs w:val="22"/>
      <w:lang w:eastAsia="en-US"/>
    </w:rPr>
  </w:style>
  <w:style w:type="paragraph" w:customStyle="1" w:styleId="TableCaption">
    <w:name w:val="TableCaption"/>
    <w:basedOn w:val="Caption"/>
    <w:next w:val="MainBodyText"/>
    <w:qFormat/>
    <w:rsid w:val="000E4C6D"/>
    <w:pPr>
      <w:keepNext/>
      <w:widowControl/>
      <w:tabs>
        <w:tab w:val="left" w:pos="1701"/>
      </w:tabs>
      <w:spacing w:before="180" w:after="120" w:line="276" w:lineRule="auto"/>
      <w:ind w:left="1701" w:hanging="1701"/>
      <w:jc w:val="left"/>
      <w:outlineLvl w:val="2"/>
    </w:pPr>
    <w:rPr>
      <w:rFonts w:ascii="Arial" w:hAnsi="Arial" w:cs="Times New Roman"/>
      <w:snapToGrid/>
      <w:sz w:val="22"/>
      <w:szCs w:val="20"/>
      <w:lang w:eastAsia="en-AU"/>
    </w:rPr>
  </w:style>
  <w:style w:type="paragraph" w:customStyle="1" w:styleId="LOFHeading">
    <w:name w:val="L.O.F Heading"/>
    <w:basedOn w:val="Normal"/>
    <w:next w:val="Normal"/>
    <w:rsid w:val="00BA4B71"/>
    <w:pPr>
      <w:keepNext/>
      <w:widowControl/>
      <w:spacing w:before="240" w:after="360" w:line="276" w:lineRule="auto"/>
      <w:jc w:val="left"/>
    </w:pPr>
    <w:rPr>
      <w:rFonts w:ascii="Arial" w:hAnsi="Arial" w:cs="Times New Roman"/>
      <w:b/>
      <w:caps/>
      <w:snapToGrid/>
      <w:sz w:val="28"/>
      <w:szCs w:val="28"/>
      <w:lang w:eastAsia="en-AU"/>
    </w:rPr>
  </w:style>
  <w:style w:type="paragraph" w:customStyle="1" w:styleId="TableText1">
    <w:name w:val="TableText"/>
    <w:basedOn w:val="Normal"/>
    <w:link w:val="TableTextChar1"/>
    <w:qFormat/>
    <w:rsid w:val="00BA4B71"/>
    <w:pPr>
      <w:widowControl/>
      <w:spacing w:before="60" w:after="60"/>
      <w:jc w:val="left"/>
    </w:pPr>
    <w:rPr>
      <w:rFonts w:ascii="Arial" w:hAnsi="Arial" w:cs="Times New Roman"/>
      <w:snapToGrid/>
      <w:sz w:val="18"/>
      <w:lang w:eastAsia="en-AU"/>
    </w:rPr>
  </w:style>
  <w:style w:type="character" w:customStyle="1" w:styleId="TableTextChar1">
    <w:name w:val="TableText Char"/>
    <w:link w:val="TableText1"/>
    <w:rsid w:val="00BA4B71"/>
    <w:rPr>
      <w:rFonts w:ascii="Arial" w:hAnsi="Arial"/>
      <w:sz w:val="18"/>
      <w:szCs w:val="22"/>
    </w:rPr>
  </w:style>
  <w:style w:type="character" w:customStyle="1" w:styleId="Small">
    <w:name w:val="Small"/>
    <w:basedOn w:val="DefaultParagraphFont"/>
    <w:uiPriority w:val="4"/>
    <w:rsid w:val="00A156E6"/>
    <w:rPr>
      <w:rFonts w:ascii="Calibri" w:hAnsi="Calibri"/>
      <w:sz w:val="18"/>
    </w:rPr>
  </w:style>
  <w:style w:type="paragraph" w:styleId="ListBullet">
    <w:name w:val="List Bullet"/>
    <w:basedOn w:val="Normal"/>
    <w:uiPriority w:val="16"/>
    <w:unhideWhenUsed/>
    <w:qFormat/>
    <w:rsid w:val="00A80A56"/>
    <w:pPr>
      <w:widowControl/>
      <w:numPr>
        <w:numId w:val="6"/>
      </w:numPr>
      <w:spacing w:after="120" w:line="276" w:lineRule="auto"/>
      <w:jc w:val="left"/>
    </w:pPr>
    <w:rPr>
      <w:rFonts w:eastAsiaTheme="minorHAnsi" w:cstheme="minorBidi"/>
      <w:snapToGrid/>
    </w:rPr>
  </w:style>
  <w:style w:type="paragraph" w:customStyle="1" w:styleId="ListBulletlvl3">
    <w:name w:val="List Bullet lvl 3"/>
    <w:basedOn w:val="ListBullet"/>
    <w:qFormat/>
    <w:rsid w:val="00A80A56"/>
    <w:pPr>
      <w:numPr>
        <w:ilvl w:val="2"/>
      </w:numPr>
    </w:pPr>
  </w:style>
  <w:style w:type="paragraph" w:customStyle="1" w:styleId="ListBulletlvl4">
    <w:name w:val="List Bullet lvl 4"/>
    <w:basedOn w:val="ListBullet"/>
    <w:qFormat/>
    <w:rsid w:val="00A80A56"/>
    <w:pPr>
      <w:numPr>
        <w:ilvl w:val="3"/>
      </w:numPr>
    </w:pPr>
  </w:style>
  <w:style w:type="paragraph" w:customStyle="1" w:styleId="ListBulletlvl5">
    <w:name w:val="List Bullet lvl 5"/>
    <w:basedOn w:val="ListBullet"/>
    <w:qFormat/>
    <w:rsid w:val="00A80A56"/>
    <w:pPr>
      <w:numPr>
        <w:ilvl w:val="4"/>
      </w:numPr>
    </w:pPr>
  </w:style>
  <w:style w:type="paragraph" w:customStyle="1" w:styleId="ListBulletlvl6">
    <w:name w:val="List Bullet lvl 6"/>
    <w:basedOn w:val="ListBullet"/>
    <w:qFormat/>
    <w:rsid w:val="00A80A56"/>
    <w:pPr>
      <w:numPr>
        <w:ilvl w:val="5"/>
      </w:numPr>
    </w:pPr>
  </w:style>
  <w:style w:type="paragraph" w:customStyle="1" w:styleId="ListBulletlvl7">
    <w:name w:val="List Bullet lvl 7"/>
    <w:basedOn w:val="ListBullet"/>
    <w:qFormat/>
    <w:rsid w:val="00A80A56"/>
    <w:pPr>
      <w:numPr>
        <w:ilvl w:val="6"/>
      </w:numPr>
    </w:pPr>
  </w:style>
  <w:style w:type="paragraph" w:customStyle="1" w:styleId="ListBulletlvl8">
    <w:name w:val="List Bullet lvl 8"/>
    <w:basedOn w:val="ListBullet"/>
    <w:qFormat/>
    <w:rsid w:val="00A80A56"/>
    <w:pPr>
      <w:numPr>
        <w:ilvl w:val="7"/>
      </w:numPr>
    </w:pPr>
  </w:style>
  <w:style w:type="paragraph" w:customStyle="1" w:styleId="ListBulletlvl9">
    <w:name w:val="List Bullet lvl 9"/>
    <w:basedOn w:val="ListBullet"/>
    <w:qFormat/>
    <w:rsid w:val="00A80A56"/>
    <w:pPr>
      <w:numPr>
        <w:ilvl w:val="8"/>
      </w:numPr>
    </w:pPr>
  </w:style>
  <w:style w:type="paragraph" w:customStyle="1" w:styleId="TextUnderTable">
    <w:name w:val="Text Under Table"/>
    <w:basedOn w:val="TextUnderFigure"/>
    <w:link w:val="TextUnderTableChar"/>
    <w:qFormat/>
    <w:rsid w:val="00752E4E"/>
  </w:style>
  <w:style w:type="character" w:customStyle="1" w:styleId="TextUnderTableChar">
    <w:name w:val="Text Under Table Char"/>
    <w:link w:val="TextUnderTable"/>
    <w:rsid w:val="00752E4E"/>
    <w:rPr>
      <w:rFonts w:ascii="Arial" w:hAnsi="Arial"/>
      <w:i/>
      <w:sz w:val="16"/>
      <w:szCs w:val="22"/>
    </w:rPr>
  </w:style>
  <w:style w:type="paragraph" w:customStyle="1" w:styleId="TableTextCentered">
    <w:name w:val="TableText Centered"/>
    <w:link w:val="TableTextCenteredChar"/>
    <w:rsid w:val="00752E4E"/>
    <w:pPr>
      <w:jc w:val="center"/>
    </w:pPr>
    <w:rPr>
      <w:lang w:val="en-US" w:eastAsia="en-US"/>
    </w:rPr>
  </w:style>
  <w:style w:type="character" w:customStyle="1" w:styleId="TableTextCenteredChar">
    <w:name w:val="TableText Centered Char"/>
    <w:link w:val="TableTextCentered"/>
    <w:locked/>
    <w:rsid w:val="00752E4E"/>
    <w:rPr>
      <w:lang w:val="en-US" w:eastAsia="en-US"/>
    </w:rPr>
  </w:style>
  <w:style w:type="paragraph" w:customStyle="1" w:styleId="TableListNumber">
    <w:name w:val="Table List Number"/>
    <w:basedOn w:val="TableText0"/>
    <w:rsid w:val="009D4888"/>
    <w:pPr>
      <w:keepNext w:val="0"/>
      <w:tabs>
        <w:tab w:val="center" w:pos="4153"/>
        <w:tab w:val="right" w:pos="9015"/>
      </w:tabs>
      <w:spacing w:before="0" w:after="0"/>
      <w:contextualSpacing/>
    </w:pPr>
    <w:rPr>
      <w:rFonts w:ascii="Arial" w:eastAsia="Times New Roman" w:hAnsi="Arial" w:cs="Times New Roman"/>
      <w:sz w:val="16"/>
      <w:szCs w:val="16"/>
      <w:lang w:eastAsia="en-AU"/>
    </w:rPr>
  </w:style>
  <w:style w:type="table" w:customStyle="1" w:styleId="TableGridLight1">
    <w:name w:val="Table Grid Light1"/>
    <w:basedOn w:val="TableNormal"/>
    <w:uiPriority w:val="40"/>
    <w:rsid w:val="00C0085B"/>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TableParagraph">
    <w:name w:val="Table Paragraph"/>
    <w:basedOn w:val="Normal"/>
    <w:uiPriority w:val="1"/>
    <w:qFormat/>
    <w:rsid w:val="00C0085B"/>
    <w:pPr>
      <w:jc w:val="left"/>
    </w:pPr>
    <w:rPr>
      <w:rFonts w:asciiTheme="minorHAnsi" w:eastAsiaTheme="minorHAnsi" w:hAnsiTheme="minorHAnsi" w:cstheme="minorBidi"/>
      <w:snapToGrid/>
      <w:sz w:val="22"/>
      <w:lang w:val="en-US"/>
    </w:rPr>
  </w:style>
  <w:style w:type="paragraph" w:customStyle="1" w:styleId="TableTextHeading">
    <w:name w:val="Table Text Heading"/>
    <w:basedOn w:val="Normal"/>
    <w:rsid w:val="00D649EC"/>
    <w:pPr>
      <w:widowControl/>
      <w:spacing w:before="60" w:after="60"/>
      <w:jc w:val="center"/>
    </w:pPr>
    <w:rPr>
      <w:rFonts w:ascii="Arial Bold" w:hAnsi="Arial Bold" w:cs="Times New Roman"/>
      <w:b/>
      <w:snapToGrid/>
      <w:sz w:val="18"/>
      <w:szCs w:val="20"/>
      <w:lang w:eastAsia="en-AU"/>
    </w:rPr>
  </w:style>
  <w:style w:type="paragraph" w:customStyle="1" w:styleId="FigureCaption">
    <w:name w:val="FigureCaption"/>
    <w:basedOn w:val="Caption"/>
    <w:next w:val="MainBodyText"/>
    <w:qFormat/>
    <w:rsid w:val="00A77D8D"/>
    <w:pPr>
      <w:keepNext/>
      <w:widowControl/>
      <w:tabs>
        <w:tab w:val="left" w:pos="1701"/>
      </w:tabs>
      <w:spacing w:before="180" w:after="120" w:line="276" w:lineRule="auto"/>
      <w:ind w:left="1701" w:hanging="1701"/>
      <w:jc w:val="left"/>
      <w:outlineLvl w:val="2"/>
    </w:pPr>
    <w:rPr>
      <w:rFonts w:ascii="Arial" w:hAnsi="Arial" w:cs="Times New Roman"/>
      <w:snapToGrid/>
      <w:sz w:val="22"/>
      <w:szCs w:val="20"/>
      <w:lang w:eastAsia="en-AU"/>
    </w:rPr>
  </w:style>
  <w:style w:type="character" w:customStyle="1" w:styleId="Heading3Char">
    <w:name w:val="Heading 3 Char"/>
    <w:basedOn w:val="DefaultParagraphFont"/>
    <w:link w:val="Heading3"/>
    <w:rsid w:val="0089372A"/>
    <w:rPr>
      <w:rFonts w:ascii="Calibri" w:hAnsi="Calibri" w:cs="Arial"/>
      <w:snapToGrid w:val="0"/>
      <w:sz w:val="24"/>
      <w:szCs w:val="22"/>
      <w:u w:val="single"/>
      <w:lang w:eastAsia="en-US"/>
    </w:rPr>
  </w:style>
  <w:style w:type="table" w:customStyle="1" w:styleId="MSDTableGrid1">
    <w:name w:val="MSD Table Grid1"/>
    <w:basedOn w:val="TableNormal"/>
    <w:next w:val="TableGrid"/>
    <w:uiPriority w:val="39"/>
    <w:rsid w:val="000077B6"/>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D2377"/>
    <w:rPr>
      <w:color w:val="808080"/>
    </w:rPr>
  </w:style>
  <w:style w:type="paragraph" w:customStyle="1" w:styleId="EndNoteBibliographyTitle">
    <w:name w:val="EndNote Bibliography Title"/>
    <w:basedOn w:val="Normal"/>
    <w:link w:val="EndNoteBibliographyTitleChar"/>
    <w:rsid w:val="005C5807"/>
    <w:pPr>
      <w:jc w:val="center"/>
    </w:pPr>
    <w:rPr>
      <w:rFonts w:cs="Calibri"/>
      <w:noProof/>
      <w:lang w:val="en-US"/>
    </w:rPr>
  </w:style>
  <w:style w:type="character" w:customStyle="1" w:styleId="EndNoteBibliographyTitleChar">
    <w:name w:val="EndNote Bibliography Title Char"/>
    <w:basedOn w:val="TabletextChar"/>
    <w:link w:val="EndNoteBibliographyTitle"/>
    <w:rsid w:val="005C5807"/>
    <w:rPr>
      <w:rFonts w:ascii="Calibri" w:hAnsi="Calibri" w:cs="Calibri"/>
      <w:noProof/>
      <w:snapToGrid w:val="0"/>
      <w:sz w:val="24"/>
      <w:szCs w:val="22"/>
      <w:lang w:val="en-US" w:eastAsia="en-US"/>
    </w:rPr>
  </w:style>
  <w:style w:type="paragraph" w:customStyle="1" w:styleId="EndNoteBibliography">
    <w:name w:val="EndNote Bibliography"/>
    <w:basedOn w:val="Normal"/>
    <w:link w:val="EndNoteBibliographyChar"/>
    <w:rsid w:val="005C5807"/>
    <w:rPr>
      <w:rFonts w:cs="Calibri"/>
      <w:noProof/>
      <w:lang w:val="en-US"/>
    </w:rPr>
  </w:style>
  <w:style w:type="character" w:customStyle="1" w:styleId="EndNoteBibliographyChar">
    <w:name w:val="EndNote Bibliography Char"/>
    <w:basedOn w:val="TabletextChar"/>
    <w:link w:val="EndNoteBibliography"/>
    <w:rsid w:val="005C5807"/>
    <w:rPr>
      <w:rFonts w:ascii="Calibri" w:hAnsi="Calibri" w:cs="Calibri"/>
      <w:noProof/>
      <w:snapToGrid w:val="0"/>
      <w:sz w:val="24"/>
      <w:szCs w:val="22"/>
      <w:lang w:val="en-US" w:eastAsia="en-US"/>
    </w:rPr>
  </w:style>
  <w:style w:type="paragraph" w:customStyle="1" w:styleId="BulletedText">
    <w:name w:val="Bulleted Text"/>
    <w:basedOn w:val="MainBodyText"/>
    <w:uiPriority w:val="99"/>
    <w:rsid w:val="004D4823"/>
    <w:pPr>
      <w:numPr>
        <w:numId w:val="19"/>
      </w:numPr>
      <w:spacing w:after="120"/>
      <w:ind w:left="1134" w:hanging="363"/>
    </w:pPr>
  </w:style>
  <w:style w:type="table" w:customStyle="1" w:styleId="TableStyle">
    <w:name w:val="Table Style"/>
    <w:basedOn w:val="TableNormal"/>
    <w:rsid w:val="00AA560C"/>
    <w:pPr>
      <w:spacing w:before="120"/>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pPr>
        <w:jc w:val="left"/>
      </w:pPr>
      <w:rPr>
        <w:b/>
        <w:bCs/>
        <w:color w:val="auto"/>
      </w:rPr>
      <w:tblPr/>
      <w:tcPr>
        <w:tcBorders>
          <w:tl2br w:val="none" w:sz="0" w:space="0" w:color="auto"/>
          <w:tr2bl w:val="none" w:sz="0" w:space="0" w:color="auto"/>
        </w:tcBorders>
        <w:shd w:val="clear" w:color="auto" w:fill="D9D9D9"/>
        <w:vAlign w:val="top"/>
      </w:tcPr>
    </w:tblStylePr>
  </w:style>
  <w:style w:type="paragraph" w:customStyle="1" w:styleId="2Sections">
    <w:name w:val="2. Sections"/>
    <w:qFormat/>
    <w:rsid w:val="004C0A6D"/>
    <w:pPr>
      <w:spacing w:before="240" w:after="120"/>
      <w:ind w:left="720" w:hanging="720"/>
      <w:outlineLvl w:val="0"/>
    </w:pPr>
    <w:rPr>
      <w:rFonts w:asciiTheme="minorHAnsi" w:hAnsiTheme="minorHAnsi" w:cs="Arial"/>
      <w:b/>
      <w:snapToGrid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94206">
      <w:bodyDiv w:val="1"/>
      <w:marLeft w:val="0"/>
      <w:marRight w:val="0"/>
      <w:marTop w:val="0"/>
      <w:marBottom w:val="0"/>
      <w:divBdr>
        <w:top w:val="none" w:sz="0" w:space="0" w:color="auto"/>
        <w:left w:val="none" w:sz="0" w:space="0" w:color="auto"/>
        <w:bottom w:val="none" w:sz="0" w:space="0" w:color="auto"/>
        <w:right w:val="none" w:sz="0" w:space="0" w:color="auto"/>
      </w:divBdr>
      <w:divsChild>
        <w:div w:id="1747727553">
          <w:marLeft w:val="1166"/>
          <w:marRight w:val="0"/>
          <w:marTop w:val="72"/>
          <w:marBottom w:val="0"/>
          <w:divBdr>
            <w:top w:val="none" w:sz="0" w:space="0" w:color="auto"/>
            <w:left w:val="none" w:sz="0" w:space="0" w:color="auto"/>
            <w:bottom w:val="none" w:sz="0" w:space="0" w:color="auto"/>
            <w:right w:val="none" w:sz="0" w:space="0" w:color="auto"/>
          </w:divBdr>
        </w:div>
        <w:div w:id="1619415376">
          <w:marLeft w:val="1166"/>
          <w:marRight w:val="0"/>
          <w:marTop w:val="72"/>
          <w:marBottom w:val="0"/>
          <w:divBdr>
            <w:top w:val="none" w:sz="0" w:space="0" w:color="auto"/>
            <w:left w:val="none" w:sz="0" w:space="0" w:color="auto"/>
            <w:bottom w:val="none" w:sz="0" w:space="0" w:color="auto"/>
            <w:right w:val="none" w:sz="0" w:space="0" w:color="auto"/>
          </w:divBdr>
        </w:div>
      </w:divsChild>
    </w:div>
    <w:div w:id="642349451">
      <w:bodyDiv w:val="1"/>
      <w:marLeft w:val="0"/>
      <w:marRight w:val="0"/>
      <w:marTop w:val="0"/>
      <w:marBottom w:val="0"/>
      <w:divBdr>
        <w:top w:val="none" w:sz="0" w:space="0" w:color="auto"/>
        <w:left w:val="none" w:sz="0" w:space="0" w:color="auto"/>
        <w:bottom w:val="none" w:sz="0" w:space="0" w:color="auto"/>
        <w:right w:val="none" w:sz="0" w:space="0" w:color="auto"/>
      </w:divBdr>
    </w:div>
    <w:div w:id="977535820">
      <w:bodyDiv w:val="1"/>
      <w:marLeft w:val="0"/>
      <w:marRight w:val="0"/>
      <w:marTop w:val="0"/>
      <w:marBottom w:val="0"/>
      <w:divBdr>
        <w:top w:val="none" w:sz="0" w:space="0" w:color="auto"/>
        <w:left w:val="none" w:sz="0" w:space="0" w:color="auto"/>
        <w:bottom w:val="none" w:sz="0" w:space="0" w:color="auto"/>
        <w:right w:val="none" w:sz="0" w:space="0" w:color="auto"/>
      </w:divBdr>
    </w:div>
    <w:div w:id="1487628072">
      <w:bodyDiv w:val="1"/>
      <w:marLeft w:val="0"/>
      <w:marRight w:val="0"/>
      <w:marTop w:val="0"/>
      <w:marBottom w:val="0"/>
      <w:divBdr>
        <w:top w:val="none" w:sz="0" w:space="0" w:color="auto"/>
        <w:left w:val="none" w:sz="0" w:space="0" w:color="auto"/>
        <w:bottom w:val="none" w:sz="0" w:space="0" w:color="auto"/>
        <w:right w:val="none" w:sz="0" w:space="0" w:color="auto"/>
      </w:divBdr>
    </w:div>
    <w:div w:id="1602639935">
      <w:bodyDiv w:val="1"/>
      <w:marLeft w:val="0"/>
      <w:marRight w:val="0"/>
      <w:marTop w:val="0"/>
      <w:marBottom w:val="0"/>
      <w:divBdr>
        <w:top w:val="none" w:sz="0" w:space="0" w:color="auto"/>
        <w:left w:val="none" w:sz="0" w:space="0" w:color="auto"/>
        <w:bottom w:val="none" w:sz="0" w:space="0" w:color="auto"/>
        <w:right w:val="none" w:sz="0" w:space="0" w:color="auto"/>
      </w:divBdr>
    </w:div>
    <w:div w:id="1814324817">
      <w:bodyDiv w:val="1"/>
      <w:marLeft w:val="0"/>
      <w:marRight w:val="0"/>
      <w:marTop w:val="0"/>
      <w:marBottom w:val="0"/>
      <w:divBdr>
        <w:top w:val="none" w:sz="0" w:space="0" w:color="auto"/>
        <w:left w:val="none" w:sz="0" w:space="0" w:color="auto"/>
        <w:bottom w:val="none" w:sz="0" w:space="0" w:color="auto"/>
        <w:right w:val="none" w:sz="0" w:space="0" w:color="auto"/>
      </w:divBdr>
    </w:div>
    <w:div w:id="1859156543">
      <w:bodyDiv w:val="1"/>
      <w:marLeft w:val="0"/>
      <w:marRight w:val="0"/>
      <w:marTop w:val="0"/>
      <w:marBottom w:val="0"/>
      <w:divBdr>
        <w:top w:val="none" w:sz="0" w:space="0" w:color="auto"/>
        <w:left w:val="none" w:sz="0" w:space="0" w:color="auto"/>
        <w:bottom w:val="none" w:sz="0" w:space="0" w:color="auto"/>
        <w:right w:val="none" w:sz="0" w:space="0" w:color="auto"/>
      </w:divBdr>
    </w:div>
    <w:div w:id="2057311749">
      <w:bodyDiv w:val="1"/>
      <w:marLeft w:val="0"/>
      <w:marRight w:val="0"/>
      <w:marTop w:val="0"/>
      <w:marBottom w:val="0"/>
      <w:divBdr>
        <w:top w:val="none" w:sz="0" w:space="0" w:color="auto"/>
        <w:left w:val="none" w:sz="0" w:space="0" w:color="auto"/>
        <w:bottom w:val="none" w:sz="0" w:space="0" w:color="auto"/>
        <w:right w:val="none" w:sz="0" w:space="0" w:color="auto"/>
      </w:divBdr>
      <w:divsChild>
        <w:div w:id="61429411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tmp"/><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38/s41591-018-00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12668</Words>
  <Characters>71903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2020-02-27T05:03:00Z</dcterms:created>
  <dcterms:modified xsi:type="dcterms:W3CDTF">2020-02-28T02:07:00Z</dcterms:modified>
</cp:coreProperties>
</file>