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BB6" w:rsidRPr="00CD0789" w:rsidRDefault="00514BB6" w:rsidP="002B388A">
      <w:pPr>
        <w:rPr>
          <w:rFonts w:ascii="Calibri" w:eastAsia="Calibri" w:hAnsi="Calibri"/>
          <w:b/>
          <w:sz w:val="36"/>
          <w:szCs w:val="36"/>
          <w:lang w:eastAsia="en-US"/>
        </w:rPr>
      </w:pPr>
      <w:bookmarkStart w:id="0" w:name="_GoBack"/>
      <w:bookmarkEnd w:id="0"/>
    </w:p>
    <w:p w:rsidR="00BF27A0" w:rsidRPr="00CD0789" w:rsidRDefault="006E4716" w:rsidP="002B388A">
      <w:pPr>
        <w:rPr>
          <w:rFonts w:ascii="Calibri" w:eastAsia="Calibri" w:hAnsi="Calibri"/>
          <w:b/>
          <w:sz w:val="36"/>
          <w:szCs w:val="36"/>
          <w:lang w:eastAsia="en-US"/>
        </w:rPr>
      </w:pPr>
      <w:r w:rsidRPr="00CD0789">
        <w:rPr>
          <w:rFonts w:ascii="Calibri" w:eastAsia="Calibri" w:hAnsi="Calibri"/>
          <w:b/>
          <w:sz w:val="36"/>
          <w:szCs w:val="36"/>
          <w:lang w:eastAsia="en-US"/>
        </w:rPr>
        <w:t>7.14</w:t>
      </w:r>
      <w:r w:rsidR="00BF27A0" w:rsidRPr="00CD0789">
        <w:rPr>
          <w:rFonts w:ascii="Calibri" w:eastAsia="Calibri" w:hAnsi="Calibri"/>
          <w:b/>
          <w:sz w:val="36"/>
          <w:szCs w:val="36"/>
          <w:lang w:eastAsia="en-US"/>
        </w:rPr>
        <w:tab/>
      </w:r>
      <w:r w:rsidRPr="00CD0789">
        <w:rPr>
          <w:rFonts w:ascii="Calibri" w:eastAsia="Calibri" w:hAnsi="Calibri"/>
          <w:b/>
          <w:sz w:val="36"/>
          <w:szCs w:val="36"/>
          <w:lang w:eastAsia="en-US"/>
        </w:rPr>
        <w:t>TEZACAFTOR with IVACAFTOR</w:t>
      </w:r>
      <w:r w:rsidR="00BF27A0" w:rsidRPr="00CD0789">
        <w:rPr>
          <w:rFonts w:ascii="Calibri" w:eastAsia="Calibri" w:hAnsi="Calibri"/>
          <w:b/>
          <w:sz w:val="36"/>
          <w:szCs w:val="36"/>
          <w:lang w:eastAsia="en-US"/>
        </w:rPr>
        <w:t>,</w:t>
      </w:r>
    </w:p>
    <w:p w:rsidR="006E4716" w:rsidRPr="00CD0789" w:rsidRDefault="006E4716" w:rsidP="006E4716">
      <w:pPr>
        <w:ind w:left="720" w:firstLineChars="1" w:firstLine="4"/>
        <w:jc w:val="both"/>
        <w:rPr>
          <w:rFonts w:ascii="Calibri" w:eastAsia="Calibri" w:hAnsi="Calibri"/>
          <w:b/>
          <w:sz w:val="36"/>
          <w:szCs w:val="36"/>
          <w:lang w:eastAsia="en-US"/>
        </w:rPr>
      </w:pPr>
      <w:r w:rsidRPr="00CD0789">
        <w:rPr>
          <w:rFonts w:ascii="Calibri" w:eastAsia="Calibri" w:hAnsi="Calibri"/>
          <w:b/>
          <w:sz w:val="36"/>
          <w:szCs w:val="36"/>
          <w:lang w:eastAsia="en-US"/>
        </w:rPr>
        <w:t>Pack containing tezacaftor 100 mg with ivacaftor 150 mg tablets and ivacaftor 150 mg tablets,</w:t>
      </w:r>
    </w:p>
    <w:p w:rsidR="006E4716" w:rsidRPr="00CD0789" w:rsidRDefault="006E4716" w:rsidP="006E4716">
      <w:pPr>
        <w:ind w:firstLineChars="200" w:firstLine="720"/>
        <w:jc w:val="both"/>
        <w:rPr>
          <w:rFonts w:ascii="Calibri" w:eastAsia="Calibri" w:hAnsi="Calibri"/>
          <w:b/>
          <w:sz w:val="36"/>
          <w:szCs w:val="36"/>
          <w:lang w:eastAsia="en-US"/>
        </w:rPr>
      </w:pPr>
      <w:r w:rsidRPr="00CD0789">
        <w:rPr>
          <w:rFonts w:ascii="Calibri" w:eastAsia="Calibri" w:hAnsi="Calibri"/>
          <w:b/>
          <w:sz w:val="36"/>
          <w:szCs w:val="36"/>
          <w:lang w:eastAsia="en-US"/>
        </w:rPr>
        <w:t xml:space="preserve">Symdeko®, </w:t>
      </w:r>
    </w:p>
    <w:p w:rsidR="006552E6" w:rsidRPr="00CD0789" w:rsidRDefault="006E4716" w:rsidP="006E4716">
      <w:pPr>
        <w:ind w:firstLineChars="200" w:firstLine="720"/>
        <w:jc w:val="both"/>
        <w:rPr>
          <w:color w:val="000000" w:themeColor="text1"/>
        </w:rPr>
      </w:pPr>
      <w:r w:rsidRPr="00CD0789">
        <w:rPr>
          <w:rFonts w:ascii="Calibri" w:eastAsia="Calibri" w:hAnsi="Calibri"/>
          <w:b/>
          <w:sz w:val="36"/>
          <w:szCs w:val="36"/>
          <w:lang w:eastAsia="en-US"/>
        </w:rPr>
        <w:t>Vertex Pharmaceuticals</w:t>
      </w:r>
      <w:r w:rsidR="006552E6" w:rsidRPr="00CD0789">
        <w:tab/>
      </w:r>
    </w:p>
    <w:p w:rsidR="00BA2DA8" w:rsidRPr="00CD0789" w:rsidRDefault="00CE10C4" w:rsidP="00E0207E">
      <w:pPr>
        <w:pStyle w:val="2Sections"/>
        <w:numPr>
          <w:ilvl w:val="0"/>
          <w:numId w:val="20"/>
        </w:numPr>
      </w:pPr>
      <w:r w:rsidRPr="00CD0789">
        <w:t xml:space="preserve">Purpose of </w:t>
      </w:r>
      <w:r w:rsidR="0004240E" w:rsidRPr="00CD0789">
        <w:t>Application</w:t>
      </w:r>
      <w:r w:rsidR="00034905" w:rsidRPr="00CD0789">
        <w:t xml:space="preserve"> </w:t>
      </w:r>
    </w:p>
    <w:p w:rsidR="00C47329" w:rsidRPr="00CD0789" w:rsidRDefault="00F33AC7" w:rsidP="00B72BDA">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D0789">
        <w:rPr>
          <w:rFonts w:asciiTheme="minorHAnsi" w:eastAsiaTheme="minorHAnsi" w:hAnsiTheme="minorHAnsi" w:cstheme="minorBidi"/>
          <w:snapToGrid/>
          <w:sz w:val="24"/>
          <w:szCs w:val="22"/>
        </w:rPr>
        <w:t xml:space="preserve">To request extension of </w:t>
      </w:r>
      <w:r w:rsidR="005510A1" w:rsidRPr="00CD0789">
        <w:rPr>
          <w:rFonts w:asciiTheme="minorHAnsi" w:eastAsiaTheme="minorHAnsi" w:hAnsiTheme="minorHAnsi" w:cstheme="minorBidi"/>
          <w:snapToGrid/>
          <w:sz w:val="24"/>
          <w:szCs w:val="22"/>
        </w:rPr>
        <w:t>the</w:t>
      </w:r>
      <w:r w:rsidRPr="00CD0789">
        <w:rPr>
          <w:rFonts w:asciiTheme="minorHAnsi" w:eastAsiaTheme="minorHAnsi" w:hAnsiTheme="minorHAnsi" w:cstheme="minorBidi"/>
          <w:snapToGrid/>
          <w:sz w:val="24"/>
          <w:szCs w:val="22"/>
        </w:rPr>
        <w:t xml:space="preserve"> March 2019 PBAC</w:t>
      </w:r>
      <w:r w:rsidR="005510A1" w:rsidRPr="00CD0789">
        <w:rPr>
          <w:rFonts w:asciiTheme="minorHAnsi" w:eastAsiaTheme="minorHAnsi" w:hAnsiTheme="minorHAnsi" w:cstheme="minorBidi"/>
          <w:snapToGrid/>
          <w:sz w:val="24"/>
          <w:szCs w:val="22"/>
        </w:rPr>
        <w:t xml:space="preserve"> recommended </w:t>
      </w:r>
      <w:r w:rsidR="00C47329" w:rsidRPr="00CD0789">
        <w:rPr>
          <w:rFonts w:asciiTheme="minorHAnsi" w:eastAsiaTheme="minorHAnsi" w:hAnsiTheme="minorHAnsi" w:cstheme="minorBidi"/>
          <w:snapToGrid/>
          <w:sz w:val="24"/>
          <w:szCs w:val="22"/>
        </w:rPr>
        <w:t xml:space="preserve">Authority Required </w:t>
      </w:r>
      <w:r w:rsidR="005510A1" w:rsidRPr="00CD0789">
        <w:rPr>
          <w:rFonts w:asciiTheme="minorHAnsi" w:eastAsiaTheme="minorHAnsi" w:hAnsiTheme="minorHAnsi" w:cstheme="minorBidi"/>
          <w:snapToGrid/>
          <w:sz w:val="24"/>
          <w:szCs w:val="22"/>
        </w:rPr>
        <w:t>listing for tezacaftor with ivacaftor</w:t>
      </w:r>
      <w:r w:rsidR="001E5C60">
        <w:rPr>
          <w:rFonts w:asciiTheme="minorHAnsi" w:eastAsiaTheme="minorHAnsi" w:hAnsiTheme="minorHAnsi" w:cstheme="minorBidi"/>
          <w:snapToGrid/>
          <w:sz w:val="24"/>
          <w:szCs w:val="22"/>
        </w:rPr>
        <w:t xml:space="preserve"> (tezacaftor/ivacaftor)</w:t>
      </w:r>
      <w:r w:rsidR="005510A1" w:rsidRPr="00CD0789">
        <w:rPr>
          <w:rFonts w:asciiTheme="minorHAnsi" w:eastAsiaTheme="minorHAnsi" w:hAnsiTheme="minorHAnsi" w:cstheme="minorBidi"/>
          <w:snapToGrid/>
          <w:sz w:val="24"/>
          <w:szCs w:val="22"/>
        </w:rPr>
        <w:t xml:space="preserve"> for the treatment of patients aged 12 years or older </w:t>
      </w:r>
      <w:r w:rsidR="0077498D" w:rsidRPr="00CD0789">
        <w:rPr>
          <w:rFonts w:asciiTheme="minorHAnsi" w:eastAsiaTheme="minorHAnsi" w:hAnsiTheme="minorHAnsi" w:cstheme="minorBidi"/>
          <w:snapToGrid/>
          <w:sz w:val="24"/>
          <w:szCs w:val="22"/>
        </w:rPr>
        <w:t xml:space="preserve">with cystic fibrosis (CF) </w:t>
      </w:r>
      <w:r w:rsidR="005510A1" w:rsidRPr="00CD0789">
        <w:rPr>
          <w:rFonts w:asciiTheme="minorHAnsi" w:eastAsiaTheme="minorHAnsi" w:hAnsiTheme="minorHAnsi" w:cstheme="minorBidi"/>
          <w:snapToGrid/>
          <w:sz w:val="24"/>
          <w:szCs w:val="22"/>
        </w:rPr>
        <w:t xml:space="preserve">who have one copy of the F508del mutation and another residual function (RF) mutation in the </w:t>
      </w:r>
      <w:r w:rsidR="0077498D" w:rsidRPr="00CD0789">
        <w:rPr>
          <w:rFonts w:asciiTheme="minorHAnsi" w:eastAsiaTheme="minorHAnsi" w:hAnsiTheme="minorHAnsi" w:cstheme="minorBidi"/>
          <w:snapToGrid/>
          <w:sz w:val="24"/>
          <w:szCs w:val="22"/>
        </w:rPr>
        <w:t xml:space="preserve">CF </w:t>
      </w:r>
      <w:r w:rsidR="005510A1" w:rsidRPr="00CD0789">
        <w:rPr>
          <w:rFonts w:asciiTheme="minorHAnsi" w:eastAsiaTheme="minorHAnsi" w:hAnsiTheme="minorHAnsi" w:cstheme="minorBidi"/>
          <w:snapToGrid/>
          <w:sz w:val="24"/>
          <w:szCs w:val="22"/>
        </w:rPr>
        <w:t>transmembrane conductance regulator (CFTR) gene,</w:t>
      </w:r>
      <w:r w:rsidR="00C47329" w:rsidRPr="00CD0789">
        <w:rPr>
          <w:rFonts w:asciiTheme="minorHAnsi" w:eastAsiaTheme="minorHAnsi" w:hAnsiTheme="minorHAnsi" w:cstheme="minorBidi"/>
          <w:snapToGrid/>
          <w:sz w:val="24"/>
          <w:szCs w:val="22"/>
        </w:rPr>
        <w:t xml:space="preserve"> to </w:t>
      </w:r>
      <w:r w:rsidRPr="00CD0789">
        <w:rPr>
          <w:rFonts w:asciiTheme="minorHAnsi" w:eastAsiaTheme="minorHAnsi" w:hAnsiTheme="minorHAnsi" w:cstheme="minorBidi"/>
          <w:snapToGrid/>
          <w:sz w:val="24"/>
          <w:szCs w:val="22"/>
        </w:rPr>
        <w:t xml:space="preserve">include </w:t>
      </w:r>
      <w:r w:rsidR="00C47329" w:rsidRPr="00CD0789">
        <w:rPr>
          <w:rFonts w:asciiTheme="minorHAnsi" w:eastAsiaTheme="minorHAnsi" w:hAnsiTheme="minorHAnsi" w:cstheme="minorBidi"/>
          <w:snapToGrid/>
          <w:sz w:val="24"/>
          <w:szCs w:val="22"/>
        </w:rPr>
        <w:t>all</w:t>
      </w:r>
      <w:r w:rsidR="005510A1" w:rsidRPr="00CD0789">
        <w:rPr>
          <w:rFonts w:asciiTheme="minorHAnsi" w:eastAsiaTheme="minorHAnsi" w:hAnsiTheme="minorHAnsi" w:cstheme="minorBidi"/>
          <w:snapToGrid/>
          <w:sz w:val="24"/>
          <w:szCs w:val="22"/>
        </w:rPr>
        <w:t xml:space="preserve"> CF patients aged 12 years and older who have at least one RF mutation</w:t>
      </w:r>
      <w:r w:rsidR="0077498D" w:rsidRPr="00CD0789">
        <w:rPr>
          <w:rFonts w:asciiTheme="minorHAnsi" w:eastAsiaTheme="minorHAnsi" w:hAnsiTheme="minorHAnsi" w:cstheme="minorBidi"/>
          <w:snapToGrid/>
          <w:sz w:val="24"/>
          <w:szCs w:val="22"/>
        </w:rPr>
        <w:t xml:space="preserve"> in the CFTR gene</w:t>
      </w:r>
      <w:r w:rsidR="00C47329" w:rsidRPr="00CD0789">
        <w:rPr>
          <w:rFonts w:asciiTheme="minorHAnsi" w:eastAsiaTheme="minorHAnsi" w:hAnsiTheme="minorHAnsi" w:cstheme="minorBidi"/>
          <w:snapToGrid/>
          <w:sz w:val="24"/>
          <w:szCs w:val="22"/>
        </w:rPr>
        <w:t>.</w:t>
      </w:r>
    </w:p>
    <w:p w:rsidR="001A76FB" w:rsidRPr="00CD0789" w:rsidRDefault="006A12A5" w:rsidP="001A76FB">
      <w:pPr>
        <w:pStyle w:val="2Sections"/>
      </w:pPr>
      <w:r w:rsidRPr="00CD0789">
        <w:t>Requested listing</w:t>
      </w:r>
    </w:p>
    <w:p w:rsidR="00BA2DA8" w:rsidRPr="00CD0789" w:rsidRDefault="00610D36" w:rsidP="00387992">
      <w:pPr>
        <w:pStyle w:val="Bodytextitalics"/>
        <w:jc w:val="both"/>
        <w:rPr>
          <w:i w:val="0"/>
        </w:rPr>
      </w:pPr>
      <w:r w:rsidRPr="00CD0789">
        <w:rPr>
          <w:i w:val="0"/>
        </w:rPr>
        <w:t>The</w:t>
      </w:r>
      <w:r w:rsidR="0067747D" w:rsidRPr="00CD0789">
        <w:rPr>
          <w:i w:val="0"/>
        </w:rPr>
        <w:t xml:space="preserve"> Secretariat </w:t>
      </w:r>
      <w:r w:rsidRPr="00CD0789">
        <w:rPr>
          <w:i w:val="0"/>
        </w:rPr>
        <w:t xml:space="preserve">has proposed the following changes </w:t>
      </w:r>
      <w:r w:rsidR="0067747D" w:rsidRPr="00CD0789">
        <w:rPr>
          <w:i w:val="0"/>
        </w:rPr>
        <w:t xml:space="preserve">to the </w:t>
      </w:r>
      <w:r w:rsidR="00CD564F" w:rsidRPr="00CD0789">
        <w:rPr>
          <w:i w:val="0"/>
        </w:rPr>
        <w:t xml:space="preserve">current draft </w:t>
      </w:r>
      <w:r w:rsidR="00622DA2" w:rsidRPr="00CD0789">
        <w:rPr>
          <w:i w:val="0"/>
        </w:rPr>
        <w:t xml:space="preserve">restriction for initial treatment for patients with one F508del and one RF mutation in the CFTR gene </w:t>
      </w:r>
      <w:r w:rsidR="000E555C" w:rsidRPr="00CD0789">
        <w:rPr>
          <w:i w:val="0"/>
        </w:rPr>
        <w:t>(abbreviated form shown below)</w:t>
      </w:r>
      <w:r w:rsidR="00D07A8A" w:rsidRPr="00CD0789">
        <w:rPr>
          <w:i w:val="0"/>
        </w:rPr>
        <w:t xml:space="preserve"> </w:t>
      </w:r>
      <w:r w:rsidR="00CD564F" w:rsidRPr="00CD0789">
        <w:rPr>
          <w:i w:val="0"/>
        </w:rPr>
        <w:t xml:space="preserve">which is intended </w:t>
      </w:r>
      <w:r w:rsidR="00AC7DB8" w:rsidRPr="00CD0789">
        <w:rPr>
          <w:i w:val="0"/>
        </w:rPr>
        <w:t>for listing</w:t>
      </w:r>
      <w:r w:rsidR="00622DA2" w:rsidRPr="00CD0789">
        <w:rPr>
          <w:i w:val="0"/>
        </w:rPr>
        <w:t xml:space="preserve"> on the PBS </w:t>
      </w:r>
      <w:r w:rsidR="00AC7DB8" w:rsidRPr="00CD0789">
        <w:rPr>
          <w:i w:val="0"/>
        </w:rPr>
        <w:t>on</w:t>
      </w:r>
      <w:r w:rsidR="00622DA2" w:rsidRPr="00CD0789">
        <w:rPr>
          <w:i w:val="0"/>
        </w:rPr>
        <w:t xml:space="preserve"> 1 December</w:t>
      </w:r>
      <w:r w:rsidR="00AB5511" w:rsidRPr="00CD0789">
        <w:rPr>
          <w:i w:val="0"/>
        </w:rPr>
        <w:t xml:space="preserve"> 2019</w:t>
      </w:r>
      <w:r w:rsidR="00622DA2" w:rsidRPr="00CD0789">
        <w:rPr>
          <w:i w:val="0"/>
        </w:rPr>
        <w:t>,</w:t>
      </w:r>
      <w:r w:rsidR="00AB5511" w:rsidRPr="00CD0789">
        <w:rPr>
          <w:i w:val="0"/>
        </w:rPr>
        <w:t xml:space="preserve"> </w:t>
      </w:r>
      <w:r w:rsidRPr="00CD0789">
        <w:rPr>
          <w:i w:val="0"/>
        </w:rPr>
        <w:t xml:space="preserve">with </w:t>
      </w:r>
      <w:r w:rsidR="00D07A8A" w:rsidRPr="00CD0789">
        <w:rPr>
          <w:i w:val="0"/>
        </w:rPr>
        <w:t>deletions in strikethrough</w:t>
      </w:r>
      <w:r w:rsidR="00EF25C3" w:rsidRPr="00CD0789">
        <w:rPr>
          <w:i w:val="0"/>
        </w:rPr>
        <w:t xml:space="preserve"> and additions in italics</w:t>
      </w:r>
      <w:r w:rsidR="0067747D" w:rsidRPr="00CD0789">
        <w:rPr>
          <w:i w:val="0"/>
        </w:rPr>
        <w:t>.</w:t>
      </w:r>
    </w:p>
    <w:tbl>
      <w:tblPr>
        <w:tblW w:w="9214" w:type="dxa"/>
        <w:tblLayout w:type="fixed"/>
        <w:tblLook w:val="0000" w:firstRow="0" w:lastRow="0" w:firstColumn="0" w:lastColumn="0" w:noHBand="0" w:noVBand="0"/>
      </w:tblPr>
      <w:tblGrid>
        <w:gridCol w:w="2410"/>
        <w:gridCol w:w="1559"/>
        <w:gridCol w:w="851"/>
        <w:gridCol w:w="992"/>
        <w:gridCol w:w="1985"/>
        <w:gridCol w:w="1417"/>
      </w:tblGrid>
      <w:tr w:rsidR="009E7FA9" w:rsidRPr="00CD0789" w:rsidTr="00387992">
        <w:trPr>
          <w:cantSplit/>
          <w:trHeight w:val="471"/>
        </w:trPr>
        <w:tc>
          <w:tcPr>
            <w:tcW w:w="3969" w:type="dxa"/>
            <w:gridSpan w:val="2"/>
            <w:tcBorders>
              <w:bottom w:val="single" w:sz="4" w:space="0" w:color="auto"/>
            </w:tcBorders>
          </w:tcPr>
          <w:p w:rsidR="009E7FA9" w:rsidRPr="00CD0789" w:rsidRDefault="009E7FA9" w:rsidP="003476EE">
            <w:pPr>
              <w:keepNext/>
              <w:ind w:left="-108"/>
              <w:jc w:val="both"/>
              <w:rPr>
                <w:rFonts w:ascii="Arial Narrow" w:hAnsi="Arial Narrow" w:cs="Arial"/>
                <w:sz w:val="20"/>
                <w:szCs w:val="20"/>
              </w:rPr>
            </w:pPr>
            <w:r w:rsidRPr="00CD0789">
              <w:rPr>
                <w:rFonts w:ascii="Arial Narrow" w:hAnsi="Arial Narrow" w:cs="Arial"/>
                <w:sz w:val="20"/>
                <w:szCs w:val="20"/>
              </w:rPr>
              <w:t>Name, Restriction,</w:t>
            </w:r>
          </w:p>
          <w:p w:rsidR="009E7FA9" w:rsidRPr="00CD0789" w:rsidRDefault="009E7FA9" w:rsidP="003476EE">
            <w:pPr>
              <w:keepNext/>
              <w:ind w:left="-108"/>
              <w:jc w:val="both"/>
              <w:rPr>
                <w:rFonts w:ascii="Arial Narrow" w:hAnsi="Arial Narrow" w:cs="Arial"/>
                <w:sz w:val="20"/>
                <w:szCs w:val="20"/>
              </w:rPr>
            </w:pPr>
            <w:r w:rsidRPr="00CD0789">
              <w:rPr>
                <w:rFonts w:ascii="Arial Narrow" w:hAnsi="Arial Narrow" w:cs="Arial"/>
                <w:sz w:val="20"/>
                <w:szCs w:val="20"/>
              </w:rPr>
              <w:t>Manner of administration and form</w:t>
            </w:r>
          </w:p>
        </w:tc>
        <w:tc>
          <w:tcPr>
            <w:tcW w:w="851" w:type="dxa"/>
            <w:tcBorders>
              <w:bottom w:val="single" w:sz="4" w:space="0" w:color="auto"/>
            </w:tcBorders>
          </w:tcPr>
          <w:p w:rsidR="009E7FA9" w:rsidRPr="00CD0789" w:rsidRDefault="009E7FA9" w:rsidP="003476EE">
            <w:pPr>
              <w:keepNext/>
              <w:ind w:left="-108"/>
              <w:jc w:val="both"/>
              <w:rPr>
                <w:rFonts w:ascii="Arial Narrow" w:hAnsi="Arial Narrow" w:cs="Arial"/>
                <w:sz w:val="20"/>
                <w:szCs w:val="20"/>
              </w:rPr>
            </w:pPr>
            <w:r w:rsidRPr="00CD0789">
              <w:rPr>
                <w:rFonts w:ascii="Arial Narrow" w:hAnsi="Arial Narrow" w:cs="Arial"/>
                <w:sz w:val="20"/>
                <w:szCs w:val="20"/>
              </w:rPr>
              <w:t>Max.</w:t>
            </w:r>
          </w:p>
          <w:p w:rsidR="009E7FA9" w:rsidRPr="00CD0789" w:rsidRDefault="009E7FA9" w:rsidP="003476EE">
            <w:pPr>
              <w:keepNext/>
              <w:ind w:left="-108"/>
              <w:jc w:val="both"/>
              <w:rPr>
                <w:rFonts w:ascii="Arial Narrow" w:hAnsi="Arial Narrow" w:cs="Arial"/>
                <w:sz w:val="20"/>
                <w:szCs w:val="20"/>
              </w:rPr>
            </w:pPr>
            <w:r w:rsidRPr="00CD0789">
              <w:rPr>
                <w:rFonts w:ascii="Arial Narrow" w:hAnsi="Arial Narrow" w:cs="Arial"/>
                <w:sz w:val="20"/>
                <w:szCs w:val="20"/>
              </w:rPr>
              <w:t>Qty</w:t>
            </w:r>
          </w:p>
        </w:tc>
        <w:tc>
          <w:tcPr>
            <w:tcW w:w="992" w:type="dxa"/>
            <w:tcBorders>
              <w:bottom w:val="single" w:sz="4" w:space="0" w:color="auto"/>
            </w:tcBorders>
          </w:tcPr>
          <w:p w:rsidR="009E7FA9" w:rsidRPr="00CD0789" w:rsidRDefault="009E7FA9" w:rsidP="003476EE">
            <w:pPr>
              <w:keepNext/>
              <w:ind w:left="-108"/>
              <w:jc w:val="both"/>
              <w:rPr>
                <w:rFonts w:ascii="Arial Narrow" w:hAnsi="Arial Narrow" w:cs="Arial"/>
                <w:sz w:val="20"/>
                <w:szCs w:val="20"/>
              </w:rPr>
            </w:pPr>
            <w:r w:rsidRPr="00CD0789">
              <w:rPr>
                <w:rFonts w:ascii="Arial Narrow" w:hAnsi="Arial Narrow" w:cs="Arial"/>
                <w:sz w:val="20"/>
                <w:szCs w:val="20"/>
              </w:rPr>
              <w:t>№.of</w:t>
            </w:r>
          </w:p>
          <w:p w:rsidR="009E7FA9" w:rsidRPr="00CD0789" w:rsidRDefault="009E7FA9" w:rsidP="003476EE">
            <w:pPr>
              <w:keepNext/>
              <w:ind w:left="-108"/>
              <w:jc w:val="both"/>
              <w:rPr>
                <w:rFonts w:ascii="Arial Narrow" w:hAnsi="Arial Narrow" w:cs="Arial"/>
                <w:sz w:val="20"/>
                <w:szCs w:val="20"/>
              </w:rPr>
            </w:pPr>
            <w:r w:rsidRPr="00CD0789">
              <w:rPr>
                <w:rFonts w:ascii="Arial Narrow" w:hAnsi="Arial Narrow" w:cs="Arial"/>
                <w:sz w:val="20"/>
                <w:szCs w:val="20"/>
              </w:rPr>
              <w:t>Rpts</w:t>
            </w:r>
          </w:p>
        </w:tc>
        <w:tc>
          <w:tcPr>
            <w:tcW w:w="3402" w:type="dxa"/>
            <w:gridSpan w:val="2"/>
            <w:tcBorders>
              <w:left w:val="nil"/>
              <w:bottom w:val="single" w:sz="4" w:space="0" w:color="auto"/>
            </w:tcBorders>
          </w:tcPr>
          <w:p w:rsidR="009E7FA9" w:rsidRPr="0074233E" w:rsidRDefault="009E7FA9" w:rsidP="003476EE">
            <w:pPr>
              <w:keepNext/>
              <w:jc w:val="both"/>
              <w:rPr>
                <w:rFonts w:ascii="Arial Narrow" w:hAnsi="Arial Narrow" w:cs="Arial"/>
                <w:sz w:val="20"/>
                <w:szCs w:val="20"/>
              </w:rPr>
            </w:pPr>
            <w:r w:rsidRPr="00CD0789">
              <w:rPr>
                <w:rFonts w:ascii="Arial Narrow" w:hAnsi="Arial Narrow" w:cs="Arial"/>
                <w:sz w:val="20"/>
                <w:szCs w:val="20"/>
              </w:rPr>
              <w:t>Proprietary Name and Manufacturer</w:t>
            </w:r>
          </w:p>
        </w:tc>
      </w:tr>
      <w:tr w:rsidR="00F22ACF" w:rsidRPr="00CD0789" w:rsidTr="00F22ACF">
        <w:trPr>
          <w:cantSplit/>
          <w:trHeight w:val="577"/>
        </w:trPr>
        <w:tc>
          <w:tcPr>
            <w:tcW w:w="3969" w:type="dxa"/>
            <w:gridSpan w:val="2"/>
          </w:tcPr>
          <w:p w:rsidR="009E7FA9" w:rsidRPr="00CD0789" w:rsidRDefault="009E7FA9" w:rsidP="003476EE">
            <w:pPr>
              <w:keepNext/>
              <w:ind w:left="-108"/>
              <w:jc w:val="both"/>
              <w:rPr>
                <w:rFonts w:ascii="Arial Narrow" w:hAnsi="Arial Narrow" w:cs="Arial"/>
                <w:sz w:val="20"/>
                <w:szCs w:val="20"/>
              </w:rPr>
            </w:pPr>
            <w:r w:rsidRPr="00CD0789">
              <w:rPr>
                <w:rFonts w:ascii="Arial Narrow" w:hAnsi="Arial Narrow"/>
                <w:smallCaps/>
                <w:sz w:val="20"/>
              </w:rPr>
              <w:t>TEZACAFTOR + IVACAFTOR (&amp;) IVACAFTOR</w:t>
            </w:r>
            <w:r w:rsidRPr="00CD0789">
              <w:rPr>
                <w:rFonts w:ascii="Arial Narrow" w:hAnsi="Arial Narrow" w:cs="Arial"/>
                <w:sz w:val="20"/>
                <w:szCs w:val="20"/>
              </w:rPr>
              <w:t xml:space="preserve"> </w:t>
            </w:r>
          </w:p>
          <w:p w:rsidR="009E7FA9" w:rsidRPr="00CD0789" w:rsidRDefault="009E7FA9" w:rsidP="003476EE">
            <w:pPr>
              <w:keepNext/>
              <w:ind w:left="-108"/>
              <w:jc w:val="both"/>
              <w:rPr>
                <w:rFonts w:ascii="Arial Narrow" w:hAnsi="Arial Narrow" w:cs="Arial"/>
                <w:color w:val="FF0000"/>
                <w:sz w:val="20"/>
                <w:szCs w:val="20"/>
              </w:rPr>
            </w:pPr>
            <w:r w:rsidRPr="00CD0789">
              <w:rPr>
                <w:rFonts w:ascii="Arial Narrow" w:hAnsi="Arial Narrow" w:cs="Arial"/>
                <w:sz w:val="20"/>
                <w:szCs w:val="20"/>
              </w:rPr>
              <w:t>Tezacaftor 100 mg + ivacaftor 150 mg tablet [28] (&amp;) ivacaftor 150 mg tablet [28], 1 pack</w:t>
            </w:r>
          </w:p>
        </w:tc>
        <w:tc>
          <w:tcPr>
            <w:tcW w:w="851" w:type="dxa"/>
            <w:tcBorders>
              <w:top w:val="single" w:sz="4" w:space="0" w:color="auto"/>
            </w:tcBorders>
          </w:tcPr>
          <w:p w:rsidR="009E7FA9" w:rsidRPr="00CD0789" w:rsidRDefault="009E7FA9" w:rsidP="003476EE">
            <w:pPr>
              <w:keepNext/>
              <w:ind w:left="-108"/>
              <w:jc w:val="both"/>
              <w:rPr>
                <w:rFonts w:ascii="Arial Narrow" w:hAnsi="Arial Narrow" w:cs="Arial"/>
                <w:sz w:val="20"/>
                <w:szCs w:val="20"/>
              </w:rPr>
            </w:pPr>
          </w:p>
          <w:p w:rsidR="009E7FA9" w:rsidRPr="00CD0789" w:rsidRDefault="009E7FA9" w:rsidP="003476EE">
            <w:pPr>
              <w:keepNext/>
              <w:ind w:left="-108"/>
              <w:jc w:val="both"/>
              <w:rPr>
                <w:rFonts w:ascii="Arial Narrow" w:hAnsi="Arial Narrow" w:cs="Arial"/>
                <w:sz w:val="20"/>
                <w:szCs w:val="20"/>
              </w:rPr>
            </w:pPr>
            <w:r w:rsidRPr="00CD0789">
              <w:rPr>
                <w:rFonts w:ascii="Arial Narrow" w:hAnsi="Arial Narrow" w:cs="Arial"/>
                <w:sz w:val="20"/>
                <w:szCs w:val="20"/>
              </w:rPr>
              <w:t xml:space="preserve"> 1</w:t>
            </w:r>
          </w:p>
        </w:tc>
        <w:tc>
          <w:tcPr>
            <w:tcW w:w="992" w:type="dxa"/>
            <w:tcBorders>
              <w:top w:val="single" w:sz="4" w:space="0" w:color="auto"/>
            </w:tcBorders>
          </w:tcPr>
          <w:p w:rsidR="009E7FA9" w:rsidRPr="00CD0789" w:rsidRDefault="009E7FA9" w:rsidP="003476EE">
            <w:pPr>
              <w:keepNext/>
              <w:ind w:left="-108"/>
              <w:jc w:val="both"/>
              <w:rPr>
                <w:rFonts w:ascii="Arial Narrow" w:hAnsi="Arial Narrow" w:cs="Arial"/>
                <w:sz w:val="20"/>
                <w:szCs w:val="20"/>
              </w:rPr>
            </w:pPr>
          </w:p>
          <w:p w:rsidR="009E7FA9" w:rsidRPr="00CD0789" w:rsidRDefault="009E7FA9" w:rsidP="003476EE">
            <w:pPr>
              <w:keepNext/>
              <w:ind w:left="-108"/>
              <w:jc w:val="both"/>
              <w:rPr>
                <w:rFonts w:ascii="Arial Narrow" w:hAnsi="Arial Narrow" w:cs="Arial"/>
                <w:sz w:val="20"/>
                <w:szCs w:val="20"/>
              </w:rPr>
            </w:pPr>
            <w:r w:rsidRPr="00CD0789">
              <w:rPr>
                <w:rFonts w:ascii="Arial Narrow" w:hAnsi="Arial Narrow" w:cs="Arial"/>
                <w:sz w:val="20"/>
                <w:szCs w:val="20"/>
              </w:rPr>
              <w:t>5</w:t>
            </w:r>
          </w:p>
        </w:tc>
        <w:tc>
          <w:tcPr>
            <w:tcW w:w="1985" w:type="dxa"/>
            <w:tcBorders>
              <w:top w:val="single" w:sz="4" w:space="0" w:color="auto"/>
              <w:left w:val="nil"/>
            </w:tcBorders>
          </w:tcPr>
          <w:p w:rsidR="009E7FA9" w:rsidRPr="00CD0789" w:rsidRDefault="009E7FA9" w:rsidP="00B63D4E">
            <w:pPr>
              <w:keepNext/>
              <w:jc w:val="both"/>
              <w:rPr>
                <w:rFonts w:ascii="Arial Narrow" w:hAnsi="Arial Narrow" w:cs="Arial"/>
                <w:sz w:val="20"/>
                <w:szCs w:val="20"/>
              </w:rPr>
            </w:pPr>
          </w:p>
          <w:p w:rsidR="009E7FA9" w:rsidRPr="00CD0789" w:rsidRDefault="009E7FA9" w:rsidP="00B63D4E">
            <w:pPr>
              <w:keepNext/>
              <w:jc w:val="both"/>
              <w:rPr>
                <w:rFonts w:ascii="Arial Narrow" w:hAnsi="Arial Narrow" w:cs="Arial"/>
                <w:sz w:val="20"/>
                <w:szCs w:val="20"/>
              </w:rPr>
            </w:pPr>
            <w:r w:rsidRPr="00CD0789">
              <w:rPr>
                <w:rFonts w:ascii="Arial Narrow" w:hAnsi="Arial Narrow"/>
                <w:sz w:val="20"/>
              </w:rPr>
              <w:t>Symdeko®</w:t>
            </w:r>
          </w:p>
        </w:tc>
        <w:tc>
          <w:tcPr>
            <w:tcW w:w="1417" w:type="dxa"/>
            <w:tcBorders>
              <w:top w:val="single" w:sz="4" w:space="0" w:color="auto"/>
            </w:tcBorders>
          </w:tcPr>
          <w:p w:rsidR="009E7FA9" w:rsidRPr="00CD0789" w:rsidRDefault="009E7FA9" w:rsidP="003476EE">
            <w:pPr>
              <w:keepNext/>
              <w:jc w:val="both"/>
              <w:rPr>
                <w:rFonts w:ascii="Arial Narrow" w:hAnsi="Arial Narrow" w:cs="Arial"/>
                <w:sz w:val="20"/>
                <w:szCs w:val="20"/>
              </w:rPr>
            </w:pPr>
          </w:p>
          <w:p w:rsidR="009E7FA9" w:rsidRPr="00CD0789" w:rsidRDefault="009E7FA9" w:rsidP="003476EE">
            <w:pPr>
              <w:keepNext/>
              <w:jc w:val="both"/>
              <w:rPr>
                <w:rFonts w:ascii="Arial Narrow" w:hAnsi="Arial Narrow" w:cs="Arial"/>
                <w:sz w:val="20"/>
                <w:szCs w:val="20"/>
              </w:rPr>
            </w:pPr>
            <w:r w:rsidRPr="00CD0789">
              <w:rPr>
                <w:rFonts w:ascii="Arial Narrow" w:hAnsi="Arial Narrow"/>
                <w:sz w:val="20"/>
              </w:rPr>
              <w:t>Vertex</w:t>
            </w:r>
          </w:p>
        </w:tc>
      </w:tr>
      <w:tr w:rsidR="009324A6" w:rsidRPr="00CD0789" w:rsidTr="002B388A">
        <w:trPr>
          <w:cantSplit/>
          <w:trHeight w:val="360"/>
        </w:trPr>
        <w:tc>
          <w:tcPr>
            <w:tcW w:w="9214" w:type="dxa"/>
            <w:gridSpan w:val="6"/>
            <w:tcBorders>
              <w:bottom w:val="single" w:sz="4" w:space="0" w:color="auto"/>
            </w:tcBorders>
          </w:tcPr>
          <w:p w:rsidR="009324A6" w:rsidRPr="00CD0789" w:rsidRDefault="009324A6" w:rsidP="003476EE">
            <w:pPr>
              <w:jc w:val="both"/>
              <w:rPr>
                <w:rFonts w:ascii="Arial Narrow" w:hAnsi="Arial Narrow" w:cs="Arial"/>
                <w:sz w:val="20"/>
                <w:szCs w:val="20"/>
              </w:rPr>
            </w:pPr>
          </w:p>
        </w:tc>
      </w:tr>
      <w:tr w:rsidR="009324A6" w:rsidRPr="00CD0789" w:rsidTr="00622DA2">
        <w:trPr>
          <w:cantSplit/>
          <w:trHeight w:val="360"/>
        </w:trPr>
        <w:tc>
          <w:tcPr>
            <w:tcW w:w="2410" w:type="dxa"/>
            <w:tcBorders>
              <w:top w:val="single" w:sz="4" w:space="0" w:color="auto"/>
              <w:left w:val="single" w:sz="4" w:space="0" w:color="auto"/>
              <w:bottom w:val="single" w:sz="4" w:space="0" w:color="auto"/>
              <w:right w:val="single" w:sz="4" w:space="0" w:color="auto"/>
            </w:tcBorders>
          </w:tcPr>
          <w:p w:rsidR="009324A6" w:rsidRPr="00CD0789" w:rsidRDefault="009324A6" w:rsidP="003476EE">
            <w:pPr>
              <w:jc w:val="both"/>
              <w:rPr>
                <w:rFonts w:ascii="Arial Narrow" w:hAnsi="Arial Narrow" w:cs="Arial"/>
                <w:b/>
                <w:sz w:val="20"/>
                <w:szCs w:val="20"/>
              </w:rPr>
            </w:pPr>
            <w:r w:rsidRPr="00CD0789">
              <w:rPr>
                <w:rFonts w:ascii="Arial Narrow" w:hAnsi="Arial Narrow" w:cs="Arial"/>
                <w:b/>
                <w:sz w:val="20"/>
                <w:szCs w:val="20"/>
              </w:rPr>
              <w:t>Category / Program:</w:t>
            </w:r>
          </w:p>
        </w:tc>
        <w:tc>
          <w:tcPr>
            <w:tcW w:w="6804" w:type="dxa"/>
            <w:gridSpan w:val="5"/>
            <w:tcBorders>
              <w:top w:val="single" w:sz="4" w:space="0" w:color="auto"/>
              <w:left w:val="single" w:sz="4" w:space="0" w:color="auto"/>
              <w:bottom w:val="single" w:sz="4" w:space="0" w:color="auto"/>
              <w:right w:val="single" w:sz="4" w:space="0" w:color="auto"/>
            </w:tcBorders>
          </w:tcPr>
          <w:p w:rsidR="009324A6" w:rsidRPr="00CD0789" w:rsidRDefault="009324A6" w:rsidP="003476EE">
            <w:pPr>
              <w:jc w:val="both"/>
              <w:rPr>
                <w:rFonts w:ascii="Arial Narrow" w:hAnsi="Arial Narrow" w:cs="Arial"/>
                <w:sz w:val="20"/>
                <w:szCs w:val="20"/>
              </w:rPr>
            </w:pPr>
            <w:r w:rsidRPr="00CD0789">
              <w:rPr>
                <w:rFonts w:ascii="Arial Narrow" w:hAnsi="Arial Narrow" w:cs="Arial"/>
                <w:sz w:val="20"/>
                <w:szCs w:val="20"/>
              </w:rPr>
              <w:t>Section 100 – Highly Specialised Drugs Program</w:t>
            </w:r>
            <w:r w:rsidR="001754E6" w:rsidRPr="00CD0789">
              <w:rPr>
                <w:rFonts w:ascii="Arial Narrow" w:hAnsi="Arial Narrow" w:cs="Arial"/>
                <w:sz w:val="20"/>
                <w:szCs w:val="20"/>
              </w:rPr>
              <w:t xml:space="preserve"> </w:t>
            </w:r>
          </w:p>
        </w:tc>
      </w:tr>
      <w:tr w:rsidR="009324A6" w:rsidRPr="00CD0789" w:rsidTr="00622DA2">
        <w:trPr>
          <w:cantSplit/>
          <w:trHeight w:val="360"/>
        </w:trPr>
        <w:tc>
          <w:tcPr>
            <w:tcW w:w="2410" w:type="dxa"/>
            <w:tcBorders>
              <w:top w:val="single" w:sz="4" w:space="0" w:color="auto"/>
              <w:left w:val="single" w:sz="4" w:space="0" w:color="auto"/>
              <w:bottom w:val="single" w:sz="4" w:space="0" w:color="auto"/>
              <w:right w:val="single" w:sz="4" w:space="0" w:color="auto"/>
            </w:tcBorders>
          </w:tcPr>
          <w:p w:rsidR="009324A6" w:rsidRPr="00CD0789" w:rsidRDefault="009324A6" w:rsidP="003476EE">
            <w:pPr>
              <w:jc w:val="both"/>
              <w:rPr>
                <w:rFonts w:ascii="Arial Narrow" w:hAnsi="Arial Narrow" w:cs="Arial"/>
                <w:b/>
                <w:sz w:val="20"/>
                <w:szCs w:val="20"/>
              </w:rPr>
            </w:pPr>
            <w:r w:rsidRPr="00CD0789">
              <w:rPr>
                <w:rFonts w:ascii="Arial Narrow" w:hAnsi="Arial Narrow" w:cs="Arial"/>
                <w:b/>
                <w:sz w:val="20"/>
                <w:szCs w:val="20"/>
              </w:rPr>
              <w:t>Prescriber type:</w:t>
            </w:r>
          </w:p>
        </w:tc>
        <w:tc>
          <w:tcPr>
            <w:tcW w:w="6804" w:type="dxa"/>
            <w:gridSpan w:val="5"/>
            <w:tcBorders>
              <w:top w:val="single" w:sz="4" w:space="0" w:color="auto"/>
              <w:left w:val="single" w:sz="4" w:space="0" w:color="auto"/>
              <w:bottom w:val="single" w:sz="4" w:space="0" w:color="auto"/>
              <w:right w:val="single" w:sz="4" w:space="0" w:color="auto"/>
            </w:tcBorders>
          </w:tcPr>
          <w:p w:rsidR="009324A6" w:rsidRPr="00CD0789" w:rsidRDefault="009324A6" w:rsidP="003476EE">
            <w:pPr>
              <w:jc w:val="both"/>
              <w:rPr>
                <w:rFonts w:ascii="Arial Narrow" w:hAnsi="Arial Narrow" w:cs="Arial"/>
                <w:sz w:val="20"/>
                <w:szCs w:val="20"/>
              </w:rPr>
            </w:pPr>
            <w:r w:rsidRPr="0074233E">
              <w:rPr>
                <w:rFonts w:ascii="Arial Narrow" w:hAnsi="Arial Narrow" w:cs="Arial"/>
                <w:sz w:val="20"/>
                <w:szCs w:val="20"/>
              </w:rPr>
              <w:fldChar w:fldCharType="begin">
                <w:ffData>
                  <w:name w:val="Check1"/>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74233E">
              <w:rPr>
                <w:rFonts w:ascii="Arial Narrow" w:hAnsi="Arial Narrow" w:cs="Arial"/>
                <w:sz w:val="20"/>
                <w:szCs w:val="20"/>
              </w:rPr>
              <w:fldChar w:fldCharType="end"/>
            </w:r>
            <w:r w:rsidRPr="00CD0789">
              <w:rPr>
                <w:rFonts w:ascii="Arial Narrow" w:hAnsi="Arial Narrow" w:cs="Arial"/>
                <w:sz w:val="20"/>
                <w:szCs w:val="20"/>
              </w:rPr>
              <w:t xml:space="preserve">Dental  </w:t>
            </w:r>
            <w:r w:rsidR="001754E6" w:rsidRPr="0074233E">
              <w:rPr>
                <w:rFonts w:ascii="Arial Narrow" w:hAnsi="Arial Narrow" w:cs="Arial"/>
                <w:sz w:val="20"/>
                <w:szCs w:val="20"/>
              </w:rPr>
              <w:fldChar w:fldCharType="begin">
                <w:ffData>
                  <w:name w:val=""/>
                  <w:enabled/>
                  <w:calcOnExit w:val="0"/>
                  <w:checkBox>
                    <w:sizeAuto/>
                    <w:default w:val="1"/>
                  </w:checkBox>
                </w:ffData>
              </w:fldChar>
            </w:r>
            <w:r w:rsidR="001754E6"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001754E6" w:rsidRPr="0074233E">
              <w:rPr>
                <w:rFonts w:ascii="Arial Narrow" w:hAnsi="Arial Narrow" w:cs="Arial"/>
                <w:sz w:val="20"/>
                <w:szCs w:val="20"/>
              </w:rPr>
              <w:fldChar w:fldCharType="end"/>
            </w:r>
            <w:r w:rsidRPr="00CD0789">
              <w:rPr>
                <w:rFonts w:ascii="Arial Narrow" w:hAnsi="Arial Narrow" w:cs="Arial"/>
                <w:sz w:val="20"/>
                <w:szCs w:val="20"/>
              </w:rPr>
              <w:t xml:space="preserve">Medical Practitioners  </w:t>
            </w:r>
            <w:r w:rsidRPr="0074233E">
              <w:rPr>
                <w:rFonts w:ascii="Arial Narrow" w:hAnsi="Arial Narrow" w:cs="Arial"/>
                <w:sz w:val="20"/>
                <w:szCs w:val="20"/>
              </w:rPr>
              <w:fldChar w:fldCharType="begin">
                <w:ffData>
                  <w:name w:val="Check3"/>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74233E">
              <w:rPr>
                <w:rFonts w:ascii="Arial Narrow" w:hAnsi="Arial Narrow" w:cs="Arial"/>
                <w:sz w:val="20"/>
                <w:szCs w:val="20"/>
              </w:rPr>
              <w:fldChar w:fldCharType="end"/>
            </w:r>
            <w:r w:rsidRPr="00CD0789">
              <w:rPr>
                <w:rFonts w:ascii="Arial Narrow" w:hAnsi="Arial Narrow" w:cs="Arial"/>
                <w:sz w:val="20"/>
                <w:szCs w:val="20"/>
              </w:rPr>
              <w:t xml:space="preserve">Nurse practitioners  </w:t>
            </w:r>
            <w:r w:rsidRPr="0074233E">
              <w:rPr>
                <w:rFonts w:ascii="Arial Narrow" w:hAnsi="Arial Narrow" w:cs="Arial"/>
                <w:sz w:val="20"/>
                <w:szCs w:val="20"/>
              </w:rPr>
              <w:fldChar w:fldCharType="begin">
                <w:ffData>
                  <w:name w:val=""/>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74233E">
              <w:rPr>
                <w:rFonts w:ascii="Arial Narrow" w:hAnsi="Arial Narrow" w:cs="Arial"/>
                <w:sz w:val="20"/>
                <w:szCs w:val="20"/>
              </w:rPr>
              <w:fldChar w:fldCharType="end"/>
            </w:r>
            <w:r w:rsidRPr="00CD0789">
              <w:rPr>
                <w:rFonts w:ascii="Arial Narrow" w:hAnsi="Arial Narrow" w:cs="Arial"/>
                <w:sz w:val="20"/>
                <w:szCs w:val="20"/>
              </w:rPr>
              <w:t>Optometrists</w:t>
            </w:r>
          </w:p>
          <w:p w:rsidR="009324A6" w:rsidRPr="00CD0789" w:rsidRDefault="009324A6" w:rsidP="003476EE">
            <w:pPr>
              <w:jc w:val="both"/>
              <w:rPr>
                <w:rFonts w:ascii="Arial Narrow" w:hAnsi="Arial Narrow" w:cs="Arial"/>
                <w:sz w:val="20"/>
                <w:szCs w:val="20"/>
              </w:rPr>
            </w:pPr>
            <w:r w:rsidRPr="0074233E">
              <w:rPr>
                <w:rFonts w:ascii="Arial Narrow" w:hAnsi="Arial Narrow" w:cs="Arial"/>
                <w:sz w:val="20"/>
                <w:szCs w:val="20"/>
              </w:rPr>
              <w:fldChar w:fldCharType="begin">
                <w:ffData>
                  <w:name w:val="Check5"/>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74233E">
              <w:rPr>
                <w:rFonts w:ascii="Arial Narrow" w:hAnsi="Arial Narrow" w:cs="Arial"/>
                <w:sz w:val="20"/>
                <w:szCs w:val="20"/>
              </w:rPr>
              <w:fldChar w:fldCharType="end"/>
            </w:r>
            <w:r w:rsidRPr="00CD0789">
              <w:rPr>
                <w:rFonts w:ascii="Arial Narrow" w:hAnsi="Arial Narrow" w:cs="Arial"/>
                <w:sz w:val="20"/>
                <w:szCs w:val="20"/>
              </w:rPr>
              <w:t>Midwives</w:t>
            </w:r>
          </w:p>
        </w:tc>
      </w:tr>
      <w:tr w:rsidR="009324A6" w:rsidRPr="00CD0789" w:rsidTr="00622DA2">
        <w:trPr>
          <w:cantSplit/>
          <w:trHeight w:val="291"/>
        </w:trPr>
        <w:tc>
          <w:tcPr>
            <w:tcW w:w="2410" w:type="dxa"/>
            <w:tcBorders>
              <w:top w:val="single" w:sz="4" w:space="0" w:color="auto"/>
              <w:left w:val="single" w:sz="4" w:space="0" w:color="auto"/>
              <w:bottom w:val="single" w:sz="4" w:space="0" w:color="auto"/>
              <w:right w:val="single" w:sz="4" w:space="0" w:color="auto"/>
            </w:tcBorders>
          </w:tcPr>
          <w:p w:rsidR="009324A6" w:rsidRPr="00CD0789" w:rsidRDefault="009324A6" w:rsidP="003476EE">
            <w:pPr>
              <w:jc w:val="both"/>
              <w:rPr>
                <w:rFonts w:ascii="Arial Narrow" w:hAnsi="Arial Narrow" w:cs="Arial"/>
                <w:b/>
                <w:sz w:val="20"/>
                <w:szCs w:val="20"/>
              </w:rPr>
            </w:pPr>
            <w:r w:rsidRPr="00CD0789">
              <w:rPr>
                <w:rFonts w:ascii="Arial Narrow" w:hAnsi="Arial Narrow" w:cs="Arial"/>
                <w:b/>
                <w:sz w:val="20"/>
                <w:szCs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9324A6" w:rsidRPr="00CD0789" w:rsidRDefault="001754E6" w:rsidP="003476EE">
            <w:pPr>
              <w:jc w:val="both"/>
              <w:rPr>
                <w:rFonts w:ascii="Arial Narrow" w:hAnsi="Arial Narrow" w:cs="Arial"/>
                <w:sz w:val="20"/>
                <w:szCs w:val="20"/>
              </w:rPr>
            </w:pPr>
            <w:r w:rsidRPr="00CD0789">
              <w:rPr>
                <w:rFonts w:ascii="Arial Narrow" w:hAnsi="Arial Narrow" w:cs="Arial"/>
                <w:sz w:val="20"/>
                <w:szCs w:val="20"/>
              </w:rPr>
              <w:t xml:space="preserve">Cystic Fibrosis </w:t>
            </w:r>
          </w:p>
        </w:tc>
      </w:tr>
      <w:tr w:rsidR="009324A6" w:rsidRPr="00CD0789" w:rsidTr="00622DA2">
        <w:trPr>
          <w:cantSplit/>
          <w:trHeight w:val="360"/>
        </w:trPr>
        <w:tc>
          <w:tcPr>
            <w:tcW w:w="2410" w:type="dxa"/>
            <w:tcBorders>
              <w:top w:val="single" w:sz="4" w:space="0" w:color="auto"/>
              <w:left w:val="single" w:sz="4" w:space="0" w:color="auto"/>
              <w:bottom w:val="single" w:sz="4" w:space="0" w:color="auto"/>
              <w:right w:val="single" w:sz="4" w:space="0" w:color="auto"/>
            </w:tcBorders>
          </w:tcPr>
          <w:p w:rsidR="009324A6" w:rsidRPr="00CD0789" w:rsidRDefault="009324A6" w:rsidP="003476EE">
            <w:pPr>
              <w:jc w:val="both"/>
              <w:rPr>
                <w:rFonts w:ascii="Arial Narrow" w:hAnsi="Arial Narrow" w:cs="Arial"/>
                <w:b/>
                <w:sz w:val="20"/>
                <w:szCs w:val="20"/>
              </w:rPr>
            </w:pPr>
            <w:r w:rsidRPr="00CD0789">
              <w:rPr>
                <w:rFonts w:ascii="Arial Narrow" w:hAnsi="Arial Narrow" w:cs="Arial"/>
                <w:b/>
                <w:sz w:val="20"/>
                <w:szCs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9324A6" w:rsidRPr="00CD0789" w:rsidRDefault="001754E6" w:rsidP="003476EE">
            <w:pPr>
              <w:jc w:val="both"/>
              <w:rPr>
                <w:rFonts w:ascii="Arial Narrow" w:hAnsi="Arial Narrow" w:cs="Arial"/>
                <w:sz w:val="20"/>
                <w:szCs w:val="20"/>
              </w:rPr>
            </w:pPr>
            <w:r w:rsidRPr="00CD0789">
              <w:rPr>
                <w:rFonts w:ascii="Arial Narrow" w:hAnsi="Arial Narrow" w:cs="Arial"/>
                <w:sz w:val="20"/>
                <w:szCs w:val="20"/>
              </w:rPr>
              <w:t xml:space="preserve">Initial treatment </w:t>
            </w:r>
          </w:p>
        </w:tc>
      </w:tr>
      <w:tr w:rsidR="009324A6" w:rsidRPr="00CD0789" w:rsidTr="00622DA2">
        <w:trPr>
          <w:cantSplit/>
          <w:trHeight w:val="360"/>
        </w:trPr>
        <w:tc>
          <w:tcPr>
            <w:tcW w:w="2410" w:type="dxa"/>
            <w:tcBorders>
              <w:top w:val="single" w:sz="4" w:space="0" w:color="auto"/>
              <w:left w:val="single" w:sz="4" w:space="0" w:color="auto"/>
              <w:bottom w:val="single" w:sz="4" w:space="0" w:color="auto"/>
              <w:right w:val="single" w:sz="4" w:space="0" w:color="auto"/>
            </w:tcBorders>
          </w:tcPr>
          <w:p w:rsidR="009324A6" w:rsidRPr="00CD0789" w:rsidRDefault="009324A6" w:rsidP="003476EE">
            <w:pPr>
              <w:jc w:val="both"/>
              <w:rPr>
                <w:rFonts w:ascii="Arial Narrow" w:hAnsi="Arial Narrow" w:cs="Arial"/>
                <w:b/>
                <w:sz w:val="20"/>
                <w:szCs w:val="20"/>
              </w:rPr>
            </w:pPr>
            <w:r w:rsidRPr="00CD0789">
              <w:rPr>
                <w:rFonts w:ascii="Arial Narrow" w:hAnsi="Arial Narrow" w:cs="Arial"/>
                <w:b/>
                <w:sz w:val="20"/>
                <w:szCs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tcPr>
          <w:p w:rsidR="009324A6" w:rsidRPr="00CD0789" w:rsidRDefault="009324A6" w:rsidP="003476EE">
            <w:pPr>
              <w:jc w:val="both"/>
              <w:rPr>
                <w:rFonts w:ascii="Arial Narrow" w:hAnsi="Arial Narrow" w:cs="Arial"/>
                <w:sz w:val="20"/>
                <w:szCs w:val="20"/>
              </w:rPr>
            </w:pPr>
            <w:r w:rsidRPr="0074233E">
              <w:rPr>
                <w:rFonts w:ascii="Arial Narrow" w:hAnsi="Arial Narrow" w:cs="Arial"/>
                <w:sz w:val="20"/>
                <w:szCs w:val="20"/>
              </w:rPr>
              <w:fldChar w:fldCharType="begin">
                <w:ffData>
                  <w:name w:val="Check1"/>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74233E">
              <w:rPr>
                <w:rFonts w:ascii="Arial Narrow" w:hAnsi="Arial Narrow" w:cs="Arial"/>
                <w:sz w:val="20"/>
                <w:szCs w:val="20"/>
              </w:rPr>
              <w:fldChar w:fldCharType="end"/>
            </w:r>
            <w:r w:rsidRPr="00CD0789">
              <w:rPr>
                <w:rFonts w:ascii="Arial Narrow" w:hAnsi="Arial Narrow" w:cs="Arial"/>
                <w:sz w:val="20"/>
                <w:szCs w:val="20"/>
              </w:rPr>
              <w:t>Restricted benefit</w:t>
            </w:r>
          </w:p>
          <w:p w:rsidR="009324A6" w:rsidRPr="00CD0789" w:rsidRDefault="001754E6" w:rsidP="003476EE">
            <w:pPr>
              <w:jc w:val="both"/>
              <w:rPr>
                <w:rFonts w:ascii="Arial Narrow" w:hAnsi="Arial Narrow" w:cs="Arial"/>
                <w:sz w:val="20"/>
                <w:szCs w:val="20"/>
              </w:rPr>
            </w:pPr>
            <w:r w:rsidRPr="0074233E">
              <w:rPr>
                <w:rFonts w:ascii="Arial Narrow" w:hAnsi="Arial Narrow" w:cs="Arial"/>
                <w:sz w:val="20"/>
                <w:szCs w:val="20"/>
              </w:rPr>
              <w:fldChar w:fldCharType="begin">
                <w:ffData>
                  <w:name w:val=""/>
                  <w:enabled/>
                  <w:calcOnExit w:val="0"/>
                  <w:checkBox>
                    <w:sizeAuto/>
                    <w:default w:val="1"/>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74233E">
              <w:rPr>
                <w:rFonts w:ascii="Arial Narrow" w:hAnsi="Arial Narrow" w:cs="Arial"/>
                <w:sz w:val="20"/>
                <w:szCs w:val="20"/>
              </w:rPr>
              <w:fldChar w:fldCharType="end"/>
            </w:r>
            <w:r w:rsidR="009324A6" w:rsidRPr="00CD0789">
              <w:rPr>
                <w:rFonts w:ascii="Arial Narrow" w:hAnsi="Arial Narrow" w:cs="Arial"/>
                <w:sz w:val="20"/>
                <w:szCs w:val="20"/>
              </w:rPr>
              <w:t>Authority Required – In Writing</w:t>
            </w:r>
          </w:p>
          <w:p w:rsidR="009324A6" w:rsidRPr="00CD0789" w:rsidRDefault="009324A6" w:rsidP="003476EE">
            <w:pPr>
              <w:jc w:val="both"/>
              <w:rPr>
                <w:rFonts w:ascii="Arial Narrow" w:hAnsi="Arial Narrow" w:cs="Arial"/>
                <w:sz w:val="20"/>
                <w:szCs w:val="20"/>
              </w:rPr>
            </w:pPr>
            <w:r w:rsidRPr="0074233E">
              <w:rPr>
                <w:rFonts w:ascii="Arial Narrow" w:hAnsi="Arial Narrow" w:cs="Arial"/>
                <w:sz w:val="20"/>
                <w:szCs w:val="20"/>
              </w:rPr>
              <w:fldChar w:fldCharType="begin">
                <w:ffData>
                  <w:name w:val="Check3"/>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74233E">
              <w:rPr>
                <w:rFonts w:ascii="Arial Narrow" w:hAnsi="Arial Narrow" w:cs="Arial"/>
                <w:sz w:val="20"/>
                <w:szCs w:val="20"/>
              </w:rPr>
              <w:fldChar w:fldCharType="end"/>
            </w:r>
            <w:r w:rsidRPr="00CD0789">
              <w:rPr>
                <w:rFonts w:ascii="Arial Narrow" w:hAnsi="Arial Narrow" w:cs="Arial"/>
                <w:sz w:val="20"/>
                <w:szCs w:val="20"/>
              </w:rPr>
              <w:t>Authority Required – Telephone/Electronic/Emergency</w:t>
            </w:r>
          </w:p>
          <w:p w:rsidR="009324A6" w:rsidRPr="00CD0789" w:rsidRDefault="009324A6" w:rsidP="003476EE">
            <w:pPr>
              <w:jc w:val="both"/>
              <w:rPr>
                <w:rFonts w:ascii="Arial Narrow" w:hAnsi="Arial Narrow" w:cs="Arial"/>
                <w:sz w:val="20"/>
                <w:szCs w:val="20"/>
              </w:rPr>
            </w:pPr>
            <w:r w:rsidRPr="0074233E">
              <w:rPr>
                <w:rFonts w:ascii="Arial Narrow" w:hAnsi="Arial Narrow" w:cs="Arial"/>
                <w:sz w:val="20"/>
                <w:szCs w:val="20"/>
              </w:rPr>
              <w:fldChar w:fldCharType="begin">
                <w:ffData>
                  <w:name w:val="Check5"/>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74233E">
              <w:rPr>
                <w:rFonts w:ascii="Arial Narrow" w:hAnsi="Arial Narrow" w:cs="Arial"/>
                <w:sz w:val="20"/>
                <w:szCs w:val="20"/>
              </w:rPr>
              <w:fldChar w:fldCharType="end"/>
            </w:r>
            <w:r w:rsidRPr="00CD0789">
              <w:rPr>
                <w:rFonts w:ascii="Arial Narrow" w:hAnsi="Arial Narrow" w:cs="Arial"/>
                <w:sz w:val="20"/>
                <w:szCs w:val="20"/>
              </w:rPr>
              <w:t>Streamlined</w:t>
            </w:r>
          </w:p>
        </w:tc>
      </w:tr>
      <w:tr w:rsidR="009324A6" w:rsidRPr="00CD0789" w:rsidTr="00622DA2">
        <w:trPr>
          <w:cantSplit/>
          <w:trHeight w:val="360"/>
        </w:trPr>
        <w:tc>
          <w:tcPr>
            <w:tcW w:w="2410" w:type="dxa"/>
            <w:tcBorders>
              <w:top w:val="single" w:sz="4" w:space="0" w:color="auto"/>
              <w:left w:val="single" w:sz="4" w:space="0" w:color="auto"/>
              <w:bottom w:val="single" w:sz="4" w:space="0" w:color="auto"/>
              <w:right w:val="single" w:sz="4" w:space="0" w:color="auto"/>
            </w:tcBorders>
          </w:tcPr>
          <w:p w:rsidR="009324A6" w:rsidRPr="00CD0789" w:rsidRDefault="009324A6" w:rsidP="001754E6">
            <w:pPr>
              <w:jc w:val="both"/>
              <w:rPr>
                <w:rFonts w:ascii="Arial Narrow" w:hAnsi="Arial Narrow" w:cs="Arial"/>
                <w:b/>
                <w:sz w:val="20"/>
                <w:szCs w:val="20"/>
              </w:rPr>
            </w:pPr>
            <w:r w:rsidRPr="00CD0789">
              <w:rPr>
                <w:rFonts w:ascii="Arial Narrow" w:hAnsi="Arial Narrow" w:cs="Arial"/>
                <w:b/>
                <w:sz w:val="20"/>
                <w:szCs w:val="20"/>
              </w:rPr>
              <w:lastRenderedPageBreak/>
              <w:t>Treatment criteria:</w:t>
            </w:r>
          </w:p>
        </w:tc>
        <w:tc>
          <w:tcPr>
            <w:tcW w:w="6804" w:type="dxa"/>
            <w:gridSpan w:val="5"/>
            <w:tcBorders>
              <w:top w:val="single" w:sz="4" w:space="0" w:color="auto"/>
              <w:left w:val="single" w:sz="4" w:space="0" w:color="auto"/>
              <w:bottom w:val="single" w:sz="4" w:space="0" w:color="auto"/>
              <w:right w:val="single" w:sz="4" w:space="0" w:color="auto"/>
            </w:tcBorders>
          </w:tcPr>
          <w:p w:rsidR="001754E6" w:rsidRPr="00CD0789" w:rsidRDefault="001754E6" w:rsidP="001754E6">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Must be treated by a specialist respiratory physician with expertise in cystic fibrosis, OR</w:t>
            </w:r>
          </w:p>
          <w:p w:rsidR="001754E6" w:rsidRPr="00CD0789" w:rsidRDefault="001754E6" w:rsidP="001754E6">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Must be treated in consultation with a specialist respiratory physician with expertise in cystic fibrosis if attendance is not possible due to geographic isolation;</w:t>
            </w:r>
          </w:p>
          <w:p w:rsidR="001754E6" w:rsidRPr="00CD0789" w:rsidRDefault="001754E6" w:rsidP="001754E6">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AND</w:t>
            </w:r>
          </w:p>
          <w:p w:rsidR="001754E6" w:rsidRPr="00CD0789" w:rsidRDefault="001754E6" w:rsidP="001754E6">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Must be treated in a centre with expertise in cystic fibrosis, OR</w:t>
            </w:r>
          </w:p>
          <w:p w:rsidR="009324A6" w:rsidRPr="00CD0789" w:rsidRDefault="001754E6" w:rsidP="003476EE">
            <w:pPr>
              <w:jc w:val="both"/>
              <w:rPr>
                <w:rFonts w:ascii="Arial Narrow" w:hAnsi="Arial Narrow" w:cs="Arial"/>
                <w:sz w:val="20"/>
                <w:szCs w:val="20"/>
              </w:rPr>
            </w:pPr>
            <w:r w:rsidRPr="00CD0789">
              <w:rPr>
                <w:rFonts w:ascii="Arial Narrow" w:hAnsi="Arial Narrow" w:cs="Arial"/>
                <w:snapToGrid w:val="0"/>
                <w:sz w:val="20"/>
                <w:szCs w:val="22"/>
                <w:lang w:eastAsia="en-US"/>
              </w:rPr>
              <w:t>Must be treated in consultation with a centre with expertise in cystic fibrosis if attendance is not possible due to geographic isolation.</w:t>
            </w:r>
          </w:p>
        </w:tc>
      </w:tr>
      <w:tr w:rsidR="009324A6" w:rsidRPr="00CD0789" w:rsidTr="00622DA2">
        <w:trPr>
          <w:cantSplit/>
          <w:trHeight w:val="657"/>
        </w:trPr>
        <w:tc>
          <w:tcPr>
            <w:tcW w:w="2410" w:type="dxa"/>
            <w:tcBorders>
              <w:top w:val="single" w:sz="4" w:space="0" w:color="auto"/>
              <w:left w:val="single" w:sz="4" w:space="0" w:color="auto"/>
              <w:bottom w:val="single" w:sz="4" w:space="0" w:color="auto"/>
              <w:right w:val="single" w:sz="4" w:space="0" w:color="auto"/>
            </w:tcBorders>
          </w:tcPr>
          <w:p w:rsidR="009324A6" w:rsidRPr="00CD0789" w:rsidRDefault="009324A6" w:rsidP="00622DA2">
            <w:pPr>
              <w:jc w:val="both"/>
              <w:rPr>
                <w:rFonts w:ascii="Arial Narrow" w:hAnsi="Arial Narrow" w:cs="Arial"/>
                <w:b/>
                <w:sz w:val="20"/>
                <w:szCs w:val="20"/>
              </w:rPr>
            </w:pPr>
            <w:r w:rsidRPr="00CD0789">
              <w:rPr>
                <w:rFonts w:ascii="Arial Narrow" w:hAnsi="Arial Narrow" w:cs="Arial"/>
                <w:b/>
                <w:sz w:val="20"/>
                <w:szCs w:val="20"/>
              </w:rPr>
              <w:t>Clinical criteria:</w:t>
            </w:r>
          </w:p>
        </w:tc>
        <w:tc>
          <w:tcPr>
            <w:tcW w:w="6804" w:type="dxa"/>
            <w:gridSpan w:val="5"/>
            <w:tcBorders>
              <w:top w:val="single" w:sz="4" w:space="0" w:color="auto"/>
              <w:left w:val="single" w:sz="4" w:space="0" w:color="auto"/>
              <w:bottom w:val="single" w:sz="4" w:space="0" w:color="auto"/>
              <w:right w:val="single" w:sz="4" w:space="0" w:color="auto"/>
            </w:tcBorders>
          </w:tcPr>
          <w:p w:rsidR="001754E6" w:rsidRPr="00CD0789" w:rsidRDefault="001754E6" w:rsidP="001754E6">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 xml:space="preserve">Patient must have one </w:t>
            </w:r>
            <w:r w:rsidR="00622DA2" w:rsidRPr="00CD0789">
              <w:rPr>
                <w:rFonts w:ascii="Arial Narrow" w:hAnsi="Arial Narrow" w:cs="Arial"/>
                <w:snapToGrid w:val="0"/>
                <w:sz w:val="20"/>
                <w:szCs w:val="22"/>
                <w:lang w:eastAsia="en-US"/>
              </w:rPr>
              <w:t xml:space="preserve">residual function (RF) </w:t>
            </w:r>
            <w:r w:rsidRPr="00CD0789">
              <w:rPr>
                <w:rFonts w:ascii="Arial Narrow" w:hAnsi="Arial Narrow" w:cs="Arial"/>
                <w:snapToGrid w:val="0"/>
                <w:sz w:val="20"/>
                <w:szCs w:val="22"/>
                <w:lang w:eastAsia="en-US"/>
              </w:rPr>
              <w:t>mutation in the cystic fibrosis transmembrane conductance regulator (CFTR) gene that is responsive to tezacaftor with ivacaftor;</w:t>
            </w:r>
          </w:p>
          <w:p w:rsidR="001754E6" w:rsidRPr="00CD0789" w:rsidRDefault="001754E6" w:rsidP="001754E6">
            <w:pPr>
              <w:jc w:val="both"/>
              <w:rPr>
                <w:rFonts w:ascii="Arial Narrow" w:hAnsi="Arial Narrow" w:cs="Arial"/>
                <w:strike/>
                <w:snapToGrid w:val="0"/>
                <w:sz w:val="20"/>
                <w:szCs w:val="22"/>
                <w:lang w:eastAsia="en-US"/>
              </w:rPr>
            </w:pPr>
            <w:r w:rsidRPr="00CD0789">
              <w:rPr>
                <w:rFonts w:ascii="Arial Narrow" w:hAnsi="Arial Narrow" w:cs="Arial"/>
                <w:strike/>
                <w:snapToGrid w:val="0"/>
                <w:sz w:val="20"/>
                <w:szCs w:val="22"/>
                <w:lang w:eastAsia="en-US"/>
              </w:rPr>
              <w:t xml:space="preserve">AND </w:t>
            </w:r>
          </w:p>
          <w:p w:rsidR="001754E6" w:rsidRPr="00CD0789" w:rsidRDefault="00622DA2" w:rsidP="001754E6">
            <w:pPr>
              <w:jc w:val="both"/>
              <w:rPr>
                <w:rFonts w:ascii="Arial Narrow" w:hAnsi="Arial Narrow" w:cs="Arial"/>
                <w:strike/>
                <w:snapToGrid w:val="0"/>
                <w:sz w:val="20"/>
                <w:szCs w:val="22"/>
                <w:lang w:eastAsia="en-US"/>
              </w:rPr>
            </w:pPr>
            <w:r w:rsidRPr="00CD0789">
              <w:rPr>
                <w:rFonts w:ascii="Arial Narrow" w:hAnsi="Arial Narrow"/>
                <w:strike/>
                <w:sz w:val="20"/>
              </w:rPr>
              <w:t>Patient must have F508del mutation in the cystic fibrosis transmembrane conductance regulator (CFTR) gene on at least 1 allele</w:t>
            </w:r>
            <w:r w:rsidR="001754E6" w:rsidRPr="00CD0789">
              <w:rPr>
                <w:rFonts w:ascii="Arial Narrow" w:hAnsi="Arial Narrow" w:cs="Arial"/>
                <w:strike/>
                <w:snapToGrid w:val="0"/>
                <w:sz w:val="20"/>
                <w:szCs w:val="22"/>
                <w:lang w:eastAsia="en-US"/>
              </w:rPr>
              <w:t>;</w:t>
            </w:r>
          </w:p>
          <w:p w:rsidR="001754E6" w:rsidRPr="00CD0789" w:rsidRDefault="001754E6" w:rsidP="001754E6">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AND</w:t>
            </w:r>
          </w:p>
          <w:p w:rsidR="00622DA2" w:rsidRPr="00CD0789" w:rsidRDefault="00622DA2" w:rsidP="00622DA2">
            <w:pPr>
              <w:rPr>
                <w:rFonts w:ascii="Arial Narrow" w:hAnsi="Arial Narrow"/>
                <w:sz w:val="20"/>
              </w:rPr>
            </w:pPr>
            <w:r w:rsidRPr="00CD0789">
              <w:rPr>
                <w:rFonts w:ascii="Arial Narrow" w:hAnsi="Arial Narrow"/>
                <w:sz w:val="20"/>
              </w:rPr>
              <w:t>The treatment  must be the sole PBS-subsidised cystic fibrosis transmembrane conductance regulator</w:t>
            </w:r>
            <w:r w:rsidRPr="00CD0789" w:rsidDel="006F0000">
              <w:rPr>
                <w:rFonts w:ascii="Arial Narrow" w:hAnsi="Arial Narrow"/>
                <w:sz w:val="20"/>
              </w:rPr>
              <w:t xml:space="preserve"> </w:t>
            </w:r>
            <w:r w:rsidRPr="00CD0789">
              <w:rPr>
                <w:rFonts w:ascii="Arial Narrow" w:hAnsi="Arial Narrow"/>
                <w:sz w:val="20"/>
              </w:rPr>
              <w:t>(CFTR) modulator therapy for this condition;</w:t>
            </w:r>
          </w:p>
          <w:p w:rsidR="00622DA2" w:rsidRPr="00CD0789" w:rsidRDefault="00622DA2" w:rsidP="001754E6">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AND</w:t>
            </w:r>
          </w:p>
          <w:p w:rsidR="009324A6" w:rsidRPr="00CD0789" w:rsidRDefault="001754E6" w:rsidP="003476EE">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The treatment must be given concomitantly with standard therapy for this condition.</w:t>
            </w:r>
          </w:p>
          <w:p w:rsidR="00601C75" w:rsidRPr="00CD0789" w:rsidRDefault="00601C75" w:rsidP="003476EE">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AND</w:t>
            </w:r>
          </w:p>
          <w:p w:rsidR="00601C75" w:rsidRPr="00CD0789" w:rsidRDefault="00601C75" w:rsidP="003476EE">
            <w:pPr>
              <w:jc w:val="both"/>
              <w:rPr>
                <w:rFonts w:ascii="Arial Narrow" w:hAnsi="Arial Narrow" w:cs="Arial"/>
                <w:sz w:val="20"/>
                <w:szCs w:val="20"/>
              </w:rPr>
            </w:pPr>
            <w:r w:rsidRPr="00CD0789">
              <w:rPr>
                <w:rFonts w:ascii="Arial Narrow" w:hAnsi="Arial Narrow"/>
                <w:snapToGrid w:val="0"/>
                <w:sz w:val="20"/>
              </w:rPr>
              <w:t>The patient must have either chronic sinopulmonary disease or gastrointestinal and nutritional abnormalities</w:t>
            </w:r>
          </w:p>
        </w:tc>
      </w:tr>
      <w:tr w:rsidR="009324A6" w:rsidRPr="00CD0789" w:rsidTr="00622DA2">
        <w:trPr>
          <w:cantSplit/>
          <w:trHeight w:val="318"/>
        </w:trPr>
        <w:tc>
          <w:tcPr>
            <w:tcW w:w="2410" w:type="dxa"/>
            <w:tcBorders>
              <w:top w:val="single" w:sz="4" w:space="0" w:color="auto"/>
              <w:left w:val="single" w:sz="4" w:space="0" w:color="auto"/>
              <w:bottom w:val="single" w:sz="4" w:space="0" w:color="auto"/>
              <w:right w:val="single" w:sz="4" w:space="0" w:color="auto"/>
            </w:tcBorders>
          </w:tcPr>
          <w:p w:rsidR="009324A6" w:rsidRPr="00CD0789" w:rsidRDefault="009324A6" w:rsidP="00C50037">
            <w:pPr>
              <w:jc w:val="both"/>
              <w:rPr>
                <w:rFonts w:ascii="Arial Narrow" w:hAnsi="Arial Narrow" w:cs="Arial"/>
                <w:b/>
                <w:sz w:val="20"/>
                <w:szCs w:val="20"/>
              </w:rPr>
            </w:pPr>
            <w:r w:rsidRPr="00CD0789">
              <w:rPr>
                <w:rFonts w:ascii="Arial Narrow" w:hAnsi="Arial Narrow" w:cs="Arial"/>
                <w:b/>
                <w:sz w:val="20"/>
                <w:szCs w:val="20"/>
              </w:rPr>
              <w:t>Population criteria:</w:t>
            </w:r>
          </w:p>
        </w:tc>
        <w:tc>
          <w:tcPr>
            <w:tcW w:w="6804" w:type="dxa"/>
            <w:gridSpan w:val="5"/>
            <w:tcBorders>
              <w:top w:val="single" w:sz="4" w:space="0" w:color="auto"/>
              <w:left w:val="single" w:sz="4" w:space="0" w:color="auto"/>
              <w:bottom w:val="single" w:sz="4" w:space="0" w:color="auto"/>
              <w:right w:val="single" w:sz="4" w:space="0" w:color="auto"/>
            </w:tcBorders>
          </w:tcPr>
          <w:p w:rsidR="009324A6" w:rsidRPr="00CD0789" w:rsidRDefault="00C50037" w:rsidP="003476EE">
            <w:pPr>
              <w:jc w:val="both"/>
              <w:rPr>
                <w:rFonts w:ascii="Arial Narrow" w:hAnsi="Arial Narrow" w:cs="Arial"/>
                <w:sz w:val="20"/>
                <w:szCs w:val="20"/>
              </w:rPr>
            </w:pPr>
            <w:r w:rsidRPr="00CD0789">
              <w:rPr>
                <w:rFonts w:ascii="Arial Narrow" w:hAnsi="Arial Narrow"/>
                <w:sz w:val="20"/>
              </w:rPr>
              <w:t>Patient must be 12 years of age or older.</w:t>
            </w:r>
          </w:p>
        </w:tc>
      </w:tr>
      <w:tr w:rsidR="0047142A" w:rsidRPr="00CD0789" w:rsidTr="00387992">
        <w:trPr>
          <w:trHeight w:val="489"/>
        </w:trPr>
        <w:tc>
          <w:tcPr>
            <w:tcW w:w="2410" w:type="dxa"/>
            <w:tcBorders>
              <w:top w:val="single" w:sz="4" w:space="0" w:color="auto"/>
              <w:left w:val="single" w:sz="4" w:space="0" w:color="auto"/>
              <w:bottom w:val="single" w:sz="4" w:space="0" w:color="auto"/>
              <w:right w:val="single" w:sz="4" w:space="0" w:color="auto"/>
            </w:tcBorders>
          </w:tcPr>
          <w:p w:rsidR="0047142A" w:rsidRPr="00CD0789" w:rsidRDefault="0047142A" w:rsidP="00C50037">
            <w:pPr>
              <w:jc w:val="both"/>
              <w:rPr>
                <w:rFonts w:ascii="Arial Narrow" w:hAnsi="Arial Narrow" w:cs="Arial"/>
                <w:b/>
                <w:sz w:val="20"/>
                <w:szCs w:val="20"/>
              </w:rPr>
            </w:pPr>
            <w:r w:rsidRPr="00CD0789">
              <w:rPr>
                <w:rFonts w:ascii="Arial Narrow" w:hAnsi="Arial Narrow"/>
                <w:b/>
                <w:sz w:val="20"/>
              </w:rPr>
              <w:t>Prescriber Instructions:</w:t>
            </w:r>
          </w:p>
        </w:tc>
        <w:tc>
          <w:tcPr>
            <w:tcW w:w="6804" w:type="dxa"/>
            <w:gridSpan w:val="5"/>
            <w:tcBorders>
              <w:top w:val="single" w:sz="4" w:space="0" w:color="auto"/>
              <w:left w:val="single" w:sz="4" w:space="0" w:color="auto"/>
              <w:bottom w:val="single" w:sz="4" w:space="0" w:color="auto"/>
              <w:right w:val="single" w:sz="4" w:space="0" w:color="auto"/>
            </w:tcBorders>
          </w:tcPr>
          <w:p w:rsidR="00F22ACF" w:rsidRPr="00CD0789" w:rsidRDefault="00F22ACF" w:rsidP="00F22ACF">
            <w:pPr>
              <w:rPr>
                <w:rFonts w:ascii="Arial Narrow" w:hAnsi="Arial Narrow"/>
                <w:sz w:val="20"/>
              </w:rPr>
            </w:pPr>
            <w:r w:rsidRPr="00CD0789">
              <w:rPr>
                <w:rFonts w:ascii="Arial Narrow" w:hAnsi="Arial Narrow"/>
                <w:sz w:val="20"/>
              </w:rPr>
              <w:t xml:space="preserve">The patient must be registered in the Australian Cystic Fibrosis Database Registry. </w:t>
            </w:r>
          </w:p>
          <w:p w:rsidR="00F22ACF" w:rsidRPr="00CD0789" w:rsidRDefault="00F22ACF" w:rsidP="00F22ACF">
            <w:pPr>
              <w:rPr>
                <w:rFonts w:ascii="Arial Narrow" w:hAnsi="Arial Narrow"/>
                <w:sz w:val="20"/>
              </w:rPr>
            </w:pPr>
          </w:p>
          <w:p w:rsidR="00F22ACF" w:rsidRPr="00CD0789" w:rsidRDefault="00F22ACF" w:rsidP="00F22ACF">
            <w:pPr>
              <w:rPr>
                <w:rFonts w:ascii="Arial Narrow" w:hAnsi="Arial Narrow"/>
                <w:sz w:val="20"/>
              </w:rPr>
            </w:pPr>
            <w:r w:rsidRPr="00CD0789">
              <w:rPr>
                <w:rFonts w:ascii="Arial Narrow" w:hAnsi="Arial Narrow"/>
                <w:sz w:val="20"/>
              </w:rPr>
              <w:t>Treatment must not be given to a patient who has an acute upper or lower respiratory infection, pulmonary exacerbation, or changes in therapy (including antibiotics) for pulmonary disease in the last 4 weeks prior to commencing this drug.</w:t>
            </w:r>
          </w:p>
          <w:p w:rsidR="00601C75" w:rsidRPr="00CD0789" w:rsidRDefault="00601C75" w:rsidP="00F22ACF">
            <w:pPr>
              <w:rPr>
                <w:rFonts w:ascii="Arial Narrow" w:hAnsi="Arial Narrow"/>
                <w:sz w:val="20"/>
              </w:rPr>
            </w:pPr>
          </w:p>
          <w:p w:rsidR="00601C75" w:rsidRPr="00CD0789" w:rsidRDefault="00601C75" w:rsidP="00F22ACF">
            <w:pPr>
              <w:rPr>
                <w:rFonts w:ascii="Arial Narrow" w:hAnsi="Arial Narrow"/>
                <w:sz w:val="20"/>
              </w:rPr>
            </w:pPr>
            <w:r w:rsidRPr="00CD0789">
              <w:rPr>
                <w:rFonts w:ascii="Arial Narrow" w:hAnsi="Arial Narrow"/>
                <w:snapToGrid w:val="0"/>
                <w:sz w:val="20"/>
              </w:rPr>
              <w:t>For the purposes of this restriction, PBS subsidised ‘CFTR modulator’ means ivacaftor, lumacaftor/ivacaftor and tezacaftor/ivacaftor</w:t>
            </w:r>
          </w:p>
          <w:p w:rsidR="00F22ACF" w:rsidRPr="00CD0789" w:rsidRDefault="00F22ACF" w:rsidP="00F22ACF">
            <w:pPr>
              <w:rPr>
                <w:rFonts w:ascii="Arial Narrow" w:hAnsi="Arial Narrow"/>
                <w:sz w:val="20"/>
              </w:rPr>
            </w:pPr>
          </w:p>
          <w:p w:rsidR="00F22ACF" w:rsidRPr="00CD0789" w:rsidRDefault="00F22ACF" w:rsidP="00F22ACF">
            <w:pPr>
              <w:rPr>
                <w:rFonts w:ascii="Arial Narrow" w:hAnsi="Arial Narrow"/>
                <w:sz w:val="20"/>
              </w:rPr>
            </w:pPr>
            <w:r w:rsidRPr="00CD0789">
              <w:rPr>
                <w:rFonts w:ascii="Arial Narrow" w:hAnsi="Arial Narrow"/>
                <w:sz w:val="20"/>
              </w:rPr>
              <w:t>For the purposes of this restriction, the list of mutations considered to be responsive to tezacaftor with ivacaftor is defined in the TGA approved product information.</w:t>
            </w:r>
          </w:p>
          <w:p w:rsidR="00F22ACF" w:rsidRPr="00CD0789" w:rsidRDefault="00F22ACF" w:rsidP="00F22ACF">
            <w:pPr>
              <w:rPr>
                <w:rFonts w:ascii="Arial Narrow" w:hAnsi="Arial Narrow"/>
                <w:sz w:val="20"/>
              </w:rPr>
            </w:pPr>
          </w:p>
          <w:p w:rsidR="00F22ACF" w:rsidRPr="00CD0789" w:rsidRDefault="00F22ACF" w:rsidP="00F22ACF">
            <w:pPr>
              <w:rPr>
                <w:rFonts w:ascii="Arial Narrow" w:hAnsi="Arial Narrow"/>
                <w:sz w:val="20"/>
              </w:rPr>
            </w:pPr>
            <w:r w:rsidRPr="00CD0789">
              <w:rPr>
                <w:rFonts w:ascii="Arial Narrow" w:hAnsi="Arial Narrow"/>
                <w:sz w:val="20"/>
              </w:rP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p>
          <w:p w:rsidR="00F22ACF" w:rsidRPr="00CD0789" w:rsidRDefault="00F22ACF" w:rsidP="00F22ACF">
            <w:pPr>
              <w:rPr>
                <w:rFonts w:ascii="Arial Narrow" w:hAnsi="Arial Narrow"/>
                <w:sz w:val="20"/>
              </w:rPr>
            </w:pPr>
          </w:p>
          <w:p w:rsidR="00F22ACF" w:rsidRPr="00CD0789" w:rsidRDefault="00F22ACF" w:rsidP="00F22ACF">
            <w:pPr>
              <w:rPr>
                <w:rFonts w:ascii="Arial Narrow" w:hAnsi="Arial Narrow"/>
                <w:sz w:val="20"/>
              </w:rPr>
            </w:pPr>
            <w:r w:rsidRPr="00CD0789">
              <w:rPr>
                <w:rFonts w:ascii="Arial Narrow" w:hAnsi="Arial Narrow"/>
                <w:sz w:val="20"/>
              </w:rP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p>
          <w:p w:rsidR="00F22ACF" w:rsidRPr="00CD0789" w:rsidRDefault="00F22ACF" w:rsidP="00F22ACF">
            <w:pPr>
              <w:rPr>
                <w:rFonts w:ascii="Arial Narrow" w:hAnsi="Arial Narrow"/>
                <w:sz w:val="20"/>
              </w:rPr>
            </w:pPr>
          </w:p>
          <w:p w:rsidR="00F22ACF" w:rsidRPr="00CD0789" w:rsidRDefault="00F22ACF" w:rsidP="00F22ACF">
            <w:pPr>
              <w:rPr>
                <w:rFonts w:ascii="Arial Narrow" w:hAnsi="Arial Narrow"/>
                <w:sz w:val="20"/>
              </w:rPr>
            </w:pPr>
            <w:r w:rsidRPr="00CD0789">
              <w:rPr>
                <w:rFonts w:ascii="Arial Narrow" w:hAnsi="Arial Narrow"/>
                <w:sz w:val="20"/>
              </w:rPr>
              <w:t>Tezacaftor with ivacaftor is not PBS-subsidised for this condition in a patient who is currently receiving one of the following CYP3A4 inducers:</w:t>
            </w:r>
          </w:p>
          <w:p w:rsidR="00F22ACF" w:rsidRPr="00CD0789" w:rsidRDefault="00F22ACF" w:rsidP="00F22ACF">
            <w:pPr>
              <w:rPr>
                <w:rFonts w:ascii="Arial Narrow" w:hAnsi="Arial Narrow"/>
                <w:sz w:val="20"/>
              </w:rPr>
            </w:pPr>
          </w:p>
          <w:p w:rsidR="00F22ACF" w:rsidRPr="00CD0789" w:rsidRDefault="00F22ACF" w:rsidP="00F22ACF">
            <w:pPr>
              <w:rPr>
                <w:rFonts w:ascii="Arial Narrow" w:hAnsi="Arial Narrow"/>
                <w:sz w:val="20"/>
              </w:rPr>
            </w:pPr>
            <w:r w:rsidRPr="00CD0789">
              <w:rPr>
                <w:rFonts w:ascii="Arial Narrow" w:hAnsi="Arial Narrow"/>
                <w:sz w:val="20"/>
              </w:rPr>
              <w:t>Strong CYP3A4 inducers: avasimibe, carbamazepine, phenobarbital, phenytoin, rifabutin, rifampicin, St. John's wort</w:t>
            </w:r>
          </w:p>
          <w:p w:rsidR="00F22ACF" w:rsidRPr="00CD0789" w:rsidRDefault="00F22ACF" w:rsidP="00F22ACF">
            <w:pPr>
              <w:rPr>
                <w:rFonts w:ascii="Arial Narrow" w:hAnsi="Arial Narrow"/>
                <w:sz w:val="20"/>
              </w:rPr>
            </w:pPr>
          </w:p>
          <w:p w:rsidR="00F22ACF" w:rsidRPr="00CD0789" w:rsidRDefault="00F22ACF" w:rsidP="00F22ACF">
            <w:pPr>
              <w:rPr>
                <w:rFonts w:ascii="Arial Narrow" w:hAnsi="Arial Narrow"/>
                <w:sz w:val="20"/>
              </w:rPr>
            </w:pPr>
            <w:r w:rsidRPr="00CD0789">
              <w:rPr>
                <w:rFonts w:ascii="Arial Narrow" w:hAnsi="Arial Narrow"/>
                <w:sz w:val="20"/>
              </w:rPr>
              <w:t>Moderate CYP3A4 inducers: bosentan, efavirenz, etravirine, modafinil, nafcillin</w:t>
            </w:r>
          </w:p>
          <w:p w:rsidR="00F22ACF" w:rsidRPr="00CD0789" w:rsidRDefault="00F22ACF" w:rsidP="00F22ACF">
            <w:pPr>
              <w:rPr>
                <w:rFonts w:ascii="Arial Narrow" w:hAnsi="Arial Narrow"/>
                <w:sz w:val="20"/>
              </w:rPr>
            </w:pPr>
          </w:p>
          <w:p w:rsidR="00F22ACF" w:rsidRPr="00CD0789" w:rsidRDefault="00F22ACF" w:rsidP="00F22ACF">
            <w:pPr>
              <w:rPr>
                <w:rFonts w:ascii="Arial Narrow" w:hAnsi="Arial Narrow"/>
                <w:sz w:val="20"/>
              </w:rPr>
            </w:pPr>
            <w:r w:rsidRPr="00CD0789">
              <w:rPr>
                <w:rFonts w:ascii="Arial Narrow" w:hAnsi="Arial Narrow"/>
                <w:sz w:val="20"/>
              </w:rPr>
              <w:lastRenderedPageBreak/>
              <w:t>Weak CYP3A4 inducers: armodafinil, echinacea, pioglitazone, rufinamide.</w:t>
            </w:r>
          </w:p>
          <w:p w:rsidR="00F22ACF" w:rsidRPr="00CD0789" w:rsidRDefault="00F22ACF" w:rsidP="00F22ACF">
            <w:pPr>
              <w:rPr>
                <w:rFonts w:ascii="Arial Narrow" w:hAnsi="Arial Narrow"/>
                <w:sz w:val="20"/>
              </w:rPr>
            </w:pPr>
          </w:p>
          <w:p w:rsidR="00F22ACF" w:rsidRPr="00CD0789" w:rsidRDefault="00F22ACF" w:rsidP="00F22ACF">
            <w:pPr>
              <w:rPr>
                <w:rFonts w:ascii="Arial Narrow" w:hAnsi="Arial Narrow"/>
                <w:sz w:val="20"/>
              </w:rPr>
            </w:pPr>
            <w:r w:rsidRPr="00CD0789">
              <w:rPr>
                <w:rFonts w:ascii="Arial Narrow" w:hAnsi="Arial Narrow"/>
                <w:sz w:val="20"/>
              </w:rPr>
              <w:t>The authority application must be in writing and must include:</w:t>
            </w:r>
          </w:p>
          <w:p w:rsidR="00F22ACF" w:rsidRPr="00CD0789" w:rsidRDefault="00F22ACF" w:rsidP="00F22ACF">
            <w:pPr>
              <w:rPr>
                <w:rFonts w:ascii="Arial Narrow" w:hAnsi="Arial Narrow"/>
                <w:sz w:val="20"/>
              </w:rPr>
            </w:pPr>
            <w:r w:rsidRPr="00CD0789">
              <w:rPr>
                <w:rFonts w:ascii="Arial Narrow" w:hAnsi="Arial Narrow"/>
                <w:sz w:val="20"/>
              </w:rPr>
              <w:t>(1) a completed authority prescription form; and</w:t>
            </w:r>
          </w:p>
          <w:p w:rsidR="00F22ACF" w:rsidRPr="00CD0789" w:rsidRDefault="00F22ACF" w:rsidP="00F22ACF">
            <w:pPr>
              <w:rPr>
                <w:rFonts w:ascii="Arial Narrow" w:hAnsi="Arial Narrow"/>
                <w:sz w:val="20"/>
              </w:rPr>
            </w:pPr>
            <w:r w:rsidRPr="00CD0789">
              <w:rPr>
                <w:rFonts w:ascii="Arial Narrow" w:hAnsi="Arial Narrow"/>
                <w:sz w:val="20"/>
              </w:rPr>
              <w:t>(2) a completed Cystic Fibrosis Tezacaftor with Ivacaftor Authority Application Supporting Information Form; and</w:t>
            </w:r>
          </w:p>
          <w:p w:rsidR="00F22ACF" w:rsidRPr="00CD0789" w:rsidRDefault="00F22ACF" w:rsidP="00F22ACF">
            <w:pPr>
              <w:rPr>
                <w:rFonts w:ascii="Arial Narrow" w:hAnsi="Arial Narrow"/>
                <w:sz w:val="20"/>
              </w:rPr>
            </w:pPr>
            <w:r w:rsidRPr="00CD0789">
              <w:rPr>
                <w:rFonts w:ascii="Arial Narrow" w:hAnsi="Arial Narrow"/>
                <w:sz w:val="20"/>
              </w:rPr>
              <w:t>(3) a copy of the pathology report detailing the molecular testing for the patient having at least one RF mutation on the CFTR gene; and</w:t>
            </w:r>
          </w:p>
          <w:p w:rsidR="00F22ACF" w:rsidRPr="00CD0789" w:rsidRDefault="00F22ACF" w:rsidP="00F22ACF">
            <w:pPr>
              <w:rPr>
                <w:rFonts w:ascii="Arial Narrow" w:hAnsi="Arial Narrow"/>
                <w:sz w:val="20"/>
              </w:rPr>
            </w:pPr>
            <w:r w:rsidRPr="00CD0789">
              <w:rPr>
                <w:rFonts w:ascii="Arial Narrow" w:hAnsi="Arial Narrow"/>
                <w:sz w:val="20"/>
              </w:rPr>
              <w:t xml:space="preserve">(4) </w:t>
            </w:r>
            <w:r w:rsidRPr="00CD0789">
              <w:rPr>
                <w:rFonts w:ascii="Arial Narrow" w:hAnsi="Arial Narrow"/>
                <w:strike/>
                <w:sz w:val="20"/>
              </w:rPr>
              <w:t>a copy of the pathology report detailing the molecular testing for the patient having at least one F508del mutation on the CFTR gene;</w:t>
            </w:r>
          </w:p>
          <w:p w:rsidR="00F22ACF" w:rsidRPr="00CD0789" w:rsidRDefault="00F22ACF" w:rsidP="00F22ACF">
            <w:pPr>
              <w:rPr>
                <w:rFonts w:ascii="Arial Narrow" w:hAnsi="Arial Narrow"/>
                <w:sz w:val="20"/>
              </w:rPr>
            </w:pPr>
            <w:r w:rsidRPr="00CD0789">
              <w:rPr>
                <w:rFonts w:ascii="Arial Narrow" w:hAnsi="Arial Narrow"/>
                <w:strike/>
                <w:sz w:val="20"/>
              </w:rPr>
              <w:t xml:space="preserve">(5) </w:t>
            </w:r>
            <w:r w:rsidRPr="00CD0789">
              <w:rPr>
                <w:rFonts w:ascii="Arial Narrow" w:hAnsi="Arial Narrow"/>
                <w:sz w:val="20"/>
              </w:rPr>
              <w:t>the result of a FEV</w:t>
            </w:r>
            <w:r w:rsidRPr="00CD0789">
              <w:rPr>
                <w:rFonts w:ascii="Arial Narrow" w:hAnsi="Arial Narrow"/>
                <w:sz w:val="20"/>
                <w:vertAlign w:val="subscript"/>
              </w:rPr>
              <w:t>1</w:t>
            </w:r>
            <w:r w:rsidRPr="00CD0789">
              <w:rPr>
                <w:rFonts w:ascii="Arial Narrow" w:hAnsi="Arial Narrow"/>
                <w:sz w:val="20"/>
              </w:rPr>
              <w:t xml:space="preserve"> measurement performed within a month prior to the date of application. Note: FEV</w:t>
            </w:r>
            <w:r w:rsidRPr="00CD0789">
              <w:rPr>
                <w:rFonts w:ascii="Arial Narrow" w:hAnsi="Arial Narrow"/>
                <w:sz w:val="20"/>
                <w:vertAlign w:val="subscript"/>
              </w:rPr>
              <w:t>1</w:t>
            </w:r>
            <w:r w:rsidRPr="00CD0789">
              <w:rPr>
                <w:rFonts w:ascii="Arial Narrow" w:hAnsi="Arial Narrow"/>
                <w:sz w:val="20"/>
              </w:rPr>
              <w:t>, must be measured in an accredited pulmonary function laboratory, with documented no acute infective exacerbation at the time FEV</w:t>
            </w:r>
            <w:r w:rsidRPr="00CD0789">
              <w:rPr>
                <w:rFonts w:ascii="Arial Narrow" w:hAnsi="Arial Narrow"/>
                <w:sz w:val="20"/>
                <w:vertAlign w:val="subscript"/>
              </w:rPr>
              <w:t>1</w:t>
            </w:r>
            <w:r w:rsidRPr="00CD0789">
              <w:rPr>
                <w:rFonts w:ascii="Arial Narrow" w:hAnsi="Arial Narrow"/>
                <w:sz w:val="20"/>
              </w:rPr>
              <w:t xml:space="preserve"> is measured; and</w:t>
            </w:r>
          </w:p>
          <w:p w:rsidR="00F22ACF" w:rsidRPr="00CD0789" w:rsidRDefault="00F22ACF" w:rsidP="00F22ACF">
            <w:pPr>
              <w:rPr>
                <w:rFonts w:ascii="Arial Narrow" w:hAnsi="Arial Narrow"/>
                <w:sz w:val="20"/>
              </w:rPr>
            </w:pPr>
            <w:r w:rsidRPr="00CD0789">
              <w:rPr>
                <w:rFonts w:ascii="Arial Narrow" w:hAnsi="Arial Narrow"/>
                <w:strike/>
                <w:sz w:val="20"/>
              </w:rPr>
              <w:t>(6)</w:t>
            </w:r>
            <w:r w:rsidRPr="00CD0789">
              <w:rPr>
                <w:rFonts w:ascii="Arial Narrow" w:hAnsi="Arial Narrow"/>
                <w:i/>
                <w:sz w:val="20"/>
              </w:rPr>
              <w:t>(5)</w:t>
            </w:r>
            <w:r w:rsidRPr="00CD0789">
              <w:rPr>
                <w:rFonts w:ascii="Arial Narrow" w:hAnsi="Arial Narrow"/>
                <w:sz w:val="20"/>
              </w:rPr>
              <w:t xml:space="preserve"> </w:t>
            </w:r>
            <w:r w:rsidRPr="00CD0789">
              <w:rPr>
                <w:rFonts w:ascii="Arial Narrow" w:hAnsi="Arial Narrow"/>
                <w:strike/>
                <w:sz w:val="20"/>
              </w:rPr>
              <w:t>a copy of a current medication history, including any</w:t>
            </w:r>
            <w:r w:rsidR="00601C75" w:rsidRPr="00CD0789">
              <w:rPr>
                <w:rFonts w:ascii="Arial Narrow" w:hAnsi="Arial Narrow"/>
                <w:i/>
                <w:sz w:val="20"/>
              </w:rPr>
              <w:t xml:space="preserve"> </w:t>
            </w:r>
            <w:r w:rsidR="00601C75" w:rsidRPr="00CD0789">
              <w:rPr>
                <w:rFonts w:ascii="Arial Narrow" w:hAnsi="Arial Narrow"/>
                <w:sz w:val="20"/>
              </w:rPr>
              <w:t>current</w:t>
            </w:r>
            <w:r w:rsidRPr="00CD0789">
              <w:rPr>
                <w:rFonts w:ascii="Arial Narrow" w:hAnsi="Arial Narrow"/>
                <w:sz w:val="20"/>
              </w:rPr>
              <w:t xml:space="preserve"> CYP3A4 inhibitors</w:t>
            </w:r>
            <w:r w:rsidRPr="00CD0789">
              <w:rPr>
                <w:rFonts w:ascii="Arial Narrow" w:hAnsi="Arial Narrow"/>
                <w:strike/>
                <w:sz w:val="20"/>
              </w:rPr>
              <w:t>,  or</w:t>
            </w:r>
            <w:r w:rsidRPr="00CD0789">
              <w:rPr>
                <w:rFonts w:ascii="Arial Narrow" w:hAnsi="Arial Narrow"/>
                <w:sz w:val="20"/>
              </w:rPr>
              <w:t xml:space="preserve"> CYP3A4 inducers and IV antibiotics</w:t>
            </w:r>
            <w:r w:rsidRPr="00CD0789">
              <w:rPr>
                <w:rFonts w:ascii="Arial Narrow" w:hAnsi="Arial Narrow"/>
                <w:i/>
                <w:sz w:val="20"/>
              </w:rPr>
              <w:t xml:space="preserve">; </w:t>
            </w:r>
            <w:r w:rsidRPr="00CD0789">
              <w:rPr>
                <w:rFonts w:ascii="Arial Narrow" w:hAnsi="Arial Narrow"/>
                <w:sz w:val="20"/>
              </w:rPr>
              <w:t xml:space="preserve">and </w:t>
            </w:r>
          </w:p>
          <w:p w:rsidR="00F22ACF" w:rsidRPr="00CD0789" w:rsidRDefault="00F22ACF" w:rsidP="00F22ACF">
            <w:pPr>
              <w:rPr>
                <w:rFonts w:ascii="Arial Narrow" w:hAnsi="Arial Narrow"/>
                <w:sz w:val="20"/>
              </w:rPr>
            </w:pPr>
            <w:r w:rsidRPr="00CD0789">
              <w:rPr>
                <w:rFonts w:ascii="Arial Narrow" w:hAnsi="Arial Narrow"/>
                <w:strike/>
                <w:sz w:val="20"/>
              </w:rPr>
              <w:t>(7)</w:t>
            </w:r>
            <w:r w:rsidRPr="00CD0789">
              <w:rPr>
                <w:rFonts w:ascii="Arial Narrow" w:hAnsi="Arial Narrow"/>
                <w:i/>
                <w:sz w:val="20"/>
              </w:rPr>
              <w:t>(6)</w:t>
            </w:r>
            <w:r w:rsidRPr="00CD0789">
              <w:rPr>
                <w:rFonts w:ascii="Arial Narrow" w:hAnsi="Arial Narrow"/>
                <w:sz w:val="20"/>
              </w:rPr>
              <w:t xml:space="preserve"> height and weight measurements at the time of application; and</w:t>
            </w:r>
          </w:p>
          <w:p w:rsidR="00F22ACF" w:rsidRPr="00CD0789" w:rsidRDefault="00F22ACF" w:rsidP="00F22ACF">
            <w:pPr>
              <w:rPr>
                <w:rFonts w:ascii="Arial Narrow" w:hAnsi="Arial Narrow"/>
                <w:sz w:val="20"/>
              </w:rPr>
            </w:pPr>
            <w:r w:rsidRPr="00CD0789">
              <w:rPr>
                <w:rFonts w:ascii="Arial Narrow" w:hAnsi="Arial Narrow"/>
                <w:strike/>
                <w:sz w:val="20"/>
              </w:rPr>
              <w:t>(8)</w:t>
            </w:r>
            <w:r w:rsidRPr="00CD0789">
              <w:rPr>
                <w:rFonts w:ascii="Arial Narrow" w:hAnsi="Arial Narrow"/>
                <w:i/>
                <w:sz w:val="20"/>
              </w:rPr>
              <w:t>(7)</w:t>
            </w:r>
            <w:r w:rsidRPr="00CD0789">
              <w:rPr>
                <w:rFonts w:ascii="Arial Narrow" w:hAnsi="Arial Narrow"/>
                <w:sz w:val="20"/>
              </w:rPr>
              <w:t xml:space="preserve"> a baseline measurement of the number of days of CF-related hospitalisation (including hospital-in-the home) in the previous 12 months.</w:t>
            </w:r>
          </w:p>
          <w:p w:rsidR="00F22ACF" w:rsidRPr="00CD0789" w:rsidRDefault="00F22ACF" w:rsidP="003476EE">
            <w:pPr>
              <w:jc w:val="both"/>
              <w:rPr>
                <w:rFonts w:ascii="Arial Narrow" w:hAnsi="Arial Narrow"/>
                <w:sz w:val="20"/>
              </w:rPr>
            </w:pPr>
          </w:p>
          <w:p w:rsidR="0047142A" w:rsidRPr="00CD0789" w:rsidRDefault="00F22ACF" w:rsidP="003476EE">
            <w:pPr>
              <w:jc w:val="both"/>
              <w:rPr>
                <w:rFonts w:ascii="Arial Narrow" w:hAnsi="Arial Narrow" w:cs="Arial"/>
                <w:snapToGrid w:val="0"/>
                <w:sz w:val="20"/>
                <w:szCs w:val="22"/>
                <w:lang w:eastAsia="en-US"/>
              </w:rPr>
            </w:pPr>
            <w:r w:rsidRPr="00CD0789">
              <w:rPr>
                <w:rFonts w:ascii="Arial Narrow" w:hAnsi="Arial Narrow"/>
                <w:sz w:val="20"/>
              </w:rPr>
              <w:t>For patients who’ve initiated non-PBS subsidised treatment prior to 1 December 2019, date of initiating treatment, baseline FEV1 and hospitalisation dates prior to initiating treatment (where available) should be provided.</w:t>
            </w:r>
          </w:p>
        </w:tc>
      </w:tr>
    </w:tbl>
    <w:p w:rsidR="00130333" w:rsidRDefault="00130333" w:rsidP="00130333">
      <w:pPr>
        <w:pStyle w:val="Bodytextitalics"/>
        <w:numPr>
          <w:ilvl w:val="0"/>
          <w:numId w:val="0"/>
        </w:numPr>
        <w:ind w:left="720"/>
        <w:jc w:val="both"/>
        <w:rPr>
          <w:i w:val="0"/>
        </w:rPr>
      </w:pPr>
    </w:p>
    <w:p w:rsidR="00130333" w:rsidRDefault="00130333" w:rsidP="00631EE8">
      <w:pPr>
        <w:pStyle w:val="Bodytextitalics"/>
        <w:numPr>
          <w:ilvl w:val="1"/>
          <w:numId w:val="36"/>
        </w:numPr>
        <w:jc w:val="both"/>
        <w:rPr>
          <w:i w:val="0"/>
        </w:rPr>
      </w:pPr>
      <w:r w:rsidRPr="00AD1397">
        <w:rPr>
          <w:i w:val="0"/>
        </w:rPr>
        <w:t xml:space="preserve">The pre-PBAC response  </w:t>
      </w:r>
      <w:r w:rsidR="00D73144" w:rsidRPr="00AD1397">
        <w:rPr>
          <w:i w:val="0"/>
        </w:rPr>
        <w:t>stated that the sponsor has received reports from CF clinics that mandating the use of an accredited pulmonary function laboratory to collect FEV</w:t>
      </w:r>
      <w:r w:rsidR="00D73144" w:rsidRPr="00AD1397">
        <w:rPr>
          <w:i w:val="0"/>
          <w:vertAlign w:val="subscript"/>
        </w:rPr>
        <w:t xml:space="preserve">1 </w:t>
      </w:r>
      <w:r w:rsidR="00D73144" w:rsidRPr="00AD1397">
        <w:rPr>
          <w:i w:val="0"/>
        </w:rPr>
        <w:t>(percent predicted forced expiratory volume in one second) measurements places an additional burden on some CF centres and patients. The pre-PBAC response considered that FEV</w:t>
      </w:r>
      <w:r w:rsidR="00D73144" w:rsidRPr="00AD1397">
        <w:rPr>
          <w:i w:val="0"/>
          <w:vertAlign w:val="subscript"/>
        </w:rPr>
        <w:t xml:space="preserve">1 </w:t>
      </w:r>
      <w:r w:rsidR="00D73144" w:rsidRPr="00AD1397">
        <w:rPr>
          <w:i w:val="0"/>
        </w:rPr>
        <w:t>measurements from CF centres would be sufficient for medical records.</w:t>
      </w:r>
      <w:r w:rsidR="00AD1397" w:rsidRPr="00AD1397">
        <w:rPr>
          <w:i w:val="0"/>
        </w:rPr>
        <w:t xml:space="preserve"> The pre-PBAC response </w:t>
      </w:r>
      <w:r w:rsidR="00AD1397">
        <w:rPr>
          <w:i w:val="0"/>
        </w:rPr>
        <w:t>also stated</w:t>
      </w:r>
      <w:r w:rsidR="00AD1397" w:rsidRPr="00AD1397">
        <w:rPr>
          <w:i w:val="0"/>
        </w:rPr>
        <w:t xml:space="preserve"> that a telephone authority should be considered for continuing PBS authority applications.</w:t>
      </w:r>
    </w:p>
    <w:p w:rsidR="00A7536B" w:rsidRPr="00A7536B" w:rsidRDefault="00A7536B" w:rsidP="00A7536B">
      <w:pPr>
        <w:pStyle w:val="Bodytextitalics"/>
        <w:numPr>
          <w:ilvl w:val="0"/>
          <w:numId w:val="0"/>
        </w:numPr>
        <w:ind w:left="720"/>
        <w:jc w:val="both"/>
      </w:pPr>
      <w:r w:rsidRPr="00CD0789">
        <w:t>For more detail on PBAC’s view, see section 7 PBAC outcome.</w:t>
      </w:r>
    </w:p>
    <w:p w:rsidR="0012749D" w:rsidRPr="00CD0789" w:rsidRDefault="00CE10C4" w:rsidP="0003155A">
      <w:pPr>
        <w:pStyle w:val="2Sections"/>
        <w:keepNext/>
      </w:pPr>
      <w:r w:rsidRPr="00CD0789">
        <w:t>Background</w:t>
      </w:r>
      <w:r w:rsidR="00771D07" w:rsidRPr="00CD0789">
        <w:t xml:space="preserve"> </w:t>
      </w:r>
    </w:p>
    <w:p w:rsidR="00622DA2" w:rsidRPr="00CD0789" w:rsidRDefault="00622DA2" w:rsidP="00622DA2">
      <w:pPr>
        <w:keepNext/>
        <w:keepLines/>
        <w:spacing w:after="120"/>
        <w:rPr>
          <w:rFonts w:asciiTheme="minorHAnsi" w:hAnsiTheme="minorHAnsi"/>
        </w:rPr>
      </w:pPr>
      <w:r w:rsidRPr="00CD0789">
        <w:rPr>
          <w:rFonts w:asciiTheme="minorHAnsi" w:hAnsiTheme="minorHAnsi"/>
          <w:b/>
          <w:i/>
        </w:rPr>
        <w:t>Registration status</w:t>
      </w:r>
    </w:p>
    <w:p w:rsidR="00622DA2" w:rsidRPr="00CD0789" w:rsidRDefault="000C04BB" w:rsidP="00622DA2">
      <w:pPr>
        <w:pStyle w:val="Bodytextitalics"/>
        <w:jc w:val="both"/>
        <w:rPr>
          <w:i w:val="0"/>
        </w:rPr>
      </w:pPr>
      <w:r>
        <w:rPr>
          <w:i w:val="0"/>
        </w:rPr>
        <w:t xml:space="preserve">Tezacaftor/ivacaftor </w:t>
      </w:r>
      <w:r w:rsidR="00622DA2" w:rsidRPr="00CD0789">
        <w:rPr>
          <w:i w:val="0"/>
        </w:rPr>
        <w:t>is TGA registered for the</w:t>
      </w:r>
      <w:r w:rsidR="00622DA2" w:rsidRPr="00CD0789">
        <w:t xml:space="preserve"> </w:t>
      </w:r>
      <w:r w:rsidR="00622DA2" w:rsidRPr="00CD0789">
        <w:rPr>
          <w:i w:val="0"/>
        </w:rPr>
        <w:t>treatment of patients with CF aged 12 years and older who are homozygous for the F508del mutation or who have at least one mutation in the CFTR gene that i</w:t>
      </w:r>
      <w:r>
        <w:rPr>
          <w:i w:val="0"/>
        </w:rPr>
        <w:t>s responsive to tezacaftor/</w:t>
      </w:r>
      <w:r w:rsidR="00622DA2" w:rsidRPr="00CD0789">
        <w:rPr>
          <w:i w:val="0"/>
        </w:rPr>
        <w:t>ivacaftor based on in vitro data and/or clinical evidence, as defined in Table 1 of the TGA approved Product Information. The TGA approved Product Information currently specifies a total of 25 CFTR gene mutations (not including the F508del mutation) that produce CFTR protei</w:t>
      </w:r>
      <w:r>
        <w:rPr>
          <w:i w:val="0"/>
        </w:rPr>
        <w:t>n responsive to tezacaftor/</w:t>
      </w:r>
      <w:r w:rsidR="00622DA2" w:rsidRPr="00CD0789">
        <w:rPr>
          <w:i w:val="0"/>
        </w:rPr>
        <w:t xml:space="preserve">ivacaftor based on in vitro data and/or clinical evidence. </w:t>
      </w:r>
    </w:p>
    <w:p w:rsidR="00B62989" w:rsidRPr="00CD0789" w:rsidRDefault="00B62989" w:rsidP="009D132F">
      <w:pPr>
        <w:keepNext/>
        <w:keepLines/>
        <w:spacing w:after="120"/>
        <w:rPr>
          <w:rFonts w:asciiTheme="minorHAnsi" w:hAnsiTheme="minorHAnsi"/>
          <w:b/>
          <w:i/>
        </w:rPr>
      </w:pPr>
      <w:r w:rsidRPr="00CD0789">
        <w:rPr>
          <w:rFonts w:asciiTheme="minorHAnsi" w:hAnsiTheme="minorHAnsi"/>
          <w:b/>
          <w:i/>
        </w:rPr>
        <w:lastRenderedPageBreak/>
        <w:t>Previous PBAC consideration</w:t>
      </w:r>
      <w:r w:rsidR="00E2216B" w:rsidRPr="00CD0789">
        <w:rPr>
          <w:rFonts w:asciiTheme="minorHAnsi" w:hAnsiTheme="minorHAnsi"/>
          <w:b/>
          <w:i/>
        </w:rPr>
        <w:t>s</w:t>
      </w:r>
      <w:r w:rsidRPr="00CD0789">
        <w:rPr>
          <w:rFonts w:asciiTheme="minorHAnsi" w:hAnsiTheme="minorHAnsi"/>
          <w:b/>
          <w:i/>
        </w:rPr>
        <w:t xml:space="preserve"> </w:t>
      </w:r>
    </w:p>
    <w:p w:rsidR="00B62989" w:rsidRPr="00CD0789" w:rsidRDefault="00B62989" w:rsidP="009D132F">
      <w:pPr>
        <w:pStyle w:val="Bodytextitalics"/>
        <w:numPr>
          <w:ilvl w:val="1"/>
          <w:numId w:val="23"/>
        </w:numPr>
        <w:jc w:val="both"/>
        <w:rPr>
          <w:i w:val="0"/>
        </w:rPr>
      </w:pPr>
      <w:r w:rsidRPr="00CD0789">
        <w:rPr>
          <w:i w:val="0"/>
        </w:rPr>
        <w:t>The PBAC previously considered a major</w:t>
      </w:r>
      <w:r w:rsidR="000C04BB">
        <w:rPr>
          <w:i w:val="0"/>
        </w:rPr>
        <w:t xml:space="preserve"> submission for tezacaftor/</w:t>
      </w:r>
      <w:r w:rsidRPr="00CD0789">
        <w:rPr>
          <w:i w:val="0"/>
        </w:rPr>
        <w:t xml:space="preserve">ivacaftor for the treatment of two CF patient groups: those who are homozygous for </w:t>
      </w:r>
      <w:r w:rsidR="00C75BFB" w:rsidRPr="00CD0789">
        <w:rPr>
          <w:i w:val="0"/>
        </w:rPr>
        <w:t xml:space="preserve">(i.e. have two copies of) </w:t>
      </w:r>
      <w:r w:rsidRPr="00CD0789">
        <w:rPr>
          <w:i w:val="0"/>
        </w:rPr>
        <w:t>the F508del mutation</w:t>
      </w:r>
      <w:r w:rsidR="009D132F" w:rsidRPr="00CD0789">
        <w:rPr>
          <w:i w:val="0"/>
        </w:rPr>
        <w:t xml:space="preserve"> (tezacaftor with ivacaftor (F508del deletion) Public Summary Document (PSD), March 2019 PBAC meeting)</w:t>
      </w:r>
      <w:r w:rsidRPr="00CD0789">
        <w:rPr>
          <w:i w:val="0"/>
        </w:rPr>
        <w:t xml:space="preserve"> and those who have at least one RF mutation</w:t>
      </w:r>
      <w:r w:rsidR="009D132F" w:rsidRPr="00CD0789">
        <w:rPr>
          <w:i w:val="0"/>
        </w:rPr>
        <w:t xml:space="preserve"> (tezacaftor with ivacaftor (RF mutation) PSD, March 2019 PBAC meeting)</w:t>
      </w:r>
      <w:r w:rsidRPr="00CD0789">
        <w:rPr>
          <w:i w:val="0"/>
        </w:rPr>
        <w:t xml:space="preserve"> in the CFTR gene at the March 2019 PBAC meeting. </w:t>
      </w:r>
      <w:r w:rsidR="00F135D4" w:rsidRPr="00CD0789">
        <w:rPr>
          <w:i w:val="0"/>
        </w:rPr>
        <w:t>The P</w:t>
      </w:r>
      <w:r w:rsidR="000C04BB">
        <w:rPr>
          <w:i w:val="0"/>
        </w:rPr>
        <w:t>BAC recommended tezacaftor/</w:t>
      </w:r>
      <w:r w:rsidR="00F135D4" w:rsidRPr="00CD0789">
        <w:rPr>
          <w:i w:val="0"/>
        </w:rPr>
        <w:t>ivacaftor for the treatment of patients with CF aged 12 years and older who:</w:t>
      </w:r>
    </w:p>
    <w:p w:rsidR="00B62989" w:rsidRPr="00CD0789" w:rsidRDefault="00F135D4" w:rsidP="009D132F">
      <w:pPr>
        <w:pStyle w:val="Bodytextitalics"/>
        <w:numPr>
          <w:ilvl w:val="2"/>
          <w:numId w:val="29"/>
        </w:numPr>
        <w:ind w:left="1134" w:hanging="425"/>
        <w:jc w:val="both"/>
        <w:rPr>
          <w:i w:val="0"/>
        </w:rPr>
      </w:pPr>
      <w:r w:rsidRPr="00CD0789">
        <w:rPr>
          <w:i w:val="0"/>
        </w:rPr>
        <w:t>are</w:t>
      </w:r>
      <w:r w:rsidR="00B62989" w:rsidRPr="00CD0789">
        <w:rPr>
          <w:i w:val="0"/>
        </w:rPr>
        <w:t xml:space="preserve"> homozygous for the F508del mutation in the CFTR gene</w:t>
      </w:r>
      <w:r w:rsidRPr="00CD0789">
        <w:rPr>
          <w:i w:val="0"/>
        </w:rPr>
        <w:t>,</w:t>
      </w:r>
      <w:r w:rsidR="00B62989" w:rsidRPr="00CD0789">
        <w:rPr>
          <w:i w:val="0"/>
        </w:rPr>
        <w:t xml:space="preserve"> on a </w:t>
      </w:r>
      <w:r w:rsidR="00B62989" w:rsidRPr="00CD0789">
        <w:rPr>
          <w:bCs/>
          <w:i w:val="0"/>
          <w:szCs w:val="24"/>
        </w:rPr>
        <w:t>cost-m</w:t>
      </w:r>
      <w:r w:rsidR="00A6375B" w:rsidRPr="00CD0789">
        <w:rPr>
          <w:bCs/>
          <w:i w:val="0"/>
          <w:szCs w:val="24"/>
        </w:rPr>
        <w:t xml:space="preserve">inimisation basis to lumacaftor with </w:t>
      </w:r>
      <w:r w:rsidR="00B62989" w:rsidRPr="00CD0789">
        <w:rPr>
          <w:bCs/>
          <w:i w:val="0"/>
          <w:szCs w:val="24"/>
        </w:rPr>
        <w:t>ivacaftor</w:t>
      </w:r>
      <w:r w:rsidR="00683626" w:rsidRPr="00CD0789">
        <w:rPr>
          <w:bCs/>
          <w:i w:val="0"/>
          <w:szCs w:val="24"/>
        </w:rPr>
        <w:t xml:space="preserve"> </w:t>
      </w:r>
      <w:r w:rsidR="00683626" w:rsidRPr="00CD0789">
        <w:rPr>
          <w:i w:val="0"/>
        </w:rPr>
        <w:t>(paragraph 7.1, tezacaftor with ivacaftor (F508del deletion), Public Summary Document (PSD), March 2019 PBAC meeting)</w:t>
      </w:r>
      <w:r w:rsidRPr="00CD0789">
        <w:rPr>
          <w:bCs/>
          <w:i w:val="0"/>
          <w:szCs w:val="24"/>
        </w:rPr>
        <w:t>; and</w:t>
      </w:r>
    </w:p>
    <w:p w:rsidR="00175E68" w:rsidRPr="00CD0789" w:rsidRDefault="00B62989" w:rsidP="009D132F">
      <w:pPr>
        <w:pStyle w:val="Bodytextitalics"/>
        <w:numPr>
          <w:ilvl w:val="2"/>
          <w:numId w:val="29"/>
        </w:numPr>
        <w:ind w:left="1134" w:hanging="425"/>
        <w:jc w:val="both"/>
        <w:rPr>
          <w:i w:val="0"/>
        </w:rPr>
      </w:pPr>
      <w:r w:rsidRPr="00CD0789">
        <w:rPr>
          <w:i w:val="0"/>
        </w:rPr>
        <w:t>have</w:t>
      </w:r>
      <w:r w:rsidR="00E70E29" w:rsidRPr="00CD0789">
        <w:rPr>
          <w:i w:val="0"/>
        </w:rPr>
        <w:t xml:space="preserve"> </w:t>
      </w:r>
      <w:r w:rsidR="00F135D4" w:rsidRPr="00CD0789">
        <w:rPr>
          <w:i w:val="0"/>
        </w:rPr>
        <w:t xml:space="preserve">one copy of the F508del mutation and another </w:t>
      </w:r>
      <w:r w:rsidR="00E70E29" w:rsidRPr="00CD0789">
        <w:rPr>
          <w:i w:val="0"/>
        </w:rPr>
        <w:t>RF mutation</w:t>
      </w:r>
      <w:r w:rsidR="00181CE4" w:rsidRPr="00CD0789">
        <w:rPr>
          <w:i w:val="0"/>
        </w:rPr>
        <w:t xml:space="preserve"> </w:t>
      </w:r>
      <w:r w:rsidR="00F135D4" w:rsidRPr="00CD0789">
        <w:rPr>
          <w:i w:val="0"/>
        </w:rPr>
        <w:t xml:space="preserve">in the CFTR gene, </w:t>
      </w:r>
      <w:r w:rsidRPr="00CD0789">
        <w:rPr>
          <w:i w:val="0"/>
        </w:rPr>
        <w:t>in line with the patient population in the</w:t>
      </w:r>
      <w:r w:rsidR="00F66657" w:rsidRPr="00CD0789">
        <w:rPr>
          <w:i w:val="0"/>
        </w:rPr>
        <w:t xml:space="preserve"> key</w:t>
      </w:r>
      <w:r w:rsidRPr="00CD0789">
        <w:rPr>
          <w:i w:val="0"/>
        </w:rPr>
        <w:t xml:space="preserve"> clinical trial, Study 108</w:t>
      </w:r>
      <w:r w:rsidR="00F135D4" w:rsidRPr="00CD0789">
        <w:rPr>
          <w:i w:val="0"/>
        </w:rPr>
        <w:t xml:space="preserve"> on the basis of cost effectiveness compared with best supportive care (BSC)</w:t>
      </w:r>
      <w:r w:rsidR="00683626" w:rsidRPr="00CD0789">
        <w:rPr>
          <w:i w:val="0"/>
        </w:rPr>
        <w:t xml:space="preserve"> (paragraphs 7.1-2, tezacaftor with ivacaftor (RF mutation), PSD, March 2019 PBAC meeting)</w:t>
      </w:r>
      <w:r w:rsidRPr="00CD0789">
        <w:rPr>
          <w:i w:val="0"/>
        </w:rPr>
        <w:t>.</w:t>
      </w:r>
    </w:p>
    <w:p w:rsidR="00622DA2" w:rsidRPr="00CD0789" w:rsidRDefault="00457D50" w:rsidP="00622DA2">
      <w:pPr>
        <w:pStyle w:val="Bodytextitalics"/>
        <w:numPr>
          <w:ilvl w:val="0"/>
          <w:numId w:val="0"/>
        </w:numPr>
        <w:ind w:left="720"/>
        <w:jc w:val="both"/>
        <w:rPr>
          <w:i w:val="0"/>
        </w:rPr>
      </w:pPr>
      <w:r w:rsidRPr="00CD0789">
        <w:rPr>
          <w:i w:val="0"/>
        </w:rPr>
        <w:t>On 21 October 2019, the Minister for Health</w:t>
      </w:r>
      <w:r w:rsidR="000C04BB">
        <w:rPr>
          <w:i w:val="0"/>
        </w:rPr>
        <w:t xml:space="preserve"> announced that tezacaftor/</w:t>
      </w:r>
      <w:r w:rsidRPr="00CD0789">
        <w:rPr>
          <w:i w:val="0"/>
        </w:rPr>
        <w:t xml:space="preserve">ivacaftor will be listed </w:t>
      </w:r>
      <w:r w:rsidR="00622DA2" w:rsidRPr="00CD0789">
        <w:rPr>
          <w:i w:val="0"/>
        </w:rPr>
        <w:t xml:space="preserve">for </w:t>
      </w:r>
      <w:r w:rsidRPr="00CD0789">
        <w:rPr>
          <w:i w:val="0"/>
        </w:rPr>
        <w:t xml:space="preserve">these </w:t>
      </w:r>
      <w:r w:rsidR="00DD2B07" w:rsidRPr="00CD0789">
        <w:rPr>
          <w:i w:val="0"/>
        </w:rPr>
        <w:t xml:space="preserve">patients </w:t>
      </w:r>
      <w:r w:rsidR="00622DA2" w:rsidRPr="00CD0789">
        <w:rPr>
          <w:i w:val="0"/>
        </w:rPr>
        <w:t xml:space="preserve">on 1 December 2019. </w:t>
      </w:r>
    </w:p>
    <w:p w:rsidR="00F263AE" w:rsidRPr="00CD0789" w:rsidRDefault="00F263AE" w:rsidP="00F263AE">
      <w:pPr>
        <w:pStyle w:val="2Sections"/>
      </w:pPr>
      <w:r w:rsidRPr="00CD0789">
        <w:t xml:space="preserve">Population and disease </w:t>
      </w:r>
    </w:p>
    <w:p w:rsidR="00F263AE" w:rsidRPr="00CD0789" w:rsidRDefault="00F263AE" w:rsidP="00D34E2E">
      <w:pPr>
        <w:pStyle w:val="Bodytextitalics"/>
        <w:jc w:val="both"/>
        <w:rPr>
          <w:i w:val="0"/>
        </w:rPr>
      </w:pPr>
      <w:r w:rsidRPr="00CD0789">
        <w:rPr>
          <w:i w:val="0"/>
        </w:rPr>
        <w:t xml:space="preserve">Patients with RF mutations constitute a small group of CF patients with various rare mutations. RF mutations may cause reduced synthesis or stability of the CFTR protein that may result in retention of residual activity and therefore less severe disease. Patients with RF mutations tend to have a later onset of disease compared </w:t>
      </w:r>
      <w:r w:rsidR="00157177" w:rsidRPr="00CD0789">
        <w:rPr>
          <w:i w:val="0"/>
        </w:rPr>
        <w:t>with</w:t>
      </w:r>
      <w:r w:rsidRPr="00CD0789">
        <w:rPr>
          <w:i w:val="0"/>
        </w:rPr>
        <w:t xml:space="preserve"> patients homozygous for the F508del mutation however, still develop significant and progressive disease with a reduced life expectancy characteristic of CF</w:t>
      </w:r>
      <w:r w:rsidR="00CD0789">
        <w:rPr>
          <w:i w:val="0"/>
        </w:rPr>
        <w:t xml:space="preserve">. </w:t>
      </w:r>
    </w:p>
    <w:p w:rsidR="00300B1B" w:rsidRPr="00CD0789" w:rsidRDefault="005A3173" w:rsidP="0003155A">
      <w:pPr>
        <w:pStyle w:val="2Sections"/>
        <w:keepNext/>
        <w:rPr>
          <w:color w:val="FF0000"/>
        </w:rPr>
      </w:pPr>
      <w:r w:rsidRPr="004616DB">
        <w:t>Comparator</w:t>
      </w:r>
      <w:r w:rsidR="0099465B" w:rsidRPr="004616DB">
        <w:t xml:space="preserve"> </w:t>
      </w:r>
    </w:p>
    <w:p w:rsidR="00C35996" w:rsidRPr="00CD0789" w:rsidRDefault="00825C64" w:rsidP="00D34E2E">
      <w:pPr>
        <w:pStyle w:val="Bodytextitalics"/>
        <w:jc w:val="both"/>
        <w:rPr>
          <w:i w:val="0"/>
        </w:rPr>
      </w:pPr>
      <w:r w:rsidRPr="00CD0789">
        <w:rPr>
          <w:i w:val="0"/>
        </w:rPr>
        <w:t>The PBAC previously accepted BSC as the appropriate main comparator for the requested popula</w:t>
      </w:r>
      <w:r w:rsidR="00685E74" w:rsidRPr="00CD0789">
        <w:rPr>
          <w:i w:val="0"/>
        </w:rPr>
        <w:t xml:space="preserve">tion (paragraph 7.4, tezacaftor with </w:t>
      </w:r>
      <w:r w:rsidRPr="00CD0789">
        <w:rPr>
          <w:i w:val="0"/>
        </w:rPr>
        <w:t>ivacaftor</w:t>
      </w:r>
      <w:r w:rsidR="009F4EFE" w:rsidRPr="00CD0789">
        <w:rPr>
          <w:i w:val="0"/>
        </w:rPr>
        <w:t xml:space="preserve"> (RF mutation)</w:t>
      </w:r>
      <w:r w:rsidRPr="00CD0789">
        <w:rPr>
          <w:i w:val="0"/>
        </w:rPr>
        <w:t xml:space="preserve">, </w:t>
      </w:r>
      <w:r w:rsidR="00685E74" w:rsidRPr="00CD0789">
        <w:rPr>
          <w:i w:val="0"/>
        </w:rPr>
        <w:t>PSD</w:t>
      </w:r>
      <w:r w:rsidRPr="00CD0789">
        <w:rPr>
          <w:i w:val="0"/>
        </w:rPr>
        <w:t xml:space="preserve">, March 2019 PBAC meeting). </w:t>
      </w:r>
    </w:p>
    <w:p w:rsidR="000B558D" w:rsidRPr="00CD0789" w:rsidRDefault="008D7A41" w:rsidP="00B72BDA">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CD0789">
        <w:rPr>
          <w:rFonts w:asciiTheme="minorHAnsi" w:hAnsiTheme="minorHAnsi"/>
          <w:sz w:val="32"/>
          <w:szCs w:val="32"/>
        </w:rPr>
        <w:t>C</w:t>
      </w:r>
      <w:r w:rsidR="00D84934" w:rsidRPr="00CD0789">
        <w:rPr>
          <w:rFonts w:asciiTheme="minorHAnsi" w:hAnsiTheme="minorHAnsi"/>
          <w:sz w:val="32"/>
          <w:szCs w:val="32"/>
        </w:rPr>
        <w:t>onsideration of the evidence</w:t>
      </w:r>
    </w:p>
    <w:p w:rsidR="00661F2B" w:rsidRPr="00CD0789" w:rsidRDefault="00661F2B" w:rsidP="00661F2B">
      <w:pPr>
        <w:pStyle w:val="Heading2"/>
        <w:keepLines/>
        <w:spacing w:before="240" w:after="120"/>
        <w:rPr>
          <w:rFonts w:asciiTheme="minorHAnsi" w:eastAsiaTheme="majorEastAsia" w:hAnsiTheme="minorHAnsi" w:cstheme="majorBidi"/>
          <w:sz w:val="28"/>
          <w:szCs w:val="28"/>
          <w:lang w:eastAsia="en-US"/>
        </w:rPr>
      </w:pPr>
      <w:r w:rsidRPr="00CD0789">
        <w:rPr>
          <w:rFonts w:asciiTheme="minorHAnsi" w:eastAsiaTheme="majorEastAsia" w:hAnsiTheme="minorHAnsi" w:cstheme="majorBidi"/>
          <w:sz w:val="28"/>
          <w:szCs w:val="28"/>
          <w:lang w:eastAsia="en-US"/>
        </w:rPr>
        <w:t xml:space="preserve">Sponsor hearing </w:t>
      </w:r>
    </w:p>
    <w:p w:rsidR="00661F2B" w:rsidRPr="00CD0789" w:rsidRDefault="00661F2B" w:rsidP="00661F2B">
      <w:pPr>
        <w:pStyle w:val="Bodytextitalics"/>
        <w:jc w:val="both"/>
      </w:pPr>
      <w:r w:rsidRPr="00CD0789">
        <w:rPr>
          <w:i w:val="0"/>
        </w:rPr>
        <w:t xml:space="preserve">There was no hearing for this item as it was a minor submission. </w:t>
      </w:r>
    </w:p>
    <w:p w:rsidR="00661F2B" w:rsidRPr="00CD0789" w:rsidRDefault="00661F2B" w:rsidP="00661F2B">
      <w:pPr>
        <w:pStyle w:val="Heading2"/>
        <w:keepLines/>
        <w:spacing w:before="240" w:after="120"/>
        <w:rPr>
          <w:rFonts w:asciiTheme="minorHAnsi" w:eastAsiaTheme="majorEastAsia" w:hAnsiTheme="minorHAnsi" w:cstheme="majorBidi"/>
          <w:sz w:val="28"/>
          <w:szCs w:val="28"/>
          <w:lang w:eastAsia="en-US"/>
        </w:rPr>
      </w:pPr>
      <w:r w:rsidRPr="00CD0789">
        <w:rPr>
          <w:rFonts w:asciiTheme="minorHAnsi" w:eastAsiaTheme="majorEastAsia" w:hAnsiTheme="minorHAnsi" w:cstheme="majorBidi"/>
          <w:sz w:val="28"/>
          <w:szCs w:val="28"/>
          <w:lang w:eastAsia="en-US"/>
        </w:rPr>
        <w:lastRenderedPageBreak/>
        <w:t xml:space="preserve">Consumer comments </w:t>
      </w:r>
    </w:p>
    <w:p w:rsidR="00661F2B" w:rsidRPr="00CD0789" w:rsidRDefault="008E4872" w:rsidP="003C3314">
      <w:pPr>
        <w:pStyle w:val="Bodytextitalics"/>
        <w:jc w:val="both"/>
        <w:rPr>
          <w:i w:val="0"/>
        </w:rPr>
      </w:pPr>
      <w:r w:rsidRPr="00CD0789">
        <w:rPr>
          <w:i w:val="0"/>
        </w:rPr>
        <w:t xml:space="preserve">The PBAC noted and welcomed the input from individuals (175), health care professionals (2) and organisations (1) via the Consumer Comments facility on the PBS website. </w:t>
      </w:r>
      <w:r w:rsidR="00F821D2" w:rsidRPr="00CD0789">
        <w:rPr>
          <w:i w:val="0"/>
        </w:rPr>
        <w:t>The comments described a range of benefits of</w:t>
      </w:r>
      <w:r w:rsidR="000C04BB">
        <w:rPr>
          <w:i w:val="0"/>
        </w:rPr>
        <w:t xml:space="preserve"> treatment with tezacaftor/</w:t>
      </w:r>
      <w:r w:rsidR="00F821D2" w:rsidRPr="00CD0789">
        <w:rPr>
          <w:i w:val="0"/>
        </w:rPr>
        <w:t xml:space="preserve">ivacaftor </w:t>
      </w:r>
      <w:r w:rsidR="00653A4C" w:rsidRPr="00CD0789">
        <w:rPr>
          <w:i w:val="0"/>
        </w:rPr>
        <w:t>including improvement in lung function, reduction of infections,</w:t>
      </w:r>
      <w:r w:rsidR="00E918B2" w:rsidRPr="00CD0789">
        <w:rPr>
          <w:i w:val="0"/>
        </w:rPr>
        <w:t xml:space="preserve"> </w:t>
      </w:r>
      <w:r w:rsidR="00B417B8" w:rsidRPr="00CD0789">
        <w:rPr>
          <w:i w:val="0"/>
        </w:rPr>
        <w:t>reduced need for other medications, reduction of hospital visits and</w:t>
      </w:r>
      <w:r w:rsidR="00653A4C" w:rsidRPr="00CD0789">
        <w:rPr>
          <w:i w:val="0"/>
        </w:rPr>
        <w:t xml:space="preserve"> </w:t>
      </w:r>
      <w:r w:rsidR="00B417B8" w:rsidRPr="00CD0789">
        <w:rPr>
          <w:i w:val="0"/>
        </w:rPr>
        <w:t>improvement in quality of life.</w:t>
      </w:r>
      <w:r w:rsidR="00F26B24" w:rsidRPr="00CD0789">
        <w:rPr>
          <w:i w:val="0"/>
        </w:rPr>
        <w:t xml:space="preserve"> </w:t>
      </w:r>
      <w:r w:rsidR="00E056BF" w:rsidRPr="00CD0789">
        <w:rPr>
          <w:i w:val="0"/>
        </w:rPr>
        <w:t xml:space="preserve">The comments emphasised that patients with </w:t>
      </w:r>
      <w:r w:rsidR="004610D6" w:rsidRPr="00CD0789">
        <w:rPr>
          <w:i w:val="0"/>
        </w:rPr>
        <w:t xml:space="preserve">rarer CF mutations also experience debilitating effects of the disease and </w:t>
      </w:r>
      <w:r w:rsidR="00E056BF" w:rsidRPr="00CD0789">
        <w:rPr>
          <w:i w:val="0"/>
        </w:rPr>
        <w:t>strongly</w:t>
      </w:r>
      <w:r w:rsidR="000C04BB">
        <w:rPr>
          <w:i w:val="0"/>
        </w:rPr>
        <w:t xml:space="preserve"> expressed that tezacaftor/</w:t>
      </w:r>
      <w:r w:rsidR="00E056BF" w:rsidRPr="00CD0789">
        <w:rPr>
          <w:i w:val="0"/>
        </w:rPr>
        <w:t xml:space="preserve">ivacaftor should also be </w:t>
      </w:r>
      <w:r w:rsidR="004610D6" w:rsidRPr="00CD0789">
        <w:rPr>
          <w:i w:val="0"/>
        </w:rPr>
        <w:t xml:space="preserve">subsidised for these patients. </w:t>
      </w:r>
    </w:p>
    <w:p w:rsidR="004610D6" w:rsidRPr="00CD0789" w:rsidRDefault="004542A6" w:rsidP="003C3314">
      <w:pPr>
        <w:pStyle w:val="Bodytextitalics"/>
        <w:jc w:val="both"/>
        <w:rPr>
          <w:i w:val="0"/>
        </w:rPr>
      </w:pPr>
      <w:r w:rsidRPr="00CD0789">
        <w:rPr>
          <w:i w:val="0"/>
        </w:rPr>
        <w:t xml:space="preserve">Cystic Fibrosis Australia (CFA) also indicated </w:t>
      </w:r>
      <w:r w:rsidR="000C04BB">
        <w:rPr>
          <w:i w:val="0"/>
        </w:rPr>
        <w:t>its support for tezacaftor/</w:t>
      </w:r>
      <w:r w:rsidRPr="00CD0789">
        <w:rPr>
          <w:i w:val="0"/>
        </w:rPr>
        <w:t xml:space="preserve">ivacaftor to be made available </w:t>
      </w:r>
      <w:r w:rsidR="009F22E5" w:rsidRPr="00CD0789">
        <w:rPr>
          <w:i w:val="0"/>
        </w:rPr>
        <w:t xml:space="preserve">to </w:t>
      </w:r>
      <w:r w:rsidRPr="00CD0789">
        <w:rPr>
          <w:i w:val="0"/>
        </w:rPr>
        <w:t>patients with</w:t>
      </w:r>
      <w:r w:rsidR="009F22E5" w:rsidRPr="00CD0789">
        <w:rPr>
          <w:i w:val="0"/>
        </w:rPr>
        <w:t xml:space="preserve"> rarer CF mutations. </w:t>
      </w:r>
    </w:p>
    <w:p w:rsidR="00693DFB" w:rsidRPr="00CD0789" w:rsidRDefault="00D84934" w:rsidP="008D6703">
      <w:pPr>
        <w:pStyle w:val="Heading2"/>
        <w:keepLines/>
        <w:spacing w:before="240" w:after="120"/>
        <w:rPr>
          <w:rFonts w:asciiTheme="minorHAnsi" w:eastAsiaTheme="majorEastAsia" w:hAnsiTheme="minorHAnsi" w:cstheme="majorBidi"/>
          <w:sz w:val="28"/>
          <w:szCs w:val="28"/>
          <w:lang w:eastAsia="en-US"/>
        </w:rPr>
      </w:pPr>
      <w:r w:rsidRPr="00CD0789">
        <w:rPr>
          <w:rFonts w:asciiTheme="minorHAnsi" w:eastAsiaTheme="majorEastAsia" w:hAnsiTheme="minorHAnsi" w:cstheme="majorBidi"/>
          <w:sz w:val="28"/>
          <w:szCs w:val="28"/>
          <w:lang w:eastAsia="en-US"/>
        </w:rPr>
        <w:t>Clinical trials</w:t>
      </w:r>
      <w:r w:rsidR="0099465B" w:rsidRPr="00CD0789">
        <w:rPr>
          <w:rFonts w:asciiTheme="minorHAnsi" w:eastAsiaTheme="majorEastAsia" w:hAnsiTheme="minorHAnsi" w:cstheme="majorBidi"/>
          <w:sz w:val="28"/>
          <w:szCs w:val="28"/>
          <w:lang w:eastAsia="en-US"/>
        </w:rPr>
        <w:t xml:space="preserve"> </w:t>
      </w:r>
    </w:p>
    <w:p w:rsidR="0076420C" w:rsidRPr="00CD0789" w:rsidRDefault="00093F42" w:rsidP="00D34E2E">
      <w:pPr>
        <w:pStyle w:val="Bodytextitalics"/>
        <w:jc w:val="both"/>
      </w:pPr>
      <w:r w:rsidRPr="00CD0789">
        <w:rPr>
          <w:i w:val="0"/>
        </w:rPr>
        <w:t xml:space="preserve">The minor </w:t>
      </w:r>
      <w:r w:rsidR="00C512D9" w:rsidRPr="00CD0789">
        <w:rPr>
          <w:i w:val="0"/>
        </w:rPr>
        <w:t>re</w:t>
      </w:r>
      <w:r w:rsidRPr="00CD0789">
        <w:rPr>
          <w:i w:val="0"/>
        </w:rPr>
        <w:t xml:space="preserve">submission </w:t>
      </w:r>
      <w:r w:rsidR="00DD6929" w:rsidRPr="00CD0789">
        <w:rPr>
          <w:i w:val="0"/>
        </w:rPr>
        <w:t>acknowledged there is no randomised clinical trial data to quantify the magnitude of</w:t>
      </w:r>
      <w:r w:rsidR="00285FA5" w:rsidRPr="00CD0789">
        <w:t xml:space="preserve"> </w:t>
      </w:r>
      <w:r w:rsidR="00DD6929" w:rsidRPr="00CD0789">
        <w:rPr>
          <w:i w:val="0"/>
        </w:rPr>
        <w:t>FEV</w:t>
      </w:r>
      <w:r w:rsidR="00DD6929" w:rsidRPr="00CD0789">
        <w:rPr>
          <w:i w:val="0"/>
          <w:vertAlign w:val="subscript"/>
        </w:rPr>
        <w:t>1</w:t>
      </w:r>
      <w:r w:rsidR="00DD6929" w:rsidRPr="00CD0789">
        <w:rPr>
          <w:i w:val="0"/>
        </w:rPr>
        <w:t xml:space="preserve"> improvement in CF patients with an RF mutation without </w:t>
      </w:r>
      <w:r w:rsidR="008C5335" w:rsidRPr="00CD0789">
        <w:rPr>
          <w:i w:val="0"/>
        </w:rPr>
        <w:t>an</w:t>
      </w:r>
      <w:r w:rsidR="00DD6929" w:rsidRPr="00CD0789">
        <w:rPr>
          <w:i w:val="0"/>
        </w:rPr>
        <w:t xml:space="preserve"> F508del mutation. </w:t>
      </w:r>
    </w:p>
    <w:p w:rsidR="00093F42" w:rsidRPr="00CD0789" w:rsidRDefault="005012E5" w:rsidP="00D34E2E">
      <w:pPr>
        <w:pStyle w:val="Bodytextitalics"/>
        <w:jc w:val="both"/>
      </w:pPr>
      <w:r w:rsidRPr="00CD0789">
        <w:rPr>
          <w:i w:val="0"/>
        </w:rPr>
        <w:t xml:space="preserve">The </w:t>
      </w:r>
      <w:r w:rsidR="008A53DC" w:rsidRPr="00CD0789">
        <w:rPr>
          <w:i w:val="0"/>
        </w:rPr>
        <w:t xml:space="preserve">March 2019 </w:t>
      </w:r>
      <w:r w:rsidR="00337098" w:rsidRPr="00CD0789">
        <w:rPr>
          <w:i w:val="0"/>
        </w:rPr>
        <w:t xml:space="preserve">submission was based </w:t>
      </w:r>
      <w:r w:rsidR="00534F78" w:rsidRPr="00CD0789">
        <w:rPr>
          <w:i w:val="0"/>
        </w:rPr>
        <w:t xml:space="preserve">on Study </w:t>
      </w:r>
      <w:r w:rsidR="00367134" w:rsidRPr="00CD0789">
        <w:rPr>
          <w:i w:val="0"/>
        </w:rPr>
        <w:t>108,</w:t>
      </w:r>
      <w:r w:rsidR="000C04BB">
        <w:rPr>
          <w:i w:val="0"/>
        </w:rPr>
        <w:t xml:space="preserve"> which compared tezacaftor/</w:t>
      </w:r>
      <w:r w:rsidR="00367134" w:rsidRPr="00CD0789">
        <w:rPr>
          <w:i w:val="0"/>
        </w:rPr>
        <w:t>ivacaftor plus BSC and placebo</w:t>
      </w:r>
      <w:r w:rsidR="00534F78" w:rsidRPr="00CD0789">
        <w:rPr>
          <w:i w:val="0"/>
        </w:rPr>
        <w:t xml:space="preserve"> plus BSC</w:t>
      </w:r>
      <w:r w:rsidR="00367134" w:rsidRPr="00CD0789">
        <w:rPr>
          <w:i w:val="0"/>
        </w:rPr>
        <w:t xml:space="preserve"> in patients who </w:t>
      </w:r>
      <w:r w:rsidR="00432B77" w:rsidRPr="00CD0789">
        <w:rPr>
          <w:i w:val="0"/>
        </w:rPr>
        <w:t xml:space="preserve">have one copy of </w:t>
      </w:r>
      <w:r w:rsidR="00367134" w:rsidRPr="00CD0789">
        <w:rPr>
          <w:i w:val="0"/>
        </w:rPr>
        <w:t>the F508del mutation who also have an RF mutation</w:t>
      </w:r>
      <w:r w:rsidR="00534F78" w:rsidRPr="00CD0789">
        <w:rPr>
          <w:i w:val="0"/>
        </w:rPr>
        <w:t xml:space="preserve">. </w:t>
      </w:r>
    </w:p>
    <w:p w:rsidR="008D6703" w:rsidRPr="00CD0789" w:rsidRDefault="00112D18" w:rsidP="00D34E2E">
      <w:pPr>
        <w:pStyle w:val="Bodytextitalics"/>
        <w:jc w:val="both"/>
      </w:pPr>
      <w:r w:rsidRPr="00CD0789">
        <w:rPr>
          <w:i w:val="0"/>
        </w:rPr>
        <w:t>Study 108 included</w:t>
      </w:r>
      <w:r w:rsidR="001060A3" w:rsidRPr="00CD0789">
        <w:rPr>
          <w:i w:val="0"/>
        </w:rPr>
        <w:t xml:space="preserve"> </w:t>
      </w:r>
      <w:r w:rsidRPr="00CD0789">
        <w:rPr>
          <w:i w:val="0"/>
        </w:rPr>
        <w:t xml:space="preserve">12 RF mutations with each of the RF mutations being associated with </w:t>
      </w:r>
      <w:r w:rsidRPr="00CD0789">
        <w:rPr>
          <w:rFonts w:cstheme="minorHAnsi"/>
          <w:i w:val="0"/>
        </w:rPr>
        <w:t>≤</w:t>
      </w:r>
      <w:r w:rsidRPr="00CD0789">
        <w:rPr>
          <w:i w:val="0"/>
        </w:rPr>
        <w:t xml:space="preserve"> 21 patients.</w:t>
      </w:r>
      <w:r w:rsidR="00367134" w:rsidRPr="00CD0789">
        <w:rPr>
          <w:i w:val="0"/>
        </w:rPr>
        <w:t xml:space="preserve"> However given the rarity of the RF mutations, the</w:t>
      </w:r>
      <w:r w:rsidRPr="00CD0789">
        <w:rPr>
          <w:i w:val="0"/>
        </w:rPr>
        <w:t xml:space="preserve"> PBAC </w:t>
      </w:r>
      <w:r w:rsidR="005946BC" w:rsidRPr="00CD0789">
        <w:rPr>
          <w:i w:val="0"/>
        </w:rPr>
        <w:t xml:space="preserve">previously </w:t>
      </w:r>
      <w:r w:rsidRPr="00CD0789">
        <w:rPr>
          <w:i w:val="0"/>
        </w:rPr>
        <w:t>acknowledged that more reliable clinical data from studies with adequate power to assess the impact of treatment across all RF mutations would not be forthco</w:t>
      </w:r>
      <w:r w:rsidR="008A53DC" w:rsidRPr="00CD0789">
        <w:rPr>
          <w:i w:val="0"/>
        </w:rPr>
        <w:t xml:space="preserve">ming (paragraph 7.6, tezacaftor with </w:t>
      </w:r>
      <w:r w:rsidRPr="00CD0789">
        <w:rPr>
          <w:i w:val="0"/>
        </w:rPr>
        <w:t>ivacaftor</w:t>
      </w:r>
      <w:r w:rsidR="009F4EFE" w:rsidRPr="00CD0789">
        <w:rPr>
          <w:i w:val="0"/>
        </w:rPr>
        <w:t xml:space="preserve"> (RF mutation)</w:t>
      </w:r>
      <w:r w:rsidR="00367134" w:rsidRPr="00CD0789">
        <w:rPr>
          <w:i w:val="0"/>
        </w:rPr>
        <w:t xml:space="preserve"> PSD, March 2019 PBAC meeting)</w:t>
      </w:r>
      <w:r w:rsidR="00CD0789">
        <w:rPr>
          <w:i w:val="0"/>
        </w:rPr>
        <w:t xml:space="preserve">. </w:t>
      </w:r>
    </w:p>
    <w:p w:rsidR="005A3173" w:rsidRPr="004616DB" w:rsidRDefault="007F0021" w:rsidP="00257664">
      <w:pPr>
        <w:pStyle w:val="Heading2"/>
        <w:keepLines/>
        <w:spacing w:before="240" w:after="120"/>
        <w:rPr>
          <w:rFonts w:asciiTheme="minorHAnsi" w:eastAsiaTheme="majorEastAsia" w:hAnsiTheme="minorHAnsi" w:cstheme="majorBidi"/>
          <w:sz w:val="28"/>
          <w:szCs w:val="28"/>
          <w:lang w:eastAsia="en-US"/>
        </w:rPr>
      </w:pPr>
      <w:r w:rsidRPr="004616DB">
        <w:rPr>
          <w:rFonts w:asciiTheme="minorHAnsi" w:eastAsiaTheme="majorEastAsia" w:hAnsiTheme="minorHAnsi" w:cstheme="majorBidi"/>
          <w:sz w:val="28"/>
          <w:szCs w:val="28"/>
          <w:lang w:eastAsia="en-US"/>
        </w:rPr>
        <w:t xml:space="preserve">Comparative </w:t>
      </w:r>
      <w:r w:rsidR="005A3173" w:rsidRPr="004616DB">
        <w:rPr>
          <w:rFonts w:asciiTheme="minorHAnsi" w:eastAsiaTheme="majorEastAsia" w:hAnsiTheme="minorHAnsi" w:cstheme="majorBidi"/>
          <w:sz w:val="28"/>
          <w:szCs w:val="28"/>
          <w:lang w:eastAsia="en-US"/>
        </w:rPr>
        <w:t>effectiveness</w:t>
      </w:r>
    </w:p>
    <w:p w:rsidR="00FD756D" w:rsidRPr="00CD0789" w:rsidRDefault="00FD756D" w:rsidP="005B57D1">
      <w:pPr>
        <w:pStyle w:val="Bodytextitalics"/>
        <w:jc w:val="both"/>
        <w:rPr>
          <w:i w:val="0"/>
        </w:rPr>
      </w:pPr>
      <w:r w:rsidRPr="00CD0789">
        <w:rPr>
          <w:i w:val="0"/>
        </w:rPr>
        <w:t xml:space="preserve">The minor </w:t>
      </w:r>
      <w:r w:rsidR="00C512D9" w:rsidRPr="00CD0789">
        <w:rPr>
          <w:i w:val="0"/>
        </w:rPr>
        <w:t>re</w:t>
      </w:r>
      <w:r w:rsidRPr="00CD0789">
        <w:rPr>
          <w:i w:val="0"/>
        </w:rPr>
        <w:t xml:space="preserve">submission presented in vitro </w:t>
      </w:r>
      <w:r w:rsidR="0076353D" w:rsidRPr="00CD0789">
        <w:rPr>
          <w:i w:val="0"/>
        </w:rPr>
        <w:t>data o</w:t>
      </w:r>
      <w:r w:rsidR="000C04BB">
        <w:rPr>
          <w:i w:val="0"/>
        </w:rPr>
        <w:t>f the effect of tezacaftor/</w:t>
      </w:r>
      <w:r w:rsidR="0076353D" w:rsidRPr="00CD0789">
        <w:rPr>
          <w:i w:val="0"/>
        </w:rPr>
        <w:t>ivacaftor on CFTR processing, trafficking and function on cells each expressing a single RF mutation of the CFTR gene</w:t>
      </w:r>
      <w:r w:rsidR="00C9450B" w:rsidRPr="00CD0789">
        <w:rPr>
          <w:i w:val="0"/>
        </w:rPr>
        <w:t xml:space="preserve"> as supporting evidence</w:t>
      </w:r>
      <w:r w:rsidR="00CD0789">
        <w:rPr>
          <w:i w:val="0"/>
        </w:rPr>
        <w:t xml:space="preserve">. </w:t>
      </w:r>
    </w:p>
    <w:p w:rsidR="001D21D0" w:rsidRPr="00CD0789" w:rsidRDefault="005E2417" w:rsidP="005B57D1">
      <w:pPr>
        <w:pStyle w:val="Bodytextitalics"/>
        <w:jc w:val="both"/>
      </w:pPr>
      <w:r w:rsidRPr="00CD0789">
        <w:rPr>
          <w:i w:val="0"/>
        </w:rPr>
        <w:t xml:space="preserve">The minor </w:t>
      </w:r>
      <w:r w:rsidR="00C512D9" w:rsidRPr="00CD0789">
        <w:rPr>
          <w:i w:val="0"/>
        </w:rPr>
        <w:t>re</w:t>
      </w:r>
      <w:r w:rsidRPr="00CD0789">
        <w:rPr>
          <w:i w:val="0"/>
        </w:rPr>
        <w:t>submission noted that</w:t>
      </w:r>
      <w:r w:rsidR="000C04BB">
        <w:rPr>
          <w:i w:val="0"/>
        </w:rPr>
        <w:t xml:space="preserve"> treatment with tezacaftor/</w:t>
      </w:r>
      <w:r w:rsidRPr="00CD0789">
        <w:rPr>
          <w:i w:val="0"/>
        </w:rPr>
        <w:t xml:space="preserve">ivacaftor increased </w:t>
      </w:r>
      <w:r w:rsidR="00A304A0" w:rsidRPr="004616DB">
        <w:rPr>
          <w:i w:val="0"/>
        </w:rPr>
        <w:t xml:space="preserve">the efficiency of CFTR </w:t>
      </w:r>
      <w:r w:rsidRPr="004616DB">
        <w:rPr>
          <w:i w:val="0"/>
        </w:rPr>
        <w:t xml:space="preserve">processing and trafficking </w:t>
      </w:r>
      <w:r w:rsidR="00087F97" w:rsidRPr="004616DB">
        <w:rPr>
          <w:i w:val="0"/>
        </w:rPr>
        <w:t xml:space="preserve">and increased chloride transport </w:t>
      </w:r>
      <w:r w:rsidR="00A304A0" w:rsidRPr="00CD0789">
        <w:rPr>
          <w:i w:val="0"/>
        </w:rPr>
        <w:t xml:space="preserve">over baseline </w:t>
      </w:r>
      <w:r w:rsidRPr="00CD0789">
        <w:rPr>
          <w:i w:val="0"/>
        </w:rPr>
        <w:t>for all RF CFTR forms tested</w:t>
      </w:r>
      <w:r w:rsidR="001015AE" w:rsidRPr="00CD0789">
        <w:rPr>
          <w:i w:val="0"/>
        </w:rPr>
        <w:t>. The minor submission noted that this increase was greater than that observed with either agent alone</w:t>
      </w:r>
      <w:r w:rsidR="00087F97" w:rsidRPr="00CD0789">
        <w:rPr>
          <w:i w:val="0"/>
        </w:rPr>
        <w:t xml:space="preserve"> (with the exception of R347H which is not included in the TGA </w:t>
      </w:r>
      <w:r w:rsidR="001A3110" w:rsidRPr="00CD0789">
        <w:rPr>
          <w:i w:val="0"/>
        </w:rPr>
        <w:t xml:space="preserve">registered </w:t>
      </w:r>
      <w:r w:rsidR="00087F97" w:rsidRPr="00CD0789">
        <w:rPr>
          <w:i w:val="0"/>
        </w:rPr>
        <w:t>indication for tezacaftor with ivacaftor).</w:t>
      </w:r>
      <w:r w:rsidR="008F70B4" w:rsidRPr="00CD0789">
        <w:rPr>
          <w:i w:val="0"/>
        </w:rPr>
        <w:t xml:space="preserve"> </w:t>
      </w:r>
    </w:p>
    <w:p w:rsidR="00FD756D" w:rsidRPr="00CD0789" w:rsidRDefault="00432B77" w:rsidP="005B57D1">
      <w:pPr>
        <w:pStyle w:val="Bodytextitalics"/>
        <w:jc w:val="both"/>
        <w:rPr>
          <w:i w:val="0"/>
        </w:rPr>
      </w:pPr>
      <w:r w:rsidRPr="00CD0789">
        <w:rPr>
          <w:i w:val="0"/>
        </w:rPr>
        <w:t>In the context of its March 2019 recommendation for patients who have one copy of the F508del mutation and another RF mutation in the CFTR gene, t</w:t>
      </w:r>
      <w:r w:rsidR="00F513B4" w:rsidRPr="00CD0789">
        <w:rPr>
          <w:i w:val="0"/>
        </w:rPr>
        <w:t>he PBAC was</w:t>
      </w:r>
      <w:r w:rsidR="000C04BB">
        <w:rPr>
          <w:i w:val="0"/>
        </w:rPr>
        <w:t xml:space="preserve"> satisfied that tezacaftor/</w:t>
      </w:r>
      <w:r w:rsidR="00F513B4" w:rsidRPr="00CD0789">
        <w:rPr>
          <w:i w:val="0"/>
        </w:rPr>
        <w:t xml:space="preserve">ivacaftor provides, for some patients, a significant </w:t>
      </w:r>
      <w:r w:rsidR="00F513B4" w:rsidRPr="00CD0789">
        <w:rPr>
          <w:i w:val="0"/>
        </w:rPr>
        <w:lastRenderedPageBreak/>
        <w:t>improvement in efficacy over BSC (paragraph 7.1, tezacaftor with ivacaftor</w:t>
      </w:r>
      <w:r w:rsidR="009F4EFE" w:rsidRPr="00CD0789">
        <w:rPr>
          <w:i w:val="0"/>
        </w:rPr>
        <w:t xml:space="preserve"> (RF mutation)</w:t>
      </w:r>
      <w:r w:rsidR="00F513B4" w:rsidRPr="00CD0789">
        <w:rPr>
          <w:i w:val="0"/>
        </w:rPr>
        <w:t xml:space="preserve"> PSD, March 2019 PBAC</w:t>
      </w:r>
      <w:r w:rsidR="00F32B2F" w:rsidRPr="00CD0789">
        <w:rPr>
          <w:i w:val="0"/>
        </w:rPr>
        <w:t xml:space="preserve"> meeting). However, the PBAC was uncertain that the magnitude of treatment effect was representative of the likely clinical benefit across the group of requested RF mutations given the potential variability of treatment outcomes between patients with different RF mutations (paragraph 7.6, tezacaftor with ivacaftor</w:t>
      </w:r>
      <w:r w:rsidR="009F4EFE" w:rsidRPr="00CD0789">
        <w:rPr>
          <w:i w:val="0"/>
        </w:rPr>
        <w:t xml:space="preserve"> (RF mutation)</w:t>
      </w:r>
      <w:r w:rsidR="00F32B2F" w:rsidRPr="00CD0789">
        <w:rPr>
          <w:i w:val="0"/>
        </w:rPr>
        <w:t xml:space="preserve"> PSD, March 2019 PBAC meeting).</w:t>
      </w:r>
      <w:r w:rsidR="00467E5B" w:rsidRPr="00CD0789">
        <w:rPr>
          <w:i w:val="0"/>
        </w:rPr>
        <w:t xml:space="preserve"> </w:t>
      </w:r>
    </w:p>
    <w:p w:rsidR="00977BF3" w:rsidRPr="00CD0789" w:rsidRDefault="005A3173" w:rsidP="008A53DC">
      <w:pPr>
        <w:pStyle w:val="Heading2"/>
        <w:keepLines/>
        <w:spacing w:before="240" w:after="120"/>
        <w:rPr>
          <w:rFonts w:asciiTheme="minorHAnsi" w:eastAsiaTheme="majorEastAsia" w:hAnsiTheme="minorHAnsi" w:cstheme="majorBidi"/>
          <w:sz w:val="28"/>
          <w:szCs w:val="28"/>
          <w:lang w:eastAsia="en-US"/>
        </w:rPr>
      </w:pPr>
      <w:r w:rsidRPr="00CD0789">
        <w:rPr>
          <w:rFonts w:asciiTheme="minorHAnsi" w:eastAsiaTheme="majorEastAsia" w:hAnsiTheme="minorHAnsi" w:cstheme="majorBidi"/>
          <w:sz w:val="28"/>
          <w:szCs w:val="28"/>
          <w:lang w:eastAsia="en-US"/>
        </w:rPr>
        <w:t>Economic analysis</w:t>
      </w:r>
      <w:r w:rsidR="009803E4" w:rsidRPr="00CD0789">
        <w:rPr>
          <w:rFonts w:asciiTheme="minorHAnsi" w:eastAsiaTheme="majorEastAsia" w:hAnsiTheme="minorHAnsi" w:cstheme="majorBidi"/>
          <w:sz w:val="28"/>
          <w:szCs w:val="28"/>
          <w:lang w:eastAsia="en-US"/>
        </w:rPr>
        <w:t xml:space="preserve"> </w:t>
      </w:r>
    </w:p>
    <w:p w:rsidR="00C512D9" w:rsidRPr="00CD0789" w:rsidRDefault="00C512D9" w:rsidP="009855A8">
      <w:pPr>
        <w:pStyle w:val="Bodytextitalics"/>
        <w:rPr>
          <w:rFonts w:cstheme="minorHAnsi"/>
          <w:szCs w:val="24"/>
        </w:rPr>
      </w:pPr>
      <w:r w:rsidRPr="00CD0789">
        <w:rPr>
          <w:rFonts w:cstheme="minorHAnsi"/>
          <w:i w:val="0"/>
          <w:szCs w:val="24"/>
        </w:rPr>
        <w:t>The minor resubmission did not present an economic analysis.</w:t>
      </w:r>
    </w:p>
    <w:p w:rsidR="001A3110" w:rsidRPr="00CD0789" w:rsidRDefault="000B156C" w:rsidP="00895FE7">
      <w:pPr>
        <w:pStyle w:val="Bodytextitalics"/>
        <w:jc w:val="both"/>
        <w:rPr>
          <w:rFonts w:cstheme="minorHAnsi"/>
          <w:szCs w:val="24"/>
        </w:rPr>
      </w:pPr>
      <w:r w:rsidRPr="00CD0789">
        <w:rPr>
          <w:rFonts w:cstheme="minorHAnsi"/>
          <w:i w:val="0"/>
          <w:szCs w:val="24"/>
        </w:rPr>
        <w:t>Th</w:t>
      </w:r>
      <w:r w:rsidR="008A53DC" w:rsidRPr="00CD0789">
        <w:rPr>
          <w:rFonts w:cstheme="minorHAnsi"/>
          <w:i w:val="0"/>
          <w:szCs w:val="24"/>
        </w:rPr>
        <w:t xml:space="preserve">e March 2019 </w:t>
      </w:r>
      <w:r w:rsidRPr="00CD0789">
        <w:rPr>
          <w:rFonts w:cstheme="minorHAnsi"/>
          <w:i w:val="0"/>
          <w:szCs w:val="24"/>
        </w:rPr>
        <w:t xml:space="preserve">submission presented a cost-utility analysis </w:t>
      </w:r>
      <w:r w:rsidR="00643AF9" w:rsidRPr="00CD0789">
        <w:rPr>
          <w:rFonts w:cstheme="minorHAnsi"/>
          <w:i w:val="0"/>
          <w:szCs w:val="24"/>
        </w:rPr>
        <w:t xml:space="preserve">with the same structure as that for previous </w:t>
      </w:r>
      <w:r w:rsidR="00EA0842" w:rsidRPr="00CD0789">
        <w:rPr>
          <w:rFonts w:cstheme="minorHAnsi"/>
          <w:i w:val="0"/>
          <w:szCs w:val="24"/>
        </w:rPr>
        <w:t xml:space="preserve">CFTR modulator submissions </w:t>
      </w:r>
      <w:r w:rsidR="007A2031" w:rsidRPr="00CD0789">
        <w:rPr>
          <w:rFonts w:cstheme="minorHAnsi"/>
          <w:i w:val="0"/>
          <w:szCs w:val="24"/>
        </w:rPr>
        <w:t>and included</w:t>
      </w:r>
      <w:r w:rsidR="00EA0842" w:rsidRPr="00CD0789">
        <w:rPr>
          <w:rFonts w:cstheme="minorHAnsi"/>
          <w:i w:val="0"/>
          <w:szCs w:val="24"/>
        </w:rPr>
        <w:t xml:space="preserve"> the application of a </w:t>
      </w:r>
      <w:r w:rsidR="00EA0842" w:rsidRPr="00CD0789">
        <w:rPr>
          <w:rFonts w:cstheme="minorHAnsi"/>
          <w:bCs/>
          <w:i w:val="0"/>
          <w:szCs w:val="24"/>
        </w:rPr>
        <w:t>decrease in the rate of decline in</w:t>
      </w:r>
      <w:r w:rsidR="0051032E" w:rsidRPr="00CD0789">
        <w:rPr>
          <w:rFonts w:cstheme="minorHAnsi"/>
          <w:bCs/>
          <w:i w:val="0"/>
          <w:szCs w:val="24"/>
        </w:rPr>
        <w:t xml:space="preserve"> </w:t>
      </w:r>
      <w:r w:rsidR="00EA0842" w:rsidRPr="00CD0789">
        <w:rPr>
          <w:rFonts w:cstheme="minorHAnsi"/>
          <w:bCs/>
          <w:i w:val="0"/>
          <w:szCs w:val="24"/>
        </w:rPr>
        <w:t>ppFEV</w:t>
      </w:r>
      <w:r w:rsidR="00EA0842" w:rsidRPr="00CD0789">
        <w:rPr>
          <w:rFonts w:cstheme="minorHAnsi"/>
          <w:bCs/>
          <w:i w:val="0"/>
          <w:szCs w:val="24"/>
          <w:vertAlign w:val="subscript"/>
        </w:rPr>
        <w:t>1</w:t>
      </w:r>
      <w:r w:rsidR="00EA0842" w:rsidRPr="00CD0789">
        <w:rPr>
          <w:rFonts w:cstheme="minorHAnsi"/>
          <w:bCs/>
          <w:i w:val="0"/>
          <w:szCs w:val="24"/>
        </w:rPr>
        <w:t xml:space="preserve"> </w:t>
      </w:r>
      <w:r w:rsidR="0090215F" w:rsidRPr="00CD0789">
        <w:rPr>
          <w:rFonts w:cstheme="minorHAnsi"/>
          <w:bCs/>
          <w:i w:val="0"/>
          <w:szCs w:val="24"/>
        </w:rPr>
        <w:t xml:space="preserve">(per cent predicted forced expiratory volume in one second) </w:t>
      </w:r>
      <w:r w:rsidR="00EA0842" w:rsidRPr="00CD0789">
        <w:rPr>
          <w:rFonts w:cstheme="minorHAnsi"/>
          <w:bCs/>
          <w:i w:val="0"/>
          <w:szCs w:val="24"/>
        </w:rPr>
        <w:t>of 42% based on longe</w:t>
      </w:r>
      <w:r w:rsidR="00A6375B" w:rsidRPr="00CD0789">
        <w:rPr>
          <w:rFonts w:cstheme="minorHAnsi"/>
          <w:bCs/>
          <w:i w:val="0"/>
          <w:szCs w:val="24"/>
        </w:rPr>
        <w:t xml:space="preserve">r-term data from the lumacaftor with </w:t>
      </w:r>
      <w:r w:rsidR="00EA0842" w:rsidRPr="00CD0789">
        <w:rPr>
          <w:rFonts w:cstheme="minorHAnsi"/>
          <w:bCs/>
          <w:i w:val="0"/>
          <w:szCs w:val="24"/>
        </w:rPr>
        <w:t>ivacaftor PROGRESS study for patients homozygous for the F508del mutation, compared with a matched historical control cohort</w:t>
      </w:r>
      <w:r w:rsidR="007A2031" w:rsidRPr="00CD0789">
        <w:rPr>
          <w:rFonts w:cstheme="minorHAnsi"/>
          <w:bCs/>
          <w:i w:val="0"/>
          <w:szCs w:val="24"/>
        </w:rPr>
        <w:t xml:space="preserve">. </w:t>
      </w:r>
    </w:p>
    <w:p w:rsidR="00977BF3" w:rsidRPr="00CD0789" w:rsidRDefault="007A2031" w:rsidP="00895FE7">
      <w:pPr>
        <w:pStyle w:val="Bodytextitalics"/>
        <w:jc w:val="both"/>
        <w:rPr>
          <w:rFonts w:cstheme="minorHAnsi"/>
          <w:szCs w:val="24"/>
        </w:rPr>
      </w:pPr>
      <w:r w:rsidRPr="00CD0789">
        <w:rPr>
          <w:rFonts w:cstheme="minorHAnsi"/>
          <w:bCs/>
          <w:i w:val="0"/>
          <w:szCs w:val="24"/>
        </w:rPr>
        <w:t>The PBAC noted that this may not reflect the RF mutation po</w:t>
      </w:r>
      <w:r w:rsidR="003513BE" w:rsidRPr="00CD0789">
        <w:rPr>
          <w:rFonts w:cstheme="minorHAnsi"/>
          <w:bCs/>
          <w:i w:val="0"/>
          <w:szCs w:val="24"/>
        </w:rPr>
        <w:t xml:space="preserve">pulation and that it </w:t>
      </w:r>
      <w:r w:rsidRPr="00CD0789">
        <w:rPr>
          <w:rFonts w:cstheme="minorHAnsi"/>
          <w:bCs/>
          <w:i w:val="0"/>
          <w:szCs w:val="24"/>
        </w:rPr>
        <w:t xml:space="preserve">previously considered the rate of decline to be overly optimistic </w:t>
      </w:r>
      <w:r w:rsidR="00A6375B" w:rsidRPr="00CD0789">
        <w:rPr>
          <w:rFonts w:cstheme="minorHAnsi"/>
          <w:bCs/>
          <w:i w:val="0"/>
          <w:szCs w:val="24"/>
        </w:rPr>
        <w:t>noting that lumacaftor with i</w:t>
      </w:r>
      <w:r w:rsidRPr="00CD0789">
        <w:rPr>
          <w:rFonts w:cstheme="minorHAnsi"/>
          <w:bCs/>
          <w:i w:val="0"/>
          <w:szCs w:val="24"/>
        </w:rPr>
        <w:t xml:space="preserve">vacaftor was recommended using this estimate on the basis that (among other factors) </w:t>
      </w:r>
      <w:r w:rsidR="003513BE" w:rsidRPr="00CD0789">
        <w:rPr>
          <w:rFonts w:cstheme="minorHAnsi"/>
          <w:bCs/>
          <w:i w:val="0"/>
          <w:szCs w:val="24"/>
        </w:rPr>
        <w:t>a managed access program (</w:t>
      </w:r>
      <w:r w:rsidRPr="00CD0789">
        <w:rPr>
          <w:rFonts w:cstheme="minorHAnsi"/>
          <w:bCs/>
          <w:i w:val="0"/>
          <w:szCs w:val="24"/>
        </w:rPr>
        <w:t>MAP</w:t>
      </w:r>
      <w:r w:rsidR="003513BE" w:rsidRPr="00CD0789">
        <w:rPr>
          <w:rFonts w:cstheme="minorHAnsi"/>
          <w:bCs/>
          <w:i w:val="0"/>
          <w:szCs w:val="24"/>
        </w:rPr>
        <w:t>)</w:t>
      </w:r>
      <w:r w:rsidRPr="00CD0789">
        <w:rPr>
          <w:rFonts w:cstheme="minorHAnsi"/>
          <w:bCs/>
          <w:i w:val="0"/>
          <w:szCs w:val="24"/>
        </w:rPr>
        <w:t xml:space="preserve"> would apply to ensure that the price paid was consistent with the evidence</w:t>
      </w:r>
      <w:r w:rsidR="003513BE" w:rsidRPr="00CD0789">
        <w:rPr>
          <w:rFonts w:cstheme="minorHAnsi"/>
          <w:bCs/>
          <w:i w:val="0"/>
          <w:szCs w:val="24"/>
        </w:rPr>
        <w:t xml:space="preserve"> </w:t>
      </w:r>
      <w:r w:rsidR="00F513B4" w:rsidRPr="00CD0789">
        <w:rPr>
          <w:i w:val="0"/>
        </w:rPr>
        <w:t xml:space="preserve">(paragraph 7.9, tezacaftor with </w:t>
      </w:r>
      <w:r w:rsidR="003513BE" w:rsidRPr="00CD0789">
        <w:rPr>
          <w:i w:val="0"/>
        </w:rPr>
        <w:t>ivacaftor</w:t>
      </w:r>
      <w:r w:rsidR="003B22D4" w:rsidRPr="00CD0789">
        <w:rPr>
          <w:i w:val="0"/>
        </w:rPr>
        <w:t xml:space="preserve"> (RF mutation)</w:t>
      </w:r>
      <w:r w:rsidR="003513BE" w:rsidRPr="00CD0789">
        <w:rPr>
          <w:i w:val="0"/>
        </w:rPr>
        <w:t xml:space="preserve"> </w:t>
      </w:r>
      <w:r w:rsidR="003B22D4" w:rsidRPr="00CD0789">
        <w:rPr>
          <w:i w:val="0"/>
        </w:rPr>
        <w:t>PSD</w:t>
      </w:r>
      <w:r w:rsidR="003513BE" w:rsidRPr="00CD0789">
        <w:rPr>
          <w:i w:val="0"/>
        </w:rPr>
        <w:t>, March 2019 PBAC meeting)</w:t>
      </w:r>
      <w:r w:rsidR="003513BE" w:rsidRPr="00CD0789">
        <w:rPr>
          <w:rFonts w:cstheme="minorHAnsi"/>
          <w:bCs/>
          <w:i w:val="0"/>
          <w:szCs w:val="24"/>
        </w:rPr>
        <w:t>. The PBAC acknowledged that more reliable data regarding the decrease in the rate of decline in ppFEV</w:t>
      </w:r>
      <w:r w:rsidR="003513BE" w:rsidRPr="00CD0789">
        <w:rPr>
          <w:rFonts w:cstheme="minorHAnsi"/>
          <w:bCs/>
          <w:i w:val="0"/>
          <w:szCs w:val="24"/>
          <w:vertAlign w:val="subscript"/>
        </w:rPr>
        <w:t>1</w:t>
      </w:r>
      <w:r w:rsidR="003513BE" w:rsidRPr="00CD0789">
        <w:rPr>
          <w:rFonts w:cstheme="minorHAnsi"/>
          <w:bCs/>
          <w:i w:val="0"/>
          <w:szCs w:val="24"/>
        </w:rPr>
        <w:t xml:space="preserve"> associated</w:t>
      </w:r>
      <w:r w:rsidR="00A6375B" w:rsidRPr="00CD0789">
        <w:rPr>
          <w:rFonts w:cstheme="minorHAnsi"/>
          <w:bCs/>
          <w:i w:val="0"/>
          <w:szCs w:val="24"/>
        </w:rPr>
        <w:t xml:space="preserve"> with</w:t>
      </w:r>
      <w:r w:rsidR="000C04BB">
        <w:rPr>
          <w:rFonts w:cstheme="minorHAnsi"/>
          <w:bCs/>
          <w:i w:val="0"/>
          <w:szCs w:val="24"/>
        </w:rPr>
        <w:t xml:space="preserve"> treatment with tezacaftor/</w:t>
      </w:r>
      <w:r w:rsidR="003513BE" w:rsidRPr="00CD0789">
        <w:rPr>
          <w:rFonts w:cstheme="minorHAnsi"/>
          <w:bCs/>
          <w:i w:val="0"/>
          <w:szCs w:val="24"/>
        </w:rPr>
        <w:t>ivacaftor (as well as other clinical benefits) for this patient population are unlikely to become available. Accordingly, the PBAC pragmatically considered that the ICER for tez</w:t>
      </w:r>
      <w:r w:rsidR="00BB3683">
        <w:rPr>
          <w:rFonts w:cstheme="minorHAnsi"/>
          <w:bCs/>
          <w:i w:val="0"/>
          <w:szCs w:val="24"/>
        </w:rPr>
        <w:t>acaftor/</w:t>
      </w:r>
      <w:r w:rsidR="003513BE" w:rsidRPr="00CD0789">
        <w:rPr>
          <w:rFonts w:cstheme="minorHAnsi"/>
          <w:bCs/>
          <w:i w:val="0"/>
          <w:szCs w:val="24"/>
        </w:rPr>
        <w:t xml:space="preserve">ivacaftor for the RF mutation patient population </w:t>
      </w:r>
      <w:r w:rsidR="00DF6925" w:rsidRPr="00CD0789">
        <w:rPr>
          <w:rFonts w:cstheme="minorHAnsi"/>
          <w:bCs/>
          <w:i w:val="0"/>
          <w:szCs w:val="24"/>
        </w:rPr>
        <w:t xml:space="preserve">[i.e. patients with one F508del and one RF mutation in the CFTR gene] </w:t>
      </w:r>
      <w:r w:rsidR="003513BE" w:rsidRPr="00CD0789">
        <w:rPr>
          <w:rFonts w:cstheme="minorHAnsi"/>
          <w:bCs/>
          <w:i w:val="0"/>
          <w:szCs w:val="24"/>
        </w:rPr>
        <w:t xml:space="preserve">would likely be no </w:t>
      </w:r>
      <w:r w:rsidR="00A6375B" w:rsidRPr="00CD0789">
        <w:rPr>
          <w:rFonts w:cstheme="minorHAnsi"/>
          <w:bCs/>
          <w:i w:val="0"/>
          <w:szCs w:val="24"/>
        </w:rPr>
        <w:t xml:space="preserve">higher than that for lumacaftor with </w:t>
      </w:r>
      <w:r w:rsidR="003513BE" w:rsidRPr="00CD0789">
        <w:rPr>
          <w:rFonts w:cstheme="minorHAnsi"/>
          <w:bCs/>
          <w:i w:val="0"/>
          <w:szCs w:val="24"/>
        </w:rPr>
        <w:t>ivacaftor for the F508del homozygous patient populat</w:t>
      </w:r>
      <w:r w:rsidR="00A6375B" w:rsidRPr="00CD0789">
        <w:rPr>
          <w:rFonts w:cstheme="minorHAnsi"/>
          <w:bCs/>
          <w:i w:val="0"/>
          <w:szCs w:val="24"/>
        </w:rPr>
        <w:t>ion i</w:t>
      </w:r>
      <w:r w:rsidR="00BB3683">
        <w:rPr>
          <w:rFonts w:cstheme="minorHAnsi"/>
          <w:bCs/>
          <w:i w:val="0"/>
          <w:szCs w:val="24"/>
        </w:rPr>
        <w:t>f the price for tezacaftor/</w:t>
      </w:r>
      <w:r w:rsidR="003513BE" w:rsidRPr="00CD0789">
        <w:rPr>
          <w:rFonts w:cstheme="minorHAnsi"/>
          <w:bCs/>
          <w:i w:val="0"/>
          <w:szCs w:val="24"/>
        </w:rPr>
        <w:t>ivacaftor was no higher than the price previously recommended fo</w:t>
      </w:r>
      <w:r w:rsidR="00A6375B" w:rsidRPr="00CD0789">
        <w:rPr>
          <w:rFonts w:cstheme="minorHAnsi"/>
          <w:bCs/>
          <w:i w:val="0"/>
          <w:szCs w:val="24"/>
        </w:rPr>
        <w:t xml:space="preserve">r lumacaftor with </w:t>
      </w:r>
      <w:r w:rsidR="003513BE" w:rsidRPr="00CD0789">
        <w:rPr>
          <w:rFonts w:cstheme="minorHAnsi"/>
          <w:bCs/>
          <w:i w:val="0"/>
          <w:szCs w:val="24"/>
        </w:rPr>
        <w:t>ivacaftor (of $</w:t>
      </w:r>
      <w:r w:rsidR="00F665E7">
        <w:rPr>
          <w:rFonts w:cstheme="minorHAnsi"/>
          <w:bCs/>
          <w:i w:val="0"/>
          <w:noProof/>
          <w:color w:val="000000"/>
          <w:szCs w:val="24"/>
          <w:highlight w:val="black"/>
        </w:rPr>
        <w:t>''''''''''''''</w:t>
      </w:r>
      <w:r w:rsidR="003513BE" w:rsidRPr="00CD0789">
        <w:rPr>
          <w:rFonts w:cstheme="minorHAnsi"/>
          <w:bCs/>
          <w:i w:val="0"/>
          <w:szCs w:val="24"/>
        </w:rPr>
        <w:t xml:space="preserve"> per patient per year)</w:t>
      </w:r>
      <w:r w:rsidR="001A3110" w:rsidRPr="00CD0789">
        <w:rPr>
          <w:rFonts w:cstheme="minorHAnsi"/>
          <w:bCs/>
          <w:i w:val="0"/>
          <w:szCs w:val="24"/>
        </w:rPr>
        <w:t xml:space="preserve"> </w:t>
      </w:r>
      <w:r w:rsidR="001A3110" w:rsidRPr="00CD0789">
        <w:rPr>
          <w:i w:val="0"/>
        </w:rPr>
        <w:t>(paragraph 7.10, tezacaftor with ivacaftor (RF mutation) PBAC minutes, March 2019 PBAC meeting)</w:t>
      </w:r>
      <w:r w:rsidR="001A3110" w:rsidRPr="00CD0789">
        <w:rPr>
          <w:rFonts w:cstheme="minorHAnsi"/>
          <w:bCs/>
          <w:i w:val="0"/>
          <w:szCs w:val="24"/>
        </w:rPr>
        <w:t>.</w:t>
      </w:r>
    </w:p>
    <w:p w:rsidR="00CA48D9" w:rsidRPr="00CD0789" w:rsidRDefault="003513BE" w:rsidP="005A4054">
      <w:pPr>
        <w:pStyle w:val="Heading2"/>
        <w:keepLines/>
        <w:spacing w:before="240" w:after="120"/>
        <w:rPr>
          <w:rFonts w:asciiTheme="minorHAnsi" w:eastAsiaTheme="majorEastAsia" w:hAnsiTheme="minorHAnsi" w:cstheme="majorBidi"/>
          <w:sz w:val="28"/>
          <w:szCs w:val="28"/>
          <w:lang w:eastAsia="en-US"/>
        </w:rPr>
      </w:pPr>
      <w:r w:rsidRPr="00CD0789">
        <w:rPr>
          <w:rFonts w:asciiTheme="minorHAnsi" w:eastAsiaTheme="majorEastAsia" w:hAnsiTheme="minorHAnsi" w:cstheme="majorBidi"/>
          <w:sz w:val="28"/>
          <w:szCs w:val="28"/>
          <w:lang w:eastAsia="en-US"/>
        </w:rPr>
        <w:t>Drug cost/patient/year</w:t>
      </w:r>
    </w:p>
    <w:p w:rsidR="00A55FEE" w:rsidRPr="00CD0789" w:rsidRDefault="008C204F" w:rsidP="00E00295">
      <w:pPr>
        <w:pStyle w:val="Bodytextitalics"/>
        <w:jc w:val="both"/>
        <w:rPr>
          <w:i w:val="0"/>
        </w:rPr>
      </w:pPr>
      <w:r w:rsidRPr="00CD0789">
        <w:rPr>
          <w:i w:val="0"/>
        </w:rPr>
        <w:t xml:space="preserve">Based on the </w:t>
      </w:r>
      <w:r w:rsidR="001A3110" w:rsidRPr="00CD0789">
        <w:rPr>
          <w:i w:val="0"/>
        </w:rPr>
        <w:t xml:space="preserve">requested </w:t>
      </w:r>
      <w:r w:rsidRPr="00CD0789">
        <w:rPr>
          <w:i w:val="0"/>
        </w:rPr>
        <w:t>published price of $21,000 per 28-day pack p</w:t>
      </w:r>
      <w:r w:rsidR="008A53DC" w:rsidRPr="00CD0789">
        <w:rPr>
          <w:i w:val="0"/>
        </w:rPr>
        <w:t xml:space="preserve">roposed in the March 2019 </w:t>
      </w:r>
      <w:r w:rsidRPr="00CD0789">
        <w:rPr>
          <w:i w:val="0"/>
        </w:rPr>
        <w:t xml:space="preserve">submission, the </w:t>
      </w:r>
      <w:r w:rsidR="003064AF" w:rsidRPr="00CD0789">
        <w:rPr>
          <w:i w:val="0"/>
        </w:rPr>
        <w:t>drug cost</w:t>
      </w:r>
      <w:r w:rsidR="00F378F8" w:rsidRPr="00CD0789">
        <w:rPr>
          <w:i w:val="0"/>
        </w:rPr>
        <w:t xml:space="preserve"> per </w:t>
      </w:r>
      <w:r w:rsidR="0052792D" w:rsidRPr="00CD0789">
        <w:rPr>
          <w:i w:val="0"/>
        </w:rPr>
        <w:t>patient</w:t>
      </w:r>
      <w:r w:rsidR="00CA48D9" w:rsidRPr="00CD0789">
        <w:rPr>
          <w:i w:val="0"/>
        </w:rPr>
        <w:t xml:space="preserve"> per year</w:t>
      </w:r>
      <w:r w:rsidR="0052792D" w:rsidRPr="00CD0789">
        <w:rPr>
          <w:i w:val="0"/>
        </w:rPr>
        <w:t xml:space="preserve"> would be </w:t>
      </w:r>
      <w:r w:rsidRPr="00CD0789">
        <w:rPr>
          <w:i w:val="0"/>
        </w:rPr>
        <w:t>$273,938 ($21,000/56 tablets per pack*2 tablets per day*365.25 days per year).</w:t>
      </w:r>
      <w:r w:rsidR="00DD6929" w:rsidRPr="00CD0789">
        <w:rPr>
          <w:i w:val="0"/>
        </w:rPr>
        <w:t xml:space="preserve"> The March</w:t>
      </w:r>
      <w:r w:rsidR="008A53DC" w:rsidRPr="00CD0789">
        <w:rPr>
          <w:i w:val="0"/>
        </w:rPr>
        <w:t xml:space="preserve"> 2019 </w:t>
      </w:r>
      <w:r w:rsidR="001B22B7" w:rsidRPr="00CD0789">
        <w:rPr>
          <w:i w:val="0"/>
        </w:rPr>
        <w:t>submission proposed an intended annual price of $</w:t>
      </w:r>
      <w:r w:rsidR="00F665E7">
        <w:rPr>
          <w:i w:val="0"/>
          <w:noProof/>
          <w:color w:val="000000"/>
          <w:highlight w:val="black"/>
        </w:rPr>
        <w:t>'''''''''''''</w:t>
      </w:r>
      <w:r w:rsidR="001B22B7" w:rsidRPr="00CD0789">
        <w:rPr>
          <w:i w:val="0"/>
        </w:rPr>
        <w:t xml:space="preserve"> </w:t>
      </w:r>
      <w:r w:rsidR="00BB3683">
        <w:rPr>
          <w:i w:val="0"/>
        </w:rPr>
        <w:t>per patient for tezacaftor/</w:t>
      </w:r>
      <w:r w:rsidR="001B22B7" w:rsidRPr="00CD0789">
        <w:rPr>
          <w:i w:val="0"/>
        </w:rPr>
        <w:t>ivacaftor to be implemented through subsidisations caps through a Risk Sharing Arrangement</w:t>
      </w:r>
      <w:r w:rsidR="001A2C52" w:rsidRPr="00CD0789">
        <w:rPr>
          <w:i w:val="0"/>
        </w:rPr>
        <w:t xml:space="preserve"> (RSA)</w:t>
      </w:r>
      <w:r w:rsidR="00CD0789">
        <w:rPr>
          <w:i w:val="0"/>
        </w:rPr>
        <w:t xml:space="preserve">. </w:t>
      </w:r>
    </w:p>
    <w:p w:rsidR="007B72A6" w:rsidRPr="004616DB" w:rsidRDefault="005A3173" w:rsidP="00B54B01">
      <w:pPr>
        <w:pStyle w:val="Heading2"/>
        <w:keepLines/>
        <w:spacing w:before="240" w:after="120"/>
        <w:rPr>
          <w:rFonts w:asciiTheme="minorHAnsi" w:eastAsiaTheme="majorEastAsia" w:hAnsiTheme="minorHAnsi" w:cstheme="majorBidi"/>
          <w:sz w:val="28"/>
          <w:szCs w:val="28"/>
          <w:lang w:eastAsia="en-US"/>
        </w:rPr>
      </w:pPr>
      <w:r w:rsidRPr="004616DB">
        <w:rPr>
          <w:rFonts w:asciiTheme="minorHAnsi" w:eastAsiaTheme="majorEastAsia" w:hAnsiTheme="minorHAnsi" w:cstheme="majorBidi"/>
          <w:sz w:val="28"/>
          <w:szCs w:val="28"/>
          <w:lang w:eastAsia="en-US"/>
        </w:rPr>
        <w:lastRenderedPageBreak/>
        <w:t>Estimated PBS usage &amp; financial implications</w:t>
      </w:r>
    </w:p>
    <w:p w:rsidR="00592606" w:rsidRPr="00CD0789" w:rsidRDefault="00592606" w:rsidP="00E47871">
      <w:pPr>
        <w:pStyle w:val="Bodytextitalics"/>
        <w:jc w:val="both"/>
        <w:rPr>
          <w:i w:val="0"/>
        </w:rPr>
      </w:pPr>
      <w:r w:rsidRPr="00CD0789">
        <w:rPr>
          <w:i w:val="0"/>
        </w:rPr>
        <w:t>The minor resubmission did not provide patient estimates and financial implications specific to the sub-group of CF patients who have an RF mutation without an F508del mutation. The estimated use and financial implications for all CF patients with at least one RF mutation</w:t>
      </w:r>
      <w:r w:rsidR="00B16390" w:rsidRPr="00CD0789">
        <w:rPr>
          <w:i w:val="0"/>
        </w:rPr>
        <w:t xml:space="preserve"> </w:t>
      </w:r>
      <w:r w:rsidRPr="00CD0789">
        <w:rPr>
          <w:i w:val="0"/>
        </w:rPr>
        <w:t xml:space="preserve">were presented in the March 2019 submission, </w:t>
      </w:r>
      <w:r w:rsidR="0056487C" w:rsidRPr="00CD0789">
        <w:rPr>
          <w:i w:val="0"/>
        </w:rPr>
        <w:t>and therefore this listing will not result in additional patients beyond those presented at that time</w:t>
      </w:r>
      <w:r w:rsidRPr="00CD0789">
        <w:rPr>
          <w:i w:val="0"/>
        </w:rPr>
        <w:t>.</w:t>
      </w:r>
      <w:r w:rsidR="00B16390" w:rsidRPr="00CD0789">
        <w:rPr>
          <w:i w:val="0"/>
        </w:rPr>
        <w:t xml:space="preserve"> </w:t>
      </w:r>
    </w:p>
    <w:p w:rsidR="00010B59" w:rsidRPr="00CD0789" w:rsidRDefault="00010B59" w:rsidP="00E47871">
      <w:pPr>
        <w:pStyle w:val="3Bodytext"/>
        <w:numPr>
          <w:ilvl w:val="1"/>
          <w:numId w:val="3"/>
        </w:numPr>
        <w:jc w:val="both"/>
        <w:rPr>
          <w:szCs w:val="24"/>
        </w:rPr>
      </w:pPr>
      <w:r w:rsidRPr="00CD0789">
        <w:rPr>
          <w:szCs w:val="24"/>
        </w:rPr>
        <w:t>The minor resubmission claimed</w:t>
      </w:r>
      <w:r w:rsidR="004C06A9" w:rsidRPr="00CD0789">
        <w:rPr>
          <w:szCs w:val="24"/>
        </w:rPr>
        <w:t xml:space="preserve"> that the number of CF patients aged 12 years and older who have an RF mutation without an F508del mutation is likely to be small given approximately 90% of patients carry an F508del mutation. The minor resubmission estimated </w:t>
      </w:r>
      <w:r w:rsidRPr="00CD0789">
        <w:rPr>
          <w:szCs w:val="24"/>
        </w:rPr>
        <w:t>there are approximately 10-15 patients who have an RF mutation without an F508del mutation</w:t>
      </w:r>
      <w:r w:rsidR="004C06A9" w:rsidRPr="00CD0789">
        <w:rPr>
          <w:szCs w:val="24"/>
        </w:rPr>
        <w:t>,</w:t>
      </w:r>
      <w:r w:rsidRPr="00CD0789">
        <w:rPr>
          <w:szCs w:val="24"/>
        </w:rPr>
        <w:t xml:space="preserve"> based on consultations with Australian CF directors</w:t>
      </w:r>
      <w:r w:rsidR="004C06A9" w:rsidRPr="00CD0789">
        <w:rPr>
          <w:szCs w:val="24"/>
        </w:rPr>
        <w:t>.</w:t>
      </w:r>
    </w:p>
    <w:p w:rsidR="00EA6671" w:rsidRPr="00CD0789" w:rsidRDefault="007E3B4E" w:rsidP="00453E3A">
      <w:pPr>
        <w:pStyle w:val="Heading2"/>
        <w:keepLines/>
        <w:spacing w:before="240" w:after="120"/>
        <w:rPr>
          <w:rFonts w:asciiTheme="minorHAnsi" w:eastAsiaTheme="majorEastAsia" w:hAnsiTheme="minorHAnsi" w:cstheme="majorBidi"/>
          <w:sz w:val="28"/>
          <w:szCs w:val="28"/>
          <w:lang w:eastAsia="en-US"/>
        </w:rPr>
      </w:pPr>
      <w:r w:rsidRPr="00CD0789">
        <w:rPr>
          <w:rFonts w:asciiTheme="minorHAnsi" w:eastAsiaTheme="majorEastAsia" w:hAnsiTheme="minorHAnsi" w:cstheme="majorBidi"/>
          <w:sz w:val="28"/>
          <w:szCs w:val="28"/>
          <w:lang w:eastAsia="en-US"/>
        </w:rPr>
        <w:t xml:space="preserve">Financial Management – Risk Sharing Arrangements </w:t>
      </w:r>
    </w:p>
    <w:p w:rsidR="00010B59" w:rsidRPr="00CD0789" w:rsidRDefault="00453E3A" w:rsidP="002605F0">
      <w:pPr>
        <w:pStyle w:val="Bodytextitalics"/>
        <w:jc w:val="both"/>
        <w:rPr>
          <w:i w:val="0"/>
          <w:szCs w:val="24"/>
        </w:rPr>
      </w:pPr>
      <w:r w:rsidRPr="00CD0789">
        <w:rPr>
          <w:i w:val="0"/>
          <w:szCs w:val="24"/>
        </w:rPr>
        <w:t>The March 2019 submission proposed a reduction in th</w:t>
      </w:r>
      <w:r w:rsidR="00BB3683">
        <w:rPr>
          <w:i w:val="0"/>
          <w:szCs w:val="24"/>
        </w:rPr>
        <w:t>e gross cost of tezacaftor/</w:t>
      </w:r>
      <w:r w:rsidRPr="00CD0789">
        <w:rPr>
          <w:i w:val="0"/>
          <w:szCs w:val="24"/>
        </w:rPr>
        <w:t>ivacaftor to the PBS via a subsidisation cap</w:t>
      </w:r>
      <w:r w:rsidR="00C8527F" w:rsidRPr="00CD0789">
        <w:rPr>
          <w:i w:val="0"/>
          <w:szCs w:val="24"/>
        </w:rPr>
        <w:t xml:space="preserve"> based on an </w:t>
      </w:r>
      <w:r w:rsidR="009F2C1D" w:rsidRPr="00CD0789">
        <w:rPr>
          <w:i w:val="0"/>
          <w:szCs w:val="24"/>
        </w:rPr>
        <w:t xml:space="preserve">intended </w:t>
      </w:r>
      <w:r w:rsidR="00C8527F" w:rsidRPr="00CD0789">
        <w:rPr>
          <w:i w:val="0"/>
          <w:szCs w:val="24"/>
        </w:rPr>
        <w:t>annual price of $</w:t>
      </w:r>
      <w:r w:rsidR="00F665E7">
        <w:rPr>
          <w:i w:val="0"/>
          <w:noProof/>
          <w:color w:val="000000"/>
          <w:szCs w:val="24"/>
          <w:highlight w:val="black"/>
        </w:rPr>
        <w:t>''''''''''''''</w:t>
      </w:r>
      <w:r w:rsidR="00C8527F" w:rsidRPr="00CD0789">
        <w:rPr>
          <w:i w:val="0"/>
          <w:szCs w:val="24"/>
        </w:rPr>
        <w:t xml:space="preserve"> per patient</w:t>
      </w:r>
      <w:r w:rsidRPr="00CD0789">
        <w:rPr>
          <w:i w:val="0"/>
          <w:szCs w:val="24"/>
        </w:rPr>
        <w:t>, to be implemented through an RSA</w:t>
      </w:r>
      <w:r w:rsidR="009F2C1D" w:rsidRPr="00CD0789">
        <w:rPr>
          <w:i w:val="0"/>
          <w:szCs w:val="24"/>
        </w:rPr>
        <w:t>,</w:t>
      </w:r>
      <w:r w:rsidRPr="00CD0789">
        <w:rPr>
          <w:i w:val="0"/>
          <w:szCs w:val="24"/>
        </w:rPr>
        <w:t xml:space="preserve"> in line with lumacaftor with ivacaftor </w:t>
      </w:r>
      <w:r w:rsidR="00C8527F" w:rsidRPr="00CD0789">
        <w:rPr>
          <w:i w:val="0"/>
          <w:szCs w:val="24"/>
        </w:rPr>
        <w:t>for patients</w:t>
      </w:r>
      <w:r w:rsidRPr="00CD0789">
        <w:rPr>
          <w:i w:val="0"/>
          <w:szCs w:val="24"/>
        </w:rPr>
        <w:t xml:space="preserve"> who are homozygous for the F508del mutation. </w:t>
      </w:r>
    </w:p>
    <w:p w:rsidR="00FE1D44" w:rsidRPr="00CD0789" w:rsidDel="00974A4A" w:rsidRDefault="00FE1D44" w:rsidP="00FE1D44">
      <w:pPr>
        <w:pStyle w:val="Bodytextitalics"/>
        <w:jc w:val="both"/>
        <w:rPr>
          <w:i w:val="0"/>
        </w:rPr>
      </w:pPr>
      <w:r w:rsidRPr="00CD0789">
        <w:rPr>
          <w:i w:val="0"/>
        </w:rPr>
        <w:t>In its March 2019 rec</w:t>
      </w:r>
      <w:r w:rsidR="00BB3683">
        <w:rPr>
          <w:i w:val="0"/>
        </w:rPr>
        <w:t>ommendation for tezacaftor/</w:t>
      </w:r>
      <w:r w:rsidRPr="00CD0789">
        <w:rPr>
          <w:i w:val="0"/>
        </w:rPr>
        <w:t>ivacaftor, t</w:t>
      </w:r>
      <w:r w:rsidRPr="00CD0789" w:rsidDel="00974A4A">
        <w:rPr>
          <w:i w:val="0"/>
        </w:rPr>
        <w:t xml:space="preserve">he PBAC was of the view that the RF mutation patient population should be included in the existing lumacaftor with ivacaftor Deed of Agreement and any change to the lumacaftor with ivacaftor price per patient per year as a result of the MAP should also be applicable to the </w:t>
      </w:r>
      <w:r w:rsidR="00BB3683">
        <w:rPr>
          <w:i w:val="0"/>
        </w:rPr>
        <w:t>price of tezacaftor/</w:t>
      </w:r>
      <w:r w:rsidRPr="00CD0789" w:rsidDel="00974A4A">
        <w:rPr>
          <w:i w:val="0"/>
        </w:rPr>
        <w:t xml:space="preserve">ivacaftor, in order to manage the uncertain cost-effectiveness of </w:t>
      </w:r>
      <w:r w:rsidR="00BB3683">
        <w:rPr>
          <w:i w:val="0"/>
        </w:rPr>
        <w:t>tezacaftor/</w:t>
      </w:r>
      <w:r w:rsidRPr="00CD0789" w:rsidDel="00974A4A">
        <w:rPr>
          <w:i w:val="0"/>
        </w:rPr>
        <w:t>ivacaftor in this treatment setting (paragraph 7.</w:t>
      </w:r>
      <w:r w:rsidR="008C2339">
        <w:rPr>
          <w:i w:val="0"/>
        </w:rPr>
        <w:t>11</w:t>
      </w:r>
      <w:r w:rsidRPr="00CD0789" w:rsidDel="00974A4A">
        <w:rPr>
          <w:i w:val="0"/>
        </w:rPr>
        <w:t>, tezacaftor with ivacaftor (RF mutation) PSD</w:t>
      </w:r>
      <w:r w:rsidR="00926F02" w:rsidRPr="00CD0789">
        <w:rPr>
          <w:i w:val="0"/>
        </w:rPr>
        <w:t>,</w:t>
      </w:r>
      <w:r w:rsidRPr="00CD0789" w:rsidDel="00974A4A">
        <w:rPr>
          <w:i w:val="0"/>
        </w:rPr>
        <w:t xml:space="preserve"> March 2019 PBAC meeting). </w:t>
      </w:r>
    </w:p>
    <w:p w:rsidR="000A4F1B" w:rsidRPr="00CD0789" w:rsidRDefault="00926F02" w:rsidP="002605F0">
      <w:pPr>
        <w:pStyle w:val="Bodytextitalics"/>
        <w:jc w:val="both"/>
        <w:rPr>
          <w:i w:val="0"/>
          <w:szCs w:val="24"/>
        </w:rPr>
      </w:pPr>
      <w:r w:rsidRPr="00CD0789">
        <w:rPr>
          <w:i w:val="0"/>
        </w:rPr>
        <w:t>T</w:t>
      </w:r>
      <w:r w:rsidR="00FE1D44" w:rsidRPr="00CD0789">
        <w:rPr>
          <w:i w:val="0"/>
        </w:rPr>
        <w:t>he PBAC</w:t>
      </w:r>
      <w:r w:rsidRPr="00CD0789">
        <w:rPr>
          <w:i w:val="0"/>
        </w:rPr>
        <w:t xml:space="preserve"> </w:t>
      </w:r>
      <w:r w:rsidR="00FE1D44" w:rsidRPr="00CD0789">
        <w:rPr>
          <w:i w:val="0"/>
        </w:rPr>
        <w:t xml:space="preserve">noted the advice from the Department regarding </w:t>
      </w:r>
      <w:r w:rsidR="001A3110" w:rsidRPr="00CD0789">
        <w:rPr>
          <w:i w:val="0"/>
        </w:rPr>
        <w:t xml:space="preserve">[then] </w:t>
      </w:r>
      <w:r w:rsidR="00FE1D44" w:rsidRPr="00CD0789">
        <w:rPr>
          <w:i w:val="0"/>
        </w:rPr>
        <w:t>current utilisation of lumacaftor/ivacaftor and that Government expenditure per patient in Year 1 of listing is likely to be significantly higher than what was considered acceptably cost-effective (i.e. $</w:t>
      </w:r>
      <w:r w:rsidR="00F665E7">
        <w:rPr>
          <w:i w:val="0"/>
          <w:noProof/>
          <w:color w:val="000000"/>
          <w:highlight w:val="black"/>
        </w:rPr>
        <w:t>''''''''''''''</w:t>
      </w:r>
      <w:r w:rsidR="00FE1D44" w:rsidRPr="00CD0789">
        <w:rPr>
          <w:i w:val="0"/>
        </w:rPr>
        <w:t xml:space="preserve"> per patient per year) in its July 2018 recommendation. In this regard, the PBAC advised that any increase to the existing financial caps for lumacaftor/ivacaftor to include patients with an RF mutation would need to account for the difference between the expected and actual utilisation of lumacaftor/ivacaftor in the homozygous F508del population. Given that uptake of lumacaftor/ivacaftor appears significantly lower than estimated utilisation in July 2018, it may be appropriate to include tezacaftor/ivacaftor for the treatment of the RF patient population to the existing financial caps for lumacaftor/ivacaftor without any increase. The PBAC considered that it may be appropriate for the Department to implement other measures to ensure tezacaftor/ivacaftor does not exceed the price of $</w:t>
      </w:r>
      <w:r w:rsidR="00F665E7">
        <w:rPr>
          <w:i w:val="0"/>
          <w:noProof/>
          <w:color w:val="000000"/>
          <w:highlight w:val="black"/>
        </w:rPr>
        <w:t>''''''''''''</w:t>
      </w:r>
      <w:r w:rsidR="00FE1D44" w:rsidRPr="00CD0789">
        <w:rPr>
          <w:i w:val="0"/>
        </w:rPr>
        <w:t xml:space="preserve"> per patient per year; this could be achieved through a Special Pricing Arrangement, as per the July 2018 recommendation for lumacaftor/ivacaftor. </w:t>
      </w:r>
      <w:r w:rsidR="00FE1D44" w:rsidRPr="00CD0789">
        <w:rPr>
          <w:i w:val="0"/>
          <w:szCs w:val="24"/>
        </w:rPr>
        <w:t xml:space="preserve">(paragraph 7.12, </w:t>
      </w:r>
      <w:r w:rsidR="00FE1D44" w:rsidRPr="004616DB">
        <w:rPr>
          <w:i w:val="0"/>
          <w:szCs w:val="24"/>
        </w:rPr>
        <w:t xml:space="preserve">tezacaftor with ivacaftor </w:t>
      </w:r>
      <w:r w:rsidRPr="004616DB">
        <w:rPr>
          <w:i w:val="0"/>
          <w:szCs w:val="24"/>
        </w:rPr>
        <w:t xml:space="preserve">(RF mutation) PBAC </w:t>
      </w:r>
      <w:r w:rsidR="00FE1D44" w:rsidRPr="004616DB">
        <w:rPr>
          <w:i w:val="0"/>
          <w:szCs w:val="24"/>
        </w:rPr>
        <w:t>minutes, March 2019 PBAC meeting)</w:t>
      </w:r>
    </w:p>
    <w:p w:rsidR="000A4F1B" w:rsidRPr="00224655" w:rsidRDefault="000A4F1B" w:rsidP="000A4F1B">
      <w:pPr>
        <w:pStyle w:val="Bodytextitalics"/>
        <w:jc w:val="both"/>
        <w:rPr>
          <w:i w:val="0"/>
        </w:rPr>
      </w:pPr>
      <w:r w:rsidRPr="00CD0789">
        <w:rPr>
          <w:i w:val="0"/>
        </w:rPr>
        <w:lastRenderedPageBreak/>
        <w:t>The minor resubmission indicated that the sponsor is willing to discuss a financial arrangement that is specific to the additional patient population within the broader financial negotiations currently underway for the recommend</w:t>
      </w:r>
      <w:r w:rsidR="00BB3683">
        <w:rPr>
          <w:i w:val="0"/>
        </w:rPr>
        <w:t>ed listing of tezacaftor/</w:t>
      </w:r>
      <w:r w:rsidRPr="00CD0789">
        <w:rPr>
          <w:i w:val="0"/>
        </w:rPr>
        <w:t xml:space="preserve">ivacaftor for CF patients with an RF mutation and </w:t>
      </w:r>
      <w:r w:rsidRPr="00CD0789">
        <w:rPr>
          <w:i w:val="0"/>
          <w:szCs w:val="24"/>
        </w:rPr>
        <w:t xml:space="preserve">one copy of the F508del mutation. </w:t>
      </w:r>
    </w:p>
    <w:p w:rsidR="00105501" w:rsidRPr="00CD0789" w:rsidRDefault="00C650A5" w:rsidP="00387992">
      <w:pPr>
        <w:pStyle w:val="Bodytextitalics"/>
        <w:jc w:val="both"/>
        <w:rPr>
          <w:i w:val="0"/>
        </w:rPr>
      </w:pPr>
      <w:r w:rsidRPr="00CD0789">
        <w:rPr>
          <w:i w:val="0"/>
        </w:rPr>
        <w:t>On 21 October 2019, the Minister for Health</w:t>
      </w:r>
      <w:r w:rsidR="00BB3683">
        <w:rPr>
          <w:i w:val="0"/>
        </w:rPr>
        <w:t xml:space="preserve"> announced that tezacaftor/</w:t>
      </w:r>
      <w:r w:rsidRPr="00CD0789">
        <w:rPr>
          <w:i w:val="0"/>
        </w:rPr>
        <w:t>ivacaftor will be listed on 1 December 2019</w:t>
      </w:r>
      <w:r w:rsidR="00A23C9E" w:rsidRPr="00CD0789">
        <w:rPr>
          <w:i w:val="0"/>
        </w:rPr>
        <w:t xml:space="preserve"> for the populations recommended in July 2019</w:t>
      </w:r>
      <w:r w:rsidRPr="00CD0789">
        <w:rPr>
          <w:i w:val="0"/>
        </w:rPr>
        <w:t xml:space="preserve">. The Deed of Agreement for lumacaftor with ivacaftor </w:t>
      </w:r>
      <w:r w:rsidR="00635179" w:rsidRPr="00CD0789">
        <w:rPr>
          <w:i w:val="0"/>
        </w:rPr>
        <w:t>has been</w:t>
      </w:r>
      <w:r w:rsidRPr="00CD0789">
        <w:rPr>
          <w:i w:val="0"/>
        </w:rPr>
        <w:t xml:space="preserve"> upd</w:t>
      </w:r>
      <w:r w:rsidR="00BB3683">
        <w:rPr>
          <w:i w:val="0"/>
        </w:rPr>
        <w:t>ated to include tezacaftor/</w:t>
      </w:r>
      <w:r w:rsidRPr="00CD0789">
        <w:rPr>
          <w:i w:val="0"/>
        </w:rPr>
        <w:t>ivacaftor</w:t>
      </w:r>
      <w:r w:rsidR="00A23C9E" w:rsidRPr="00CD0789">
        <w:rPr>
          <w:i w:val="0"/>
        </w:rPr>
        <w:t xml:space="preserve"> </w:t>
      </w:r>
      <w:r w:rsidRPr="00CD0789">
        <w:rPr>
          <w:i w:val="0"/>
        </w:rPr>
        <w:t>with increases in the subsidisation caps</w:t>
      </w:r>
      <w:r w:rsidR="00635179" w:rsidRPr="00CD0789">
        <w:rPr>
          <w:i w:val="0"/>
        </w:rPr>
        <w:t xml:space="preserve"> for years 3, 4, and 5 of the Deed, with no increase for year 2 (current year)</w:t>
      </w:r>
      <w:r w:rsidRPr="00CD0789">
        <w:rPr>
          <w:i w:val="0"/>
        </w:rPr>
        <w:t xml:space="preserve">. The Deed also includes a mechanism for reconciliation of </w:t>
      </w:r>
      <w:r w:rsidR="00635179" w:rsidRPr="00CD0789">
        <w:rPr>
          <w:i w:val="0"/>
        </w:rPr>
        <w:t xml:space="preserve">the subsidisation cap in any current or future year </w:t>
      </w:r>
      <w:r w:rsidRPr="00CD0789">
        <w:rPr>
          <w:i w:val="0"/>
        </w:rPr>
        <w:t>if Government expenditure per FTE patient is higher than $</w:t>
      </w:r>
      <w:r w:rsidR="00224655">
        <w:rPr>
          <w:i w:val="0"/>
          <w:noProof/>
          <w:color w:val="000000"/>
          <w:highlight w:val="black"/>
        </w:rPr>
        <w:t>''''''''''''''</w:t>
      </w:r>
      <w:r w:rsidRPr="00CD0789">
        <w:rPr>
          <w:i w:val="0"/>
        </w:rPr>
        <w:t xml:space="preserve"> per patient per year. </w:t>
      </w:r>
    </w:p>
    <w:p w:rsidR="00661F2B" w:rsidRPr="00CD0789" w:rsidRDefault="00661F2B" w:rsidP="00661F2B">
      <w:pPr>
        <w:pStyle w:val="Bodytextitalics"/>
        <w:numPr>
          <w:ilvl w:val="0"/>
          <w:numId w:val="0"/>
        </w:numPr>
        <w:ind w:left="720"/>
        <w:jc w:val="both"/>
      </w:pPr>
      <w:r w:rsidRPr="00CD0789">
        <w:t>For more detail on PBAC’s view, see section 7 PBAC outcome.</w:t>
      </w:r>
    </w:p>
    <w:p w:rsidR="00661F2B" w:rsidRPr="00CD0789" w:rsidRDefault="00661F2B" w:rsidP="00661F2B">
      <w:pPr>
        <w:pStyle w:val="2Sections"/>
      </w:pPr>
      <w:r w:rsidRPr="00CD0789">
        <w:t xml:space="preserve">PBAC Outcome </w:t>
      </w:r>
    </w:p>
    <w:p w:rsidR="00661F2B" w:rsidRPr="007B1CFD" w:rsidRDefault="00D34FAD" w:rsidP="00661F2B">
      <w:pPr>
        <w:widowControl w:val="0"/>
        <w:numPr>
          <w:ilvl w:val="1"/>
          <w:numId w:val="1"/>
        </w:numPr>
        <w:spacing w:after="120"/>
        <w:jc w:val="both"/>
        <w:rPr>
          <w:rFonts w:asciiTheme="minorHAnsi" w:hAnsiTheme="minorHAnsi" w:cs="Arial"/>
          <w:bCs/>
          <w:snapToGrid w:val="0"/>
        </w:rPr>
      </w:pPr>
      <w:r w:rsidRPr="007B1CFD">
        <w:rPr>
          <w:rFonts w:asciiTheme="minorHAnsi" w:hAnsiTheme="minorHAnsi" w:cs="Arial"/>
          <w:bCs/>
          <w:snapToGrid w:val="0"/>
        </w:rPr>
        <w:t xml:space="preserve">The PBAC recommended extending </w:t>
      </w:r>
      <w:r w:rsidR="00DA45BB" w:rsidRPr="007B1CFD">
        <w:rPr>
          <w:rFonts w:asciiTheme="minorHAnsi" w:hAnsiTheme="minorHAnsi" w:cs="Arial"/>
          <w:bCs/>
          <w:snapToGrid w:val="0"/>
        </w:rPr>
        <w:t xml:space="preserve">its </w:t>
      </w:r>
      <w:r w:rsidR="001A5F85" w:rsidRPr="007B1CFD">
        <w:rPr>
          <w:rFonts w:asciiTheme="minorHAnsi" w:hAnsiTheme="minorHAnsi" w:cs="Arial"/>
          <w:bCs/>
          <w:snapToGrid w:val="0"/>
        </w:rPr>
        <w:t>March 2019 recommend</w:t>
      </w:r>
      <w:r w:rsidR="00DA45BB" w:rsidRPr="007B1CFD">
        <w:rPr>
          <w:rFonts w:asciiTheme="minorHAnsi" w:hAnsiTheme="minorHAnsi" w:cs="Arial"/>
          <w:bCs/>
          <w:snapToGrid w:val="0"/>
        </w:rPr>
        <w:t>ation for</w:t>
      </w:r>
      <w:r w:rsidR="001A5F85" w:rsidRPr="007B1CFD">
        <w:rPr>
          <w:rFonts w:asciiTheme="minorHAnsi" w:hAnsiTheme="minorHAnsi" w:cs="Arial"/>
          <w:bCs/>
          <w:snapToGrid w:val="0"/>
        </w:rPr>
        <w:t xml:space="preserve"> </w:t>
      </w:r>
      <w:r w:rsidR="00DA45BB" w:rsidRPr="007B1CFD">
        <w:rPr>
          <w:rFonts w:asciiTheme="minorHAnsi" w:hAnsiTheme="minorHAnsi" w:cs="Arial"/>
          <w:bCs/>
          <w:snapToGrid w:val="0"/>
        </w:rPr>
        <w:t xml:space="preserve">Section 100 (Highly Specialised Drugs Program) </w:t>
      </w:r>
      <w:r w:rsidR="001A5F85" w:rsidRPr="007B1CFD">
        <w:rPr>
          <w:rFonts w:asciiTheme="minorHAnsi" w:hAnsiTheme="minorHAnsi" w:cs="Arial"/>
          <w:bCs/>
          <w:snapToGrid w:val="0"/>
        </w:rPr>
        <w:t>Authority Required listing of tezacaftor with ivacaftor</w:t>
      </w:r>
      <w:r w:rsidR="00BB3683">
        <w:rPr>
          <w:rFonts w:asciiTheme="minorHAnsi" w:hAnsiTheme="minorHAnsi" w:cs="Arial"/>
          <w:bCs/>
          <w:snapToGrid w:val="0"/>
        </w:rPr>
        <w:t xml:space="preserve"> (tezacaftor/ivacaftor)</w:t>
      </w:r>
      <w:r w:rsidR="001A5F85" w:rsidRPr="007B1CFD">
        <w:rPr>
          <w:rFonts w:asciiTheme="minorHAnsi" w:hAnsiTheme="minorHAnsi" w:cs="Arial"/>
          <w:bCs/>
          <w:snapToGrid w:val="0"/>
        </w:rPr>
        <w:t xml:space="preserve"> to </w:t>
      </w:r>
      <w:r w:rsidR="00DC4672" w:rsidRPr="00CD0789">
        <w:rPr>
          <w:rFonts w:asciiTheme="minorHAnsi" w:eastAsiaTheme="minorHAnsi" w:hAnsiTheme="minorHAnsi" w:cstheme="minorBidi"/>
          <w:szCs w:val="22"/>
        </w:rPr>
        <w:t>include CF patients aged 12 years and older who have at least one RF mutation in the CFTR gene.</w:t>
      </w:r>
      <w:r w:rsidR="00365EE6" w:rsidRPr="00CD0789">
        <w:rPr>
          <w:rFonts w:asciiTheme="minorHAnsi" w:eastAsiaTheme="minorHAnsi" w:hAnsiTheme="minorHAnsi" w:cstheme="minorBidi"/>
          <w:szCs w:val="22"/>
        </w:rPr>
        <w:t xml:space="preserve"> </w:t>
      </w:r>
      <w:r w:rsidR="00621F82" w:rsidRPr="00CD0789">
        <w:rPr>
          <w:rFonts w:asciiTheme="minorHAnsi" w:eastAsiaTheme="minorHAnsi" w:hAnsiTheme="minorHAnsi" w:cstheme="minorBidi"/>
          <w:szCs w:val="22"/>
        </w:rPr>
        <w:t>Given</w:t>
      </w:r>
      <w:r w:rsidR="002034E4" w:rsidRPr="004616DB">
        <w:rPr>
          <w:rFonts w:asciiTheme="minorHAnsi" w:eastAsiaTheme="minorHAnsi" w:hAnsiTheme="minorHAnsi" w:cstheme="minorBidi"/>
          <w:szCs w:val="22"/>
        </w:rPr>
        <w:t xml:space="preserve"> the limited </w:t>
      </w:r>
      <w:r w:rsidR="00621F82" w:rsidRPr="004616DB">
        <w:rPr>
          <w:rFonts w:asciiTheme="minorHAnsi" w:eastAsiaTheme="minorHAnsi" w:hAnsiTheme="minorHAnsi" w:cstheme="minorBidi"/>
          <w:szCs w:val="22"/>
        </w:rPr>
        <w:t xml:space="preserve">supporting </w:t>
      </w:r>
      <w:r w:rsidR="002034E4" w:rsidRPr="004616DB">
        <w:rPr>
          <w:rFonts w:asciiTheme="minorHAnsi" w:eastAsiaTheme="minorHAnsi" w:hAnsiTheme="minorHAnsi" w:cstheme="minorBidi"/>
          <w:szCs w:val="22"/>
        </w:rPr>
        <w:t>evidence, t</w:t>
      </w:r>
      <w:r w:rsidR="00365EE6" w:rsidRPr="00CD0789">
        <w:rPr>
          <w:rFonts w:asciiTheme="minorHAnsi" w:eastAsiaTheme="minorHAnsi" w:hAnsiTheme="minorHAnsi" w:cstheme="minorBidi"/>
          <w:szCs w:val="22"/>
        </w:rPr>
        <w:t xml:space="preserve">he </w:t>
      </w:r>
      <w:r w:rsidR="007E73E6" w:rsidRPr="00CD0789">
        <w:rPr>
          <w:rFonts w:asciiTheme="minorHAnsi" w:eastAsiaTheme="minorHAnsi" w:hAnsiTheme="minorHAnsi" w:cstheme="minorBidi"/>
          <w:szCs w:val="22"/>
        </w:rPr>
        <w:t xml:space="preserve">PBAC </w:t>
      </w:r>
      <w:r w:rsidR="00A04E9A" w:rsidRPr="00CD0789">
        <w:rPr>
          <w:rFonts w:asciiTheme="minorHAnsi" w:eastAsiaTheme="minorHAnsi" w:hAnsiTheme="minorHAnsi" w:cstheme="minorBidi"/>
          <w:szCs w:val="22"/>
        </w:rPr>
        <w:t>considered</w:t>
      </w:r>
      <w:r w:rsidR="007E73E6" w:rsidRPr="00CD0789">
        <w:rPr>
          <w:rFonts w:asciiTheme="minorHAnsi" w:eastAsiaTheme="minorHAnsi" w:hAnsiTheme="minorHAnsi" w:cstheme="minorBidi"/>
          <w:szCs w:val="22"/>
        </w:rPr>
        <w:t xml:space="preserve"> </w:t>
      </w:r>
      <w:r w:rsidR="00D42807" w:rsidRPr="00CD0789">
        <w:rPr>
          <w:rFonts w:asciiTheme="minorHAnsi" w:eastAsiaTheme="minorHAnsi" w:hAnsiTheme="minorHAnsi" w:cstheme="minorBidi"/>
          <w:szCs w:val="22"/>
        </w:rPr>
        <w:t>the</w:t>
      </w:r>
      <w:r w:rsidR="0072158B" w:rsidRPr="00CD0789">
        <w:rPr>
          <w:rFonts w:asciiTheme="minorHAnsi" w:eastAsiaTheme="minorHAnsi" w:hAnsiTheme="minorHAnsi" w:cstheme="minorBidi"/>
          <w:szCs w:val="22"/>
        </w:rPr>
        <w:t xml:space="preserve"> </w:t>
      </w:r>
      <w:r w:rsidR="00AB26BF" w:rsidRPr="00CD0789">
        <w:rPr>
          <w:rFonts w:asciiTheme="minorHAnsi" w:eastAsiaTheme="minorHAnsi" w:hAnsiTheme="minorHAnsi" w:cstheme="minorBidi"/>
          <w:szCs w:val="22"/>
        </w:rPr>
        <w:t xml:space="preserve">magnitude of </w:t>
      </w:r>
      <w:r w:rsidR="00365EE6" w:rsidRPr="00CD0789">
        <w:rPr>
          <w:rFonts w:asciiTheme="minorHAnsi" w:eastAsiaTheme="minorHAnsi" w:hAnsiTheme="minorHAnsi" w:cstheme="minorBidi"/>
          <w:szCs w:val="22"/>
        </w:rPr>
        <w:t>incremental benefit and the</w:t>
      </w:r>
      <w:r w:rsidR="00A044AD" w:rsidRPr="00CD0789">
        <w:rPr>
          <w:rFonts w:asciiTheme="minorHAnsi" w:eastAsiaTheme="minorHAnsi" w:hAnsiTheme="minorHAnsi" w:cstheme="minorBidi"/>
          <w:szCs w:val="22"/>
        </w:rPr>
        <w:t>refore</w:t>
      </w:r>
      <w:r w:rsidR="00365EE6" w:rsidRPr="00CD0789">
        <w:rPr>
          <w:rFonts w:asciiTheme="minorHAnsi" w:eastAsiaTheme="minorHAnsi" w:hAnsiTheme="minorHAnsi" w:cstheme="minorBidi"/>
          <w:szCs w:val="22"/>
        </w:rPr>
        <w:t xml:space="preserve"> cost</w:t>
      </w:r>
      <w:r w:rsidR="00D42807" w:rsidRPr="00CD0789">
        <w:rPr>
          <w:rFonts w:asciiTheme="minorHAnsi" w:eastAsiaTheme="minorHAnsi" w:hAnsiTheme="minorHAnsi" w:cstheme="minorBidi"/>
          <w:szCs w:val="22"/>
        </w:rPr>
        <w:t>-effectiveness</w:t>
      </w:r>
      <w:r w:rsidR="00BB3683">
        <w:rPr>
          <w:rFonts w:asciiTheme="minorHAnsi" w:eastAsiaTheme="minorHAnsi" w:hAnsiTheme="minorHAnsi" w:cstheme="minorBidi"/>
          <w:szCs w:val="22"/>
        </w:rPr>
        <w:t xml:space="preserve"> of tezacaftor/</w:t>
      </w:r>
      <w:r w:rsidR="007E73E6" w:rsidRPr="00CD0789">
        <w:rPr>
          <w:rFonts w:asciiTheme="minorHAnsi" w:eastAsiaTheme="minorHAnsi" w:hAnsiTheme="minorHAnsi" w:cstheme="minorBidi"/>
          <w:szCs w:val="22"/>
        </w:rPr>
        <w:t xml:space="preserve">ivacaftor </w:t>
      </w:r>
      <w:r w:rsidR="00AB26BF" w:rsidRPr="00CD0789">
        <w:rPr>
          <w:rFonts w:asciiTheme="minorHAnsi" w:eastAsiaTheme="minorHAnsi" w:hAnsiTheme="minorHAnsi" w:cstheme="minorBidi"/>
          <w:szCs w:val="22"/>
        </w:rPr>
        <w:t xml:space="preserve">compared with BSC </w:t>
      </w:r>
      <w:r w:rsidR="00D42807" w:rsidRPr="00CD0789">
        <w:rPr>
          <w:rFonts w:asciiTheme="minorHAnsi" w:eastAsiaTheme="minorHAnsi" w:hAnsiTheme="minorHAnsi" w:cstheme="minorBidi"/>
          <w:szCs w:val="22"/>
        </w:rPr>
        <w:t>across the group of requested RF mutations was uncertain</w:t>
      </w:r>
      <w:r w:rsidR="00365EE6" w:rsidRPr="00CD0789">
        <w:rPr>
          <w:rFonts w:asciiTheme="minorHAnsi" w:eastAsiaTheme="minorHAnsi" w:hAnsiTheme="minorHAnsi" w:cstheme="minorBidi"/>
          <w:szCs w:val="22"/>
        </w:rPr>
        <w:t>.</w:t>
      </w:r>
      <w:r w:rsidR="00A044AD" w:rsidRPr="00CD0789">
        <w:rPr>
          <w:rFonts w:asciiTheme="minorHAnsi" w:eastAsiaTheme="minorHAnsi" w:hAnsiTheme="minorHAnsi" w:cstheme="minorBidi"/>
          <w:szCs w:val="22"/>
        </w:rPr>
        <w:t xml:space="preserve"> T</w:t>
      </w:r>
      <w:r w:rsidR="00365EE6" w:rsidRPr="00CD0789">
        <w:rPr>
          <w:rFonts w:asciiTheme="minorHAnsi" w:eastAsiaTheme="minorHAnsi" w:hAnsiTheme="minorHAnsi" w:cstheme="minorBidi"/>
          <w:szCs w:val="22"/>
        </w:rPr>
        <w:t xml:space="preserve">he PBAC </w:t>
      </w:r>
      <w:r w:rsidR="00BB3683">
        <w:rPr>
          <w:rFonts w:asciiTheme="minorHAnsi" w:eastAsiaTheme="minorHAnsi" w:hAnsiTheme="minorHAnsi" w:cstheme="minorBidi"/>
          <w:szCs w:val="22"/>
        </w:rPr>
        <w:t>advised that tezacaftor/</w:t>
      </w:r>
      <w:r w:rsidR="00CC21DB" w:rsidRPr="00CD0789">
        <w:rPr>
          <w:rFonts w:asciiTheme="minorHAnsi" w:eastAsiaTheme="minorHAnsi" w:hAnsiTheme="minorHAnsi" w:cstheme="minorBidi"/>
          <w:szCs w:val="22"/>
        </w:rPr>
        <w:t>ivacaftor for the treatment of patients with at least one RF mutation</w:t>
      </w:r>
      <w:r w:rsidR="00A044AD" w:rsidRPr="00CD0789">
        <w:rPr>
          <w:rFonts w:asciiTheme="minorHAnsi" w:eastAsiaTheme="minorHAnsi" w:hAnsiTheme="minorHAnsi" w:cstheme="minorBidi"/>
          <w:szCs w:val="22"/>
        </w:rPr>
        <w:t>,</w:t>
      </w:r>
      <w:r w:rsidR="00CC21DB" w:rsidRPr="00CD0789">
        <w:rPr>
          <w:rFonts w:asciiTheme="minorHAnsi" w:eastAsiaTheme="minorHAnsi" w:hAnsiTheme="minorHAnsi" w:cstheme="minorBidi"/>
          <w:szCs w:val="22"/>
        </w:rPr>
        <w:t xml:space="preserve"> should be included under the </w:t>
      </w:r>
      <w:r w:rsidR="00A044AD" w:rsidRPr="00CD0789">
        <w:rPr>
          <w:rFonts w:asciiTheme="minorHAnsi" w:eastAsiaTheme="minorHAnsi" w:hAnsiTheme="minorHAnsi" w:cstheme="minorBidi"/>
          <w:szCs w:val="22"/>
        </w:rPr>
        <w:t>Risk Sharing Arrangement (</w:t>
      </w:r>
      <w:r w:rsidR="00CC21DB" w:rsidRPr="00CD0789">
        <w:rPr>
          <w:rFonts w:asciiTheme="minorHAnsi" w:eastAsiaTheme="minorHAnsi" w:hAnsiTheme="minorHAnsi" w:cstheme="minorBidi"/>
          <w:szCs w:val="22"/>
        </w:rPr>
        <w:t>RSA</w:t>
      </w:r>
      <w:r w:rsidR="00A044AD" w:rsidRPr="00CD0789">
        <w:rPr>
          <w:rFonts w:asciiTheme="minorHAnsi" w:eastAsiaTheme="minorHAnsi" w:hAnsiTheme="minorHAnsi" w:cstheme="minorBidi"/>
          <w:szCs w:val="22"/>
        </w:rPr>
        <w:t>)</w:t>
      </w:r>
      <w:r w:rsidR="00CC21DB" w:rsidRPr="00CD0789">
        <w:rPr>
          <w:rFonts w:asciiTheme="minorHAnsi" w:eastAsiaTheme="minorHAnsi" w:hAnsiTheme="minorHAnsi" w:cstheme="minorBidi"/>
          <w:szCs w:val="22"/>
        </w:rPr>
        <w:t xml:space="preserve"> for lumacaftor with ivacaftor </w:t>
      </w:r>
      <w:r w:rsidR="00BB3683">
        <w:rPr>
          <w:rFonts w:asciiTheme="minorHAnsi" w:eastAsiaTheme="minorHAnsi" w:hAnsiTheme="minorHAnsi" w:cstheme="minorBidi"/>
          <w:szCs w:val="22"/>
        </w:rPr>
        <w:t>and tezacaftor/</w:t>
      </w:r>
      <w:r w:rsidR="006135A9" w:rsidRPr="00CD0789">
        <w:rPr>
          <w:rFonts w:asciiTheme="minorHAnsi" w:eastAsiaTheme="minorHAnsi" w:hAnsiTheme="minorHAnsi" w:cstheme="minorBidi"/>
          <w:szCs w:val="22"/>
        </w:rPr>
        <w:t xml:space="preserve">ivacaftor </w:t>
      </w:r>
      <w:r w:rsidR="00CC21DB" w:rsidRPr="00CD0789">
        <w:rPr>
          <w:rFonts w:asciiTheme="minorHAnsi" w:eastAsiaTheme="minorHAnsi" w:hAnsiTheme="minorHAnsi" w:cstheme="minorBidi"/>
          <w:szCs w:val="22"/>
        </w:rPr>
        <w:t xml:space="preserve">without any increase to the subsidisation caps, such that the extension of the recommended listing will not result in any additional cost to Government. </w:t>
      </w:r>
    </w:p>
    <w:p w:rsidR="00A044AD" w:rsidRPr="007B1CFD" w:rsidRDefault="00190E31" w:rsidP="00661F2B">
      <w:pPr>
        <w:widowControl w:val="0"/>
        <w:numPr>
          <w:ilvl w:val="1"/>
          <w:numId w:val="1"/>
        </w:numPr>
        <w:spacing w:after="120"/>
        <w:jc w:val="both"/>
        <w:rPr>
          <w:rFonts w:asciiTheme="minorHAnsi" w:hAnsiTheme="minorHAnsi" w:cs="Arial"/>
          <w:bCs/>
          <w:snapToGrid w:val="0"/>
        </w:rPr>
      </w:pPr>
      <w:r w:rsidRPr="007B1CFD">
        <w:rPr>
          <w:rFonts w:asciiTheme="minorHAnsi" w:hAnsiTheme="minorHAnsi" w:cs="Arial"/>
          <w:bCs/>
          <w:snapToGrid w:val="0"/>
        </w:rPr>
        <w:t xml:space="preserve">The PBAC acknowledged the </w:t>
      </w:r>
      <w:r w:rsidR="00B01574" w:rsidRPr="007B1CFD">
        <w:rPr>
          <w:rFonts w:asciiTheme="minorHAnsi" w:hAnsiTheme="minorHAnsi" w:cs="Arial"/>
          <w:bCs/>
          <w:snapToGrid w:val="0"/>
        </w:rPr>
        <w:t xml:space="preserve">many </w:t>
      </w:r>
      <w:r w:rsidRPr="007B1CFD">
        <w:rPr>
          <w:rFonts w:asciiTheme="minorHAnsi" w:hAnsiTheme="minorHAnsi" w:cs="Arial"/>
          <w:bCs/>
          <w:snapToGrid w:val="0"/>
        </w:rPr>
        <w:t xml:space="preserve">consumer comments and correspondence </w:t>
      </w:r>
      <w:r w:rsidR="00044BE2" w:rsidRPr="007B1CFD">
        <w:rPr>
          <w:rFonts w:asciiTheme="minorHAnsi" w:hAnsiTheme="minorHAnsi" w:cs="Arial"/>
          <w:bCs/>
          <w:snapToGrid w:val="0"/>
        </w:rPr>
        <w:t xml:space="preserve">from Cystic Fibrosis </w:t>
      </w:r>
      <w:r w:rsidR="00B01574" w:rsidRPr="007B1CFD">
        <w:rPr>
          <w:rFonts w:asciiTheme="minorHAnsi" w:hAnsiTheme="minorHAnsi" w:cs="Arial"/>
          <w:bCs/>
          <w:snapToGrid w:val="0"/>
        </w:rPr>
        <w:t>Australia, which</w:t>
      </w:r>
      <w:r w:rsidR="00044BE2" w:rsidRPr="007B1CFD">
        <w:rPr>
          <w:rFonts w:asciiTheme="minorHAnsi" w:hAnsiTheme="minorHAnsi" w:cs="Arial"/>
          <w:bCs/>
          <w:snapToGrid w:val="0"/>
        </w:rPr>
        <w:t xml:space="preserve"> support subsi</w:t>
      </w:r>
      <w:r w:rsidR="00BB3683">
        <w:rPr>
          <w:rFonts w:asciiTheme="minorHAnsi" w:hAnsiTheme="minorHAnsi" w:cs="Arial"/>
          <w:bCs/>
          <w:snapToGrid w:val="0"/>
        </w:rPr>
        <w:t>dised access to tezacaftor/</w:t>
      </w:r>
      <w:r w:rsidR="00044BE2" w:rsidRPr="007B1CFD">
        <w:rPr>
          <w:rFonts w:asciiTheme="minorHAnsi" w:hAnsiTheme="minorHAnsi" w:cs="Arial"/>
          <w:bCs/>
          <w:snapToGrid w:val="0"/>
        </w:rPr>
        <w:t>ivacaftor for CF patients with RF mutations.</w:t>
      </w:r>
      <w:r w:rsidR="00FD6A54" w:rsidRPr="007B1CFD">
        <w:rPr>
          <w:rFonts w:asciiTheme="minorHAnsi" w:hAnsiTheme="minorHAnsi" w:cs="Arial"/>
          <w:bCs/>
          <w:snapToGrid w:val="0"/>
        </w:rPr>
        <w:t xml:space="preserve"> The PBAC acknowledged that the burden of disease could also be significantly debilitating for patients who have an RF mutation</w:t>
      </w:r>
      <w:r w:rsidR="00BA7296" w:rsidRPr="007B1CFD">
        <w:rPr>
          <w:rFonts w:asciiTheme="minorHAnsi" w:hAnsiTheme="minorHAnsi" w:cs="Arial"/>
          <w:bCs/>
          <w:snapToGrid w:val="0"/>
        </w:rPr>
        <w:t xml:space="preserve"> without an F508del mutation in the CFTR gene</w:t>
      </w:r>
      <w:r w:rsidR="00CD0789">
        <w:rPr>
          <w:rFonts w:asciiTheme="minorHAnsi" w:hAnsiTheme="minorHAnsi" w:cs="Arial"/>
          <w:bCs/>
          <w:snapToGrid w:val="0"/>
        </w:rPr>
        <w:t xml:space="preserve">. </w:t>
      </w:r>
      <w:r w:rsidR="00D3278A" w:rsidRPr="007B1CFD">
        <w:rPr>
          <w:rFonts w:asciiTheme="minorHAnsi" w:hAnsiTheme="minorHAnsi" w:cs="Arial"/>
          <w:bCs/>
          <w:snapToGrid w:val="0"/>
        </w:rPr>
        <w:t xml:space="preserve"> </w:t>
      </w:r>
    </w:p>
    <w:p w:rsidR="002D1669" w:rsidRPr="007B1CFD" w:rsidRDefault="008B49B1" w:rsidP="00661F2B">
      <w:pPr>
        <w:widowControl w:val="0"/>
        <w:numPr>
          <w:ilvl w:val="1"/>
          <w:numId w:val="1"/>
        </w:numPr>
        <w:spacing w:after="120"/>
        <w:jc w:val="both"/>
        <w:rPr>
          <w:rFonts w:asciiTheme="minorHAnsi" w:hAnsiTheme="minorHAnsi" w:cs="Arial"/>
          <w:bCs/>
          <w:snapToGrid w:val="0"/>
        </w:rPr>
      </w:pPr>
      <w:r w:rsidRPr="007B1CFD">
        <w:rPr>
          <w:rFonts w:asciiTheme="minorHAnsi" w:hAnsiTheme="minorHAnsi" w:cs="Arial"/>
          <w:bCs/>
          <w:snapToGrid w:val="0"/>
        </w:rPr>
        <w:t>The PBAC noted that no clinical data</w:t>
      </w:r>
      <w:r w:rsidR="006B1273" w:rsidRPr="007B1CFD">
        <w:rPr>
          <w:rFonts w:asciiTheme="minorHAnsi" w:hAnsiTheme="minorHAnsi" w:cs="Arial"/>
          <w:bCs/>
          <w:snapToGrid w:val="0"/>
        </w:rPr>
        <w:t xml:space="preserve"> </w:t>
      </w:r>
      <w:r w:rsidR="00BF39D0" w:rsidRPr="007B1CFD">
        <w:rPr>
          <w:rFonts w:asciiTheme="minorHAnsi" w:hAnsiTheme="minorHAnsi" w:cs="Arial"/>
          <w:bCs/>
          <w:snapToGrid w:val="0"/>
        </w:rPr>
        <w:t>f</w:t>
      </w:r>
      <w:r w:rsidR="006B1273" w:rsidRPr="007B1CFD">
        <w:rPr>
          <w:rFonts w:asciiTheme="minorHAnsi" w:hAnsiTheme="minorHAnsi" w:cs="Arial"/>
          <w:bCs/>
          <w:snapToGrid w:val="0"/>
        </w:rPr>
        <w:t xml:space="preserve">or patients with an </w:t>
      </w:r>
      <w:r w:rsidR="00BF39D0" w:rsidRPr="007B1CFD">
        <w:rPr>
          <w:rFonts w:asciiTheme="minorHAnsi" w:hAnsiTheme="minorHAnsi" w:cs="Arial"/>
          <w:bCs/>
          <w:snapToGrid w:val="0"/>
        </w:rPr>
        <w:t>RF mutation without an F508del mutation in the CFTR</w:t>
      </w:r>
      <w:r w:rsidR="000A2C78" w:rsidRPr="007B1CFD">
        <w:rPr>
          <w:rFonts w:asciiTheme="minorHAnsi" w:hAnsiTheme="minorHAnsi" w:cs="Arial"/>
          <w:bCs/>
          <w:snapToGrid w:val="0"/>
        </w:rPr>
        <w:t xml:space="preserve"> gene</w:t>
      </w:r>
      <w:r w:rsidR="006B1273" w:rsidRPr="007B1CFD">
        <w:rPr>
          <w:rFonts w:asciiTheme="minorHAnsi" w:hAnsiTheme="minorHAnsi" w:cs="Arial"/>
          <w:bCs/>
          <w:snapToGrid w:val="0"/>
        </w:rPr>
        <w:t xml:space="preserve"> was available.</w:t>
      </w:r>
      <w:r w:rsidR="005506D3" w:rsidRPr="007B1CFD">
        <w:rPr>
          <w:rFonts w:asciiTheme="minorHAnsi" w:hAnsiTheme="minorHAnsi" w:cs="Arial"/>
          <w:bCs/>
          <w:snapToGrid w:val="0"/>
        </w:rPr>
        <w:t xml:space="preserve"> However, the PBAC acknowledged that </w:t>
      </w:r>
      <w:r w:rsidR="00CE09A4" w:rsidRPr="007B1CFD">
        <w:rPr>
          <w:rFonts w:asciiTheme="minorHAnsi" w:hAnsiTheme="minorHAnsi" w:cs="Arial"/>
          <w:bCs/>
          <w:snapToGrid w:val="0"/>
        </w:rPr>
        <w:t>obtaining efficacy data through a</w:t>
      </w:r>
      <w:r w:rsidR="005506D3" w:rsidRPr="007B1CFD">
        <w:rPr>
          <w:rFonts w:asciiTheme="minorHAnsi" w:hAnsiTheme="minorHAnsi" w:cs="Arial"/>
          <w:bCs/>
          <w:snapToGrid w:val="0"/>
        </w:rPr>
        <w:t xml:space="preserve"> clinical trial would be difficult given the</w:t>
      </w:r>
      <w:r w:rsidR="00557C46">
        <w:rPr>
          <w:rFonts w:asciiTheme="minorHAnsi" w:hAnsiTheme="minorHAnsi" w:cs="Arial"/>
          <w:bCs/>
          <w:snapToGrid w:val="0"/>
        </w:rPr>
        <w:t xml:space="preserve"> individual</w:t>
      </w:r>
      <w:r w:rsidR="005506D3" w:rsidRPr="007B1CFD">
        <w:rPr>
          <w:rFonts w:asciiTheme="minorHAnsi" w:hAnsiTheme="minorHAnsi" w:cs="Arial"/>
          <w:bCs/>
          <w:snapToGrid w:val="0"/>
        </w:rPr>
        <w:t xml:space="preserve"> rarity of these CFTR genotypes</w:t>
      </w:r>
      <w:r w:rsidR="00CD0789">
        <w:rPr>
          <w:rFonts w:asciiTheme="minorHAnsi" w:hAnsiTheme="minorHAnsi" w:cs="Arial"/>
          <w:bCs/>
          <w:snapToGrid w:val="0"/>
        </w:rPr>
        <w:t xml:space="preserve">. </w:t>
      </w:r>
      <w:r w:rsidR="003D20D3" w:rsidRPr="007B1CFD">
        <w:rPr>
          <w:rFonts w:asciiTheme="minorHAnsi" w:hAnsiTheme="minorHAnsi" w:cs="Arial"/>
          <w:bCs/>
          <w:snapToGrid w:val="0"/>
        </w:rPr>
        <w:t xml:space="preserve">Although the </w:t>
      </w:r>
      <w:r w:rsidR="006B1273" w:rsidRPr="007B1CFD">
        <w:rPr>
          <w:rFonts w:asciiTheme="minorHAnsi" w:hAnsiTheme="minorHAnsi" w:cs="Arial"/>
          <w:bCs/>
          <w:snapToGrid w:val="0"/>
        </w:rPr>
        <w:t xml:space="preserve">PBAC noted </w:t>
      </w:r>
      <w:r w:rsidR="00A9103A" w:rsidRPr="007B1CFD">
        <w:rPr>
          <w:rFonts w:asciiTheme="minorHAnsi" w:hAnsiTheme="minorHAnsi" w:cs="Arial"/>
          <w:bCs/>
          <w:snapToGrid w:val="0"/>
        </w:rPr>
        <w:t>the</w:t>
      </w:r>
      <w:r w:rsidR="00420DB4" w:rsidRPr="007B1CFD">
        <w:rPr>
          <w:rFonts w:asciiTheme="minorHAnsi" w:hAnsiTheme="minorHAnsi" w:cs="Arial"/>
          <w:bCs/>
          <w:snapToGrid w:val="0"/>
        </w:rPr>
        <w:t xml:space="preserve"> in vitro data</w:t>
      </w:r>
      <w:r w:rsidR="00A9103A" w:rsidRPr="007B1CFD">
        <w:rPr>
          <w:rFonts w:asciiTheme="minorHAnsi" w:hAnsiTheme="minorHAnsi" w:cs="Arial"/>
          <w:bCs/>
          <w:snapToGrid w:val="0"/>
        </w:rPr>
        <w:t xml:space="preserve"> indicated the</w:t>
      </w:r>
      <w:r w:rsidR="00420DB4" w:rsidRPr="007B1CFD">
        <w:rPr>
          <w:rFonts w:asciiTheme="minorHAnsi" w:hAnsiTheme="minorHAnsi" w:cs="Arial"/>
          <w:bCs/>
          <w:snapToGrid w:val="0"/>
        </w:rPr>
        <w:t xml:space="preserve"> panel of </w:t>
      </w:r>
      <w:r w:rsidR="003F1562" w:rsidRPr="007B1CFD">
        <w:rPr>
          <w:rFonts w:asciiTheme="minorHAnsi" w:hAnsiTheme="minorHAnsi" w:cs="Arial"/>
          <w:bCs/>
          <w:snapToGrid w:val="0"/>
        </w:rPr>
        <w:t>known RF mutations</w:t>
      </w:r>
      <w:r w:rsidR="00A9103A" w:rsidRPr="007B1CFD">
        <w:rPr>
          <w:rFonts w:asciiTheme="minorHAnsi" w:hAnsiTheme="minorHAnsi" w:cs="Arial"/>
          <w:bCs/>
          <w:snapToGrid w:val="0"/>
        </w:rPr>
        <w:t xml:space="preserve"> is responsi</w:t>
      </w:r>
      <w:r w:rsidR="00BB3683">
        <w:rPr>
          <w:rFonts w:asciiTheme="minorHAnsi" w:hAnsiTheme="minorHAnsi" w:cs="Arial"/>
          <w:bCs/>
          <w:snapToGrid w:val="0"/>
        </w:rPr>
        <w:t>ve to tezacaftor/</w:t>
      </w:r>
      <w:r w:rsidR="003D20D3" w:rsidRPr="007B1CFD">
        <w:rPr>
          <w:rFonts w:asciiTheme="minorHAnsi" w:hAnsiTheme="minorHAnsi" w:cs="Arial"/>
          <w:bCs/>
          <w:snapToGrid w:val="0"/>
        </w:rPr>
        <w:t xml:space="preserve">ivacaftor, it </w:t>
      </w:r>
      <w:r w:rsidR="00A9103A" w:rsidRPr="007B1CFD">
        <w:rPr>
          <w:rFonts w:asciiTheme="minorHAnsi" w:hAnsiTheme="minorHAnsi" w:cs="Arial"/>
          <w:bCs/>
          <w:snapToGrid w:val="0"/>
        </w:rPr>
        <w:t>w</w:t>
      </w:r>
      <w:r w:rsidR="002D1669" w:rsidRPr="007B1CFD">
        <w:rPr>
          <w:rFonts w:asciiTheme="minorHAnsi" w:hAnsiTheme="minorHAnsi" w:cs="Arial"/>
          <w:bCs/>
          <w:snapToGrid w:val="0"/>
        </w:rPr>
        <w:t>as</w:t>
      </w:r>
      <w:r w:rsidR="00A9103A" w:rsidRPr="007B1CFD">
        <w:rPr>
          <w:rFonts w:asciiTheme="minorHAnsi" w:hAnsiTheme="minorHAnsi" w:cs="Arial"/>
          <w:bCs/>
          <w:snapToGrid w:val="0"/>
        </w:rPr>
        <w:t xml:space="preserve"> uncertain how these results would</w:t>
      </w:r>
      <w:r w:rsidR="002D1669" w:rsidRPr="007B1CFD">
        <w:rPr>
          <w:rFonts w:asciiTheme="minorHAnsi" w:hAnsiTheme="minorHAnsi" w:cs="Arial"/>
          <w:bCs/>
          <w:snapToGrid w:val="0"/>
        </w:rPr>
        <w:t xml:space="preserve"> translate to</w:t>
      </w:r>
      <w:r w:rsidR="005A0073" w:rsidRPr="007B1CFD">
        <w:rPr>
          <w:rFonts w:asciiTheme="minorHAnsi" w:hAnsiTheme="minorHAnsi" w:cs="Arial"/>
          <w:bCs/>
          <w:snapToGrid w:val="0"/>
        </w:rPr>
        <w:t xml:space="preserve"> </w:t>
      </w:r>
      <w:r w:rsidR="00BA7296" w:rsidRPr="007B1CFD">
        <w:rPr>
          <w:rFonts w:asciiTheme="minorHAnsi" w:hAnsiTheme="minorHAnsi" w:cs="Arial"/>
          <w:bCs/>
          <w:snapToGrid w:val="0"/>
        </w:rPr>
        <w:t xml:space="preserve">the likely </w:t>
      </w:r>
      <w:r w:rsidR="00A545FF" w:rsidRPr="007B1CFD">
        <w:rPr>
          <w:rFonts w:asciiTheme="minorHAnsi" w:hAnsiTheme="minorHAnsi" w:cs="Arial"/>
          <w:bCs/>
          <w:snapToGrid w:val="0"/>
        </w:rPr>
        <w:t xml:space="preserve">magnitude of </w:t>
      </w:r>
      <w:r w:rsidR="00BA7296" w:rsidRPr="007B1CFD">
        <w:rPr>
          <w:rFonts w:asciiTheme="minorHAnsi" w:hAnsiTheme="minorHAnsi" w:cs="Arial"/>
          <w:bCs/>
          <w:snapToGrid w:val="0"/>
        </w:rPr>
        <w:t xml:space="preserve">benefit for these patients </w:t>
      </w:r>
      <w:r w:rsidR="005A0073" w:rsidRPr="007B1CFD">
        <w:rPr>
          <w:rFonts w:asciiTheme="minorHAnsi" w:hAnsiTheme="minorHAnsi" w:cs="Arial"/>
          <w:bCs/>
          <w:snapToGrid w:val="0"/>
        </w:rPr>
        <w:t>in clinical practice.</w:t>
      </w:r>
      <w:r w:rsidR="00CF2096" w:rsidRPr="007B1CFD">
        <w:rPr>
          <w:rFonts w:asciiTheme="minorHAnsi" w:hAnsiTheme="minorHAnsi" w:cs="Arial"/>
          <w:bCs/>
          <w:snapToGrid w:val="0"/>
        </w:rPr>
        <w:t xml:space="preserve"> </w:t>
      </w:r>
      <w:r w:rsidR="008C13F3" w:rsidRPr="007B1CFD">
        <w:rPr>
          <w:rFonts w:asciiTheme="minorHAnsi" w:hAnsiTheme="minorHAnsi" w:cs="Arial"/>
          <w:bCs/>
          <w:snapToGrid w:val="0"/>
        </w:rPr>
        <w:t xml:space="preserve">The PBAC noted that there is considerable variation in chloride transport at baseline and change in chloride transport from baseline across the RF mutations based on the in vitro data presented. </w:t>
      </w:r>
      <w:r w:rsidR="00CF2096" w:rsidRPr="007B1CFD">
        <w:rPr>
          <w:rFonts w:asciiTheme="minorHAnsi" w:hAnsiTheme="minorHAnsi" w:cs="Arial"/>
          <w:bCs/>
          <w:snapToGrid w:val="0"/>
        </w:rPr>
        <w:t xml:space="preserve">The PBAC </w:t>
      </w:r>
      <w:r w:rsidR="00C905AE" w:rsidRPr="007B1CFD">
        <w:rPr>
          <w:rFonts w:asciiTheme="minorHAnsi" w:hAnsiTheme="minorHAnsi" w:cs="Arial"/>
          <w:bCs/>
          <w:snapToGrid w:val="0"/>
        </w:rPr>
        <w:t xml:space="preserve">noted that data from </w:t>
      </w:r>
      <w:r w:rsidR="00C905AE" w:rsidRPr="007B1CFD">
        <w:rPr>
          <w:rFonts w:asciiTheme="minorHAnsi" w:hAnsiTheme="minorHAnsi" w:cs="Arial"/>
          <w:bCs/>
          <w:snapToGrid w:val="0"/>
        </w:rPr>
        <w:lastRenderedPageBreak/>
        <w:t xml:space="preserve">the Italian Cystic Fibrosis Registry </w:t>
      </w:r>
      <w:r w:rsidR="00B01245" w:rsidRPr="007B1CFD">
        <w:rPr>
          <w:rFonts w:asciiTheme="minorHAnsi" w:hAnsiTheme="minorHAnsi" w:cs="Arial"/>
          <w:bCs/>
          <w:snapToGrid w:val="0"/>
        </w:rPr>
        <w:t xml:space="preserve">showed that </w:t>
      </w:r>
      <w:r w:rsidR="00CF5C2B" w:rsidRPr="007B1CFD">
        <w:rPr>
          <w:rFonts w:asciiTheme="minorHAnsi" w:hAnsiTheme="minorHAnsi" w:cs="Arial"/>
          <w:bCs/>
          <w:snapToGrid w:val="0"/>
        </w:rPr>
        <w:t xml:space="preserve">of the patients </w:t>
      </w:r>
      <w:r w:rsidR="001A5093" w:rsidRPr="007B1CFD">
        <w:rPr>
          <w:rFonts w:asciiTheme="minorHAnsi" w:hAnsiTheme="minorHAnsi" w:cs="Arial"/>
          <w:bCs/>
          <w:snapToGrid w:val="0"/>
        </w:rPr>
        <w:t>with</w:t>
      </w:r>
      <w:r w:rsidR="00CF5C2B" w:rsidRPr="007B1CFD">
        <w:rPr>
          <w:rFonts w:asciiTheme="minorHAnsi" w:hAnsiTheme="minorHAnsi" w:cs="Arial"/>
          <w:bCs/>
          <w:snapToGrid w:val="0"/>
        </w:rPr>
        <w:t xml:space="preserve"> an RF mutation, patients who also had an F508del mut</w:t>
      </w:r>
      <w:r w:rsidR="001A5093" w:rsidRPr="007B1CFD">
        <w:rPr>
          <w:rFonts w:asciiTheme="minorHAnsi" w:hAnsiTheme="minorHAnsi" w:cs="Arial"/>
          <w:bCs/>
          <w:snapToGrid w:val="0"/>
        </w:rPr>
        <w:t>ation have worse lung function</w:t>
      </w:r>
      <w:r w:rsidR="00557C46">
        <w:rPr>
          <w:rFonts w:asciiTheme="minorHAnsi" w:hAnsiTheme="minorHAnsi" w:cs="Arial"/>
          <w:bCs/>
          <w:snapToGrid w:val="0"/>
        </w:rPr>
        <w:t xml:space="preserve"> than those without</w:t>
      </w:r>
      <w:r w:rsidR="001A5093" w:rsidRPr="007B1CFD">
        <w:rPr>
          <w:rFonts w:asciiTheme="minorHAnsi" w:hAnsiTheme="minorHAnsi" w:cs="Arial"/>
          <w:bCs/>
          <w:snapToGrid w:val="0"/>
        </w:rPr>
        <w:t xml:space="preserve">. </w:t>
      </w:r>
      <w:r w:rsidR="00D53C44" w:rsidRPr="007B1CFD">
        <w:rPr>
          <w:rFonts w:asciiTheme="minorHAnsi" w:hAnsiTheme="minorHAnsi" w:cs="Arial"/>
          <w:bCs/>
          <w:snapToGrid w:val="0"/>
        </w:rPr>
        <w:t xml:space="preserve">The PBAC further noted </w:t>
      </w:r>
      <w:r w:rsidR="00A04E9A" w:rsidRPr="007B1CFD">
        <w:rPr>
          <w:rFonts w:asciiTheme="minorHAnsi" w:hAnsiTheme="minorHAnsi" w:cs="Arial"/>
          <w:bCs/>
          <w:snapToGrid w:val="0"/>
        </w:rPr>
        <w:t xml:space="preserve">there was considerable heterogeneity in lung function across patients with at least one RF mutation in the registry. Overall, the PBAC </w:t>
      </w:r>
      <w:r w:rsidR="001E2D66" w:rsidRPr="007B1CFD">
        <w:rPr>
          <w:rFonts w:asciiTheme="minorHAnsi" w:hAnsiTheme="minorHAnsi" w:cs="Arial"/>
          <w:bCs/>
          <w:snapToGrid w:val="0"/>
        </w:rPr>
        <w:t>considered the incremental benefit of</w:t>
      </w:r>
      <w:r w:rsidR="00BB3683">
        <w:rPr>
          <w:rFonts w:asciiTheme="minorHAnsi" w:hAnsiTheme="minorHAnsi" w:cs="Arial"/>
          <w:bCs/>
          <w:snapToGrid w:val="0"/>
        </w:rPr>
        <w:t xml:space="preserve"> treatment with tezacaftor/</w:t>
      </w:r>
      <w:r w:rsidR="001E2D66" w:rsidRPr="007B1CFD">
        <w:rPr>
          <w:rFonts w:asciiTheme="minorHAnsi" w:hAnsiTheme="minorHAnsi" w:cs="Arial"/>
          <w:bCs/>
          <w:snapToGrid w:val="0"/>
        </w:rPr>
        <w:t>ivacaftor</w:t>
      </w:r>
      <w:r w:rsidR="008A06B6">
        <w:rPr>
          <w:rFonts w:asciiTheme="minorHAnsi" w:hAnsiTheme="minorHAnsi" w:cs="Arial"/>
          <w:bCs/>
          <w:snapToGrid w:val="0"/>
        </w:rPr>
        <w:t xml:space="preserve"> compared with BSC</w:t>
      </w:r>
      <w:r w:rsidR="001E2D66" w:rsidRPr="007B1CFD">
        <w:rPr>
          <w:rFonts w:asciiTheme="minorHAnsi" w:hAnsiTheme="minorHAnsi" w:cs="Arial"/>
          <w:bCs/>
          <w:snapToGrid w:val="0"/>
        </w:rPr>
        <w:t xml:space="preserve"> </w:t>
      </w:r>
      <w:r w:rsidR="00D622D4" w:rsidRPr="007B1CFD">
        <w:rPr>
          <w:rFonts w:asciiTheme="minorHAnsi" w:hAnsiTheme="minorHAnsi" w:cs="Arial"/>
          <w:bCs/>
          <w:snapToGrid w:val="0"/>
        </w:rPr>
        <w:t>across all known RF mutations</w:t>
      </w:r>
      <w:r w:rsidR="001E2D66" w:rsidRPr="007B1CFD">
        <w:rPr>
          <w:rFonts w:asciiTheme="minorHAnsi" w:hAnsiTheme="minorHAnsi" w:cs="Arial"/>
          <w:bCs/>
          <w:snapToGrid w:val="0"/>
        </w:rPr>
        <w:t xml:space="preserve"> </w:t>
      </w:r>
      <w:r w:rsidR="008A06B6">
        <w:rPr>
          <w:rFonts w:asciiTheme="minorHAnsi" w:hAnsiTheme="minorHAnsi" w:cs="Arial"/>
          <w:bCs/>
          <w:snapToGrid w:val="0"/>
        </w:rPr>
        <w:t xml:space="preserve">in </w:t>
      </w:r>
      <w:r w:rsidR="001E2D66" w:rsidRPr="007B1CFD">
        <w:rPr>
          <w:rFonts w:asciiTheme="minorHAnsi" w:hAnsiTheme="minorHAnsi" w:cs="Arial"/>
          <w:bCs/>
          <w:snapToGrid w:val="0"/>
        </w:rPr>
        <w:t>this patient population is uncertain</w:t>
      </w:r>
      <w:r w:rsidR="00CD0789">
        <w:rPr>
          <w:rFonts w:asciiTheme="minorHAnsi" w:hAnsiTheme="minorHAnsi" w:cs="Arial"/>
          <w:bCs/>
          <w:snapToGrid w:val="0"/>
        </w:rPr>
        <w:t xml:space="preserve">. </w:t>
      </w:r>
    </w:p>
    <w:p w:rsidR="008A4A85" w:rsidRPr="007B1CFD" w:rsidRDefault="008A4A85" w:rsidP="008A4A85">
      <w:pPr>
        <w:widowControl w:val="0"/>
        <w:numPr>
          <w:ilvl w:val="1"/>
          <w:numId w:val="1"/>
        </w:numPr>
        <w:spacing w:after="120"/>
        <w:jc w:val="both"/>
        <w:rPr>
          <w:rFonts w:asciiTheme="minorHAnsi" w:hAnsiTheme="minorHAnsi" w:cs="Arial"/>
          <w:bCs/>
          <w:snapToGrid w:val="0"/>
        </w:rPr>
      </w:pPr>
      <w:r w:rsidRPr="007B1CFD">
        <w:rPr>
          <w:rFonts w:asciiTheme="minorHAnsi" w:hAnsiTheme="minorHAnsi" w:cs="Arial"/>
          <w:bCs/>
          <w:snapToGrid w:val="0"/>
        </w:rPr>
        <w:t xml:space="preserve">The PBAC recalled that in its March 2019 consideration of </w:t>
      </w:r>
      <w:r w:rsidR="004C2A97" w:rsidRPr="007B1CFD">
        <w:rPr>
          <w:rFonts w:asciiTheme="minorHAnsi" w:hAnsiTheme="minorHAnsi" w:cs="Arial"/>
          <w:bCs/>
          <w:snapToGrid w:val="0"/>
        </w:rPr>
        <w:t xml:space="preserve">the previous submission for </w:t>
      </w:r>
      <w:r w:rsidR="00BB3683">
        <w:rPr>
          <w:rFonts w:asciiTheme="minorHAnsi" w:hAnsiTheme="minorHAnsi" w:cs="Arial"/>
          <w:bCs/>
          <w:snapToGrid w:val="0"/>
        </w:rPr>
        <w:t>tezacaftor/</w:t>
      </w:r>
      <w:r w:rsidRPr="007B1CFD">
        <w:rPr>
          <w:rFonts w:asciiTheme="minorHAnsi" w:hAnsiTheme="minorHAnsi" w:cs="Arial"/>
          <w:bCs/>
          <w:snapToGrid w:val="0"/>
        </w:rPr>
        <w:t>ivacaftor</w:t>
      </w:r>
      <w:r w:rsidR="004C2A97" w:rsidRPr="007B1CFD">
        <w:rPr>
          <w:rFonts w:asciiTheme="minorHAnsi" w:hAnsiTheme="minorHAnsi" w:cs="Arial"/>
          <w:bCs/>
          <w:snapToGrid w:val="0"/>
        </w:rPr>
        <w:t xml:space="preserve"> for patients with at least one RF mutation</w:t>
      </w:r>
      <w:r w:rsidRPr="007B1CFD">
        <w:rPr>
          <w:rFonts w:asciiTheme="minorHAnsi" w:hAnsiTheme="minorHAnsi" w:cs="Arial"/>
          <w:bCs/>
          <w:snapToGrid w:val="0"/>
        </w:rPr>
        <w:t>, it pragmatically considered th</w:t>
      </w:r>
      <w:r w:rsidR="00BB3683">
        <w:rPr>
          <w:rFonts w:asciiTheme="minorHAnsi" w:hAnsiTheme="minorHAnsi" w:cs="Arial"/>
          <w:bCs/>
          <w:snapToGrid w:val="0"/>
        </w:rPr>
        <w:t>at the ICER for tezacaftor/</w:t>
      </w:r>
      <w:r w:rsidRPr="007B1CFD">
        <w:rPr>
          <w:rFonts w:asciiTheme="minorHAnsi" w:hAnsiTheme="minorHAnsi" w:cs="Arial"/>
          <w:bCs/>
          <w:snapToGrid w:val="0"/>
        </w:rPr>
        <w:t xml:space="preserve">ivacaftor </w:t>
      </w:r>
      <w:r w:rsidR="00830904" w:rsidRPr="007B1CFD">
        <w:rPr>
          <w:rFonts w:asciiTheme="minorHAnsi" w:hAnsiTheme="minorHAnsi" w:cs="Arial"/>
          <w:bCs/>
          <w:snapToGrid w:val="0"/>
        </w:rPr>
        <w:t>would likely be no higher than that for lumacaftor with ivacaftor for the F508del homozygous patient population i</w:t>
      </w:r>
      <w:r w:rsidR="00BB3683">
        <w:rPr>
          <w:rFonts w:asciiTheme="minorHAnsi" w:hAnsiTheme="minorHAnsi" w:cs="Arial"/>
          <w:bCs/>
          <w:snapToGrid w:val="0"/>
        </w:rPr>
        <w:t>f the price for tezacaftor/</w:t>
      </w:r>
      <w:r w:rsidR="00830904" w:rsidRPr="007B1CFD">
        <w:rPr>
          <w:rFonts w:asciiTheme="minorHAnsi" w:hAnsiTheme="minorHAnsi" w:cs="Arial"/>
          <w:bCs/>
          <w:snapToGrid w:val="0"/>
        </w:rPr>
        <w:t>ivacaftor was no higher than the price previously recommended for lumacaftor with ivacaftor</w:t>
      </w:r>
      <w:r w:rsidR="00B93D19" w:rsidRPr="007B1CFD">
        <w:rPr>
          <w:rFonts w:asciiTheme="minorHAnsi" w:hAnsiTheme="minorHAnsi" w:cs="Arial"/>
          <w:bCs/>
          <w:snapToGrid w:val="0"/>
        </w:rPr>
        <w:t xml:space="preserve"> ($</w:t>
      </w:r>
      <w:r w:rsidR="00F665E7">
        <w:rPr>
          <w:rFonts w:asciiTheme="minorHAnsi" w:hAnsiTheme="minorHAnsi" w:cs="Arial"/>
          <w:bCs/>
          <w:noProof/>
          <w:snapToGrid w:val="0"/>
          <w:color w:val="000000"/>
          <w:highlight w:val="black"/>
        </w:rPr>
        <w:t>''''''''''''</w:t>
      </w:r>
      <w:r w:rsidR="00B93D19" w:rsidRPr="007B1CFD">
        <w:rPr>
          <w:rFonts w:asciiTheme="minorHAnsi" w:hAnsiTheme="minorHAnsi" w:cs="Arial"/>
          <w:bCs/>
          <w:snapToGrid w:val="0"/>
        </w:rPr>
        <w:t xml:space="preserve"> per patient per year)</w:t>
      </w:r>
      <w:r w:rsidR="00830904" w:rsidRPr="007B1CFD">
        <w:rPr>
          <w:rFonts w:asciiTheme="minorHAnsi" w:hAnsiTheme="minorHAnsi" w:cs="Arial"/>
          <w:bCs/>
          <w:snapToGrid w:val="0"/>
        </w:rPr>
        <w:t xml:space="preserve">. The PBAC </w:t>
      </w:r>
      <w:r w:rsidR="00B93D19" w:rsidRPr="007B1CFD">
        <w:rPr>
          <w:rFonts w:asciiTheme="minorHAnsi" w:hAnsiTheme="minorHAnsi" w:cs="Arial"/>
          <w:bCs/>
          <w:snapToGrid w:val="0"/>
        </w:rPr>
        <w:t xml:space="preserve">noted that </w:t>
      </w:r>
      <w:r w:rsidR="004C2A97" w:rsidRPr="007B1CFD">
        <w:rPr>
          <w:rFonts w:asciiTheme="minorHAnsi" w:hAnsiTheme="minorHAnsi" w:cs="Arial"/>
          <w:bCs/>
          <w:snapToGrid w:val="0"/>
        </w:rPr>
        <w:t xml:space="preserve">this advice </w:t>
      </w:r>
      <w:r w:rsidR="00B93D19" w:rsidRPr="007B1CFD">
        <w:rPr>
          <w:rFonts w:asciiTheme="minorHAnsi" w:hAnsiTheme="minorHAnsi" w:cs="Arial"/>
          <w:bCs/>
          <w:snapToGrid w:val="0"/>
        </w:rPr>
        <w:t xml:space="preserve">was in the context of </w:t>
      </w:r>
      <w:r w:rsidR="004C2A97" w:rsidRPr="007B1CFD">
        <w:rPr>
          <w:rFonts w:asciiTheme="minorHAnsi" w:hAnsiTheme="minorHAnsi" w:cs="Arial"/>
          <w:bCs/>
          <w:snapToGrid w:val="0"/>
        </w:rPr>
        <w:t xml:space="preserve">the recommended population of patients who have one </w:t>
      </w:r>
      <w:r w:rsidR="00FE0A93" w:rsidRPr="007B1CFD">
        <w:rPr>
          <w:rFonts w:asciiTheme="minorHAnsi" w:hAnsiTheme="minorHAnsi" w:cs="Arial"/>
          <w:bCs/>
          <w:snapToGrid w:val="0"/>
        </w:rPr>
        <w:t xml:space="preserve">RF mutation </w:t>
      </w:r>
      <w:r w:rsidR="004C2A97" w:rsidRPr="007B1CFD">
        <w:rPr>
          <w:rFonts w:asciiTheme="minorHAnsi" w:hAnsiTheme="minorHAnsi" w:cs="Arial"/>
          <w:bCs/>
          <w:snapToGrid w:val="0"/>
        </w:rPr>
        <w:t xml:space="preserve">and </w:t>
      </w:r>
      <w:r w:rsidR="00FE0A93" w:rsidRPr="007B1CFD">
        <w:rPr>
          <w:rFonts w:asciiTheme="minorHAnsi" w:hAnsiTheme="minorHAnsi" w:cs="Arial"/>
          <w:bCs/>
          <w:snapToGrid w:val="0"/>
        </w:rPr>
        <w:t>one F508del mutation in the CFTR gene</w:t>
      </w:r>
      <w:r w:rsidR="004C2A97" w:rsidRPr="007B1CFD">
        <w:rPr>
          <w:rFonts w:asciiTheme="minorHAnsi" w:hAnsiTheme="minorHAnsi" w:cs="Arial"/>
          <w:bCs/>
          <w:snapToGrid w:val="0"/>
        </w:rPr>
        <w:t>,</w:t>
      </w:r>
      <w:r w:rsidR="003640B2" w:rsidRPr="007B1CFD">
        <w:rPr>
          <w:rFonts w:asciiTheme="minorHAnsi" w:hAnsiTheme="minorHAnsi" w:cs="Arial"/>
          <w:bCs/>
          <w:snapToGrid w:val="0"/>
        </w:rPr>
        <w:t xml:space="preserve"> in line with the population in Study 108</w:t>
      </w:r>
      <w:r w:rsidR="00B76017" w:rsidRPr="007B1CFD">
        <w:rPr>
          <w:rFonts w:asciiTheme="minorHAnsi" w:hAnsiTheme="minorHAnsi" w:cs="Arial"/>
          <w:bCs/>
          <w:snapToGrid w:val="0"/>
        </w:rPr>
        <w:t>. The PBAC considered that the cost-e</w:t>
      </w:r>
      <w:r w:rsidR="00BB3683">
        <w:rPr>
          <w:rFonts w:asciiTheme="minorHAnsi" w:hAnsiTheme="minorHAnsi" w:cs="Arial"/>
          <w:bCs/>
          <w:snapToGrid w:val="0"/>
        </w:rPr>
        <w:t>ffectiveness of tezacaftor/</w:t>
      </w:r>
      <w:r w:rsidR="00B76017" w:rsidRPr="007B1CFD">
        <w:rPr>
          <w:rFonts w:asciiTheme="minorHAnsi" w:hAnsiTheme="minorHAnsi" w:cs="Arial"/>
          <w:bCs/>
          <w:snapToGrid w:val="0"/>
        </w:rPr>
        <w:t xml:space="preserve">ivacaftor </w:t>
      </w:r>
      <w:r w:rsidR="004C2A97" w:rsidRPr="007B1CFD">
        <w:rPr>
          <w:rFonts w:asciiTheme="minorHAnsi" w:hAnsiTheme="minorHAnsi" w:cs="Arial"/>
          <w:bCs/>
          <w:snapToGrid w:val="0"/>
        </w:rPr>
        <w:t xml:space="preserve">compared with BSC </w:t>
      </w:r>
      <w:r w:rsidR="00B76017" w:rsidRPr="007B1CFD">
        <w:rPr>
          <w:rFonts w:asciiTheme="minorHAnsi" w:hAnsiTheme="minorHAnsi" w:cs="Arial"/>
          <w:bCs/>
          <w:snapToGrid w:val="0"/>
        </w:rPr>
        <w:t>in patients with one RF mutation without an F508del mutation is uncertain given the incremental benefit of treatment is uncertain</w:t>
      </w:r>
      <w:r w:rsidR="00CD0789">
        <w:rPr>
          <w:rFonts w:asciiTheme="minorHAnsi" w:hAnsiTheme="minorHAnsi" w:cs="Arial"/>
          <w:bCs/>
          <w:snapToGrid w:val="0"/>
        </w:rPr>
        <w:t xml:space="preserve">. </w:t>
      </w:r>
    </w:p>
    <w:p w:rsidR="007D353E" w:rsidRPr="007B1CFD" w:rsidRDefault="007D353E" w:rsidP="003C3314">
      <w:pPr>
        <w:pStyle w:val="Bodytextitalics"/>
        <w:jc w:val="both"/>
        <w:rPr>
          <w:rFonts w:eastAsia="Times New Roman" w:cs="Arial"/>
          <w:bCs/>
          <w:i w:val="0"/>
          <w:snapToGrid w:val="0"/>
          <w:szCs w:val="24"/>
        </w:rPr>
      </w:pPr>
      <w:r w:rsidRPr="007B1CFD">
        <w:rPr>
          <w:rFonts w:eastAsia="Times New Roman" w:cs="Arial"/>
          <w:bCs/>
          <w:i w:val="0"/>
          <w:snapToGrid w:val="0"/>
          <w:szCs w:val="24"/>
        </w:rPr>
        <w:t xml:space="preserve">The PBAC noted that </w:t>
      </w:r>
      <w:r w:rsidR="004A3E27" w:rsidRPr="007B1CFD">
        <w:rPr>
          <w:rFonts w:eastAsia="Times New Roman" w:cs="Arial"/>
          <w:bCs/>
          <w:i w:val="0"/>
          <w:snapToGrid w:val="0"/>
          <w:szCs w:val="24"/>
        </w:rPr>
        <w:t xml:space="preserve">the resubmission claimed there are currently around </w:t>
      </w:r>
      <w:r w:rsidR="004A3E27" w:rsidRPr="00CD0789">
        <w:rPr>
          <w:i w:val="0"/>
          <w:szCs w:val="24"/>
        </w:rPr>
        <w:t xml:space="preserve">10-15 CF </w:t>
      </w:r>
      <w:r w:rsidR="004A3E27" w:rsidRPr="004616DB">
        <w:rPr>
          <w:i w:val="0"/>
          <w:szCs w:val="24"/>
        </w:rPr>
        <w:t>patients who have an RF mutation without an F508del mutation, based on consultations with Australian CF directors. The PBAC recalled that</w:t>
      </w:r>
      <w:r w:rsidR="004A3E27" w:rsidRPr="007B1CFD" w:rsidDel="004A3E27">
        <w:rPr>
          <w:rFonts w:eastAsia="Times New Roman" w:cs="Arial"/>
          <w:bCs/>
          <w:i w:val="0"/>
          <w:snapToGrid w:val="0"/>
          <w:szCs w:val="24"/>
        </w:rPr>
        <w:t xml:space="preserve"> </w:t>
      </w:r>
      <w:r w:rsidRPr="007B1CFD">
        <w:rPr>
          <w:rFonts w:eastAsia="Times New Roman" w:cs="Arial"/>
          <w:bCs/>
          <w:i w:val="0"/>
          <w:snapToGrid w:val="0"/>
          <w:szCs w:val="24"/>
        </w:rPr>
        <w:t xml:space="preserve">the estimated use and financial implications for all CF patients with at least one RF mutation were presented in the March 2019 submission. </w:t>
      </w:r>
    </w:p>
    <w:p w:rsidR="00125592" w:rsidRDefault="00467039" w:rsidP="00815BFA">
      <w:pPr>
        <w:widowControl w:val="0"/>
        <w:numPr>
          <w:ilvl w:val="1"/>
          <w:numId w:val="1"/>
        </w:numPr>
        <w:spacing w:after="120"/>
        <w:jc w:val="both"/>
        <w:rPr>
          <w:rFonts w:asciiTheme="minorHAnsi" w:hAnsiTheme="minorHAnsi" w:cs="Arial"/>
          <w:bCs/>
          <w:snapToGrid w:val="0"/>
        </w:rPr>
      </w:pPr>
      <w:r w:rsidRPr="007B1CFD">
        <w:rPr>
          <w:rFonts w:asciiTheme="minorHAnsi" w:hAnsiTheme="minorHAnsi" w:cs="Arial"/>
          <w:bCs/>
          <w:snapToGrid w:val="0"/>
        </w:rPr>
        <w:t xml:space="preserve">The PBAC advised that </w:t>
      </w:r>
      <w:r w:rsidR="00F10705" w:rsidRPr="007B1CFD">
        <w:rPr>
          <w:rFonts w:asciiTheme="minorHAnsi" w:hAnsiTheme="minorHAnsi" w:cs="Arial"/>
          <w:bCs/>
          <w:snapToGrid w:val="0"/>
        </w:rPr>
        <w:t>the</w:t>
      </w:r>
      <w:r w:rsidR="00A47397" w:rsidRPr="007B1CFD">
        <w:rPr>
          <w:rFonts w:asciiTheme="minorHAnsi" w:hAnsiTheme="minorHAnsi" w:cs="Arial"/>
          <w:bCs/>
          <w:snapToGrid w:val="0"/>
        </w:rPr>
        <w:t xml:space="preserve"> additional</w:t>
      </w:r>
      <w:r w:rsidR="00F10705" w:rsidRPr="007B1CFD">
        <w:rPr>
          <w:rFonts w:asciiTheme="minorHAnsi" w:hAnsiTheme="minorHAnsi" w:cs="Arial"/>
          <w:bCs/>
          <w:snapToGrid w:val="0"/>
        </w:rPr>
        <w:t xml:space="preserve"> </w:t>
      </w:r>
      <w:r w:rsidR="00125592" w:rsidRPr="007B1CFD">
        <w:rPr>
          <w:rFonts w:asciiTheme="minorHAnsi" w:hAnsiTheme="minorHAnsi" w:cs="Arial"/>
          <w:bCs/>
          <w:snapToGrid w:val="0"/>
        </w:rPr>
        <w:t xml:space="preserve">patients with an RF mutation without an </w:t>
      </w:r>
      <w:r w:rsidR="00815BFA" w:rsidRPr="007B1CFD">
        <w:rPr>
          <w:rFonts w:asciiTheme="minorHAnsi" w:hAnsiTheme="minorHAnsi" w:cs="Arial"/>
          <w:bCs/>
          <w:snapToGrid w:val="0"/>
        </w:rPr>
        <w:t xml:space="preserve">F508del </w:t>
      </w:r>
      <w:r w:rsidR="00125592" w:rsidRPr="007B1CFD">
        <w:rPr>
          <w:rFonts w:asciiTheme="minorHAnsi" w:hAnsiTheme="minorHAnsi" w:cs="Arial"/>
          <w:bCs/>
          <w:snapToGrid w:val="0"/>
        </w:rPr>
        <w:t>mutation</w:t>
      </w:r>
      <w:r w:rsidR="00F10705" w:rsidRPr="007B1CFD">
        <w:rPr>
          <w:rFonts w:asciiTheme="minorHAnsi" w:hAnsiTheme="minorHAnsi" w:cs="Arial"/>
          <w:bCs/>
          <w:snapToGrid w:val="0"/>
        </w:rPr>
        <w:t xml:space="preserve"> to be</w:t>
      </w:r>
      <w:r w:rsidR="00815BFA" w:rsidRPr="007B1CFD">
        <w:rPr>
          <w:rFonts w:asciiTheme="minorHAnsi" w:hAnsiTheme="minorHAnsi" w:cs="Arial"/>
          <w:bCs/>
          <w:snapToGrid w:val="0"/>
        </w:rPr>
        <w:t xml:space="preserve"> treated</w:t>
      </w:r>
      <w:r w:rsidR="00BB3683">
        <w:rPr>
          <w:rFonts w:asciiTheme="minorHAnsi" w:hAnsiTheme="minorHAnsi" w:cs="Arial"/>
          <w:bCs/>
          <w:snapToGrid w:val="0"/>
        </w:rPr>
        <w:t xml:space="preserve"> with tezacaftor/</w:t>
      </w:r>
      <w:r w:rsidR="00F10705" w:rsidRPr="007B1CFD">
        <w:rPr>
          <w:rFonts w:asciiTheme="minorHAnsi" w:hAnsiTheme="minorHAnsi" w:cs="Arial"/>
          <w:bCs/>
          <w:snapToGrid w:val="0"/>
        </w:rPr>
        <w:t>ivacaftor</w:t>
      </w:r>
      <w:r w:rsidR="00125592" w:rsidRPr="007B1CFD">
        <w:rPr>
          <w:rFonts w:asciiTheme="minorHAnsi" w:hAnsiTheme="minorHAnsi" w:cs="Arial"/>
          <w:bCs/>
          <w:snapToGrid w:val="0"/>
        </w:rPr>
        <w:t xml:space="preserve"> should be included under the current RSA for lumacaftor with ivacaftor </w:t>
      </w:r>
      <w:r w:rsidR="00BB3683">
        <w:rPr>
          <w:rFonts w:asciiTheme="minorHAnsi" w:hAnsiTheme="minorHAnsi" w:cs="Arial"/>
          <w:bCs/>
          <w:snapToGrid w:val="0"/>
        </w:rPr>
        <w:t>and tezacaftor/</w:t>
      </w:r>
      <w:r w:rsidR="008B4A92" w:rsidRPr="007B1CFD">
        <w:rPr>
          <w:rFonts w:asciiTheme="minorHAnsi" w:hAnsiTheme="minorHAnsi" w:cs="Arial"/>
          <w:bCs/>
          <w:snapToGrid w:val="0"/>
        </w:rPr>
        <w:t xml:space="preserve">ivacaftor </w:t>
      </w:r>
      <w:r w:rsidR="00125592" w:rsidRPr="007B1CFD">
        <w:rPr>
          <w:rFonts w:asciiTheme="minorHAnsi" w:hAnsiTheme="minorHAnsi" w:cs="Arial"/>
          <w:bCs/>
          <w:snapToGrid w:val="0"/>
        </w:rPr>
        <w:t xml:space="preserve">without any increase to the subsidisation caps, such that the listing will not result in any additional cost to Government. </w:t>
      </w:r>
    </w:p>
    <w:p w:rsidR="00C05752" w:rsidRDefault="00881B84" w:rsidP="00815BFA">
      <w:pPr>
        <w:widowControl w:val="0"/>
        <w:numPr>
          <w:ilvl w:val="1"/>
          <w:numId w:val="1"/>
        </w:numPr>
        <w:spacing w:after="120"/>
        <w:jc w:val="both"/>
        <w:rPr>
          <w:rFonts w:asciiTheme="minorHAnsi" w:hAnsiTheme="minorHAnsi" w:cs="Arial"/>
          <w:bCs/>
          <w:snapToGrid w:val="0"/>
        </w:rPr>
      </w:pPr>
      <w:r>
        <w:rPr>
          <w:rFonts w:asciiTheme="minorHAnsi" w:hAnsiTheme="minorHAnsi" w:cs="Arial"/>
          <w:bCs/>
          <w:snapToGrid w:val="0"/>
        </w:rPr>
        <w:t xml:space="preserve">The PBAC considered that the restriction should restrict the collection of </w:t>
      </w:r>
      <w:r w:rsidRPr="00881B84">
        <w:rPr>
          <w:rFonts w:asciiTheme="minorHAnsi" w:hAnsiTheme="minorHAnsi" w:cs="Arial"/>
          <w:bCs/>
          <w:snapToGrid w:val="0"/>
        </w:rPr>
        <w:t>FEV</w:t>
      </w:r>
      <w:r w:rsidRPr="00881B84">
        <w:rPr>
          <w:rFonts w:asciiTheme="minorHAnsi" w:hAnsiTheme="minorHAnsi" w:cs="Arial"/>
          <w:bCs/>
          <w:snapToGrid w:val="0"/>
          <w:vertAlign w:val="subscript"/>
        </w:rPr>
        <w:t>1</w:t>
      </w:r>
      <w:r>
        <w:rPr>
          <w:rFonts w:asciiTheme="minorHAnsi" w:hAnsiTheme="minorHAnsi" w:cs="Arial"/>
          <w:bCs/>
          <w:snapToGrid w:val="0"/>
        </w:rPr>
        <w:t xml:space="preserve"> measurements to accredited pulmonary functional laboratories as the reliability of </w:t>
      </w:r>
      <w:r w:rsidRPr="00881B84">
        <w:rPr>
          <w:rFonts w:asciiTheme="minorHAnsi" w:hAnsiTheme="minorHAnsi" w:cs="Arial"/>
          <w:bCs/>
          <w:snapToGrid w:val="0"/>
        </w:rPr>
        <w:t>FEV</w:t>
      </w:r>
      <w:r w:rsidRPr="00881B84">
        <w:rPr>
          <w:rFonts w:asciiTheme="minorHAnsi" w:hAnsiTheme="minorHAnsi" w:cs="Arial"/>
          <w:bCs/>
          <w:snapToGrid w:val="0"/>
          <w:vertAlign w:val="subscript"/>
        </w:rPr>
        <w:t>1</w:t>
      </w:r>
      <w:r w:rsidRPr="00881B84">
        <w:rPr>
          <w:rFonts w:asciiTheme="minorHAnsi" w:hAnsiTheme="minorHAnsi" w:cs="Arial"/>
          <w:bCs/>
          <w:snapToGrid w:val="0"/>
        </w:rPr>
        <w:t xml:space="preserve"> </w:t>
      </w:r>
      <w:r>
        <w:rPr>
          <w:rFonts w:asciiTheme="minorHAnsi" w:hAnsiTheme="minorHAnsi" w:cs="Arial"/>
          <w:bCs/>
          <w:snapToGrid w:val="0"/>
        </w:rPr>
        <w:t xml:space="preserve">measurements outside accredited laboratories may vary. </w:t>
      </w:r>
    </w:p>
    <w:p w:rsidR="00881B84" w:rsidRPr="007B1CFD" w:rsidRDefault="00D56C16" w:rsidP="00815BFA">
      <w:pPr>
        <w:widowControl w:val="0"/>
        <w:numPr>
          <w:ilvl w:val="1"/>
          <w:numId w:val="1"/>
        </w:numPr>
        <w:spacing w:after="120"/>
        <w:jc w:val="both"/>
        <w:rPr>
          <w:rFonts w:asciiTheme="minorHAnsi" w:hAnsiTheme="minorHAnsi" w:cs="Arial"/>
          <w:bCs/>
          <w:snapToGrid w:val="0"/>
        </w:rPr>
      </w:pPr>
      <w:r>
        <w:rPr>
          <w:rFonts w:asciiTheme="minorHAnsi" w:hAnsiTheme="minorHAnsi" w:cs="Arial"/>
          <w:bCs/>
          <w:snapToGrid w:val="0"/>
        </w:rPr>
        <w:t xml:space="preserve">The </w:t>
      </w:r>
      <w:r w:rsidR="00CC107C">
        <w:rPr>
          <w:rFonts w:asciiTheme="minorHAnsi" w:hAnsiTheme="minorHAnsi" w:cs="Arial"/>
          <w:bCs/>
          <w:snapToGrid w:val="0"/>
        </w:rPr>
        <w:t xml:space="preserve">PBAC noted the request in the pre-PBAC response for the restriction level for continuing treatment to be made a telephone authority. However, the PBAC considered that the restriction levels for tezacaftor/ivacaftor should be consistent with those for the current lumacaftor/ivacaftor listings. As such, the </w:t>
      </w:r>
      <w:r w:rsidR="00C83BBA">
        <w:rPr>
          <w:rFonts w:asciiTheme="minorHAnsi" w:hAnsiTheme="minorHAnsi" w:cs="Arial"/>
          <w:bCs/>
          <w:snapToGrid w:val="0"/>
        </w:rPr>
        <w:t>PBAC considered</w:t>
      </w:r>
      <w:r w:rsidR="00CC107C">
        <w:rPr>
          <w:rFonts w:asciiTheme="minorHAnsi" w:hAnsiTheme="minorHAnsi" w:cs="Arial"/>
          <w:bCs/>
          <w:snapToGrid w:val="0"/>
        </w:rPr>
        <w:t xml:space="preserve"> it would be appropriate that the restriction level for continuing treatment of tezacaftor/</w:t>
      </w:r>
      <w:r w:rsidR="00C83BBA">
        <w:rPr>
          <w:rFonts w:asciiTheme="minorHAnsi" w:hAnsiTheme="minorHAnsi" w:cs="Arial"/>
          <w:bCs/>
          <w:snapToGrid w:val="0"/>
        </w:rPr>
        <w:t>ivacaftor be</w:t>
      </w:r>
      <w:r w:rsidR="00CC107C">
        <w:rPr>
          <w:rFonts w:asciiTheme="minorHAnsi" w:hAnsiTheme="minorHAnsi" w:cs="Arial"/>
          <w:bCs/>
          <w:snapToGrid w:val="0"/>
        </w:rPr>
        <w:t xml:space="preserve"> written authority. </w:t>
      </w:r>
      <w:r w:rsidR="00881B84">
        <w:rPr>
          <w:rFonts w:asciiTheme="minorHAnsi" w:hAnsiTheme="minorHAnsi" w:cs="Arial"/>
          <w:bCs/>
          <w:snapToGrid w:val="0"/>
        </w:rPr>
        <w:t xml:space="preserve"> </w:t>
      </w:r>
    </w:p>
    <w:p w:rsidR="0056503A" w:rsidRPr="007B1CFD" w:rsidRDefault="0056503A" w:rsidP="00661F2B">
      <w:pPr>
        <w:widowControl w:val="0"/>
        <w:numPr>
          <w:ilvl w:val="1"/>
          <w:numId w:val="1"/>
        </w:numPr>
        <w:spacing w:after="120"/>
        <w:jc w:val="both"/>
        <w:rPr>
          <w:rFonts w:asciiTheme="minorHAnsi" w:hAnsiTheme="minorHAnsi" w:cs="Arial"/>
          <w:bCs/>
          <w:snapToGrid w:val="0"/>
        </w:rPr>
      </w:pPr>
      <w:r w:rsidRPr="007B1CFD">
        <w:rPr>
          <w:rFonts w:asciiTheme="minorHAnsi" w:hAnsiTheme="minorHAnsi" w:cs="Arial"/>
          <w:bCs/>
          <w:snapToGrid w:val="0"/>
        </w:rPr>
        <w:t>The PBAC previous</w:t>
      </w:r>
      <w:r w:rsidR="00BB3683">
        <w:rPr>
          <w:rFonts w:asciiTheme="minorHAnsi" w:hAnsiTheme="minorHAnsi" w:cs="Arial"/>
          <w:bCs/>
          <w:snapToGrid w:val="0"/>
        </w:rPr>
        <w:t>ly advised that tezacaftor/</w:t>
      </w:r>
      <w:r w:rsidRPr="007B1CFD">
        <w:rPr>
          <w:rFonts w:asciiTheme="minorHAnsi" w:hAnsiTheme="minorHAnsi" w:cs="Arial"/>
          <w:bCs/>
          <w:snapToGrid w:val="0"/>
        </w:rPr>
        <w:t xml:space="preserve">ivacaftor is not suitable for prescribing by nurse practitioners. </w:t>
      </w:r>
    </w:p>
    <w:p w:rsidR="0056503A" w:rsidRPr="007B1CFD" w:rsidRDefault="0056503A" w:rsidP="00661F2B">
      <w:pPr>
        <w:widowControl w:val="0"/>
        <w:numPr>
          <w:ilvl w:val="1"/>
          <w:numId w:val="1"/>
        </w:numPr>
        <w:spacing w:after="120"/>
        <w:jc w:val="both"/>
        <w:rPr>
          <w:rFonts w:asciiTheme="minorHAnsi" w:hAnsiTheme="minorHAnsi" w:cs="Arial"/>
          <w:bCs/>
          <w:snapToGrid w:val="0"/>
        </w:rPr>
      </w:pPr>
      <w:r w:rsidRPr="007B1CFD">
        <w:rPr>
          <w:rFonts w:asciiTheme="minorHAnsi" w:hAnsiTheme="minorHAnsi" w:cs="Arial"/>
          <w:bCs/>
          <w:snapToGrid w:val="0"/>
        </w:rPr>
        <w:lastRenderedPageBreak/>
        <w:t>The PBA</w:t>
      </w:r>
      <w:r w:rsidR="000A2C78" w:rsidRPr="007B1CFD">
        <w:rPr>
          <w:rFonts w:asciiTheme="minorHAnsi" w:hAnsiTheme="minorHAnsi" w:cs="Arial"/>
          <w:bCs/>
          <w:snapToGrid w:val="0"/>
        </w:rPr>
        <w:t>C</w:t>
      </w:r>
      <w:r w:rsidRPr="007B1CFD">
        <w:rPr>
          <w:rFonts w:asciiTheme="minorHAnsi" w:hAnsiTheme="minorHAnsi" w:cs="Arial"/>
          <w:bCs/>
          <w:snapToGrid w:val="0"/>
        </w:rPr>
        <w:t xml:space="preserve"> previously recommended that the Early Supply Rule should apply</w:t>
      </w:r>
    </w:p>
    <w:p w:rsidR="0056503A" w:rsidRPr="007B1CFD" w:rsidRDefault="0056503A" w:rsidP="00661F2B">
      <w:pPr>
        <w:widowControl w:val="0"/>
        <w:numPr>
          <w:ilvl w:val="1"/>
          <w:numId w:val="1"/>
        </w:numPr>
        <w:spacing w:after="120"/>
        <w:jc w:val="both"/>
        <w:rPr>
          <w:rFonts w:asciiTheme="minorHAnsi" w:hAnsiTheme="minorHAnsi" w:cs="Arial"/>
          <w:bCs/>
          <w:snapToGrid w:val="0"/>
        </w:rPr>
      </w:pPr>
      <w:r w:rsidRPr="007B1CFD">
        <w:rPr>
          <w:rFonts w:asciiTheme="minorHAnsi" w:hAnsiTheme="minorHAnsi" w:cs="Arial"/>
          <w:bCs/>
          <w:snapToGrid w:val="0"/>
        </w:rPr>
        <w:t xml:space="preserve">The PBAC noted the submission is not eligible for an Independent Review, because the PBAC has made a positive recommendation. </w:t>
      </w:r>
    </w:p>
    <w:p w:rsidR="00661F2B" w:rsidRPr="007B1CFD" w:rsidRDefault="00661F2B" w:rsidP="00661F2B">
      <w:pPr>
        <w:spacing w:before="240"/>
        <w:jc w:val="both"/>
        <w:rPr>
          <w:rFonts w:asciiTheme="minorHAnsi" w:hAnsiTheme="minorHAnsi" w:cs="Arial"/>
          <w:b/>
          <w:bCs/>
          <w:snapToGrid w:val="0"/>
        </w:rPr>
      </w:pPr>
      <w:r w:rsidRPr="007B1CFD">
        <w:rPr>
          <w:rFonts w:asciiTheme="minorHAnsi" w:hAnsiTheme="minorHAnsi" w:cs="Arial"/>
          <w:b/>
          <w:bCs/>
          <w:snapToGrid w:val="0"/>
        </w:rPr>
        <w:t>Outcome:</w:t>
      </w:r>
    </w:p>
    <w:p w:rsidR="00661F2B" w:rsidRPr="008361A3" w:rsidRDefault="00661F2B" w:rsidP="008361A3">
      <w:pPr>
        <w:jc w:val="both"/>
        <w:rPr>
          <w:rFonts w:asciiTheme="minorHAnsi" w:hAnsiTheme="minorHAnsi" w:cs="Arial"/>
          <w:bCs/>
          <w:snapToGrid w:val="0"/>
        </w:rPr>
      </w:pPr>
      <w:r w:rsidRPr="007B1CFD">
        <w:rPr>
          <w:rFonts w:asciiTheme="minorHAnsi" w:hAnsiTheme="minorHAnsi" w:cs="Arial"/>
          <w:bCs/>
          <w:snapToGrid w:val="0"/>
        </w:rPr>
        <w:t xml:space="preserve">Recommended </w:t>
      </w:r>
    </w:p>
    <w:p w:rsidR="00661F2B" w:rsidRPr="00CD0789" w:rsidRDefault="00661F2B" w:rsidP="00661F2B">
      <w:pPr>
        <w:pStyle w:val="2Sections"/>
      </w:pPr>
      <w:r w:rsidRPr="00CD0789">
        <w:t xml:space="preserve">Recommended listing </w:t>
      </w:r>
    </w:p>
    <w:p w:rsidR="00AE5CD0" w:rsidRPr="00CD0789" w:rsidRDefault="00AE5CD0" w:rsidP="00AE5CD0">
      <w:pPr>
        <w:pStyle w:val="Bodytextitalics"/>
        <w:rPr>
          <w:b/>
          <w:i w:val="0"/>
          <w:snapToGrid w:val="0"/>
        </w:rPr>
      </w:pPr>
      <w:r w:rsidRPr="004616DB">
        <w:rPr>
          <w:rFonts w:cs="Arial"/>
          <w:bCs/>
          <w:i w:val="0"/>
          <w:snapToGrid w:val="0"/>
        </w:rPr>
        <w:t xml:space="preserve">Amend </w:t>
      </w:r>
      <w:r w:rsidR="005A44CE" w:rsidRPr="004616DB">
        <w:rPr>
          <w:rFonts w:cs="Arial"/>
          <w:bCs/>
          <w:i w:val="0"/>
          <w:snapToGrid w:val="0"/>
        </w:rPr>
        <w:t>recommended</w:t>
      </w:r>
      <w:r w:rsidRPr="00CD0789">
        <w:rPr>
          <w:rFonts w:cs="Arial"/>
          <w:bCs/>
          <w:i w:val="0"/>
          <w:snapToGrid w:val="0"/>
        </w:rPr>
        <w:t xml:space="preserve"> listing as follows:</w:t>
      </w:r>
    </w:p>
    <w:tbl>
      <w:tblPr>
        <w:tblW w:w="9214" w:type="dxa"/>
        <w:tblLayout w:type="fixed"/>
        <w:tblLook w:val="0000" w:firstRow="0" w:lastRow="0" w:firstColumn="0" w:lastColumn="0" w:noHBand="0" w:noVBand="0"/>
      </w:tblPr>
      <w:tblGrid>
        <w:gridCol w:w="2410"/>
        <w:gridCol w:w="1559"/>
        <w:gridCol w:w="851"/>
        <w:gridCol w:w="992"/>
        <w:gridCol w:w="1985"/>
        <w:gridCol w:w="1417"/>
      </w:tblGrid>
      <w:tr w:rsidR="009830ED" w:rsidRPr="00CD0789" w:rsidTr="003B7CF0">
        <w:trPr>
          <w:cantSplit/>
          <w:trHeight w:val="471"/>
        </w:trPr>
        <w:tc>
          <w:tcPr>
            <w:tcW w:w="3969" w:type="dxa"/>
            <w:gridSpan w:val="2"/>
            <w:tcBorders>
              <w:bottom w:val="single" w:sz="4" w:space="0" w:color="auto"/>
            </w:tcBorders>
          </w:tcPr>
          <w:p w:rsidR="009830ED" w:rsidRPr="00CD0789" w:rsidRDefault="009830ED" w:rsidP="003B7CF0">
            <w:pPr>
              <w:keepNext/>
              <w:ind w:left="-108"/>
              <w:jc w:val="both"/>
              <w:rPr>
                <w:rFonts w:ascii="Arial Narrow" w:hAnsi="Arial Narrow" w:cs="Arial"/>
                <w:sz w:val="20"/>
                <w:szCs w:val="20"/>
              </w:rPr>
            </w:pPr>
            <w:r w:rsidRPr="00CD0789">
              <w:rPr>
                <w:rFonts w:ascii="Arial Narrow" w:hAnsi="Arial Narrow" w:cs="Arial"/>
                <w:sz w:val="20"/>
                <w:szCs w:val="20"/>
              </w:rPr>
              <w:t>Name, Restriction,</w:t>
            </w:r>
          </w:p>
          <w:p w:rsidR="009830ED" w:rsidRPr="00CD0789" w:rsidRDefault="009830ED" w:rsidP="003B7CF0">
            <w:pPr>
              <w:keepNext/>
              <w:ind w:left="-108"/>
              <w:jc w:val="both"/>
              <w:rPr>
                <w:rFonts w:ascii="Arial Narrow" w:hAnsi="Arial Narrow" w:cs="Arial"/>
                <w:sz w:val="20"/>
                <w:szCs w:val="20"/>
              </w:rPr>
            </w:pPr>
            <w:r w:rsidRPr="00CD0789">
              <w:rPr>
                <w:rFonts w:ascii="Arial Narrow" w:hAnsi="Arial Narrow" w:cs="Arial"/>
                <w:sz w:val="20"/>
                <w:szCs w:val="20"/>
              </w:rPr>
              <w:t>Manner of administration and form</w:t>
            </w:r>
          </w:p>
        </w:tc>
        <w:tc>
          <w:tcPr>
            <w:tcW w:w="851" w:type="dxa"/>
            <w:tcBorders>
              <w:bottom w:val="single" w:sz="4" w:space="0" w:color="auto"/>
            </w:tcBorders>
          </w:tcPr>
          <w:p w:rsidR="009830ED" w:rsidRPr="00CD0789" w:rsidRDefault="009830ED" w:rsidP="003B7CF0">
            <w:pPr>
              <w:keepNext/>
              <w:ind w:left="-108"/>
              <w:jc w:val="both"/>
              <w:rPr>
                <w:rFonts w:ascii="Arial Narrow" w:hAnsi="Arial Narrow" w:cs="Arial"/>
                <w:sz w:val="20"/>
                <w:szCs w:val="20"/>
              </w:rPr>
            </w:pPr>
            <w:r w:rsidRPr="00CD0789">
              <w:rPr>
                <w:rFonts w:ascii="Arial Narrow" w:hAnsi="Arial Narrow" w:cs="Arial"/>
                <w:sz w:val="20"/>
                <w:szCs w:val="20"/>
              </w:rPr>
              <w:t>Max.</w:t>
            </w:r>
          </w:p>
          <w:p w:rsidR="009830ED" w:rsidRPr="00CD0789" w:rsidRDefault="009830ED" w:rsidP="003B7CF0">
            <w:pPr>
              <w:keepNext/>
              <w:ind w:left="-108"/>
              <w:jc w:val="both"/>
              <w:rPr>
                <w:rFonts w:ascii="Arial Narrow" w:hAnsi="Arial Narrow" w:cs="Arial"/>
                <w:sz w:val="20"/>
                <w:szCs w:val="20"/>
              </w:rPr>
            </w:pPr>
            <w:r w:rsidRPr="00CD0789">
              <w:rPr>
                <w:rFonts w:ascii="Arial Narrow" w:hAnsi="Arial Narrow" w:cs="Arial"/>
                <w:sz w:val="20"/>
                <w:szCs w:val="20"/>
              </w:rPr>
              <w:t>Qty</w:t>
            </w:r>
          </w:p>
        </w:tc>
        <w:tc>
          <w:tcPr>
            <w:tcW w:w="992" w:type="dxa"/>
            <w:tcBorders>
              <w:bottom w:val="single" w:sz="4" w:space="0" w:color="auto"/>
            </w:tcBorders>
          </w:tcPr>
          <w:p w:rsidR="009830ED" w:rsidRPr="00CD0789" w:rsidRDefault="009830ED" w:rsidP="003B7CF0">
            <w:pPr>
              <w:keepNext/>
              <w:ind w:left="-108"/>
              <w:jc w:val="both"/>
              <w:rPr>
                <w:rFonts w:ascii="Arial Narrow" w:hAnsi="Arial Narrow" w:cs="Arial"/>
                <w:sz w:val="20"/>
                <w:szCs w:val="20"/>
              </w:rPr>
            </w:pPr>
            <w:r w:rsidRPr="00CD0789">
              <w:rPr>
                <w:rFonts w:ascii="Arial Narrow" w:hAnsi="Arial Narrow" w:cs="Arial"/>
                <w:sz w:val="20"/>
                <w:szCs w:val="20"/>
              </w:rPr>
              <w:t>№.of</w:t>
            </w:r>
          </w:p>
          <w:p w:rsidR="009830ED" w:rsidRPr="00CD0789" w:rsidRDefault="009830ED" w:rsidP="003B7CF0">
            <w:pPr>
              <w:keepNext/>
              <w:ind w:left="-108"/>
              <w:jc w:val="both"/>
              <w:rPr>
                <w:rFonts w:ascii="Arial Narrow" w:hAnsi="Arial Narrow" w:cs="Arial"/>
                <w:sz w:val="20"/>
                <w:szCs w:val="20"/>
              </w:rPr>
            </w:pPr>
            <w:r w:rsidRPr="00CD0789">
              <w:rPr>
                <w:rFonts w:ascii="Arial Narrow" w:hAnsi="Arial Narrow" w:cs="Arial"/>
                <w:sz w:val="20"/>
                <w:szCs w:val="20"/>
              </w:rPr>
              <w:t>Rpts</w:t>
            </w:r>
          </w:p>
        </w:tc>
        <w:tc>
          <w:tcPr>
            <w:tcW w:w="3402" w:type="dxa"/>
            <w:gridSpan w:val="2"/>
            <w:tcBorders>
              <w:left w:val="nil"/>
              <w:bottom w:val="single" w:sz="4" w:space="0" w:color="auto"/>
            </w:tcBorders>
          </w:tcPr>
          <w:p w:rsidR="009830ED" w:rsidRPr="007B1CFD" w:rsidRDefault="009830ED" w:rsidP="003B7CF0">
            <w:pPr>
              <w:keepNext/>
              <w:jc w:val="both"/>
              <w:rPr>
                <w:rFonts w:ascii="Arial Narrow" w:hAnsi="Arial Narrow" w:cs="Arial"/>
                <w:sz w:val="20"/>
                <w:szCs w:val="20"/>
              </w:rPr>
            </w:pPr>
            <w:r w:rsidRPr="00CD0789">
              <w:rPr>
                <w:rFonts w:ascii="Arial Narrow" w:hAnsi="Arial Narrow" w:cs="Arial"/>
                <w:sz w:val="20"/>
                <w:szCs w:val="20"/>
              </w:rPr>
              <w:t>Proprietary Name and Manufacturer</w:t>
            </w:r>
          </w:p>
        </w:tc>
      </w:tr>
      <w:tr w:rsidR="009830ED" w:rsidRPr="00CD0789" w:rsidTr="003B7CF0">
        <w:trPr>
          <w:cantSplit/>
          <w:trHeight w:val="577"/>
        </w:trPr>
        <w:tc>
          <w:tcPr>
            <w:tcW w:w="3969" w:type="dxa"/>
            <w:gridSpan w:val="2"/>
          </w:tcPr>
          <w:p w:rsidR="009830ED" w:rsidRPr="00CD0789" w:rsidRDefault="009830ED" w:rsidP="003B7CF0">
            <w:pPr>
              <w:keepNext/>
              <w:ind w:left="-108"/>
              <w:jc w:val="both"/>
              <w:rPr>
                <w:rFonts w:ascii="Arial Narrow" w:hAnsi="Arial Narrow" w:cs="Arial"/>
                <w:sz w:val="20"/>
                <w:szCs w:val="20"/>
              </w:rPr>
            </w:pPr>
            <w:r w:rsidRPr="00CD0789">
              <w:rPr>
                <w:rFonts w:ascii="Arial Narrow" w:hAnsi="Arial Narrow"/>
                <w:smallCaps/>
                <w:sz w:val="20"/>
              </w:rPr>
              <w:t>TEZACAFTOR + IVACAFTOR (&amp;) IVACAFTOR</w:t>
            </w:r>
            <w:r w:rsidRPr="00CD0789">
              <w:rPr>
                <w:rFonts w:ascii="Arial Narrow" w:hAnsi="Arial Narrow" w:cs="Arial"/>
                <w:sz w:val="20"/>
                <w:szCs w:val="20"/>
              </w:rPr>
              <w:t xml:space="preserve"> </w:t>
            </w:r>
          </w:p>
          <w:p w:rsidR="009830ED" w:rsidRPr="00CD0789" w:rsidRDefault="009830ED" w:rsidP="003B7CF0">
            <w:pPr>
              <w:keepNext/>
              <w:ind w:left="-108"/>
              <w:jc w:val="both"/>
              <w:rPr>
                <w:rFonts w:ascii="Arial Narrow" w:hAnsi="Arial Narrow" w:cs="Arial"/>
                <w:color w:val="FF0000"/>
                <w:sz w:val="20"/>
                <w:szCs w:val="20"/>
              </w:rPr>
            </w:pPr>
            <w:r w:rsidRPr="00CD0789">
              <w:rPr>
                <w:rFonts w:ascii="Arial Narrow" w:hAnsi="Arial Narrow" w:cs="Arial"/>
                <w:sz w:val="20"/>
                <w:szCs w:val="20"/>
              </w:rPr>
              <w:t>Tezacaftor 100 mg + ivacaftor 150 mg tablet [28] (&amp;) ivacaftor 150 mg tablet [28], 1 pack</w:t>
            </w:r>
          </w:p>
        </w:tc>
        <w:tc>
          <w:tcPr>
            <w:tcW w:w="851" w:type="dxa"/>
            <w:tcBorders>
              <w:top w:val="single" w:sz="4" w:space="0" w:color="auto"/>
            </w:tcBorders>
          </w:tcPr>
          <w:p w:rsidR="009830ED" w:rsidRPr="00CD0789" w:rsidRDefault="009830ED" w:rsidP="003B7CF0">
            <w:pPr>
              <w:keepNext/>
              <w:ind w:left="-108"/>
              <w:jc w:val="both"/>
              <w:rPr>
                <w:rFonts w:ascii="Arial Narrow" w:hAnsi="Arial Narrow" w:cs="Arial"/>
                <w:sz w:val="20"/>
                <w:szCs w:val="20"/>
              </w:rPr>
            </w:pPr>
          </w:p>
          <w:p w:rsidR="009830ED" w:rsidRPr="00CD0789" w:rsidRDefault="009830ED" w:rsidP="003B7CF0">
            <w:pPr>
              <w:keepNext/>
              <w:ind w:left="-108"/>
              <w:jc w:val="both"/>
              <w:rPr>
                <w:rFonts w:ascii="Arial Narrow" w:hAnsi="Arial Narrow" w:cs="Arial"/>
                <w:sz w:val="20"/>
                <w:szCs w:val="20"/>
              </w:rPr>
            </w:pPr>
            <w:r w:rsidRPr="00CD0789">
              <w:rPr>
                <w:rFonts w:ascii="Arial Narrow" w:hAnsi="Arial Narrow" w:cs="Arial"/>
                <w:sz w:val="20"/>
                <w:szCs w:val="20"/>
              </w:rPr>
              <w:t xml:space="preserve"> 1</w:t>
            </w:r>
          </w:p>
        </w:tc>
        <w:tc>
          <w:tcPr>
            <w:tcW w:w="992" w:type="dxa"/>
            <w:tcBorders>
              <w:top w:val="single" w:sz="4" w:space="0" w:color="auto"/>
            </w:tcBorders>
          </w:tcPr>
          <w:p w:rsidR="009830ED" w:rsidRPr="00CD0789" w:rsidRDefault="009830ED" w:rsidP="003B7CF0">
            <w:pPr>
              <w:keepNext/>
              <w:ind w:left="-108"/>
              <w:jc w:val="both"/>
              <w:rPr>
                <w:rFonts w:ascii="Arial Narrow" w:hAnsi="Arial Narrow" w:cs="Arial"/>
                <w:sz w:val="20"/>
                <w:szCs w:val="20"/>
              </w:rPr>
            </w:pPr>
          </w:p>
          <w:p w:rsidR="009830ED" w:rsidRPr="00CD0789" w:rsidRDefault="009830ED" w:rsidP="003B7CF0">
            <w:pPr>
              <w:keepNext/>
              <w:ind w:left="-108"/>
              <w:jc w:val="both"/>
              <w:rPr>
                <w:rFonts w:ascii="Arial Narrow" w:hAnsi="Arial Narrow" w:cs="Arial"/>
                <w:sz w:val="20"/>
                <w:szCs w:val="20"/>
              </w:rPr>
            </w:pPr>
            <w:r w:rsidRPr="00CD0789">
              <w:rPr>
                <w:rFonts w:ascii="Arial Narrow" w:hAnsi="Arial Narrow" w:cs="Arial"/>
                <w:sz w:val="20"/>
                <w:szCs w:val="20"/>
              </w:rPr>
              <w:t>5</w:t>
            </w:r>
          </w:p>
        </w:tc>
        <w:tc>
          <w:tcPr>
            <w:tcW w:w="1985" w:type="dxa"/>
            <w:tcBorders>
              <w:top w:val="single" w:sz="4" w:space="0" w:color="auto"/>
              <w:left w:val="nil"/>
            </w:tcBorders>
          </w:tcPr>
          <w:p w:rsidR="009830ED" w:rsidRPr="00CD0789" w:rsidRDefault="009830ED" w:rsidP="003B7CF0">
            <w:pPr>
              <w:keepNext/>
              <w:jc w:val="both"/>
              <w:rPr>
                <w:rFonts w:ascii="Arial Narrow" w:hAnsi="Arial Narrow" w:cs="Arial"/>
                <w:sz w:val="20"/>
                <w:szCs w:val="20"/>
              </w:rPr>
            </w:pPr>
          </w:p>
          <w:p w:rsidR="009830ED" w:rsidRPr="00CD0789" w:rsidRDefault="009830ED" w:rsidP="003B7CF0">
            <w:pPr>
              <w:keepNext/>
              <w:jc w:val="both"/>
              <w:rPr>
                <w:rFonts w:ascii="Arial Narrow" w:hAnsi="Arial Narrow" w:cs="Arial"/>
                <w:sz w:val="20"/>
                <w:szCs w:val="20"/>
              </w:rPr>
            </w:pPr>
            <w:r w:rsidRPr="00CD0789">
              <w:rPr>
                <w:rFonts w:ascii="Arial Narrow" w:hAnsi="Arial Narrow"/>
                <w:sz w:val="20"/>
              </w:rPr>
              <w:t>Symdeko®</w:t>
            </w:r>
          </w:p>
        </w:tc>
        <w:tc>
          <w:tcPr>
            <w:tcW w:w="1417" w:type="dxa"/>
            <w:tcBorders>
              <w:top w:val="single" w:sz="4" w:space="0" w:color="auto"/>
            </w:tcBorders>
          </w:tcPr>
          <w:p w:rsidR="009830ED" w:rsidRPr="00CD0789" w:rsidRDefault="009830ED" w:rsidP="003B7CF0">
            <w:pPr>
              <w:keepNext/>
              <w:jc w:val="both"/>
              <w:rPr>
                <w:rFonts w:ascii="Arial Narrow" w:hAnsi="Arial Narrow" w:cs="Arial"/>
                <w:sz w:val="20"/>
                <w:szCs w:val="20"/>
              </w:rPr>
            </w:pPr>
          </w:p>
          <w:p w:rsidR="009830ED" w:rsidRPr="00CD0789" w:rsidRDefault="009830ED" w:rsidP="003B7CF0">
            <w:pPr>
              <w:keepNext/>
              <w:jc w:val="both"/>
              <w:rPr>
                <w:rFonts w:ascii="Arial Narrow" w:hAnsi="Arial Narrow" w:cs="Arial"/>
                <w:sz w:val="20"/>
                <w:szCs w:val="20"/>
              </w:rPr>
            </w:pPr>
            <w:r w:rsidRPr="00CD0789">
              <w:rPr>
                <w:rFonts w:ascii="Arial Narrow" w:hAnsi="Arial Narrow"/>
                <w:sz w:val="20"/>
              </w:rPr>
              <w:t>Vertex</w:t>
            </w:r>
          </w:p>
        </w:tc>
      </w:tr>
      <w:tr w:rsidR="009830ED" w:rsidRPr="00CD0789" w:rsidTr="003B7CF0">
        <w:trPr>
          <w:cantSplit/>
          <w:trHeight w:val="360"/>
        </w:trPr>
        <w:tc>
          <w:tcPr>
            <w:tcW w:w="9214" w:type="dxa"/>
            <w:gridSpan w:val="6"/>
            <w:tcBorders>
              <w:bottom w:val="single" w:sz="4" w:space="0" w:color="auto"/>
            </w:tcBorders>
          </w:tcPr>
          <w:p w:rsidR="009830ED" w:rsidRPr="00CD0789" w:rsidRDefault="009830ED" w:rsidP="003B7CF0">
            <w:pPr>
              <w:jc w:val="both"/>
              <w:rPr>
                <w:rFonts w:ascii="Arial Narrow" w:hAnsi="Arial Narrow" w:cs="Arial"/>
                <w:sz w:val="20"/>
                <w:szCs w:val="20"/>
              </w:rPr>
            </w:pPr>
          </w:p>
        </w:tc>
      </w:tr>
      <w:tr w:rsidR="009830ED" w:rsidRPr="00CD0789" w:rsidTr="003B7CF0">
        <w:trPr>
          <w:cantSplit/>
          <w:trHeight w:val="360"/>
        </w:trPr>
        <w:tc>
          <w:tcPr>
            <w:tcW w:w="2410" w:type="dxa"/>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b/>
                <w:sz w:val="20"/>
                <w:szCs w:val="20"/>
              </w:rPr>
            </w:pPr>
            <w:r w:rsidRPr="00CD0789">
              <w:rPr>
                <w:rFonts w:ascii="Arial Narrow" w:hAnsi="Arial Narrow" w:cs="Arial"/>
                <w:b/>
                <w:sz w:val="20"/>
                <w:szCs w:val="20"/>
              </w:rPr>
              <w:t>Category / Program:</w:t>
            </w:r>
          </w:p>
        </w:tc>
        <w:tc>
          <w:tcPr>
            <w:tcW w:w="6804" w:type="dxa"/>
            <w:gridSpan w:val="5"/>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sz w:val="20"/>
                <w:szCs w:val="20"/>
              </w:rPr>
            </w:pPr>
            <w:r w:rsidRPr="00CD0789">
              <w:rPr>
                <w:rFonts w:ascii="Arial Narrow" w:hAnsi="Arial Narrow" w:cs="Arial"/>
                <w:sz w:val="20"/>
                <w:szCs w:val="20"/>
              </w:rPr>
              <w:t xml:space="preserve">Section 100 – Highly Specialised Drugs Program </w:t>
            </w:r>
          </w:p>
        </w:tc>
      </w:tr>
      <w:tr w:rsidR="009830ED" w:rsidRPr="00CD0789" w:rsidTr="003B7CF0">
        <w:trPr>
          <w:cantSplit/>
          <w:trHeight w:val="360"/>
        </w:trPr>
        <w:tc>
          <w:tcPr>
            <w:tcW w:w="2410" w:type="dxa"/>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b/>
                <w:sz w:val="20"/>
                <w:szCs w:val="20"/>
              </w:rPr>
            </w:pPr>
            <w:r w:rsidRPr="00CD0789">
              <w:rPr>
                <w:rFonts w:ascii="Arial Narrow" w:hAnsi="Arial Narrow" w:cs="Arial"/>
                <w:b/>
                <w:sz w:val="20"/>
                <w:szCs w:val="20"/>
              </w:rPr>
              <w:t>Prescriber type:</w:t>
            </w:r>
          </w:p>
        </w:tc>
        <w:tc>
          <w:tcPr>
            <w:tcW w:w="6804" w:type="dxa"/>
            <w:gridSpan w:val="5"/>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Check1"/>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 xml:space="preserve">Dental  </w:t>
            </w:r>
            <w:r w:rsidRPr="00881B84">
              <w:rPr>
                <w:rFonts w:ascii="Arial Narrow" w:hAnsi="Arial Narrow" w:cs="Arial"/>
                <w:sz w:val="20"/>
                <w:szCs w:val="20"/>
              </w:rPr>
              <w:fldChar w:fldCharType="begin">
                <w:ffData>
                  <w:name w:val=""/>
                  <w:enabled/>
                  <w:calcOnExit w:val="0"/>
                  <w:checkBox>
                    <w:sizeAuto/>
                    <w:default w:val="1"/>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 xml:space="preserve">Medical Practitioners  </w:t>
            </w:r>
            <w:r w:rsidRPr="00881B84">
              <w:rPr>
                <w:rFonts w:ascii="Arial Narrow" w:hAnsi="Arial Narrow" w:cs="Arial"/>
                <w:sz w:val="20"/>
                <w:szCs w:val="20"/>
              </w:rPr>
              <w:fldChar w:fldCharType="begin">
                <w:ffData>
                  <w:name w:val="Check3"/>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 xml:space="preserve">Nurse practitioners  </w:t>
            </w:r>
            <w:r w:rsidRPr="00881B84">
              <w:rPr>
                <w:rFonts w:ascii="Arial Narrow" w:hAnsi="Arial Narrow" w:cs="Arial"/>
                <w:sz w:val="20"/>
                <w:szCs w:val="20"/>
              </w:rPr>
              <w:fldChar w:fldCharType="begin">
                <w:ffData>
                  <w:name w:val=""/>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Optometrists</w:t>
            </w:r>
          </w:p>
          <w:p w:rsidR="009830ED" w:rsidRPr="00CD0789" w:rsidRDefault="009830ED"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Check5"/>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Midwives</w:t>
            </w:r>
          </w:p>
        </w:tc>
      </w:tr>
      <w:tr w:rsidR="009830ED" w:rsidRPr="00CD0789" w:rsidTr="003B7CF0">
        <w:trPr>
          <w:cantSplit/>
          <w:trHeight w:val="291"/>
        </w:trPr>
        <w:tc>
          <w:tcPr>
            <w:tcW w:w="2410" w:type="dxa"/>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b/>
                <w:sz w:val="20"/>
                <w:szCs w:val="20"/>
              </w:rPr>
            </w:pPr>
            <w:r w:rsidRPr="00CD0789">
              <w:rPr>
                <w:rFonts w:ascii="Arial Narrow" w:hAnsi="Arial Narrow" w:cs="Arial"/>
                <w:b/>
                <w:sz w:val="20"/>
                <w:szCs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sz w:val="20"/>
                <w:szCs w:val="20"/>
              </w:rPr>
            </w:pPr>
            <w:r w:rsidRPr="00CD0789">
              <w:rPr>
                <w:rFonts w:ascii="Arial Narrow" w:hAnsi="Arial Narrow" w:cs="Arial"/>
                <w:sz w:val="20"/>
                <w:szCs w:val="20"/>
              </w:rPr>
              <w:t xml:space="preserve">Cystic Fibrosis </w:t>
            </w:r>
          </w:p>
        </w:tc>
      </w:tr>
      <w:tr w:rsidR="009830ED" w:rsidRPr="00CD0789" w:rsidTr="003B7CF0">
        <w:trPr>
          <w:cantSplit/>
          <w:trHeight w:val="360"/>
        </w:trPr>
        <w:tc>
          <w:tcPr>
            <w:tcW w:w="2410" w:type="dxa"/>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b/>
                <w:sz w:val="20"/>
                <w:szCs w:val="20"/>
              </w:rPr>
            </w:pPr>
            <w:r w:rsidRPr="00CD0789">
              <w:rPr>
                <w:rFonts w:ascii="Arial Narrow" w:hAnsi="Arial Narrow" w:cs="Arial"/>
                <w:b/>
                <w:sz w:val="20"/>
                <w:szCs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sz w:val="20"/>
                <w:szCs w:val="20"/>
              </w:rPr>
            </w:pPr>
            <w:r w:rsidRPr="00CD0789">
              <w:rPr>
                <w:rFonts w:ascii="Arial Narrow" w:hAnsi="Arial Narrow" w:cs="Arial"/>
                <w:sz w:val="20"/>
                <w:szCs w:val="20"/>
              </w:rPr>
              <w:t xml:space="preserve">Initial treatment </w:t>
            </w:r>
          </w:p>
        </w:tc>
      </w:tr>
      <w:tr w:rsidR="009830ED" w:rsidRPr="00CD0789" w:rsidTr="003B7CF0">
        <w:trPr>
          <w:cantSplit/>
          <w:trHeight w:val="360"/>
        </w:trPr>
        <w:tc>
          <w:tcPr>
            <w:tcW w:w="2410" w:type="dxa"/>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b/>
                <w:sz w:val="20"/>
                <w:szCs w:val="20"/>
              </w:rPr>
            </w:pPr>
            <w:r w:rsidRPr="00CD0789">
              <w:rPr>
                <w:rFonts w:ascii="Arial Narrow" w:hAnsi="Arial Narrow" w:cs="Arial"/>
                <w:b/>
                <w:sz w:val="20"/>
                <w:szCs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Check1"/>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Restricted benefit</w:t>
            </w:r>
          </w:p>
          <w:p w:rsidR="009830ED" w:rsidRPr="00CD0789" w:rsidRDefault="009830ED"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
                  <w:enabled/>
                  <w:calcOnExit w:val="0"/>
                  <w:checkBox>
                    <w:sizeAuto/>
                    <w:default w:val="1"/>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Authority Required – In Writing</w:t>
            </w:r>
          </w:p>
          <w:p w:rsidR="009830ED" w:rsidRPr="004616DB" w:rsidRDefault="009830ED"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Check3"/>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Authority Required – Telephone</w:t>
            </w:r>
            <w:r w:rsidRPr="004616DB">
              <w:rPr>
                <w:rFonts w:ascii="Arial Narrow" w:hAnsi="Arial Narrow" w:cs="Arial"/>
                <w:sz w:val="20"/>
                <w:szCs w:val="20"/>
              </w:rPr>
              <w:t>/Electronic/Emergency</w:t>
            </w:r>
          </w:p>
          <w:p w:rsidR="009830ED" w:rsidRPr="00CD0789" w:rsidRDefault="009830ED"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Check5"/>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Streamlined</w:t>
            </w:r>
          </w:p>
        </w:tc>
      </w:tr>
      <w:tr w:rsidR="009830ED" w:rsidRPr="00CD0789" w:rsidTr="003B7CF0">
        <w:trPr>
          <w:cantSplit/>
          <w:trHeight w:val="360"/>
        </w:trPr>
        <w:tc>
          <w:tcPr>
            <w:tcW w:w="2410" w:type="dxa"/>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b/>
                <w:sz w:val="20"/>
                <w:szCs w:val="20"/>
              </w:rPr>
            </w:pPr>
            <w:r w:rsidRPr="00CD0789">
              <w:rPr>
                <w:rFonts w:ascii="Arial Narrow" w:hAnsi="Arial Narrow" w:cs="Arial"/>
                <w:b/>
                <w:sz w:val="20"/>
                <w:szCs w:val="20"/>
              </w:rPr>
              <w:t>Treatment criteria:</w:t>
            </w:r>
          </w:p>
        </w:tc>
        <w:tc>
          <w:tcPr>
            <w:tcW w:w="6804" w:type="dxa"/>
            <w:gridSpan w:val="5"/>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Must be treated by a specialist respiratory physician with expertise in cystic fibrosis, OR</w:t>
            </w:r>
          </w:p>
          <w:p w:rsidR="009830ED" w:rsidRPr="00CD0789" w:rsidRDefault="009830ED"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Must be treated in consultation with a specialist respiratory physician with expertise in cystic fibrosis if attendance is not possible due to geographic isolation;</w:t>
            </w:r>
          </w:p>
          <w:p w:rsidR="009830ED" w:rsidRPr="00CD0789" w:rsidRDefault="009830ED"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AND</w:t>
            </w:r>
          </w:p>
          <w:p w:rsidR="009830ED" w:rsidRPr="00CD0789" w:rsidRDefault="009830ED"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Must be treated in a centre with expertise in cystic fibrosis, OR</w:t>
            </w:r>
          </w:p>
          <w:p w:rsidR="009830ED" w:rsidRPr="00CD0789" w:rsidRDefault="009830ED" w:rsidP="003B7CF0">
            <w:pPr>
              <w:jc w:val="both"/>
              <w:rPr>
                <w:rFonts w:ascii="Arial Narrow" w:hAnsi="Arial Narrow" w:cs="Arial"/>
                <w:sz w:val="20"/>
                <w:szCs w:val="20"/>
              </w:rPr>
            </w:pPr>
            <w:r w:rsidRPr="00CD0789">
              <w:rPr>
                <w:rFonts w:ascii="Arial Narrow" w:hAnsi="Arial Narrow" w:cs="Arial"/>
                <w:snapToGrid w:val="0"/>
                <w:sz w:val="20"/>
                <w:szCs w:val="22"/>
                <w:lang w:eastAsia="en-US"/>
              </w:rPr>
              <w:t>Must be treated in consultation with a centre with expertise in cystic fibrosis if attendance is not possible due to geographic isolation.</w:t>
            </w:r>
          </w:p>
        </w:tc>
      </w:tr>
      <w:tr w:rsidR="009830ED" w:rsidRPr="00CD0789" w:rsidTr="003B7CF0">
        <w:trPr>
          <w:cantSplit/>
          <w:trHeight w:val="657"/>
        </w:trPr>
        <w:tc>
          <w:tcPr>
            <w:tcW w:w="2410" w:type="dxa"/>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b/>
                <w:sz w:val="20"/>
                <w:szCs w:val="20"/>
              </w:rPr>
            </w:pPr>
            <w:r w:rsidRPr="00CD0789">
              <w:rPr>
                <w:rFonts w:ascii="Arial Narrow" w:hAnsi="Arial Narrow" w:cs="Arial"/>
                <w:b/>
                <w:sz w:val="20"/>
                <w:szCs w:val="20"/>
              </w:rPr>
              <w:t>Clinical criteria:</w:t>
            </w:r>
          </w:p>
        </w:tc>
        <w:tc>
          <w:tcPr>
            <w:tcW w:w="6804" w:type="dxa"/>
            <w:gridSpan w:val="5"/>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Patient must have one residual function (RF) mutation in the cystic fibrosis transmembrane conductance regulator (CFTR) gene that is responsive to tezacaftor with ivacaftor;</w:t>
            </w:r>
          </w:p>
          <w:p w:rsidR="009830ED" w:rsidRPr="00CD0789" w:rsidRDefault="009830ED" w:rsidP="003B7CF0">
            <w:pPr>
              <w:jc w:val="both"/>
              <w:rPr>
                <w:rFonts w:ascii="Arial Narrow" w:hAnsi="Arial Narrow" w:cs="Arial"/>
                <w:strike/>
                <w:snapToGrid w:val="0"/>
                <w:sz w:val="20"/>
                <w:szCs w:val="22"/>
                <w:lang w:eastAsia="en-US"/>
              </w:rPr>
            </w:pPr>
            <w:r w:rsidRPr="00CD0789">
              <w:rPr>
                <w:rFonts w:ascii="Arial Narrow" w:hAnsi="Arial Narrow" w:cs="Arial"/>
                <w:strike/>
                <w:snapToGrid w:val="0"/>
                <w:sz w:val="20"/>
                <w:szCs w:val="22"/>
                <w:lang w:eastAsia="en-US"/>
              </w:rPr>
              <w:t xml:space="preserve">AND </w:t>
            </w:r>
          </w:p>
          <w:p w:rsidR="009830ED" w:rsidRPr="00CD0789" w:rsidRDefault="009830ED" w:rsidP="003B7CF0">
            <w:pPr>
              <w:jc w:val="both"/>
              <w:rPr>
                <w:rFonts w:ascii="Arial Narrow" w:hAnsi="Arial Narrow" w:cs="Arial"/>
                <w:strike/>
                <w:snapToGrid w:val="0"/>
                <w:sz w:val="20"/>
                <w:szCs w:val="22"/>
                <w:lang w:eastAsia="en-US"/>
              </w:rPr>
            </w:pPr>
            <w:r w:rsidRPr="00CD0789">
              <w:rPr>
                <w:rFonts w:ascii="Arial Narrow" w:hAnsi="Arial Narrow"/>
                <w:strike/>
                <w:sz w:val="20"/>
              </w:rPr>
              <w:t>Patient must have F508del mutation in the cystic fibrosis transmembrane conductance regulator (CFTR) gene on at least 1 allele</w:t>
            </w:r>
            <w:r w:rsidRPr="00CD0789">
              <w:rPr>
                <w:rFonts w:ascii="Arial Narrow" w:hAnsi="Arial Narrow" w:cs="Arial"/>
                <w:strike/>
                <w:snapToGrid w:val="0"/>
                <w:sz w:val="20"/>
                <w:szCs w:val="22"/>
                <w:lang w:eastAsia="en-US"/>
              </w:rPr>
              <w:t>;</w:t>
            </w:r>
          </w:p>
          <w:p w:rsidR="009830ED" w:rsidRPr="00CD0789" w:rsidRDefault="009830ED"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AND</w:t>
            </w:r>
          </w:p>
          <w:p w:rsidR="009830ED" w:rsidRPr="00CD0789" w:rsidRDefault="009830ED" w:rsidP="003B7CF0">
            <w:pPr>
              <w:rPr>
                <w:rFonts w:ascii="Arial Narrow" w:hAnsi="Arial Narrow"/>
                <w:sz w:val="20"/>
              </w:rPr>
            </w:pPr>
            <w:r w:rsidRPr="00CD0789">
              <w:rPr>
                <w:rFonts w:ascii="Arial Narrow" w:hAnsi="Arial Narrow"/>
                <w:sz w:val="20"/>
              </w:rPr>
              <w:t>The treatment  must be the sole PBS-subsidised cystic fibrosis transmembrane conductance regulator</w:t>
            </w:r>
            <w:r w:rsidRPr="00CD0789" w:rsidDel="006F0000">
              <w:rPr>
                <w:rFonts w:ascii="Arial Narrow" w:hAnsi="Arial Narrow"/>
                <w:sz w:val="20"/>
              </w:rPr>
              <w:t xml:space="preserve"> </w:t>
            </w:r>
            <w:r w:rsidRPr="00CD0789">
              <w:rPr>
                <w:rFonts w:ascii="Arial Narrow" w:hAnsi="Arial Narrow"/>
                <w:sz w:val="20"/>
              </w:rPr>
              <w:t>(CFTR) modulator therapy for this condition;</w:t>
            </w:r>
          </w:p>
          <w:p w:rsidR="009830ED" w:rsidRPr="00CD0789" w:rsidRDefault="009830ED"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AND</w:t>
            </w:r>
          </w:p>
          <w:p w:rsidR="009830ED" w:rsidRPr="00CD0789" w:rsidRDefault="009830ED"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The treatment must be given concomitantly with standard therapy for this condition.</w:t>
            </w:r>
          </w:p>
          <w:p w:rsidR="009830ED" w:rsidRPr="00CD0789" w:rsidRDefault="009830ED"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AND</w:t>
            </w:r>
          </w:p>
          <w:p w:rsidR="009830ED" w:rsidRPr="00CD0789" w:rsidRDefault="009830ED" w:rsidP="003B7CF0">
            <w:pPr>
              <w:jc w:val="both"/>
              <w:rPr>
                <w:rFonts w:ascii="Arial Narrow" w:hAnsi="Arial Narrow" w:cs="Arial"/>
                <w:sz w:val="20"/>
                <w:szCs w:val="20"/>
              </w:rPr>
            </w:pPr>
            <w:r w:rsidRPr="00CD0789">
              <w:rPr>
                <w:rFonts w:ascii="Arial Narrow" w:hAnsi="Arial Narrow"/>
                <w:snapToGrid w:val="0"/>
                <w:sz w:val="20"/>
              </w:rPr>
              <w:t>The patient must have either chronic sinopulmonary disease or gastrointestinal and nutritional abnormalities</w:t>
            </w:r>
          </w:p>
        </w:tc>
      </w:tr>
      <w:tr w:rsidR="009830ED" w:rsidRPr="00CD0789" w:rsidTr="003B7CF0">
        <w:trPr>
          <w:cantSplit/>
          <w:trHeight w:val="318"/>
        </w:trPr>
        <w:tc>
          <w:tcPr>
            <w:tcW w:w="2410" w:type="dxa"/>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b/>
                <w:sz w:val="20"/>
                <w:szCs w:val="20"/>
              </w:rPr>
            </w:pPr>
            <w:r w:rsidRPr="00CD0789">
              <w:rPr>
                <w:rFonts w:ascii="Arial Narrow" w:hAnsi="Arial Narrow" w:cs="Arial"/>
                <w:b/>
                <w:sz w:val="20"/>
                <w:szCs w:val="20"/>
              </w:rPr>
              <w:t>Population criteria:</w:t>
            </w:r>
          </w:p>
        </w:tc>
        <w:tc>
          <w:tcPr>
            <w:tcW w:w="6804" w:type="dxa"/>
            <w:gridSpan w:val="5"/>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sz w:val="20"/>
                <w:szCs w:val="20"/>
              </w:rPr>
            </w:pPr>
            <w:r w:rsidRPr="00CD0789">
              <w:rPr>
                <w:rFonts w:ascii="Arial Narrow" w:hAnsi="Arial Narrow"/>
                <w:sz w:val="20"/>
              </w:rPr>
              <w:t>Patient must be 12 years of age or older.</w:t>
            </w:r>
          </w:p>
        </w:tc>
      </w:tr>
      <w:tr w:rsidR="009830ED" w:rsidRPr="00CD0789" w:rsidTr="003B7CF0">
        <w:trPr>
          <w:trHeight w:val="489"/>
        </w:trPr>
        <w:tc>
          <w:tcPr>
            <w:tcW w:w="2410" w:type="dxa"/>
            <w:tcBorders>
              <w:top w:val="single" w:sz="4" w:space="0" w:color="auto"/>
              <w:left w:val="single" w:sz="4" w:space="0" w:color="auto"/>
              <w:bottom w:val="single" w:sz="4" w:space="0" w:color="auto"/>
              <w:right w:val="single" w:sz="4" w:space="0" w:color="auto"/>
            </w:tcBorders>
          </w:tcPr>
          <w:p w:rsidR="009830ED" w:rsidRPr="00CD0789" w:rsidRDefault="009830ED" w:rsidP="003B7CF0">
            <w:pPr>
              <w:jc w:val="both"/>
              <w:rPr>
                <w:rFonts w:ascii="Arial Narrow" w:hAnsi="Arial Narrow" w:cs="Arial"/>
                <w:b/>
                <w:sz w:val="20"/>
                <w:szCs w:val="20"/>
              </w:rPr>
            </w:pPr>
            <w:r w:rsidRPr="00CD0789">
              <w:rPr>
                <w:rFonts w:ascii="Arial Narrow" w:hAnsi="Arial Narrow"/>
                <w:b/>
                <w:sz w:val="20"/>
              </w:rPr>
              <w:t>Prescriber Instructions:</w:t>
            </w:r>
          </w:p>
        </w:tc>
        <w:tc>
          <w:tcPr>
            <w:tcW w:w="6804" w:type="dxa"/>
            <w:gridSpan w:val="5"/>
            <w:tcBorders>
              <w:top w:val="single" w:sz="4" w:space="0" w:color="auto"/>
              <w:left w:val="single" w:sz="4" w:space="0" w:color="auto"/>
              <w:bottom w:val="single" w:sz="4" w:space="0" w:color="auto"/>
              <w:right w:val="single" w:sz="4" w:space="0" w:color="auto"/>
            </w:tcBorders>
          </w:tcPr>
          <w:p w:rsidR="009830ED" w:rsidRPr="00CD0789" w:rsidRDefault="009830ED" w:rsidP="003B7CF0">
            <w:pPr>
              <w:rPr>
                <w:rFonts w:ascii="Arial Narrow" w:hAnsi="Arial Narrow"/>
                <w:sz w:val="20"/>
              </w:rPr>
            </w:pPr>
            <w:r w:rsidRPr="00CD0789">
              <w:rPr>
                <w:rFonts w:ascii="Arial Narrow" w:hAnsi="Arial Narrow"/>
                <w:sz w:val="20"/>
              </w:rPr>
              <w:t xml:space="preserve">The patient must be registered in the Australian Cystic Fibrosis Database Registry. </w:t>
            </w:r>
          </w:p>
          <w:p w:rsidR="002E6B2C" w:rsidRPr="00CD0789" w:rsidRDefault="002E6B2C" w:rsidP="003B7CF0">
            <w:pPr>
              <w:rPr>
                <w:rFonts w:ascii="Arial Narrow" w:hAnsi="Arial Narrow"/>
                <w:sz w:val="20"/>
              </w:rPr>
            </w:pPr>
          </w:p>
          <w:p w:rsidR="009830ED" w:rsidRPr="004616DB" w:rsidRDefault="009830ED" w:rsidP="003B7CF0">
            <w:pPr>
              <w:rPr>
                <w:rFonts w:ascii="Arial Narrow" w:hAnsi="Arial Narrow"/>
                <w:sz w:val="20"/>
              </w:rPr>
            </w:pPr>
            <w:r w:rsidRPr="004616DB">
              <w:rPr>
                <w:rFonts w:ascii="Arial Narrow" w:hAnsi="Arial Narrow"/>
                <w:sz w:val="20"/>
              </w:rPr>
              <w:lastRenderedPageBreak/>
              <w:t>Treatment must not be given to a patient who has an acute upper or lower respiratory infection, pulmonary exacerbation, or changes in therapy (including antibiotics) for pulmonary disease in the last 4 weeks prior to commencing this drug.</w:t>
            </w:r>
          </w:p>
          <w:p w:rsidR="009830ED" w:rsidRPr="00CD0789" w:rsidRDefault="009830ED" w:rsidP="003B7CF0">
            <w:pPr>
              <w:rPr>
                <w:rFonts w:ascii="Arial Narrow" w:hAnsi="Arial Narrow"/>
                <w:sz w:val="20"/>
              </w:rPr>
            </w:pPr>
          </w:p>
          <w:p w:rsidR="009830ED" w:rsidRPr="00CD0789" w:rsidRDefault="009830ED" w:rsidP="003B7CF0">
            <w:pPr>
              <w:rPr>
                <w:rFonts w:ascii="Arial Narrow" w:hAnsi="Arial Narrow"/>
                <w:sz w:val="20"/>
              </w:rPr>
            </w:pPr>
            <w:r w:rsidRPr="00CD0789">
              <w:rPr>
                <w:rFonts w:ascii="Arial Narrow" w:hAnsi="Arial Narrow"/>
                <w:snapToGrid w:val="0"/>
                <w:sz w:val="20"/>
              </w:rPr>
              <w:t>For the purposes of this restriction, PBS subsidised ‘CFTR modulator’ means ivacaftor, lumacaftor/ivacaftor and tezacaftor/ivacaftor</w:t>
            </w:r>
          </w:p>
          <w:p w:rsidR="009830ED" w:rsidRPr="00CD0789" w:rsidRDefault="009830ED" w:rsidP="003B7CF0">
            <w:pPr>
              <w:rPr>
                <w:rFonts w:ascii="Arial Narrow" w:hAnsi="Arial Narrow"/>
                <w:sz w:val="20"/>
              </w:rPr>
            </w:pPr>
          </w:p>
          <w:p w:rsidR="009830ED" w:rsidRPr="00CD0789" w:rsidRDefault="009830ED" w:rsidP="003B7CF0">
            <w:pPr>
              <w:rPr>
                <w:rFonts w:ascii="Arial Narrow" w:hAnsi="Arial Narrow"/>
                <w:sz w:val="20"/>
              </w:rPr>
            </w:pPr>
            <w:r w:rsidRPr="00CD0789">
              <w:rPr>
                <w:rFonts w:ascii="Arial Narrow" w:hAnsi="Arial Narrow"/>
                <w:sz w:val="20"/>
              </w:rPr>
              <w:t>For the purposes of this restriction, the list of mutations considered to be responsive to tezacaftor with ivacaftor is defined in the TGA approved product information.</w:t>
            </w:r>
          </w:p>
          <w:p w:rsidR="009830ED" w:rsidRPr="00CD0789" w:rsidRDefault="009830ED" w:rsidP="003B7CF0">
            <w:pPr>
              <w:rPr>
                <w:rFonts w:ascii="Arial Narrow" w:hAnsi="Arial Narrow"/>
                <w:sz w:val="20"/>
              </w:rPr>
            </w:pPr>
          </w:p>
          <w:p w:rsidR="009830ED" w:rsidRPr="00CD0789" w:rsidRDefault="009830ED" w:rsidP="003B7CF0">
            <w:pPr>
              <w:rPr>
                <w:rFonts w:ascii="Arial Narrow" w:hAnsi="Arial Narrow"/>
                <w:sz w:val="20"/>
              </w:rPr>
            </w:pPr>
            <w:r w:rsidRPr="00CD0789">
              <w:rPr>
                <w:rFonts w:ascii="Arial Narrow" w:hAnsi="Arial Narrow"/>
                <w:sz w:val="20"/>
              </w:rP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p>
          <w:p w:rsidR="009830ED" w:rsidRPr="00CD0789" w:rsidRDefault="009830ED" w:rsidP="003B7CF0">
            <w:pPr>
              <w:rPr>
                <w:rFonts w:ascii="Arial Narrow" w:hAnsi="Arial Narrow"/>
                <w:sz w:val="20"/>
              </w:rPr>
            </w:pPr>
          </w:p>
          <w:p w:rsidR="009830ED" w:rsidRPr="00CD0789" w:rsidRDefault="009830ED" w:rsidP="003B7CF0">
            <w:pPr>
              <w:rPr>
                <w:rFonts w:ascii="Arial Narrow" w:hAnsi="Arial Narrow"/>
                <w:sz w:val="20"/>
              </w:rPr>
            </w:pPr>
            <w:r w:rsidRPr="00CD0789">
              <w:rPr>
                <w:rFonts w:ascii="Arial Narrow" w:hAnsi="Arial Narrow"/>
                <w:sz w:val="20"/>
              </w:rP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p>
          <w:p w:rsidR="009830ED" w:rsidRPr="00CD0789" w:rsidRDefault="009830ED" w:rsidP="003B7CF0">
            <w:pPr>
              <w:rPr>
                <w:rFonts w:ascii="Arial Narrow" w:hAnsi="Arial Narrow"/>
                <w:sz w:val="20"/>
              </w:rPr>
            </w:pPr>
          </w:p>
          <w:p w:rsidR="009830ED" w:rsidRPr="00CD0789" w:rsidRDefault="009830ED" w:rsidP="003B7CF0">
            <w:pPr>
              <w:rPr>
                <w:rFonts w:ascii="Arial Narrow" w:hAnsi="Arial Narrow"/>
                <w:sz w:val="20"/>
              </w:rPr>
            </w:pPr>
            <w:r w:rsidRPr="00CD0789">
              <w:rPr>
                <w:rFonts w:ascii="Arial Narrow" w:hAnsi="Arial Narrow"/>
                <w:sz w:val="20"/>
              </w:rPr>
              <w:t>Tezacaftor with ivacaftor is not PBS-subsidised for this condition in a patient who is currently receiving one of the following CYP3A4 inducers:</w:t>
            </w:r>
          </w:p>
          <w:p w:rsidR="009830ED" w:rsidRPr="00CD0789" w:rsidRDefault="009830ED" w:rsidP="003B7CF0">
            <w:pPr>
              <w:rPr>
                <w:rFonts w:ascii="Arial Narrow" w:hAnsi="Arial Narrow"/>
                <w:sz w:val="20"/>
              </w:rPr>
            </w:pPr>
          </w:p>
          <w:p w:rsidR="009830ED" w:rsidRPr="00CD0789" w:rsidRDefault="009830ED" w:rsidP="003B7CF0">
            <w:pPr>
              <w:rPr>
                <w:rFonts w:ascii="Arial Narrow" w:hAnsi="Arial Narrow"/>
                <w:sz w:val="20"/>
              </w:rPr>
            </w:pPr>
            <w:r w:rsidRPr="00CD0789">
              <w:rPr>
                <w:rFonts w:ascii="Arial Narrow" w:hAnsi="Arial Narrow"/>
                <w:sz w:val="20"/>
              </w:rPr>
              <w:t>Strong CYP3A4 inducers: avasimibe, carbamazepine, phenobarbital, phenytoin, rifabutin, rifampicin, St. John's wort</w:t>
            </w:r>
          </w:p>
          <w:p w:rsidR="009830ED" w:rsidRPr="00CD0789" w:rsidRDefault="009830ED" w:rsidP="003B7CF0">
            <w:pPr>
              <w:rPr>
                <w:rFonts w:ascii="Arial Narrow" w:hAnsi="Arial Narrow"/>
                <w:sz w:val="20"/>
              </w:rPr>
            </w:pPr>
          </w:p>
          <w:p w:rsidR="009830ED" w:rsidRPr="00CD0789" w:rsidRDefault="009830ED" w:rsidP="003B7CF0">
            <w:pPr>
              <w:rPr>
                <w:rFonts w:ascii="Arial Narrow" w:hAnsi="Arial Narrow"/>
                <w:sz w:val="20"/>
              </w:rPr>
            </w:pPr>
            <w:r w:rsidRPr="00CD0789">
              <w:rPr>
                <w:rFonts w:ascii="Arial Narrow" w:hAnsi="Arial Narrow"/>
                <w:sz w:val="20"/>
              </w:rPr>
              <w:t>Moderate CYP3A4 inducers: bosentan, efavirenz, etravirine, modafinil, nafcillin</w:t>
            </w:r>
          </w:p>
          <w:p w:rsidR="009830ED" w:rsidRPr="00CD0789" w:rsidRDefault="009830ED" w:rsidP="003B7CF0">
            <w:pPr>
              <w:rPr>
                <w:rFonts w:ascii="Arial Narrow" w:hAnsi="Arial Narrow"/>
                <w:sz w:val="20"/>
              </w:rPr>
            </w:pPr>
          </w:p>
          <w:p w:rsidR="009830ED" w:rsidRPr="00CD0789" w:rsidRDefault="009830ED" w:rsidP="003B7CF0">
            <w:pPr>
              <w:rPr>
                <w:rFonts w:ascii="Arial Narrow" w:hAnsi="Arial Narrow"/>
                <w:sz w:val="20"/>
              </w:rPr>
            </w:pPr>
            <w:r w:rsidRPr="00CD0789">
              <w:rPr>
                <w:rFonts w:ascii="Arial Narrow" w:hAnsi="Arial Narrow"/>
                <w:sz w:val="20"/>
              </w:rPr>
              <w:t>Weak CYP3A4 inducers: armodafinil, echinacea, pioglitazone, rufinamide.</w:t>
            </w:r>
          </w:p>
          <w:p w:rsidR="009830ED" w:rsidRPr="00CD0789" w:rsidRDefault="009830ED" w:rsidP="003B7CF0">
            <w:pPr>
              <w:rPr>
                <w:rFonts w:ascii="Arial Narrow" w:hAnsi="Arial Narrow"/>
                <w:sz w:val="20"/>
              </w:rPr>
            </w:pPr>
          </w:p>
          <w:p w:rsidR="009830ED" w:rsidRPr="00CD0789" w:rsidRDefault="009830ED" w:rsidP="003B7CF0">
            <w:pPr>
              <w:rPr>
                <w:rFonts w:ascii="Arial Narrow" w:hAnsi="Arial Narrow"/>
                <w:sz w:val="20"/>
              </w:rPr>
            </w:pPr>
            <w:r w:rsidRPr="00CD0789">
              <w:rPr>
                <w:rFonts w:ascii="Arial Narrow" w:hAnsi="Arial Narrow"/>
                <w:sz w:val="20"/>
              </w:rPr>
              <w:t>The authority application must be in writing and must include:</w:t>
            </w:r>
          </w:p>
          <w:p w:rsidR="009830ED" w:rsidRPr="004616DB" w:rsidRDefault="009830ED" w:rsidP="003B7CF0">
            <w:pPr>
              <w:rPr>
                <w:rFonts w:ascii="Arial Narrow" w:hAnsi="Arial Narrow"/>
                <w:sz w:val="20"/>
              </w:rPr>
            </w:pPr>
            <w:r w:rsidRPr="00CD0789">
              <w:rPr>
                <w:rFonts w:ascii="Arial Narrow" w:hAnsi="Arial Narrow"/>
                <w:sz w:val="20"/>
              </w:rPr>
              <w:t>(1) a completed authority prescription form; and</w:t>
            </w:r>
          </w:p>
          <w:p w:rsidR="009830ED" w:rsidRPr="00CD0789" w:rsidRDefault="009830ED" w:rsidP="003B7CF0">
            <w:pPr>
              <w:rPr>
                <w:rFonts w:ascii="Arial Narrow" w:hAnsi="Arial Narrow"/>
                <w:sz w:val="20"/>
              </w:rPr>
            </w:pPr>
            <w:r w:rsidRPr="00CD0789">
              <w:rPr>
                <w:rFonts w:ascii="Arial Narrow" w:hAnsi="Arial Narrow"/>
                <w:sz w:val="20"/>
              </w:rPr>
              <w:t>(2) a completed Cystic Fibrosis Tezacaftor with Ivacaftor Authority Application Supporting Information Form; and</w:t>
            </w:r>
          </w:p>
          <w:p w:rsidR="009830ED" w:rsidRPr="00CD0789" w:rsidRDefault="009830ED" w:rsidP="003B7CF0">
            <w:pPr>
              <w:rPr>
                <w:rFonts w:ascii="Arial Narrow" w:hAnsi="Arial Narrow"/>
                <w:sz w:val="20"/>
              </w:rPr>
            </w:pPr>
            <w:r w:rsidRPr="00CD0789">
              <w:rPr>
                <w:rFonts w:ascii="Arial Narrow" w:hAnsi="Arial Narrow"/>
                <w:sz w:val="20"/>
              </w:rPr>
              <w:t>(3) a copy of the pathology report detailing the molecular testing for the patient having at least one RF mutation on the CFTR gene; and</w:t>
            </w:r>
          </w:p>
          <w:p w:rsidR="009830ED" w:rsidRPr="00CD0789" w:rsidRDefault="009830ED" w:rsidP="003B7CF0">
            <w:pPr>
              <w:rPr>
                <w:rFonts w:ascii="Arial Narrow" w:hAnsi="Arial Narrow"/>
                <w:sz w:val="20"/>
              </w:rPr>
            </w:pPr>
            <w:r w:rsidRPr="00CD0789">
              <w:rPr>
                <w:rFonts w:ascii="Arial Narrow" w:hAnsi="Arial Narrow"/>
                <w:sz w:val="20"/>
              </w:rPr>
              <w:t xml:space="preserve">(4) </w:t>
            </w:r>
            <w:r w:rsidRPr="00CD0789">
              <w:rPr>
                <w:rFonts w:ascii="Arial Narrow" w:hAnsi="Arial Narrow"/>
                <w:strike/>
                <w:sz w:val="20"/>
              </w:rPr>
              <w:t>a copy of the pathology report detailing the molecular testing for the patient having at least one F508del mutation on the CFTR gene;</w:t>
            </w:r>
          </w:p>
          <w:p w:rsidR="009830ED" w:rsidRPr="00CD0789" w:rsidRDefault="009830ED" w:rsidP="003B7CF0">
            <w:pPr>
              <w:rPr>
                <w:rFonts w:ascii="Arial Narrow" w:hAnsi="Arial Narrow"/>
                <w:sz w:val="20"/>
              </w:rPr>
            </w:pPr>
            <w:r w:rsidRPr="00CD0789">
              <w:rPr>
                <w:rFonts w:ascii="Arial Narrow" w:hAnsi="Arial Narrow"/>
                <w:strike/>
                <w:sz w:val="20"/>
              </w:rPr>
              <w:t xml:space="preserve">(5) </w:t>
            </w:r>
            <w:r w:rsidRPr="00CD0789">
              <w:rPr>
                <w:rFonts w:ascii="Arial Narrow" w:hAnsi="Arial Narrow"/>
                <w:sz w:val="20"/>
              </w:rPr>
              <w:t>the result of a FEV</w:t>
            </w:r>
            <w:r w:rsidRPr="00CD0789">
              <w:rPr>
                <w:rFonts w:ascii="Arial Narrow" w:hAnsi="Arial Narrow"/>
                <w:sz w:val="20"/>
                <w:vertAlign w:val="subscript"/>
              </w:rPr>
              <w:t>1</w:t>
            </w:r>
            <w:r w:rsidRPr="00CD0789">
              <w:rPr>
                <w:rFonts w:ascii="Arial Narrow" w:hAnsi="Arial Narrow"/>
                <w:sz w:val="20"/>
              </w:rPr>
              <w:t xml:space="preserve"> measurement performed within a month prior to the date of application. Note: FEV</w:t>
            </w:r>
            <w:r w:rsidRPr="00CD0789">
              <w:rPr>
                <w:rFonts w:ascii="Arial Narrow" w:hAnsi="Arial Narrow"/>
                <w:sz w:val="20"/>
                <w:vertAlign w:val="subscript"/>
              </w:rPr>
              <w:t>1</w:t>
            </w:r>
            <w:r w:rsidRPr="00CD0789">
              <w:rPr>
                <w:rFonts w:ascii="Arial Narrow" w:hAnsi="Arial Narrow"/>
                <w:sz w:val="20"/>
              </w:rPr>
              <w:t>, must be measured in an accredited pulmonary function laboratory, with documented no acute infective exacerbation at the time FEV</w:t>
            </w:r>
            <w:r w:rsidRPr="00CD0789">
              <w:rPr>
                <w:rFonts w:ascii="Arial Narrow" w:hAnsi="Arial Narrow"/>
                <w:sz w:val="20"/>
                <w:vertAlign w:val="subscript"/>
              </w:rPr>
              <w:t>1</w:t>
            </w:r>
            <w:r w:rsidRPr="00CD0789">
              <w:rPr>
                <w:rFonts w:ascii="Arial Narrow" w:hAnsi="Arial Narrow"/>
                <w:sz w:val="20"/>
              </w:rPr>
              <w:t xml:space="preserve"> is measured; and</w:t>
            </w:r>
          </w:p>
          <w:p w:rsidR="009830ED" w:rsidRPr="00CD0789" w:rsidRDefault="009830ED" w:rsidP="003B7CF0">
            <w:pPr>
              <w:rPr>
                <w:rFonts w:ascii="Arial Narrow" w:hAnsi="Arial Narrow"/>
                <w:sz w:val="20"/>
              </w:rPr>
            </w:pPr>
            <w:r w:rsidRPr="00CD0789">
              <w:rPr>
                <w:rFonts w:ascii="Arial Narrow" w:hAnsi="Arial Narrow"/>
                <w:strike/>
                <w:sz w:val="20"/>
              </w:rPr>
              <w:t>(6)</w:t>
            </w:r>
            <w:r w:rsidRPr="004616DB">
              <w:rPr>
                <w:rFonts w:ascii="Arial Narrow" w:hAnsi="Arial Narrow"/>
                <w:i/>
                <w:sz w:val="20"/>
              </w:rPr>
              <w:t>(5)</w:t>
            </w:r>
            <w:r w:rsidRPr="004616DB">
              <w:rPr>
                <w:rFonts w:ascii="Arial Narrow" w:hAnsi="Arial Narrow"/>
                <w:sz w:val="20"/>
              </w:rPr>
              <w:t xml:space="preserve"> </w:t>
            </w:r>
            <w:r w:rsidRPr="004616DB">
              <w:rPr>
                <w:rFonts w:ascii="Arial Narrow" w:hAnsi="Arial Narrow"/>
                <w:strike/>
                <w:sz w:val="20"/>
              </w:rPr>
              <w:t>a copy of a current medication history, including any</w:t>
            </w:r>
            <w:r w:rsidRPr="004616DB">
              <w:rPr>
                <w:rFonts w:ascii="Arial Narrow" w:hAnsi="Arial Narrow"/>
                <w:i/>
                <w:sz w:val="20"/>
              </w:rPr>
              <w:t xml:space="preserve"> </w:t>
            </w:r>
            <w:r w:rsidRPr="004616DB">
              <w:rPr>
                <w:rFonts w:ascii="Arial Narrow" w:hAnsi="Arial Narrow"/>
                <w:sz w:val="20"/>
              </w:rPr>
              <w:t>current CYP3A4 inhibitors</w:t>
            </w:r>
            <w:r w:rsidRPr="004616DB">
              <w:rPr>
                <w:rFonts w:ascii="Arial Narrow" w:hAnsi="Arial Narrow"/>
                <w:strike/>
                <w:sz w:val="20"/>
              </w:rPr>
              <w:t>,  or</w:t>
            </w:r>
            <w:r w:rsidRPr="004616DB">
              <w:rPr>
                <w:rFonts w:ascii="Arial Narrow" w:hAnsi="Arial Narrow"/>
                <w:sz w:val="20"/>
              </w:rPr>
              <w:t xml:space="preserve"> </w:t>
            </w:r>
            <w:r w:rsidRPr="00B666ED">
              <w:rPr>
                <w:rFonts w:ascii="Arial Narrow" w:hAnsi="Arial Narrow"/>
                <w:i/>
                <w:sz w:val="20"/>
              </w:rPr>
              <w:t>CYP3A4 inducers and IV antibiotics</w:t>
            </w:r>
            <w:r w:rsidRPr="00CD0789">
              <w:rPr>
                <w:rFonts w:ascii="Arial Narrow" w:hAnsi="Arial Narrow"/>
                <w:i/>
                <w:sz w:val="20"/>
              </w:rPr>
              <w:t xml:space="preserve">; </w:t>
            </w:r>
            <w:r w:rsidRPr="00CD0789">
              <w:rPr>
                <w:rFonts w:ascii="Arial Narrow" w:hAnsi="Arial Narrow"/>
                <w:sz w:val="20"/>
              </w:rPr>
              <w:t xml:space="preserve">and </w:t>
            </w:r>
          </w:p>
          <w:p w:rsidR="009830ED" w:rsidRPr="004616DB" w:rsidRDefault="009830ED" w:rsidP="003B7CF0">
            <w:pPr>
              <w:rPr>
                <w:rFonts w:ascii="Arial Narrow" w:hAnsi="Arial Narrow"/>
                <w:sz w:val="20"/>
              </w:rPr>
            </w:pPr>
            <w:r w:rsidRPr="00CD0789">
              <w:rPr>
                <w:rFonts w:ascii="Arial Narrow" w:hAnsi="Arial Narrow"/>
                <w:strike/>
                <w:sz w:val="20"/>
              </w:rPr>
              <w:t>(7</w:t>
            </w:r>
            <w:r w:rsidRPr="004616DB">
              <w:rPr>
                <w:rFonts w:ascii="Arial Narrow" w:hAnsi="Arial Narrow"/>
                <w:strike/>
                <w:sz w:val="20"/>
              </w:rPr>
              <w:t>)</w:t>
            </w:r>
            <w:r w:rsidRPr="004616DB">
              <w:rPr>
                <w:rFonts w:ascii="Arial Narrow" w:hAnsi="Arial Narrow"/>
                <w:i/>
                <w:sz w:val="20"/>
              </w:rPr>
              <w:t>(6)</w:t>
            </w:r>
            <w:r w:rsidRPr="004616DB">
              <w:rPr>
                <w:rFonts w:ascii="Arial Narrow" w:hAnsi="Arial Narrow"/>
                <w:sz w:val="20"/>
              </w:rPr>
              <w:t xml:space="preserve"> height and weight measurements at the time of application; and</w:t>
            </w:r>
          </w:p>
          <w:p w:rsidR="009830ED" w:rsidRPr="00CD0789" w:rsidRDefault="009830ED" w:rsidP="003B7CF0">
            <w:pPr>
              <w:rPr>
                <w:rFonts w:ascii="Arial Narrow" w:hAnsi="Arial Narrow"/>
                <w:sz w:val="20"/>
              </w:rPr>
            </w:pPr>
            <w:r w:rsidRPr="00CD0789">
              <w:rPr>
                <w:rFonts w:ascii="Arial Narrow" w:hAnsi="Arial Narrow"/>
                <w:strike/>
                <w:sz w:val="20"/>
              </w:rPr>
              <w:t>(8)</w:t>
            </w:r>
            <w:r w:rsidRPr="00CD0789">
              <w:rPr>
                <w:rFonts w:ascii="Arial Narrow" w:hAnsi="Arial Narrow"/>
                <w:i/>
                <w:sz w:val="20"/>
              </w:rPr>
              <w:t>(7)</w:t>
            </w:r>
            <w:r w:rsidRPr="00CD0789">
              <w:rPr>
                <w:rFonts w:ascii="Arial Narrow" w:hAnsi="Arial Narrow"/>
                <w:sz w:val="20"/>
              </w:rPr>
              <w:t xml:space="preserve"> a baseline measurement of the number of days of CF-related hospitalisation (including hospital-in-the home) in the previous 12 months.</w:t>
            </w:r>
          </w:p>
          <w:p w:rsidR="009830ED" w:rsidRPr="00CD0789" w:rsidRDefault="009830ED" w:rsidP="003B7CF0">
            <w:pPr>
              <w:jc w:val="both"/>
              <w:rPr>
                <w:rFonts w:ascii="Arial Narrow" w:hAnsi="Arial Narrow"/>
                <w:sz w:val="20"/>
              </w:rPr>
            </w:pPr>
          </w:p>
          <w:p w:rsidR="009830ED" w:rsidRPr="00CD0789" w:rsidRDefault="009830ED" w:rsidP="003B7CF0">
            <w:pPr>
              <w:jc w:val="both"/>
              <w:rPr>
                <w:rFonts w:ascii="Arial Narrow" w:hAnsi="Arial Narrow" w:cs="Arial"/>
                <w:snapToGrid w:val="0"/>
                <w:sz w:val="20"/>
                <w:szCs w:val="22"/>
                <w:lang w:eastAsia="en-US"/>
              </w:rPr>
            </w:pPr>
            <w:r w:rsidRPr="00CD0789">
              <w:rPr>
                <w:rFonts w:ascii="Arial Narrow" w:hAnsi="Arial Narrow"/>
                <w:sz w:val="20"/>
              </w:rPr>
              <w:t>For patients who’ve initiated non-PBS subsidised treatment prior to 1 December 2019, date of initiating treatment, baseline FEV1 and hospitalisation dates prior to initiating treatment (where available) should be provided.</w:t>
            </w:r>
          </w:p>
        </w:tc>
      </w:tr>
    </w:tbl>
    <w:p w:rsidR="003B7CF0" w:rsidRPr="00CD0789" w:rsidRDefault="003B7CF0" w:rsidP="003B7CF0">
      <w:pPr>
        <w:pStyle w:val="Bodytextitalics"/>
        <w:numPr>
          <w:ilvl w:val="0"/>
          <w:numId w:val="0"/>
        </w:numPr>
        <w:ind w:left="720" w:hanging="720"/>
        <w:rPr>
          <w:b/>
          <w:i w:val="0"/>
          <w:snapToGrid w:val="0"/>
        </w:rPr>
      </w:pPr>
    </w:p>
    <w:tbl>
      <w:tblPr>
        <w:tblW w:w="9214" w:type="dxa"/>
        <w:tblLayout w:type="fixed"/>
        <w:tblLook w:val="0000" w:firstRow="0" w:lastRow="0" w:firstColumn="0" w:lastColumn="0" w:noHBand="0" w:noVBand="0"/>
      </w:tblPr>
      <w:tblGrid>
        <w:gridCol w:w="2410"/>
        <w:gridCol w:w="1559"/>
        <w:gridCol w:w="851"/>
        <w:gridCol w:w="992"/>
        <w:gridCol w:w="1985"/>
        <w:gridCol w:w="1417"/>
      </w:tblGrid>
      <w:tr w:rsidR="003B7CF0" w:rsidRPr="00CD0789" w:rsidTr="003B7CF0">
        <w:trPr>
          <w:cantSplit/>
          <w:trHeight w:val="471"/>
        </w:trPr>
        <w:tc>
          <w:tcPr>
            <w:tcW w:w="3969" w:type="dxa"/>
            <w:gridSpan w:val="2"/>
            <w:tcBorders>
              <w:bottom w:val="single" w:sz="4" w:space="0" w:color="auto"/>
            </w:tcBorders>
          </w:tcPr>
          <w:p w:rsidR="003B7CF0" w:rsidRPr="00CD0789" w:rsidRDefault="003B7CF0" w:rsidP="003B7CF0">
            <w:pPr>
              <w:keepNext/>
              <w:ind w:left="-108"/>
              <w:jc w:val="both"/>
              <w:rPr>
                <w:rFonts w:ascii="Arial Narrow" w:hAnsi="Arial Narrow" w:cs="Arial"/>
                <w:sz w:val="20"/>
                <w:szCs w:val="20"/>
              </w:rPr>
            </w:pPr>
            <w:r w:rsidRPr="00CD0789">
              <w:rPr>
                <w:rFonts w:ascii="Arial Narrow" w:hAnsi="Arial Narrow" w:cs="Arial"/>
                <w:sz w:val="20"/>
                <w:szCs w:val="20"/>
              </w:rPr>
              <w:t>Name, Restriction,</w:t>
            </w:r>
          </w:p>
          <w:p w:rsidR="003B7CF0" w:rsidRPr="00CD0789" w:rsidRDefault="003B7CF0" w:rsidP="003B7CF0">
            <w:pPr>
              <w:keepNext/>
              <w:ind w:left="-108"/>
              <w:jc w:val="both"/>
              <w:rPr>
                <w:rFonts w:ascii="Arial Narrow" w:hAnsi="Arial Narrow" w:cs="Arial"/>
                <w:sz w:val="20"/>
                <w:szCs w:val="20"/>
              </w:rPr>
            </w:pPr>
            <w:r w:rsidRPr="00CD0789">
              <w:rPr>
                <w:rFonts w:ascii="Arial Narrow" w:hAnsi="Arial Narrow" w:cs="Arial"/>
                <w:sz w:val="20"/>
                <w:szCs w:val="20"/>
              </w:rPr>
              <w:t>Manner of administration and form</w:t>
            </w:r>
          </w:p>
        </w:tc>
        <w:tc>
          <w:tcPr>
            <w:tcW w:w="851" w:type="dxa"/>
            <w:tcBorders>
              <w:bottom w:val="single" w:sz="4" w:space="0" w:color="auto"/>
            </w:tcBorders>
          </w:tcPr>
          <w:p w:rsidR="003B7CF0" w:rsidRPr="00CD0789" w:rsidRDefault="003B7CF0" w:rsidP="003B7CF0">
            <w:pPr>
              <w:keepNext/>
              <w:ind w:left="-108"/>
              <w:jc w:val="both"/>
              <w:rPr>
                <w:rFonts w:ascii="Arial Narrow" w:hAnsi="Arial Narrow" w:cs="Arial"/>
                <w:sz w:val="20"/>
                <w:szCs w:val="20"/>
              </w:rPr>
            </w:pPr>
            <w:r w:rsidRPr="00CD0789">
              <w:rPr>
                <w:rFonts w:ascii="Arial Narrow" w:hAnsi="Arial Narrow" w:cs="Arial"/>
                <w:sz w:val="20"/>
                <w:szCs w:val="20"/>
              </w:rPr>
              <w:t>Max.</w:t>
            </w:r>
          </w:p>
          <w:p w:rsidR="003B7CF0" w:rsidRPr="00CD0789" w:rsidRDefault="003B7CF0" w:rsidP="003B7CF0">
            <w:pPr>
              <w:keepNext/>
              <w:ind w:left="-108"/>
              <w:jc w:val="both"/>
              <w:rPr>
                <w:rFonts w:ascii="Arial Narrow" w:hAnsi="Arial Narrow" w:cs="Arial"/>
                <w:sz w:val="20"/>
                <w:szCs w:val="20"/>
              </w:rPr>
            </w:pPr>
            <w:r w:rsidRPr="00CD0789">
              <w:rPr>
                <w:rFonts w:ascii="Arial Narrow" w:hAnsi="Arial Narrow" w:cs="Arial"/>
                <w:sz w:val="20"/>
                <w:szCs w:val="20"/>
              </w:rPr>
              <w:t>Qty</w:t>
            </w:r>
          </w:p>
        </w:tc>
        <w:tc>
          <w:tcPr>
            <w:tcW w:w="992" w:type="dxa"/>
            <w:tcBorders>
              <w:bottom w:val="single" w:sz="4" w:space="0" w:color="auto"/>
            </w:tcBorders>
          </w:tcPr>
          <w:p w:rsidR="003B7CF0" w:rsidRPr="00CD0789" w:rsidRDefault="003B7CF0" w:rsidP="003B7CF0">
            <w:pPr>
              <w:keepNext/>
              <w:ind w:left="-108"/>
              <w:jc w:val="both"/>
              <w:rPr>
                <w:rFonts w:ascii="Arial Narrow" w:hAnsi="Arial Narrow" w:cs="Arial"/>
                <w:sz w:val="20"/>
                <w:szCs w:val="20"/>
              </w:rPr>
            </w:pPr>
            <w:r w:rsidRPr="00CD0789">
              <w:rPr>
                <w:rFonts w:ascii="Arial Narrow" w:hAnsi="Arial Narrow" w:cs="Arial"/>
                <w:sz w:val="20"/>
                <w:szCs w:val="20"/>
              </w:rPr>
              <w:t>№.of</w:t>
            </w:r>
          </w:p>
          <w:p w:rsidR="003B7CF0" w:rsidRPr="00CD0789" w:rsidRDefault="003B7CF0" w:rsidP="003B7CF0">
            <w:pPr>
              <w:keepNext/>
              <w:ind w:left="-108"/>
              <w:jc w:val="both"/>
              <w:rPr>
                <w:rFonts w:ascii="Arial Narrow" w:hAnsi="Arial Narrow" w:cs="Arial"/>
                <w:sz w:val="20"/>
                <w:szCs w:val="20"/>
              </w:rPr>
            </w:pPr>
            <w:r w:rsidRPr="00CD0789">
              <w:rPr>
                <w:rFonts w:ascii="Arial Narrow" w:hAnsi="Arial Narrow" w:cs="Arial"/>
                <w:sz w:val="20"/>
                <w:szCs w:val="20"/>
              </w:rPr>
              <w:t>Rpts</w:t>
            </w:r>
          </w:p>
        </w:tc>
        <w:tc>
          <w:tcPr>
            <w:tcW w:w="3402" w:type="dxa"/>
            <w:gridSpan w:val="2"/>
            <w:tcBorders>
              <w:left w:val="nil"/>
              <w:bottom w:val="single" w:sz="4" w:space="0" w:color="auto"/>
            </w:tcBorders>
          </w:tcPr>
          <w:p w:rsidR="003B7CF0" w:rsidRPr="007B1CFD" w:rsidRDefault="003B7CF0" w:rsidP="003B7CF0">
            <w:pPr>
              <w:keepNext/>
              <w:jc w:val="both"/>
              <w:rPr>
                <w:rFonts w:ascii="Arial Narrow" w:hAnsi="Arial Narrow" w:cs="Arial"/>
                <w:sz w:val="20"/>
                <w:szCs w:val="20"/>
              </w:rPr>
            </w:pPr>
            <w:r w:rsidRPr="00CD0789">
              <w:rPr>
                <w:rFonts w:ascii="Arial Narrow" w:hAnsi="Arial Narrow" w:cs="Arial"/>
                <w:sz w:val="20"/>
                <w:szCs w:val="20"/>
              </w:rPr>
              <w:t>Proprietary Name and Manufacturer</w:t>
            </w:r>
          </w:p>
        </w:tc>
      </w:tr>
      <w:tr w:rsidR="003B7CF0" w:rsidRPr="00CD0789" w:rsidTr="003B7CF0">
        <w:trPr>
          <w:cantSplit/>
          <w:trHeight w:val="577"/>
        </w:trPr>
        <w:tc>
          <w:tcPr>
            <w:tcW w:w="3969" w:type="dxa"/>
            <w:gridSpan w:val="2"/>
          </w:tcPr>
          <w:p w:rsidR="003B7CF0" w:rsidRPr="00CD0789" w:rsidRDefault="003B7CF0" w:rsidP="003B7CF0">
            <w:pPr>
              <w:keepNext/>
              <w:ind w:left="-108"/>
              <w:jc w:val="both"/>
              <w:rPr>
                <w:rFonts w:ascii="Arial Narrow" w:hAnsi="Arial Narrow" w:cs="Arial"/>
                <w:sz w:val="20"/>
                <w:szCs w:val="20"/>
              </w:rPr>
            </w:pPr>
            <w:r w:rsidRPr="00CD0789">
              <w:rPr>
                <w:rFonts w:ascii="Arial Narrow" w:hAnsi="Arial Narrow"/>
                <w:smallCaps/>
                <w:sz w:val="20"/>
              </w:rPr>
              <w:t>TEZACAFTOR + IVACAFTOR (&amp;) IVACAFTOR</w:t>
            </w:r>
            <w:r w:rsidRPr="00CD0789">
              <w:rPr>
                <w:rFonts w:ascii="Arial Narrow" w:hAnsi="Arial Narrow" w:cs="Arial"/>
                <w:sz w:val="20"/>
                <w:szCs w:val="20"/>
              </w:rPr>
              <w:t xml:space="preserve"> </w:t>
            </w:r>
          </w:p>
          <w:p w:rsidR="003B7CF0" w:rsidRPr="00CD0789" w:rsidRDefault="003B7CF0" w:rsidP="003B7CF0">
            <w:pPr>
              <w:keepNext/>
              <w:ind w:left="-108"/>
              <w:jc w:val="both"/>
              <w:rPr>
                <w:rFonts w:ascii="Arial Narrow" w:hAnsi="Arial Narrow" w:cs="Arial"/>
                <w:color w:val="FF0000"/>
                <w:sz w:val="20"/>
                <w:szCs w:val="20"/>
              </w:rPr>
            </w:pPr>
            <w:r w:rsidRPr="00CD0789">
              <w:rPr>
                <w:rFonts w:ascii="Arial Narrow" w:hAnsi="Arial Narrow" w:cs="Arial"/>
                <w:sz w:val="20"/>
                <w:szCs w:val="20"/>
              </w:rPr>
              <w:t>Tezacaftor 100 mg + ivacaftor 150 mg tablet [28] (&amp;) ivacaftor 150 mg tablet [28], 1 pack</w:t>
            </w:r>
          </w:p>
        </w:tc>
        <w:tc>
          <w:tcPr>
            <w:tcW w:w="851" w:type="dxa"/>
            <w:tcBorders>
              <w:top w:val="single" w:sz="4" w:space="0" w:color="auto"/>
            </w:tcBorders>
          </w:tcPr>
          <w:p w:rsidR="003B7CF0" w:rsidRPr="00CD0789" w:rsidRDefault="003B7CF0" w:rsidP="003B7CF0">
            <w:pPr>
              <w:keepNext/>
              <w:ind w:left="-108"/>
              <w:jc w:val="both"/>
              <w:rPr>
                <w:rFonts w:ascii="Arial Narrow" w:hAnsi="Arial Narrow" w:cs="Arial"/>
                <w:sz w:val="20"/>
                <w:szCs w:val="20"/>
              </w:rPr>
            </w:pPr>
          </w:p>
          <w:p w:rsidR="003B7CF0" w:rsidRPr="00CD0789" w:rsidRDefault="003B7CF0" w:rsidP="003B7CF0">
            <w:pPr>
              <w:keepNext/>
              <w:ind w:left="-108"/>
              <w:jc w:val="both"/>
              <w:rPr>
                <w:rFonts w:ascii="Arial Narrow" w:hAnsi="Arial Narrow" w:cs="Arial"/>
                <w:sz w:val="20"/>
                <w:szCs w:val="20"/>
              </w:rPr>
            </w:pPr>
            <w:r w:rsidRPr="00CD0789">
              <w:rPr>
                <w:rFonts w:ascii="Arial Narrow" w:hAnsi="Arial Narrow" w:cs="Arial"/>
                <w:sz w:val="20"/>
                <w:szCs w:val="20"/>
              </w:rPr>
              <w:t xml:space="preserve"> 1</w:t>
            </w:r>
          </w:p>
        </w:tc>
        <w:tc>
          <w:tcPr>
            <w:tcW w:w="992" w:type="dxa"/>
            <w:tcBorders>
              <w:top w:val="single" w:sz="4" w:space="0" w:color="auto"/>
            </w:tcBorders>
          </w:tcPr>
          <w:p w:rsidR="003B7CF0" w:rsidRPr="00CD0789" w:rsidRDefault="003B7CF0" w:rsidP="003B7CF0">
            <w:pPr>
              <w:keepNext/>
              <w:ind w:left="-108"/>
              <w:jc w:val="both"/>
              <w:rPr>
                <w:rFonts w:ascii="Arial Narrow" w:hAnsi="Arial Narrow" w:cs="Arial"/>
                <w:sz w:val="20"/>
                <w:szCs w:val="20"/>
              </w:rPr>
            </w:pPr>
          </w:p>
          <w:p w:rsidR="003B7CF0" w:rsidRPr="00CD0789" w:rsidRDefault="003B7CF0" w:rsidP="003B7CF0">
            <w:pPr>
              <w:keepNext/>
              <w:ind w:left="-108"/>
              <w:jc w:val="both"/>
              <w:rPr>
                <w:rFonts w:ascii="Arial Narrow" w:hAnsi="Arial Narrow" w:cs="Arial"/>
                <w:sz w:val="20"/>
                <w:szCs w:val="20"/>
              </w:rPr>
            </w:pPr>
            <w:r w:rsidRPr="00CD0789">
              <w:rPr>
                <w:rFonts w:ascii="Arial Narrow" w:hAnsi="Arial Narrow" w:cs="Arial"/>
                <w:sz w:val="20"/>
                <w:szCs w:val="20"/>
              </w:rPr>
              <w:t>5</w:t>
            </w:r>
          </w:p>
        </w:tc>
        <w:tc>
          <w:tcPr>
            <w:tcW w:w="1985" w:type="dxa"/>
            <w:tcBorders>
              <w:top w:val="single" w:sz="4" w:space="0" w:color="auto"/>
              <w:left w:val="nil"/>
            </w:tcBorders>
          </w:tcPr>
          <w:p w:rsidR="003B7CF0" w:rsidRPr="00CD0789" w:rsidRDefault="003B7CF0" w:rsidP="003B7CF0">
            <w:pPr>
              <w:keepNext/>
              <w:jc w:val="both"/>
              <w:rPr>
                <w:rFonts w:ascii="Arial Narrow" w:hAnsi="Arial Narrow" w:cs="Arial"/>
                <w:sz w:val="20"/>
                <w:szCs w:val="20"/>
              </w:rPr>
            </w:pPr>
          </w:p>
          <w:p w:rsidR="003B7CF0" w:rsidRPr="00CD0789" w:rsidRDefault="003B7CF0" w:rsidP="003B7CF0">
            <w:pPr>
              <w:keepNext/>
              <w:jc w:val="both"/>
              <w:rPr>
                <w:rFonts w:ascii="Arial Narrow" w:hAnsi="Arial Narrow" w:cs="Arial"/>
                <w:sz w:val="20"/>
                <w:szCs w:val="20"/>
              </w:rPr>
            </w:pPr>
            <w:r w:rsidRPr="00CD0789">
              <w:rPr>
                <w:rFonts w:ascii="Arial Narrow" w:hAnsi="Arial Narrow"/>
                <w:sz w:val="20"/>
              </w:rPr>
              <w:t>Symdeko®</w:t>
            </w:r>
          </w:p>
        </w:tc>
        <w:tc>
          <w:tcPr>
            <w:tcW w:w="1417" w:type="dxa"/>
            <w:tcBorders>
              <w:top w:val="single" w:sz="4" w:space="0" w:color="auto"/>
            </w:tcBorders>
          </w:tcPr>
          <w:p w:rsidR="003B7CF0" w:rsidRPr="00CD0789" w:rsidRDefault="003B7CF0" w:rsidP="003B7CF0">
            <w:pPr>
              <w:keepNext/>
              <w:jc w:val="both"/>
              <w:rPr>
                <w:rFonts w:ascii="Arial Narrow" w:hAnsi="Arial Narrow" w:cs="Arial"/>
                <w:sz w:val="20"/>
                <w:szCs w:val="20"/>
              </w:rPr>
            </w:pPr>
          </w:p>
          <w:p w:rsidR="003B7CF0" w:rsidRPr="00CD0789" w:rsidRDefault="003B7CF0" w:rsidP="003B7CF0">
            <w:pPr>
              <w:keepNext/>
              <w:jc w:val="both"/>
              <w:rPr>
                <w:rFonts w:ascii="Arial Narrow" w:hAnsi="Arial Narrow" w:cs="Arial"/>
                <w:sz w:val="20"/>
                <w:szCs w:val="20"/>
              </w:rPr>
            </w:pPr>
            <w:r w:rsidRPr="00CD0789">
              <w:rPr>
                <w:rFonts w:ascii="Arial Narrow" w:hAnsi="Arial Narrow"/>
                <w:sz w:val="20"/>
              </w:rPr>
              <w:t>Vertex</w:t>
            </w:r>
          </w:p>
        </w:tc>
      </w:tr>
      <w:tr w:rsidR="003B7CF0" w:rsidRPr="00CD0789" w:rsidTr="003B7CF0">
        <w:trPr>
          <w:cantSplit/>
          <w:trHeight w:val="360"/>
        </w:trPr>
        <w:tc>
          <w:tcPr>
            <w:tcW w:w="9214" w:type="dxa"/>
            <w:gridSpan w:val="6"/>
            <w:tcBorders>
              <w:bottom w:val="single" w:sz="4" w:space="0" w:color="auto"/>
            </w:tcBorders>
          </w:tcPr>
          <w:p w:rsidR="003B7CF0" w:rsidRPr="00CD0789" w:rsidRDefault="003B7CF0" w:rsidP="003B7CF0">
            <w:pPr>
              <w:jc w:val="both"/>
              <w:rPr>
                <w:rFonts w:ascii="Arial Narrow" w:hAnsi="Arial Narrow" w:cs="Arial"/>
                <w:sz w:val="20"/>
                <w:szCs w:val="20"/>
              </w:rPr>
            </w:pPr>
          </w:p>
        </w:tc>
      </w:tr>
      <w:tr w:rsidR="003B7CF0" w:rsidRPr="00CD0789" w:rsidTr="003B7CF0">
        <w:trPr>
          <w:cantSplit/>
          <w:trHeight w:val="360"/>
        </w:trPr>
        <w:tc>
          <w:tcPr>
            <w:tcW w:w="2410" w:type="dxa"/>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b/>
                <w:sz w:val="20"/>
                <w:szCs w:val="20"/>
              </w:rPr>
            </w:pPr>
            <w:r w:rsidRPr="00CD0789">
              <w:rPr>
                <w:rFonts w:ascii="Arial Narrow" w:hAnsi="Arial Narrow" w:cs="Arial"/>
                <w:b/>
                <w:sz w:val="20"/>
                <w:szCs w:val="20"/>
              </w:rPr>
              <w:t>Category / Program:</w:t>
            </w:r>
          </w:p>
        </w:tc>
        <w:tc>
          <w:tcPr>
            <w:tcW w:w="6804" w:type="dxa"/>
            <w:gridSpan w:val="5"/>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sz w:val="20"/>
                <w:szCs w:val="20"/>
              </w:rPr>
            </w:pPr>
            <w:r w:rsidRPr="00CD0789">
              <w:rPr>
                <w:rFonts w:ascii="Arial Narrow" w:hAnsi="Arial Narrow" w:cs="Arial"/>
                <w:sz w:val="20"/>
                <w:szCs w:val="20"/>
              </w:rPr>
              <w:t xml:space="preserve">Section 100 – Highly Specialised Drugs Program </w:t>
            </w:r>
          </w:p>
        </w:tc>
      </w:tr>
      <w:tr w:rsidR="003B7CF0" w:rsidRPr="00CD0789" w:rsidTr="003B7CF0">
        <w:trPr>
          <w:cantSplit/>
          <w:trHeight w:val="360"/>
        </w:trPr>
        <w:tc>
          <w:tcPr>
            <w:tcW w:w="2410" w:type="dxa"/>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b/>
                <w:sz w:val="20"/>
                <w:szCs w:val="20"/>
              </w:rPr>
            </w:pPr>
            <w:r w:rsidRPr="00CD0789">
              <w:rPr>
                <w:rFonts w:ascii="Arial Narrow" w:hAnsi="Arial Narrow" w:cs="Arial"/>
                <w:b/>
                <w:sz w:val="20"/>
                <w:szCs w:val="20"/>
              </w:rPr>
              <w:t>Prescriber type:</w:t>
            </w:r>
          </w:p>
        </w:tc>
        <w:tc>
          <w:tcPr>
            <w:tcW w:w="6804" w:type="dxa"/>
            <w:gridSpan w:val="5"/>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Check1"/>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 xml:space="preserve">Dental  </w:t>
            </w:r>
            <w:r w:rsidRPr="00881B84">
              <w:rPr>
                <w:rFonts w:ascii="Arial Narrow" w:hAnsi="Arial Narrow" w:cs="Arial"/>
                <w:sz w:val="20"/>
                <w:szCs w:val="20"/>
              </w:rPr>
              <w:fldChar w:fldCharType="begin">
                <w:ffData>
                  <w:name w:val=""/>
                  <w:enabled/>
                  <w:calcOnExit w:val="0"/>
                  <w:checkBox>
                    <w:sizeAuto/>
                    <w:default w:val="1"/>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 xml:space="preserve">Medical Practitioners  </w:t>
            </w:r>
            <w:r w:rsidRPr="00881B84">
              <w:rPr>
                <w:rFonts w:ascii="Arial Narrow" w:hAnsi="Arial Narrow" w:cs="Arial"/>
                <w:sz w:val="20"/>
                <w:szCs w:val="20"/>
              </w:rPr>
              <w:fldChar w:fldCharType="begin">
                <w:ffData>
                  <w:name w:val="Check3"/>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 xml:space="preserve">Nurse practitioners  </w:t>
            </w:r>
            <w:r w:rsidRPr="00881B84">
              <w:rPr>
                <w:rFonts w:ascii="Arial Narrow" w:hAnsi="Arial Narrow" w:cs="Arial"/>
                <w:sz w:val="20"/>
                <w:szCs w:val="20"/>
              </w:rPr>
              <w:fldChar w:fldCharType="begin">
                <w:ffData>
                  <w:name w:val=""/>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Optometrists</w:t>
            </w:r>
          </w:p>
          <w:p w:rsidR="003B7CF0" w:rsidRPr="00CD0789" w:rsidRDefault="003B7CF0"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Check5"/>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Midwives</w:t>
            </w:r>
          </w:p>
        </w:tc>
      </w:tr>
      <w:tr w:rsidR="003B7CF0" w:rsidRPr="00CD0789" w:rsidTr="003B7CF0">
        <w:trPr>
          <w:cantSplit/>
          <w:trHeight w:val="291"/>
        </w:trPr>
        <w:tc>
          <w:tcPr>
            <w:tcW w:w="2410" w:type="dxa"/>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b/>
                <w:sz w:val="20"/>
                <w:szCs w:val="20"/>
              </w:rPr>
            </w:pPr>
            <w:r w:rsidRPr="00CD0789">
              <w:rPr>
                <w:rFonts w:ascii="Arial Narrow" w:hAnsi="Arial Narrow" w:cs="Arial"/>
                <w:b/>
                <w:sz w:val="20"/>
                <w:szCs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sz w:val="20"/>
                <w:szCs w:val="20"/>
              </w:rPr>
            </w:pPr>
            <w:r w:rsidRPr="00CD0789">
              <w:rPr>
                <w:rFonts w:ascii="Arial Narrow" w:hAnsi="Arial Narrow" w:cs="Arial"/>
                <w:sz w:val="20"/>
                <w:szCs w:val="20"/>
              </w:rPr>
              <w:t xml:space="preserve">Cystic Fibrosis </w:t>
            </w:r>
          </w:p>
        </w:tc>
      </w:tr>
      <w:tr w:rsidR="003B7CF0" w:rsidRPr="00CD0789" w:rsidTr="003B7CF0">
        <w:trPr>
          <w:cantSplit/>
          <w:trHeight w:val="360"/>
        </w:trPr>
        <w:tc>
          <w:tcPr>
            <w:tcW w:w="2410" w:type="dxa"/>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b/>
                <w:sz w:val="20"/>
                <w:szCs w:val="20"/>
              </w:rPr>
            </w:pPr>
            <w:r w:rsidRPr="00CD0789">
              <w:rPr>
                <w:rFonts w:ascii="Arial Narrow" w:hAnsi="Arial Narrow" w:cs="Arial"/>
                <w:b/>
                <w:sz w:val="20"/>
                <w:szCs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sz w:val="20"/>
                <w:szCs w:val="20"/>
              </w:rPr>
            </w:pPr>
            <w:r w:rsidRPr="00CD0789">
              <w:rPr>
                <w:rFonts w:ascii="Arial Narrow" w:hAnsi="Arial Narrow" w:cs="Arial"/>
                <w:sz w:val="20"/>
                <w:szCs w:val="20"/>
              </w:rPr>
              <w:t xml:space="preserve">Continuing treatment </w:t>
            </w:r>
          </w:p>
        </w:tc>
      </w:tr>
      <w:tr w:rsidR="003B7CF0" w:rsidRPr="00CD0789" w:rsidTr="003B7CF0">
        <w:trPr>
          <w:cantSplit/>
          <w:trHeight w:val="360"/>
        </w:trPr>
        <w:tc>
          <w:tcPr>
            <w:tcW w:w="2410" w:type="dxa"/>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b/>
                <w:sz w:val="20"/>
                <w:szCs w:val="20"/>
              </w:rPr>
            </w:pPr>
            <w:r w:rsidRPr="00CD0789">
              <w:rPr>
                <w:rFonts w:ascii="Arial Narrow" w:hAnsi="Arial Narrow" w:cs="Arial"/>
                <w:b/>
                <w:sz w:val="20"/>
                <w:szCs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Check1"/>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Restricted benefit</w:t>
            </w:r>
          </w:p>
          <w:p w:rsidR="003B7CF0" w:rsidRPr="00CD0789" w:rsidRDefault="003B7CF0"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
                  <w:enabled/>
                  <w:calcOnExit w:val="0"/>
                  <w:checkBox>
                    <w:sizeAuto/>
                    <w:default w:val="1"/>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Authority Required – In Writing</w:t>
            </w:r>
          </w:p>
          <w:p w:rsidR="003B7CF0" w:rsidRPr="004616DB" w:rsidRDefault="003B7CF0"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Check3"/>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Authority Required – Telephone</w:t>
            </w:r>
            <w:r w:rsidRPr="004616DB">
              <w:rPr>
                <w:rFonts w:ascii="Arial Narrow" w:hAnsi="Arial Narrow" w:cs="Arial"/>
                <w:sz w:val="20"/>
                <w:szCs w:val="20"/>
              </w:rPr>
              <w:t>/Electronic/Emergency</w:t>
            </w:r>
          </w:p>
          <w:p w:rsidR="003B7CF0" w:rsidRPr="00CD0789" w:rsidRDefault="003B7CF0" w:rsidP="003B7CF0">
            <w:pPr>
              <w:jc w:val="both"/>
              <w:rPr>
                <w:rFonts w:ascii="Arial Narrow" w:hAnsi="Arial Narrow" w:cs="Arial"/>
                <w:sz w:val="20"/>
                <w:szCs w:val="20"/>
              </w:rPr>
            </w:pPr>
            <w:r w:rsidRPr="00881B84">
              <w:rPr>
                <w:rFonts w:ascii="Arial Narrow" w:hAnsi="Arial Narrow" w:cs="Arial"/>
                <w:sz w:val="20"/>
                <w:szCs w:val="20"/>
              </w:rPr>
              <w:fldChar w:fldCharType="begin">
                <w:ffData>
                  <w:name w:val="Check5"/>
                  <w:enabled/>
                  <w:calcOnExit w:val="0"/>
                  <w:checkBox>
                    <w:sizeAuto/>
                    <w:default w:val="0"/>
                  </w:checkBox>
                </w:ffData>
              </w:fldChar>
            </w:r>
            <w:r w:rsidRPr="00CD0789">
              <w:rPr>
                <w:rFonts w:ascii="Arial Narrow" w:hAnsi="Arial Narrow" w:cs="Arial"/>
                <w:sz w:val="20"/>
                <w:szCs w:val="20"/>
              </w:rPr>
              <w:instrText xml:space="preserve"> FORMCHECKBOX </w:instrText>
            </w:r>
            <w:r w:rsidR="00224655">
              <w:rPr>
                <w:rFonts w:ascii="Arial Narrow" w:hAnsi="Arial Narrow" w:cs="Arial"/>
                <w:sz w:val="20"/>
                <w:szCs w:val="20"/>
              </w:rPr>
            </w:r>
            <w:r w:rsidR="00224655">
              <w:rPr>
                <w:rFonts w:ascii="Arial Narrow" w:hAnsi="Arial Narrow" w:cs="Arial"/>
                <w:sz w:val="20"/>
                <w:szCs w:val="20"/>
              </w:rPr>
              <w:fldChar w:fldCharType="separate"/>
            </w:r>
            <w:r w:rsidRPr="00881B84">
              <w:rPr>
                <w:rFonts w:ascii="Arial Narrow" w:hAnsi="Arial Narrow" w:cs="Arial"/>
                <w:sz w:val="20"/>
                <w:szCs w:val="20"/>
              </w:rPr>
              <w:fldChar w:fldCharType="end"/>
            </w:r>
            <w:r w:rsidRPr="00CD0789">
              <w:rPr>
                <w:rFonts w:ascii="Arial Narrow" w:hAnsi="Arial Narrow" w:cs="Arial"/>
                <w:sz w:val="20"/>
                <w:szCs w:val="20"/>
              </w:rPr>
              <w:t>Streamlined</w:t>
            </w:r>
          </w:p>
        </w:tc>
      </w:tr>
      <w:tr w:rsidR="003B7CF0" w:rsidRPr="00CD0789" w:rsidTr="003B7CF0">
        <w:trPr>
          <w:cantSplit/>
          <w:trHeight w:val="360"/>
        </w:trPr>
        <w:tc>
          <w:tcPr>
            <w:tcW w:w="2410" w:type="dxa"/>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b/>
                <w:sz w:val="20"/>
                <w:szCs w:val="20"/>
              </w:rPr>
            </w:pPr>
            <w:r w:rsidRPr="00CD0789">
              <w:rPr>
                <w:rFonts w:ascii="Arial Narrow" w:hAnsi="Arial Narrow" w:cs="Arial"/>
                <w:b/>
                <w:sz w:val="20"/>
                <w:szCs w:val="20"/>
              </w:rPr>
              <w:t>Treatment criteria:</w:t>
            </w:r>
          </w:p>
        </w:tc>
        <w:tc>
          <w:tcPr>
            <w:tcW w:w="6804" w:type="dxa"/>
            <w:gridSpan w:val="5"/>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Must be treated by a specialist respiratory physician with expertise in cystic fibrosis, OR</w:t>
            </w:r>
          </w:p>
          <w:p w:rsidR="003B7CF0" w:rsidRPr="00CD0789" w:rsidRDefault="003B7CF0"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Must be treated in consultation with a specialist respiratory physician with expertise in cystic fibrosis if attendance is not possible due to geographic isolation;</w:t>
            </w:r>
          </w:p>
          <w:p w:rsidR="003B7CF0" w:rsidRPr="00CD0789" w:rsidRDefault="003B7CF0"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AND</w:t>
            </w:r>
          </w:p>
          <w:p w:rsidR="003B7CF0" w:rsidRPr="00CD0789" w:rsidRDefault="003B7CF0" w:rsidP="003B7CF0">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Must be treated in a centre with expertise in cystic fibrosis, OR</w:t>
            </w:r>
          </w:p>
          <w:p w:rsidR="003B7CF0" w:rsidRPr="00CD0789" w:rsidRDefault="003B7CF0" w:rsidP="003B7CF0">
            <w:pPr>
              <w:jc w:val="both"/>
              <w:rPr>
                <w:rFonts w:ascii="Arial Narrow" w:hAnsi="Arial Narrow" w:cs="Arial"/>
                <w:sz w:val="20"/>
                <w:szCs w:val="20"/>
              </w:rPr>
            </w:pPr>
            <w:r w:rsidRPr="00CD0789">
              <w:rPr>
                <w:rFonts w:ascii="Arial Narrow" w:hAnsi="Arial Narrow" w:cs="Arial"/>
                <w:snapToGrid w:val="0"/>
                <w:sz w:val="20"/>
                <w:szCs w:val="22"/>
                <w:lang w:eastAsia="en-US"/>
              </w:rPr>
              <w:t>Must be treated in consultation with a centre with expertise in cystic fibrosis if attendance is not possible due to geographic isolation.</w:t>
            </w:r>
          </w:p>
        </w:tc>
      </w:tr>
      <w:tr w:rsidR="003B7CF0" w:rsidRPr="00CD0789" w:rsidTr="003B7CF0">
        <w:trPr>
          <w:cantSplit/>
          <w:trHeight w:val="657"/>
        </w:trPr>
        <w:tc>
          <w:tcPr>
            <w:tcW w:w="2410" w:type="dxa"/>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b/>
                <w:sz w:val="20"/>
                <w:szCs w:val="20"/>
              </w:rPr>
            </w:pPr>
            <w:r w:rsidRPr="00CD0789">
              <w:rPr>
                <w:rFonts w:ascii="Arial Narrow" w:hAnsi="Arial Narrow" w:cs="Arial"/>
                <w:b/>
                <w:sz w:val="20"/>
                <w:szCs w:val="20"/>
              </w:rPr>
              <w:t>Clinical criteria:</w:t>
            </w:r>
          </w:p>
        </w:tc>
        <w:tc>
          <w:tcPr>
            <w:tcW w:w="6804" w:type="dxa"/>
            <w:gridSpan w:val="5"/>
            <w:tcBorders>
              <w:top w:val="single" w:sz="4" w:space="0" w:color="auto"/>
              <w:left w:val="single" w:sz="4" w:space="0" w:color="auto"/>
              <w:bottom w:val="single" w:sz="4" w:space="0" w:color="auto"/>
              <w:right w:val="single" w:sz="4" w:space="0" w:color="auto"/>
            </w:tcBorders>
          </w:tcPr>
          <w:p w:rsidR="00872F62" w:rsidRPr="00CD0789" w:rsidRDefault="00872F62" w:rsidP="00872F62">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Patient must have previously received PBS-subsidised treatment with this drug for this condition</w:t>
            </w:r>
          </w:p>
          <w:p w:rsidR="00872F62" w:rsidRPr="00CD0789" w:rsidRDefault="00872F62" w:rsidP="00872F62">
            <w:pPr>
              <w:jc w:val="both"/>
              <w:rPr>
                <w:rFonts w:ascii="Arial Narrow" w:hAnsi="Arial Narrow" w:cs="Arial"/>
                <w:snapToGrid w:val="0"/>
                <w:sz w:val="20"/>
                <w:szCs w:val="22"/>
                <w:lang w:eastAsia="en-US"/>
              </w:rPr>
            </w:pPr>
            <w:r w:rsidRPr="00CD0789">
              <w:rPr>
                <w:rFonts w:ascii="Arial Narrow" w:hAnsi="Arial Narrow" w:cs="Arial"/>
                <w:snapToGrid w:val="0"/>
                <w:sz w:val="20"/>
                <w:szCs w:val="22"/>
                <w:lang w:eastAsia="en-US"/>
              </w:rPr>
              <w:t xml:space="preserve">AND </w:t>
            </w:r>
          </w:p>
          <w:p w:rsidR="003B7CF0" w:rsidRPr="00CD0789" w:rsidRDefault="00872F62" w:rsidP="00872F62">
            <w:pPr>
              <w:jc w:val="both"/>
              <w:rPr>
                <w:rFonts w:ascii="Arial Narrow" w:hAnsi="Arial Narrow" w:cs="Arial"/>
                <w:sz w:val="20"/>
                <w:szCs w:val="20"/>
              </w:rPr>
            </w:pPr>
            <w:r w:rsidRPr="00CD0789">
              <w:rPr>
                <w:rFonts w:ascii="Arial Narrow" w:hAnsi="Arial Narrow" w:cs="Arial"/>
                <w:snapToGrid w:val="0"/>
                <w:sz w:val="20"/>
                <w:szCs w:val="22"/>
                <w:lang w:eastAsia="en-US"/>
              </w:rPr>
              <w:t>The treatment must be given concomitantly with standard therapy for this condition.</w:t>
            </w:r>
          </w:p>
        </w:tc>
      </w:tr>
      <w:tr w:rsidR="003B7CF0" w:rsidRPr="00CD0789" w:rsidTr="003B7CF0">
        <w:trPr>
          <w:cantSplit/>
          <w:trHeight w:val="318"/>
        </w:trPr>
        <w:tc>
          <w:tcPr>
            <w:tcW w:w="2410" w:type="dxa"/>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b/>
                <w:sz w:val="20"/>
                <w:szCs w:val="20"/>
              </w:rPr>
            </w:pPr>
            <w:r w:rsidRPr="00CD0789">
              <w:rPr>
                <w:rFonts w:ascii="Arial Narrow" w:hAnsi="Arial Narrow" w:cs="Arial"/>
                <w:b/>
                <w:sz w:val="20"/>
                <w:szCs w:val="20"/>
              </w:rPr>
              <w:t>Population criteria:</w:t>
            </w:r>
          </w:p>
        </w:tc>
        <w:tc>
          <w:tcPr>
            <w:tcW w:w="6804" w:type="dxa"/>
            <w:gridSpan w:val="5"/>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sz w:val="20"/>
                <w:szCs w:val="20"/>
              </w:rPr>
            </w:pPr>
            <w:r w:rsidRPr="00CD0789">
              <w:rPr>
                <w:rFonts w:ascii="Arial Narrow" w:hAnsi="Arial Narrow"/>
                <w:sz w:val="20"/>
              </w:rPr>
              <w:t>Patient must be 12 years of age or older.</w:t>
            </w:r>
          </w:p>
        </w:tc>
      </w:tr>
      <w:tr w:rsidR="003B7CF0" w:rsidRPr="00CD0789" w:rsidTr="003B7CF0">
        <w:trPr>
          <w:trHeight w:val="489"/>
        </w:trPr>
        <w:tc>
          <w:tcPr>
            <w:tcW w:w="2410" w:type="dxa"/>
            <w:tcBorders>
              <w:top w:val="single" w:sz="4" w:space="0" w:color="auto"/>
              <w:left w:val="single" w:sz="4" w:space="0" w:color="auto"/>
              <w:bottom w:val="single" w:sz="4" w:space="0" w:color="auto"/>
              <w:right w:val="single" w:sz="4" w:space="0" w:color="auto"/>
            </w:tcBorders>
          </w:tcPr>
          <w:p w:rsidR="003B7CF0" w:rsidRPr="00CD0789" w:rsidRDefault="003B7CF0" w:rsidP="003B7CF0">
            <w:pPr>
              <w:jc w:val="both"/>
              <w:rPr>
                <w:rFonts w:ascii="Arial Narrow" w:hAnsi="Arial Narrow" w:cs="Arial"/>
                <w:b/>
                <w:sz w:val="20"/>
                <w:szCs w:val="20"/>
              </w:rPr>
            </w:pPr>
            <w:r w:rsidRPr="00CD0789">
              <w:rPr>
                <w:rFonts w:ascii="Arial Narrow" w:hAnsi="Arial Narrow"/>
                <w:b/>
                <w:sz w:val="20"/>
              </w:rPr>
              <w:t>Prescriber Instructions:</w:t>
            </w:r>
          </w:p>
        </w:tc>
        <w:tc>
          <w:tcPr>
            <w:tcW w:w="6804" w:type="dxa"/>
            <w:gridSpan w:val="5"/>
            <w:tcBorders>
              <w:top w:val="single" w:sz="4" w:space="0" w:color="auto"/>
              <w:left w:val="single" w:sz="4" w:space="0" w:color="auto"/>
              <w:bottom w:val="single" w:sz="4" w:space="0" w:color="auto"/>
              <w:right w:val="single" w:sz="4" w:space="0" w:color="auto"/>
            </w:tcBorders>
          </w:tcPr>
          <w:p w:rsidR="003B7CF0" w:rsidRPr="00CD0789" w:rsidRDefault="003B7CF0" w:rsidP="003B7CF0">
            <w:pPr>
              <w:rPr>
                <w:rFonts w:ascii="Arial Narrow" w:hAnsi="Arial Narrow"/>
                <w:sz w:val="20"/>
              </w:rPr>
            </w:pPr>
            <w:r w:rsidRPr="00CD0789">
              <w:rPr>
                <w:rFonts w:ascii="Arial Narrow" w:hAnsi="Arial Narrow"/>
                <w:sz w:val="20"/>
              </w:rPr>
              <w:t xml:space="preserve">The patient must be registered in the Australian Cystic Fibrosis Database Registry. </w:t>
            </w:r>
          </w:p>
          <w:p w:rsidR="003B7CF0" w:rsidRPr="00CD0789" w:rsidRDefault="003B7CF0" w:rsidP="003B7CF0">
            <w:pPr>
              <w:rPr>
                <w:rFonts w:ascii="Arial Narrow" w:hAnsi="Arial Narrow"/>
                <w:sz w:val="20"/>
              </w:rPr>
            </w:pPr>
          </w:p>
          <w:p w:rsidR="003B7CF0" w:rsidRPr="00CD0789" w:rsidRDefault="003B7CF0" w:rsidP="003B7CF0">
            <w:pPr>
              <w:rPr>
                <w:rFonts w:ascii="Arial Narrow" w:hAnsi="Arial Narrow"/>
                <w:sz w:val="20"/>
              </w:rPr>
            </w:pPr>
            <w:r w:rsidRPr="00CD0789">
              <w:rPr>
                <w:rFonts w:ascii="Arial Narrow" w:hAnsi="Arial Narrow"/>
                <w:sz w:val="20"/>
              </w:rPr>
              <w:t>Treatment must not be given to a patient who has an acute upper or lower respiratory infection, pulmonary exacerbation, or changes in therapy (including antibiotics) for pulmonary disease in the last 4 weeks prior to commencing this drug.</w:t>
            </w:r>
          </w:p>
          <w:p w:rsidR="003B7CF0" w:rsidRPr="00CD0789" w:rsidRDefault="003B7CF0" w:rsidP="003B7CF0">
            <w:pPr>
              <w:rPr>
                <w:rFonts w:ascii="Arial Narrow" w:hAnsi="Arial Narrow"/>
                <w:sz w:val="20"/>
              </w:rPr>
            </w:pPr>
          </w:p>
          <w:p w:rsidR="003B7CF0" w:rsidRPr="00CD0789" w:rsidRDefault="003B7CF0" w:rsidP="003B7CF0">
            <w:pPr>
              <w:rPr>
                <w:rFonts w:ascii="Arial Narrow" w:hAnsi="Arial Narrow"/>
                <w:sz w:val="20"/>
              </w:rPr>
            </w:pPr>
            <w:r w:rsidRPr="00CD0789">
              <w:rPr>
                <w:rFonts w:ascii="Arial Narrow" w:hAnsi="Arial Narrow"/>
                <w:snapToGrid w:val="0"/>
                <w:sz w:val="20"/>
              </w:rPr>
              <w:t>For the purposes of this restriction, PBS subsidised ‘CFTR modulator’ means ivacaftor, lumacaftor/ivacaftor and tezacaftor/ivacaftor</w:t>
            </w:r>
          </w:p>
          <w:p w:rsidR="003B7CF0" w:rsidRPr="00CD0789" w:rsidRDefault="003B7CF0" w:rsidP="003B7CF0">
            <w:pPr>
              <w:rPr>
                <w:rFonts w:ascii="Arial Narrow" w:hAnsi="Arial Narrow"/>
                <w:sz w:val="20"/>
              </w:rPr>
            </w:pPr>
          </w:p>
          <w:p w:rsidR="003B7CF0" w:rsidRPr="00CD0789" w:rsidRDefault="003B7CF0" w:rsidP="003B7CF0">
            <w:pPr>
              <w:rPr>
                <w:rFonts w:ascii="Arial Narrow" w:hAnsi="Arial Narrow"/>
                <w:sz w:val="20"/>
              </w:rPr>
            </w:pPr>
            <w:r w:rsidRPr="00CD0789">
              <w:rPr>
                <w:rFonts w:ascii="Arial Narrow" w:hAnsi="Arial Narrow"/>
                <w:sz w:val="20"/>
              </w:rPr>
              <w:t>For the purposes of this restriction, the list of mutations considered to be responsive to tezacaftor with ivacaftor is defined in the TGA approved product information.</w:t>
            </w:r>
          </w:p>
          <w:p w:rsidR="003B7CF0" w:rsidRPr="00CD0789" w:rsidRDefault="003B7CF0" w:rsidP="003B7CF0">
            <w:pPr>
              <w:rPr>
                <w:rFonts w:ascii="Arial Narrow" w:hAnsi="Arial Narrow"/>
                <w:sz w:val="20"/>
              </w:rPr>
            </w:pPr>
          </w:p>
          <w:p w:rsidR="003B7CF0" w:rsidRPr="00CD0789" w:rsidRDefault="003B7CF0" w:rsidP="003B7CF0">
            <w:pPr>
              <w:rPr>
                <w:rFonts w:ascii="Arial Narrow" w:hAnsi="Arial Narrow"/>
                <w:sz w:val="20"/>
              </w:rPr>
            </w:pPr>
            <w:r w:rsidRPr="00CD0789">
              <w:rPr>
                <w:rFonts w:ascii="Arial Narrow" w:hAnsi="Arial Narrow"/>
                <w:sz w:val="20"/>
              </w:rP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p>
          <w:p w:rsidR="003B7CF0" w:rsidRPr="00CD0789" w:rsidRDefault="003B7CF0" w:rsidP="003B7CF0">
            <w:pPr>
              <w:rPr>
                <w:rFonts w:ascii="Arial Narrow" w:hAnsi="Arial Narrow"/>
                <w:sz w:val="20"/>
              </w:rPr>
            </w:pPr>
            <w:r w:rsidRPr="00CD0789">
              <w:rPr>
                <w:rFonts w:ascii="Arial Narrow" w:hAnsi="Arial Narrow"/>
                <w:sz w:val="20"/>
              </w:rP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p>
          <w:p w:rsidR="003B7CF0" w:rsidRPr="00CD0789" w:rsidRDefault="003B7CF0" w:rsidP="003B7CF0">
            <w:pPr>
              <w:rPr>
                <w:rFonts w:ascii="Arial Narrow" w:hAnsi="Arial Narrow"/>
                <w:sz w:val="20"/>
              </w:rPr>
            </w:pPr>
          </w:p>
          <w:p w:rsidR="003B7CF0" w:rsidRPr="00CD0789" w:rsidRDefault="003B7CF0" w:rsidP="003B7CF0">
            <w:pPr>
              <w:rPr>
                <w:rFonts w:ascii="Arial Narrow" w:hAnsi="Arial Narrow"/>
                <w:sz w:val="20"/>
              </w:rPr>
            </w:pPr>
            <w:r w:rsidRPr="00CD0789">
              <w:rPr>
                <w:rFonts w:ascii="Arial Narrow" w:hAnsi="Arial Narrow"/>
                <w:sz w:val="20"/>
              </w:rPr>
              <w:t>Tezacaftor with ivacaftor is not PBS-subsidised for this condition in a patient who is currently receiving one of the following CYP3A4 inducers:</w:t>
            </w:r>
          </w:p>
          <w:p w:rsidR="003B7CF0" w:rsidRPr="00CD0789" w:rsidRDefault="003B7CF0" w:rsidP="003B7CF0">
            <w:pPr>
              <w:rPr>
                <w:rFonts w:ascii="Arial Narrow" w:hAnsi="Arial Narrow"/>
                <w:sz w:val="20"/>
              </w:rPr>
            </w:pPr>
          </w:p>
          <w:p w:rsidR="003B7CF0" w:rsidRPr="00CD0789" w:rsidRDefault="003B7CF0" w:rsidP="003B7CF0">
            <w:pPr>
              <w:rPr>
                <w:rFonts w:ascii="Arial Narrow" w:hAnsi="Arial Narrow"/>
                <w:sz w:val="20"/>
              </w:rPr>
            </w:pPr>
            <w:r w:rsidRPr="00CD0789">
              <w:rPr>
                <w:rFonts w:ascii="Arial Narrow" w:hAnsi="Arial Narrow"/>
                <w:sz w:val="20"/>
              </w:rPr>
              <w:t>Strong CYP3A4 inducers: avasimibe, carbamazepine, phenobarbital, phenytoin, rifabutin, rifampicin, St. John's wort</w:t>
            </w:r>
          </w:p>
          <w:p w:rsidR="003B7CF0" w:rsidRPr="00CD0789" w:rsidRDefault="003B7CF0" w:rsidP="003B7CF0">
            <w:pPr>
              <w:rPr>
                <w:rFonts w:ascii="Arial Narrow" w:hAnsi="Arial Narrow"/>
                <w:sz w:val="20"/>
              </w:rPr>
            </w:pPr>
          </w:p>
          <w:p w:rsidR="003B7CF0" w:rsidRPr="00CD0789" w:rsidRDefault="003B7CF0" w:rsidP="003B7CF0">
            <w:pPr>
              <w:rPr>
                <w:rFonts w:ascii="Arial Narrow" w:hAnsi="Arial Narrow"/>
                <w:sz w:val="20"/>
              </w:rPr>
            </w:pPr>
            <w:r w:rsidRPr="00CD0789">
              <w:rPr>
                <w:rFonts w:ascii="Arial Narrow" w:hAnsi="Arial Narrow"/>
                <w:sz w:val="20"/>
              </w:rPr>
              <w:t>Moderate CYP3A4 inducers: bosentan, efavirenz, etravirine, modafinil, nafcillin</w:t>
            </w:r>
          </w:p>
          <w:p w:rsidR="003B7CF0" w:rsidRPr="00CD0789" w:rsidRDefault="003B7CF0" w:rsidP="003B7CF0">
            <w:pPr>
              <w:rPr>
                <w:rFonts w:ascii="Arial Narrow" w:hAnsi="Arial Narrow"/>
                <w:sz w:val="20"/>
              </w:rPr>
            </w:pPr>
          </w:p>
          <w:p w:rsidR="003B7CF0" w:rsidRPr="00CD0789" w:rsidRDefault="003B7CF0" w:rsidP="003B7CF0">
            <w:pPr>
              <w:rPr>
                <w:rFonts w:ascii="Arial Narrow" w:hAnsi="Arial Narrow"/>
                <w:sz w:val="20"/>
              </w:rPr>
            </w:pPr>
            <w:r w:rsidRPr="00CD0789">
              <w:rPr>
                <w:rFonts w:ascii="Arial Narrow" w:hAnsi="Arial Narrow"/>
                <w:sz w:val="20"/>
              </w:rPr>
              <w:t>Weak CYP3A4 inducers: armodafinil, echinacea, pioglitazone, rufinamide.</w:t>
            </w:r>
          </w:p>
          <w:p w:rsidR="003B7CF0" w:rsidRPr="00CD0789" w:rsidRDefault="003B7CF0" w:rsidP="003B7CF0">
            <w:pPr>
              <w:rPr>
                <w:rFonts w:ascii="Arial Narrow" w:hAnsi="Arial Narrow"/>
                <w:sz w:val="20"/>
              </w:rPr>
            </w:pPr>
          </w:p>
          <w:p w:rsidR="003B7CF0" w:rsidRPr="00CD0789" w:rsidRDefault="003B7CF0" w:rsidP="003B7CF0">
            <w:pPr>
              <w:rPr>
                <w:rFonts w:ascii="Arial Narrow" w:hAnsi="Arial Narrow"/>
                <w:sz w:val="20"/>
              </w:rPr>
            </w:pPr>
            <w:r w:rsidRPr="00CD0789">
              <w:rPr>
                <w:rFonts w:ascii="Arial Narrow" w:hAnsi="Arial Narrow"/>
                <w:sz w:val="20"/>
              </w:rPr>
              <w:t>The authority application must be in writing and must include:</w:t>
            </w:r>
          </w:p>
          <w:p w:rsidR="003B7CF0" w:rsidRPr="00CD0789" w:rsidRDefault="003B7CF0" w:rsidP="003B7CF0">
            <w:pPr>
              <w:rPr>
                <w:rFonts w:ascii="Arial Narrow" w:hAnsi="Arial Narrow"/>
                <w:sz w:val="20"/>
              </w:rPr>
            </w:pPr>
            <w:r w:rsidRPr="00CD0789">
              <w:rPr>
                <w:rFonts w:ascii="Arial Narrow" w:hAnsi="Arial Narrow"/>
                <w:sz w:val="20"/>
              </w:rPr>
              <w:t>(1) a completed authority prescription form; and</w:t>
            </w:r>
          </w:p>
          <w:p w:rsidR="003B7CF0" w:rsidRPr="00CD0789" w:rsidRDefault="003B7CF0" w:rsidP="003B7CF0">
            <w:pPr>
              <w:rPr>
                <w:rFonts w:ascii="Arial Narrow" w:hAnsi="Arial Narrow"/>
                <w:sz w:val="20"/>
              </w:rPr>
            </w:pPr>
            <w:r w:rsidRPr="00CD0789">
              <w:rPr>
                <w:rFonts w:ascii="Arial Narrow" w:hAnsi="Arial Narrow"/>
                <w:sz w:val="20"/>
              </w:rPr>
              <w:t>(2) a completed Cystic Fibrosis Tezacaftor with Ivacaftor Authority</w:t>
            </w:r>
            <w:r w:rsidR="00872F62" w:rsidRPr="00CD0789">
              <w:rPr>
                <w:rFonts w:ascii="Arial Narrow" w:hAnsi="Arial Narrow"/>
                <w:sz w:val="20"/>
              </w:rPr>
              <w:t xml:space="preserve"> Continuing</w:t>
            </w:r>
            <w:r w:rsidRPr="00CD0789">
              <w:rPr>
                <w:rFonts w:ascii="Arial Narrow" w:hAnsi="Arial Narrow"/>
                <w:sz w:val="20"/>
              </w:rPr>
              <w:t xml:space="preserve"> Application Supporting Information Form; and</w:t>
            </w:r>
          </w:p>
          <w:p w:rsidR="003B7CF0" w:rsidRPr="00CD0789" w:rsidRDefault="00872F62" w:rsidP="003B7CF0">
            <w:pPr>
              <w:rPr>
                <w:rFonts w:ascii="Arial Narrow" w:hAnsi="Arial Narrow"/>
                <w:sz w:val="20"/>
              </w:rPr>
            </w:pPr>
            <w:r w:rsidRPr="00CD0789">
              <w:rPr>
                <w:rFonts w:ascii="Arial Narrow" w:hAnsi="Arial Narrow"/>
                <w:sz w:val="20"/>
              </w:rPr>
              <w:t xml:space="preserve">(3) </w:t>
            </w:r>
            <w:r w:rsidR="003B7CF0" w:rsidRPr="00CD0789">
              <w:rPr>
                <w:rFonts w:ascii="Arial Narrow" w:hAnsi="Arial Narrow"/>
                <w:sz w:val="20"/>
              </w:rPr>
              <w:t>the result of a FEV</w:t>
            </w:r>
            <w:r w:rsidR="003B7CF0" w:rsidRPr="00CD0789">
              <w:rPr>
                <w:rFonts w:ascii="Arial Narrow" w:hAnsi="Arial Narrow"/>
                <w:sz w:val="20"/>
                <w:vertAlign w:val="subscript"/>
              </w:rPr>
              <w:t>1</w:t>
            </w:r>
            <w:r w:rsidR="003B7CF0" w:rsidRPr="00CD0789">
              <w:rPr>
                <w:rFonts w:ascii="Arial Narrow" w:hAnsi="Arial Narrow"/>
                <w:sz w:val="20"/>
              </w:rPr>
              <w:t xml:space="preserve"> measurement performed within a month prior to the date of application. Note: FEV</w:t>
            </w:r>
            <w:r w:rsidR="003B7CF0" w:rsidRPr="00CD0789">
              <w:rPr>
                <w:rFonts w:ascii="Arial Narrow" w:hAnsi="Arial Narrow"/>
                <w:sz w:val="20"/>
                <w:vertAlign w:val="subscript"/>
              </w:rPr>
              <w:t>1</w:t>
            </w:r>
            <w:r w:rsidR="003B7CF0" w:rsidRPr="00CD0789">
              <w:rPr>
                <w:rFonts w:ascii="Arial Narrow" w:hAnsi="Arial Narrow"/>
                <w:sz w:val="20"/>
              </w:rPr>
              <w:t>, must be measured in an accredited pulmonary function laboratory, with documented no acute infective exacerbation at the time FEV</w:t>
            </w:r>
            <w:r w:rsidR="003B7CF0" w:rsidRPr="00CD0789">
              <w:rPr>
                <w:rFonts w:ascii="Arial Narrow" w:hAnsi="Arial Narrow"/>
                <w:sz w:val="20"/>
                <w:vertAlign w:val="subscript"/>
              </w:rPr>
              <w:t>1</w:t>
            </w:r>
            <w:r w:rsidR="003B7CF0" w:rsidRPr="00CD0789">
              <w:rPr>
                <w:rFonts w:ascii="Arial Narrow" w:hAnsi="Arial Narrow"/>
                <w:sz w:val="20"/>
              </w:rPr>
              <w:t xml:space="preserve"> is measured; and</w:t>
            </w:r>
          </w:p>
          <w:p w:rsidR="003B7CF0" w:rsidRPr="00CD0789" w:rsidRDefault="002E6B2C" w:rsidP="003B7CF0">
            <w:pPr>
              <w:rPr>
                <w:rFonts w:ascii="Arial Narrow" w:hAnsi="Arial Narrow"/>
                <w:sz w:val="20"/>
              </w:rPr>
            </w:pPr>
            <w:r w:rsidRPr="00CD0789">
              <w:rPr>
                <w:rFonts w:ascii="Arial Narrow" w:hAnsi="Arial Narrow"/>
                <w:sz w:val="20"/>
              </w:rPr>
              <w:t>(4)</w:t>
            </w:r>
            <w:r w:rsidR="003B7CF0" w:rsidRPr="00CD0789">
              <w:rPr>
                <w:rFonts w:ascii="Arial Narrow" w:hAnsi="Arial Narrow"/>
                <w:sz w:val="20"/>
              </w:rPr>
              <w:t xml:space="preserve"> </w:t>
            </w:r>
            <w:r w:rsidR="003B7CF0" w:rsidRPr="00CD0789">
              <w:rPr>
                <w:rFonts w:ascii="Arial Narrow" w:hAnsi="Arial Narrow"/>
                <w:strike/>
                <w:sz w:val="20"/>
              </w:rPr>
              <w:t>a copy of a current medication history, including any</w:t>
            </w:r>
            <w:r w:rsidR="003B7CF0" w:rsidRPr="00CD0789">
              <w:rPr>
                <w:rFonts w:ascii="Arial Narrow" w:hAnsi="Arial Narrow"/>
                <w:i/>
                <w:sz w:val="20"/>
              </w:rPr>
              <w:t xml:space="preserve"> </w:t>
            </w:r>
            <w:r w:rsidR="003B7CF0" w:rsidRPr="00CD0789">
              <w:rPr>
                <w:rFonts w:ascii="Arial Narrow" w:hAnsi="Arial Narrow"/>
                <w:sz w:val="20"/>
              </w:rPr>
              <w:t>current CYP3A4 inhibitors</w:t>
            </w:r>
            <w:r w:rsidR="003B7CF0" w:rsidRPr="00CD0789">
              <w:rPr>
                <w:rFonts w:ascii="Arial Narrow" w:hAnsi="Arial Narrow"/>
                <w:strike/>
                <w:sz w:val="20"/>
              </w:rPr>
              <w:t>,  or</w:t>
            </w:r>
            <w:r w:rsidR="003B7CF0" w:rsidRPr="00CD0789">
              <w:rPr>
                <w:rFonts w:ascii="Arial Narrow" w:hAnsi="Arial Narrow"/>
                <w:sz w:val="20"/>
              </w:rPr>
              <w:t xml:space="preserve"> CYP3A4 inducers and IV antibiotics</w:t>
            </w:r>
            <w:r w:rsidR="003B7CF0" w:rsidRPr="00CD0789">
              <w:rPr>
                <w:rFonts w:ascii="Arial Narrow" w:hAnsi="Arial Narrow"/>
                <w:i/>
                <w:sz w:val="20"/>
              </w:rPr>
              <w:t xml:space="preserve">; </w:t>
            </w:r>
            <w:r w:rsidR="003B7CF0" w:rsidRPr="00CD0789">
              <w:rPr>
                <w:rFonts w:ascii="Arial Narrow" w:hAnsi="Arial Narrow"/>
                <w:sz w:val="20"/>
              </w:rPr>
              <w:t xml:space="preserve">and </w:t>
            </w:r>
          </w:p>
          <w:p w:rsidR="003B7CF0" w:rsidRPr="00CD0789" w:rsidRDefault="002E6B2C" w:rsidP="003B7CF0">
            <w:pPr>
              <w:rPr>
                <w:rFonts w:ascii="Arial Narrow" w:hAnsi="Arial Narrow"/>
                <w:sz w:val="20"/>
              </w:rPr>
            </w:pPr>
            <w:r w:rsidRPr="00CD0789">
              <w:rPr>
                <w:rFonts w:ascii="Arial Narrow" w:hAnsi="Arial Narrow"/>
                <w:sz w:val="20"/>
              </w:rPr>
              <w:t>(5)</w:t>
            </w:r>
            <w:r w:rsidR="003B7CF0" w:rsidRPr="00CD0789">
              <w:rPr>
                <w:rFonts w:ascii="Arial Narrow" w:hAnsi="Arial Narrow"/>
                <w:sz w:val="20"/>
              </w:rPr>
              <w:t xml:space="preserve"> height and weight measurements at the time of application; and</w:t>
            </w:r>
          </w:p>
          <w:p w:rsidR="003B7CF0" w:rsidRPr="00CD0789" w:rsidRDefault="002E6B2C" w:rsidP="002E6B2C">
            <w:pPr>
              <w:rPr>
                <w:rFonts w:ascii="Arial Narrow" w:hAnsi="Arial Narrow"/>
                <w:sz w:val="20"/>
              </w:rPr>
            </w:pPr>
            <w:r w:rsidRPr="00CD0789">
              <w:rPr>
                <w:rFonts w:ascii="Arial Narrow" w:hAnsi="Arial Narrow"/>
                <w:sz w:val="20"/>
              </w:rPr>
              <w:t>(6)</w:t>
            </w:r>
            <w:r w:rsidR="003B7CF0" w:rsidRPr="00CD0789">
              <w:rPr>
                <w:rFonts w:ascii="Arial Narrow" w:hAnsi="Arial Narrow"/>
                <w:sz w:val="20"/>
              </w:rPr>
              <w:t xml:space="preserve"> the number of days of CF-related hospitalisation (including hospital-in-the home) in the previous 12 months.</w:t>
            </w:r>
          </w:p>
        </w:tc>
      </w:tr>
    </w:tbl>
    <w:p w:rsidR="003B7CF0" w:rsidRPr="00CD0789" w:rsidRDefault="003B7CF0" w:rsidP="003B7CF0">
      <w:pPr>
        <w:pStyle w:val="Bodytextitalics"/>
        <w:numPr>
          <w:ilvl w:val="0"/>
          <w:numId w:val="0"/>
        </w:numPr>
        <w:ind w:left="720" w:hanging="720"/>
        <w:rPr>
          <w:b/>
          <w:i w:val="0"/>
          <w:snapToGrid w:val="0"/>
        </w:rPr>
      </w:pPr>
    </w:p>
    <w:p w:rsidR="00265151" w:rsidRDefault="001D2E2F" w:rsidP="001472D7">
      <w:pPr>
        <w:rPr>
          <w:rFonts w:ascii="Arial" w:hAnsi="Arial" w:cs="Arial"/>
          <w:i/>
          <w:sz w:val="22"/>
          <w:szCs w:val="22"/>
        </w:rPr>
      </w:pPr>
      <w:r w:rsidRPr="00C14ED0">
        <w:rPr>
          <w:rFonts w:ascii="Arial" w:hAnsi="Arial" w:cs="Arial"/>
          <w:i/>
          <w:sz w:val="22"/>
          <w:szCs w:val="22"/>
        </w:rPr>
        <w:t xml:space="preserve">This </w:t>
      </w:r>
      <w:r w:rsidRPr="00845E7F">
        <w:rPr>
          <w:rFonts w:asciiTheme="minorHAnsi" w:hAnsiTheme="minorHAnsi" w:cstheme="minorHAnsi"/>
          <w:i/>
          <w:szCs w:val="22"/>
        </w:rPr>
        <w:t>restriction</w:t>
      </w:r>
      <w:r w:rsidRPr="00C14ED0">
        <w:rPr>
          <w:rFonts w:ascii="Arial" w:hAnsi="Arial" w:cs="Arial"/>
          <w:i/>
          <w:sz w:val="22"/>
          <w:szCs w:val="22"/>
        </w:rPr>
        <w:t xml:space="preserve"> may be subject to further review. Should there be any changes made to the restriction the Sponsor will be informed</w:t>
      </w:r>
    </w:p>
    <w:p w:rsidR="00894F76" w:rsidRDefault="00894F76" w:rsidP="001472D7">
      <w:pPr>
        <w:rPr>
          <w:rFonts w:ascii="Arial" w:hAnsi="Arial" w:cs="Arial"/>
          <w:i/>
          <w:sz w:val="22"/>
          <w:szCs w:val="22"/>
        </w:rPr>
      </w:pPr>
    </w:p>
    <w:p w:rsidR="00894F76" w:rsidRDefault="00894F76" w:rsidP="00894F76">
      <w:pPr>
        <w:pStyle w:val="2Sections"/>
        <w:numPr>
          <w:ilvl w:val="0"/>
          <w:numId w:val="1"/>
        </w:numPr>
        <w:rPr>
          <w:rFonts w:cstheme="minorHAnsi"/>
        </w:rPr>
      </w:pPr>
      <w:r>
        <w:t xml:space="preserve">Context for Decision </w:t>
      </w:r>
    </w:p>
    <w:p w:rsidR="00894F76" w:rsidRPr="008542A8" w:rsidRDefault="00240CF5" w:rsidP="00894F76">
      <w:pPr>
        <w:jc w:val="both"/>
        <w:rPr>
          <w:rFonts w:asciiTheme="minorHAnsi" w:hAnsiTheme="minorHAnsi" w:cs="Arial"/>
        </w:rPr>
      </w:pPr>
      <w:r w:rsidRPr="00240CF5">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894F76" w:rsidRDefault="00894F76" w:rsidP="00894F76">
      <w:pPr>
        <w:rPr>
          <w:lang w:eastAsia="en-US"/>
        </w:rPr>
      </w:pPr>
    </w:p>
    <w:p w:rsidR="00894F76" w:rsidRPr="00240CF5" w:rsidRDefault="00894F76" w:rsidP="00240CF5">
      <w:pPr>
        <w:pStyle w:val="2Sections"/>
        <w:numPr>
          <w:ilvl w:val="0"/>
          <w:numId w:val="1"/>
        </w:numPr>
      </w:pPr>
      <w:r w:rsidRPr="00D53BD3">
        <w:t>Sponsor’s Comment</w:t>
      </w:r>
    </w:p>
    <w:p w:rsidR="00894F76" w:rsidRPr="00D53BD3" w:rsidRDefault="00894F76" w:rsidP="00894F76">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p w:rsidR="00894F76" w:rsidRPr="00CD0789" w:rsidRDefault="00894F76" w:rsidP="001472D7">
      <w:pPr>
        <w:rPr>
          <w:rFonts w:asciiTheme="minorHAnsi" w:hAnsiTheme="minorHAnsi" w:cstheme="minorHAnsi"/>
          <w:snapToGrid w:val="0"/>
          <w:color w:val="FF0000"/>
          <w:lang w:eastAsia="en-US"/>
        </w:rPr>
      </w:pPr>
    </w:p>
    <w:sectPr w:rsidR="00894F76" w:rsidRPr="00CD078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55" w:rsidRDefault="00224655">
      <w:r>
        <w:separator/>
      </w:r>
    </w:p>
    <w:p w:rsidR="00224655" w:rsidRDefault="00224655"/>
  </w:endnote>
  <w:endnote w:type="continuationSeparator" w:id="0">
    <w:p w:rsidR="00224655" w:rsidRDefault="00224655">
      <w:r>
        <w:continuationSeparator/>
      </w:r>
    </w:p>
    <w:p w:rsidR="00224655" w:rsidRDefault="00224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D0789" w:rsidTr="005A3173">
      <w:trPr>
        <w:trHeight w:val="151"/>
      </w:trPr>
      <w:tc>
        <w:tcPr>
          <w:tcW w:w="2250" w:type="pct"/>
          <w:tcBorders>
            <w:top w:val="nil"/>
            <w:left w:val="nil"/>
            <w:bottom w:val="single" w:sz="4" w:space="0" w:color="4F81BD"/>
            <w:right w:val="nil"/>
          </w:tcBorders>
        </w:tcPr>
        <w:p w:rsidR="00CD0789" w:rsidRPr="005A3173" w:rsidRDefault="00CD078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D0789" w:rsidRPr="005A3173" w:rsidRDefault="00CD07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0789" w:rsidRPr="005A3173" w:rsidRDefault="00CD0789" w:rsidP="005A3173">
          <w:pPr>
            <w:pStyle w:val="Header"/>
            <w:spacing w:line="276" w:lineRule="auto"/>
            <w:rPr>
              <w:rFonts w:ascii="Calibri" w:eastAsia="MS Gothic" w:hAnsi="Calibri"/>
              <w:b/>
              <w:bCs/>
              <w:color w:val="4F81BD"/>
            </w:rPr>
          </w:pPr>
        </w:p>
      </w:tc>
    </w:tr>
    <w:tr w:rsidR="00CD0789" w:rsidTr="005A3173">
      <w:trPr>
        <w:trHeight w:val="150"/>
      </w:trPr>
      <w:tc>
        <w:tcPr>
          <w:tcW w:w="2250" w:type="pct"/>
          <w:tcBorders>
            <w:top w:val="single" w:sz="4" w:space="0" w:color="4F81BD"/>
            <w:left w:val="nil"/>
            <w:bottom w:val="nil"/>
            <w:right w:val="nil"/>
          </w:tcBorders>
        </w:tcPr>
        <w:p w:rsidR="00CD0789" w:rsidRPr="005A3173" w:rsidRDefault="00CD0789" w:rsidP="005A3173">
          <w:pPr>
            <w:pStyle w:val="Header"/>
            <w:spacing w:line="276" w:lineRule="auto"/>
            <w:rPr>
              <w:rFonts w:ascii="Calibri" w:eastAsia="MS Gothic" w:hAnsi="Calibri"/>
              <w:b/>
              <w:bCs/>
              <w:color w:val="4F81BD"/>
            </w:rPr>
          </w:pPr>
        </w:p>
      </w:tc>
      <w:tc>
        <w:tcPr>
          <w:tcW w:w="0" w:type="auto"/>
          <w:vMerge/>
          <w:vAlign w:val="center"/>
          <w:hideMark/>
        </w:tcPr>
        <w:p w:rsidR="00CD0789" w:rsidRPr="005A3173" w:rsidRDefault="00CD0789" w:rsidP="005A3173">
          <w:pPr>
            <w:rPr>
              <w:rFonts w:ascii="Calibri" w:hAnsi="Calibri"/>
              <w:color w:val="365F91"/>
              <w:sz w:val="22"/>
              <w:szCs w:val="22"/>
            </w:rPr>
          </w:pPr>
        </w:p>
      </w:tc>
      <w:tc>
        <w:tcPr>
          <w:tcW w:w="2250" w:type="pct"/>
          <w:tcBorders>
            <w:top w:val="single" w:sz="4" w:space="0" w:color="4F81BD"/>
            <w:left w:val="nil"/>
            <w:bottom w:val="nil"/>
            <w:right w:val="nil"/>
          </w:tcBorders>
        </w:tcPr>
        <w:p w:rsidR="00CD0789" w:rsidRPr="005A3173" w:rsidRDefault="00CD0789" w:rsidP="005A3173">
          <w:pPr>
            <w:pStyle w:val="Header"/>
            <w:spacing w:line="276" w:lineRule="auto"/>
            <w:rPr>
              <w:rFonts w:ascii="Calibri" w:eastAsia="MS Gothic" w:hAnsi="Calibri"/>
              <w:b/>
              <w:bCs/>
              <w:color w:val="4F81BD"/>
            </w:rPr>
          </w:pPr>
        </w:p>
      </w:tc>
    </w:tr>
  </w:tbl>
  <w:p w:rsidR="00CD0789" w:rsidRDefault="00CD078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0789" w:rsidRDefault="00CD0789">
    <w:pPr>
      <w:pStyle w:val="Footer"/>
    </w:pPr>
  </w:p>
  <w:p w:rsidR="00CD0789" w:rsidRDefault="00CD078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89" w:rsidRPr="0005385D" w:rsidRDefault="00CD0789" w:rsidP="00E27234">
    <w:pPr>
      <w:pStyle w:val="PBACFooter"/>
      <w:rPr>
        <w:rFonts w:ascii="Calibri" w:hAnsi="Calibri" w:cs="Calibri"/>
        <w:sz w:val="24"/>
      </w:rPr>
    </w:pPr>
  </w:p>
  <w:p w:rsidR="00CD0789" w:rsidRPr="0005385D" w:rsidRDefault="00CD0789" w:rsidP="00F27EC7">
    <w:pPr>
      <w:keepNext/>
      <w:tabs>
        <w:tab w:val="center" w:pos="4153"/>
        <w:tab w:val="right" w:pos="8306"/>
      </w:tabs>
      <w:spacing w:after="120"/>
      <w:ind w:left="360"/>
      <w:jc w:val="center"/>
      <w:rPr>
        <w:rFonts w:ascii="Calibri" w:hAnsi="Calibri" w:cs="Arial"/>
        <w:lang w:eastAsia="en-US"/>
      </w:rPr>
    </w:pPr>
    <w:r w:rsidRPr="00F27EC7">
      <w:rPr>
        <w:rFonts w:ascii="Calibri" w:hAnsi="Calibri" w:cs="Arial"/>
        <w:b/>
        <w:lang w:eastAsia="en-US"/>
      </w:rPr>
      <w:fldChar w:fldCharType="begin"/>
    </w:r>
    <w:r w:rsidRPr="00F27EC7">
      <w:rPr>
        <w:rFonts w:ascii="Calibri" w:hAnsi="Calibri" w:cs="Arial"/>
        <w:b/>
        <w:lang w:eastAsia="en-US"/>
      </w:rPr>
      <w:instrText xml:space="preserve"> PAGE   \* MERGEFORMAT </w:instrText>
    </w:r>
    <w:r w:rsidRPr="00F27EC7">
      <w:rPr>
        <w:rFonts w:ascii="Calibri" w:hAnsi="Calibri" w:cs="Arial"/>
        <w:b/>
        <w:lang w:eastAsia="en-US"/>
      </w:rPr>
      <w:fldChar w:fldCharType="separate"/>
    </w:r>
    <w:r w:rsidR="00224655">
      <w:rPr>
        <w:rFonts w:ascii="Calibri" w:hAnsi="Calibri" w:cs="Arial"/>
        <w:b/>
        <w:noProof/>
        <w:lang w:eastAsia="en-US"/>
      </w:rPr>
      <w:t>1</w:t>
    </w:r>
    <w:r w:rsidRPr="00F27EC7">
      <w:rPr>
        <w:rFonts w:ascii="Calibri" w:hAnsi="Calibri" w:cs="Arial"/>
        <w:b/>
        <w:noProof/>
        <w:lang w:eastAsia="en-US"/>
      </w:rPr>
      <w:fldChar w:fldCharType="end"/>
    </w:r>
    <w:r w:rsidRPr="00F27EC7">
      <w:rPr>
        <w:rFonts w:ascii="Calibri" w:hAnsi="Calibri" w:cs="Arial"/>
        <w:b/>
        <w:noProof/>
        <w:lang w:eastAsia="en-US"/>
      </w:rPr>
      <w:t xml:space="preserve"> </w:t>
    </w:r>
  </w:p>
  <w:p w:rsidR="00CD0789" w:rsidRPr="0005385D" w:rsidRDefault="00CD0789" w:rsidP="00F27EC7">
    <w:pPr>
      <w:pStyle w:val="PBACFooter"/>
      <w:rPr>
        <w:rFonts w:ascii="Calibri" w:hAnsi="Calibri" w:cs="Calibr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CD0789" w:rsidTr="005A3173">
      <w:trPr>
        <w:trHeight w:val="151"/>
      </w:trPr>
      <w:tc>
        <w:tcPr>
          <w:tcW w:w="2250" w:type="pct"/>
          <w:tcBorders>
            <w:top w:val="nil"/>
            <w:left w:val="nil"/>
            <w:bottom w:val="single" w:sz="4" w:space="0" w:color="4F81BD"/>
            <w:right w:val="nil"/>
          </w:tcBorders>
        </w:tcPr>
        <w:p w:rsidR="00CD0789" w:rsidRPr="005A3173" w:rsidRDefault="00CD078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D0789" w:rsidRPr="005A3173" w:rsidRDefault="00CD07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0789" w:rsidRPr="005A3173" w:rsidRDefault="00CD0789" w:rsidP="005A3173">
          <w:pPr>
            <w:pStyle w:val="Header"/>
            <w:spacing w:line="276" w:lineRule="auto"/>
            <w:rPr>
              <w:rFonts w:ascii="Calibri" w:eastAsia="MS Gothic" w:hAnsi="Calibri"/>
              <w:b/>
              <w:bCs/>
              <w:color w:val="4F81BD"/>
            </w:rPr>
          </w:pPr>
        </w:p>
      </w:tc>
    </w:tr>
    <w:tr w:rsidR="00CD0789" w:rsidTr="005A3173">
      <w:trPr>
        <w:trHeight w:val="150"/>
      </w:trPr>
      <w:tc>
        <w:tcPr>
          <w:tcW w:w="2250" w:type="pct"/>
          <w:tcBorders>
            <w:top w:val="single" w:sz="4" w:space="0" w:color="4F81BD"/>
            <w:left w:val="nil"/>
            <w:bottom w:val="nil"/>
            <w:right w:val="nil"/>
          </w:tcBorders>
        </w:tcPr>
        <w:p w:rsidR="00CD0789" w:rsidRPr="005A3173" w:rsidRDefault="00CD0789" w:rsidP="005A3173">
          <w:pPr>
            <w:pStyle w:val="Header"/>
            <w:spacing w:line="276" w:lineRule="auto"/>
            <w:rPr>
              <w:rFonts w:ascii="Calibri" w:eastAsia="MS Gothic" w:hAnsi="Calibri"/>
              <w:b/>
              <w:bCs/>
              <w:color w:val="4F81BD"/>
            </w:rPr>
          </w:pPr>
        </w:p>
      </w:tc>
      <w:tc>
        <w:tcPr>
          <w:tcW w:w="0" w:type="auto"/>
          <w:vMerge/>
          <w:vAlign w:val="center"/>
          <w:hideMark/>
        </w:tcPr>
        <w:p w:rsidR="00CD0789" w:rsidRPr="005A3173" w:rsidRDefault="00CD0789" w:rsidP="005A3173">
          <w:pPr>
            <w:rPr>
              <w:rFonts w:ascii="Calibri" w:hAnsi="Calibri"/>
              <w:color w:val="365F91"/>
              <w:sz w:val="22"/>
              <w:szCs w:val="22"/>
            </w:rPr>
          </w:pPr>
        </w:p>
      </w:tc>
      <w:tc>
        <w:tcPr>
          <w:tcW w:w="2250" w:type="pct"/>
          <w:tcBorders>
            <w:top w:val="single" w:sz="4" w:space="0" w:color="4F81BD"/>
            <w:left w:val="nil"/>
            <w:bottom w:val="nil"/>
            <w:right w:val="nil"/>
          </w:tcBorders>
        </w:tcPr>
        <w:p w:rsidR="00CD0789" w:rsidRPr="005A3173" w:rsidRDefault="00CD078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D0789" w:rsidTr="005A3173">
      <w:trPr>
        <w:trHeight w:val="151"/>
      </w:trPr>
      <w:tc>
        <w:tcPr>
          <w:tcW w:w="2250" w:type="pct"/>
          <w:tcBorders>
            <w:top w:val="nil"/>
            <w:left w:val="nil"/>
            <w:bottom w:val="single" w:sz="4" w:space="0" w:color="4F81BD"/>
            <w:right w:val="nil"/>
          </w:tcBorders>
        </w:tcPr>
        <w:p w:rsidR="00CD0789" w:rsidRPr="005A3173" w:rsidRDefault="00CD078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D0789" w:rsidRPr="005A3173" w:rsidRDefault="00CD07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0789" w:rsidRPr="005A3173" w:rsidRDefault="00CD0789" w:rsidP="005A3173">
          <w:pPr>
            <w:pStyle w:val="Header"/>
            <w:spacing w:line="276" w:lineRule="auto"/>
            <w:rPr>
              <w:rFonts w:ascii="Calibri" w:eastAsia="MS Gothic" w:hAnsi="Calibri"/>
              <w:b/>
              <w:bCs/>
              <w:color w:val="4F81BD"/>
            </w:rPr>
          </w:pPr>
        </w:p>
      </w:tc>
    </w:tr>
    <w:tr w:rsidR="00CD0789" w:rsidTr="005A3173">
      <w:trPr>
        <w:trHeight w:val="150"/>
      </w:trPr>
      <w:tc>
        <w:tcPr>
          <w:tcW w:w="2250" w:type="pct"/>
          <w:tcBorders>
            <w:top w:val="single" w:sz="4" w:space="0" w:color="4F81BD"/>
            <w:left w:val="nil"/>
            <w:bottom w:val="nil"/>
            <w:right w:val="nil"/>
          </w:tcBorders>
        </w:tcPr>
        <w:p w:rsidR="00CD0789" w:rsidRPr="005A3173" w:rsidRDefault="00CD0789" w:rsidP="005A3173">
          <w:pPr>
            <w:pStyle w:val="Header"/>
            <w:spacing w:line="276" w:lineRule="auto"/>
            <w:rPr>
              <w:rFonts w:ascii="Calibri" w:eastAsia="MS Gothic" w:hAnsi="Calibri"/>
              <w:b/>
              <w:bCs/>
              <w:color w:val="4F81BD"/>
            </w:rPr>
          </w:pPr>
        </w:p>
      </w:tc>
      <w:tc>
        <w:tcPr>
          <w:tcW w:w="0" w:type="auto"/>
          <w:vMerge/>
          <w:vAlign w:val="center"/>
          <w:hideMark/>
        </w:tcPr>
        <w:p w:rsidR="00CD0789" w:rsidRPr="005A3173" w:rsidRDefault="00CD0789" w:rsidP="005A3173">
          <w:pPr>
            <w:rPr>
              <w:rFonts w:ascii="Calibri" w:hAnsi="Calibri"/>
              <w:color w:val="365F91"/>
              <w:sz w:val="22"/>
              <w:szCs w:val="22"/>
            </w:rPr>
          </w:pPr>
        </w:p>
      </w:tc>
      <w:tc>
        <w:tcPr>
          <w:tcW w:w="2250" w:type="pct"/>
          <w:tcBorders>
            <w:top w:val="single" w:sz="4" w:space="0" w:color="4F81BD"/>
            <w:left w:val="nil"/>
            <w:bottom w:val="nil"/>
            <w:right w:val="nil"/>
          </w:tcBorders>
        </w:tcPr>
        <w:p w:rsidR="00CD0789" w:rsidRPr="005A3173" w:rsidRDefault="00CD0789" w:rsidP="005A3173">
          <w:pPr>
            <w:pStyle w:val="Header"/>
            <w:spacing w:line="276" w:lineRule="auto"/>
            <w:rPr>
              <w:rFonts w:ascii="Calibri" w:eastAsia="MS Gothic" w:hAnsi="Calibri"/>
              <w:b/>
              <w:bCs/>
              <w:color w:val="4F81BD"/>
            </w:rPr>
          </w:pPr>
        </w:p>
      </w:tc>
    </w:tr>
  </w:tbl>
  <w:p w:rsidR="00CD0789" w:rsidRPr="007C0F57" w:rsidRDefault="00CD078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D0789" w:rsidRPr="007C0F57" w:rsidRDefault="00CD0789" w:rsidP="007C0F57">
    <w:pPr>
      <w:pStyle w:val="Footer"/>
      <w:jc w:val="center"/>
      <w:rPr>
        <w:b/>
        <w:i/>
        <w:sz w:val="20"/>
        <w:szCs w:val="20"/>
      </w:rPr>
    </w:pPr>
    <w:r w:rsidRPr="007C0F57">
      <w:rPr>
        <w:b/>
        <w:i/>
        <w:sz w:val="20"/>
        <w:szCs w:val="20"/>
      </w:rPr>
      <w:t>Commercial-in-Confidence</w:t>
    </w:r>
  </w:p>
  <w:p w:rsidR="00CD0789" w:rsidRDefault="00CD07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55" w:rsidRDefault="00224655">
      <w:r>
        <w:separator/>
      </w:r>
    </w:p>
    <w:p w:rsidR="00224655" w:rsidRDefault="00224655"/>
  </w:footnote>
  <w:footnote w:type="continuationSeparator" w:id="0">
    <w:p w:rsidR="00224655" w:rsidRDefault="00224655">
      <w:r>
        <w:continuationSeparator/>
      </w:r>
    </w:p>
    <w:p w:rsidR="00224655" w:rsidRDefault="002246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D0789" w:rsidRPr="008E0D90" w:rsidTr="00A06225">
      <w:trPr>
        <w:trHeight w:val="151"/>
      </w:trPr>
      <w:tc>
        <w:tcPr>
          <w:tcW w:w="2389" w:type="pct"/>
          <w:tcBorders>
            <w:top w:val="nil"/>
            <w:left w:val="nil"/>
            <w:bottom w:val="single" w:sz="4" w:space="0" w:color="4F81BD"/>
            <w:right w:val="nil"/>
          </w:tcBorders>
        </w:tcPr>
        <w:p w:rsidR="00CD0789" w:rsidRPr="00A06225" w:rsidRDefault="00CD0789">
          <w:pPr>
            <w:pStyle w:val="Header"/>
            <w:spacing w:line="276" w:lineRule="auto"/>
            <w:rPr>
              <w:rFonts w:ascii="Cambria" w:eastAsia="MS Gothic" w:hAnsi="Cambria"/>
              <w:b/>
              <w:bCs/>
              <w:color w:val="4F81BD"/>
            </w:rPr>
          </w:pPr>
        </w:p>
      </w:tc>
      <w:tc>
        <w:tcPr>
          <w:tcW w:w="333" w:type="pct"/>
          <w:vMerge w:val="restart"/>
          <w:noWrap/>
          <w:vAlign w:val="center"/>
          <w:hideMark/>
        </w:tcPr>
        <w:p w:rsidR="00CD0789" w:rsidRPr="00A06225" w:rsidRDefault="00CD078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D0789" w:rsidRPr="00A06225" w:rsidRDefault="00CD0789">
          <w:pPr>
            <w:pStyle w:val="Header"/>
            <w:spacing w:line="276" w:lineRule="auto"/>
            <w:rPr>
              <w:rFonts w:ascii="Cambria" w:eastAsia="MS Gothic" w:hAnsi="Cambria"/>
              <w:b/>
              <w:bCs/>
              <w:color w:val="4F81BD"/>
            </w:rPr>
          </w:pPr>
        </w:p>
      </w:tc>
    </w:tr>
    <w:tr w:rsidR="00CD0789" w:rsidRPr="008E0D90" w:rsidTr="00A06225">
      <w:trPr>
        <w:trHeight w:val="150"/>
      </w:trPr>
      <w:tc>
        <w:tcPr>
          <w:tcW w:w="2389" w:type="pct"/>
          <w:tcBorders>
            <w:top w:val="single" w:sz="4" w:space="0" w:color="4F81BD"/>
            <w:left w:val="nil"/>
            <w:bottom w:val="nil"/>
            <w:right w:val="nil"/>
          </w:tcBorders>
        </w:tcPr>
        <w:p w:rsidR="00CD0789" w:rsidRPr="00A06225" w:rsidRDefault="00CD0789">
          <w:pPr>
            <w:pStyle w:val="Header"/>
            <w:spacing w:line="276" w:lineRule="auto"/>
            <w:rPr>
              <w:rFonts w:ascii="Cambria" w:eastAsia="MS Gothic" w:hAnsi="Cambria"/>
              <w:b/>
              <w:bCs/>
              <w:color w:val="4F81BD"/>
            </w:rPr>
          </w:pPr>
        </w:p>
      </w:tc>
      <w:tc>
        <w:tcPr>
          <w:tcW w:w="0" w:type="auto"/>
          <w:vMerge/>
          <w:vAlign w:val="center"/>
          <w:hideMark/>
        </w:tcPr>
        <w:p w:rsidR="00CD0789" w:rsidRPr="00A06225" w:rsidRDefault="00CD0789">
          <w:pPr>
            <w:rPr>
              <w:rFonts w:ascii="Cambria" w:hAnsi="Cambria"/>
              <w:color w:val="4F81BD"/>
              <w:sz w:val="22"/>
              <w:szCs w:val="22"/>
            </w:rPr>
          </w:pPr>
        </w:p>
      </w:tc>
      <w:tc>
        <w:tcPr>
          <w:tcW w:w="2278" w:type="pct"/>
          <w:tcBorders>
            <w:top w:val="single" w:sz="4" w:space="0" w:color="4F81BD"/>
            <w:left w:val="nil"/>
            <w:bottom w:val="nil"/>
            <w:right w:val="nil"/>
          </w:tcBorders>
        </w:tcPr>
        <w:p w:rsidR="00CD0789" w:rsidRPr="00A06225" w:rsidRDefault="00CD0789">
          <w:pPr>
            <w:pStyle w:val="Header"/>
            <w:spacing w:line="276" w:lineRule="auto"/>
            <w:rPr>
              <w:rFonts w:ascii="Cambria" w:eastAsia="MS Gothic" w:hAnsi="Cambria"/>
              <w:b/>
              <w:bCs/>
              <w:color w:val="4F81BD"/>
            </w:rPr>
          </w:pPr>
        </w:p>
      </w:tc>
    </w:tr>
  </w:tbl>
  <w:p w:rsidR="00CD0789" w:rsidRDefault="00CD0789">
    <w:pPr>
      <w:pStyle w:val="Header"/>
    </w:pPr>
  </w:p>
  <w:p w:rsidR="00CD0789" w:rsidRDefault="00CD078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89" w:rsidRPr="0005385D" w:rsidRDefault="00370A52" w:rsidP="00F27EC7">
    <w:pPr>
      <w:keepNext/>
      <w:tabs>
        <w:tab w:val="center" w:pos="4153"/>
        <w:tab w:val="right" w:pos="8306"/>
      </w:tabs>
      <w:ind w:left="360"/>
      <w:jc w:val="center"/>
      <w:rPr>
        <w:rFonts w:ascii="Calibri" w:hAnsi="Calibri" w:cs="Arial"/>
        <w:i/>
        <w:color w:val="808080"/>
        <w:lang w:eastAsia="en-US"/>
      </w:rPr>
    </w:pPr>
    <w:r>
      <w:rPr>
        <w:rFonts w:ascii="Calibri" w:hAnsi="Calibri" w:cs="Arial"/>
        <w:i/>
        <w:color w:val="808080"/>
        <w:lang w:eastAsia="en-US"/>
      </w:rPr>
      <w:t>Public Summary Document</w:t>
    </w:r>
    <w:r w:rsidR="00CD0789" w:rsidRPr="0005385D">
      <w:rPr>
        <w:rFonts w:ascii="Calibri" w:hAnsi="Calibri" w:cs="Arial"/>
        <w:i/>
        <w:color w:val="808080"/>
        <w:lang w:eastAsia="en-US"/>
      </w:rPr>
      <w:t xml:space="preserve"> – November 2019 PBAC Meeting</w:t>
    </w:r>
  </w:p>
  <w:p w:rsidR="00CD0789" w:rsidRDefault="00CD0789"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F4" w:rsidRDefault="005D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67257"/>
    <w:multiLevelType w:val="multilevel"/>
    <w:tmpl w:val="900ED9D8"/>
    <w:lvl w:ilvl="0">
      <w:start w:val="1"/>
      <w:numFmt w:val="decimal"/>
      <w:lvlText w:val="%1"/>
      <w:lvlJc w:val="left"/>
      <w:pPr>
        <w:ind w:left="720" w:hanging="720"/>
      </w:pPr>
      <w:rPr>
        <w:rFonts w:hint="default"/>
        <w:b/>
        <w:color w:val="000000" w:themeColor="text1"/>
      </w:rPr>
    </w:lvl>
    <w:lvl w:ilvl="1">
      <w:start w:val="1"/>
      <w:numFmt w:val="decimal"/>
      <w:lvlText w:val="%1.%2"/>
      <w:lvlJc w:val="left"/>
      <w:pPr>
        <w:ind w:left="720" w:hanging="720"/>
      </w:pPr>
      <w:rPr>
        <w:rFonts w:hint="default"/>
        <w:b w:val="0"/>
        <w:i w:val="0"/>
        <w:color w:val="000000" w:themeColor="text1"/>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6" w15:restartNumberingAfterBreak="0">
    <w:nsid w:val="42DB130E"/>
    <w:multiLevelType w:val="hybridMultilevel"/>
    <w:tmpl w:val="6A5EF9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84D033C"/>
    <w:multiLevelType w:val="multilevel"/>
    <w:tmpl w:val="8AECED84"/>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i w:val="0"/>
        <w:color w:val="000000" w:themeColor="text1"/>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6"/>
  </w:num>
  <w:num w:numId="4">
    <w:abstractNumId w:val="11"/>
  </w:num>
  <w:num w:numId="5">
    <w:abstractNumId w:val="7"/>
  </w:num>
  <w:num w:numId="6">
    <w:abstractNumId w:val="10"/>
  </w:num>
  <w:num w:numId="7">
    <w:abstractNumId w:val="17"/>
  </w:num>
  <w:num w:numId="8">
    <w:abstractNumId w:val="13"/>
  </w:num>
  <w:num w:numId="9">
    <w:abstractNumId w:val="15"/>
  </w:num>
  <w:num w:numId="10">
    <w:abstractNumId w:val="9"/>
  </w:num>
  <w:num w:numId="11">
    <w:abstractNumId w:val="2"/>
  </w:num>
  <w:num w:numId="12">
    <w:abstractNumId w:val="12"/>
  </w:num>
  <w:num w:numId="13">
    <w:abstractNumId w:val="14"/>
  </w:num>
  <w:num w:numId="14">
    <w:abstractNumId w:val="5"/>
    <w:lvlOverride w:ilvl="0">
      <w:startOverride w:val="1"/>
    </w:lvlOverride>
  </w:num>
  <w:num w:numId="15">
    <w:abstractNumId w:val="5"/>
  </w:num>
  <w:num w:numId="16">
    <w:abstractNumId w:val="5"/>
    <w:lvlOverride w:ilvl="0">
      <w:startOverride w:val="1"/>
    </w:lvlOverride>
  </w:num>
  <w:num w:numId="17">
    <w:abstractNumId w:val="8"/>
  </w:num>
  <w:num w:numId="18">
    <w:abstractNumId w:val="5"/>
    <w:lvlOverride w:ilvl="0">
      <w:startOverride w:val="4"/>
    </w:lvlOverride>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16"/>
  </w:num>
  <w:num w:numId="31">
    <w:abstractNumId w:val="16"/>
  </w:num>
  <w:num w:numId="32">
    <w:abstractNumId w:val="16"/>
  </w:num>
  <w:num w:numId="33">
    <w:abstractNumId w:val="16"/>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008"/>
    <w:rsid w:val="0000335D"/>
    <w:rsid w:val="00010B59"/>
    <w:rsid w:val="00011A59"/>
    <w:rsid w:val="00016A41"/>
    <w:rsid w:val="00020FEB"/>
    <w:rsid w:val="000214D1"/>
    <w:rsid w:val="0002464A"/>
    <w:rsid w:val="0003106B"/>
    <w:rsid w:val="0003155A"/>
    <w:rsid w:val="00032F82"/>
    <w:rsid w:val="00034905"/>
    <w:rsid w:val="000421A1"/>
    <w:rsid w:val="0004240E"/>
    <w:rsid w:val="00044BE2"/>
    <w:rsid w:val="00045E26"/>
    <w:rsid w:val="000514B5"/>
    <w:rsid w:val="0005385D"/>
    <w:rsid w:val="00056CB2"/>
    <w:rsid w:val="00057269"/>
    <w:rsid w:val="000578E8"/>
    <w:rsid w:val="00060E64"/>
    <w:rsid w:val="00065B2B"/>
    <w:rsid w:val="00066755"/>
    <w:rsid w:val="00070883"/>
    <w:rsid w:val="000763D5"/>
    <w:rsid w:val="00077143"/>
    <w:rsid w:val="00082169"/>
    <w:rsid w:val="0008651D"/>
    <w:rsid w:val="00087F97"/>
    <w:rsid w:val="000918CB"/>
    <w:rsid w:val="00091B06"/>
    <w:rsid w:val="00091EBC"/>
    <w:rsid w:val="00093F42"/>
    <w:rsid w:val="000951C4"/>
    <w:rsid w:val="00095ADA"/>
    <w:rsid w:val="000969AD"/>
    <w:rsid w:val="000A2C78"/>
    <w:rsid w:val="000A3AA2"/>
    <w:rsid w:val="000A4256"/>
    <w:rsid w:val="000A44B2"/>
    <w:rsid w:val="000A4F1B"/>
    <w:rsid w:val="000A6F55"/>
    <w:rsid w:val="000B156C"/>
    <w:rsid w:val="000B1F9B"/>
    <w:rsid w:val="000B44C3"/>
    <w:rsid w:val="000B558D"/>
    <w:rsid w:val="000C04BB"/>
    <w:rsid w:val="000C1F0B"/>
    <w:rsid w:val="000C5F95"/>
    <w:rsid w:val="000C6996"/>
    <w:rsid w:val="000C7AF9"/>
    <w:rsid w:val="000D09E9"/>
    <w:rsid w:val="000D23BA"/>
    <w:rsid w:val="000E555C"/>
    <w:rsid w:val="000E681E"/>
    <w:rsid w:val="000F0003"/>
    <w:rsid w:val="000F3384"/>
    <w:rsid w:val="000F4E6A"/>
    <w:rsid w:val="000F7354"/>
    <w:rsid w:val="001015AE"/>
    <w:rsid w:val="00102202"/>
    <w:rsid w:val="00104227"/>
    <w:rsid w:val="00104EC9"/>
    <w:rsid w:val="00105501"/>
    <w:rsid w:val="001060A3"/>
    <w:rsid w:val="001107BF"/>
    <w:rsid w:val="00112D18"/>
    <w:rsid w:val="00113649"/>
    <w:rsid w:val="0012417C"/>
    <w:rsid w:val="00125592"/>
    <w:rsid w:val="00126215"/>
    <w:rsid w:val="00126D87"/>
    <w:rsid w:val="0012749D"/>
    <w:rsid w:val="00130333"/>
    <w:rsid w:val="00130F2A"/>
    <w:rsid w:val="00137985"/>
    <w:rsid w:val="00142395"/>
    <w:rsid w:val="00142714"/>
    <w:rsid w:val="001452ED"/>
    <w:rsid w:val="001472D7"/>
    <w:rsid w:val="00147D84"/>
    <w:rsid w:val="00150DF6"/>
    <w:rsid w:val="001536BB"/>
    <w:rsid w:val="001549C1"/>
    <w:rsid w:val="00154D36"/>
    <w:rsid w:val="00157177"/>
    <w:rsid w:val="00162D4E"/>
    <w:rsid w:val="00163329"/>
    <w:rsid w:val="00164623"/>
    <w:rsid w:val="001652DE"/>
    <w:rsid w:val="00165B64"/>
    <w:rsid w:val="00167D11"/>
    <w:rsid w:val="00170BF9"/>
    <w:rsid w:val="001719F9"/>
    <w:rsid w:val="001754E6"/>
    <w:rsid w:val="00175E68"/>
    <w:rsid w:val="001803EC"/>
    <w:rsid w:val="00180713"/>
    <w:rsid w:val="00181CE4"/>
    <w:rsid w:val="001830CE"/>
    <w:rsid w:val="0018643B"/>
    <w:rsid w:val="00190E31"/>
    <w:rsid w:val="00196307"/>
    <w:rsid w:val="00197C61"/>
    <w:rsid w:val="001A2C52"/>
    <w:rsid w:val="001A3110"/>
    <w:rsid w:val="001A33EA"/>
    <w:rsid w:val="001A4C4F"/>
    <w:rsid w:val="001A5093"/>
    <w:rsid w:val="001A5F85"/>
    <w:rsid w:val="001A76FB"/>
    <w:rsid w:val="001B017F"/>
    <w:rsid w:val="001B22B7"/>
    <w:rsid w:val="001B2BBC"/>
    <w:rsid w:val="001B324D"/>
    <w:rsid w:val="001B3FFE"/>
    <w:rsid w:val="001B5129"/>
    <w:rsid w:val="001C0B4C"/>
    <w:rsid w:val="001C1195"/>
    <w:rsid w:val="001C4FCA"/>
    <w:rsid w:val="001D1F5F"/>
    <w:rsid w:val="001D21D0"/>
    <w:rsid w:val="001D2E2F"/>
    <w:rsid w:val="001E06D2"/>
    <w:rsid w:val="001E2D66"/>
    <w:rsid w:val="001E5C60"/>
    <w:rsid w:val="001E7972"/>
    <w:rsid w:val="001F1850"/>
    <w:rsid w:val="001F3189"/>
    <w:rsid w:val="00203211"/>
    <w:rsid w:val="002034E4"/>
    <w:rsid w:val="00203FAC"/>
    <w:rsid w:val="00213CFB"/>
    <w:rsid w:val="0021553C"/>
    <w:rsid w:val="0021557B"/>
    <w:rsid w:val="002174FD"/>
    <w:rsid w:val="00217BE1"/>
    <w:rsid w:val="00221086"/>
    <w:rsid w:val="00224655"/>
    <w:rsid w:val="00234252"/>
    <w:rsid w:val="00237AC6"/>
    <w:rsid w:val="00240CF5"/>
    <w:rsid w:val="00244490"/>
    <w:rsid w:val="00246AA4"/>
    <w:rsid w:val="00253499"/>
    <w:rsid w:val="00254A59"/>
    <w:rsid w:val="002551A4"/>
    <w:rsid w:val="00257664"/>
    <w:rsid w:val="002605F0"/>
    <w:rsid w:val="00265151"/>
    <w:rsid w:val="00266509"/>
    <w:rsid w:val="00271BA1"/>
    <w:rsid w:val="002762FA"/>
    <w:rsid w:val="00277505"/>
    <w:rsid w:val="002823B6"/>
    <w:rsid w:val="0028471C"/>
    <w:rsid w:val="00285FA5"/>
    <w:rsid w:val="002904A2"/>
    <w:rsid w:val="00294274"/>
    <w:rsid w:val="0029458F"/>
    <w:rsid w:val="002A0E04"/>
    <w:rsid w:val="002A104C"/>
    <w:rsid w:val="002A17E5"/>
    <w:rsid w:val="002A494D"/>
    <w:rsid w:val="002A4960"/>
    <w:rsid w:val="002B0AE0"/>
    <w:rsid w:val="002B1AE6"/>
    <w:rsid w:val="002B1D51"/>
    <w:rsid w:val="002B2DE8"/>
    <w:rsid w:val="002B30F8"/>
    <w:rsid w:val="002B388A"/>
    <w:rsid w:val="002B5596"/>
    <w:rsid w:val="002C212F"/>
    <w:rsid w:val="002C7485"/>
    <w:rsid w:val="002D02D9"/>
    <w:rsid w:val="002D1669"/>
    <w:rsid w:val="002D283A"/>
    <w:rsid w:val="002D4543"/>
    <w:rsid w:val="002D530E"/>
    <w:rsid w:val="002E3153"/>
    <w:rsid w:val="002E5292"/>
    <w:rsid w:val="002E6B2C"/>
    <w:rsid w:val="002E72CA"/>
    <w:rsid w:val="002F2644"/>
    <w:rsid w:val="002F600D"/>
    <w:rsid w:val="00300AD6"/>
    <w:rsid w:val="00300B1B"/>
    <w:rsid w:val="003019D0"/>
    <w:rsid w:val="00301E75"/>
    <w:rsid w:val="003064AF"/>
    <w:rsid w:val="00317C6C"/>
    <w:rsid w:val="00320CD3"/>
    <w:rsid w:val="00326E79"/>
    <w:rsid w:val="003301B1"/>
    <w:rsid w:val="00331189"/>
    <w:rsid w:val="0033263D"/>
    <w:rsid w:val="0033518A"/>
    <w:rsid w:val="003367EF"/>
    <w:rsid w:val="00337098"/>
    <w:rsid w:val="00341AE4"/>
    <w:rsid w:val="003476EE"/>
    <w:rsid w:val="003513BE"/>
    <w:rsid w:val="003640B2"/>
    <w:rsid w:val="00364207"/>
    <w:rsid w:val="00365EE6"/>
    <w:rsid w:val="00367134"/>
    <w:rsid w:val="00367712"/>
    <w:rsid w:val="00370A52"/>
    <w:rsid w:val="003736C9"/>
    <w:rsid w:val="00377608"/>
    <w:rsid w:val="0038129D"/>
    <w:rsid w:val="00384988"/>
    <w:rsid w:val="00385056"/>
    <w:rsid w:val="003872CF"/>
    <w:rsid w:val="00387992"/>
    <w:rsid w:val="0039782C"/>
    <w:rsid w:val="003A279F"/>
    <w:rsid w:val="003A2C3B"/>
    <w:rsid w:val="003A5B4A"/>
    <w:rsid w:val="003B22D4"/>
    <w:rsid w:val="003B23C5"/>
    <w:rsid w:val="003B2A75"/>
    <w:rsid w:val="003B6124"/>
    <w:rsid w:val="003B7CF0"/>
    <w:rsid w:val="003C093A"/>
    <w:rsid w:val="003C1ECF"/>
    <w:rsid w:val="003C2FB5"/>
    <w:rsid w:val="003C3314"/>
    <w:rsid w:val="003D20D3"/>
    <w:rsid w:val="003D24C5"/>
    <w:rsid w:val="003D29FB"/>
    <w:rsid w:val="003D4593"/>
    <w:rsid w:val="003D4AC4"/>
    <w:rsid w:val="003D63B7"/>
    <w:rsid w:val="003D746C"/>
    <w:rsid w:val="003E00FA"/>
    <w:rsid w:val="003E468B"/>
    <w:rsid w:val="003E4CE8"/>
    <w:rsid w:val="003E62BD"/>
    <w:rsid w:val="003F0C3A"/>
    <w:rsid w:val="003F1562"/>
    <w:rsid w:val="003F3228"/>
    <w:rsid w:val="003F3AFE"/>
    <w:rsid w:val="003F5C8C"/>
    <w:rsid w:val="003F775A"/>
    <w:rsid w:val="00400E55"/>
    <w:rsid w:val="0040128E"/>
    <w:rsid w:val="0040216B"/>
    <w:rsid w:val="004172A0"/>
    <w:rsid w:val="00420B9B"/>
    <w:rsid w:val="00420DB4"/>
    <w:rsid w:val="004252EC"/>
    <w:rsid w:val="00430D39"/>
    <w:rsid w:val="00431BED"/>
    <w:rsid w:val="00432B77"/>
    <w:rsid w:val="004465BD"/>
    <w:rsid w:val="00452CF6"/>
    <w:rsid w:val="00453933"/>
    <w:rsid w:val="00453E3A"/>
    <w:rsid w:val="004542A6"/>
    <w:rsid w:val="00457D50"/>
    <w:rsid w:val="004610D6"/>
    <w:rsid w:val="004616DB"/>
    <w:rsid w:val="00461A44"/>
    <w:rsid w:val="00466ADA"/>
    <w:rsid w:val="00467039"/>
    <w:rsid w:val="00467E5B"/>
    <w:rsid w:val="004702BB"/>
    <w:rsid w:val="0047142A"/>
    <w:rsid w:val="00471503"/>
    <w:rsid w:val="0047494B"/>
    <w:rsid w:val="00476245"/>
    <w:rsid w:val="00477A9B"/>
    <w:rsid w:val="00483035"/>
    <w:rsid w:val="00485940"/>
    <w:rsid w:val="004904B9"/>
    <w:rsid w:val="0049120D"/>
    <w:rsid w:val="004A2484"/>
    <w:rsid w:val="004A3E27"/>
    <w:rsid w:val="004A5A85"/>
    <w:rsid w:val="004A71D1"/>
    <w:rsid w:val="004A7C5B"/>
    <w:rsid w:val="004B1B78"/>
    <w:rsid w:val="004B2E98"/>
    <w:rsid w:val="004B5640"/>
    <w:rsid w:val="004B5F06"/>
    <w:rsid w:val="004C06A9"/>
    <w:rsid w:val="004C1BD7"/>
    <w:rsid w:val="004C2A97"/>
    <w:rsid w:val="004C31FE"/>
    <w:rsid w:val="004C524C"/>
    <w:rsid w:val="004C691D"/>
    <w:rsid w:val="004C6C07"/>
    <w:rsid w:val="004D484F"/>
    <w:rsid w:val="004D4FF6"/>
    <w:rsid w:val="004D6258"/>
    <w:rsid w:val="004E692D"/>
    <w:rsid w:val="004E7D87"/>
    <w:rsid w:val="004F08FE"/>
    <w:rsid w:val="004F2553"/>
    <w:rsid w:val="005012E5"/>
    <w:rsid w:val="00501554"/>
    <w:rsid w:val="00501AFD"/>
    <w:rsid w:val="00502AFE"/>
    <w:rsid w:val="00503AD7"/>
    <w:rsid w:val="00504E0C"/>
    <w:rsid w:val="0051032E"/>
    <w:rsid w:val="005109D4"/>
    <w:rsid w:val="00513C74"/>
    <w:rsid w:val="00514BB6"/>
    <w:rsid w:val="00514CD7"/>
    <w:rsid w:val="00520D6A"/>
    <w:rsid w:val="00522DB6"/>
    <w:rsid w:val="0052792D"/>
    <w:rsid w:val="005319B2"/>
    <w:rsid w:val="00532402"/>
    <w:rsid w:val="00532C74"/>
    <w:rsid w:val="00534E2E"/>
    <w:rsid w:val="00534F78"/>
    <w:rsid w:val="0053502C"/>
    <w:rsid w:val="00544552"/>
    <w:rsid w:val="00544F1A"/>
    <w:rsid w:val="005506D3"/>
    <w:rsid w:val="005510A1"/>
    <w:rsid w:val="0055286A"/>
    <w:rsid w:val="00555745"/>
    <w:rsid w:val="00556766"/>
    <w:rsid w:val="00557C46"/>
    <w:rsid w:val="00557D4F"/>
    <w:rsid w:val="005628D7"/>
    <w:rsid w:val="0056484E"/>
    <w:rsid w:val="0056487C"/>
    <w:rsid w:val="0056503A"/>
    <w:rsid w:val="005764CD"/>
    <w:rsid w:val="00577C4D"/>
    <w:rsid w:val="00580532"/>
    <w:rsid w:val="00581932"/>
    <w:rsid w:val="005862A0"/>
    <w:rsid w:val="00587F34"/>
    <w:rsid w:val="00592606"/>
    <w:rsid w:val="00592DA2"/>
    <w:rsid w:val="005946BC"/>
    <w:rsid w:val="005963BB"/>
    <w:rsid w:val="005A0073"/>
    <w:rsid w:val="005A3173"/>
    <w:rsid w:val="005A3223"/>
    <w:rsid w:val="005A3DA3"/>
    <w:rsid w:val="005A4054"/>
    <w:rsid w:val="005A44CE"/>
    <w:rsid w:val="005A52C4"/>
    <w:rsid w:val="005A6F4D"/>
    <w:rsid w:val="005B57D1"/>
    <w:rsid w:val="005D03AB"/>
    <w:rsid w:val="005D135F"/>
    <w:rsid w:val="005D5017"/>
    <w:rsid w:val="005D63FA"/>
    <w:rsid w:val="005D6FF4"/>
    <w:rsid w:val="005E1333"/>
    <w:rsid w:val="005E2417"/>
    <w:rsid w:val="005E3136"/>
    <w:rsid w:val="005E467D"/>
    <w:rsid w:val="005E507D"/>
    <w:rsid w:val="005E6381"/>
    <w:rsid w:val="005F268F"/>
    <w:rsid w:val="005F3452"/>
    <w:rsid w:val="00601A91"/>
    <w:rsid w:val="00601C75"/>
    <w:rsid w:val="00602A01"/>
    <w:rsid w:val="00602BA3"/>
    <w:rsid w:val="00605B63"/>
    <w:rsid w:val="00606EED"/>
    <w:rsid w:val="00610D36"/>
    <w:rsid w:val="006119F2"/>
    <w:rsid w:val="00612E34"/>
    <w:rsid w:val="006135A9"/>
    <w:rsid w:val="00614159"/>
    <w:rsid w:val="00616C5F"/>
    <w:rsid w:val="00616DAC"/>
    <w:rsid w:val="00617C00"/>
    <w:rsid w:val="00621F82"/>
    <w:rsid w:val="00622DA2"/>
    <w:rsid w:val="00625043"/>
    <w:rsid w:val="006263BF"/>
    <w:rsid w:val="0062748A"/>
    <w:rsid w:val="00630A2C"/>
    <w:rsid w:val="006314A0"/>
    <w:rsid w:val="00631EE8"/>
    <w:rsid w:val="00635179"/>
    <w:rsid w:val="0063682E"/>
    <w:rsid w:val="00640CD2"/>
    <w:rsid w:val="00642DA8"/>
    <w:rsid w:val="006436CD"/>
    <w:rsid w:val="00643AF9"/>
    <w:rsid w:val="00651169"/>
    <w:rsid w:val="00653A4C"/>
    <w:rsid w:val="00653D69"/>
    <w:rsid w:val="006552E6"/>
    <w:rsid w:val="00657C63"/>
    <w:rsid w:val="00661537"/>
    <w:rsid w:val="00661F2B"/>
    <w:rsid w:val="006670BE"/>
    <w:rsid w:val="00670A76"/>
    <w:rsid w:val="006711AA"/>
    <w:rsid w:val="006711DD"/>
    <w:rsid w:val="00672B57"/>
    <w:rsid w:val="006734D2"/>
    <w:rsid w:val="00675622"/>
    <w:rsid w:val="006766B7"/>
    <w:rsid w:val="0067747D"/>
    <w:rsid w:val="00677ACF"/>
    <w:rsid w:val="00681CA4"/>
    <w:rsid w:val="00682B40"/>
    <w:rsid w:val="00683626"/>
    <w:rsid w:val="00685E74"/>
    <w:rsid w:val="0069039D"/>
    <w:rsid w:val="006906DB"/>
    <w:rsid w:val="00691E6C"/>
    <w:rsid w:val="00693DFB"/>
    <w:rsid w:val="00694F90"/>
    <w:rsid w:val="0069501D"/>
    <w:rsid w:val="00696129"/>
    <w:rsid w:val="00696A89"/>
    <w:rsid w:val="00697CF2"/>
    <w:rsid w:val="006A12A5"/>
    <w:rsid w:val="006A1D08"/>
    <w:rsid w:val="006A5E20"/>
    <w:rsid w:val="006B0D94"/>
    <w:rsid w:val="006B10E0"/>
    <w:rsid w:val="006B1273"/>
    <w:rsid w:val="006B485D"/>
    <w:rsid w:val="006B4FE5"/>
    <w:rsid w:val="006B5331"/>
    <w:rsid w:val="006C334C"/>
    <w:rsid w:val="006C43D6"/>
    <w:rsid w:val="006C4CCE"/>
    <w:rsid w:val="006C708E"/>
    <w:rsid w:val="006D14E7"/>
    <w:rsid w:val="006D4444"/>
    <w:rsid w:val="006D5151"/>
    <w:rsid w:val="006D6493"/>
    <w:rsid w:val="006D6EC7"/>
    <w:rsid w:val="006E1BCD"/>
    <w:rsid w:val="006E4716"/>
    <w:rsid w:val="006F1D6D"/>
    <w:rsid w:val="006F5125"/>
    <w:rsid w:val="006F733D"/>
    <w:rsid w:val="00701442"/>
    <w:rsid w:val="00702B6F"/>
    <w:rsid w:val="007050AB"/>
    <w:rsid w:val="00706A2F"/>
    <w:rsid w:val="0070718E"/>
    <w:rsid w:val="007105BF"/>
    <w:rsid w:val="00710C65"/>
    <w:rsid w:val="0071340B"/>
    <w:rsid w:val="00714540"/>
    <w:rsid w:val="007174BB"/>
    <w:rsid w:val="0072025D"/>
    <w:rsid w:val="0072158B"/>
    <w:rsid w:val="00730D11"/>
    <w:rsid w:val="0073137C"/>
    <w:rsid w:val="007353D3"/>
    <w:rsid w:val="0074156B"/>
    <w:rsid w:val="0074233E"/>
    <w:rsid w:val="00743652"/>
    <w:rsid w:val="00750AF0"/>
    <w:rsid w:val="007555E8"/>
    <w:rsid w:val="0076353D"/>
    <w:rsid w:val="0076420C"/>
    <w:rsid w:val="00765D94"/>
    <w:rsid w:val="00771D07"/>
    <w:rsid w:val="0077498D"/>
    <w:rsid w:val="00774E2C"/>
    <w:rsid w:val="007753C2"/>
    <w:rsid w:val="007838B8"/>
    <w:rsid w:val="007915BA"/>
    <w:rsid w:val="00793F70"/>
    <w:rsid w:val="007A2031"/>
    <w:rsid w:val="007B1CFD"/>
    <w:rsid w:val="007B31AA"/>
    <w:rsid w:val="007B330A"/>
    <w:rsid w:val="007B3DDC"/>
    <w:rsid w:val="007B72A6"/>
    <w:rsid w:val="007C0F57"/>
    <w:rsid w:val="007C40B6"/>
    <w:rsid w:val="007C729F"/>
    <w:rsid w:val="007D11C6"/>
    <w:rsid w:val="007D21FE"/>
    <w:rsid w:val="007D353E"/>
    <w:rsid w:val="007D5E7D"/>
    <w:rsid w:val="007E1D28"/>
    <w:rsid w:val="007E3B4E"/>
    <w:rsid w:val="007E645E"/>
    <w:rsid w:val="007E73E6"/>
    <w:rsid w:val="007F0021"/>
    <w:rsid w:val="007F2641"/>
    <w:rsid w:val="007F7C36"/>
    <w:rsid w:val="00802494"/>
    <w:rsid w:val="00806796"/>
    <w:rsid w:val="00807355"/>
    <w:rsid w:val="00811CC0"/>
    <w:rsid w:val="008151D6"/>
    <w:rsid w:val="00815BFA"/>
    <w:rsid w:val="00821527"/>
    <w:rsid w:val="00825C64"/>
    <w:rsid w:val="008268BB"/>
    <w:rsid w:val="00826F6D"/>
    <w:rsid w:val="008306F3"/>
    <w:rsid w:val="00830904"/>
    <w:rsid w:val="00830E40"/>
    <w:rsid w:val="008361A3"/>
    <w:rsid w:val="00845E7F"/>
    <w:rsid w:val="0085426A"/>
    <w:rsid w:val="00855FD6"/>
    <w:rsid w:val="00856DDD"/>
    <w:rsid w:val="00860064"/>
    <w:rsid w:val="00861657"/>
    <w:rsid w:val="00863E68"/>
    <w:rsid w:val="008647B5"/>
    <w:rsid w:val="00872F62"/>
    <w:rsid w:val="00875DCB"/>
    <w:rsid w:val="00876F18"/>
    <w:rsid w:val="008779E0"/>
    <w:rsid w:val="00881B84"/>
    <w:rsid w:val="00881C5C"/>
    <w:rsid w:val="00882085"/>
    <w:rsid w:val="00883188"/>
    <w:rsid w:val="00894F76"/>
    <w:rsid w:val="00895FE7"/>
    <w:rsid w:val="00897D58"/>
    <w:rsid w:val="00897F22"/>
    <w:rsid w:val="008A06B6"/>
    <w:rsid w:val="008A0B39"/>
    <w:rsid w:val="008A1956"/>
    <w:rsid w:val="008A4937"/>
    <w:rsid w:val="008A4A85"/>
    <w:rsid w:val="008A50F1"/>
    <w:rsid w:val="008A53DC"/>
    <w:rsid w:val="008A59D9"/>
    <w:rsid w:val="008A6819"/>
    <w:rsid w:val="008A774E"/>
    <w:rsid w:val="008B2EC0"/>
    <w:rsid w:val="008B49B1"/>
    <w:rsid w:val="008B4A92"/>
    <w:rsid w:val="008C13F3"/>
    <w:rsid w:val="008C1B57"/>
    <w:rsid w:val="008C204F"/>
    <w:rsid w:val="008C2339"/>
    <w:rsid w:val="008C5335"/>
    <w:rsid w:val="008D1B5C"/>
    <w:rsid w:val="008D3C82"/>
    <w:rsid w:val="008D447E"/>
    <w:rsid w:val="008D6703"/>
    <w:rsid w:val="008D7A41"/>
    <w:rsid w:val="008E1117"/>
    <w:rsid w:val="008E2C72"/>
    <w:rsid w:val="008E3680"/>
    <w:rsid w:val="008E4872"/>
    <w:rsid w:val="008E5870"/>
    <w:rsid w:val="008F1434"/>
    <w:rsid w:val="008F1C70"/>
    <w:rsid w:val="008F3769"/>
    <w:rsid w:val="008F54C3"/>
    <w:rsid w:val="008F70B4"/>
    <w:rsid w:val="008F7355"/>
    <w:rsid w:val="0090215F"/>
    <w:rsid w:val="009023DC"/>
    <w:rsid w:val="0090600A"/>
    <w:rsid w:val="009067B7"/>
    <w:rsid w:val="00914B74"/>
    <w:rsid w:val="00920677"/>
    <w:rsid w:val="00926560"/>
    <w:rsid w:val="00926F02"/>
    <w:rsid w:val="00930937"/>
    <w:rsid w:val="0093224C"/>
    <w:rsid w:val="009324A6"/>
    <w:rsid w:val="00933E6C"/>
    <w:rsid w:val="00937958"/>
    <w:rsid w:val="00941602"/>
    <w:rsid w:val="00942160"/>
    <w:rsid w:val="00942523"/>
    <w:rsid w:val="0095146F"/>
    <w:rsid w:val="0095470C"/>
    <w:rsid w:val="00957944"/>
    <w:rsid w:val="009602C5"/>
    <w:rsid w:val="00962223"/>
    <w:rsid w:val="009658AC"/>
    <w:rsid w:val="00966D0D"/>
    <w:rsid w:val="0096783C"/>
    <w:rsid w:val="009722B3"/>
    <w:rsid w:val="009737E0"/>
    <w:rsid w:val="00974A4A"/>
    <w:rsid w:val="00974C21"/>
    <w:rsid w:val="00977BF3"/>
    <w:rsid w:val="009803E4"/>
    <w:rsid w:val="00980B0E"/>
    <w:rsid w:val="009830ED"/>
    <w:rsid w:val="009836A3"/>
    <w:rsid w:val="009855A8"/>
    <w:rsid w:val="00985AE9"/>
    <w:rsid w:val="00986A49"/>
    <w:rsid w:val="009913F4"/>
    <w:rsid w:val="0099465B"/>
    <w:rsid w:val="00997F28"/>
    <w:rsid w:val="009A0CDD"/>
    <w:rsid w:val="009A3168"/>
    <w:rsid w:val="009A3C20"/>
    <w:rsid w:val="009A5AF1"/>
    <w:rsid w:val="009A61CA"/>
    <w:rsid w:val="009B0C64"/>
    <w:rsid w:val="009B0F67"/>
    <w:rsid w:val="009B6129"/>
    <w:rsid w:val="009C703C"/>
    <w:rsid w:val="009D132F"/>
    <w:rsid w:val="009D206E"/>
    <w:rsid w:val="009D3CAA"/>
    <w:rsid w:val="009D42A9"/>
    <w:rsid w:val="009D6532"/>
    <w:rsid w:val="009E40E1"/>
    <w:rsid w:val="009E7FA9"/>
    <w:rsid w:val="009F0EFA"/>
    <w:rsid w:val="009F22E5"/>
    <w:rsid w:val="009F2C1D"/>
    <w:rsid w:val="009F4E46"/>
    <w:rsid w:val="009F4EFE"/>
    <w:rsid w:val="009F5B65"/>
    <w:rsid w:val="009F5F2E"/>
    <w:rsid w:val="00A00B9E"/>
    <w:rsid w:val="00A044AD"/>
    <w:rsid w:val="00A049F8"/>
    <w:rsid w:val="00A04E9A"/>
    <w:rsid w:val="00A06225"/>
    <w:rsid w:val="00A128E6"/>
    <w:rsid w:val="00A12FCD"/>
    <w:rsid w:val="00A144D3"/>
    <w:rsid w:val="00A22AC3"/>
    <w:rsid w:val="00A23C9E"/>
    <w:rsid w:val="00A2744D"/>
    <w:rsid w:val="00A304A0"/>
    <w:rsid w:val="00A31BE7"/>
    <w:rsid w:val="00A34AB7"/>
    <w:rsid w:val="00A34E6C"/>
    <w:rsid w:val="00A36398"/>
    <w:rsid w:val="00A37C8D"/>
    <w:rsid w:val="00A4020E"/>
    <w:rsid w:val="00A40FB5"/>
    <w:rsid w:val="00A42826"/>
    <w:rsid w:val="00A46CB1"/>
    <w:rsid w:val="00A47397"/>
    <w:rsid w:val="00A5273B"/>
    <w:rsid w:val="00A53A9D"/>
    <w:rsid w:val="00A545FF"/>
    <w:rsid w:val="00A559C0"/>
    <w:rsid w:val="00A55FEE"/>
    <w:rsid w:val="00A56736"/>
    <w:rsid w:val="00A62C1A"/>
    <w:rsid w:val="00A6375B"/>
    <w:rsid w:val="00A6426D"/>
    <w:rsid w:val="00A64E18"/>
    <w:rsid w:val="00A665C1"/>
    <w:rsid w:val="00A66F1E"/>
    <w:rsid w:val="00A70622"/>
    <w:rsid w:val="00A70977"/>
    <w:rsid w:val="00A70D58"/>
    <w:rsid w:val="00A73028"/>
    <w:rsid w:val="00A744F9"/>
    <w:rsid w:val="00A7536B"/>
    <w:rsid w:val="00A77613"/>
    <w:rsid w:val="00A8390C"/>
    <w:rsid w:val="00A9103A"/>
    <w:rsid w:val="00A928BD"/>
    <w:rsid w:val="00A97DE9"/>
    <w:rsid w:val="00AA12CD"/>
    <w:rsid w:val="00AA293C"/>
    <w:rsid w:val="00AA423A"/>
    <w:rsid w:val="00AA4D1C"/>
    <w:rsid w:val="00AB26BF"/>
    <w:rsid w:val="00AB3C0F"/>
    <w:rsid w:val="00AB5511"/>
    <w:rsid w:val="00AB5856"/>
    <w:rsid w:val="00AC193C"/>
    <w:rsid w:val="00AC4DE5"/>
    <w:rsid w:val="00AC5206"/>
    <w:rsid w:val="00AC7DB8"/>
    <w:rsid w:val="00AD1397"/>
    <w:rsid w:val="00AD18F4"/>
    <w:rsid w:val="00AD4322"/>
    <w:rsid w:val="00AD4BA5"/>
    <w:rsid w:val="00AE11A5"/>
    <w:rsid w:val="00AE13E2"/>
    <w:rsid w:val="00AE22D3"/>
    <w:rsid w:val="00AE4935"/>
    <w:rsid w:val="00AE5A49"/>
    <w:rsid w:val="00AE5CD0"/>
    <w:rsid w:val="00AF20A7"/>
    <w:rsid w:val="00AF62DF"/>
    <w:rsid w:val="00AF68CC"/>
    <w:rsid w:val="00AF70D7"/>
    <w:rsid w:val="00B01245"/>
    <w:rsid w:val="00B01574"/>
    <w:rsid w:val="00B024A4"/>
    <w:rsid w:val="00B0521A"/>
    <w:rsid w:val="00B07CFB"/>
    <w:rsid w:val="00B1059E"/>
    <w:rsid w:val="00B16390"/>
    <w:rsid w:val="00B170A5"/>
    <w:rsid w:val="00B175A7"/>
    <w:rsid w:val="00B176C8"/>
    <w:rsid w:val="00B205AA"/>
    <w:rsid w:val="00B22E84"/>
    <w:rsid w:val="00B233AD"/>
    <w:rsid w:val="00B23E25"/>
    <w:rsid w:val="00B24109"/>
    <w:rsid w:val="00B25F75"/>
    <w:rsid w:val="00B26B3F"/>
    <w:rsid w:val="00B2778F"/>
    <w:rsid w:val="00B33635"/>
    <w:rsid w:val="00B417B8"/>
    <w:rsid w:val="00B43E90"/>
    <w:rsid w:val="00B467DC"/>
    <w:rsid w:val="00B46BB5"/>
    <w:rsid w:val="00B54B01"/>
    <w:rsid w:val="00B56118"/>
    <w:rsid w:val="00B62989"/>
    <w:rsid w:val="00B63D4E"/>
    <w:rsid w:val="00B6509B"/>
    <w:rsid w:val="00B666ED"/>
    <w:rsid w:val="00B6773F"/>
    <w:rsid w:val="00B72BDA"/>
    <w:rsid w:val="00B76017"/>
    <w:rsid w:val="00B760FB"/>
    <w:rsid w:val="00B767AB"/>
    <w:rsid w:val="00B801BA"/>
    <w:rsid w:val="00B803EE"/>
    <w:rsid w:val="00B82184"/>
    <w:rsid w:val="00B8391F"/>
    <w:rsid w:val="00B84D5C"/>
    <w:rsid w:val="00B85AA1"/>
    <w:rsid w:val="00B93AD7"/>
    <w:rsid w:val="00B93D19"/>
    <w:rsid w:val="00BA23A9"/>
    <w:rsid w:val="00BA2DA8"/>
    <w:rsid w:val="00BA347C"/>
    <w:rsid w:val="00BA7296"/>
    <w:rsid w:val="00BB3683"/>
    <w:rsid w:val="00BB6696"/>
    <w:rsid w:val="00BB69F5"/>
    <w:rsid w:val="00BB7EC3"/>
    <w:rsid w:val="00BC20E5"/>
    <w:rsid w:val="00BC245C"/>
    <w:rsid w:val="00BC4B9A"/>
    <w:rsid w:val="00BC69C8"/>
    <w:rsid w:val="00BD02C3"/>
    <w:rsid w:val="00BD0CF1"/>
    <w:rsid w:val="00BD784C"/>
    <w:rsid w:val="00BE020A"/>
    <w:rsid w:val="00BE455B"/>
    <w:rsid w:val="00BE62F5"/>
    <w:rsid w:val="00BE77FD"/>
    <w:rsid w:val="00BF092C"/>
    <w:rsid w:val="00BF27A0"/>
    <w:rsid w:val="00BF39D0"/>
    <w:rsid w:val="00BF42D7"/>
    <w:rsid w:val="00BF4CB6"/>
    <w:rsid w:val="00BF549B"/>
    <w:rsid w:val="00C00DA7"/>
    <w:rsid w:val="00C0299D"/>
    <w:rsid w:val="00C05752"/>
    <w:rsid w:val="00C06080"/>
    <w:rsid w:val="00C12768"/>
    <w:rsid w:val="00C12D70"/>
    <w:rsid w:val="00C13CB8"/>
    <w:rsid w:val="00C21B09"/>
    <w:rsid w:val="00C21B40"/>
    <w:rsid w:val="00C2673A"/>
    <w:rsid w:val="00C27B58"/>
    <w:rsid w:val="00C3363E"/>
    <w:rsid w:val="00C35996"/>
    <w:rsid w:val="00C4712E"/>
    <w:rsid w:val="00C47329"/>
    <w:rsid w:val="00C4747E"/>
    <w:rsid w:val="00C50037"/>
    <w:rsid w:val="00C512D9"/>
    <w:rsid w:val="00C5342C"/>
    <w:rsid w:val="00C53B2B"/>
    <w:rsid w:val="00C60272"/>
    <w:rsid w:val="00C603D4"/>
    <w:rsid w:val="00C6064E"/>
    <w:rsid w:val="00C6256A"/>
    <w:rsid w:val="00C650A5"/>
    <w:rsid w:val="00C65E5C"/>
    <w:rsid w:val="00C67259"/>
    <w:rsid w:val="00C67349"/>
    <w:rsid w:val="00C710E2"/>
    <w:rsid w:val="00C71C3F"/>
    <w:rsid w:val="00C73CE2"/>
    <w:rsid w:val="00C7409E"/>
    <w:rsid w:val="00C75BFB"/>
    <w:rsid w:val="00C76E76"/>
    <w:rsid w:val="00C77891"/>
    <w:rsid w:val="00C80204"/>
    <w:rsid w:val="00C83BBA"/>
    <w:rsid w:val="00C8527F"/>
    <w:rsid w:val="00C86690"/>
    <w:rsid w:val="00C905AE"/>
    <w:rsid w:val="00C91449"/>
    <w:rsid w:val="00C92D10"/>
    <w:rsid w:val="00C93423"/>
    <w:rsid w:val="00C9450B"/>
    <w:rsid w:val="00CA3534"/>
    <w:rsid w:val="00CA48D9"/>
    <w:rsid w:val="00CB1193"/>
    <w:rsid w:val="00CB4767"/>
    <w:rsid w:val="00CB493D"/>
    <w:rsid w:val="00CC07AF"/>
    <w:rsid w:val="00CC107C"/>
    <w:rsid w:val="00CC21DB"/>
    <w:rsid w:val="00CC3B97"/>
    <w:rsid w:val="00CD0789"/>
    <w:rsid w:val="00CD564F"/>
    <w:rsid w:val="00CE09A4"/>
    <w:rsid w:val="00CE10C4"/>
    <w:rsid w:val="00CE27B5"/>
    <w:rsid w:val="00CE2F3F"/>
    <w:rsid w:val="00CE6DAF"/>
    <w:rsid w:val="00CF2096"/>
    <w:rsid w:val="00CF410A"/>
    <w:rsid w:val="00CF5C2B"/>
    <w:rsid w:val="00D0321E"/>
    <w:rsid w:val="00D07A8A"/>
    <w:rsid w:val="00D1175C"/>
    <w:rsid w:val="00D13BF5"/>
    <w:rsid w:val="00D1455A"/>
    <w:rsid w:val="00D1537F"/>
    <w:rsid w:val="00D22093"/>
    <w:rsid w:val="00D22C07"/>
    <w:rsid w:val="00D31150"/>
    <w:rsid w:val="00D3138B"/>
    <w:rsid w:val="00D3278A"/>
    <w:rsid w:val="00D3280C"/>
    <w:rsid w:val="00D3406A"/>
    <w:rsid w:val="00D34E2E"/>
    <w:rsid w:val="00D34FAD"/>
    <w:rsid w:val="00D37D84"/>
    <w:rsid w:val="00D42807"/>
    <w:rsid w:val="00D441F1"/>
    <w:rsid w:val="00D4572C"/>
    <w:rsid w:val="00D469B2"/>
    <w:rsid w:val="00D50D34"/>
    <w:rsid w:val="00D53C44"/>
    <w:rsid w:val="00D56868"/>
    <w:rsid w:val="00D56C16"/>
    <w:rsid w:val="00D61924"/>
    <w:rsid w:val="00D622D4"/>
    <w:rsid w:val="00D6445A"/>
    <w:rsid w:val="00D65658"/>
    <w:rsid w:val="00D72B6F"/>
    <w:rsid w:val="00D73144"/>
    <w:rsid w:val="00D741EB"/>
    <w:rsid w:val="00D7679C"/>
    <w:rsid w:val="00D820F3"/>
    <w:rsid w:val="00D82A50"/>
    <w:rsid w:val="00D83605"/>
    <w:rsid w:val="00D84934"/>
    <w:rsid w:val="00D91271"/>
    <w:rsid w:val="00D919F5"/>
    <w:rsid w:val="00D94F03"/>
    <w:rsid w:val="00DA0D14"/>
    <w:rsid w:val="00DA1769"/>
    <w:rsid w:val="00DA1FC9"/>
    <w:rsid w:val="00DA2CB5"/>
    <w:rsid w:val="00DA45BB"/>
    <w:rsid w:val="00DA4BAC"/>
    <w:rsid w:val="00DB0151"/>
    <w:rsid w:val="00DB23EC"/>
    <w:rsid w:val="00DC2C3E"/>
    <w:rsid w:val="00DC4672"/>
    <w:rsid w:val="00DC4880"/>
    <w:rsid w:val="00DC5875"/>
    <w:rsid w:val="00DD2B07"/>
    <w:rsid w:val="00DD6929"/>
    <w:rsid w:val="00DD6CD3"/>
    <w:rsid w:val="00DD6EE4"/>
    <w:rsid w:val="00DE6D27"/>
    <w:rsid w:val="00DF217D"/>
    <w:rsid w:val="00DF26A7"/>
    <w:rsid w:val="00DF3277"/>
    <w:rsid w:val="00DF3F87"/>
    <w:rsid w:val="00DF45CF"/>
    <w:rsid w:val="00DF6925"/>
    <w:rsid w:val="00DF6FF4"/>
    <w:rsid w:val="00DF7919"/>
    <w:rsid w:val="00E00295"/>
    <w:rsid w:val="00E0207E"/>
    <w:rsid w:val="00E03912"/>
    <w:rsid w:val="00E056BF"/>
    <w:rsid w:val="00E14C7F"/>
    <w:rsid w:val="00E1561D"/>
    <w:rsid w:val="00E15627"/>
    <w:rsid w:val="00E162E0"/>
    <w:rsid w:val="00E164B3"/>
    <w:rsid w:val="00E16910"/>
    <w:rsid w:val="00E16CCF"/>
    <w:rsid w:val="00E2216B"/>
    <w:rsid w:val="00E24393"/>
    <w:rsid w:val="00E24E09"/>
    <w:rsid w:val="00E27234"/>
    <w:rsid w:val="00E42BDB"/>
    <w:rsid w:val="00E44112"/>
    <w:rsid w:val="00E47871"/>
    <w:rsid w:val="00E55F80"/>
    <w:rsid w:val="00E57EEB"/>
    <w:rsid w:val="00E62D94"/>
    <w:rsid w:val="00E64F37"/>
    <w:rsid w:val="00E65E54"/>
    <w:rsid w:val="00E661C7"/>
    <w:rsid w:val="00E67713"/>
    <w:rsid w:val="00E70E29"/>
    <w:rsid w:val="00E7616B"/>
    <w:rsid w:val="00E80155"/>
    <w:rsid w:val="00E81E0D"/>
    <w:rsid w:val="00E81F28"/>
    <w:rsid w:val="00E82F67"/>
    <w:rsid w:val="00E848C0"/>
    <w:rsid w:val="00E8598E"/>
    <w:rsid w:val="00E918B2"/>
    <w:rsid w:val="00E91B96"/>
    <w:rsid w:val="00E93D1E"/>
    <w:rsid w:val="00E941A1"/>
    <w:rsid w:val="00E95CE3"/>
    <w:rsid w:val="00E961C9"/>
    <w:rsid w:val="00EA0842"/>
    <w:rsid w:val="00EA252F"/>
    <w:rsid w:val="00EA2825"/>
    <w:rsid w:val="00EA6671"/>
    <w:rsid w:val="00EA7610"/>
    <w:rsid w:val="00EA7EDE"/>
    <w:rsid w:val="00EB0B63"/>
    <w:rsid w:val="00EB1936"/>
    <w:rsid w:val="00EB2629"/>
    <w:rsid w:val="00EB37BE"/>
    <w:rsid w:val="00EB5088"/>
    <w:rsid w:val="00EB5F41"/>
    <w:rsid w:val="00ED1644"/>
    <w:rsid w:val="00ED2593"/>
    <w:rsid w:val="00ED7D9C"/>
    <w:rsid w:val="00EE0467"/>
    <w:rsid w:val="00EE753F"/>
    <w:rsid w:val="00EF0069"/>
    <w:rsid w:val="00EF25C3"/>
    <w:rsid w:val="00EF44A0"/>
    <w:rsid w:val="00EF4FED"/>
    <w:rsid w:val="00F007C6"/>
    <w:rsid w:val="00F0172E"/>
    <w:rsid w:val="00F050BD"/>
    <w:rsid w:val="00F05657"/>
    <w:rsid w:val="00F10705"/>
    <w:rsid w:val="00F135D4"/>
    <w:rsid w:val="00F14BCB"/>
    <w:rsid w:val="00F209E2"/>
    <w:rsid w:val="00F22ACF"/>
    <w:rsid w:val="00F25578"/>
    <w:rsid w:val="00F258E5"/>
    <w:rsid w:val="00F25B9C"/>
    <w:rsid w:val="00F263AE"/>
    <w:rsid w:val="00F26B24"/>
    <w:rsid w:val="00F26CC6"/>
    <w:rsid w:val="00F27EC7"/>
    <w:rsid w:val="00F300BC"/>
    <w:rsid w:val="00F3263C"/>
    <w:rsid w:val="00F32B2F"/>
    <w:rsid w:val="00F3334E"/>
    <w:rsid w:val="00F33AC7"/>
    <w:rsid w:val="00F36CCB"/>
    <w:rsid w:val="00F374E5"/>
    <w:rsid w:val="00F378F8"/>
    <w:rsid w:val="00F37B93"/>
    <w:rsid w:val="00F40825"/>
    <w:rsid w:val="00F411EB"/>
    <w:rsid w:val="00F4256F"/>
    <w:rsid w:val="00F43AF2"/>
    <w:rsid w:val="00F443EE"/>
    <w:rsid w:val="00F5007E"/>
    <w:rsid w:val="00F50EC4"/>
    <w:rsid w:val="00F513B4"/>
    <w:rsid w:val="00F52232"/>
    <w:rsid w:val="00F52C23"/>
    <w:rsid w:val="00F550CF"/>
    <w:rsid w:val="00F57A6D"/>
    <w:rsid w:val="00F6282C"/>
    <w:rsid w:val="00F638CC"/>
    <w:rsid w:val="00F64C9E"/>
    <w:rsid w:val="00F64CC1"/>
    <w:rsid w:val="00F665E7"/>
    <w:rsid w:val="00F66657"/>
    <w:rsid w:val="00F72317"/>
    <w:rsid w:val="00F733BE"/>
    <w:rsid w:val="00F762DE"/>
    <w:rsid w:val="00F80475"/>
    <w:rsid w:val="00F821D2"/>
    <w:rsid w:val="00F8247A"/>
    <w:rsid w:val="00F9629A"/>
    <w:rsid w:val="00F97EFC"/>
    <w:rsid w:val="00FA1BDD"/>
    <w:rsid w:val="00FA4DD5"/>
    <w:rsid w:val="00FA5883"/>
    <w:rsid w:val="00FA6055"/>
    <w:rsid w:val="00FA670F"/>
    <w:rsid w:val="00FB11CB"/>
    <w:rsid w:val="00FB322F"/>
    <w:rsid w:val="00FB442F"/>
    <w:rsid w:val="00FC1929"/>
    <w:rsid w:val="00FC3136"/>
    <w:rsid w:val="00FC5540"/>
    <w:rsid w:val="00FC5B46"/>
    <w:rsid w:val="00FD6A54"/>
    <w:rsid w:val="00FD6D8E"/>
    <w:rsid w:val="00FD756D"/>
    <w:rsid w:val="00FE0A93"/>
    <w:rsid w:val="00FE0E94"/>
    <w:rsid w:val="00FE1D44"/>
    <w:rsid w:val="00FE2235"/>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aliases w:val="- H19"/>
    <w:basedOn w:val="Normal"/>
    <w:link w:val="CommentTextChar"/>
    <w:uiPriority w:val="99"/>
    <w:rsid w:val="00BB7EC3"/>
    <w:rPr>
      <w:sz w:val="20"/>
      <w:szCs w:val="20"/>
    </w:rPr>
  </w:style>
  <w:style w:type="character" w:customStyle="1" w:styleId="CommentTextChar">
    <w:name w:val="Comment Text Char"/>
    <w:aliases w:val="- H19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72"/>
    <w:qFormat/>
    <w:rsid w:val="00077143"/>
    <w:rPr>
      <w:rFonts w:ascii="Arial" w:hAnsi="Arial" w:cs="Arial"/>
      <w:snapToGrid w:val="0"/>
      <w:sz w:val="22"/>
      <w:lang w:eastAsia="en-US"/>
    </w:rPr>
  </w:style>
  <w:style w:type="paragraph" w:customStyle="1" w:styleId="2Sections">
    <w:name w:val="2. Sections"/>
    <w:qFormat/>
    <w:rsid w:val="0033263D"/>
    <w:pPr>
      <w:numPr>
        <w:numId w:val="3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pPr>
      <w:numPr>
        <w:ilvl w:val="0"/>
        <w:numId w:val="0"/>
      </w:numPr>
    </w:pPr>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34"/>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4"/>
      </w:numPr>
      <w:spacing w:before="60" w:after="60" w:line="300" w:lineRule="atLeast"/>
      <w:ind w:right="567"/>
    </w:pPr>
    <w:rPr>
      <w:rFonts w:ascii="Tahoma" w:hAnsi="Tahoma"/>
      <w:sz w:val="22"/>
      <w:szCs w:val="20"/>
    </w:rPr>
  </w:style>
  <w:style w:type="paragraph" w:styleId="NormalWeb">
    <w:name w:val="Normal (Web)"/>
    <w:basedOn w:val="Normal"/>
    <w:uiPriority w:val="99"/>
    <w:unhideWhenUsed/>
    <w:rsid w:val="009737E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2B0BA-6CA7-4489-9C7B-40C88053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4942</Words>
  <Characters>29365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2020-05-13T01:23:00Z</dcterms:created>
  <dcterms:modified xsi:type="dcterms:W3CDTF">2020-05-13T01:25:00Z</dcterms:modified>
</cp:coreProperties>
</file>