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2B" w:rsidRPr="00EF1068" w:rsidRDefault="00642D1D" w:rsidP="00EF1068">
      <w:pPr>
        <w:pStyle w:val="Heading1"/>
        <w:rPr>
          <w:sz w:val="36"/>
          <w:szCs w:val="36"/>
        </w:rPr>
      </w:pPr>
      <w:r w:rsidRPr="00EF1068">
        <w:rPr>
          <w:sz w:val="36"/>
          <w:szCs w:val="36"/>
        </w:rPr>
        <w:t>5.13</w:t>
      </w:r>
      <w:r w:rsidR="00B60939" w:rsidRPr="00EF1068">
        <w:rPr>
          <w:sz w:val="36"/>
          <w:szCs w:val="36"/>
        </w:rPr>
        <w:tab/>
      </w:r>
      <w:r w:rsidR="00F3632C" w:rsidRPr="00EF1068">
        <w:rPr>
          <w:sz w:val="36"/>
          <w:szCs w:val="36"/>
        </w:rPr>
        <w:t>UPADACITINIB</w:t>
      </w:r>
      <w:r w:rsidR="00B83E90" w:rsidRPr="00EF1068">
        <w:rPr>
          <w:sz w:val="36"/>
          <w:szCs w:val="36"/>
        </w:rPr>
        <w:t>,</w:t>
      </w:r>
      <w:r w:rsidR="00F3632C" w:rsidRPr="00EF1068">
        <w:rPr>
          <w:sz w:val="36"/>
          <w:szCs w:val="36"/>
        </w:rPr>
        <w:t xml:space="preserve"> </w:t>
      </w:r>
    </w:p>
    <w:p w:rsidR="00FC512B" w:rsidRPr="00EF1068" w:rsidRDefault="00FC512B" w:rsidP="00FC512B">
      <w:pPr>
        <w:ind w:firstLine="720"/>
        <w:rPr>
          <w:b/>
          <w:sz w:val="36"/>
          <w:szCs w:val="36"/>
        </w:rPr>
      </w:pPr>
      <w:r w:rsidRPr="00EF1068">
        <w:rPr>
          <w:b/>
          <w:sz w:val="36"/>
          <w:szCs w:val="36"/>
        </w:rPr>
        <w:t>Tablet (modified release) 15</w:t>
      </w:r>
      <w:r w:rsidR="006959FB" w:rsidRPr="00EF1068">
        <w:rPr>
          <w:b/>
          <w:sz w:val="36"/>
          <w:szCs w:val="36"/>
        </w:rPr>
        <w:t xml:space="preserve"> </w:t>
      </w:r>
      <w:r w:rsidRPr="00EF1068">
        <w:rPr>
          <w:b/>
          <w:sz w:val="36"/>
          <w:szCs w:val="36"/>
        </w:rPr>
        <w:t>mg</w:t>
      </w:r>
      <w:r w:rsidR="00B83E90" w:rsidRPr="00EF1068">
        <w:rPr>
          <w:b/>
          <w:sz w:val="36"/>
          <w:szCs w:val="36"/>
        </w:rPr>
        <w:t xml:space="preserve">, </w:t>
      </w:r>
    </w:p>
    <w:p w:rsidR="00B60939" w:rsidRPr="002019B2" w:rsidRDefault="00952AED" w:rsidP="00FC512B">
      <w:pPr>
        <w:ind w:firstLine="720"/>
        <w:rPr>
          <w:b/>
          <w:sz w:val="36"/>
          <w:szCs w:val="36"/>
        </w:rPr>
      </w:pPr>
      <w:r w:rsidRPr="00EF1068">
        <w:rPr>
          <w:b/>
          <w:sz w:val="36"/>
          <w:szCs w:val="36"/>
        </w:rPr>
        <w:t xml:space="preserve">Rinvoq®, </w:t>
      </w:r>
      <w:r w:rsidR="0053275C" w:rsidRPr="00EF1068">
        <w:rPr>
          <w:b/>
          <w:sz w:val="36"/>
          <w:szCs w:val="36"/>
        </w:rPr>
        <w:t>AbbVie</w:t>
      </w:r>
      <w:r w:rsidR="00F3632C" w:rsidRPr="00EF1068">
        <w:rPr>
          <w:b/>
          <w:sz w:val="36"/>
          <w:szCs w:val="36"/>
        </w:rPr>
        <w:t xml:space="preserve"> Pty Ltd</w:t>
      </w:r>
      <w:r w:rsidR="00F3632C" w:rsidRPr="002019B2">
        <w:rPr>
          <w:b/>
          <w:sz w:val="36"/>
          <w:szCs w:val="36"/>
        </w:rPr>
        <w:t>.</w:t>
      </w:r>
      <w:bookmarkStart w:id="0" w:name="_GoBack"/>
      <w:bookmarkEnd w:id="0"/>
    </w:p>
    <w:p w:rsidR="00B60939" w:rsidRPr="00EB65D0" w:rsidRDefault="00B50DB8" w:rsidP="00D6130A">
      <w:pPr>
        <w:pStyle w:val="PBACHeading1"/>
        <w:keepNext/>
        <w:keepLines/>
        <w:numPr>
          <w:ilvl w:val="0"/>
          <w:numId w:val="1"/>
        </w:numPr>
        <w:spacing w:before="240" w:after="120"/>
        <w:ind w:left="709" w:hanging="709"/>
        <w:jc w:val="both"/>
        <w:outlineLvl w:val="0"/>
        <w:rPr>
          <w:rFonts w:cs="Times New Roman"/>
          <w:snapToGrid/>
          <w:szCs w:val="28"/>
        </w:rPr>
      </w:pPr>
      <w:bookmarkStart w:id="1" w:name="_Toc19709468"/>
      <w:r w:rsidRPr="002019B2">
        <w:rPr>
          <w:rFonts w:cs="Times New Roman"/>
          <w:snapToGrid/>
          <w:szCs w:val="28"/>
        </w:rPr>
        <w:t>Purpose of Application</w:t>
      </w:r>
      <w:bookmarkEnd w:id="1"/>
    </w:p>
    <w:p w:rsidR="00DA13C5" w:rsidRPr="002019B2" w:rsidRDefault="00A80571" w:rsidP="00123D0F">
      <w:pPr>
        <w:pStyle w:val="ListParagraph"/>
        <w:widowControl/>
        <w:numPr>
          <w:ilvl w:val="1"/>
          <w:numId w:val="2"/>
        </w:numPr>
      </w:pPr>
      <w:r w:rsidRPr="002019B2">
        <w:t xml:space="preserve">The Sponsor requested </w:t>
      </w:r>
      <w:r w:rsidR="00DA13C5" w:rsidRPr="002019B2">
        <w:t>Authority Required</w:t>
      </w:r>
      <w:r w:rsidRPr="002019B2">
        <w:t xml:space="preserve"> (Section 85)</w:t>
      </w:r>
      <w:r w:rsidR="00DA13C5" w:rsidRPr="002019B2">
        <w:t xml:space="preserve"> listing </w:t>
      </w:r>
      <w:r w:rsidRPr="002019B2">
        <w:t xml:space="preserve">of </w:t>
      </w:r>
      <w:r w:rsidR="00DA13C5" w:rsidRPr="002019B2">
        <w:t xml:space="preserve">upadacitinib (UPA) </w:t>
      </w:r>
      <w:r w:rsidRPr="002019B2">
        <w:t>15</w:t>
      </w:r>
      <w:r w:rsidR="00FE70C4">
        <w:t xml:space="preserve"> </w:t>
      </w:r>
      <w:r w:rsidRPr="002019B2">
        <w:t xml:space="preserve">mg tablets </w:t>
      </w:r>
      <w:r w:rsidR="00DA13C5" w:rsidRPr="002019B2">
        <w:t xml:space="preserve">for </w:t>
      </w:r>
      <w:r w:rsidRPr="002019B2">
        <w:t xml:space="preserve">the </w:t>
      </w:r>
      <w:r w:rsidR="00DA13C5" w:rsidRPr="002019B2">
        <w:t xml:space="preserve">treatment of severe rheumatoid arthritis (RA). </w:t>
      </w:r>
      <w:r w:rsidRPr="002019B2">
        <w:t>This was the first application to list UPA on the PBS.</w:t>
      </w:r>
    </w:p>
    <w:p w:rsidR="000E1434" w:rsidRPr="002019B2" w:rsidRDefault="00DA13C5" w:rsidP="00123D0F">
      <w:pPr>
        <w:pStyle w:val="ListParagraph"/>
        <w:widowControl/>
        <w:numPr>
          <w:ilvl w:val="1"/>
          <w:numId w:val="2"/>
        </w:numPr>
      </w:pPr>
      <w:r w:rsidRPr="002019B2">
        <w:t xml:space="preserve">The basis for </w:t>
      </w:r>
      <w:r w:rsidR="00A80571" w:rsidRPr="002019B2">
        <w:t xml:space="preserve">the requested </w:t>
      </w:r>
      <w:r w:rsidRPr="002019B2">
        <w:t xml:space="preserve">listing was cost-minimisation to </w:t>
      </w:r>
      <w:r w:rsidR="00B83E90" w:rsidRPr="002019B2">
        <w:t>baricitinib (BARI</w:t>
      </w:r>
      <w:r w:rsidRPr="002019B2">
        <w:t>)</w:t>
      </w:r>
      <w:r w:rsidR="000E1434" w:rsidRPr="002019B2">
        <w:t xml:space="preserve"> 4</w:t>
      </w:r>
      <w:r w:rsidR="00FE70C4">
        <w:t xml:space="preserve"> </w:t>
      </w:r>
      <w:r w:rsidR="000E1434" w:rsidRPr="002019B2">
        <w:t>mg tablet</w:t>
      </w:r>
      <w:r w:rsidR="00A80571" w:rsidRPr="002019B2">
        <w:t>s</w:t>
      </w:r>
      <w:r w:rsidR="000E1434" w:rsidRPr="002019B2">
        <w:t>, which is a pharmacological analogue</w:t>
      </w:r>
      <w:r w:rsidR="00A80571" w:rsidRPr="002019B2">
        <w:t xml:space="preserve"> to UPA</w:t>
      </w:r>
      <w:r w:rsidRPr="002019B2">
        <w:t xml:space="preserve">. </w:t>
      </w:r>
      <w:r w:rsidR="000E1434" w:rsidRPr="002019B2">
        <w:t>The</w:t>
      </w:r>
      <w:r w:rsidR="00A80571" w:rsidRPr="002019B2">
        <w:t xml:space="preserve"> submission nominated </w:t>
      </w:r>
      <w:r w:rsidRPr="002019B2">
        <w:t>adalimumab (ADA)</w:t>
      </w:r>
      <w:r w:rsidR="000E1434" w:rsidRPr="002019B2">
        <w:t xml:space="preserve"> 40</w:t>
      </w:r>
      <w:r w:rsidR="00FE70C4">
        <w:t xml:space="preserve"> </w:t>
      </w:r>
      <w:r w:rsidR="000E1434" w:rsidRPr="002019B2">
        <w:t>mg subcutaneous (SC) injection</w:t>
      </w:r>
      <w:r w:rsidR="00A80571" w:rsidRPr="002019B2">
        <w:t xml:space="preserve"> as a secondary comparator</w:t>
      </w:r>
      <w:r w:rsidR="000E1434" w:rsidRPr="002019B2">
        <w:t>.</w:t>
      </w:r>
    </w:p>
    <w:p w:rsidR="000E1434" w:rsidRPr="002019B2" w:rsidRDefault="000E1434" w:rsidP="000F5070">
      <w:r w:rsidRPr="002019B2">
        <w:rPr>
          <w:rStyle w:val="CommentReference"/>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w:tblPr>
      <w:tblGrid>
        <w:gridCol w:w="1271"/>
        <w:gridCol w:w="7885"/>
      </w:tblGrid>
      <w:tr w:rsidR="000E1434" w:rsidRPr="002019B2" w:rsidTr="007C7B54">
        <w:trPr>
          <w:tblHeader/>
        </w:trPr>
        <w:tc>
          <w:tcPr>
            <w:tcW w:w="1271" w:type="dxa"/>
            <w:vAlign w:val="center"/>
          </w:tcPr>
          <w:p w:rsidR="000E1434" w:rsidRPr="002019B2" w:rsidRDefault="000E1434" w:rsidP="007467C8">
            <w:pPr>
              <w:pStyle w:val="Tabletext"/>
              <w:rPr>
                <w:b/>
              </w:rPr>
            </w:pPr>
            <w:r w:rsidRPr="002019B2">
              <w:rPr>
                <w:b/>
              </w:rPr>
              <w:t>Component</w:t>
            </w:r>
          </w:p>
        </w:tc>
        <w:tc>
          <w:tcPr>
            <w:tcW w:w="7885" w:type="dxa"/>
            <w:vAlign w:val="center"/>
          </w:tcPr>
          <w:p w:rsidR="000E1434" w:rsidRPr="002019B2" w:rsidRDefault="000E1434" w:rsidP="007467C8">
            <w:pPr>
              <w:pStyle w:val="Tabletext"/>
              <w:jc w:val="center"/>
              <w:rPr>
                <w:b/>
              </w:rPr>
            </w:pPr>
            <w:r w:rsidRPr="002019B2">
              <w:rPr>
                <w:b/>
              </w:rPr>
              <w:t>Description</w:t>
            </w:r>
          </w:p>
        </w:tc>
      </w:tr>
      <w:tr w:rsidR="000E1434" w:rsidRPr="002019B2" w:rsidTr="007C7B54">
        <w:trPr>
          <w:tblHeader/>
        </w:trPr>
        <w:tc>
          <w:tcPr>
            <w:tcW w:w="1271" w:type="dxa"/>
            <w:vAlign w:val="center"/>
          </w:tcPr>
          <w:p w:rsidR="000E1434" w:rsidRPr="002019B2" w:rsidRDefault="000E1434" w:rsidP="007467C8">
            <w:pPr>
              <w:pStyle w:val="Tabletext"/>
            </w:pPr>
            <w:r w:rsidRPr="002019B2">
              <w:t>Population</w:t>
            </w:r>
          </w:p>
        </w:tc>
        <w:tc>
          <w:tcPr>
            <w:tcW w:w="7885" w:type="dxa"/>
          </w:tcPr>
          <w:p w:rsidR="000E1434" w:rsidRPr="002019B2" w:rsidRDefault="000E1434" w:rsidP="007467C8">
            <w:pPr>
              <w:pStyle w:val="Tabletext"/>
            </w:pPr>
            <w:r w:rsidRPr="002019B2">
              <w:t>Patients with severe active RA in whom an adequate response has not been achieved with at least 6 months of intensive treatment with cDMARDs, as per current criteria for PBS-listed bDMARD and tsDMARD therapies</w:t>
            </w:r>
          </w:p>
        </w:tc>
      </w:tr>
      <w:tr w:rsidR="000E1434" w:rsidRPr="002019B2" w:rsidTr="007C7B54">
        <w:trPr>
          <w:tblHeader/>
        </w:trPr>
        <w:tc>
          <w:tcPr>
            <w:tcW w:w="1271" w:type="dxa"/>
            <w:vAlign w:val="center"/>
          </w:tcPr>
          <w:p w:rsidR="000E1434" w:rsidRPr="002019B2" w:rsidRDefault="000E1434" w:rsidP="007467C8">
            <w:pPr>
              <w:pStyle w:val="Tabletext"/>
            </w:pPr>
            <w:r w:rsidRPr="002019B2">
              <w:t>Intervention</w:t>
            </w:r>
          </w:p>
        </w:tc>
        <w:tc>
          <w:tcPr>
            <w:tcW w:w="7885" w:type="dxa"/>
          </w:tcPr>
          <w:p w:rsidR="000E1434" w:rsidRPr="002019B2" w:rsidRDefault="000E1434" w:rsidP="007467C8">
            <w:pPr>
              <w:pStyle w:val="Tabletext"/>
            </w:pPr>
            <w:r w:rsidRPr="002019B2">
              <w:t>Upadacitinib 15</w:t>
            </w:r>
            <w:r w:rsidR="00FE70C4">
              <w:t xml:space="preserve"> </w:t>
            </w:r>
            <w:r w:rsidRPr="002019B2">
              <w:t xml:space="preserve">mg tablet, administered orally, once daily </w:t>
            </w:r>
          </w:p>
        </w:tc>
      </w:tr>
      <w:tr w:rsidR="000E1434" w:rsidRPr="002019B2" w:rsidTr="007C7B54">
        <w:trPr>
          <w:tblHeader/>
        </w:trPr>
        <w:tc>
          <w:tcPr>
            <w:tcW w:w="1271" w:type="dxa"/>
            <w:vAlign w:val="center"/>
          </w:tcPr>
          <w:p w:rsidR="000E1434" w:rsidRPr="002019B2" w:rsidRDefault="000E1434" w:rsidP="007467C8">
            <w:pPr>
              <w:pStyle w:val="Tabletext"/>
            </w:pPr>
            <w:r w:rsidRPr="002019B2">
              <w:t>Comparator</w:t>
            </w:r>
          </w:p>
        </w:tc>
        <w:tc>
          <w:tcPr>
            <w:tcW w:w="7885" w:type="dxa"/>
          </w:tcPr>
          <w:p w:rsidR="000E1434" w:rsidRPr="002019B2" w:rsidRDefault="000E1434" w:rsidP="007467C8">
            <w:pPr>
              <w:pStyle w:val="Tabletext"/>
            </w:pPr>
            <w:r w:rsidRPr="002019B2">
              <w:t>Primary: Baricitinib 4</w:t>
            </w:r>
            <w:r w:rsidR="00FE70C4">
              <w:t xml:space="preserve"> </w:t>
            </w:r>
            <w:r w:rsidRPr="002019B2">
              <w:t>mg tablet, administered orally, once daily</w:t>
            </w:r>
          </w:p>
          <w:p w:rsidR="000E1434" w:rsidRPr="002019B2" w:rsidRDefault="000E1434" w:rsidP="007467C8">
            <w:pPr>
              <w:pStyle w:val="Tabletext"/>
            </w:pPr>
            <w:r w:rsidRPr="002019B2">
              <w:t>Secondary: Adalimumab 40</w:t>
            </w:r>
            <w:r w:rsidR="00FE70C4">
              <w:t xml:space="preserve"> </w:t>
            </w:r>
            <w:r w:rsidRPr="002019B2">
              <w:t>mg SC injection, administered fortnightly</w:t>
            </w:r>
          </w:p>
        </w:tc>
      </w:tr>
      <w:tr w:rsidR="000E1434" w:rsidRPr="002019B2" w:rsidTr="007C7B54">
        <w:trPr>
          <w:tblHeader/>
        </w:trPr>
        <w:tc>
          <w:tcPr>
            <w:tcW w:w="1271" w:type="dxa"/>
            <w:vAlign w:val="center"/>
          </w:tcPr>
          <w:p w:rsidR="000E1434" w:rsidRPr="002019B2" w:rsidRDefault="000E1434" w:rsidP="007467C8">
            <w:pPr>
              <w:pStyle w:val="Tabletext"/>
            </w:pPr>
            <w:r w:rsidRPr="002019B2">
              <w:t>Outcomes</w:t>
            </w:r>
          </w:p>
        </w:tc>
        <w:tc>
          <w:tcPr>
            <w:tcW w:w="7885" w:type="dxa"/>
          </w:tcPr>
          <w:p w:rsidR="000E1434" w:rsidRPr="002019B2" w:rsidRDefault="000E1434" w:rsidP="007467C8">
            <w:pPr>
              <w:pStyle w:val="Tabletext"/>
            </w:pPr>
            <w:r w:rsidRPr="002019B2">
              <w:t>Disease activity endpoints: ACR20, ACR50, ACR70</w:t>
            </w:r>
          </w:p>
          <w:p w:rsidR="000E1434" w:rsidRPr="002019B2" w:rsidRDefault="000E1434" w:rsidP="007467C8">
            <w:pPr>
              <w:pStyle w:val="Tabletext"/>
            </w:pPr>
            <w:r w:rsidRPr="002019B2">
              <w:t>Clinical remission endpoints: DAS28(CRP) &lt;2.6</w:t>
            </w:r>
          </w:p>
          <w:p w:rsidR="000E1434" w:rsidRPr="002019B2" w:rsidRDefault="000E1434" w:rsidP="007467C8">
            <w:pPr>
              <w:pStyle w:val="Tabletext"/>
            </w:pPr>
            <w:r w:rsidRPr="002019B2">
              <w:t>Patient reported outcome: HAQ-DI</w:t>
            </w:r>
          </w:p>
        </w:tc>
      </w:tr>
      <w:tr w:rsidR="000E1434" w:rsidRPr="002019B2" w:rsidTr="007C7B54">
        <w:trPr>
          <w:tblHeader/>
        </w:trPr>
        <w:tc>
          <w:tcPr>
            <w:tcW w:w="1271" w:type="dxa"/>
            <w:vAlign w:val="center"/>
          </w:tcPr>
          <w:p w:rsidR="000E1434" w:rsidRPr="002019B2" w:rsidRDefault="000E1434" w:rsidP="007467C8">
            <w:pPr>
              <w:pStyle w:val="Tabletext"/>
            </w:pPr>
            <w:r w:rsidRPr="002019B2">
              <w:t>Clinical claim</w:t>
            </w:r>
          </w:p>
        </w:tc>
        <w:tc>
          <w:tcPr>
            <w:tcW w:w="7885" w:type="dxa"/>
          </w:tcPr>
          <w:p w:rsidR="000E1434" w:rsidRPr="002019B2" w:rsidRDefault="000E1434" w:rsidP="007467C8">
            <w:pPr>
              <w:pStyle w:val="Tabletext"/>
            </w:pPr>
            <w:r w:rsidRPr="002019B2">
              <w:t>Upadacitinib is non-inferior to baricitinib in terms of efficacy and safety in patients with severe active RA for whom an adequate response has not been achieved with conventional therapies.</w:t>
            </w:r>
          </w:p>
          <w:p w:rsidR="000E1434" w:rsidRPr="002019B2" w:rsidRDefault="000E1434" w:rsidP="007467C8">
            <w:pPr>
              <w:pStyle w:val="Tabletext"/>
            </w:pPr>
            <w:r w:rsidRPr="002019B2">
              <w:t>Upadacitinib is superior to adalimumab in terms of efficacy and is non-inferior to adalimumab in terms of safety.</w:t>
            </w:r>
          </w:p>
        </w:tc>
      </w:tr>
    </w:tbl>
    <w:p w:rsidR="000E1434" w:rsidRPr="002019B2" w:rsidRDefault="000E1434" w:rsidP="000E1434">
      <w:pPr>
        <w:pStyle w:val="TableFooter"/>
      </w:pPr>
      <w:r w:rsidRPr="002019B2">
        <w:t>Abbreviations: ACRn=American College of Rheumatology n% response criteria; bDMARD=biological disease</w:t>
      </w:r>
      <w:r w:rsidR="00CF001B" w:rsidRPr="002019B2">
        <w:t xml:space="preserve"> modifying</w:t>
      </w:r>
      <w:r w:rsidRPr="002019B2">
        <w:t xml:space="preserve"> anti-rheumatic drug; cDMARD=conventional disease modifying anti-rheumatic drugs; DAS=disease activity score; HAQ-DI=Health assessment questionnaire disability index; RA=rheumatoid arthritis; SC=subcutaneous; tsDMARD=targeted synthetic disease modifying anti-rheumatic drugs. </w:t>
      </w:r>
    </w:p>
    <w:p w:rsidR="004E43B2" w:rsidRPr="002019B2" w:rsidRDefault="000E1434" w:rsidP="00EB65D0">
      <w:pPr>
        <w:pStyle w:val="TableFooter"/>
      </w:pPr>
      <w:r w:rsidRPr="002019B2">
        <w:t>Source: Table 1.1, p11 of the submission</w:t>
      </w:r>
    </w:p>
    <w:p w:rsidR="007467C8" w:rsidRPr="00EB65D0" w:rsidRDefault="00B50DB8" w:rsidP="00C629CA">
      <w:pPr>
        <w:pStyle w:val="PBACHeading1"/>
        <w:keepNext/>
        <w:keepLines/>
        <w:numPr>
          <w:ilvl w:val="0"/>
          <w:numId w:val="1"/>
        </w:numPr>
        <w:spacing w:before="240" w:after="120"/>
        <w:ind w:left="709" w:hanging="709"/>
        <w:jc w:val="both"/>
        <w:outlineLvl w:val="0"/>
        <w:rPr>
          <w:rFonts w:cs="Times New Roman"/>
          <w:snapToGrid/>
          <w:szCs w:val="28"/>
        </w:rPr>
      </w:pPr>
      <w:bookmarkStart w:id="2" w:name="_Toc19709469"/>
      <w:r w:rsidRPr="002019B2">
        <w:rPr>
          <w:rFonts w:cs="Times New Roman"/>
          <w:snapToGrid/>
          <w:szCs w:val="28"/>
        </w:rPr>
        <w:t>Requested listing</w:t>
      </w:r>
      <w:bookmarkEnd w:id="2"/>
    </w:p>
    <w:p w:rsidR="00032D2C" w:rsidRPr="002019B2" w:rsidRDefault="00032D2C" w:rsidP="00032D2C">
      <w:pPr>
        <w:pStyle w:val="ListParagraph"/>
        <w:numPr>
          <w:ilvl w:val="1"/>
          <w:numId w:val="5"/>
        </w:numPr>
      </w:pPr>
      <w:r w:rsidRPr="002019B2">
        <w:t xml:space="preserve">An abridged listing is provided below. </w:t>
      </w:r>
    </w:p>
    <w:p w:rsidR="00066AD4" w:rsidRPr="002019B2" w:rsidRDefault="00066AD4" w:rsidP="00C629CA"/>
    <w:p w:rsidR="007467C8" w:rsidRPr="002019B2" w:rsidRDefault="007467C8" w:rsidP="00937465">
      <w:pPr>
        <w:keepNext/>
        <w:rPr>
          <w:rStyle w:val="CommentReference"/>
        </w:rPr>
      </w:pPr>
      <w:r w:rsidRPr="002019B2">
        <w:rPr>
          <w:rStyle w:val="CommentReference"/>
        </w:rPr>
        <w:lastRenderedPageBreak/>
        <w:t>Table 2: Essential elements of the requested listing</w:t>
      </w:r>
    </w:p>
    <w:tbl>
      <w:tblPr>
        <w:tblW w:w="9236" w:type="dxa"/>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Caption w:val="Table 2: Essential elements of the requested listing"/>
      </w:tblPr>
      <w:tblGrid>
        <w:gridCol w:w="2319"/>
        <w:gridCol w:w="671"/>
        <w:gridCol w:w="671"/>
        <w:gridCol w:w="1271"/>
        <w:gridCol w:w="847"/>
        <w:gridCol w:w="1876"/>
        <w:gridCol w:w="1581"/>
      </w:tblGrid>
      <w:tr w:rsidR="007467C8" w:rsidRPr="002019B2" w:rsidTr="007C7B54">
        <w:trPr>
          <w:tblHeader/>
        </w:trPr>
        <w:tc>
          <w:tcPr>
            <w:tcW w:w="0" w:type="auto"/>
          </w:tcPr>
          <w:p w:rsidR="007467C8" w:rsidRPr="002019B2" w:rsidRDefault="007467C8" w:rsidP="00937465">
            <w:pPr>
              <w:pStyle w:val="Tabletext"/>
              <w:keepNext/>
              <w:rPr>
                <w:b/>
                <w:bCs/>
              </w:rPr>
            </w:pPr>
            <w:r w:rsidRPr="002019B2">
              <w:rPr>
                <w:b/>
              </w:rPr>
              <w:t>Name, restriction, manner of administration, form</w:t>
            </w:r>
          </w:p>
        </w:tc>
        <w:tc>
          <w:tcPr>
            <w:tcW w:w="0" w:type="auto"/>
            <w:gridSpan w:val="2"/>
          </w:tcPr>
          <w:p w:rsidR="007467C8" w:rsidRPr="002019B2" w:rsidRDefault="007467C8" w:rsidP="00937465">
            <w:pPr>
              <w:pStyle w:val="Tabletext"/>
              <w:keepNext/>
              <w:jc w:val="center"/>
              <w:rPr>
                <w:b/>
                <w:bCs/>
              </w:rPr>
            </w:pPr>
            <w:r w:rsidRPr="002019B2">
              <w:rPr>
                <w:b/>
              </w:rPr>
              <w:t>Maximum quantity (packs)</w:t>
            </w:r>
          </w:p>
        </w:tc>
        <w:tc>
          <w:tcPr>
            <w:tcW w:w="0" w:type="auto"/>
          </w:tcPr>
          <w:p w:rsidR="007467C8" w:rsidRPr="002019B2" w:rsidRDefault="007467C8" w:rsidP="00937465">
            <w:pPr>
              <w:pStyle w:val="Tabletext"/>
              <w:keepNext/>
              <w:jc w:val="center"/>
              <w:rPr>
                <w:b/>
                <w:bCs/>
              </w:rPr>
            </w:pPr>
            <w:r w:rsidRPr="002019B2">
              <w:rPr>
                <w:b/>
              </w:rPr>
              <w:t>Maximum quantity (nits)</w:t>
            </w:r>
          </w:p>
        </w:tc>
        <w:tc>
          <w:tcPr>
            <w:tcW w:w="0" w:type="auto"/>
          </w:tcPr>
          <w:p w:rsidR="007467C8" w:rsidRPr="002019B2" w:rsidRDefault="007467C8" w:rsidP="00937465">
            <w:pPr>
              <w:pStyle w:val="Tabletext"/>
              <w:keepNext/>
              <w:rPr>
                <w:b/>
                <w:bCs/>
              </w:rPr>
            </w:pPr>
            <w:r w:rsidRPr="002019B2">
              <w:rPr>
                <w:b/>
              </w:rPr>
              <w:t>No. of repeats</w:t>
            </w:r>
          </w:p>
        </w:tc>
        <w:tc>
          <w:tcPr>
            <w:tcW w:w="1876" w:type="dxa"/>
          </w:tcPr>
          <w:p w:rsidR="007467C8" w:rsidRPr="002019B2" w:rsidRDefault="007467C8" w:rsidP="00937465">
            <w:pPr>
              <w:pStyle w:val="Tabletext"/>
              <w:keepNext/>
              <w:rPr>
                <w:b/>
                <w:bCs/>
              </w:rPr>
            </w:pPr>
            <w:r w:rsidRPr="002019B2">
              <w:rPr>
                <w:b/>
              </w:rPr>
              <w:t>Dispensed price for maximum quantity</w:t>
            </w:r>
          </w:p>
        </w:tc>
        <w:tc>
          <w:tcPr>
            <w:tcW w:w="1581" w:type="dxa"/>
          </w:tcPr>
          <w:p w:rsidR="007467C8" w:rsidRPr="002019B2" w:rsidRDefault="007467C8" w:rsidP="00937465">
            <w:pPr>
              <w:pStyle w:val="Tabletext"/>
              <w:keepNext/>
              <w:rPr>
                <w:b/>
                <w:bCs/>
              </w:rPr>
            </w:pPr>
            <w:r w:rsidRPr="002019B2">
              <w:rPr>
                <w:b/>
              </w:rPr>
              <w:t>Proprietary name and manufacturer</w:t>
            </w:r>
          </w:p>
        </w:tc>
      </w:tr>
      <w:tr w:rsidR="007467C8" w:rsidRPr="002019B2" w:rsidTr="007C7B54">
        <w:trPr>
          <w:tblHeader/>
        </w:trPr>
        <w:tc>
          <w:tcPr>
            <w:tcW w:w="0" w:type="auto"/>
          </w:tcPr>
          <w:p w:rsidR="007467C8" w:rsidRPr="002019B2" w:rsidRDefault="007467C8" w:rsidP="00937465">
            <w:pPr>
              <w:pStyle w:val="Tabletext"/>
              <w:keepNext/>
              <w:rPr>
                <w:b/>
                <w:bCs/>
                <w:iCs/>
              </w:rPr>
            </w:pPr>
            <w:r w:rsidRPr="002019B2">
              <w:rPr>
                <w:b/>
                <w:bCs/>
                <w:iCs/>
              </w:rPr>
              <w:t>Initial treatment</w:t>
            </w:r>
          </w:p>
          <w:p w:rsidR="007467C8" w:rsidRPr="002019B2" w:rsidRDefault="007467C8" w:rsidP="00937465">
            <w:pPr>
              <w:pStyle w:val="Tabletext"/>
              <w:keepNext/>
              <w:rPr>
                <w:iCs/>
              </w:rPr>
            </w:pPr>
            <w:r w:rsidRPr="002019B2">
              <w:rPr>
                <w:iCs/>
              </w:rPr>
              <w:t>Upa</w:t>
            </w:r>
            <w:r w:rsidR="0053275C" w:rsidRPr="002019B2">
              <w:rPr>
                <w:iCs/>
              </w:rPr>
              <w:t>da</w:t>
            </w:r>
            <w:r w:rsidRPr="002019B2">
              <w:rPr>
                <w:iCs/>
              </w:rPr>
              <w:t>citinib</w:t>
            </w:r>
          </w:p>
          <w:p w:rsidR="007467C8" w:rsidRPr="002019B2" w:rsidRDefault="007467C8" w:rsidP="00937465">
            <w:pPr>
              <w:pStyle w:val="Tabletext"/>
              <w:keepNext/>
              <w:rPr>
                <w:iCs/>
              </w:rPr>
            </w:pPr>
            <w:r w:rsidRPr="002019B2">
              <w:rPr>
                <w:iCs/>
              </w:rPr>
              <w:t>15</w:t>
            </w:r>
            <w:r w:rsidR="00FE70C4">
              <w:rPr>
                <w:iCs/>
              </w:rPr>
              <w:t xml:space="preserve"> </w:t>
            </w:r>
            <w:r w:rsidRPr="002019B2">
              <w:rPr>
                <w:iCs/>
              </w:rPr>
              <w:t>mg oral tablet</w:t>
            </w:r>
          </w:p>
        </w:tc>
        <w:tc>
          <w:tcPr>
            <w:tcW w:w="0" w:type="auto"/>
            <w:gridSpan w:val="2"/>
            <w:vAlign w:val="center"/>
          </w:tcPr>
          <w:p w:rsidR="007467C8" w:rsidRPr="002019B2" w:rsidRDefault="007467C8" w:rsidP="00937465">
            <w:pPr>
              <w:pStyle w:val="Tabletext"/>
              <w:keepNext/>
              <w:jc w:val="center"/>
              <w:rPr>
                <w:iCs/>
              </w:rPr>
            </w:pPr>
            <w:r w:rsidRPr="002019B2">
              <w:rPr>
                <w:iCs/>
              </w:rPr>
              <w:t>1</w:t>
            </w:r>
          </w:p>
        </w:tc>
        <w:tc>
          <w:tcPr>
            <w:tcW w:w="0" w:type="auto"/>
            <w:vAlign w:val="center"/>
          </w:tcPr>
          <w:p w:rsidR="007467C8" w:rsidRPr="002019B2" w:rsidRDefault="007467C8" w:rsidP="00937465">
            <w:pPr>
              <w:pStyle w:val="Tabletext"/>
              <w:keepNext/>
              <w:jc w:val="center"/>
              <w:rPr>
                <w:iCs/>
              </w:rPr>
            </w:pPr>
            <w:r w:rsidRPr="002019B2">
              <w:rPr>
                <w:iCs/>
              </w:rPr>
              <w:t>28</w:t>
            </w:r>
          </w:p>
        </w:tc>
        <w:tc>
          <w:tcPr>
            <w:tcW w:w="0" w:type="auto"/>
            <w:vAlign w:val="center"/>
          </w:tcPr>
          <w:p w:rsidR="007467C8" w:rsidRPr="002019B2" w:rsidRDefault="007467C8" w:rsidP="00937465">
            <w:pPr>
              <w:pStyle w:val="Tabletext"/>
              <w:keepNext/>
              <w:jc w:val="center"/>
              <w:rPr>
                <w:iCs/>
              </w:rPr>
            </w:pPr>
            <w:r w:rsidRPr="002019B2">
              <w:rPr>
                <w:iCs/>
              </w:rPr>
              <w:t>3</w:t>
            </w:r>
          </w:p>
        </w:tc>
        <w:tc>
          <w:tcPr>
            <w:tcW w:w="1876" w:type="dxa"/>
            <w:vAlign w:val="center"/>
          </w:tcPr>
          <w:p w:rsidR="007467C8" w:rsidRPr="002019B2" w:rsidRDefault="00C03A91" w:rsidP="00937465">
            <w:pPr>
              <w:pStyle w:val="Tabletext"/>
              <w:keepNext/>
              <w:jc w:val="center"/>
              <w:rPr>
                <w:iCs/>
              </w:rPr>
            </w:pPr>
            <w:r w:rsidRPr="002019B2">
              <w:rPr>
                <w:iCs/>
              </w:rPr>
              <w:t xml:space="preserve">Published: </w:t>
            </w:r>
            <w:r w:rsidR="007467C8" w:rsidRPr="002019B2">
              <w:rPr>
                <w:iCs/>
              </w:rPr>
              <w:t>$1,</w:t>
            </w:r>
            <w:r w:rsidR="00A84C91" w:rsidRPr="002019B2">
              <w:rPr>
                <w:iCs/>
              </w:rPr>
              <w:t>267.64</w:t>
            </w:r>
            <w:r w:rsidR="00B426D6" w:rsidRPr="002019B2">
              <w:rPr>
                <w:iCs/>
              </w:rPr>
              <w:t>*</w:t>
            </w:r>
            <w:r w:rsidR="007467C8" w:rsidRPr="002019B2">
              <w:rPr>
                <w:iCs/>
              </w:rPr>
              <w:t xml:space="preserve"> </w:t>
            </w:r>
            <w:r w:rsidRPr="002019B2">
              <w:rPr>
                <w:iCs/>
              </w:rPr>
              <w:t xml:space="preserve">Effective: </w:t>
            </w:r>
            <w:r w:rsidR="007467C8" w:rsidRPr="002019B2">
              <w:rPr>
                <w:iCs/>
              </w:rPr>
              <w:t>NR</w:t>
            </w:r>
            <w:r w:rsidRPr="002019B2">
              <w:rPr>
                <w:iCs/>
              </w:rPr>
              <w:t>#</w:t>
            </w:r>
          </w:p>
        </w:tc>
        <w:tc>
          <w:tcPr>
            <w:tcW w:w="1581" w:type="dxa"/>
            <w:vAlign w:val="center"/>
          </w:tcPr>
          <w:p w:rsidR="007467C8" w:rsidRPr="002019B2" w:rsidRDefault="00E62A61" w:rsidP="00937465">
            <w:pPr>
              <w:pStyle w:val="Tabletext"/>
              <w:keepNext/>
              <w:jc w:val="center"/>
              <w:rPr>
                <w:iCs/>
              </w:rPr>
            </w:pPr>
            <w:r w:rsidRPr="002019B2">
              <w:rPr>
                <w:iCs/>
              </w:rPr>
              <w:t>Rinvoq®</w:t>
            </w:r>
            <w:r w:rsidR="007467C8" w:rsidRPr="002019B2">
              <w:rPr>
                <w:iCs/>
              </w:rPr>
              <w:t xml:space="preserve">, </w:t>
            </w:r>
            <w:r w:rsidR="0053275C" w:rsidRPr="002019B2">
              <w:rPr>
                <w:iCs/>
              </w:rPr>
              <w:t>AbbVie</w:t>
            </w:r>
          </w:p>
        </w:tc>
      </w:tr>
      <w:tr w:rsidR="007467C8" w:rsidRPr="002019B2" w:rsidTr="007C7B54">
        <w:trPr>
          <w:tblHeader/>
        </w:trPr>
        <w:tc>
          <w:tcPr>
            <w:tcW w:w="0" w:type="auto"/>
          </w:tcPr>
          <w:p w:rsidR="007467C8" w:rsidRPr="002019B2" w:rsidRDefault="007467C8" w:rsidP="00937465">
            <w:pPr>
              <w:pStyle w:val="Tabletext"/>
              <w:keepNext/>
              <w:rPr>
                <w:b/>
                <w:bCs/>
                <w:iCs/>
              </w:rPr>
            </w:pPr>
            <w:r w:rsidRPr="002019B2">
              <w:rPr>
                <w:b/>
                <w:bCs/>
                <w:iCs/>
              </w:rPr>
              <w:t>Continuing treatment</w:t>
            </w:r>
          </w:p>
          <w:p w:rsidR="007467C8" w:rsidRPr="002019B2" w:rsidRDefault="007467C8" w:rsidP="00937465">
            <w:pPr>
              <w:pStyle w:val="Tabletext"/>
              <w:keepNext/>
              <w:rPr>
                <w:iCs/>
              </w:rPr>
            </w:pPr>
            <w:r w:rsidRPr="002019B2">
              <w:rPr>
                <w:iCs/>
              </w:rPr>
              <w:t>Upa</w:t>
            </w:r>
            <w:r w:rsidR="0053275C" w:rsidRPr="002019B2">
              <w:rPr>
                <w:iCs/>
              </w:rPr>
              <w:t>da</w:t>
            </w:r>
            <w:r w:rsidRPr="002019B2">
              <w:rPr>
                <w:iCs/>
              </w:rPr>
              <w:t>citinib</w:t>
            </w:r>
          </w:p>
          <w:p w:rsidR="007467C8" w:rsidRPr="002019B2" w:rsidRDefault="007467C8" w:rsidP="00937465">
            <w:pPr>
              <w:pStyle w:val="Tabletext"/>
              <w:keepNext/>
              <w:rPr>
                <w:b/>
                <w:bCs/>
                <w:iCs/>
              </w:rPr>
            </w:pPr>
            <w:r w:rsidRPr="002019B2">
              <w:rPr>
                <w:iCs/>
              </w:rPr>
              <w:t>15</w:t>
            </w:r>
            <w:r w:rsidR="00FE70C4">
              <w:rPr>
                <w:iCs/>
              </w:rPr>
              <w:t xml:space="preserve"> </w:t>
            </w:r>
            <w:r w:rsidRPr="002019B2">
              <w:rPr>
                <w:iCs/>
              </w:rPr>
              <w:t>mg oral tablet</w:t>
            </w:r>
          </w:p>
        </w:tc>
        <w:tc>
          <w:tcPr>
            <w:tcW w:w="0" w:type="auto"/>
            <w:gridSpan w:val="2"/>
            <w:vAlign w:val="center"/>
          </w:tcPr>
          <w:p w:rsidR="007467C8" w:rsidRPr="002019B2" w:rsidRDefault="007467C8" w:rsidP="00937465">
            <w:pPr>
              <w:pStyle w:val="Tabletext"/>
              <w:keepNext/>
              <w:jc w:val="center"/>
              <w:rPr>
                <w:rFonts w:ascii="Times" w:hAnsi="Times"/>
                <w:iCs/>
              </w:rPr>
            </w:pPr>
            <w:r w:rsidRPr="002019B2">
              <w:rPr>
                <w:iCs/>
              </w:rPr>
              <w:t>1</w:t>
            </w:r>
          </w:p>
        </w:tc>
        <w:tc>
          <w:tcPr>
            <w:tcW w:w="0" w:type="auto"/>
            <w:vAlign w:val="center"/>
          </w:tcPr>
          <w:p w:rsidR="007467C8" w:rsidRPr="002019B2" w:rsidRDefault="007467C8" w:rsidP="00937465">
            <w:pPr>
              <w:pStyle w:val="Tabletext"/>
              <w:keepNext/>
              <w:jc w:val="center"/>
              <w:rPr>
                <w:rFonts w:ascii="Times" w:hAnsi="Times"/>
                <w:iCs/>
              </w:rPr>
            </w:pPr>
            <w:r w:rsidRPr="002019B2">
              <w:rPr>
                <w:iCs/>
              </w:rPr>
              <w:t>28</w:t>
            </w:r>
          </w:p>
        </w:tc>
        <w:tc>
          <w:tcPr>
            <w:tcW w:w="0" w:type="auto"/>
            <w:vAlign w:val="center"/>
          </w:tcPr>
          <w:p w:rsidR="007467C8" w:rsidRPr="002019B2" w:rsidRDefault="007467C8" w:rsidP="00937465">
            <w:pPr>
              <w:pStyle w:val="Tabletext"/>
              <w:keepNext/>
              <w:jc w:val="center"/>
              <w:rPr>
                <w:rFonts w:ascii="Times" w:hAnsi="Times"/>
                <w:iCs/>
              </w:rPr>
            </w:pPr>
            <w:r w:rsidRPr="002019B2">
              <w:rPr>
                <w:rFonts w:ascii="Times" w:hAnsi="Times"/>
                <w:iCs/>
              </w:rPr>
              <w:t>5</w:t>
            </w:r>
          </w:p>
        </w:tc>
        <w:tc>
          <w:tcPr>
            <w:tcW w:w="1876" w:type="dxa"/>
            <w:vAlign w:val="center"/>
          </w:tcPr>
          <w:p w:rsidR="007467C8" w:rsidRPr="002019B2" w:rsidRDefault="00C03A91" w:rsidP="00937465">
            <w:pPr>
              <w:pStyle w:val="Tabletext"/>
              <w:keepNext/>
              <w:jc w:val="center"/>
              <w:rPr>
                <w:rFonts w:ascii="Times" w:hAnsi="Times"/>
                <w:iCs/>
              </w:rPr>
            </w:pPr>
            <w:r w:rsidRPr="002019B2">
              <w:rPr>
                <w:iCs/>
              </w:rPr>
              <w:t>Published: $1,</w:t>
            </w:r>
            <w:r w:rsidR="00A84C91" w:rsidRPr="002019B2">
              <w:rPr>
                <w:iCs/>
              </w:rPr>
              <w:t>267.64</w:t>
            </w:r>
            <w:r w:rsidR="00B426D6" w:rsidRPr="002019B2">
              <w:rPr>
                <w:iCs/>
              </w:rPr>
              <w:t>*</w:t>
            </w:r>
            <w:r w:rsidRPr="002019B2">
              <w:rPr>
                <w:iCs/>
              </w:rPr>
              <w:t>Effective: NR#</w:t>
            </w:r>
          </w:p>
        </w:tc>
        <w:tc>
          <w:tcPr>
            <w:tcW w:w="1581" w:type="dxa"/>
            <w:vAlign w:val="center"/>
          </w:tcPr>
          <w:p w:rsidR="007467C8" w:rsidRPr="002019B2" w:rsidRDefault="00E62A61" w:rsidP="00937465">
            <w:pPr>
              <w:pStyle w:val="Tabletext"/>
              <w:keepNext/>
              <w:jc w:val="center"/>
              <w:rPr>
                <w:rFonts w:ascii="Times" w:hAnsi="Times"/>
                <w:iCs/>
              </w:rPr>
            </w:pPr>
            <w:r w:rsidRPr="002019B2">
              <w:rPr>
                <w:iCs/>
              </w:rPr>
              <w:t>Rinvoq®</w:t>
            </w:r>
            <w:r w:rsidR="007467C8" w:rsidRPr="002019B2">
              <w:rPr>
                <w:iCs/>
              </w:rPr>
              <w:t xml:space="preserve">, </w:t>
            </w:r>
            <w:r w:rsidR="0053275C" w:rsidRPr="002019B2">
              <w:rPr>
                <w:iCs/>
              </w:rPr>
              <w:t>AbbVie</w:t>
            </w:r>
          </w:p>
        </w:tc>
      </w:tr>
      <w:tr w:rsidR="00DF4907" w:rsidRPr="002019B2" w:rsidTr="007C7B54">
        <w:tblPrEx>
          <w:tblBorders>
            <w:top w:val="none" w:sz="0" w:space="0" w:color="auto"/>
            <w:bottom w:val="none" w:sz="0" w:space="0" w:color="auto"/>
            <w:insideH w:val="none" w:sz="0" w:space="0" w:color="auto"/>
          </w:tblBorders>
          <w:tblLook w:val="0000" w:firstRow="0" w:lastRow="0" w:firstColumn="0" w:lastColumn="0" w:noHBand="0" w:noVBand="0"/>
        </w:tblPrEx>
        <w:trPr>
          <w:tblHeader/>
        </w:trPr>
        <w:tc>
          <w:tcPr>
            <w:tcW w:w="2850" w:type="dxa"/>
            <w:gridSpan w:val="2"/>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rPr>
                <w:b/>
              </w:rPr>
            </w:pPr>
            <w:r w:rsidRPr="002019B2">
              <w:rPr>
                <w:b/>
              </w:rPr>
              <w:t>Severity:</w:t>
            </w:r>
          </w:p>
        </w:tc>
        <w:tc>
          <w:tcPr>
            <w:tcW w:w="6386" w:type="dxa"/>
            <w:gridSpan w:val="5"/>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pPr>
            <w:r w:rsidRPr="002019B2">
              <w:t>Severe</w:t>
            </w:r>
          </w:p>
        </w:tc>
      </w:tr>
      <w:tr w:rsidR="00DF4907" w:rsidRPr="002019B2" w:rsidTr="007C7B54">
        <w:tblPrEx>
          <w:tblBorders>
            <w:top w:val="none" w:sz="0" w:space="0" w:color="auto"/>
            <w:bottom w:val="none" w:sz="0" w:space="0" w:color="auto"/>
            <w:insideH w:val="none" w:sz="0" w:space="0" w:color="auto"/>
          </w:tblBorders>
          <w:tblLook w:val="0000" w:firstRow="0" w:lastRow="0" w:firstColumn="0" w:lastColumn="0" w:noHBand="0" w:noVBand="0"/>
        </w:tblPrEx>
        <w:trPr>
          <w:tblHeader/>
        </w:trPr>
        <w:tc>
          <w:tcPr>
            <w:tcW w:w="2850" w:type="dxa"/>
            <w:gridSpan w:val="2"/>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rPr>
                <w:b/>
              </w:rPr>
            </w:pPr>
            <w:r w:rsidRPr="002019B2">
              <w:rPr>
                <w:b/>
              </w:rPr>
              <w:t>Condition:</w:t>
            </w:r>
          </w:p>
        </w:tc>
        <w:tc>
          <w:tcPr>
            <w:tcW w:w="6386" w:type="dxa"/>
            <w:gridSpan w:val="5"/>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pPr>
            <w:r w:rsidRPr="002019B2">
              <w:t>Active Rheumatoid Arthritis</w:t>
            </w:r>
          </w:p>
        </w:tc>
      </w:tr>
      <w:tr w:rsidR="00DF4907" w:rsidRPr="002019B2" w:rsidTr="007C7B54">
        <w:tblPrEx>
          <w:tblBorders>
            <w:top w:val="none" w:sz="0" w:space="0" w:color="auto"/>
            <w:bottom w:val="none" w:sz="0" w:space="0" w:color="auto"/>
            <w:insideH w:val="none" w:sz="0" w:space="0" w:color="auto"/>
          </w:tblBorders>
          <w:tblLook w:val="0000" w:firstRow="0" w:lastRow="0" w:firstColumn="0" w:lastColumn="0" w:noHBand="0" w:noVBand="0"/>
        </w:tblPrEx>
        <w:trPr>
          <w:tblHeader/>
        </w:trPr>
        <w:tc>
          <w:tcPr>
            <w:tcW w:w="2850" w:type="dxa"/>
            <w:gridSpan w:val="2"/>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rPr>
                <w:b/>
              </w:rPr>
            </w:pPr>
            <w:r w:rsidRPr="002019B2">
              <w:rPr>
                <w:b/>
              </w:rPr>
              <w:t>PBS Indication:</w:t>
            </w:r>
          </w:p>
        </w:tc>
        <w:tc>
          <w:tcPr>
            <w:tcW w:w="6386" w:type="dxa"/>
            <w:gridSpan w:val="5"/>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pPr>
            <w:r w:rsidRPr="002019B2">
              <w:t xml:space="preserve">Severe active Rheumatoid Arthritis </w:t>
            </w:r>
          </w:p>
        </w:tc>
      </w:tr>
      <w:tr w:rsidR="00DF4907" w:rsidRPr="002019B2" w:rsidTr="007C7B54">
        <w:tblPrEx>
          <w:tblBorders>
            <w:top w:val="none" w:sz="0" w:space="0" w:color="auto"/>
            <w:bottom w:val="none" w:sz="0" w:space="0" w:color="auto"/>
            <w:insideH w:val="none" w:sz="0" w:space="0" w:color="auto"/>
          </w:tblBorders>
          <w:tblLook w:val="0000" w:firstRow="0" w:lastRow="0" w:firstColumn="0" w:lastColumn="0" w:noHBand="0" w:noVBand="0"/>
        </w:tblPrEx>
        <w:trPr>
          <w:tblHeader/>
        </w:trPr>
        <w:tc>
          <w:tcPr>
            <w:tcW w:w="2850" w:type="dxa"/>
            <w:gridSpan w:val="2"/>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rPr>
                <w:b/>
              </w:rPr>
            </w:pPr>
            <w:r w:rsidRPr="002019B2">
              <w:rPr>
                <w:b/>
              </w:rPr>
              <w:t>Treatment phase:</w:t>
            </w:r>
          </w:p>
          <w:p w:rsidR="00DF4907" w:rsidRPr="002019B2" w:rsidRDefault="00DF4907" w:rsidP="00937465">
            <w:pPr>
              <w:pStyle w:val="Tabletext"/>
              <w:keepNext/>
            </w:pPr>
          </w:p>
        </w:tc>
        <w:tc>
          <w:tcPr>
            <w:tcW w:w="6386" w:type="dxa"/>
            <w:gridSpan w:val="5"/>
            <w:tcBorders>
              <w:top w:val="single" w:sz="4" w:space="0" w:color="auto"/>
              <w:left w:val="single" w:sz="4" w:space="0" w:color="auto"/>
              <w:bottom w:val="single" w:sz="4" w:space="0" w:color="auto"/>
              <w:right w:val="single" w:sz="4" w:space="0" w:color="auto"/>
            </w:tcBorders>
            <w:vAlign w:val="center"/>
          </w:tcPr>
          <w:p w:rsidR="00DF4907" w:rsidRPr="002019B2" w:rsidRDefault="00DF4907" w:rsidP="00937465">
            <w:pPr>
              <w:pStyle w:val="Tabletext"/>
              <w:keepNext/>
            </w:pPr>
            <w:r w:rsidRPr="002019B2">
              <w:t xml:space="preserve">Initial treatment and continuing treatment as per other PBS-listed JAK inhibitors/bDMARDs. </w:t>
            </w:r>
          </w:p>
        </w:tc>
      </w:tr>
      <w:tr w:rsidR="00DF4907" w:rsidRPr="002019B2" w:rsidTr="007C7B54">
        <w:tblPrEx>
          <w:tblBorders>
            <w:top w:val="none" w:sz="0" w:space="0" w:color="auto"/>
            <w:bottom w:val="none" w:sz="0" w:space="0" w:color="auto"/>
            <w:insideH w:val="none" w:sz="0" w:space="0" w:color="auto"/>
          </w:tblBorders>
          <w:tblLook w:val="0000" w:firstRow="0" w:lastRow="0" w:firstColumn="0" w:lastColumn="0" w:noHBand="0" w:noVBand="0"/>
        </w:tblPrEx>
        <w:trPr>
          <w:tblHeader/>
        </w:trPr>
        <w:tc>
          <w:tcPr>
            <w:tcW w:w="2850" w:type="dxa"/>
            <w:gridSpan w:val="2"/>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rPr>
                <w:b/>
              </w:rPr>
            </w:pPr>
            <w:r w:rsidRPr="002019B2">
              <w:rPr>
                <w:b/>
              </w:rPr>
              <w:t>Restriction:</w:t>
            </w:r>
          </w:p>
          <w:p w:rsidR="00DF4907" w:rsidRPr="002019B2" w:rsidRDefault="00DF4907" w:rsidP="00937465">
            <w:pPr>
              <w:pStyle w:val="Tabletext"/>
              <w:keepNext/>
              <w:rPr>
                <w:i/>
              </w:rPr>
            </w:pPr>
          </w:p>
        </w:tc>
        <w:tc>
          <w:tcPr>
            <w:tcW w:w="6386" w:type="dxa"/>
            <w:gridSpan w:val="5"/>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pPr>
            <w:r w:rsidRPr="002019B2">
              <w:fldChar w:fldCharType="begin">
                <w:ffData>
                  <w:name w:val="Check1"/>
                  <w:enabled/>
                  <w:calcOnExit w:val="0"/>
                  <w:checkBox>
                    <w:sizeAuto/>
                    <w:default w:val="0"/>
                  </w:checkBox>
                </w:ffData>
              </w:fldChar>
            </w:r>
            <w:r w:rsidRPr="002019B2">
              <w:instrText xml:space="preserve"> FORMCHECKBOX </w:instrText>
            </w:r>
            <w:r w:rsidR="00925063">
              <w:fldChar w:fldCharType="separate"/>
            </w:r>
            <w:r w:rsidRPr="002019B2">
              <w:fldChar w:fldCharType="end"/>
            </w:r>
            <w:r w:rsidRPr="002019B2">
              <w:t>Restricted benefit</w:t>
            </w:r>
          </w:p>
          <w:p w:rsidR="00DF4907" w:rsidRPr="002019B2" w:rsidRDefault="00DF4907" w:rsidP="00937465">
            <w:pPr>
              <w:pStyle w:val="Tabletext"/>
              <w:keepNext/>
            </w:pPr>
            <w:r w:rsidRPr="002019B2">
              <w:fldChar w:fldCharType="begin">
                <w:ffData>
                  <w:name w:val=""/>
                  <w:enabled/>
                  <w:calcOnExit w:val="0"/>
                  <w:checkBox>
                    <w:sizeAuto/>
                    <w:default w:val="1"/>
                  </w:checkBox>
                </w:ffData>
              </w:fldChar>
            </w:r>
            <w:r w:rsidRPr="002019B2">
              <w:instrText xml:space="preserve"> FORMCHECKBOX </w:instrText>
            </w:r>
            <w:r w:rsidR="00925063">
              <w:fldChar w:fldCharType="separate"/>
            </w:r>
            <w:r w:rsidRPr="002019B2">
              <w:fldChar w:fldCharType="end"/>
            </w:r>
            <w:r w:rsidRPr="002019B2">
              <w:t>Authority Required - In Writing</w:t>
            </w:r>
          </w:p>
          <w:p w:rsidR="00DF4907" w:rsidRPr="002019B2" w:rsidRDefault="00DF4907" w:rsidP="00937465">
            <w:pPr>
              <w:pStyle w:val="Tabletext"/>
              <w:keepNext/>
            </w:pPr>
            <w:r w:rsidRPr="002019B2">
              <w:fldChar w:fldCharType="begin">
                <w:ffData>
                  <w:name w:val="Check3"/>
                  <w:enabled/>
                  <w:calcOnExit w:val="0"/>
                  <w:checkBox>
                    <w:sizeAuto/>
                    <w:default w:val="0"/>
                  </w:checkBox>
                </w:ffData>
              </w:fldChar>
            </w:r>
            <w:r w:rsidRPr="002019B2">
              <w:instrText xml:space="preserve"> FORMCHECKBOX </w:instrText>
            </w:r>
            <w:r w:rsidR="00925063">
              <w:fldChar w:fldCharType="separate"/>
            </w:r>
            <w:r w:rsidRPr="002019B2">
              <w:fldChar w:fldCharType="end"/>
            </w:r>
            <w:r w:rsidRPr="002019B2">
              <w:t>Authority Required - Telephone</w:t>
            </w:r>
          </w:p>
          <w:p w:rsidR="00DF4907" w:rsidRPr="002019B2" w:rsidRDefault="00DF4907" w:rsidP="00937465">
            <w:pPr>
              <w:pStyle w:val="Tabletext"/>
              <w:keepNext/>
            </w:pPr>
            <w:r w:rsidRPr="002019B2">
              <w:fldChar w:fldCharType="begin">
                <w:ffData>
                  <w:name w:val=""/>
                  <w:enabled/>
                  <w:calcOnExit w:val="0"/>
                  <w:checkBox>
                    <w:sizeAuto/>
                    <w:default w:val="0"/>
                  </w:checkBox>
                </w:ffData>
              </w:fldChar>
            </w:r>
            <w:r w:rsidRPr="002019B2">
              <w:instrText xml:space="preserve"> FORMCHECKBOX </w:instrText>
            </w:r>
            <w:r w:rsidR="00925063">
              <w:fldChar w:fldCharType="separate"/>
            </w:r>
            <w:r w:rsidRPr="002019B2">
              <w:fldChar w:fldCharType="end"/>
            </w:r>
            <w:r w:rsidRPr="002019B2">
              <w:t>Authority Required – Emergency</w:t>
            </w:r>
          </w:p>
          <w:p w:rsidR="00DF4907" w:rsidRPr="002019B2" w:rsidRDefault="00DF4907" w:rsidP="00937465">
            <w:pPr>
              <w:pStyle w:val="Tabletext"/>
              <w:keepNext/>
            </w:pPr>
            <w:r w:rsidRPr="002019B2">
              <w:fldChar w:fldCharType="begin">
                <w:ffData>
                  <w:name w:val="Check5"/>
                  <w:enabled/>
                  <w:calcOnExit w:val="0"/>
                  <w:checkBox>
                    <w:sizeAuto/>
                    <w:default w:val="0"/>
                  </w:checkBox>
                </w:ffData>
              </w:fldChar>
            </w:r>
            <w:r w:rsidRPr="002019B2">
              <w:instrText xml:space="preserve"> FORMCHECKBOX </w:instrText>
            </w:r>
            <w:r w:rsidR="00925063">
              <w:fldChar w:fldCharType="separate"/>
            </w:r>
            <w:r w:rsidRPr="002019B2">
              <w:fldChar w:fldCharType="end"/>
            </w:r>
            <w:r w:rsidRPr="002019B2">
              <w:t>Authority Required - Electronic</w:t>
            </w:r>
          </w:p>
          <w:p w:rsidR="00DF4907" w:rsidRPr="002019B2" w:rsidRDefault="00DF4907" w:rsidP="00937465">
            <w:pPr>
              <w:pStyle w:val="Tabletext"/>
              <w:keepNext/>
            </w:pPr>
            <w:r w:rsidRPr="002019B2">
              <w:fldChar w:fldCharType="begin">
                <w:ffData>
                  <w:name w:val="Check5"/>
                  <w:enabled/>
                  <w:calcOnExit w:val="0"/>
                  <w:checkBox>
                    <w:sizeAuto/>
                    <w:default w:val="0"/>
                  </w:checkBox>
                </w:ffData>
              </w:fldChar>
            </w:r>
            <w:r w:rsidRPr="002019B2">
              <w:instrText xml:space="preserve"> FORMCHECKBOX </w:instrText>
            </w:r>
            <w:r w:rsidR="00925063">
              <w:fldChar w:fldCharType="separate"/>
            </w:r>
            <w:r w:rsidRPr="002019B2">
              <w:fldChar w:fldCharType="end"/>
            </w:r>
            <w:r w:rsidRPr="002019B2">
              <w:t>Streamlined</w:t>
            </w:r>
          </w:p>
        </w:tc>
      </w:tr>
      <w:tr w:rsidR="00DF4907" w:rsidRPr="002019B2" w:rsidTr="007C7B54">
        <w:tblPrEx>
          <w:tblBorders>
            <w:top w:val="none" w:sz="0" w:space="0" w:color="auto"/>
            <w:bottom w:val="none" w:sz="0" w:space="0" w:color="auto"/>
            <w:insideH w:val="none" w:sz="0" w:space="0" w:color="auto"/>
          </w:tblBorders>
          <w:tblLook w:val="0000" w:firstRow="0" w:lastRow="0" w:firstColumn="0" w:lastColumn="0" w:noHBand="0" w:noVBand="0"/>
        </w:tblPrEx>
        <w:trPr>
          <w:tblHeader/>
        </w:trPr>
        <w:tc>
          <w:tcPr>
            <w:tcW w:w="2850" w:type="dxa"/>
            <w:gridSpan w:val="2"/>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rPr>
                <w:b/>
              </w:rPr>
            </w:pPr>
            <w:r w:rsidRPr="002019B2">
              <w:rPr>
                <w:b/>
              </w:rPr>
              <w:t>Treatment criteria:</w:t>
            </w:r>
          </w:p>
          <w:p w:rsidR="00DF4907" w:rsidRPr="002019B2" w:rsidRDefault="00DF4907" w:rsidP="00937465">
            <w:pPr>
              <w:pStyle w:val="Tabletext"/>
              <w:keepNext/>
              <w:rPr>
                <w:i/>
              </w:rPr>
            </w:pPr>
          </w:p>
        </w:tc>
        <w:tc>
          <w:tcPr>
            <w:tcW w:w="6386" w:type="dxa"/>
            <w:gridSpan w:val="5"/>
            <w:tcBorders>
              <w:top w:val="single" w:sz="4" w:space="0" w:color="auto"/>
              <w:left w:val="single" w:sz="4" w:space="0" w:color="auto"/>
              <w:bottom w:val="single" w:sz="4" w:space="0" w:color="auto"/>
              <w:right w:val="single" w:sz="4" w:space="0" w:color="auto"/>
            </w:tcBorders>
            <w:vAlign w:val="center"/>
          </w:tcPr>
          <w:p w:rsidR="00DF4907" w:rsidRPr="002019B2" w:rsidRDefault="00DF4907" w:rsidP="00937465">
            <w:pPr>
              <w:pStyle w:val="Tabletext"/>
              <w:keepNext/>
            </w:pPr>
            <w:r w:rsidRPr="002019B2">
              <w:t xml:space="preserve">Must be treated by a rheumatologist </w:t>
            </w:r>
          </w:p>
          <w:p w:rsidR="00DF4907" w:rsidRPr="002019B2" w:rsidRDefault="00DF4907" w:rsidP="00937465">
            <w:pPr>
              <w:pStyle w:val="Tabletext"/>
              <w:keepNext/>
            </w:pPr>
            <w:r w:rsidRPr="002019B2">
              <w:t>OR</w:t>
            </w:r>
          </w:p>
          <w:p w:rsidR="00DF4907" w:rsidRPr="002019B2" w:rsidRDefault="00DF4907" w:rsidP="00937465">
            <w:pPr>
              <w:pStyle w:val="Tabletext"/>
              <w:keepNext/>
            </w:pPr>
            <w:r w:rsidRPr="002019B2">
              <w:t>Clinical immunologist with expertise in the management of rheumatoid arthritis.</w:t>
            </w:r>
          </w:p>
        </w:tc>
      </w:tr>
      <w:tr w:rsidR="00DF4907" w:rsidRPr="002019B2" w:rsidTr="007C7B54">
        <w:tblPrEx>
          <w:tblBorders>
            <w:top w:val="none" w:sz="0" w:space="0" w:color="auto"/>
            <w:bottom w:val="none" w:sz="0" w:space="0" w:color="auto"/>
            <w:insideH w:val="none" w:sz="0" w:space="0" w:color="auto"/>
          </w:tblBorders>
          <w:tblLook w:val="0000" w:firstRow="0" w:lastRow="0" w:firstColumn="0" w:lastColumn="0" w:noHBand="0" w:noVBand="0"/>
        </w:tblPrEx>
        <w:trPr>
          <w:tblHeader/>
        </w:trPr>
        <w:tc>
          <w:tcPr>
            <w:tcW w:w="2850" w:type="dxa"/>
            <w:gridSpan w:val="2"/>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rPr>
                <w:b/>
              </w:rPr>
            </w:pPr>
            <w:r w:rsidRPr="002019B2">
              <w:rPr>
                <w:b/>
              </w:rPr>
              <w:t>Clinical criteria:</w:t>
            </w:r>
          </w:p>
        </w:tc>
        <w:tc>
          <w:tcPr>
            <w:tcW w:w="6386" w:type="dxa"/>
            <w:gridSpan w:val="5"/>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rPr>
                <w:rFonts w:cs="Arial"/>
              </w:rPr>
            </w:pPr>
            <w:r w:rsidRPr="002019B2">
              <w:rPr>
                <w:rFonts w:cs="Arial"/>
              </w:rPr>
              <w:t>As per other PBS-listed JAK inhibitors/bDMARDs</w:t>
            </w:r>
          </w:p>
        </w:tc>
      </w:tr>
      <w:tr w:rsidR="00DF4907" w:rsidRPr="002019B2" w:rsidTr="007C7B54">
        <w:tblPrEx>
          <w:tblBorders>
            <w:top w:val="none" w:sz="0" w:space="0" w:color="auto"/>
            <w:bottom w:val="none" w:sz="0" w:space="0" w:color="auto"/>
            <w:insideH w:val="none" w:sz="0" w:space="0" w:color="auto"/>
          </w:tblBorders>
          <w:tblLook w:val="0000" w:firstRow="0" w:lastRow="0" w:firstColumn="0" w:lastColumn="0" w:noHBand="0" w:noVBand="0"/>
        </w:tblPrEx>
        <w:trPr>
          <w:tblHeader/>
        </w:trPr>
        <w:tc>
          <w:tcPr>
            <w:tcW w:w="2850" w:type="dxa"/>
            <w:gridSpan w:val="2"/>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rPr>
                <w:b/>
              </w:rPr>
            </w:pPr>
            <w:r w:rsidRPr="002019B2">
              <w:rPr>
                <w:b/>
              </w:rPr>
              <w:t>Population criteria:</w:t>
            </w:r>
          </w:p>
        </w:tc>
        <w:tc>
          <w:tcPr>
            <w:tcW w:w="6386" w:type="dxa"/>
            <w:gridSpan w:val="5"/>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pPr>
            <w:r w:rsidRPr="002019B2">
              <w:t>Patient must be aged 18 years or older</w:t>
            </w:r>
          </w:p>
        </w:tc>
      </w:tr>
      <w:tr w:rsidR="00DF4907" w:rsidRPr="002019B2" w:rsidTr="007C7B54">
        <w:tblPrEx>
          <w:tblBorders>
            <w:top w:val="none" w:sz="0" w:space="0" w:color="auto"/>
            <w:bottom w:val="none" w:sz="0" w:space="0" w:color="auto"/>
            <w:insideH w:val="none" w:sz="0" w:space="0" w:color="auto"/>
          </w:tblBorders>
          <w:tblLook w:val="0000" w:firstRow="0" w:lastRow="0" w:firstColumn="0" w:lastColumn="0" w:noHBand="0" w:noVBand="0"/>
        </w:tblPrEx>
        <w:trPr>
          <w:trHeight w:val="64"/>
          <w:tblHeader/>
        </w:trPr>
        <w:tc>
          <w:tcPr>
            <w:tcW w:w="2850" w:type="dxa"/>
            <w:gridSpan w:val="2"/>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rPr>
                <w:b/>
              </w:rPr>
            </w:pPr>
            <w:r w:rsidRPr="002019B2">
              <w:rPr>
                <w:b/>
              </w:rPr>
              <w:t>Prescriber Instructions:</w:t>
            </w:r>
          </w:p>
        </w:tc>
        <w:tc>
          <w:tcPr>
            <w:tcW w:w="6386" w:type="dxa"/>
            <w:gridSpan w:val="5"/>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pPr>
            <w:r w:rsidRPr="002019B2">
              <w:t>As per other PBS-listed JAK inhibitors/bDMARDs.</w:t>
            </w:r>
          </w:p>
        </w:tc>
      </w:tr>
      <w:tr w:rsidR="00DF4907" w:rsidRPr="002019B2" w:rsidTr="007C7B54">
        <w:tblPrEx>
          <w:tblBorders>
            <w:top w:val="none" w:sz="0" w:space="0" w:color="auto"/>
            <w:bottom w:val="none" w:sz="0" w:space="0" w:color="auto"/>
            <w:insideH w:val="none" w:sz="0" w:space="0" w:color="auto"/>
          </w:tblBorders>
          <w:tblLook w:val="0000" w:firstRow="0" w:lastRow="0" w:firstColumn="0" w:lastColumn="0" w:noHBand="0" w:noVBand="0"/>
        </w:tblPrEx>
        <w:trPr>
          <w:trHeight w:val="64"/>
          <w:tblHeader/>
        </w:trPr>
        <w:tc>
          <w:tcPr>
            <w:tcW w:w="2850" w:type="dxa"/>
            <w:gridSpan w:val="2"/>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rPr>
                <w:b/>
              </w:rPr>
            </w:pPr>
            <w:r w:rsidRPr="002019B2">
              <w:rPr>
                <w:b/>
              </w:rPr>
              <w:t>Administrative Advice:</w:t>
            </w:r>
          </w:p>
        </w:tc>
        <w:tc>
          <w:tcPr>
            <w:tcW w:w="6386" w:type="dxa"/>
            <w:gridSpan w:val="5"/>
            <w:tcBorders>
              <w:top w:val="single" w:sz="4" w:space="0" w:color="auto"/>
              <w:left w:val="single" w:sz="4" w:space="0" w:color="auto"/>
              <w:bottom w:val="single" w:sz="4" w:space="0" w:color="auto"/>
              <w:right w:val="single" w:sz="4" w:space="0" w:color="auto"/>
            </w:tcBorders>
          </w:tcPr>
          <w:p w:rsidR="00DF4907" w:rsidRPr="002019B2" w:rsidRDefault="00DF4907" w:rsidP="00937465">
            <w:pPr>
              <w:pStyle w:val="Tabletext"/>
              <w:keepNext/>
            </w:pPr>
            <w:r w:rsidRPr="002019B2">
              <w:t xml:space="preserve">As per other PBS-listed JAK inhibitors/bDMARDs. </w:t>
            </w:r>
          </w:p>
        </w:tc>
      </w:tr>
    </w:tbl>
    <w:p w:rsidR="00C03A91" w:rsidRPr="002019B2" w:rsidRDefault="00C03A91" w:rsidP="00937465">
      <w:pPr>
        <w:pStyle w:val="TableFooter"/>
        <w:keepNext/>
      </w:pPr>
      <w:r w:rsidRPr="002019B2">
        <w:t>NR = not reported</w:t>
      </w:r>
    </w:p>
    <w:p w:rsidR="00B426D6" w:rsidRPr="002019B2" w:rsidRDefault="00C03A91" w:rsidP="00937465">
      <w:pPr>
        <w:pStyle w:val="TableFooter"/>
        <w:keepNext/>
        <w:tabs>
          <w:tab w:val="left" w:pos="142"/>
        </w:tabs>
      </w:pPr>
      <w:r w:rsidRPr="002019B2">
        <w:rPr>
          <w:vertAlign w:val="superscript"/>
        </w:rPr>
        <w:t>#</w:t>
      </w:r>
      <w:r w:rsidRPr="002019B2">
        <w:rPr>
          <w:vertAlign w:val="superscript"/>
        </w:rPr>
        <w:tab/>
      </w:r>
      <w:r w:rsidRPr="002019B2">
        <w:t>Requested same effective price as baricitinib 4mg tablets</w:t>
      </w:r>
      <w:r w:rsidR="00B426D6" w:rsidRPr="002019B2">
        <w:t xml:space="preserve">. </w:t>
      </w:r>
    </w:p>
    <w:p w:rsidR="00C03A91" w:rsidRPr="002019B2" w:rsidRDefault="00B426D6" w:rsidP="00937465">
      <w:pPr>
        <w:pStyle w:val="TableFooter"/>
        <w:keepNext/>
        <w:tabs>
          <w:tab w:val="left" w:pos="142"/>
        </w:tabs>
      </w:pPr>
      <w:r w:rsidRPr="002019B2">
        <w:t>*</w:t>
      </w:r>
      <w:r w:rsidR="00E632B0" w:rsidRPr="002019B2">
        <w:tab/>
      </w:r>
      <w:r w:rsidRPr="002019B2">
        <w:t xml:space="preserve"> Current published DPMQ for BARI is $1267.79</w:t>
      </w:r>
    </w:p>
    <w:p w:rsidR="007467C8" w:rsidRPr="002019B2" w:rsidRDefault="00DF4907" w:rsidP="00937465">
      <w:pPr>
        <w:pStyle w:val="TableFooter"/>
        <w:keepNext/>
      </w:pPr>
      <w:r w:rsidRPr="002019B2">
        <w:t xml:space="preserve">Source: Table 1.5, p20; Table 1.6, p21 of the submission. </w:t>
      </w:r>
    </w:p>
    <w:p w:rsidR="00B60939" w:rsidRPr="002019B2" w:rsidRDefault="00B60939" w:rsidP="004B1CB4"/>
    <w:p w:rsidR="00F55F99" w:rsidRPr="002019B2" w:rsidRDefault="00F55F99" w:rsidP="00123D0F">
      <w:pPr>
        <w:pStyle w:val="ListParagraph"/>
        <w:widowControl/>
        <w:numPr>
          <w:ilvl w:val="1"/>
          <w:numId w:val="5"/>
        </w:numPr>
        <w:spacing w:after="120"/>
        <w:ind w:left="720" w:hanging="720"/>
      </w:pPr>
      <w:r w:rsidRPr="002019B2">
        <w:t>The Sponsor requested PBS listing of UPA 15</w:t>
      </w:r>
      <w:r w:rsidR="00FE70C4">
        <w:t xml:space="preserve"> </w:t>
      </w:r>
      <w:r w:rsidRPr="002019B2">
        <w:t xml:space="preserve">mg tablets for initial and continuing treatment </w:t>
      </w:r>
      <w:r w:rsidR="002019B2" w:rsidRPr="002019B2">
        <w:t>restrictions,</w:t>
      </w:r>
      <w:r w:rsidRPr="002019B2">
        <w:t xml:space="preserve"> </w:t>
      </w:r>
      <w:r w:rsidR="00053D0D" w:rsidRPr="002019B2">
        <w:t xml:space="preserve">which were </w:t>
      </w:r>
      <w:r w:rsidRPr="002019B2">
        <w:t xml:space="preserve">consistent with the current PBS criteria of other Janus Kinase (JAK) inhibitors and biological disease modifying anti-rheumatic drugs (bDMARDs) </w:t>
      </w:r>
      <w:r w:rsidR="00C03A91" w:rsidRPr="002019B2">
        <w:t xml:space="preserve">listed on the </w:t>
      </w:r>
      <w:r w:rsidRPr="002019B2">
        <w:t>PBS for RA.</w:t>
      </w:r>
      <w:r w:rsidR="0004640C" w:rsidRPr="002019B2">
        <w:t xml:space="preserve"> </w:t>
      </w:r>
      <w:r w:rsidR="007E57CA" w:rsidRPr="002019B2">
        <w:t>The requested maximum quantities and repeats provide</w:t>
      </w:r>
      <w:r w:rsidR="005620EB" w:rsidRPr="002019B2">
        <w:t>d</w:t>
      </w:r>
      <w:r w:rsidR="007E57CA" w:rsidRPr="002019B2">
        <w:t xml:space="preserve"> for </w:t>
      </w:r>
      <w:r w:rsidRPr="002019B2">
        <w:t>16 weeks of initial treatment (4 packs) and 24 weeks of continuing treatment (6 packs).</w:t>
      </w:r>
    </w:p>
    <w:p w:rsidR="00CB5E79" w:rsidRPr="002019B2" w:rsidRDefault="00CB5E79" w:rsidP="00123D0F">
      <w:pPr>
        <w:pStyle w:val="ListParagraph"/>
        <w:widowControl/>
        <w:numPr>
          <w:ilvl w:val="1"/>
          <w:numId w:val="5"/>
        </w:numPr>
        <w:spacing w:after="120"/>
        <w:ind w:left="720" w:hanging="720"/>
      </w:pPr>
      <w:r w:rsidRPr="002019B2">
        <w:t xml:space="preserve">The Sponsor requested a Special Pricing Arrangement </w:t>
      </w:r>
      <w:r w:rsidR="00053D0D" w:rsidRPr="002019B2">
        <w:t xml:space="preserve">that </w:t>
      </w:r>
      <w:r w:rsidRPr="002019B2">
        <w:t xml:space="preserve">would maintain the published </w:t>
      </w:r>
      <w:r w:rsidR="00767075" w:rsidRPr="002019B2">
        <w:t>dispensed price for maximum quantity (</w:t>
      </w:r>
      <w:r w:rsidRPr="002019B2">
        <w:t>DPMQ</w:t>
      </w:r>
      <w:r w:rsidR="00767075" w:rsidRPr="002019B2">
        <w:t>)</w:t>
      </w:r>
      <w:r w:rsidRPr="002019B2">
        <w:t xml:space="preserve"> at the same level as </w:t>
      </w:r>
      <w:r w:rsidR="00732EE3" w:rsidRPr="002019B2">
        <w:t>BARI</w:t>
      </w:r>
      <w:r w:rsidRPr="002019B2">
        <w:t xml:space="preserve"> </w:t>
      </w:r>
      <w:r w:rsidR="00053D0D" w:rsidRPr="002019B2">
        <w:t>4</w:t>
      </w:r>
      <w:r w:rsidR="00FE70C4">
        <w:t xml:space="preserve"> </w:t>
      </w:r>
      <w:r w:rsidR="00053D0D" w:rsidRPr="002019B2">
        <w:t xml:space="preserve">mg tablets, </w:t>
      </w:r>
      <w:r w:rsidRPr="002019B2">
        <w:t>and an effective price based on a cost</w:t>
      </w:r>
      <w:r w:rsidR="00C65D3B" w:rsidRPr="002019B2">
        <w:t>-minimisation analysis to BARI.</w:t>
      </w:r>
    </w:p>
    <w:p w:rsidR="00CB5E79" w:rsidRPr="002019B2" w:rsidRDefault="00CB5E79" w:rsidP="00123D0F">
      <w:pPr>
        <w:pStyle w:val="ListParagraph"/>
        <w:widowControl/>
        <w:numPr>
          <w:ilvl w:val="1"/>
          <w:numId w:val="5"/>
        </w:numPr>
        <w:spacing w:after="120"/>
        <w:ind w:left="720" w:hanging="720"/>
      </w:pPr>
      <w:r w:rsidRPr="002019B2">
        <w:t xml:space="preserve">The submission stated that the requested listing included a grandfathering clause to allow approximately </w:t>
      </w:r>
      <w:r w:rsidR="00C92224">
        <w:t xml:space="preserve">&lt;500 </w:t>
      </w:r>
      <w:r w:rsidRPr="002019B2">
        <w:t xml:space="preserve">patients from a planned UPA Patient Familiarisation Program and </w:t>
      </w:r>
      <w:r w:rsidR="00C92224">
        <w:t xml:space="preserve">&lt;500 </w:t>
      </w:r>
      <w:r w:rsidRPr="002019B2">
        <w:t>patients enrolled in the long-term extension phases of the UPA clinical trials to transition to PBS-subsidised treatment.</w:t>
      </w:r>
    </w:p>
    <w:p w:rsidR="006147C4" w:rsidRPr="002019B2" w:rsidRDefault="006147C4" w:rsidP="006147C4">
      <w:pPr>
        <w:pStyle w:val="PBACHeading1"/>
        <w:rPr>
          <w:b w:val="0"/>
          <w:i/>
          <w:sz w:val="24"/>
        </w:rPr>
      </w:pPr>
      <w:r w:rsidRPr="002019B2">
        <w:rPr>
          <w:b w:val="0"/>
          <w:i/>
          <w:sz w:val="24"/>
        </w:rPr>
        <w:t>For more detail on PBAC’s view, see section 7 PBAC outcome.</w:t>
      </w:r>
    </w:p>
    <w:p w:rsidR="006C648F" w:rsidRPr="00EB65D0" w:rsidRDefault="00B50DB8" w:rsidP="00FA405D">
      <w:pPr>
        <w:pStyle w:val="PBACHeading1"/>
        <w:keepNext/>
        <w:keepLines/>
        <w:numPr>
          <w:ilvl w:val="0"/>
          <w:numId w:val="1"/>
        </w:numPr>
        <w:spacing w:before="240" w:after="120"/>
        <w:ind w:left="709" w:hanging="709"/>
        <w:jc w:val="both"/>
        <w:outlineLvl w:val="0"/>
        <w:rPr>
          <w:rFonts w:cs="Times New Roman"/>
          <w:snapToGrid/>
          <w:szCs w:val="28"/>
        </w:rPr>
      </w:pPr>
      <w:bookmarkStart w:id="3" w:name="_Toc19709470"/>
      <w:r w:rsidRPr="002019B2">
        <w:rPr>
          <w:rFonts w:cs="Times New Roman"/>
          <w:snapToGrid/>
          <w:szCs w:val="28"/>
        </w:rPr>
        <w:lastRenderedPageBreak/>
        <w:t>Background</w:t>
      </w:r>
      <w:bookmarkEnd w:id="3"/>
    </w:p>
    <w:p w:rsidR="008B47C3" w:rsidRPr="002019B2" w:rsidRDefault="008B47C3" w:rsidP="00123D0F">
      <w:pPr>
        <w:pStyle w:val="ListParagraph"/>
        <w:widowControl/>
        <w:numPr>
          <w:ilvl w:val="1"/>
          <w:numId w:val="6"/>
        </w:numPr>
        <w:spacing w:after="120"/>
        <w:ind w:left="720" w:hanging="720"/>
      </w:pPr>
      <w:r w:rsidRPr="002019B2">
        <w:t>The submission was made under the TGA/PBAC Parallel Process</w:t>
      </w:r>
      <w:r w:rsidR="00E85BBD" w:rsidRPr="002019B2">
        <w:t>, and was not registered at the time of PBAC consideration</w:t>
      </w:r>
      <w:r w:rsidRPr="002019B2">
        <w:t xml:space="preserve">. At the time of the evaluation, the </w:t>
      </w:r>
      <w:r w:rsidR="00BE1F79" w:rsidRPr="002019B2">
        <w:t xml:space="preserve">first round </w:t>
      </w:r>
      <w:r w:rsidRPr="002019B2">
        <w:t>clinical evaluation report</w:t>
      </w:r>
      <w:r w:rsidR="00E670DF" w:rsidRPr="002019B2">
        <w:t xml:space="preserve"> (CER)</w:t>
      </w:r>
      <w:r w:rsidR="002A3A4A" w:rsidRPr="002019B2">
        <w:t xml:space="preserve"> </w:t>
      </w:r>
      <w:r w:rsidRPr="002019B2">
        <w:t>was available</w:t>
      </w:r>
      <w:r w:rsidR="007A1009" w:rsidRPr="002019B2">
        <w:t xml:space="preserve"> and </w:t>
      </w:r>
      <w:r w:rsidR="00E670DF" w:rsidRPr="002019B2">
        <w:t xml:space="preserve">the </w:t>
      </w:r>
      <w:r w:rsidR="002A3A4A" w:rsidRPr="002019B2">
        <w:t>foll</w:t>
      </w:r>
      <w:r w:rsidRPr="002019B2">
        <w:t>owing indication</w:t>
      </w:r>
      <w:r w:rsidR="002A3A4A" w:rsidRPr="002019B2">
        <w:t xml:space="preserve"> </w:t>
      </w:r>
      <w:r w:rsidR="008F026D" w:rsidRPr="002019B2">
        <w:t>was recommended</w:t>
      </w:r>
      <w:r w:rsidRPr="002019B2">
        <w:t xml:space="preserve">: </w:t>
      </w:r>
      <w:r w:rsidR="002A3A4A" w:rsidRPr="002019B2">
        <w:t>“</w:t>
      </w:r>
      <w:r w:rsidR="000D093D" w:rsidRPr="002019B2">
        <w:t xml:space="preserve">Rinvoq </w:t>
      </w:r>
      <w:r w:rsidR="002A3A4A" w:rsidRPr="002019B2">
        <w:t xml:space="preserve">is indicated for the treatment of moderate to severe active rheumatoid arthritis (RA) in adult patients when the response to 1 or more disease modifying anti-rheumatic drugs (DMARDs) has been inadequate. </w:t>
      </w:r>
      <w:r w:rsidR="000D093D" w:rsidRPr="002019B2">
        <w:t xml:space="preserve">Rinvoq </w:t>
      </w:r>
      <w:r w:rsidR="002A3A4A" w:rsidRPr="002019B2">
        <w:t xml:space="preserve">can be given as monotherapy or in combination with methotrexate. Therapy with </w:t>
      </w:r>
      <w:r w:rsidR="000D093D" w:rsidRPr="002019B2">
        <w:t xml:space="preserve">Rinvoq </w:t>
      </w:r>
      <w:r w:rsidR="002A3A4A" w:rsidRPr="002019B2">
        <w:t>should be initiated and monitored by a rheumatologist or specialist physician with expertise in the management of RA.”</w:t>
      </w:r>
    </w:p>
    <w:p w:rsidR="00E670DF" w:rsidRPr="002019B2" w:rsidRDefault="00E85BBD" w:rsidP="00123D0F">
      <w:pPr>
        <w:pStyle w:val="ListParagraph"/>
        <w:widowControl/>
        <w:numPr>
          <w:ilvl w:val="1"/>
          <w:numId w:val="6"/>
        </w:numPr>
        <w:spacing w:after="120"/>
        <w:ind w:left="720" w:hanging="720"/>
      </w:pPr>
      <w:r w:rsidRPr="002019B2">
        <w:t>At the time of PBAC consideration the Clinical Evaluation Report (Round 2)</w:t>
      </w:r>
      <w:r w:rsidR="006A4B16" w:rsidRPr="002019B2">
        <w:t xml:space="preserve"> and</w:t>
      </w:r>
      <w:r w:rsidRPr="002019B2">
        <w:t>, Delegate</w:t>
      </w:r>
      <w:r w:rsidR="006A4B16" w:rsidRPr="002019B2">
        <w:t>’s</w:t>
      </w:r>
      <w:r w:rsidRPr="002019B2">
        <w:t xml:space="preserve"> overview were available. The TGA Delegate was supportive of the registration for Rinv</w:t>
      </w:r>
      <w:r w:rsidR="006A4B16" w:rsidRPr="002019B2">
        <w:t>o</w:t>
      </w:r>
      <w:r w:rsidRPr="002019B2">
        <w:t xml:space="preserve">q. </w:t>
      </w:r>
      <w:r w:rsidR="00C75EE9" w:rsidRPr="002019B2">
        <w:t xml:space="preserve">The PBAC noted the relevant </w:t>
      </w:r>
      <w:r w:rsidR="00DE6A32" w:rsidRPr="002019B2">
        <w:t>Advisory Committee on Medicines (</w:t>
      </w:r>
      <w:r w:rsidR="00C75EE9" w:rsidRPr="002019B2">
        <w:t>ACM</w:t>
      </w:r>
      <w:r w:rsidR="00DE6A32" w:rsidRPr="002019B2">
        <w:t>)</w:t>
      </w:r>
      <w:r w:rsidR="00C75EE9" w:rsidRPr="002019B2">
        <w:t xml:space="preserve"> meeting </w:t>
      </w:r>
      <w:r w:rsidR="006A4B16" w:rsidRPr="002019B2">
        <w:t>wa</w:t>
      </w:r>
      <w:r w:rsidR="00C75EE9" w:rsidRPr="002019B2">
        <w:t xml:space="preserve">s scheduled </w:t>
      </w:r>
      <w:r w:rsidR="006A4B16" w:rsidRPr="002019B2">
        <w:t>for</w:t>
      </w:r>
      <w:r w:rsidR="00C75EE9" w:rsidRPr="002019B2">
        <w:t xml:space="preserve"> 6 December 2019. </w:t>
      </w:r>
    </w:p>
    <w:p w:rsidR="000D093D" w:rsidRPr="002019B2" w:rsidRDefault="000D093D" w:rsidP="00123D0F">
      <w:pPr>
        <w:pStyle w:val="ListParagraph"/>
        <w:widowControl/>
        <w:numPr>
          <w:ilvl w:val="1"/>
          <w:numId w:val="6"/>
        </w:numPr>
        <w:spacing w:after="120"/>
        <w:ind w:left="720" w:hanging="720"/>
      </w:pPr>
      <w:r w:rsidRPr="002019B2">
        <w:t xml:space="preserve">The PBAC </w:t>
      </w:r>
      <w:r w:rsidR="004051CB" w:rsidRPr="002019B2">
        <w:t>n</w:t>
      </w:r>
      <w:r w:rsidRPr="002019B2">
        <w:t>oted the following issues were raised</w:t>
      </w:r>
      <w:r w:rsidR="004051CB" w:rsidRPr="002019B2">
        <w:t xml:space="preserve"> by</w:t>
      </w:r>
      <w:r w:rsidRPr="002019B2">
        <w:t xml:space="preserve"> the TGA </w:t>
      </w:r>
      <w:r w:rsidR="004051CB" w:rsidRPr="002019B2">
        <w:t>Delegate:</w:t>
      </w:r>
      <w:r w:rsidRPr="002019B2">
        <w:t xml:space="preserve">: </w:t>
      </w:r>
    </w:p>
    <w:p w:rsidR="000D093D" w:rsidRPr="00176C48" w:rsidRDefault="000D093D" w:rsidP="00BC4C59">
      <w:pPr>
        <w:pStyle w:val="ListParagraph"/>
        <w:widowControl/>
        <w:numPr>
          <w:ilvl w:val="2"/>
          <w:numId w:val="19"/>
        </w:numPr>
        <w:spacing w:after="120"/>
        <w:ind w:left="1843"/>
      </w:pPr>
      <w:r w:rsidRPr="006210CA">
        <w:t xml:space="preserve">Upadacitinib studies have identified </w:t>
      </w:r>
      <w:r w:rsidR="00176C48">
        <w:rPr>
          <w:noProof/>
          <w:color w:val="000000"/>
          <w:highlight w:val="black"/>
        </w:rPr>
        <w:t>''''''''''''''''' '''''''''''' ''''''''''''''''' ''''''''''''''''' '''''''''''''' '''''''''''''''''' '''''''''''''' ''''''''''' ''''''' '''''''' ''''''''''''''' ''''''''''''''''''''''' '''''''''''''''''''' ''''''''''''''''''''''''''''''' ''''''''''''''''''''''''' ''''''''''''''''''''''''''' '''''''''''' '''''''''''''''' ''''''''''''''''''''''''''''''' ''''''''''''' '''''''''''' '''''''''''''''''''''''' ''''''' ''''''''''''''''''''''''''''''' '''''''''''''''''''''''''' '''''''''''' ''' ''''''' '''''''''''''' ''''''''''''''''' ''''''''''' ''''''''' ''''' ''''''''''''''''''''''''' '''''' ''''''''''''''''' '''''' ''''''''''' ''''''''' '''''''''' '''' ''''''''''''''''''''''' ''''''' ''''''''''' '''''''''''''' ''''''''''''''''''''''''''' '''''''''''' ''''''''''''''''</w:t>
      </w:r>
    </w:p>
    <w:p w:rsidR="000D093D" w:rsidRPr="00176C48" w:rsidRDefault="00176C48" w:rsidP="00176C48">
      <w:pPr>
        <w:widowControl/>
        <w:spacing w:after="120"/>
        <w:ind w:left="1843" w:hanging="72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210CA" w:rsidRPr="00176C48" w:rsidRDefault="00176C48" w:rsidP="00BC4C59">
      <w:pPr>
        <w:pStyle w:val="PBACHeading1"/>
        <w:numPr>
          <w:ilvl w:val="0"/>
          <w:numId w:val="19"/>
        </w:numPr>
        <w:ind w:left="1843" w:hanging="709"/>
        <w:jc w:val="both"/>
        <w:rPr>
          <w:b w:val="0"/>
          <w:i/>
          <w:sz w:val="24"/>
          <w:highlight w:val="black"/>
        </w:rPr>
      </w:pPr>
      <w:r>
        <w:rPr>
          <w:b w:val="0"/>
          <w:noProof/>
          <w:color w:val="000000"/>
          <w:sz w:val="24"/>
          <w:highlight w:val="black"/>
        </w:rPr>
        <w:t>''''''''''''''''''''''''''' ''''''''''''''''''''' '''''''''' ''''''''''''''''' '''' ''''''''''''''''' ''''' ''''''''''''''''''''''' ''''''''''''''''''' ''''''''' ''''''''' '''' ''''''''''''''' ''''' ''''''''''''''''' '''''''''''''''''''''''''' '''' '''''''''''''''''''''' '''''' ''''' '''''''''''''' ''''''''''''''''''''''' '''''' '''''''''''''' ''' '''''''''''''' ''''' '''''''''''''''''''''''''''''' '''''''''''''''''''''' '''''' '''''' '''''''''''''''''''' ''''''''''''''''''' '''' ''''''''' ''''''''</w:t>
      </w:r>
      <w:r w:rsidR="000D093D" w:rsidRPr="00176C48">
        <w:rPr>
          <w:highlight w:val="black"/>
        </w:rPr>
        <w:t> </w:t>
      </w:r>
    </w:p>
    <w:p w:rsidR="006210CA" w:rsidRDefault="006210CA" w:rsidP="006210CA">
      <w:pPr>
        <w:pStyle w:val="PBACHeading1"/>
      </w:pPr>
    </w:p>
    <w:p w:rsidR="006147C4" w:rsidRPr="002019B2" w:rsidRDefault="006147C4" w:rsidP="006210CA">
      <w:pPr>
        <w:pStyle w:val="PBACHeading1"/>
        <w:rPr>
          <w:b w:val="0"/>
          <w:i/>
          <w:sz w:val="24"/>
        </w:rPr>
      </w:pPr>
      <w:r w:rsidRPr="002019B2">
        <w:rPr>
          <w:b w:val="0"/>
          <w:i/>
          <w:sz w:val="24"/>
        </w:rPr>
        <w:t>For more detail on PBAC’s view, see section 7 PBAC outcome.</w:t>
      </w:r>
    </w:p>
    <w:p w:rsidR="00B60939" w:rsidRPr="00EB65D0" w:rsidRDefault="00203181" w:rsidP="00B60939">
      <w:pPr>
        <w:pStyle w:val="PBACHeading1"/>
        <w:keepNext/>
        <w:keepLines/>
        <w:numPr>
          <w:ilvl w:val="0"/>
          <w:numId w:val="1"/>
        </w:numPr>
        <w:spacing w:before="240" w:after="120"/>
        <w:ind w:left="709" w:hanging="709"/>
        <w:jc w:val="both"/>
        <w:outlineLvl w:val="0"/>
        <w:rPr>
          <w:rFonts w:cs="Times New Roman"/>
          <w:snapToGrid/>
          <w:szCs w:val="28"/>
        </w:rPr>
      </w:pPr>
      <w:bookmarkStart w:id="4" w:name="_Toc19709471"/>
      <w:r w:rsidRPr="002019B2">
        <w:rPr>
          <w:rFonts w:cs="Times New Roman"/>
          <w:snapToGrid/>
          <w:szCs w:val="28"/>
        </w:rPr>
        <w:lastRenderedPageBreak/>
        <w:t xml:space="preserve">Population and </w:t>
      </w:r>
      <w:r w:rsidR="008E0D3C" w:rsidRPr="002019B2">
        <w:rPr>
          <w:rFonts w:cs="Times New Roman"/>
          <w:snapToGrid/>
          <w:szCs w:val="28"/>
        </w:rPr>
        <w:t>d</w:t>
      </w:r>
      <w:r w:rsidRPr="002019B2">
        <w:rPr>
          <w:rFonts w:cs="Times New Roman"/>
          <w:snapToGrid/>
          <w:szCs w:val="28"/>
        </w:rPr>
        <w:t>isease</w:t>
      </w:r>
      <w:bookmarkEnd w:id="4"/>
    </w:p>
    <w:p w:rsidR="00E55BB5" w:rsidRPr="002019B2" w:rsidRDefault="00D51E2C" w:rsidP="00123D0F">
      <w:pPr>
        <w:pStyle w:val="ListParagraph"/>
        <w:widowControl/>
        <w:numPr>
          <w:ilvl w:val="1"/>
          <w:numId w:val="7"/>
        </w:numPr>
        <w:spacing w:after="120"/>
        <w:ind w:left="720" w:hanging="720"/>
      </w:pPr>
      <w:r w:rsidRPr="002019B2">
        <w:t>RA is a chronic, progressive, debilitating autoimmune disease characterised by chronic inflammation of the synovium (i.e. lining of the joints), which over time results in irreversible joint damage, loss of physical function, disability, and is associated with significant pain and morbidity. RA is also associated with comorbid conditions affecting vascular, bone, metabolic and psychologic domains.</w:t>
      </w:r>
      <w:r w:rsidR="0004640C" w:rsidRPr="002019B2">
        <w:t xml:space="preserve"> </w:t>
      </w:r>
      <w:r w:rsidR="004051CB" w:rsidRPr="002019B2">
        <w:t xml:space="preserve">The </w:t>
      </w:r>
      <w:r w:rsidRPr="002019B2">
        <w:t xml:space="preserve">submission </w:t>
      </w:r>
      <w:r w:rsidR="004051CB" w:rsidRPr="002019B2">
        <w:t xml:space="preserve">requested listing in </w:t>
      </w:r>
      <w:r w:rsidRPr="002019B2">
        <w:t xml:space="preserve">patients with severe active RA in whom an adequate response has not been achieved with conventional </w:t>
      </w:r>
      <w:r w:rsidR="00E81328" w:rsidRPr="002019B2">
        <w:t>disease modifying anti-rheumatic drugs (cDMARDs)</w:t>
      </w:r>
      <w:r w:rsidR="00A4182C" w:rsidRPr="002019B2">
        <w:t>.</w:t>
      </w:r>
    </w:p>
    <w:p w:rsidR="00CC678B" w:rsidRPr="002019B2" w:rsidRDefault="00CC678B" w:rsidP="00123D0F">
      <w:pPr>
        <w:pStyle w:val="ListParagraph"/>
        <w:widowControl/>
        <w:numPr>
          <w:ilvl w:val="1"/>
          <w:numId w:val="7"/>
        </w:numPr>
        <w:spacing w:after="120"/>
        <w:ind w:left="720" w:hanging="720"/>
      </w:pPr>
      <w:r w:rsidRPr="002019B2">
        <w:t>UPA is a</w:t>
      </w:r>
      <w:r w:rsidR="00A4182C" w:rsidRPr="002019B2">
        <w:t>n</w:t>
      </w:r>
      <w:r w:rsidRPr="002019B2">
        <w:t xml:space="preserve"> oral, reversible, selective JAK1 inhibitor. JAK1 is important in transmitting many of the inflammatory cytokine signals that are active in RA. UPA would become one of several bDMARDs and the third JAK inhibitor, following BARI and tofacitinib (TOF), listed on the PBS for patients with severe active RA.</w:t>
      </w:r>
      <w:r w:rsidR="0004640C" w:rsidRPr="002019B2">
        <w:t xml:space="preserve"> T</w:t>
      </w:r>
      <w:r w:rsidRPr="002019B2">
        <w:t xml:space="preserve">he recommended dose </w:t>
      </w:r>
      <w:r w:rsidR="0004640C" w:rsidRPr="002019B2">
        <w:t xml:space="preserve">in the draft </w:t>
      </w:r>
      <w:r w:rsidR="00B426D6" w:rsidRPr="002019B2">
        <w:t>PI</w:t>
      </w:r>
      <w:r w:rsidR="0004640C" w:rsidRPr="002019B2">
        <w:t xml:space="preserve"> </w:t>
      </w:r>
      <w:r w:rsidRPr="002019B2">
        <w:t>is 15</w:t>
      </w:r>
      <w:r w:rsidR="00FE70C4">
        <w:t xml:space="preserve"> </w:t>
      </w:r>
      <w:r w:rsidRPr="002019B2">
        <w:t>mg orally, once daily. UPA may be used as monotherapy or in combination with methotrexate or other cDMARDs</w:t>
      </w:r>
      <w:r w:rsidR="0004640C" w:rsidRPr="002019B2">
        <w:t>, and n</w:t>
      </w:r>
      <w:r w:rsidRPr="002019B2">
        <w:t>o dose adjustment is required in patients with renal impairment.</w:t>
      </w:r>
    </w:p>
    <w:p w:rsidR="006147C4" w:rsidRPr="002019B2" w:rsidRDefault="006147C4" w:rsidP="006147C4">
      <w:pPr>
        <w:pStyle w:val="PBACHeading1"/>
      </w:pPr>
      <w:r w:rsidRPr="002019B2">
        <w:rPr>
          <w:b w:val="0"/>
          <w:i/>
          <w:sz w:val="24"/>
        </w:rPr>
        <w:t>For more detail on PBAC’s view, see section 7 PBAC outcome.</w:t>
      </w:r>
    </w:p>
    <w:p w:rsidR="00B50DB8" w:rsidRPr="00EB65D0" w:rsidRDefault="00B50DB8" w:rsidP="00EB65D0">
      <w:pPr>
        <w:pStyle w:val="PBACHeading1"/>
        <w:keepNext/>
        <w:keepLines/>
        <w:numPr>
          <w:ilvl w:val="0"/>
          <w:numId w:val="1"/>
        </w:numPr>
        <w:spacing w:before="240" w:after="120"/>
        <w:ind w:left="709" w:hanging="709"/>
        <w:jc w:val="both"/>
        <w:outlineLvl w:val="0"/>
        <w:rPr>
          <w:rFonts w:cs="Times New Roman"/>
          <w:snapToGrid/>
          <w:szCs w:val="28"/>
        </w:rPr>
      </w:pPr>
      <w:bookmarkStart w:id="5" w:name="_Toc19709472"/>
      <w:r w:rsidRPr="002019B2">
        <w:rPr>
          <w:rFonts w:cs="Times New Roman"/>
          <w:snapToGrid/>
          <w:szCs w:val="28"/>
        </w:rPr>
        <w:t>Comparator</w:t>
      </w:r>
      <w:bookmarkEnd w:id="5"/>
    </w:p>
    <w:p w:rsidR="001F3CF3" w:rsidRPr="002019B2" w:rsidRDefault="002214D9" w:rsidP="00123D0F">
      <w:pPr>
        <w:pStyle w:val="ListParagraph"/>
        <w:widowControl/>
        <w:numPr>
          <w:ilvl w:val="1"/>
          <w:numId w:val="8"/>
        </w:numPr>
        <w:spacing w:after="120"/>
        <w:ind w:left="720" w:hanging="720"/>
      </w:pPr>
      <w:r w:rsidRPr="002019B2">
        <w:t>The submission nominated BARI 4</w:t>
      </w:r>
      <w:r w:rsidR="00FE70C4">
        <w:t xml:space="preserve"> </w:t>
      </w:r>
      <w:r w:rsidRPr="002019B2">
        <w:t>mg orally once a day as the main comparator and ADA 40</w:t>
      </w:r>
      <w:r w:rsidR="00FE70C4">
        <w:t xml:space="preserve"> </w:t>
      </w:r>
      <w:r w:rsidRPr="002019B2">
        <w:t>mg</w:t>
      </w:r>
      <w:r w:rsidR="00AE6891" w:rsidRPr="002019B2">
        <w:t xml:space="preserve"> </w:t>
      </w:r>
      <w:r w:rsidRPr="002019B2">
        <w:t xml:space="preserve">SC injection every two weeks as a secondary comparator. </w:t>
      </w:r>
      <w:r w:rsidR="009B5B83" w:rsidRPr="002019B2">
        <w:t xml:space="preserve">UPA and </w:t>
      </w:r>
      <w:r w:rsidRPr="002019B2">
        <w:t xml:space="preserve">BARI </w:t>
      </w:r>
      <w:r w:rsidR="009B5B83" w:rsidRPr="002019B2">
        <w:t>are both JAK inhibitors, and share the same route of administration and dosing frequency</w:t>
      </w:r>
      <w:r w:rsidR="00EC13CA" w:rsidRPr="002019B2">
        <w:t xml:space="preserve">. ADA is </w:t>
      </w:r>
      <w:r w:rsidRPr="002019B2">
        <w:t xml:space="preserve">a widely used bDMARD (a </w:t>
      </w:r>
      <w:r w:rsidR="00FB0D99" w:rsidRPr="002019B2">
        <w:t>tumour necrosis factor alpha (</w:t>
      </w:r>
      <w:r w:rsidRPr="002019B2">
        <w:t>TNFα</w:t>
      </w:r>
      <w:r w:rsidR="00FB0D99" w:rsidRPr="002019B2">
        <w:t>)</w:t>
      </w:r>
      <w:r w:rsidRPr="002019B2">
        <w:t xml:space="preserve"> inhibitor) and there is head-to-head evidence comparing UPA to ADA.</w:t>
      </w:r>
    </w:p>
    <w:p w:rsidR="00870BC4" w:rsidRPr="002019B2" w:rsidRDefault="008B699B" w:rsidP="00123D0F">
      <w:pPr>
        <w:pStyle w:val="ListParagraph"/>
        <w:widowControl/>
        <w:numPr>
          <w:ilvl w:val="1"/>
          <w:numId w:val="8"/>
        </w:numPr>
        <w:spacing w:after="120"/>
        <w:ind w:left="720" w:hanging="720"/>
      </w:pPr>
      <w:r w:rsidRPr="002019B2">
        <w:t xml:space="preserve">The recommended dose for BARI in the </w:t>
      </w:r>
      <w:r w:rsidR="00FB0D99" w:rsidRPr="002019B2">
        <w:t xml:space="preserve">TGA-approved </w:t>
      </w:r>
      <w:r w:rsidRPr="002019B2">
        <w:t>PI is 4</w:t>
      </w:r>
      <w:r w:rsidR="00FE70C4">
        <w:t xml:space="preserve"> </w:t>
      </w:r>
      <w:r w:rsidRPr="002019B2">
        <w:t>mg once daily or 2</w:t>
      </w:r>
      <w:r w:rsidR="00FE70C4">
        <w:t xml:space="preserve"> </w:t>
      </w:r>
      <w:r w:rsidRPr="002019B2">
        <w:t>mg for patients with moderate renal impairment. Both BARI 2</w:t>
      </w:r>
      <w:r w:rsidR="00FE70C4">
        <w:t xml:space="preserve"> </w:t>
      </w:r>
      <w:r w:rsidRPr="002019B2">
        <w:t>mg and 4</w:t>
      </w:r>
      <w:r w:rsidR="00FE70C4">
        <w:t xml:space="preserve"> </w:t>
      </w:r>
      <w:r w:rsidRPr="002019B2">
        <w:t>mg tablets are listed on the PBS with the same published price, however the submission only focused on BARI 4</w:t>
      </w:r>
      <w:r w:rsidR="00FE70C4">
        <w:t xml:space="preserve"> </w:t>
      </w:r>
      <w:r w:rsidRPr="002019B2">
        <w:t xml:space="preserve">mg tablets. Trial results indicated that </w:t>
      </w:r>
      <w:r w:rsidR="001F3CF3" w:rsidRPr="002019B2">
        <w:t>BARI 4</w:t>
      </w:r>
      <w:r w:rsidR="00FE70C4">
        <w:t xml:space="preserve"> </w:t>
      </w:r>
      <w:r w:rsidR="001F3CF3" w:rsidRPr="002019B2">
        <w:t>mg provided a more rapid onset and a numerically higher clinical response than the 2</w:t>
      </w:r>
      <w:r w:rsidR="00FE70C4">
        <w:t xml:space="preserve"> </w:t>
      </w:r>
      <w:r w:rsidR="001F3CF3" w:rsidRPr="002019B2">
        <w:t>mg dose (</w:t>
      </w:r>
      <w:r w:rsidR="008E5B9B" w:rsidRPr="002019B2">
        <w:t xml:space="preserve">BARI </w:t>
      </w:r>
      <w:r w:rsidR="00F92E8E">
        <w:t>Public Summary Document (</w:t>
      </w:r>
      <w:r w:rsidR="008E5B9B" w:rsidRPr="002019B2">
        <w:t>PSD</w:t>
      </w:r>
      <w:r w:rsidR="00F92E8E">
        <w:t>)</w:t>
      </w:r>
      <w:r w:rsidR="008E5B9B" w:rsidRPr="002019B2">
        <w:t>, p</w:t>
      </w:r>
      <w:r w:rsidR="001F3CF3" w:rsidRPr="002019B2">
        <w:t>aragraph 3.5, March 2018).</w:t>
      </w:r>
    </w:p>
    <w:p w:rsidR="009B5B83" w:rsidRPr="002019B2" w:rsidRDefault="009B5B83" w:rsidP="00123D0F">
      <w:pPr>
        <w:pStyle w:val="ListParagraph"/>
        <w:widowControl/>
        <w:numPr>
          <w:ilvl w:val="1"/>
          <w:numId w:val="8"/>
        </w:numPr>
        <w:spacing w:after="120"/>
        <w:ind w:left="720" w:hanging="720"/>
      </w:pPr>
      <w:r w:rsidRPr="002019B2">
        <w:t>Under Section 101(3B) of the National Health Act (1953) where therapy involving the use of a particular drug or medicinal preparation, or a class of drugs and medicinal preparations, is substantially more costly than an alternative therapy or alternative therapies, whether or not involving the use of other drugs or preparations, the Committee shall not recommend to the Minister that the drug, preparation or class be made available as pharmaceutical benefits under this Part unless the Committee is satisfied that the first-mentioned therapy, for some patients, provides a significant improvement in efficacy or reduction of toxicity over the alternative therapy or therapies.</w:t>
      </w:r>
    </w:p>
    <w:p w:rsidR="00712782" w:rsidRPr="002019B2" w:rsidRDefault="00F06D41" w:rsidP="00123D0F">
      <w:pPr>
        <w:pStyle w:val="ListParagraph"/>
        <w:widowControl/>
        <w:numPr>
          <w:ilvl w:val="1"/>
          <w:numId w:val="8"/>
        </w:numPr>
        <w:spacing w:after="120"/>
        <w:ind w:left="720" w:hanging="720"/>
      </w:pPr>
      <w:r w:rsidRPr="002019B2">
        <w:lastRenderedPageBreak/>
        <w:t xml:space="preserve">The PBAC </w:t>
      </w:r>
      <w:r w:rsidR="00D056A5" w:rsidRPr="002019B2">
        <w:t>agreed with t</w:t>
      </w:r>
      <w:r w:rsidR="00A545EA" w:rsidRPr="002019B2">
        <w:t xml:space="preserve">he </w:t>
      </w:r>
      <w:r w:rsidR="007B3B4D" w:rsidRPr="005C1482">
        <w:rPr>
          <w:rFonts w:asciiTheme="minorHAnsi" w:hAnsiTheme="minorHAnsi" w:cstheme="minorHAnsi"/>
          <w:szCs w:val="24"/>
        </w:rPr>
        <w:t>Economics Sub-Committee</w:t>
      </w:r>
      <w:r w:rsidR="007B3B4D" w:rsidRPr="002019B2">
        <w:t xml:space="preserve"> </w:t>
      </w:r>
      <w:r w:rsidR="007B3B4D">
        <w:t>(</w:t>
      </w:r>
      <w:r w:rsidR="00A545EA" w:rsidRPr="002019B2">
        <w:t>ESC</w:t>
      </w:r>
      <w:r w:rsidR="007B3B4D">
        <w:t>)</w:t>
      </w:r>
      <w:r w:rsidR="002F642B" w:rsidRPr="002019B2">
        <w:t xml:space="preserve"> </w:t>
      </w:r>
      <w:r w:rsidR="00A545EA" w:rsidRPr="002019B2">
        <w:t xml:space="preserve">that </w:t>
      </w:r>
      <w:r w:rsidR="00712782" w:rsidRPr="002019B2">
        <w:t xml:space="preserve">BARI and ADA were appropriate comparators; however, UPA may replace any of the eleven JAK inhibitors/bDMARDs currently PBS listed for severe RA. </w:t>
      </w:r>
      <w:r w:rsidRPr="002019B2">
        <w:t>The PBAC recalled</w:t>
      </w:r>
      <w:r w:rsidR="00D056A5" w:rsidRPr="002019B2">
        <w:t xml:space="preserve"> that</w:t>
      </w:r>
      <w:r w:rsidRPr="002019B2">
        <w:t>, i</w:t>
      </w:r>
      <w:r w:rsidR="00712782" w:rsidRPr="002019B2">
        <w:t xml:space="preserve">n recent decisions, </w:t>
      </w:r>
      <w:r w:rsidRPr="002019B2">
        <w:t>it</w:t>
      </w:r>
      <w:r w:rsidR="00712782" w:rsidRPr="002019B2">
        <w:t xml:space="preserve"> considered all JAK inhibitors/bDMARDs listed for severe RA represented alternative therapies and in the absence of evidence of superiority recommended listing to the lowest cost alternative (BARI PSD, paragraph 5.1, July 2017; Tocilizumab PSD, paragraph 6.5, March 2016; Sarilumab PSD, paragraph 7.1, November 2018).</w:t>
      </w:r>
    </w:p>
    <w:p w:rsidR="006147C4" w:rsidRPr="002019B2" w:rsidRDefault="006147C4" w:rsidP="006147C4">
      <w:pPr>
        <w:pStyle w:val="PBACHeading1"/>
        <w:rPr>
          <w:b w:val="0"/>
          <w:i/>
          <w:sz w:val="24"/>
        </w:rPr>
      </w:pPr>
      <w:r w:rsidRPr="002019B2">
        <w:rPr>
          <w:b w:val="0"/>
          <w:i/>
          <w:sz w:val="24"/>
        </w:rPr>
        <w:t>For more detail on PBAC’s view, see section 7 PBAC outcome.</w:t>
      </w:r>
    </w:p>
    <w:p w:rsidR="00B50DB8" w:rsidRPr="00EB65D0" w:rsidRDefault="00BD6CF3" w:rsidP="00EB65D0">
      <w:pPr>
        <w:pStyle w:val="PBACHeading1"/>
        <w:keepNext/>
        <w:keepLines/>
        <w:numPr>
          <w:ilvl w:val="0"/>
          <w:numId w:val="1"/>
        </w:numPr>
        <w:spacing w:before="240" w:after="120"/>
        <w:ind w:left="709" w:hanging="709"/>
        <w:jc w:val="both"/>
        <w:outlineLvl w:val="0"/>
        <w:rPr>
          <w:rFonts w:cs="Times New Roman"/>
          <w:snapToGrid/>
          <w:szCs w:val="28"/>
        </w:rPr>
      </w:pPr>
      <w:bookmarkStart w:id="6" w:name="_Toc19709473"/>
      <w:r w:rsidRPr="002019B2">
        <w:rPr>
          <w:rFonts w:cs="Times New Roman"/>
          <w:snapToGrid/>
          <w:szCs w:val="28"/>
        </w:rPr>
        <w:t>C</w:t>
      </w:r>
      <w:r w:rsidR="00B50DB8" w:rsidRPr="002019B2">
        <w:rPr>
          <w:rFonts w:cs="Times New Roman"/>
          <w:snapToGrid/>
          <w:szCs w:val="28"/>
        </w:rPr>
        <w:t>onsideration of the evidence</w:t>
      </w:r>
      <w:bookmarkEnd w:id="6"/>
    </w:p>
    <w:p w:rsidR="00C6036D" w:rsidRDefault="00C6036D" w:rsidP="0026450B">
      <w:pPr>
        <w:pStyle w:val="Heading2"/>
      </w:pPr>
      <w:r w:rsidRPr="002019B2">
        <w:t>Sponsor hearing</w:t>
      </w:r>
    </w:p>
    <w:p w:rsidR="00C06504" w:rsidRPr="00C06504" w:rsidRDefault="00C06504" w:rsidP="00C06504"/>
    <w:p w:rsidR="00C6036D" w:rsidRPr="002019B2" w:rsidRDefault="00C6036D" w:rsidP="00C43EC7">
      <w:pPr>
        <w:pStyle w:val="ListParagraph"/>
        <w:widowControl/>
        <w:numPr>
          <w:ilvl w:val="1"/>
          <w:numId w:val="9"/>
        </w:numPr>
        <w:spacing w:after="120"/>
        <w:ind w:left="720" w:hanging="720"/>
      </w:pPr>
      <w:r w:rsidRPr="002019B2">
        <w:t>There was no hearing for this item.</w:t>
      </w:r>
    </w:p>
    <w:p w:rsidR="00C6036D" w:rsidRDefault="00C6036D" w:rsidP="0026450B">
      <w:pPr>
        <w:pStyle w:val="Heading2"/>
      </w:pPr>
      <w:r w:rsidRPr="002019B2">
        <w:t>Consumer comments</w:t>
      </w:r>
    </w:p>
    <w:p w:rsidR="00C06504" w:rsidRPr="00C06504" w:rsidRDefault="00C06504" w:rsidP="00C06504"/>
    <w:p w:rsidR="00C6036D" w:rsidRPr="002019B2" w:rsidRDefault="00C6036D" w:rsidP="00C43EC7">
      <w:pPr>
        <w:pStyle w:val="ListParagraph"/>
        <w:widowControl/>
        <w:numPr>
          <w:ilvl w:val="1"/>
          <w:numId w:val="9"/>
        </w:numPr>
        <w:spacing w:after="120"/>
        <w:ind w:left="720" w:hanging="720"/>
      </w:pPr>
      <w:r w:rsidRPr="002019B2">
        <w:t>The PBAC noted that no consumer comments were received for this item.</w:t>
      </w:r>
    </w:p>
    <w:p w:rsidR="00B60939" w:rsidRPr="002019B2" w:rsidRDefault="00B60939" w:rsidP="004B1CB4"/>
    <w:p w:rsidR="00B60939" w:rsidRPr="002019B2" w:rsidRDefault="00B60939" w:rsidP="00C9624D">
      <w:pPr>
        <w:pStyle w:val="Heading2"/>
      </w:pPr>
      <w:bookmarkStart w:id="7" w:name="_Toc19709474"/>
      <w:r w:rsidRPr="002019B2">
        <w:t>Clinical trials</w:t>
      </w:r>
      <w:bookmarkEnd w:id="7"/>
    </w:p>
    <w:p w:rsidR="00B60939" w:rsidRPr="002019B2" w:rsidRDefault="00B60939" w:rsidP="00B60939"/>
    <w:p w:rsidR="002F690D" w:rsidRPr="002019B2" w:rsidRDefault="002F690D" w:rsidP="00123D0F">
      <w:pPr>
        <w:pStyle w:val="ListParagraph"/>
        <w:widowControl/>
        <w:numPr>
          <w:ilvl w:val="1"/>
          <w:numId w:val="9"/>
        </w:numPr>
        <w:spacing w:after="120"/>
        <w:ind w:left="720" w:hanging="720"/>
      </w:pPr>
      <w:r w:rsidRPr="002019B2">
        <w:t xml:space="preserve">The submission was based on four </w:t>
      </w:r>
      <w:r w:rsidR="001F3C5E" w:rsidRPr="002019B2">
        <w:t xml:space="preserve">trials </w:t>
      </w:r>
      <w:r w:rsidRPr="002019B2">
        <w:t xml:space="preserve">comparing UPA </w:t>
      </w:r>
      <w:r w:rsidR="001F3C5E" w:rsidRPr="002019B2">
        <w:t xml:space="preserve">to placebo (PBO) or </w:t>
      </w:r>
      <w:r w:rsidRPr="002019B2">
        <w:t>ADA</w:t>
      </w:r>
      <w:r w:rsidR="001F3C5E" w:rsidRPr="002019B2">
        <w:t xml:space="preserve"> (SELECT-COMPARE, SELECT-NEXT, SELECT-BEYOND, SELECT-MONOTHERAPY), </w:t>
      </w:r>
      <w:r w:rsidRPr="002019B2">
        <w:t xml:space="preserve">and four trials </w:t>
      </w:r>
      <w:r w:rsidR="001F3C5E" w:rsidRPr="002019B2">
        <w:t xml:space="preserve">comparing </w:t>
      </w:r>
      <w:r w:rsidRPr="002019B2">
        <w:t xml:space="preserve">BARI </w:t>
      </w:r>
      <w:r w:rsidR="001F3C5E" w:rsidRPr="002019B2">
        <w:t xml:space="preserve">to PBO or </w:t>
      </w:r>
      <w:r w:rsidRPr="002019B2">
        <w:t>ADA</w:t>
      </w:r>
      <w:r w:rsidR="001F3C5E" w:rsidRPr="002019B2">
        <w:t xml:space="preserve"> (</w:t>
      </w:r>
      <w:r w:rsidRPr="002019B2">
        <w:t>RA-BEAM/JADV</w:t>
      </w:r>
      <w:r w:rsidR="001F3C5E" w:rsidRPr="002019B2">
        <w:t xml:space="preserve">, </w:t>
      </w:r>
      <w:r w:rsidRPr="002019B2">
        <w:t>RA-BUILD/JADX</w:t>
      </w:r>
      <w:r w:rsidR="001F3C5E" w:rsidRPr="002019B2">
        <w:t xml:space="preserve">, </w:t>
      </w:r>
      <w:r w:rsidRPr="002019B2">
        <w:t>RA-BEACON/JADW, JADA)</w:t>
      </w:r>
      <w:r w:rsidR="00AF46A1" w:rsidRPr="002019B2">
        <w:t>, presented in Table 3</w:t>
      </w:r>
      <w:r w:rsidRPr="002019B2">
        <w:t>.</w:t>
      </w:r>
      <w:r w:rsidR="002C4FC4" w:rsidRPr="002019B2">
        <w:t xml:space="preserve"> The PBAC previously considered evidence from the BARI trials (including one excluded trial, JADN) in Ma</w:t>
      </w:r>
      <w:r w:rsidR="001F3CF3" w:rsidRPr="002019B2">
        <w:t>r</w:t>
      </w:r>
      <w:r w:rsidR="002C4FC4" w:rsidRPr="002019B2">
        <w:t>ch 2018.</w:t>
      </w:r>
    </w:p>
    <w:p w:rsidR="002C4FC4" w:rsidRPr="002019B2" w:rsidRDefault="001F3C5E" w:rsidP="00123D0F">
      <w:pPr>
        <w:pStyle w:val="ListParagraph"/>
        <w:widowControl/>
        <w:numPr>
          <w:ilvl w:val="1"/>
          <w:numId w:val="9"/>
        </w:numPr>
        <w:spacing w:after="120"/>
        <w:ind w:left="720" w:hanging="720"/>
      </w:pPr>
      <w:r w:rsidRPr="002019B2">
        <w:t xml:space="preserve">The submission </w:t>
      </w:r>
      <w:r w:rsidR="002C4FC4" w:rsidRPr="002019B2">
        <w:t xml:space="preserve">appropriately excluded two trials on the basis of </w:t>
      </w:r>
      <w:r w:rsidR="00B556CB" w:rsidRPr="002019B2">
        <w:t>‘</w:t>
      </w:r>
      <w:r w:rsidR="002C4FC4" w:rsidRPr="002019B2">
        <w:t>incorrect population</w:t>
      </w:r>
      <w:r w:rsidR="00B556CB" w:rsidRPr="002019B2">
        <w:t>’,</w:t>
      </w:r>
      <w:r w:rsidR="002C4FC4" w:rsidRPr="002019B2">
        <w:t xml:space="preserve"> given patients were methotrexate</w:t>
      </w:r>
      <w:r w:rsidR="00B556CB" w:rsidRPr="002019B2">
        <w:t>-</w:t>
      </w:r>
      <w:r w:rsidR="002C4FC4" w:rsidRPr="002019B2">
        <w:t xml:space="preserve">naïve (SELECT-EARLY and RA-BEGIN/JADZ), but </w:t>
      </w:r>
      <w:r w:rsidRPr="002019B2">
        <w:t>inappropriately excluded three trials on the basis of ‘foreign population</w:t>
      </w:r>
      <w:r w:rsidR="00B556CB" w:rsidRPr="002019B2">
        <w:t>’</w:t>
      </w:r>
      <w:r w:rsidRPr="002019B2">
        <w:t xml:space="preserve"> (</w:t>
      </w:r>
      <w:r w:rsidR="00183CC2" w:rsidRPr="002019B2">
        <w:t>SELECT-SUNRISE and JADN conducted in Japanese patients, and RA-BALANCE/JAGS conducted in Argentina, Brazil and China</w:t>
      </w:r>
      <w:r w:rsidR="00D52F45" w:rsidRPr="002019B2">
        <w:t>)</w:t>
      </w:r>
      <w:r w:rsidR="002C4FC4" w:rsidRPr="002019B2">
        <w:t>. However, results were not sensitive to their exclusion.</w:t>
      </w:r>
    </w:p>
    <w:p w:rsidR="008E0D3C" w:rsidRPr="002019B2" w:rsidRDefault="008E0D3C" w:rsidP="00937465">
      <w:pPr>
        <w:keepNext/>
        <w:rPr>
          <w:rStyle w:val="CommentReference"/>
        </w:rPr>
      </w:pPr>
      <w:r w:rsidRPr="002019B2">
        <w:rPr>
          <w:rStyle w:val="CommentReference"/>
        </w:rPr>
        <w:lastRenderedPageBreak/>
        <w:t xml:space="preserve">Table </w:t>
      </w:r>
      <w:r w:rsidR="00D46909" w:rsidRPr="002019B2">
        <w:rPr>
          <w:rStyle w:val="CommentReference"/>
        </w:rPr>
        <w:t>3</w:t>
      </w:r>
      <w:r w:rsidRPr="002019B2">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342"/>
        <w:gridCol w:w="5955"/>
        <w:gridCol w:w="1720"/>
      </w:tblGrid>
      <w:tr w:rsidR="00D46909" w:rsidRPr="002019B2" w:rsidTr="007C7B54">
        <w:trPr>
          <w:tblHeader/>
        </w:trPr>
        <w:tc>
          <w:tcPr>
            <w:tcW w:w="744" w:type="pct"/>
            <w:vAlign w:val="center"/>
          </w:tcPr>
          <w:p w:rsidR="00D46909" w:rsidRPr="002019B2" w:rsidRDefault="00D46909" w:rsidP="00937465">
            <w:pPr>
              <w:pStyle w:val="Tabletext"/>
              <w:keepNext/>
              <w:rPr>
                <w:b/>
              </w:rPr>
            </w:pPr>
            <w:r w:rsidRPr="002019B2">
              <w:rPr>
                <w:b/>
              </w:rPr>
              <w:t>Trial ID</w:t>
            </w:r>
          </w:p>
        </w:tc>
        <w:tc>
          <w:tcPr>
            <w:tcW w:w="3283" w:type="pct"/>
            <w:vAlign w:val="center"/>
          </w:tcPr>
          <w:p w:rsidR="00D46909" w:rsidRPr="002019B2" w:rsidRDefault="00D46909" w:rsidP="00937465">
            <w:pPr>
              <w:pStyle w:val="Tabletext"/>
              <w:keepNext/>
              <w:jc w:val="center"/>
              <w:rPr>
                <w:b/>
              </w:rPr>
            </w:pPr>
            <w:r w:rsidRPr="002019B2">
              <w:rPr>
                <w:b/>
              </w:rPr>
              <w:t>Protocol title/ Publication title</w:t>
            </w:r>
          </w:p>
        </w:tc>
        <w:tc>
          <w:tcPr>
            <w:tcW w:w="974" w:type="pct"/>
            <w:vAlign w:val="center"/>
          </w:tcPr>
          <w:p w:rsidR="00D46909" w:rsidRPr="002019B2" w:rsidRDefault="00D46909" w:rsidP="00937465">
            <w:pPr>
              <w:pStyle w:val="Tabletext"/>
              <w:keepNext/>
              <w:jc w:val="both"/>
              <w:rPr>
                <w:b/>
              </w:rPr>
            </w:pPr>
            <w:r w:rsidRPr="002019B2">
              <w:rPr>
                <w:b/>
              </w:rPr>
              <w:t>Publication citation</w:t>
            </w:r>
          </w:p>
        </w:tc>
      </w:tr>
      <w:tr w:rsidR="00D46909" w:rsidRPr="002019B2" w:rsidTr="007C7B54">
        <w:trPr>
          <w:tblHeader/>
        </w:trPr>
        <w:tc>
          <w:tcPr>
            <w:tcW w:w="5000" w:type="pct"/>
            <w:gridSpan w:val="3"/>
            <w:vAlign w:val="center"/>
          </w:tcPr>
          <w:p w:rsidR="00D46909" w:rsidRPr="002019B2" w:rsidRDefault="00D46909" w:rsidP="00937465">
            <w:pPr>
              <w:pStyle w:val="Tabletext"/>
              <w:keepNext/>
              <w:jc w:val="both"/>
              <w:rPr>
                <w:b/>
              </w:rPr>
            </w:pPr>
            <w:r w:rsidRPr="002019B2">
              <w:rPr>
                <w:b/>
              </w:rPr>
              <w:t>Upadacitinib trials</w:t>
            </w:r>
          </w:p>
        </w:tc>
      </w:tr>
      <w:tr w:rsidR="00D46909" w:rsidRPr="002019B2" w:rsidTr="007C7B54">
        <w:trPr>
          <w:tblHeader/>
        </w:trPr>
        <w:tc>
          <w:tcPr>
            <w:tcW w:w="705" w:type="pct"/>
            <w:vMerge w:val="restart"/>
            <w:vAlign w:val="center"/>
          </w:tcPr>
          <w:p w:rsidR="007F36EE" w:rsidRPr="002019B2" w:rsidRDefault="00D46909" w:rsidP="00937465">
            <w:pPr>
              <w:pStyle w:val="Tabletext"/>
              <w:keepNext/>
              <w:rPr>
                <w:rFonts w:cs="Calibri"/>
                <w:szCs w:val="20"/>
              </w:rPr>
            </w:pPr>
            <w:r w:rsidRPr="002019B2">
              <w:rPr>
                <w:rFonts w:cs="Calibri"/>
                <w:szCs w:val="20"/>
              </w:rPr>
              <w:t>SELECT-COMPARE</w:t>
            </w:r>
          </w:p>
          <w:p w:rsidR="00D46909" w:rsidRPr="002019B2" w:rsidRDefault="00D46909" w:rsidP="00937465">
            <w:pPr>
              <w:pStyle w:val="Tabletext"/>
              <w:keepNext/>
              <w:rPr>
                <w:rFonts w:ascii="Times" w:hAnsi="Times"/>
              </w:rPr>
            </w:pPr>
            <w:r w:rsidRPr="002019B2">
              <w:rPr>
                <w:rFonts w:cs="Calibri"/>
                <w:szCs w:val="20"/>
              </w:rPr>
              <w:t>(M14-465)</w:t>
            </w:r>
          </w:p>
        </w:tc>
        <w:tc>
          <w:tcPr>
            <w:tcW w:w="3302" w:type="pct"/>
            <w:tcBorders>
              <w:bottom w:val="nil"/>
            </w:tcBorders>
          </w:tcPr>
          <w:p w:rsidR="00D46909" w:rsidRPr="002019B2" w:rsidRDefault="00D46909" w:rsidP="00937465">
            <w:pPr>
              <w:pStyle w:val="Tabletext"/>
              <w:keepNext/>
              <w:rPr>
                <w:szCs w:val="18"/>
              </w:rPr>
            </w:pPr>
            <w:r w:rsidRPr="002019B2">
              <w:rPr>
                <w:rFonts w:cs="Calibri"/>
                <w:szCs w:val="20"/>
              </w:rPr>
              <w:t>A Phase 3, randomized, double-blinded study comparing Upadacitinib (ABT-494) to Placebo and to Adalimumab in subjects with moderately to severely active rheumatoid arthritis who are on a stable background of methotrexate (MTX) and who have had an inadequate response to MTX (MTX-IR); Protocol M14-465</w:t>
            </w:r>
          </w:p>
        </w:tc>
        <w:tc>
          <w:tcPr>
            <w:tcW w:w="993" w:type="pct"/>
            <w:tcBorders>
              <w:bottom w:val="nil"/>
            </w:tcBorders>
            <w:vAlign w:val="center"/>
          </w:tcPr>
          <w:p w:rsidR="00D46909" w:rsidRPr="002019B2" w:rsidRDefault="00D46909" w:rsidP="00937465">
            <w:pPr>
              <w:pStyle w:val="Tabletext"/>
              <w:keepNext/>
              <w:rPr>
                <w:rFonts w:ascii="Times" w:hAnsi="Times"/>
              </w:rPr>
            </w:pPr>
            <w:r w:rsidRPr="002019B2">
              <w:t>CSR, August 2018</w:t>
            </w:r>
          </w:p>
        </w:tc>
      </w:tr>
      <w:tr w:rsidR="00D46909" w:rsidRPr="002019B2" w:rsidTr="007C7B54">
        <w:trPr>
          <w:tblHeader/>
        </w:trPr>
        <w:tc>
          <w:tcPr>
            <w:tcW w:w="705" w:type="pct"/>
            <w:vMerge/>
            <w:vAlign w:val="center"/>
          </w:tcPr>
          <w:p w:rsidR="00D46909" w:rsidRPr="002019B2" w:rsidRDefault="00D46909" w:rsidP="00937465">
            <w:pPr>
              <w:keepNext/>
              <w:jc w:val="left"/>
            </w:pPr>
          </w:p>
        </w:tc>
        <w:tc>
          <w:tcPr>
            <w:tcW w:w="3302" w:type="pct"/>
            <w:tcBorders>
              <w:top w:val="nil"/>
              <w:bottom w:val="nil"/>
            </w:tcBorders>
          </w:tcPr>
          <w:p w:rsidR="00D46909" w:rsidRPr="002019B2" w:rsidRDefault="00D46909" w:rsidP="00937465">
            <w:pPr>
              <w:pStyle w:val="Tabletext"/>
              <w:keepNext/>
              <w:rPr>
                <w:szCs w:val="18"/>
                <w:lang w:eastAsia="en-AU"/>
              </w:rPr>
            </w:pPr>
            <w:r w:rsidRPr="002019B2">
              <w:rPr>
                <w:rFonts w:cs="Calibri"/>
                <w:szCs w:val="20"/>
              </w:rPr>
              <w:t>Fleischmann, Roy; Pangan, Aileen L.; Mysler, Eduardo; et al. Upadacitinib versus Placebo or Adalimumab in Patients with Rheumatoid Arthritis and an Inadequate Response to Methotrexate: Results of a Phase 3, Double-Blind, Randomized Controlled Trial.</w:t>
            </w:r>
          </w:p>
        </w:tc>
        <w:tc>
          <w:tcPr>
            <w:tcW w:w="993" w:type="pct"/>
            <w:tcBorders>
              <w:top w:val="nil"/>
              <w:bottom w:val="nil"/>
            </w:tcBorders>
            <w:vAlign w:val="center"/>
          </w:tcPr>
          <w:p w:rsidR="00D46909" w:rsidRPr="002019B2" w:rsidRDefault="00D46909" w:rsidP="00937465">
            <w:pPr>
              <w:pStyle w:val="Tabletext"/>
              <w:keepNext/>
              <w:rPr>
                <w:szCs w:val="18"/>
                <w:lang w:eastAsia="en-AU"/>
              </w:rPr>
            </w:pPr>
            <w:r w:rsidRPr="002019B2">
              <w:rPr>
                <w:szCs w:val="18"/>
                <w:lang w:eastAsia="en-AU"/>
              </w:rPr>
              <w:t>Arthritis Rheumatol. 2019 Jul 9. [Epub ahead of print]</w:t>
            </w:r>
          </w:p>
        </w:tc>
      </w:tr>
      <w:tr w:rsidR="007F36EE" w:rsidRPr="002019B2" w:rsidTr="007C7B54">
        <w:trPr>
          <w:tblHeader/>
        </w:trPr>
        <w:tc>
          <w:tcPr>
            <w:tcW w:w="705" w:type="pct"/>
            <w:vMerge w:val="restart"/>
            <w:vAlign w:val="center"/>
          </w:tcPr>
          <w:p w:rsidR="007F36EE" w:rsidRPr="002019B2" w:rsidRDefault="007F36EE" w:rsidP="00937465">
            <w:pPr>
              <w:pStyle w:val="Tabletext"/>
              <w:keepNext/>
              <w:rPr>
                <w:rFonts w:cs="Calibri"/>
                <w:szCs w:val="20"/>
              </w:rPr>
            </w:pPr>
            <w:r w:rsidRPr="002019B2">
              <w:rPr>
                <w:rFonts w:cs="Calibri"/>
                <w:szCs w:val="20"/>
              </w:rPr>
              <w:t>SELECT-NEXT</w:t>
            </w:r>
          </w:p>
          <w:p w:rsidR="007F36EE" w:rsidRPr="002019B2" w:rsidRDefault="007F36EE" w:rsidP="00937465">
            <w:pPr>
              <w:pStyle w:val="Tabletext"/>
              <w:keepNext/>
              <w:rPr>
                <w:rFonts w:ascii="Times" w:hAnsi="Times"/>
              </w:rPr>
            </w:pPr>
            <w:r w:rsidRPr="002019B2">
              <w:rPr>
                <w:rFonts w:cs="Calibri"/>
                <w:szCs w:val="20"/>
              </w:rPr>
              <w:t>(M13-549)</w:t>
            </w:r>
          </w:p>
        </w:tc>
        <w:tc>
          <w:tcPr>
            <w:tcW w:w="3302" w:type="pct"/>
            <w:tcBorders>
              <w:bottom w:val="nil"/>
            </w:tcBorders>
            <w:vAlign w:val="center"/>
          </w:tcPr>
          <w:p w:rsidR="007F36EE" w:rsidRPr="002019B2" w:rsidRDefault="007F36EE" w:rsidP="00937465">
            <w:pPr>
              <w:pStyle w:val="Tabletext"/>
              <w:keepNext/>
              <w:rPr>
                <w:rFonts w:ascii="Times" w:hAnsi="Times"/>
              </w:rPr>
            </w:pPr>
            <w:r w:rsidRPr="002019B2">
              <w:rPr>
                <w:rFonts w:cs="Calibri"/>
                <w:szCs w:val="20"/>
              </w:rPr>
              <w:t>A Phase 3, randomized, double-blinded study comparing Upadacitinib (ABT-494) to Placebo b in subjects with moderately to severely active rheumatoid arthritis who are on a stable dose of conventional synthetic disease-modifying anti-rheumatic drugs (csDMARDS) and have an inadequate response to csDMARDS; Protocol M13-549</w:t>
            </w:r>
          </w:p>
        </w:tc>
        <w:tc>
          <w:tcPr>
            <w:tcW w:w="993" w:type="pct"/>
            <w:tcBorders>
              <w:bottom w:val="nil"/>
            </w:tcBorders>
            <w:vAlign w:val="center"/>
          </w:tcPr>
          <w:p w:rsidR="007F36EE" w:rsidRPr="002019B2" w:rsidRDefault="007F36EE" w:rsidP="00937465">
            <w:pPr>
              <w:pStyle w:val="Tabletext"/>
              <w:keepNext/>
            </w:pPr>
            <w:r w:rsidRPr="002019B2">
              <w:t>CSR, April 2017</w:t>
            </w:r>
          </w:p>
        </w:tc>
      </w:tr>
      <w:tr w:rsidR="007F36EE" w:rsidRPr="002019B2" w:rsidTr="007C7B54">
        <w:trPr>
          <w:tblHeader/>
        </w:trPr>
        <w:tc>
          <w:tcPr>
            <w:tcW w:w="744" w:type="pct"/>
            <w:vMerge/>
            <w:tcBorders>
              <w:bottom w:val="nil"/>
            </w:tcBorders>
          </w:tcPr>
          <w:p w:rsidR="007F36EE" w:rsidRPr="002019B2" w:rsidRDefault="007F36EE" w:rsidP="00937465">
            <w:pPr>
              <w:pStyle w:val="Tabletext"/>
              <w:keepNext/>
            </w:pPr>
          </w:p>
        </w:tc>
        <w:tc>
          <w:tcPr>
            <w:tcW w:w="3283" w:type="pct"/>
            <w:tcBorders>
              <w:top w:val="nil"/>
              <w:bottom w:val="nil"/>
            </w:tcBorders>
            <w:vAlign w:val="center"/>
          </w:tcPr>
          <w:p w:rsidR="007F36EE" w:rsidRPr="002019B2" w:rsidRDefault="007F36EE" w:rsidP="00937465">
            <w:pPr>
              <w:pStyle w:val="Tabletext"/>
              <w:keepNext/>
              <w:rPr>
                <w:szCs w:val="18"/>
              </w:rPr>
            </w:pPr>
            <w:r w:rsidRPr="002019B2">
              <w:rPr>
                <w:rFonts w:cs="Calibri"/>
                <w:szCs w:val="20"/>
              </w:rPr>
              <w:t>Burmester GR, Kremer JM, Van den Bosch F, et al. Safety and efficacy of upadacitinib in patients with rheumatoid arthritis and inadequate response to conventional synthetic disease-modifying anti-rheumatic drugs (SELECT-NEXT): a randomised, double-blind, placebo-controlled phase 3 trial.</w:t>
            </w:r>
          </w:p>
        </w:tc>
        <w:tc>
          <w:tcPr>
            <w:tcW w:w="974" w:type="pct"/>
            <w:tcBorders>
              <w:top w:val="nil"/>
              <w:bottom w:val="nil"/>
            </w:tcBorders>
            <w:vAlign w:val="center"/>
          </w:tcPr>
          <w:p w:rsidR="007F36EE" w:rsidRPr="002019B2" w:rsidRDefault="007F36EE" w:rsidP="00937465">
            <w:pPr>
              <w:pStyle w:val="Tabletext"/>
              <w:keepNext/>
            </w:pPr>
            <w:r w:rsidRPr="002019B2">
              <w:rPr>
                <w:rFonts w:cs="Calibri"/>
                <w:szCs w:val="20"/>
              </w:rPr>
              <w:t>Lancet. 2018 Jun 23;391(10139): 2503-2512.</w:t>
            </w:r>
          </w:p>
        </w:tc>
      </w:tr>
      <w:tr w:rsidR="00D46909" w:rsidRPr="002019B2" w:rsidTr="007C7B54">
        <w:trPr>
          <w:tblHeader/>
        </w:trPr>
        <w:tc>
          <w:tcPr>
            <w:tcW w:w="744" w:type="pct"/>
            <w:tcBorders>
              <w:bottom w:val="nil"/>
            </w:tcBorders>
            <w:vAlign w:val="center"/>
          </w:tcPr>
          <w:p w:rsidR="00D46909" w:rsidRPr="002019B2" w:rsidRDefault="00D46909" w:rsidP="00937465">
            <w:pPr>
              <w:pStyle w:val="Tabletext"/>
              <w:keepNext/>
              <w:jc w:val="both"/>
            </w:pPr>
          </w:p>
        </w:tc>
        <w:tc>
          <w:tcPr>
            <w:tcW w:w="3283" w:type="pct"/>
            <w:tcBorders>
              <w:bottom w:val="nil"/>
            </w:tcBorders>
            <w:vAlign w:val="center"/>
          </w:tcPr>
          <w:p w:rsidR="00D46909" w:rsidRPr="002019B2" w:rsidRDefault="00D46909" w:rsidP="00937465">
            <w:pPr>
              <w:pStyle w:val="Tabletext"/>
              <w:keepNext/>
              <w:rPr>
                <w:rFonts w:cs="Calibri"/>
                <w:szCs w:val="20"/>
              </w:rPr>
            </w:pPr>
            <w:r w:rsidRPr="002019B2">
              <w:rPr>
                <w:rFonts w:cs="Calibri"/>
                <w:szCs w:val="20"/>
              </w:rPr>
              <w:t>A Phase 3, randomized, double-blinded study comparing Upadacitinib (ABT-494) to Placebo on a stable dose of conventional synthetic disease-modifying anti-rheumatic drugs (csDMARDS) in subjects with moderately to severely active rheumatoid arthritis with an inadequate response or intolerance to biologic DMARDS (</w:t>
            </w:r>
            <w:r w:rsidR="002B1D13" w:rsidRPr="002019B2">
              <w:rPr>
                <w:rFonts w:cs="Calibri"/>
                <w:szCs w:val="20"/>
              </w:rPr>
              <w:t>bDMARDs</w:t>
            </w:r>
            <w:r w:rsidRPr="002019B2">
              <w:rPr>
                <w:rFonts w:cs="Calibri"/>
                <w:szCs w:val="20"/>
              </w:rPr>
              <w:t>); Protocol M13-542</w:t>
            </w:r>
          </w:p>
        </w:tc>
        <w:tc>
          <w:tcPr>
            <w:tcW w:w="974" w:type="pct"/>
            <w:tcBorders>
              <w:bottom w:val="nil"/>
            </w:tcBorders>
            <w:vAlign w:val="center"/>
          </w:tcPr>
          <w:p w:rsidR="00D46909" w:rsidRPr="002019B2" w:rsidRDefault="00D46909" w:rsidP="00937465">
            <w:pPr>
              <w:pStyle w:val="Tabletext"/>
              <w:keepNext/>
              <w:rPr>
                <w:rFonts w:cs="Calibri"/>
                <w:szCs w:val="20"/>
              </w:rPr>
            </w:pPr>
            <w:r w:rsidRPr="002019B2">
              <w:rPr>
                <w:rFonts w:cs="Calibri"/>
                <w:szCs w:val="20"/>
              </w:rPr>
              <w:t>CSR, June 2017</w:t>
            </w:r>
          </w:p>
        </w:tc>
      </w:tr>
      <w:tr w:rsidR="00D46909" w:rsidRPr="002019B2" w:rsidTr="007C7B54">
        <w:trPr>
          <w:tblHeader/>
        </w:trPr>
        <w:tc>
          <w:tcPr>
            <w:tcW w:w="744" w:type="pct"/>
            <w:tcBorders>
              <w:top w:val="nil"/>
            </w:tcBorders>
            <w:vAlign w:val="center"/>
          </w:tcPr>
          <w:p w:rsidR="007F36EE" w:rsidRPr="002019B2" w:rsidRDefault="00D46909" w:rsidP="00937465">
            <w:pPr>
              <w:pStyle w:val="Tabletext"/>
              <w:keepNext/>
              <w:rPr>
                <w:rFonts w:cs="Calibri"/>
                <w:szCs w:val="20"/>
              </w:rPr>
            </w:pPr>
            <w:r w:rsidRPr="002019B2">
              <w:rPr>
                <w:rFonts w:cs="Calibri"/>
                <w:szCs w:val="20"/>
              </w:rPr>
              <w:t xml:space="preserve">SELECT-BEYOND </w:t>
            </w:r>
          </w:p>
          <w:p w:rsidR="00D46909" w:rsidRPr="002019B2" w:rsidRDefault="00D46909" w:rsidP="00937465">
            <w:pPr>
              <w:pStyle w:val="Tabletext"/>
              <w:keepNext/>
            </w:pPr>
            <w:r w:rsidRPr="002019B2">
              <w:rPr>
                <w:rFonts w:cs="Calibri"/>
                <w:szCs w:val="20"/>
              </w:rPr>
              <w:t>(M13-542)</w:t>
            </w:r>
          </w:p>
        </w:tc>
        <w:tc>
          <w:tcPr>
            <w:tcW w:w="3283" w:type="pct"/>
            <w:tcBorders>
              <w:top w:val="nil"/>
              <w:bottom w:val="nil"/>
            </w:tcBorders>
            <w:vAlign w:val="center"/>
          </w:tcPr>
          <w:p w:rsidR="00D46909" w:rsidRPr="002019B2" w:rsidRDefault="00D46909" w:rsidP="00937465">
            <w:pPr>
              <w:pStyle w:val="Tabletext"/>
              <w:keepNext/>
              <w:rPr>
                <w:szCs w:val="18"/>
              </w:rPr>
            </w:pPr>
            <w:r w:rsidRPr="002019B2">
              <w:rPr>
                <w:rFonts w:cs="Calibri"/>
                <w:szCs w:val="20"/>
              </w:rPr>
              <w:t>Genovese, MC; Fleischmann, R; Combe, B; et al. Safety and efficacy of upadacitinib in patients with active rheumatoid arthritis refractory to biologic disease-modifying anti-rheumatic drugs (SELECT-BEYOND): a double-blind, randomised controlled phase 3 trial.</w:t>
            </w:r>
          </w:p>
        </w:tc>
        <w:tc>
          <w:tcPr>
            <w:tcW w:w="974" w:type="pct"/>
            <w:tcBorders>
              <w:top w:val="nil"/>
              <w:bottom w:val="nil"/>
            </w:tcBorders>
            <w:vAlign w:val="center"/>
          </w:tcPr>
          <w:p w:rsidR="00D46909" w:rsidRPr="002019B2" w:rsidRDefault="00D46909" w:rsidP="00937465">
            <w:pPr>
              <w:pStyle w:val="Tabletext"/>
              <w:keepNext/>
            </w:pPr>
            <w:r w:rsidRPr="002019B2">
              <w:rPr>
                <w:rFonts w:cs="Calibri"/>
                <w:szCs w:val="20"/>
              </w:rPr>
              <w:t>Lancet. 2018 Jun 23;391(10139):2513-2524.</w:t>
            </w:r>
          </w:p>
        </w:tc>
      </w:tr>
      <w:tr w:rsidR="00D46909" w:rsidRPr="002019B2" w:rsidTr="007C7B54">
        <w:trPr>
          <w:tblHeader/>
        </w:trPr>
        <w:tc>
          <w:tcPr>
            <w:tcW w:w="744" w:type="pct"/>
            <w:tcBorders>
              <w:top w:val="single" w:sz="4" w:space="0" w:color="auto"/>
              <w:bottom w:val="nil"/>
            </w:tcBorders>
            <w:vAlign w:val="center"/>
          </w:tcPr>
          <w:p w:rsidR="00D46909" w:rsidRPr="002019B2" w:rsidRDefault="00D46909" w:rsidP="00937465">
            <w:pPr>
              <w:pStyle w:val="Tabletext"/>
              <w:keepNext/>
              <w:rPr>
                <w:rFonts w:cs="Calibri"/>
                <w:szCs w:val="20"/>
              </w:rPr>
            </w:pPr>
          </w:p>
        </w:tc>
        <w:tc>
          <w:tcPr>
            <w:tcW w:w="3283" w:type="pct"/>
            <w:tcBorders>
              <w:top w:val="single" w:sz="4" w:space="0" w:color="auto"/>
              <w:bottom w:val="nil"/>
            </w:tcBorders>
          </w:tcPr>
          <w:p w:rsidR="00D46909" w:rsidRPr="002019B2" w:rsidRDefault="00D46909" w:rsidP="00937465">
            <w:pPr>
              <w:pStyle w:val="Tabletext"/>
              <w:keepNext/>
              <w:rPr>
                <w:rFonts w:cs="Calibri"/>
                <w:szCs w:val="20"/>
              </w:rPr>
            </w:pPr>
            <w:r w:rsidRPr="002019B2">
              <w:rPr>
                <w:rFonts w:cs="Calibri"/>
                <w:szCs w:val="20"/>
              </w:rPr>
              <w:t>A Phase 3, randomized, double-blind study comparing upadacitinib (ABT-494) monotherapy to methotrexate (MTX) in subjects with moderately to severely active rheumatoid arthritis with inadequate response to MTX; Protocol M15-555</w:t>
            </w:r>
          </w:p>
        </w:tc>
        <w:tc>
          <w:tcPr>
            <w:tcW w:w="974" w:type="pct"/>
            <w:tcBorders>
              <w:top w:val="single" w:sz="4" w:space="0" w:color="auto"/>
              <w:bottom w:val="nil"/>
            </w:tcBorders>
            <w:vAlign w:val="center"/>
          </w:tcPr>
          <w:p w:rsidR="00D46909" w:rsidRPr="002019B2" w:rsidRDefault="00D46909" w:rsidP="00937465">
            <w:pPr>
              <w:pStyle w:val="Tabletext"/>
              <w:keepNext/>
              <w:rPr>
                <w:rFonts w:cs="Calibri"/>
                <w:szCs w:val="20"/>
              </w:rPr>
            </w:pPr>
            <w:r w:rsidRPr="002019B2">
              <w:rPr>
                <w:rFonts w:cs="Calibri"/>
                <w:szCs w:val="20"/>
              </w:rPr>
              <w:t>CSR, Oct 2017</w:t>
            </w:r>
          </w:p>
        </w:tc>
      </w:tr>
      <w:tr w:rsidR="00D46909" w:rsidRPr="002019B2" w:rsidTr="007C7B54">
        <w:trPr>
          <w:tblHeader/>
        </w:trPr>
        <w:tc>
          <w:tcPr>
            <w:tcW w:w="744" w:type="pct"/>
            <w:tcBorders>
              <w:top w:val="nil"/>
              <w:bottom w:val="nil"/>
            </w:tcBorders>
            <w:vAlign w:val="center"/>
          </w:tcPr>
          <w:p w:rsidR="007F36EE" w:rsidRPr="002019B2" w:rsidRDefault="00D46909" w:rsidP="00937465">
            <w:pPr>
              <w:pStyle w:val="Tabletext"/>
              <w:keepNext/>
              <w:rPr>
                <w:rFonts w:cs="Calibri"/>
                <w:szCs w:val="20"/>
              </w:rPr>
            </w:pPr>
            <w:r w:rsidRPr="002019B2">
              <w:rPr>
                <w:rFonts w:cs="Calibri"/>
                <w:szCs w:val="20"/>
              </w:rPr>
              <w:t>SELECT-MONOTHERAPY</w:t>
            </w:r>
          </w:p>
          <w:p w:rsidR="00D46909" w:rsidRPr="002019B2" w:rsidRDefault="00D46909" w:rsidP="00937465">
            <w:pPr>
              <w:pStyle w:val="Tabletext"/>
              <w:keepNext/>
              <w:rPr>
                <w:rFonts w:cs="Calibri"/>
                <w:szCs w:val="20"/>
              </w:rPr>
            </w:pPr>
            <w:r w:rsidRPr="002019B2">
              <w:rPr>
                <w:rFonts w:cs="Calibri"/>
                <w:szCs w:val="20"/>
              </w:rPr>
              <w:t>(M15-555)</w:t>
            </w:r>
          </w:p>
        </w:tc>
        <w:tc>
          <w:tcPr>
            <w:tcW w:w="3283" w:type="pct"/>
            <w:tcBorders>
              <w:top w:val="nil"/>
              <w:bottom w:val="nil"/>
            </w:tcBorders>
            <w:vAlign w:val="center"/>
          </w:tcPr>
          <w:p w:rsidR="00D46909" w:rsidRPr="002019B2" w:rsidRDefault="00D46909" w:rsidP="00937465">
            <w:pPr>
              <w:pStyle w:val="Tabletext"/>
              <w:keepNext/>
              <w:rPr>
                <w:rFonts w:cs="Calibri"/>
                <w:szCs w:val="20"/>
              </w:rPr>
            </w:pPr>
            <w:r w:rsidRPr="002019B2">
              <w:rPr>
                <w:rFonts w:cs="Calibri"/>
                <w:szCs w:val="20"/>
              </w:rPr>
              <w:t>Smolen, JS; Pangan, AL; Emery P; et al. Upadacitinib as monotherapy in patients with active rheumatoid arthritis and inadequate response to methotrexate (SELECT-MONOTHERAPY): a randomised, placebo-controlled, double-blind phase 3 study.</w:t>
            </w:r>
          </w:p>
        </w:tc>
        <w:tc>
          <w:tcPr>
            <w:tcW w:w="974" w:type="pct"/>
            <w:tcBorders>
              <w:top w:val="nil"/>
              <w:bottom w:val="nil"/>
            </w:tcBorders>
            <w:vAlign w:val="center"/>
          </w:tcPr>
          <w:p w:rsidR="00B556CB" w:rsidRPr="002019B2" w:rsidRDefault="00B556CB" w:rsidP="00937465">
            <w:pPr>
              <w:pStyle w:val="Tabletext"/>
              <w:keepNext/>
              <w:rPr>
                <w:rFonts w:cs="Calibri"/>
                <w:szCs w:val="20"/>
              </w:rPr>
            </w:pPr>
            <w:r w:rsidRPr="002019B2">
              <w:rPr>
                <w:rFonts w:cs="Calibri"/>
                <w:szCs w:val="20"/>
              </w:rPr>
              <w:t>Lancet 2019; 393: 2303–11</w:t>
            </w:r>
          </w:p>
        </w:tc>
      </w:tr>
      <w:tr w:rsidR="00D46909" w:rsidRPr="002019B2" w:rsidTr="007C7B54">
        <w:trPr>
          <w:tblHeader/>
        </w:trPr>
        <w:tc>
          <w:tcPr>
            <w:tcW w:w="5000" w:type="pct"/>
            <w:gridSpan w:val="3"/>
            <w:tcBorders>
              <w:top w:val="single" w:sz="4" w:space="0" w:color="auto"/>
              <w:bottom w:val="single" w:sz="4" w:space="0" w:color="auto"/>
            </w:tcBorders>
          </w:tcPr>
          <w:p w:rsidR="00D46909" w:rsidRPr="002019B2" w:rsidRDefault="00D46909" w:rsidP="00937465">
            <w:pPr>
              <w:pStyle w:val="Tabletext"/>
              <w:keepNext/>
              <w:rPr>
                <w:rFonts w:cs="Calibri"/>
                <w:b/>
                <w:bCs/>
                <w:szCs w:val="20"/>
              </w:rPr>
            </w:pPr>
            <w:r w:rsidRPr="002019B2">
              <w:rPr>
                <w:rFonts w:cs="Calibri"/>
                <w:b/>
                <w:bCs/>
                <w:szCs w:val="20"/>
              </w:rPr>
              <w:t>Baricitinib trials</w:t>
            </w:r>
          </w:p>
        </w:tc>
      </w:tr>
      <w:tr w:rsidR="00D46909" w:rsidRPr="002019B2" w:rsidTr="007C7B54">
        <w:trPr>
          <w:tblHeader/>
        </w:trPr>
        <w:tc>
          <w:tcPr>
            <w:tcW w:w="744" w:type="pct"/>
            <w:tcBorders>
              <w:top w:val="single" w:sz="4" w:space="0" w:color="auto"/>
              <w:bottom w:val="single" w:sz="4" w:space="0" w:color="auto"/>
            </w:tcBorders>
          </w:tcPr>
          <w:p w:rsidR="00C45BE2" w:rsidRPr="002019B2" w:rsidRDefault="00D46909" w:rsidP="00937465">
            <w:pPr>
              <w:pStyle w:val="Tabletext"/>
              <w:keepNext/>
              <w:rPr>
                <w:rFonts w:cs="Calibri"/>
                <w:szCs w:val="20"/>
              </w:rPr>
            </w:pPr>
            <w:r w:rsidRPr="002019B2">
              <w:rPr>
                <w:rFonts w:cs="Calibri"/>
                <w:szCs w:val="20"/>
              </w:rPr>
              <w:t>RA-BEAM; JADV</w:t>
            </w:r>
          </w:p>
          <w:p w:rsidR="00D46909" w:rsidRPr="002019B2" w:rsidRDefault="00D46909" w:rsidP="00937465">
            <w:pPr>
              <w:pStyle w:val="Tabletext"/>
              <w:keepNext/>
              <w:rPr>
                <w:rFonts w:cs="Calibri"/>
                <w:szCs w:val="20"/>
              </w:rPr>
            </w:pPr>
            <w:r w:rsidRPr="002019B2">
              <w:rPr>
                <w:rFonts w:cs="Calibri"/>
                <w:szCs w:val="20"/>
              </w:rPr>
              <w:t>(NCT01710358)</w:t>
            </w:r>
          </w:p>
        </w:tc>
        <w:tc>
          <w:tcPr>
            <w:tcW w:w="3283" w:type="pct"/>
            <w:tcBorders>
              <w:top w:val="single" w:sz="4" w:space="0" w:color="auto"/>
              <w:bottom w:val="single" w:sz="4" w:space="0" w:color="auto"/>
            </w:tcBorders>
            <w:vAlign w:val="center"/>
          </w:tcPr>
          <w:p w:rsidR="00D46909" w:rsidRPr="002019B2" w:rsidRDefault="00D46909" w:rsidP="00937465">
            <w:pPr>
              <w:pStyle w:val="Tabletext"/>
              <w:keepNext/>
              <w:rPr>
                <w:rFonts w:cs="Calibri"/>
                <w:szCs w:val="20"/>
              </w:rPr>
            </w:pPr>
            <w:r w:rsidRPr="002019B2">
              <w:rPr>
                <w:rFonts w:cs="Calibri"/>
                <w:szCs w:val="20"/>
              </w:rPr>
              <w:t>Taylor PC, Keystone EC, van der Heijde D et al. Baricitinib versus Placebo or Adalimumab in Rheumatoid Arthritis.</w:t>
            </w:r>
          </w:p>
        </w:tc>
        <w:tc>
          <w:tcPr>
            <w:tcW w:w="974" w:type="pct"/>
            <w:tcBorders>
              <w:top w:val="single" w:sz="4" w:space="0" w:color="auto"/>
              <w:bottom w:val="single" w:sz="4" w:space="0" w:color="auto"/>
            </w:tcBorders>
            <w:vAlign w:val="center"/>
          </w:tcPr>
          <w:p w:rsidR="00D46909" w:rsidRPr="002019B2" w:rsidRDefault="00D46909" w:rsidP="00937465">
            <w:pPr>
              <w:pStyle w:val="Tabletext"/>
              <w:keepNext/>
              <w:rPr>
                <w:rFonts w:cs="Calibri"/>
                <w:szCs w:val="20"/>
              </w:rPr>
            </w:pPr>
            <w:r w:rsidRPr="002019B2">
              <w:rPr>
                <w:rFonts w:cs="Calibri"/>
                <w:szCs w:val="20"/>
              </w:rPr>
              <w:t>N Engl J Med. 2017 Feb 16;376(7):652-662.</w:t>
            </w:r>
          </w:p>
        </w:tc>
      </w:tr>
      <w:tr w:rsidR="00D46909" w:rsidRPr="002019B2" w:rsidTr="007C7B54">
        <w:trPr>
          <w:tblHeader/>
        </w:trPr>
        <w:tc>
          <w:tcPr>
            <w:tcW w:w="744" w:type="pct"/>
            <w:tcBorders>
              <w:top w:val="single" w:sz="4" w:space="0" w:color="auto"/>
              <w:bottom w:val="single" w:sz="4" w:space="0" w:color="auto"/>
            </w:tcBorders>
            <w:vAlign w:val="center"/>
          </w:tcPr>
          <w:p w:rsidR="00C45BE2" w:rsidRPr="002019B2" w:rsidRDefault="00D46909" w:rsidP="00937465">
            <w:pPr>
              <w:pStyle w:val="Tabletext"/>
              <w:keepNext/>
              <w:rPr>
                <w:rFonts w:cs="Calibri"/>
                <w:szCs w:val="20"/>
              </w:rPr>
            </w:pPr>
            <w:r w:rsidRPr="002019B2">
              <w:rPr>
                <w:rFonts w:cs="Calibri"/>
                <w:szCs w:val="20"/>
              </w:rPr>
              <w:t>RA-BUILD; JADX;</w:t>
            </w:r>
          </w:p>
          <w:p w:rsidR="00D46909" w:rsidRPr="002019B2" w:rsidRDefault="00D46909" w:rsidP="00937465">
            <w:pPr>
              <w:pStyle w:val="Tabletext"/>
              <w:keepNext/>
              <w:rPr>
                <w:rFonts w:cs="Calibri"/>
                <w:szCs w:val="20"/>
              </w:rPr>
            </w:pPr>
            <w:r w:rsidRPr="002019B2">
              <w:rPr>
                <w:rFonts w:cs="Calibri"/>
                <w:szCs w:val="20"/>
              </w:rPr>
              <w:t>(NCT01721057)</w:t>
            </w:r>
          </w:p>
        </w:tc>
        <w:tc>
          <w:tcPr>
            <w:tcW w:w="3283" w:type="pct"/>
            <w:tcBorders>
              <w:top w:val="single" w:sz="4" w:space="0" w:color="auto"/>
              <w:bottom w:val="single" w:sz="4" w:space="0" w:color="auto"/>
            </w:tcBorders>
            <w:vAlign w:val="center"/>
          </w:tcPr>
          <w:p w:rsidR="00D46909" w:rsidRPr="002019B2" w:rsidRDefault="00D46909" w:rsidP="00937465">
            <w:pPr>
              <w:pStyle w:val="Tabletext"/>
              <w:keepNext/>
              <w:rPr>
                <w:rFonts w:cs="Calibri"/>
                <w:szCs w:val="20"/>
              </w:rPr>
            </w:pPr>
            <w:r w:rsidRPr="002019B2">
              <w:rPr>
                <w:rFonts w:cs="Calibri"/>
                <w:szCs w:val="20"/>
              </w:rPr>
              <w:t>Dougados M, van der Heijde D, Chen YC, et al. Baricitinib in patients with inadequate response or intolerance to conventional synthetic DMARDs: results from the RA-BUILD study.</w:t>
            </w:r>
          </w:p>
        </w:tc>
        <w:tc>
          <w:tcPr>
            <w:tcW w:w="974" w:type="pct"/>
            <w:tcBorders>
              <w:top w:val="single" w:sz="4" w:space="0" w:color="auto"/>
              <w:bottom w:val="single" w:sz="4" w:space="0" w:color="auto"/>
            </w:tcBorders>
            <w:vAlign w:val="center"/>
          </w:tcPr>
          <w:p w:rsidR="00D46909" w:rsidRPr="002019B2" w:rsidRDefault="00D46909" w:rsidP="00937465">
            <w:pPr>
              <w:pStyle w:val="Tabletext"/>
              <w:keepNext/>
              <w:rPr>
                <w:rFonts w:cs="Calibri"/>
                <w:szCs w:val="20"/>
              </w:rPr>
            </w:pPr>
            <w:r w:rsidRPr="002019B2">
              <w:rPr>
                <w:rFonts w:cs="Calibri"/>
                <w:szCs w:val="20"/>
              </w:rPr>
              <w:t>Ann Rheum Dis. 2017; 76(1):88-95.</w:t>
            </w:r>
          </w:p>
        </w:tc>
      </w:tr>
      <w:tr w:rsidR="00D46909" w:rsidRPr="002019B2" w:rsidTr="007C7B54">
        <w:trPr>
          <w:tblHeader/>
        </w:trPr>
        <w:tc>
          <w:tcPr>
            <w:tcW w:w="744" w:type="pct"/>
            <w:tcBorders>
              <w:top w:val="single" w:sz="4" w:space="0" w:color="auto"/>
              <w:bottom w:val="single" w:sz="4" w:space="0" w:color="auto"/>
            </w:tcBorders>
            <w:vAlign w:val="center"/>
          </w:tcPr>
          <w:p w:rsidR="00C45BE2" w:rsidRPr="002019B2" w:rsidRDefault="00D46909" w:rsidP="00937465">
            <w:pPr>
              <w:pStyle w:val="Tabletext"/>
              <w:keepNext/>
              <w:rPr>
                <w:rFonts w:cs="Calibri"/>
                <w:szCs w:val="20"/>
              </w:rPr>
            </w:pPr>
            <w:r w:rsidRPr="002019B2">
              <w:rPr>
                <w:rFonts w:cs="Calibri"/>
                <w:szCs w:val="20"/>
              </w:rPr>
              <w:t>RA-BEACON; JADW;</w:t>
            </w:r>
          </w:p>
          <w:p w:rsidR="00D46909" w:rsidRPr="002019B2" w:rsidRDefault="00D46909" w:rsidP="00937465">
            <w:pPr>
              <w:pStyle w:val="Tabletext"/>
              <w:keepNext/>
              <w:rPr>
                <w:rFonts w:cs="Calibri"/>
                <w:szCs w:val="20"/>
              </w:rPr>
            </w:pPr>
            <w:r w:rsidRPr="002019B2">
              <w:rPr>
                <w:rFonts w:cs="Calibri"/>
                <w:szCs w:val="20"/>
              </w:rPr>
              <w:t>(NCT01721044)</w:t>
            </w:r>
          </w:p>
        </w:tc>
        <w:tc>
          <w:tcPr>
            <w:tcW w:w="3283" w:type="pct"/>
            <w:tcBorders>
              <w:top w:val="single" w:sz="4" w:space="0" w:color="auto"/>
              <w:bottom w:val="single" w:sz="4" w:space="0" w:color="auto"/>
            </w:tcBorders>
            <w:vAlign w:val="center"/>
          </w:tcPr>
          <w:p w:rsidR="00D46909" w:rsidRPr="002019B2" w:rsidRDefault="00D46909" w:rsidP="00937465">
            <w:pPr>
              <w:pStyle w:val="Tabletext"/>
              <w:keepNext/>
              <w:rPr>
                <w:rFonts w:cs="Calibri"/>
                <w:szCs w:val="20"/>
              </w:rPr>
            </w:pPr>
            <w:r w:rsidRPr="002019B2">
              <w:rPr>
                <w:rFonts w:cs="Calibri"/>
                <w:szCs w:val="20"/>
              </w:rPr>
              <w:t>Genovese MC, Kremer J, Zamani O, et al. Baricitinib in Patients with Refractory Rheumatoid Arthritis.</w:t>
            </w:r>
          </w:p>
        </w:tc>
        <w:tc>
          <w:tcPr>
            <w:tcW w:w="974" w:type="pct"/>
            <w:tcBorders>
              <w:top w:val="single" w:sz="4" w:space="0" w:color="auto"/>
              <w:bottom w:val="single" w:sz="4" w:space="0" w:color="auto"/>
            </w:tcBorders>
            <w:vAlign w:val="center"/>
          </w:tcPr>
          <w:p w:rsidR="00D46909" w:rsidRPr="002019B2" w:rsidRDefault="00D46909" w:rsidP="00937465">
            <w:pPr>
              <w:pStyle w:val="Tabletext"/>
              <w:keepNext/>
              <w:rPr>
                <w:rFonts w:cs="Calibri"/>
                <w:szCs w:val="20"/>
              </w:rPr>
            </w:pPr>
            <w:r w:rsidRPr="002019B2">
              <w:rPr>
                <w:rFonts w:cs="Calibri"/>
                <w:szCs w:val="20"/>
              </w:rPr>
              <w:t>N Engl J Med. 2016; 374(13):1243-52.</w:t>
            </w:r>
          </w:p>
        </w:tc>
      </w:tr>
      <w:tr w:rsidR="00D46909" w:rsidRPr="002019B2" w:rsidTr="007C7B54">
        <w:trPr>
          <w:tblHeader/>
        </w:trPr>
        <w:tc>
          <w:tcPr>
            <w:tcW w:w="744" w:type="pct"/>
            <w:tcBorders>
              <w:top w:val="single" w:sz="4" w:space="0" w:color="auto"/>
              <w:bottom w:val="single" w:sz="4" w:space="0" w:color="auto"/>
            </w:tcBorders>
          </w:tcPr>
          <w:p w:rsidR="00C45BE2" w:rsidRPr="002019B2" w:rsidRDefault="00D46909" w:rsidP="00937465">
            <w:pPr>
              <w:pStyle w:val="Tabletext"/>
              <w:keepNext/>
              <w:rPr>
                <w:rFonts w:cs="Calibri"/>
                <w:szCs w:val="20"/>
              </w:rPr>
            </w:pPr>
            <w:r w:rsidRPr="002019B2">
              <w:rPr>
                <w:rFonts w:cs="Calibri"/>
                <w:szCs w:val="20"/>
              </w:rPr>
              <w:t>JADA;</w:t>
            </w:r>
          </w:p>
          <w:p w:rsidR="00D46909" w:rsidRPr="002019B2" w:rsidRDefault="00D46909" w:rsidP="00937465">
            <w:pPr>
              <w:pStyle w:val="Tabletext"/>
              <w:keepNext/>
              <w:rPr>
                <w:rFonts w:cs="Calibri"/>
                <w:szCs w:val="20"/>
              </w:rPr>
            </w:pPr>
            <w:r w:rsidRPr="002019B2">
              <w:rPr>
                <w:rFonts w:cs="Calibri"/>
                <w:szCs w:val="20"/>
              </w:rPr>
              <w:t>(NCT01185353)</w:t>
            </w:r>
          </w:p>
        </w:tc>
        <w:tc>
          <w:tcPr>
            <w:tcW w:w="3283" w:type="pct"/>
            <w:tcBorders>
              <w:top w:val="single" w:sz="4" w:space="0" w:color="auto"/>
              <w:bottom w:val="single" w:sz="4" w:space="0" w:color="auto"/>
            </w:tcBorders>
            <w:vAlign w:val="center"/>
          </w:tcPr>
          <w:p w:rsidR="00D46909" w:rsidRPr="002019B2" w:rsidRDefault="00D46909" w:rsidP="00937465">
            <w:pPr>
              <w:pStyle w:val="Tabletext"/>
              <w:keepNext/>
              <w:rPr>
                <w:rFonts w:cs="Calibri"/>
                <w:szCs w:val="20"/>
              </w:rPr>
            </w:pPr>
            <w:r w:rsidRPr="002019B2">
              <w:rPr>
                <w:rFonts w:cs="Calibri"/>
                <w:szCs w:val="20"/>
              </w:rPr>
              <w:t>Keystone EC, Taylor PC, Drescher E, et al. Safety and efficacy of baricitinib at 24 weeks in patients with rheumatoid arthritis who have had an inadequate response to methotrexate.</w:t>
            </w:r>
          </w:p>
        </w:tc>
        <w:tc>
          <w:tcPr>
            <w:tcW w:w="974" w:type="pct"/>
            <w:tcBorders>
              <w:top w:val="single" w:sz="4" w:space="0" w:color="auto"/>
              <w:bottom w:val="single" w:sz="4" w:space="0" w:color="auto"/>
            </w:tcBorders>
            <w:vAlign w:val="center"/>
          </w:tcPr>
          <w:p w:rsidR="00D46909" w:rsidRPr="002019B2" w:rsidRDefault="00D46909" w:rsidP="00937465">
            <w:pPr>
              <w:pStyle w:val="Tabletext"/>
              <w:keepNext/>
              <w:jc w:val="both"/>
              <w:rPr>
                <w:rFonts w:cs="Calibri"/>
                <w:szCs w:val="20"/>
              </w:rPr>
            </w:pPr>
            <w:r w:rsidRPr="002019B2">
              <w:rPr>
                <w:rFonts w:cs="Calibri"/>
                <w:szCs w:val="20"/>
              </w:rPr>
              <w:t>Ann Rheum Dis. 2015; 74(2):333-40.</w:t>
            </w:r>
          </w:p>
        </w:tc>
      </w:tr>
    </w:tbl>
    <w:p w:rsidR="00D46909" w:rsidRPr="002019B2" w:rsidRDefault="00D46909" w:rsidP="00937465">
      <w:pPr>
        <w:pStyle w:val="TableFooter"/>
        <w:keepNext/>
        <w:rPr>
          <w:sz w:val="20"/>
        </w:rPr>
      </w:pPr>
      <w:r w:rsidRPr="002019B2">
        <w:t>Source: Table 2.3, pp 28-33 of the submission</w:t>
      </w:r>
    </w:p>
    <w:p w:rsidR="00862502" w:rsidRPr="002019B2" w:rsidRDefault="00862502" w:rsidP="008F120A">
      <w:pPr>
        <w:widowControl/>
      </w:pPr>
    </w:p>
    <w:p w:rsidR="007F1017" w:rsidRPr="002019B2" w:rsidRDefault="008F120A" w:rsidP="00123D0F">
      <w:pPr>
        <w:pStyle w:val="ListParagraph"/>
        <w:widowControl/>
        <w:numPr>
          <w:ilvl w:val="1"/>
          <w:numId w:val="9"/>
        </w:numPr>
        <w:spacing w:after="120"/>
        <w:ind w:left="720" w:hanging="720"/>
      </w:pPr>
      <w:r w:rsidRPr="002019B2">
        <w:t>The key features of the direct randomise</w:t>
      </w:r>
      <w:r w:rsidR="00C55884" w:rsidRPr="002019B2">
        <w:t>d trials are summarised in T</w:t>
      </w:r>
      <w:r w:rsidRPr="002019B2">
        <w:t xml:space="preserve">able </w:t>
      </w:r>
      <w:r w:rsidR="00C55884" w:rsidRPr="002019B2">
        <w:t>4</w:t>
      </w:r>
      <w:r w:rsidRPr="002019B2">
        <w:t xml:space="preserve">. </w:t>
      </w:r>
      <w:r w:rsidR="006E772C" w:rsidRPr="002019B2">
        <w:t xml:space="preserve">The submission </w:t>
      </w:r>
      <w:r w:rsidR="00AF46A1" w:rsidRPr="002019B2">
        <w:t xml:space="preserve">only </w:t>
      </w:r>
      <w:r w:rsidR="00C25F29" w:rsidRPr="002019B2">
        <w:t>presented</w:t>
      </w:r>
      <w:r w:rsidR="00AF46A1" w:rsidRPr="002019B2">
        <w:t xml:space="preserve"> evidence for</w:t>
      </w:r>
      <w:r w:rsidR="00C25F29" w:rsidRPr="002019B2">
        <w:t xml:space="preserve"> UPA and BARI at</w:t>
      </w:r>
      <w:r w:rsidR="00AF46A1" w:rsidRPr="002019B2">
        <w:t xml:space="preserve"> the </w:t>
      </w:r>
      <w:r w:rsidR="00802C10" w:rsidRPr="002019B2">
        <w:t xml:space="preserve">main </w:t>
      </w:r>
      <w:r w:rsidR="00AF46A1" w:rsidRPr="002019B2">
        <w:t xml:space="preserve">recommended </w:t>
      </w:r>
      <w:r w:rsidR="00C25F29" w:rsidRPr="002019B2">
        <w:lastRenderedPageBreak/>
        <w:t>doses, excluding</w:t>
      </w:r>
      <w:r w:rsidR="006E772C" w:rsidRPr="002019B2">
        <w:t xml:space="preserve"> data for</w:t>
      </w:r>
      <w:r w:rsidR="00AF46A1" w:rsidRPr="002019B2">
        <w:t xml:space="preserve"> </w:t>
      </w:r>
      <w:r w:rsidR="006E772C" w:rsidRPr="002019B2">
        <w:t>UPA 30</w:t>
      </w:r>
      <w:r w:rsidR="00FE70C4">
        <w:t xml:space="preserve"> </w:t>
      </w:r>
      <w:r w:rsidR="006E772C" w:rsidRPr="002019B2">
        <w:t>mg and BARI 1</w:t>
      </w:r>
      <w:r w:rsidR="00FE70C4">
        <w:t xml:space="preserve"> </w:t>
      </w:r>
      <w:r w:rsidR="006E772C" w:rsidRPr="002019B2">
        <w:t>mg, 2</w:t>
      </w:r>
      <w:r w:rsidR="00FE70C4">
        <w:t xml:space="preserve"> </w:t>
      </w:r>
      <w:r w:rsidR="006E772C" w:rsidRPr="002019B2">
        <w:t>mg and 8</w:t>
      </w:r>
      <w:r w:rsidR="00FE70C4">
        <w:t xml:space="preserve"> </w:t>
      </w:r>
      <w:r w:rsidR="006E772C" w:rsidRPr="002019B2">
        <w:t>mg dosing regimens reported across six trials (SELECT-NEXT, SELECT-BEYON</w:t>
      </w:r>
      <w:r w:rsidR="00772AB6" w:rsidRPr="002019B2">
        <w:t>D</w:t>
      </w:r>
      <w:r w:rsidR="006E772C" w:rsidRPr="002019B2">
        <w:t>, SELECT-MONOTHERAPY, RA-BUILD/JADX, RA-BEACON/JADW, and JADA).</w:t>
      </w:r>
    </w:p>
    <w:p w:rsidR="007F1017" w:rsidRPr="002019B2" w:rsidRDefault="007F1017" w:rsidP="00045017">
      <w:pPr>
        <w:rPr>
          <w:rStyle w:val="CommentReference"/>
        </w:rPr>
      </w:pPr>
      <w:r w:rsidRPr="002019B2">
        <w:rPr>
          <w:rStyle w:val="CommentReference"/>
        </w:rPr>
        <w:t xml:space="preserve">Table </w:t>
      </w:r>
      <w:r w:rsidR="000367A0" w:rsidRPr="002019B2">
        <w:rPr>
          <w:rStyle w:val="CommentReference"/>
        </w:rPr>
        <w:t>4</w:t>
      </w:r>
      <w:r w:rsidRPr="002019B2">
        <w:rPr>
          <w:rStyle w:val="CommentReference"/>
        </w:rPr>
        <w:t>: Key features of the included evidence</w:t>
      </w:r>
    </w:p>
    <w:tbl>
      <w:tblPr>
        <w:tblStyle w:val="TableGrid"/>
        <w:tblW w:w="0" w:type="auto"/>
        <w:tblCellMar>
          <w:left w:w="28" w:type="dxa"/>
          <w:right w:w="28" w:type="dxa"/>
        </w:tblCellMar>
        <w:tblLook w:val="04A0" w:firstRow="1" w:lastRow="0" w:firstColumn="1" w:lastColumn="0" w:noHBand="0" w:noVBand="1"/>
        <w:tblCaption w:val="Table 4: Key features of the included evidence"/>
      </w:tblPr>
      <w:tblGrid>
        <w:gridCol w:w="1410"/>
        <w:gridCol w:w="516"/>
        <w:gridCol w:w="1798"/>
        <w:gridCol w:w="2228"/>
        <w:gridCol w:w="545"/>
        <w:gridCol w:w="1348"/>
        <w:gridCol w:w="1172"/>
      </w:tblGrid>
      <w:tr w:rsidR="000367A0" w:rsidRPr="002019B2" w:rsidTr="007C7B54">
        <w:trPr>
          <w:tblHeader/>
        </w:trPr>
        <w:tc>
          <w:tcPr>
            <w:tcW w:w="1410" w:type="dxa"/>
            <w:shd w:val="clear" w:color="auto" w:fill="auto"/>
            <w:vAlign w:val="center"/>
          </w:tcPr>
          <w:p w:rsidR="000367A0" w:rsidRPr="002019B2" w:rsidRDefault="000367A0" w:rsidP="00252290">
            <w:pPr>
              <w:rPr>
                <w:rFonts w:ascii="Arial Narrow" w:hAnsi="Arial Narrow"/>
                <w:b/>
                <w:bCs/>
                <w:sz w:val="20"/>
                <w:szCs w:val="20"/>
              </w:rPr>
            </w:pPr>
            <w:r w:rsidRPr="002019B2">
              <w:rPr>
                <w:rFonts w:ascii="Arial Narrow" w:hAnsi="Arial Narrow"/>
                <w:b/>
                <w:bCs/>
                <w:sz w:val="20"/>
                <w:szCs w:val="20"/>
              </w:rPr>
              <w:t>Trial</w:t>
            </w:r>
          </w:p>
        </w:tc>
        <w:tc>
          <w:tcPr>
            <w:tcW w:w="516" w:type="dxa"/>
            <w:shd w:val="clear" w:color="auto" w:fill="auto"/>
            <w:vAlign w:val="center"/>
          </w:tcPr>
          <w:p w:rsidR="000367A0" w:rsidRPr="002019B2" w:rsidRDefault="000367A0" w:rsidP="00085B54">
            <w:pPr>
              <w:jc w:val="center"/>
              <w:rPr>
                <w:rFonts w:ascii="Arial Narrow" w:hAnsi="Arial Narrow"/>
                <w:b/>
                <w:bCs/>
                <w:sz w:val="20"/>
                <w:szCs w:val="20"/>
              </w:rPr>
            </w:pPr>
            <w:r w:rsidRPr="002019B2">
              <w:rPr>
                <w:rFonts w:ascii="Arial Narrow" w:hAnsi="Arial Narrow"/>
                <w:b/>
                <w:bCs/>
                <w:sz w:val="20"/>
                <w:szCs w:val="20"/>
              </w:rPr>
              <w:t>N</w:t>
            </w:r>
          </w:p>
        </w:tc>
        <w:tc>
          <w:tcPr>
            <w:tcW w:w="1798" w:type="dxa"/>
            <w:vAlign w:val="center"/>
          </w:tcPr>
          <w:p w:rsidR="000367A0" w:rsidRPr="002019B2" w:rsidRDefault="000367A0" w:rsidP="00085B54">
            <w:pPr>
              <w:jc w:val="center"/>
              <w:rPr>
                <w:rFonts w:ascii="Arial Narrow" w:hAnsi="Arial Narrow"/>
                <w:b/>
                <w:bCs/>
                <w:sz w:val="20"/>
                <w:szCs w:val="20"/>
              </w:rPr>
            </w:pPr>
            <w:r w:rsidRPr="002019B2">
              <w:rPr>
                <w:rFonts w:ascii="Arial Narrow" w:hAnsi="Arial Narrow"/>
                <w:b/>
                <w:bCs/>
                <w:sz w:val="20"/>
                <w:szCs w:val="20"/>
              </w:rPr>
              <w:t>Design / duration</w:t>
            </w:r>
          </w:p>
        </w:tc>
        <w:tc>
          <w:tcPr>
            <w:tcW w:w="2228" w:type="dxa"/>
            <w:vAlign w:val="center"/>
          </w:tcPr>
          <w:p w:rsidR="000367A0" w:rsidRPr="002019B2" w:rsidRDefault="000367A0" w:rsidP="00085B54">
            <w:pPr>
              <w:jc w:val="center"/>
              <w:rPr>
                <w:rFonts w:ascii="Arial Narrow" w:hAnsi="Arial Narrow"/>
                <w:b/>
                <w:bCs/>
                <w:sz w:val="20"/>
                <w:szCs w:val="20"/>
              </w:rPr>
            </w:pPr>
            <w:r w:rsidRPr="002019B2">
              <w:rPr>
                <w:rFonts w:ascii="Arial Narrow" w:hAnsi="Arial Narrow"/>
                <w:b/>
                <w:bCs/>
                <w:sz w:val="20"/>
                <w:szCs w:val="20"/>
              </w:rPr>
              <w:t>Relevant comparison</w:t>
            </w:r>
          </w:p>
        </w:tc>
        <w:tc>
          <w:tcPr>
            <w:tcW w:w="545" w:type="dxa"/>
            <w:vAlign w:val="center"/>
          </w:tcPr>
          <w:p w:rsidR="000367A0" w:rsidRPr="002019B2" w:rsidRDefault="00E34B84" w:rsidP="00085B54">
            <w:pPr>
              <w:jc w:val="center"/>
              <w:rPr>
                <w:rFonts w:ascii="Arial Narrow" w:hAnsi="Arial Narrow"/>
                <w:b/>
                <w:bCs/>
                <w:sz w:val="20"/>
                <w:szCs w:val="20"/>
              </w:rPr>
            </w:pPr>
            <w:r w:rsidRPr="002019B2">
              <w:rPr>
                <w:rFonts w:ascii="Arial Narrow" w:hAnsi="Arial Narrow"/>
                <w:b/>
                <w:bCs/>
                <w:sz w:val="20"/>
                <w:szCs w:val="20"/>
              </w:rPr>
              <w:t>Risk of bias</w:t>
            </w:r>
          </w:p>
        </w:tc>
        <w:tc>
          <w:tcPr>
            <w:tcW w:w="1348" w:type="dxa"/>
            <w:vAlign w:val="center"/>
          </w:tcPr>
          <w:p w:rsidR="000367A0" w:rsidRPr="002019B2" w:rsidRDefault="000367A0" w:rsidP="00085B54">
            <w:pPr>
              <w:jc w:val="center"/>
              <w:rPr>
                <w:rFonts w:ascii="Arial Narrow" w:hAnsi="Arial Narrow"/>
                <w:b/>
                <w:bCs/>
                <w:sz w:val="20"/>
                <w:szCs w:val="20"/>
              </w:rPr>
            </w:pPr>
            <w:r w:rsidRPr="002019B2">
              <w:rPr>
                <w:rFonts w:ascii="Arial Narrow" w:hAnsi="Arial Narrow"/>
                <w:b/>
                <w:bCs/>
                <w:sz w:val="20"/>
                <w:szCs w:val="20"/>
              </w:rPr>
              <w:t>Patient population</w:t>
            </w:r>
          </w:p>
        </w:tc>
        <w:tc>
          <w:tcPr>
            <w:tcW w:w="1172" w:type="dxa"/>
            <w:vAlign w:val="center"/>
          </w:tcPr>
          <w:p w:rsidR="000367A0" w:rsidRPr="002019B2" w:rsidRDefault="000367A0" w:rsidP="00085B54">
            <w:pPr>
              <w:jc w:val="center"/>
              <w:rPr>
                <w:rFonts w:ascii="Arial Narrow" w:hAnsi="Arial Narrow"/>
                <w:b/>
                <w:bCs/>
                <w:sz w:val="20"/>
                <w:szCs w:val="20"/>
              </w:rPr>
            </w:pPr>
            <w:r w:rsidRPr="002019B2">
              <w:rPr>
                <w:rFonts w:ascii="Arial Narrow" w:hAnsi="Arial Narrow"/>
                <w:b/>
                <w:bCs/>
                <w:sz w:val="20"/>
                <w:szCs w:val="20"/>
              </w:rPr>
              <w:t>Key outcomes</w:t>
            </w:r>
          </w:p>
        </w:tc>
      </w:tr>
      <w:tr w:rsidR="000367A0" w:rsidRPr="002019B2" w:rsidTr="007C7B54">
        <w:trPr>
          <w:tblHeader/>
        </w:trPr>
        <w:tc>
          <w:tcPr>
            <w:tcW w:w="9017" w:type="dxa"/>
            <w:gridSpan w:val="7"/>
            <w:vAlign w:val="center"/>
          </w:tcPr>
          <w:p w:rsidR="000367A0" w:rsidRPr="002019B2" w:rsidRDefault="000367A0" w:rsidP="00252290">
            <w:pPr>
              <w:rPr>
                <w:rFonts w:ascii="Arial Narrow" w:hAnsi="Arial Narrow"/>
                <w:sz w:val="20"/>
                <w:szCs w:val="20"/>
              </w:rPr>
            </w:pPr>
            <w:r w:rsidRPr="002019B2">
              <w:rPr>
                <w:rFonts w:ascii="Arial Narrow" w:hAnsi="Arial Narrow"/>
                <w:b/>
                <w:bCs/>
                <w:sz w:val="20"/>
                <w:szCs w:val="20"/>
              </w:rPr>
              <w:t>POPULATION: cDMARD-IR</w:t>
            </w:r>
          </w:p>
        </w:tc>
      </w:tr>
      <w:tr w:rsidR="000367A0" w:rsidRPr="002019B2" w:rsidTr="007C7B54">
        <w:trPr>
          <w:tblHeader/>
        </w:trPr>
        <w:tc>
          <w:tcPr>
            <w:tcW w:w="1410"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SELECT-COMPARE</w:t>
            </w:r>
            <w:r w:rsidRPr="002019B2">
              <w:rPr>
                <w:rFonts w:ascii="Arial Narrow" w:hAnsi="Arial Narrow"/>
                <w:sz w:val="20"/>
                <w:szCs w:val="20"/>
                <w:vertAlign w:val="superscript"/>
              </w:rPr>
              <w:t>a, b</w:t>
            </w:r>
          </w:p>
        </w:tc>
        <w:tc>
          <w:tcPr>
            <w:tcW w:w="516"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1629</w:t>
            </w:r>
          </w:p>
        </w:tc>
        <w:tc>
          <w:tcPr>
            <w:tcW w:w="1798" w:type="dxa"/>
            <w:vAlign w:val="center"/>
          </w:tcPr>
          <w:p w:rsidR="000367A0" w:rsidRPr="002019B2" w:rsidRDefault="000367A0" w:rsidP="00252290">
            <w:pPr>
              <w:jc w:val="left"/>
              <w:rPr>
                <w:rFonts w:ascii="Arial Narrow" w:hAnsi="Arial Narrow"/>
                <w:sz w:val="20"/>
                <w:szCs w:val="20"/>
                <w:vertAlign w:val="superscript"/>
              </w:rPr>
            </w:pPr>
            <w:r w:rsidRPr="002019B2">
              <w:rPr>
                <w:rFonts w:ascii="Arial Narrow" w:hAnsi="Arial Narrow"/>
                <w:sz w:val="20"/>
                <w:szCs w:val="20"/>
              </w:rPr>
              <w:t>P3,</w:t>
            </w:r>
            <w:r w:rsidR="001711C4" w:rsidRPr="002019B2">
              <w:rPr>
                <w:rFonts w:ascii="Arial Narrow" w:hAnsi="Arial Narrow"/>
                <w:sz w:val="20"/>
                <w:szCs w:val="20"/>
              </w:rPr>
              <w:t xml:space="preserve"> </w:t>
            </w:r>
            <w:r w:rsidRPr="002019B2">
              <w:rPr>
                <w:rFonts w:ascii="Arial Narrow" w:hAnsi="Arial Narrow"/>
                <w:sz w:val="20"/>
                <w:szCs w:val="20"/>
              </w:rPr>
              <w:t>MC,</w:t>
            </w:r>
            <w:r w:rsidR="001711C4" w:rsidRPr="002019B2">
              <w:rPr>
                <w:rFonts w:ascii="Arial Narrow" w:hAnsi="Arial Narrow"/>
                <w:sz w:val="20"/>
                <w:szCs w:val="20"/>
              </w:rPr>
              <w:t xml:space="preserve"> </w:t>
            </w:r>
            <w:r w:rsidRPr="002019B2">
              <w:rPr>
                <w:rFonts w:ascii="Arial Narrow" w:hAnsi="Arial Narrow"/>
                <w:sz w:val="20"/>
                <w:szCs w:val="20"/>
              </w:rPr>
              <w:t>R, DD, DB 48wk+5y extension; bDMARD rescue wk14/18/22/26</w:t>
            </w:r>
          </w:p>
        </w:tc>
        <w:tc>
          <w:tcPr>
            <w:tcW w:w="222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UPA 15mg QD+MTX,</w:t>
            </w:r>
          </w:p>
          <w:p w:rsidR="000367A0" w:rsidRPr="002019B2" w:rsidRDefault="000367A0" w:rsidP="00252290">
            <w:pPr>
              <w:rPr>
                <w:rFonts w:ascii="Arial Narrow" w:hAnsi="Arial Narrow"/>
                <w:sz w:val="20"/>
                <w:szCs w:val="20"/>
              </w:rPr>
            </w:pPr>
            <w:r w:rsidRPr="002019B2">
              <w:rPr>
                <w:rFonts w:ascii="Arial Narrow" w:hAnsi="Arial Narrow"/>
                <w:sz w:val="20"/>
                <w:szCs w:val="20"/>
              </w:rPr>
              <w:t>ADA 40mg Q2W +MTX,</w:t>
            </w:r>
          </w:p>
          <w:p w:rsidR="000367A0" w:rsidRPr="002019B2" w:rsidRDefault="000367A0" w:rsidP="00252290">
            <w:pPr>
              <w:rPr>
                <w:rFonts w:ascii="Arial Narrow" w:hAnsi="Arial Narrow"/>
                <w:sz w:val="20"/>
                <w:szCs w:val="20"/>
              </w:rPr>
            </w:pPr>
            <w:r w:rsidRPr="002019B2">
              <w:rPr>
                <w:rFonts w:ascii="Arial Narrow" w:hAnsi="Arial Narrow"/>
                <w:sz w:val="20"/>
                <w:szCs w:val="20"/>
              </w:rPr>
              <w:t>PBO+MTX,</w:t>
            </w:r>
          </w:p>
        </w:tc>
        <w:tc>
          <w:tcPr>
            <w:tcW w:w="545"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Low</w:t>
            </w:r>
          </w:p>
        </w:tc>
        <w:tc>
          <w:tcPr>
            <w:tcW w:w="134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Active RA (M-S); MTX-IR</w:t>
            </w:r>
          </w:p>
        </w:tc>
        <w:tc>
          <w:tcPr>
            <w:tcW w:w="1172"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ACR response</w:t>
            </w:r>
          </w:p>
        </w:tc>
      </w:tr>
      <w:tr w:rsidR="000367A0" w:rsidRPr="002019B2" w:rsidTr="007C7B54">
        <w:trPr>
          <w:tblHeader/>
        </w:trPr>
        <w:tc>
          <w:tcPr>
            <w:tcW w:w="1410"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SELECT-NEXT</w:t>
            </w:r>
            <w:r w:rsidRPr="002019B2">
              <w:rPr>
                <w:rFonts w:ascii="Arial Narrow" w:hAnsi="Arial Narrow"/>
                <w:sz w:val="20"/>
                <w:szCs w:val="20"/>
                <w:vertAlign w:val="superscript"/>
              </w:rPr>
              <w:t>a</w:t>
            </w:r>
          </w:p>
        </w:tc>
        <w:tc>
          <w:tcPr>
            <w:tcW w:w="516" w:type="dxa"/>
            <w:vAlign w:val="center"/>
          </w:tcPr>
          <w:p w:rsidR="000367A0" w:rsidRPr="002019B2" w:rsidRDefault="000367A0" w:rsidP="00252290">
            <w:pPr>
              <w:rPr>
                <w:rFonts w:ascii="Arial Narrow" w:hAnsi="Arial Narrow"/>
                <w:iCs/>
                <w:sz w:val="20"/>
                <w:szCs w:val="20"/>
              </w:rPr>
            </w:pPr>
            <w:r w:rsidRPr="002019B2">
              <w:rPr>
                <w:rFonts w:ascii="Arial Narrow" w:hAnsi="Arial Narrow"/>
                <w:iCs/>
                <w:sz w:val="20"/>
                <w:szCs w:val="20"/>
              </w:rPr>
              <w:t>661</w:t>
            </w:r>
          </w:p>
          <w:p w:rsidR="000367A0" w:rsidRPr="002019B2" w:rsidRDefault="000367A0" w:rsidP="00252290">
            <w:pPr>
              <w:rPr>
                <w:rFonts w:ascii="Arial Narrow" w:hAnsi="Arial Narrow"/>
                <w:iCs/>
                <w:sz w:val="20"/>
                <w:szCs w:val="20"/>
              </w:rPr>
            </w:pPr>
            <w:r w:rsidRPr="002019B2">
              <w:rPr>
                <w:rFonts w:ascii="Arial Narrow" w:hAnsi="Arial Narrow"/>
                <w:iCs/>
                <w:sz w:val="20"/>
                <w:szCs w:val="20"/>
              </w:rPr>
              <w:t>(442)</w:t>
            </w:r>
            <w:r w:rsidRPr="002019B2">
              <w:rPr>
                <w:rFonts w:ascii="Arial Narrow" w:hAnsi="Arial Narrow"/>
                <w:iCs/>
                <w:sz w:val="20"/>
                <w:szCs w:val="20"/>
                <w:vertAlign w:val="superscript"/>
              </w:rPr>
              <w:t>#</w:t>
            </w:r>
          </w:p>
        </w:tc>
        <w:tc>
          <w:tcPr>
            <w:tcW w:w="1798" w:type="dxa"/>
            <w:vAlign w:val="center"/>
          </w:tcPr>
          <w:p w:rsidR="000367A0" w:rsidRPr="002019B2" w:rsidRDefault="000367A0" w:rsidP="00252290">
            <w:pPr>
              <w:jc w:val="left"/>
              <w:rPr>
                <w:rFonts w:ascii="Arial Narrow" w:hAnsi="Arial Narrow"/>
                <w:sz w:val="20"/>
                <w:szCs w:val="20"/>
                <w:vertAlign w:val="superscript"/>
              </w:rPr>
            </w:pPr>
            <w:r w:rsidRPr="002019B2">
              <w:rPr>
                <w:rFonts w:ascii="Arial Narrow" w:hAnsi="Arial Narrow"/>
                <w:sz w:val="20"/>
                <w:szCs w:val="20"/>
              </w:rPr>
              <w:t>P3,MC,R, DB 12wk +5y extension; bDMARD rescue wk12</w:t>
            </w:r>
          </w:p>
        </w:tc>
        <w:tc>
          <w:tcPr>
            <w:tcW w:w="222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UPA 15mg QD+cDMARD,</w:t>
            </w:r>
          </w:p>
          <w:p w:rsidR="000367A0" w:rsidRPr="002019B2" w:rsidRDefault="000367A0" w:rsidP="00252290">
            <w:pPr>
              <w:rPr>
                <w:rFonts w:ascii="Arial Narrow" w:hAnsi="Arial Narrow"/>
                <w:sz w:val="20"/>
                <w:szCs w:val="20"/>
              </w:rPr>
            </w:pPr>
            <w:r w:rsidRPr="002019B2">
              <w:rPr>
                <w:rFonts w:ascii="Arial Narrow" w:hAnsi="Arial Narrow"/>
                <w:sz w:val="20"/>
                <w:szCs w:val="20"/>
              </w:rPr>
              <w:t>PBO+cDMARD</w:t>
            </w:r>
          </w:p>
        </w:tc>
        <w:tc>
          <w:tcPr>
            <w:tcW w:w="545"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Low</w:t>
            </w:r>
          </w:p>
        </w:tc>
        <w:tc>
          <w:tcPr>
            <w:tcW w:w="134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Active RA (M-S); cDMARD-IR</w:t>
            </w:r>
          </w:p>
        </w:tc>
        <w:tc>
          <w:tcPr>
            <w:tcW w:w="1172"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ACR response</w:t>
            </w:r>
          </w:p>
        </w:tc>
      </w:tr>
      <w:tr w:rsidR="000367A0" w:rsidRPr="002019B2" w:rsidTr="007C7B54">
        <w:trPr>
          <w:tblHeader/>
        </w:trPr>
        <w:tc>
          <w:tcPr>
            <w:tcW w:w="1410"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SELECT-MONOTHERAPY</w:t>
            </w:r>
          </w:p>
        </w:tc>
        <w:tc>
          <w:tcPr>
            <w:tcW w:w="516" w:type="dxa"/>
            <w:vAlign w:val="center"/>
          </w:tcPr>
          <w:p w:rsidR="000367A0" w:rsidRPr="002019B2" w:rsidRDefault="000367A0" w:rsidP="00252290">
            <w:pPr>
              <w:rPr>
                <w:rFonts w:ascii="Arial Narrow" w:hAnsi="Arial Narrow"/>
                <w:iCs/>
                <w:sz w:val="20"/>
                <w:szCs w:val="20"/>
                <w:vertAlign w:val="superscript"/>
              </w:rPr>
            </w:pPr>
            <w:r w:rsidRPr="002019B2">
              <w:rPr>
                <w:rFonts w:ascii="Arial Narrow" w:hAnsi="Arial Narrow"/>
                <w:iCs/>
                <w:sz w:val="20"/>
                <w:szCs w:val="20"/>
              </w:rPr>
              <w:t>648 (433)</w:t>
            </w:r>
            <w:r w:rsidRPr="002019B2">
              <w:rPr>
                <w:rFonts w:ascii="Arial Narrow" w:hAnsi="Arial Narrow"/>
                <w:iCs/>
                <w:sz w:val="20"/>
                <w:szCs w:val="20"/>
                <w:vertAlign w:val="superscript"/>
              </w:rPr>
              <w:t>#</w:t>
            </w:r>
          </w:p>
        </w:tc>
        <w:tc>
          <w:tcPr>
            <w:tcW w:w="1798" w:type="dxa"/>
            <w:vAlign w:val="center"/>
          </w:tcPr>
          <w:p w:rsidR="000367A0" w:rsidRPr="002019B2" w:rsidRDefault="000367A0" w:rsidP="00252290">
            <w:pPr>
              <w:jc w:val="left"/>
              <w:rPr>
                <w:rFonts w:ascii="Arial Narrow" w:hAnsi="Arial Narrow"/>
                <w:sz w:val="20"/>
                <w:szCs w:val="20"/>
                <w:vertAlign w:val="superscript"/>
              </w:rPr>
            </w:pPr>
            <w:r w:rsidRPr="002019B2">
              <w:rPr>
                <w:rFonts w:ascii="Arial Narrow" w:hAnsi="Arial Narrow"/>
                <w:sz w:val="20"/>
                <w:szCs w:val="20"/>
              </w:rPr>
              <w:t>P3,MC,R, DB 14wk +5y extension; bDMARD rescue wk14</w:t>
            </w:r>
          </w:p>
        </w:tc>
        <w:tc>
          <w:tcPr>
            <w:tcW w:w="222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UPA 15mg QD,</w:t>
            </w:r>
          </w:p>
          <w:p w:rsidR="000367A0" w:rsidRPr="002019B2" w:rsidRDefault="000367A0" w:rsidP="00252290">
            <w:pPr>
              <w:rPr>
                <w:rFonts w:ascii="Arial Narrow" w:hAnsi="Arial Narrow"/>
                <w:sz w:val="20"/>
                <w:szCs w:val="20"/>
              </w:rPr>
            </w:pPr>
            <w:r w:rsidRPr="002019B2">
              <w:rPr>
                <w:rFonts w:ascii="Arial Narrow" w:hAnsi="Arial Narrow"/>
                <w:sz w:val="20"/>
                <w:szCs w:val="20"/>
              </w:rPr>
              <w:t>MTX (alone)</w:t>
            </w:r>
          </w:p>
        </w:tc>
        <w:tc>
          <w:tcPr>
            <w:tcW w:w="545"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Low</w:t>
            </w:r>
          </w:p>
        </w:tc>
        <w:tc>
          <w:tcPr>
            <w:tcW w:w="134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Active RA (M-S); MTX-IR</w:t>
            </w:r>
          </w:p>
        </w:tc>
        <w:tc>
          <w:tcPr>
            <w:tcW w:w="1172"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ACR response</w:t>
            </w:r>
          </w:p>
        </w:tc>
      </w:tr>
      <w:tr w:rsidR="000367A0" w:rsidRPr="002019B2" w:rsidTr="007C7B54">
        <w:trPr>
          <w:tblHeader/>
        </w:trPr>
        <w:tc>
          <w:tcPr>
            <w:tcW w:w="1410"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RA-BEAM/ JADV</w:t>
            </w:r>
            <w:r w:rsidRPr="002019B2">
              <w:rPr>
                <w:rFonts w:ascii="Arial Narrow" w:hAnsi="Arial Narrow"/>
                <w:sz w:val="20"/>
                <w:szCs w:val="20"/>
                <w:vertAlign w:val="superscript"/>
              </w:rPr>
              <w:t>c</w:t>
            </w:r>
          </w:p>
        </w:tc>
        <w:tc>
          <w:tcPr>
            <w:tcW w:w="516" w:type="dxa"/>
            <w:vAlign w:val="center"/>
          </w:tcPr>
          <w:p w:rsidR="000367A0" w:rsidRPr="002019B2" w:rsidRDefault="000367A0" w:rsidP="00252290">
            <w:pPr>
              <w:rPr>
                <w:rFonts w:ascii="Arial Narrow" w:hAnsi="Arial Narrow"/>
                <w:iCs/>
                <w:sz w:val="20"/>
                <w:szCs w:val="20"/>
              </w:rPr>
            </w:pPr>
            <w:r w:rsidRPr="002019B2">
              <w:rPr>
                <w:rFonts w:ascii="Arial Narrow" w:hAnsi="Arial Narrow"/>
                <w:iCs/>
                <w:sz w:val="20"/>
                <w:szCs w:val="20"/>
              </w:rPr>
              <w:t>1305</w:t>
            </w:r>
          </w:p>
        </w:tc>
        <w:tc>
          <w:tcPr>
            <w:tcW w:w="1798" w:type="dxa"/>
            <w:vAlign w:val="center"/>
          </w:tcPr>
          <w:p w:rsidR="000367A0" w:rsidRPr="002019B2" w:rsidRDefault="000367A0" w:rsidP="00252290">
            <w:pPr>
              <w:jc w:val="left"/>
              <w:rPr>
                <w:rFonts w:ascii="Arial Narrow" w:hAnsi="Arial Narrow"/>
                <w:sz w:val="20"/>
                <w:szCs w:val="20"/>
              </w:rPr>
            </w:pPr>
            <w:r w:rsidRPr="002019B2">
              <w:rPr>
                <w:rFonts w:ascii="Arial Narrow" w:hAnsi="Arial Narrow"/>
                <w:sz w:val="20"/>
                <w:szCs w:val="20"/>
              </w:rPr>
              <w:t>P3,MC,R, DD, DB 52wk; bDMARD rescue wk14/16 (after that at physician’s discretion)</w:t>
            </w:r>
          </w:p>
        </w:tc>
        <w:tc>
          <w:tcPr>
            <w:tcW w:w="222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BARI 4mg QD+cDMARD,</w:t>
            </w:r>
          </w:p>
          <w:p w:rsidR="000367A0" w:rsidRPr="002019B2" w:rsidRDefault="000367A0" w:rsidP="00252290">
            <w:pPr>
              <w:rPr>
                <w:rFonts w:ascii="Arial Narrow" w:hAnsi="Arial Narrow"/>
                <w:sz w:val="20"/>
                <w:szCs w:val="20"/>
              </w:rPr>
            </w:pPr>
            <w:r w:rsidRPr="002019B2">
              <w:rPr>
                <w:rFonts w:ascii="Arial Narrow" w:hAnsi="Arial Narrow"/>
                <w:sz w:val="20"/>
                <w:szCs w:val="20"/>
              </w:rPr>
              <w:t>ADA 40mg Q2W+cDMARD,</w:t>
            </w:r>
          </w:p>
          <w:p w:rsidR="000367A0" w:rsidRPr="002019B2" w:rsidRDefault="000367A0" w:rsidP="00252290">
            <w:pPr>
              <w:rPr>
                <w:rFonts w:ascii="Arial Narrow" w:hAnsi="Arial Narrow"/>
                <w:sz w:val="20"/>
                <w:szCs w:val="20"/>
              </w:rPr>
            </w:pPr>
            <w:r w:rsidRPr="002019B2">
              <w:rPr>
                <w:rFonts w:ascii="Arial Narrow" w:hAnsi="Arial Narrow"/>
                <w:sz w:val="20"/>
                <w:szCs w:val="20"/>
              </w:rPr>
              <w:t>PBO+cDMARD,</w:t>
            </w:r>
          </w:p>
        </w:tc>
        <w:tc>
          <w:tcPr>
            <w:tcW w:w="545"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Low</w:t>
            </w:r>
          </w:p>
        </w:tc>
        <w:tc>
          <w:tcPr>
            <w:tcW w:w="134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Active RA (M-S); MTX-IR</w:t>
            </w:r>
          </w:p>
        </w:tc>
        <w:tc>
          <w:tcPr>
            <w:tcW w:w="1172"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ACR response</w:t>
            </w:r>
          </w:p>
        </w:tc>
      </w:tr>
      <w:tr w:rsidR="000367A0" w:rsidRPr="002019B2" w:rsidTr="007C7B54">
        <w:trPr>
          <w:tblHeader/>
        </w:trPr>
        <w:tc>
          <w:tcPr>
            <w:tcW w:w="1410"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RA-BUILD/ JADX</w:t>
            </w:r>
          </w:p>
        </w:tc>
        <w:tc>
          <w:tcPr>
            <w:tcW w:w="516"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684 (</w:t>
            </w:r>
            <w:r w:rsidRPr="002019B2">
              <w:rPr>
                <w:rFonts w:ascii="Arial Narrow" w:hAnsi="Arial Narrow"/>
                <w:iCs/>
                <w:sz w:val="20"/>
                <w:szCs w:val="20"/>
              </w:rPr>
              <w:t>455)^</w:t>
            </w:r>
          </w:p>
        </w:tc>
        <w:tc>
          <w:tcPr>
            <w:tcW w:w="1798" w:type="dxa"/>
            <w:vAlign w:val="center"/>
          </w:tcPr>
          <w:p w:rsidR="000367A0" w:rsidRPr="002019B2" w:rsidRDefault="000367A0" w:rsidP="00252290">
            <w:pPr>
              <w:jc w:val="left"/>
              <w:rPr>
                <w:rFonts w:ascii="Arial Narrow" w:hAnsi="Arial Narrow"/>
                <w:sz w:val="20"/>
                <w:szCs w:val="20"/>
              </w:rPr>
            </w:pPr>
            <w:r w:rsidRPr="002019B2">
              <w:rPr>
                <w:rFonts w:ascii="Arial Narrow" w:hAnsi="Arial Narrow"/>
                <w:sz w:val="20"/>
                <w:szCs w:val="20"/>
              </w:rPr>
              <w:t>P3,MC,R, DB 24wk; bDMARD rescue after wk16 at physician’s discretion</w:t>
            </w:r>
          </w:p>
        </w:tc>
        <w:tc>
          <w:tcPr>
            <w:tcW w:w="222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BARI 4mg QD+cDMARD,</w:t>
            </w:r>
          </w:p>
          <w:p w:rsidR="000367A0" w:rsidRPr="002019B2" w:rsidRDefault="000367A0" w:rsidP="00252290">
            <w:pPr>
              <w:rPr>
                <w:rFonts w:ascii="Arial Narrow" w:hAnsi="Arial Narrow"/>
                <w:sz w:val="20"/>
                <w:szCs w:val="20"/>
              </w:rPr>
            </w:pPr>
            <w:r w:rsidRPr="002019B2">
              <w:rPr>
                <w:rFonts w:ascii="Arial Narrow" w:hAnsi="Arial Narrow"/>
                <w:sz w:val="20"/>
                <w:szCs w:val="20"/>
              </w:rPr>
              <w:t xml:space="preserve"> PBO+cDMARD,</w:t>
            </w:r>
          </w:p>
        </w:tc>
        <w:tc>
          <w:tcPr>
            <w:tcW w:w="545"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Low</w:t>
            </w:r>
          </w:p>
        </w:tc>
        <w:tc>
          <w:tcPr>
            <w:tcW w:w="134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Active RA (M-S); cDMARD-IR</w:t>
            </w:r>
          </w:p>
        </w:tc>
        <w:tc>
          <w:tcPr>
            <w:tcW w:w="1172"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ACR response</w:t>
            </w:r>
          </w:p>
        </w:tc>
      </w:tr>
      <w:tr w:rsidR="000367A0" w:rsidRPr="002019B2" w:rsidTr="007C7B54">
        <w:trPr>
          <w:tblHeader/>
        </w:trPr>
        <w:tc>
          <w:tcPr>
            <w:tcW w:w="1410"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JADA</w:t>
            </w:r>
            <w:r w:rsidRPr="002019B2">
              <w:rPr>
                <w:rFonts w:ascii="Arial Narrow" w:hAnsi="Arial Narrow"/>
                <w:sz w:val="20"/>
                <w:szCs w:val="20"/>
                <w:vertAlign w:val="superscript"/>
              </w:rPr>
              <w:t>d</w:t>
            </w:r>
          </w:p>
        </w:tc>
        <w:tc>
          <w:tcPr>
            <w:tcW w:w="516"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301 (</w:t>
            </w:r>
            <w:r w:rsidRPr="002019B2">
              <w:rPr>
                <w:rFonts w:ascii="Arial Narrow" w:hAnsi="Arial Narrow"/>
                <w:iCs/>
                <w:sz w:val="20"/>
                <w:szCs w:val="20"/>
              </w:rPr>
              <w:t>150)*</w:t>
            </w:r>
          </w:p>
        </w:tc>
        <w:tc>
          <w:tcPr>
            <w:tcW w:w="1798" w:type="dxa"/>
            <w:vAlign w:val="center"/>
          </w:tcPr>
          <w:p w:rsidR="000367A0" w:rsidRPr="002019B2" w:rsidRDefault="000367A0" w:rsidP="00252290">
            <w:pPr>
              <w:jc w:val="left"/>
              <w:rPr>
                <w:rFonts w:ascii="Arial Narrow" w:hAnsi="Arial Narrow"/>
                <w:sz w:val="20"/>
                <w:szCs w:val="20"/>
              </w:rPr>
            </w:pPr>
            <w:r w:rsidRPr="002019B2">
              <w:rPr>
                <w:rFonts w:ascii="Arial Narrow" w:hAnsi="Arial Narrow"/>
                <w:sz w:val="20"/>
                <w:szCs w:val="20"/>
              </w:rPr>
              <w:t>P3,MC,R, DB 12wk</w:t>
            </w:r>
          </w:p>
        </w:tc>
        <w:tc>
          <w:tcPr>
            <w:tcW w:w="222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BARI 4mg QD+cDMARD,</w:t>
            </w:r>
          </w:p>
          <w:p w:rsidR="000367A0" w:rsidRPr="002019B2" w:rsidRDefault="000367A0" w:rsidP="00252290">
            <w:pPr>
              <w:rPr>
                <w:rFonts w:ascii="Arial Narrow" w:hAnsi="Arial Narrow"/>
                <w:sz w:val="20"/>
                <w:szCs w:val="20"/>
              </w:rPr>
            </w:pPr>
            <w:r w:rsidRPr="002019B2">
              <w:rPr>
                <w:rFonts w:ascii="Arial Narrow" w:hAnsi="Arial Narrow"/>
                <w:sz w:val="20"/>
                <w:szCs w:val="20"/>
              </w:rPr>
              <w:t>PBO+cDMARD,</w:t>
            </w:r>
          </w:p>
        </w:tc>
        <w:tc>
          <w:tcPr>
            <w:tcW w:w="545"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Low</w:t>
            </w:r>
          </w:p>
        </w:tc>
        <w:tc>
          <w:tcPr>
            <w:tcW w:w="134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Active RA (M-S); MTX-IR</w:t>
            </w:r>
          </w:p>
        </w:tc>
        <w:tc>
          <w:tcPr>
            <w:tcW w:w="1172"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ACR response</w:t>
            </w:r>
          </w:p>
        </w:tc>
      </w:tr>
      <w:tr w:rsidR="000367A0" w:rsidRPr="002019B2" w:rsidTr="007C7B54">
        <w:trPr>
          <w:tblHeader/>
        </w:trPr>
        <w:tc>
          <w:tcPr>
            <w:tcW w:w="9017" w:type="dxa"/>
            <w:gridSpan w:val="7"/>
            <w:vAlign w:val="center"/>
          </w:tcPr>
          <w:p w:rsidR="000367A0" w:rsidRPr="002019B2" w:rsidRDefault="000367A0" w:rsidP="00252290">
            <w:pPr>
              <w:jc w:val="left"/>
              <w:rPr>
                <w:rFonts w:ascii="Arial Narrow" w:hAnsi="Arial Narrow"/>
                <w:sz w:val="20"/>
                <w:szCs w:val="20"/>
              </w:rPr>
            </w:pPr>
            <w:r w:rsidRPr="002019B2">
              <w:rPr>
                <w:rFonts w:ascii="Arial Narrow" w:hAnsi="Arial Narrow"/>
                <w:b/>
                <w:bCs/>
                <w:sz w:val="20"/>
                <w:szCs w:val="20"/>
              </w:rPr>
              <w:t>POPULATION: bDMARD-IR</w:t>
            </w:r>
          </w:p>
        </w:tc>
      </w:tr>
      <w:tr w:rsidR="000367A0" w:rsidRPr="002019B2" w:rsidTr="007C7B54">
        <w:trPr>
          <w:tblHeader/>
        </w:trPr>
        <w:tc>
          <w:tcPr>
            <w:tcW w:w="1410"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SELECT-BEYOND</w:t>
            </w:r>
          </w:p>
        </w:tc>
        <w:tc>
          <w:tcPr>
            <w:tcW w:w="516" w:type="dxa"/>
            <w:vAlign w:val="center"/>
          </w:tcPr>
          <w:p w:rsidR="000367A0" w:rsidRPr="002019B2" w:rsidRDefault="000367A0" w:rsidP="00252290">
            <w:pPr>
              <w:rPr>
                <w:rFonts w:ascii="Arial Narrow" w:hAnsi="Arial Narrow"/>
                <w:iCs/>
                <w:sz w:val="20"/>
                <w:szCs w:val="20"/>
                <w:vertAlign w:val="superscript"/>
              </w:rPr>
            </w:pPr>
            <w:r w:rsidRPr="002019B2">
              <w:rPr>
                <w:rFonts w:ascii="Arial Narrow" w:hAnsi="Arial Narrow"/>
                <w:iCs/>
                <w:sz w:val="20"/>
                <w:szCs w:val="20"/>
              </w:rPr>
              <w:t>499 (333)</w:t>
            </w:r>
            <w:r w:rsidRPr="002019B2">
              <w:rPr>
                <w:rFonts w:ascii="Arial Narrow" w:hAnsi="Arial Narrow"/>
                <w:iCs/>
                <w:sz w:val="20"/>
                <w:szCs w:val="20"/>
                <w:vertAlign w:val="superscript"/>
              </w:rPr>
              <w:t>#</w:t>
            </w:r>
          </w:p>
        </w:tc>
        <w:tc>
          <w:tcPr>
            <w:tcW w:w="1798" w:type="dxa"/>
            <w:vAlign w:val="center"/>
          </w:tcPr>
          <w:p w:rsidR="000367A0" w:rsidRPr="002019B2" w:rsidRDefault="000367A0" w:rsidP="00252290">
            <w:pPr>
              <w:jc w:val="left"/>
              <w:rPr>
                <w:rFonts w:ascii="Arial Narrow" w:hAnsi="Arial Narrow"/>
                <w:sz w:val="20"/>
                <w:szCs w:val="20"/>
                <w:vertAlign w:val="superscript"/>
              </w:rPr>
            </w:pPr>
            <w:r w:rsidRPr="002019B2">
              <w:rPr>
                <w:rFonts w:ascii="Arial Narrow" w:hAnsi="Arial Narrow"/>
                <w:sz w:val="20"/>
                <w:szCs w:val="20"/>
              </w:rPr>
              <w:t>P3,MC,R, DB 12wk +5y extension</w:t>
            </w:r>
          </w:p>
        </w:tc>
        <w:tc>
          <w:tcPr>
            <w:tcW w:w="222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UPA 15mg QD+cDMARD,</w:t>
            </w:r>
          </w:p>
          <w:p w:rsidR="000367A0" w:rsidRPr="002019B2" w:rsidRDefault="000367A0" w:rsidP="00252290">
            <w:pPr>
              <w:rPr>
                <w:rFonts w:ascii="Arial Narrow" w:hAnsi="Arial Narrow"/>
                <w:sz w:val="20"/>
                <w:szCs w:val="20"/>
              </w:rPr>
            </w:pPr>
            <w:r w:rsidRPr="002019B2">
              <w:rPr>
                <w:rFonts w:ascii="Arial Narrow" w:hAnsi="Arial Narrow"/>
                <w:sz w:val="20"/>
                <w:szCs w:val="20"/>
              </w:rPr>
              <w:t>PBO+cDMARD</w:t>
            </w:r>
          </w:p>
        </w:tc>
        <w:tc>
          <w:tcPr>
            <w:tcW w:w="545" w:type="dxa"/>
          </w:tcPr>
          <w:p w:rsidR="000367A0" w:rsidRPr="002019B2" w:rsidRDefault="000367A0" w:rsidP="00252290">
            <w:pPr>
              <w:rPr>
                <w:rFonts w:ascii="Arial Narrow" w:hAnsi="Arial Narrow"/>
                <w:sz w:val="20"/>
                <w:szCs w:val="20"/>
              </w:rPr>
            </w:pPr>
            <w:r w:rsidRPr="002019B2">
              <w:rPr>
                <w:rFonts w:ascii="Arial Narrow" w:hAnsi="Arial Narrow"/>
                <w:sz w:val="20"/>
                <w:szCs w:val="20"/>
              </w:rPr>
              <w:t>Low</w:t>
            </w:r>
          </w:p>
        </w:tc>
        <w:tc>
          <w:tcPr>
            <w:tcW w:w="134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Active RA (M-S); bDMARD-IR</w:t>
            </w:r>
          </w:p>
        </w:tc>
        <w:tc>
          <w:tcPr>
            <w:tcW w:w="1172" w:type="dxa"/>
            <w:vAlign w:val="center"/>
          </w:tcPr>
          <w:p w:rsidR="000367A0" w:rsidRPr="002019B2" w:rsidRDefault="000367A0" w:rsidP="00252290">
            <w:pPr>
              <w:jc w:val="center"/>
              <w:rPr>
                <w:rFonts w:ascii="Arial Narrow" w:hAnsi="Arial Narrow"/>
                <w:sz w:val="20"/>
                <w:szCs w:val="20"/>
              </w:rPr>
            </w:pPr>
            <w:r w:rsidRPr="002019B2">
              <w:rPr>
                <w:rFonts w:ascii="Arial Narrow" w:hAnsi="Arial Narrow"/>
                <w:sz w:val="20"/>
                <w:szCs w:val="20"/>
              </w:rPr>
              <w:t>ACR response</w:t>
            </w:r>
          </w:p>
        </w:tc>
      </w:tr>
      <w:tr w:rsidR="000367A0" w:rsidRPr="002019B2" w:rsidTr="007C7B54">
        <w:trPr>
          <w:tblHeader/>
        </w:trPr>
        <w:tc>
          <w:tcPr>
            <w:tcW w:w="1410"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RA-BEACON/JADW</w:t>
            </w:r>
          </w:p>
        </w:tc>
        <w:tc>
          <w:tcPr>
            <w:tcW w:w="516"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527 (</w:t>
            </w:r>
            <w:r w:rsidRPr="002019B2">
              <w:rPr>
                <w:rFonts w:ascii="Arial Narrow" w:hAnsi="Arial Narrow"/>
                <w:iCs/>
                <w:sz w:val="20"/>
                <w:szCs w:val="20"/>
              </w:rPr>
              <w:t>353)^</w:t>
            </w:r>
          </w:p>
        </w:tc>
        <w:tc>
          <w:tcPr>
            <w:tcW w:w="1798" w:type="dxa"/>
            <w:vAlign w:val="center"/>
          </w:tcPr>
          <w:p w:rsidR="000367A0" w:rsidRPr="002019B2" w:rsidRDefault="000367A0" w:rsidP="00252290">
            <w:pPr>
              <w:jc w:val="left"/>
              <w:rPr>
                <w:rFonts w:ascii="Arial Narrow" w:hAnsi="Arial Narrow"/>
                <w:sz w:val="20"/>
                <w:szCs w:val="20"/>
              </w:rPr>
            </w:pPr>
            <w:r w:rsidRPr="002019B2">
              <w:rPr>
                <w:rFonts w:ascii="Arial Narrow" w:hAnsi="Arial Narrow"/>
                <w:sz w:val="20"/>
                <w:szCs w:val="20"/>
              </w:rPr>
              <w:t>P3,MC,R, DB 24wk; bDMARD rescue after wk16 at physician’s discretion</w:t>
            </w:r>
          </w:p>
        </w:tc>
        <w:tc>
          <w:tcPr>
            <w:tcW w:w="222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BARI 4mg QD+cDMARD,</w:t>
            </w:r>
          </w:p>
          <w:p w:rsidR="000367A0" w:rsidRPr="002019B2" w:rsidRDefault="000367A0" w:rsidP="00252290">
            <w:pPr>
              <w:rPr>
                <w:rFonts w:ascii="Arial Narrow" w:hAnsi="Arial Narrow"/>
                <w:sz w:val="20"/>
                <w:szCs w:val="20"/>
              </w:rPr>
            </w:pPr>
            <w:r w:rsidRPr="002019B2">
              <w:rPr>
                <w:rFonts w:ascii="Arial Narrow" w:hAnsi="Arial Narrow"/>
                <w:sz w:val="20"/>
                <w:szCs w:val="20"/>
              </w:rPr>
              <w:t>PBO+cDMARD</w:t>
            </w:r>
          </w:p>
        </w:tc>
        <w:tc>
          <w:tcPr>
            <w:tcW w:w="545" w:type="dxa"/>
          </w:tcPr>
          <w:p w:rsidR="000367A0" w:rsidRPr="002019B2" w:rsidRDefault="000367A0" w:rsidP="00252290">
            <w:pPr>
              <w:rPr>
                <w:rFonts w:ascii="Arial Narrow" w:hAnsi="Arial Narrow"/>
                <w:sz w:val="20"/>
                <w:szCs w:val="20"/>
              </w:rPr>
            </w:pPr>
            <w:r w:rsidRPr="002019B2">
              <w:rPr>
                <w:rFonts w:ascii="Arial Narrow" w:hAnsi="Arial Narrow"/>
                <w:sz w:val="20"/>
                <w:szCs w:val="20"/>
              </w:rPr>
              <w:t>Low</w:t>
            </w:r>
          </w:p>
        </w:tc>
        <w:tc>
          <w:tcPr>
            <w:tcW w:w="1348" w:type="dxa"/>
            <w:vAlign w:val="center"/>
          </w:tcPr>
          <w:p w:rsidR="000367A0" w:rsidRPr="002019B2" w:rsidRDefault="000367A0" w:rsidP="00252290">
            <w:pPr>
              <w:rPr>
                <w:rFonts w:ascii="Arial Narrow" w:hAnsi="Arial Narrow"/>
                <w:sz w:val="20"/>
                <w:szCs w:val="20"/>
              </w:rPr>
            </w:pPr>
            <w:r w:rsidRPr="002019B2">
              <w:rPr>
                <w:rFonts w:ascii="Arial Narrow" w:hAnsi="Arial Narrow"/>
                <w:sz w:val="20"/>
                <w:szCs w:val="20"/>
              </w:rPr>
              <w:t>Active RA (M-S); bDMARD-IR</w:t>
            </w:r>
          </w:p>
        </w:tc>
        <w:tc>
          <w:tcPr>
            <w:tcW w:w="1172" w:type="dxa"/>
            <w:vAlign w:val="center"/>
          </w:tcPr>
          <w:p w:rsidR="000367A0" w:rsidRPr="002019B2" w:rsidRDefault="000367A0" w:rsidP="00252290">
            <w:pPr>
              <w:jc w:val="center"/>
              <w:rPr>
                <w:rFonts w:ascii="Arial Narrow" w:hAnsi="Arial Narrow"/>
                <w:sz w:val="20"/>
                <w:szCs w:val="20"/>
              </w:rPr>
            </w:pPr>
            <w:r w:rsidRPr="002019B2">
              <w:rPr>
                <w:rFonts w:ascii="Arial Narrow" w:hAnsi="Arial Narrow"/>
                <w:sz w:val="20"/>
                <w:szCs w:val="20"/>
              </w:rPr>
              <w:t>ACR response</w:t>
            </w:r>
          </w:p>
        </w:tc>
      </w:tr>
    </w:tbl>
    <w:p w:rsidR="001711C4" w:rsidRPr="002019B2" w:rsidRDefault="001711C4" w:rsidP="001711C4">
      <w:pPr>
        <w:pStyle w:val="TableFooter"/>
        <w:tabs>
          <w:tab w:val="left" w:pos="142"/>
        </w:tabs>
      </w:pPr>
      <w:r w:rsidRPr="002019B2">
        <w:rPr>
          <w:vertAlign w:val="superscript"/>
        </w:rPr>
        <w:t>a</w:t>
      </w:r>
      <w:r w:rsidRPr="002019B2">
        <w:rPr>
          <w:vertAlign w:val="superscript"/>
        </w:rPr>
        <w:tab/>
      </w:r>
      <w:r w:rsidRPr="002019B2">
        <w:t xml:space="preserve">Allowed prior exposure to one </w:t>
      </w:r>
      <w:r w:rsidR="002B1D13" w:rsidRPr="002019B2">
        <w:t>bDMARDs</w:t>
      </w:r>
      <w:r w:rsidRPr="002019B2">
        <w:t xml:space="preserve"> in up to 20% of patients</w:t>
      </w:r>
    </w:p>
    <w:p w:rsidR="001711C4" w:rsidRPr="002019B2" w:rsidRDefault="001711C4" w:rsidP="001711C4">
      <w:pPr>
        <w:pStyle w:val="TableFooter"/>
        <w:tabs>
          <w:tab w:val="left" w:pos="142"/>
        </w:tabs>
      </w:pPr>
      <w:r w:rsidRPr="002019B2">
        <w:rPr>
          <w:vertAlign w:val="superscript"/>
        </w:rPr>
        <w:t>b</w:t>
      </w:r>
      <w:r w:rsidRPr="002019B2">
        <w:tab/>
        <w:t>26 wks PBO-controlled and 48-wks ADA-controlled.</w:t>
      </w:r>
    </w:p>
    <w:p w:rsidR="001711C4" w:rsidRPr="002019B2" w:rsidRDefault="001711C4" w:rsidP="001711C4">
      <w:pPr>
        <w:pStyle w:val="TableFooter"/>
        <w:tabs>
          <w:tab w:val="left" w:pos="142"/>
        </w:tabs>
      </w:pPr>
      <w:r w:rsidRPr="002019B2">
        <w:rPr>
          <w:vertAlign w:val="superscript"/>
        </w:rPr>
        <w:t>c</w:t>
      </w:r>
      <w:r w:rsidRPr="002019B2">
        <w:tab/>
        <w:t xml:space="preserve">At week 24, patients in the PBO group were blindly switched to BARI </w:t>
      </w:r>
    </w:p>
    <w:p w:rsidR="001711C4" w:rsidRPr="002019B2" w:rsidRDefault="001711C4" w:rsidP="001711C4">
      <w:pPr>
        <w:pStyle w:val="TableFooter"/>
        <w:tabs>
          <w:tab w:val="left" w:pos="142"/>
        </w:tabs>
      </w:pPr>
      <w:r w:rsidRPr="002019B2">
        <w:rPr>
          <w:vertAlign w:val="superscript"/>
        </w:rPr>
        <w:t>d</w:t>
      </w:r>
      <w:r w:rsidRPr="002019B2">
        <w:tab/>
        <w:t>Patients were randomised to BARI 1, 2, 4, 8 mg or PBO, then re-randomised at wk12 for another 12 weeks to BARI 2, 4mg or PBO</w:t>
      </w:r>
    </w:p>
    <w:p w:rsidR="001711C4" w:rsidRPr="002019B2" w:rsidRDefault="001711C4" w:rsidP="001711C4">
      <w:pPr>
        <w:pStyle w:val="TableFooter"/>
        <w:tabs>
          <w:tab w:val="left" w:pos="142"/>
        </w:tabs>
      </w:pPr>
      <w:r w:rsidRPr="002019B2">
        <w:t>#</w:t>
      </w:r>
      <w:r w:rsidRPr="002019B2">
        <w:tab/>
        <w:t>excluding patients randomised to UPA 30mg regimen</w:t>
      </w:r>
    </w:p>
    <w:p w:rsidR="001711C4" w:rsidRPr="002019B2" w:rsidRDefault="001711C4" w:rsidP="001711C4">
      <w:pPr>
        <w:pStyle w:val="TableFooter"/>
        <w:tabs>
          <w:tab w:val="left" w:pos="142"/>
        </w:tabs>
      </w:pPr>
      <w:r w:rsidRPr="002019B2">
        <w:t>^</w:t>
      </w:r>
      <w:r w:rsidRPr="002019B2">
        <w:tab/>
        <w:t>excluding patients randomised to BARI 2mg regimen</w:t>
      </w:r>
    </w:p>
    <w:p w:rsidR="001711C4" w:rsidRPr="002019B2" w:rsidRDefault="001711C4" w:rsidP="001711C4">
      <w:pPr>
        <w:pStyle w:val="TableFooter"/>
        <w:tabs>
          <w:tab w:val="left" w:pos="142"/>
        </w:tabs>
      </w:pPr>
      <w:r w:rsidRPr="002019B2">
        <w:t>*</w:t>
      </w:r>
      <w:r w:rsidRPr="002019B2">
        <w:tab/>
        <w:t>excluding patients randomised to BARI 1mg, 2mg and 8mg regimens</w:t>
      </w:r>
    </w:p>
    <w:p w:rsidR="001711C4" w:rsidRPr="002019B2" w:rsidRDefault="001711C4" w:rsidP="001711C4">
      <w:pPr>
        <w:pStyle w:val="TableFooter"/>
      </w:pPr>
      <w:r w:rsidRPr="002019B2">
        <w:t xml:space="preserve">Abbreviations: ACR=American College of Rheumatology response criteria; ADA=adalimumab; bDMARD=biologic disease modifying anti-rheumatic drug; cDMARD=conventional disease-modifying anti-rheumatic drug; DB=double blind; DD=double dummy; IR=inadequate response MC=multicentre; MTX=methotrexate; OL=open label; P=phase; PBO=placebo; QD=once daily; R=randomised; RA (M-S)=rheumatoid arthritis (moderate to severe); wk=week; y=year </w:t>
      </w:r>
    </w:p>
    <w:p w:rsidR="001711C4" w:rsidRPr="002019B2" w:rsidRDefault="001711C4" w:rsidP="001711C4">
      <w:pPr>
        <w:pStyle w:val="TableFooter"/>
      </w:pPr>
      <w:r w:rsidRPr="002019B2">
        <w:t>Source: Table 2.5, pp47-51</w:t>
      </w:r>
      <w:r w:rsidR="006E21BE" w:rsidRPr="002019B2">
        <w:t xml:space="preserve"> of the submission</w:t>
      </w:r>
      <w:r w:rsidRPr="002019B2">
        <w:t>, and trial publications.</w:t>
      </w:r>
    </w:p>
    <w:p w:rsidR="000367A0" w:rsidRPr="002019B2" w:rsidRDefault="000367A0" w:rsidP="00045017">
      <w:pPr>
        <w:rPr>
          <w:rStyle w:val="CommentReference"/>
        </w:rPr>
      </w:pPr>
    </w:p>
    <w:p w:rsidR="0024601E" w:rsidRPr="002019B2" w:rsidRDefault="002E2D0B" w:rsidP="00123D0F">
      <w:pPr>
        <w:pStyle w:val="ListParagraph"/>
        <w:widowControl/>
        <w:numPr>
          <w:ilvl w:val="1"/>
          <w:numId w:val="9"/>
        </w:numPr>
        <w:spacing w:after="120"/>
        <w:ind w:left="720" w:hanging="720"/>
      </w:pPr>
      <w:r w:rsidRPr="002019B2">
        <w:t xml:space="preserve">All trials were phase 3, multicentre, randomised, </w:t>
      </w:r>
      <w:r w:rsidR="00802C10" w:rsidRPr="002019B2">
        <w:t>PBO</w:t>
      </w:r>
      <w:r w:rsidRPr="002019B2">
        <w:t xml:space="preserve"> or </w:t>
      </w:r>
      <w:r w:rsidR="00802C10" w:rsidRPr="002019B2">
        <w:t>ADA</w:t>
      </w:r>
      <w:r w:rsidRPr="002019B2">
        <w:t xml:space="preserve"> controlled, with a double-blind phase of at least 12 weeks</w:t>
      </w:r>
      <w:r w:rsidR="00D155B5" w:rsidRPr="002019B2">
        <w:t xml:space="preserve">; and enrolled </w:t>
      </w:r>
      <w:r w:rsidR="001D43A4" w:rsidRPr="002019B2">
        <w:t>adults with moderate to severe RA</w:t>
      </w:r>
      <w:r w:rsidR="006836C5" w:rsidRPr="002019B2">
        <w:t xml:space="preserve"> </w:t>
      </w:r>
      <w:r w:rsidR="00D155B5" w:rsidRPr="002019B2">
        <w:t xml:space="preserve">without prior exposure to </w:t>
      </w:r>
      <w:r w:rsidR="006836C5" w:rsidRPr="002019B2">
        <w:t>JAK inhibitor</w:t>
      </w:r>
      <w:r w:rsidR="00D155B5" w:rsidRPr="002019B2">
        <w:t>s</w:t>
      </w:r>
      <w:r w:rsidR="001D43A4" w:rsidRPr="002019B2">
        <w:t xml:space="preserve">. </w:t>
      </w:r>
      <w:r w:rsidR="00D155B5" w:rsidRPr="002019B2">
        <w:t xml:space="preserve">The selection criteria were similar across the trials, requiring patients to have </w:t>
      </w:r>
      <w:r w:rsidR="0024601E" w:rsidRPr="002019B2">
        <w:t>≥ 6</w:t>
      </w:r>
      <w:r w:rsidR="00D155B5" w:rsidRPr="002019B2">
        <w:t xml:space="preserve"> or 8</w:t>
      </w:r>
      <w:r w:rsidR="0024601E" w:rsidRPr="002019B2">
        <w:t xml:space="preserve"> swollen joints (based on 66 joint counts)</w:t>
      </w:r>
      <w:r w:rsidR="00D155B5" w:rsidRPr="002019B2">
        <w:t>,</w:t>
      </w:r>
      <w:r w:rsidR="0024601E" w:rsidRPr="002019B2">
        <w:t xml:space="preserve"> </w:t>
      </w:r>
      <w:r w:rsidR="0024601E" w:rsidRPr="002019B2">
        <w:lastRenderedPageBreak/>
        <w:t xml:space="preserve">≥ 6 </w:t>
      </w:r>
      <w:r w:rsidR="00D155B5" w:rsidRPr="002019B2">
        <w:t xml:space="preserve">or 8 </w:t>
      </w:r>
      <w:r w:rsidR="0024601E" w:rsidRPr="002019B2">
        <w:t xml:space="preserve">tender joints (based on 68 joint counts), </w:t>
      </w:r>
      <w:r w:rsidR="00D155B5" w:rsidRPr="002019B2">
        <w:t xml:space="preserve">and </w:t>
      </w:r>
      <w:r w:rsidR="0024601E" w:rsidRPr="002019B2">
        <w:t>high-sensitivity C-reactive protein ≥ 3 mg/L</w:t>
      </w:r>
      <w:r w:rsidR="006E22FC" w:rsidRPr="002019B2">
        <w:t xml:space="preserve"> to </w:t>
      </w:r>
      <w:r w:rsidR="00D155B5" w:rsidRPr="002019B2">
        <w:t xml:space="preserve">≥ </w:t>
      </w:r>
      <w:r w:rsidR="006E22FC" w:rsidRPr="002019B2">
        <w:t>6</w:t>
      </w:r>
      <w:r w:rsidR="00D155B5" w:rsidRPr="002019B2">
        <w:t xml:space="preserve"> mg/L.</w:t>
      </w:r>
      <w:r w:rsidR="00F5052B" w:rsidRPr="002019B2">
        <w:t xml:space="preserve"> Six trials required inadequate response to </w:t>
      </w:r>
      <w:r w:rsidR="00802C10" w:rsidRPr="002019B2">
        <w:t>cDMARDs</w:t>
      </w:r>
      <w:r w:rsidR="00F5052B" w:rsidRPr="002019B2">
        <w:t xml:space="preserve"> whereas two required inadequate response to bDMARDs.</w:t>
      </w:r>
    </w:p>
    <w:p w:rsidR="00045017" w:rsidRPr="002019B2" w:rsidRDefault="00F5052B" w:rsidP="00123D0F">
      <w:pPr>
        <w:pStyle w:val="ListParagraph"/>
        <w:widowControl/>
        <w:numPr>
          <w:ilvl w:val="1"/>
          <w:numId w:val="9"/>
        </w:numPr>
        <w:spacing w:after="120"/>
        <w:ind w:left="720" w:hanging="720"/>
      </w:pPr>
      <w:r w:rsidRPr="002019B2">
        <w:t>All trials longer than 12 weeks permitted early escape or r</w:t>
      </w:r>
      <w:r w:rsidR="002E2D0B" w:rsidRPr="002019B2">
        <w:t>escue from week 12</w:t>
      </w:r>
      <w:r w:rsidRPr="002019B2">
        <w:t xml:space="preserve"> to </w:t>
      </w:r>
      <w:r w:rsidR="002E2D0B" w:rsidRPr="002019B2">
        <w:t>16</w:t>
      </w:r>
      <w:r w:rsidRPr="002019B2">
        <w:t xml:space="preserve">, and classified </w:t>
      </w:r>
      <w:r w:rsidR="004A4DE5" w:rsidRPr="002019B2">
        <w:t>those</w:t>
      </w:r>
      <w:r w:rsidRPr="002019B2">
        <w:t xml:space="preserve"> patients as </w:t>
      </w:r>
      <w:r w:rsidR="002E2D0B" w:rsidRPr="002019B2">
        <w:t>non-responders</w:t>
      </w:r>
      <w:r w:rsidRPr="002019B2">
        <w:t xml:space="preserve"> for subsequent assessments</w:t>
      </w:r>
      <w:r w:rsidR="002E2D0B" w:rsidRPr="002019B2">
        <w:t xml:space="preserve">. The overall risk of bias was low across the trials. </w:t>
      </w:r>
      <w:r w:rsidR="00AC752D" w:rsidRPr="002019B2">
        <w:t>Discontinuation rates were low across the trials and the groups were generally balanced.</w:t>
      </w:r>
    </w:p>
    <w:p w:rsidR="003469AC" w:rsidRPr="002019B2" w:rsidRDefault="003469AC" w:rsidP="003469AC">
      <w:pPr>
        <w:pStyle w:val="Heading2"/>
      </w:pPr>
      <w:bookmarkStart w:id="8" w:name="_Toc524441615"/>
      <w:bookmarkStart w:id="9" w:name="_Toc19709475"/>
      <w:r w:rsidRPr="002019B2">
        <w:t>Comparative effectiveness</w:t>
      </w:r>
      <w:bookmarkEnd w:id="8"/>
      <w:bookmarkEnd w:id="9"/>
    </w:p>
    <w:p w:rsidR="003469AC" w:rsidRPr="002019B2" w:rsidRDefault="003469AC" w:rsidP="003469AC"/>
    <w:p w:rsidR="003469AC" w:rsidRPr="002019B2" w:rsidRDefault="003469AC" w:rsidP="00123D0F">
      <w:pPr>
        <w:pStyle w:val="ListParagraph"/>
        <w:widowControl/>
        <w:numPr>
          <w:ilvl w:val="1"/>
          <w:numId w:val="9"/>
        </w:numPr>
        <w:spacing w:after="120"/>
        <w:ind w:left="720" w:hanging="720"/>
      </w:pPr>
      <w:r w:rsidRPr="002019B2">
        <w:t xml:space="preserve">Under PBS restrictions </w:t>
      </w:r>
      <w:r w:rsidR="00802C10" w:rsidRPr="002019B2">
        <w:t>of</w:t>
      </w:r>
      <w:r w:rsidRPr="002019B2">
        <w:t xml:space="preserve"> </w:t>
      </w:r>
      <w:r w:rsidR="000921AA" w:rsidRPr="002019B2">
        <w:t>JAK inhibitors/</w:t>
      </w:r>
      <w:r w:rsidRPr="002019B2">
        <w:t>bDMARDs</w:t>
      </w:r>
      <w:r w:rsidR="000921AA" w:rsidRPr="002019B2">
        <w:t xml:space="preserve"> </w:t>
      </w:r>
      <w:r w:rsidR="00802C10" w:rsidRPr="002019B2">
        <w:t>for</w:t>
      </w:r>
      <w:r w:rsidRPr="002019B2">
        <w:t xml:space="preserve"> RA, continued treatment is dependent on demonstrating and maintaining response to therapy, assessed after a minimum of 12 weeks following initiation (and every 24 weeks ongoing thereafter). The response criteria is a composite outcome requiring a 50% improvement from baseline in tender joint counts and swollen joint counts, and 20% (or below absolute thresholds) improvement in acute phase reactants erythrocyte sedimentation rate or C-reactive protein. The response criteria on the PBS are similar to the American College of Rheumatology (ACR) 50% and 20% response criteria.</w:t>
      </w:r>
      <w:r w:rsidR="00BA6AD3" w:rsidRPr="002019B2">
        <w:t xml:space="preserve"> ACR20 response at week 12 or 14 was the primary outcome in all trials.</w:t>
      </w:r>
    </w:p>
    <w:p w:rsidR="00A846D8" w:rsidRPr="002019B2" w:rsidRDefault="000F311E" w:rsidP="00123D0F">
      <w:pPr>
        <w:pStyle w:val="ListParagraph"/>
        <w:widowControl/>
        <w:numPr>
          <w:ilvl w:val="1"/>
          <w:numId w:val="9"/>
        </w:numPr>
        <w:spacing w:after="120"/>
        <w:ind w:left="720" w:hanging="720"/>
      </w:pPr>
      <w:r w:rsidRPr="002019B2">
        <w:t xml:space="preserve">The submission presented indirect comparisons </w:t>
      </w:r>
      <w:r w:rsidR="003F398C" w:rsidRPr="002019B2">
        <w:t>between UPA and BARI</w:t>
      </w:r>
      <w:r w:rsidR="00BA6AD3" w:rsidRPr="002019B2">
        <w:t xml:space="preserve"> (via PBO or ADA as common reference)</w:t>
      </w:r>
      <w:r w:rsidR="003F398C" w:rsidRPr="002019B2">
        <w:t xml:space="preserve">, and </w:t>
      </w:r>
      <w:r w:rsidR="00BA6AD3" w:rsidRPr="002019B2">
        <w:t xml:space="preserve">a </w:t>
      </w:r>
      <w:r w:rsidR="003F398C" w:rsidRPr="002019B2">
        <w:t>direct comparison between UPA and ADA reported in SELECT-COMPARE</w:t>
      </w:r>
      <w:r w:rsidR="00BA6AD3" w:rsidRPr="002019B2">
        <w:t>,</w:t>
      </w:r>
      <w:r w:rsidR="003F398C" w:rsidRPr="002019B2">
        <w:t xml:space="preserve"> </w:t>
      </w:r>
      <w:r w:rsidRPr="002019B2">
        <w:t xml:space="preserve">across several outcomes primarily at Week 12. </w:t>
      </w:r>
      <w:r w:rsidR="003F398C" w:rsidRPr="002019B2">
        <w:t xml:space="preserve">The PBAC has previously </w:t>
      </w:r>
      <w:r w:rsidR="001604B1" w:rsidRPr="002019B2">
        <w:t xml:space="preserve">considered </w:t>
      </w:r>
      <w:r w:rsidR="002B563D" w:rsidRPr="002019B2">
        <w:t>outcomes</w:t>
      </w:r>
      <w:r w:rsidR="001604B1" w:rsidRPr="002019B2">
        <w:t xml:space="preserve"> ACR20</w:t>
      </w:r>
      <w:r w:rsidR="002B563D" w:rsidRPr="002019B2">
        <w:t xml:space="preserve"> and</w:t>
      </w:r>
      <w:r w:rsidR="001604B1" w:rsidRPr="002019B2">
        <w:t xml:space="preserve"> ACR50</w:t>
      </w:r>
      <w:r w:rsidR="002B563D" w:rsidRPr="002019B2">
        <w:t xml:space="preserve"> for the treatment of RA;</w:t>
      </w:r>
      <w:r w:rsidR="001604B1" w:rsidRPr="002019B2">
        <w:t xml:space="preserve"> </w:t>
      </w:r>
      <w:r w:rsidR="002B563D" w:rsidRPr="002019B2">
        <w:t>and</w:t>
      </w:r>
      <w:r w:rsidR="001604B1" w:rsidRPr="002019B2">
        <w:t xml:space="preserve"> </w:t>
      </w:r>
      <w:r w:rsidR="003F398C" w:rsidRPr="002019B2">
        <w:t xml:space="preserve">accepted </w:t>
      </w:r>
      <w:r w:rsidR="001604B1" w:rsidRPr="002019B2">
        <w:t xml:space="preserve">that </w:t>
      </w:r>
      <w:r w:rsidR="003F398C" w:rsidRPr="002019B2">
        <w:t>ACR50 response represents a reasonable treatment target</w:t>
      </w:r>
      <w:r w:rsidR="002B563D" w:rsidRPr="002019B2">
        <w:t xml:space="preserve"> and reflects to a greater degree the current PBS criteria for continuing treatment compared to ACR20</w:t>
      </w:r>
      <w:r w:rsidR="003F398C" w:rsidRPr="002019B2">
        <w:t>. Assessment of response at Week 12 correspond</w:t>
      </w:r>
      <w:r w:rsidR="00802C10" w:rsidRPr="002019B2">
        <w:t>s</w:t>
      </w:r>
      <w:r w:rsidR="003F398C" w:rsidRPr="002019B2">
        <w:t xml:space="preserve"> with assessment of response to initial treatment on the PBS</w:t>
      </w:r>
      <w:r w:rsidR="001604B1" w:rsidRPr="002019B2">
        <w:t xml:space="preserve"> (</w:t>
      </w:r>
      <w:r w:rsidR="002B563D" w:rsidRPr="002019B2">
        <w:t xml:space="preserve">BARI PSD, paragraph 6.12, July 2017; </w:t>
      </w:r>
      <w:r w:rsidR="001604B1" w:rsidRPr="002019B2">
        <w:t>Sarilumab PSD, paragraph 6.10, November 2018)</w:t>
      </w:r>
      <w:r w:rsidR="003F398C" w:rsidRPr="002019B2">
        <w:t>.</w:t>
      </w:r>
    </w:p>
    <w:p w:rsidR="009F1512" w:rsidRPr="002019B2" w:rsidRDefault="009F1512" w:rsidP="00123D0F">
      <w:pPr>
        <w:pStyle w:val="ListParagraph"/>
        <w:widowControl/>
        <w:numPr>
          <w:ilvl w:val="1"/>
          <w:numId w:val="9"/>
        </w:numPr>
        <w:spacing w:after="120"/>
        <w:ind w:left="720" w:hanging="720"/>
      </w:pPr>
      <w:r w:rsidRPr="002019B2">
        <w:t xml:space="preserve">The SELECT-COMPARE </w:t>
      </w:r>
      <w:r w:rsidR="009C5B94" w:rsidRPr="002019B2">
        <w:t xml:space="preserve">trial </w:t>
      </w:r>
      <w:r w:rsidRPr="002019B2">
        <w:t>was designed to test non-inferiority and superiority between UPA and ADA for several outcomes including ACR50 at Week 12. The trial used a stepped testing procedure to control for multiplicity. Non-inferiority on ACR50 was assessed by comparing the 95%CI of the treatment difference against the non-inferiority margin of 10%. That is, if the lower bound of the 95% CI for the risk difference (RD) was below -10</w:t>
      </w:r>
      <w:r w:rsidR="00A40468" w:rsidRPr="002019B2">
        <w:t>%</w:t>
      </w:r>
      <w:r w:rsidRPr="002019B2">
        <w:t>, then non-inferiority was not demonstrated. However, if the lower bound was larger than 0</w:t>
      </w:r>
      <w:r w:rsidR="00A40468" w:rsidRPr="002019B2">
        <w:t>%</w:t>
      </w:r>
      <w:r w:rsidRPr="002019B2">
        <w:t>, then superiority was demonstrated.</w:t>
      </w:r>
    </w:p>
    <w:p w:rsidR="009F1512" w:rsidRPr="002019B2" w:rsidRDefault="009F1512" w:rsidP="00123D0F">
      <w:pPr>
        <w:pStyle w:val="ListParagraph"/>
        <w:widowControl/>
        <w:numPr>
          <w:ilvl w:val="1"/>
          <w:numId w:val="9"/>
        </w:numPr>
        <w:spacing w:after="120"/>
        <w:ind w:left="720" w:hanging="720"/>
      </w:pPr>
      <w:r w:rsidRPr="002019B2">
        <w:t xml:space="preserve">The RA-BEAM </w:t>
      </w:r>
      <w:r w:rsidR="0049068E" w:rsidRPr="002019B2">
        <w:t xml:space="preserve">trial had a similar design </w:t>
      </w:r>
      <w:r w:rsidRPr="002019B2">
        <w:t xml:space="preserve">to test non-inferiority and superiority between BARI and ADA for several outcomes including ACR20 at Week 12. That trial nominated a non-inferiority margin of 12% for ACR20. In July 2017, the PBAC rejected a claim of superior efficacy between BARI and ADA for several reasons. It was noted that “the selection of 0% as a threshold for superiority allowed any marginal statistically significant improvement over ADA to be judged as superiority, in the absence of </w:t>
      </w:r>
      <w:r w:rsidRPr="002019B2">
        <w:lastRenderedPageBreak/>
        <w:t>demonstrating this was a clinically meaningful difference. Applying the additive inverse of the non-inferiority margin (+12%) to determine superiority may be useful” (BARI PSD, paragraph 6.13, July 2017).</w:t>
      </w:r>
    </w:p>
    <w:p w:rsidR="009F1512" w:rsidRPr="002019B2" w:rsidRDefault="00E71702" w:rsidP="00123D0F">
      <w:pPr>
        <w:pStyle w:val="ListParagraph"/>
        <w:widowControl/>
        <w:numPr>
          <w:ilvl w:val="1"/>
          <w:numId w:val="9"/>
        </w:numPr>
        <w:spacing w:after="120"/>
        <w:ind w:left="720" w:hanging="720"/>
      </w:pPr>
      <w:r w:rsidRPr="002019B2">
        <w:t xml:space="preserve">For indirect comparisons, the PBAC has previously assessed non-inferiority between JAK inhibitors/bDMARDs based on </w:t>
      </w:r>
      <w:r w:rsidR="009F1512" w:rsidRPr="002019B2">
        <w:t xml:space="preserve">a non-inferiority margin of 0.4 </w:t>
      </w:r>
      <w:r w:rsidR="0049068E" w:rsidRPr="002019B2">
        <w:t>for the relative risk</w:t>
      </w:r>
      <w:r w:rsidR="009F1512" w:rsidRPr="002019B2">
        <w:t xml:space="preserve"> </w:t>
      </w:r>
      <w:r w:rsidR="0049068E" w:rsidRPr="002019B2">
        <w:t xml:space="preserve">(RR) </w:t>
      </w:r>
      <w:r w:rsidR="009F1512" w:rsidRPr="002019B2">
        <w:t>statistic for ACR20. That is, if the lower bound of the 95%CI was larger than 0.4, then non-inferiority was concluded (</w:t>
      </w:r>
      <w:r w:rsidR="007141BD" w:rsidRPr="002019B2">
        <w:t xml:space="preserve">Sarilumab </w:t>
      </w:r>
      <w:r w:rsidR="009F1512" w:rsidRPr="002019B2">
        <w:t>PSD, paragraph 6.12, November 2018).</w:t>
      </w:r>
    </w:p>
    <w:p w:rsidR="00114D2A" w:rsidRPr="002019B2" w:rsidRDefault="003C0774" w:rsidP="00123D0F">
      <w:pPr>
        <w:pStyle w:val="ListParagraph"/>
        <w:widowControl/>
        <w:numPr>
          <w:ilvl w:val="1"/>
          <w:numId w:val="9"/>
        </w:numPr>
        <w:spacing w:after="120"/>
        <w:ind w:left="720" w:hanging="720"/>
      </w:pPr>
      <w:r w:rsidRPr="002019B2">
        <w:t>ACR20 and ACR5</w:t>
      </w:r>
      <w:r w:rsidR="00E71702" w:rsidRPr="002019B2">
        <w:t xml:space="preserve">0 response at Week 12 </w:t>
      </w:r>
      <w:r w:rsidR="00802C10" w:rsidRPr="002019B2">
        <w:t xml:space="preserve">in the trials </w:t>
      </w:r>
      <w:r w:rsidR="00E71702" w:rsidRPr="002019B2">
        <w:t xml:space="preserve">are </w:t>
      </w:r>
      <w:r w:rsidR="00E81328" w:rsidRPr="002019B2">
        <w:t>summarised</w:t>
      </w:r>
      <w:r w:rsidR="00E71702" w:rsidRPr="002019B2">
        <w:t xml:space="preserve"> in Tables 5 and 6, respectively.</w:t>
      </w:r>
      <w:r w:rsidR="00E81328" w:rsidRPr="002019B2">
        <w:t xml:space="preserve"> The submission categorised </w:t>
      </w:r>
      <w:r w:rsidR="00802C10" w:rsidRPr="002019B2">
        <w:t xml:space="preserve">the </w:t>
      </w:r>
      <w:r w:rsidR="00E81328" w:rsidRPr="002019B2">
        <w:t>trials by prior treatment failure (cDMARDs and bDMARDs) and appropriately excluded SELECT-MONOTHERAPY from the indirect comparisons because it did not include a placebo-controlled treatment arm.</w:t>
      </w:r>
    </w:p>
    <w:p w:rsidR="00114D2A" w:rsidRPr="002019B2" w:rsidRDefault="00114D2A" w:rsidP="006147C4">
      <w:pPr>
        <w:pStyle w:val="ListParagraph"/>
        <w:widowControl/>
        <w:numPr>
          <w:ilvl w:val="1"/>
          <w:numId w:val="1"/>
        </w:numPr>
        <w:sectPr w:rsidR="00114D2A" w:rsidRPr="002019B2" w:rsidSect="00854E1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pPr>
    </w:p>
    <w:p w:rsidR="004C0F04" w:rsidRPr="002019B2" w:rsidRDefault="004C0F04" w:rsidP="004C0F04">
      <w:pPr>
        <w:pStyle w:val="Tabletext"/>
        <w:rPr>
          <w:b/>
        </w:rPr>
      </w:pPr>
      <w:r w:rsidRPr="002019B2">
        <w:rPr>
          <w:b/>
        </w:rPr>
        <w:lastRenderedPageBreak/>
        <w:t>Table 5: ACR20 response at Week 12 at the recommended doses of UPA, BARI and ADA, and indirect comparisons presented by the submission</w:t>
      </w:r>
    </w:p>
    <w:tbl>
      <w:tblPr>
        <w:tblStyle w:val="TableGrid"/>
        <w:tblW w:w="5000" w:type="pct"/>
        <w:tblCellMar>
          <w:left w:w="28" w:type="dxa"/>
          <w:right w:w="28" w:type="dxa"/>
        </w:tblCellMar>
        <w:tblLook w:val="04A0" w:firstRow="1" w:lastRow="0" w:firstColumn="1" w:lastColumn="0" w:noHBand="0" w:noVBand="1"/>
        <w:tblCaption w:val="Table 5: ACR20 response at Week 12 at the recommended doses of UPA, BARI and ADA, and indirect comparisons presented by the submission"/>
      </w:tblPr>
      <w:tblGrid>
        <w:gridCol w:w="2402"/>
        <w:gridCol w:w="1430"/>
        <w:gridCol w:w="1432"/>
        <w:gridCol w:w="1430"/>
        <w:gridCol w:w="1430"/>
        <w:gridCol w:w="903"/>
      </w:tblGrid>
      <w:tr w:rsidR="004C0F04" w:rsidRPr="002019B2" w:rsidTr="007C7B54">
        <w:trPr>
          <w:tblHeader/>
        </w:trPr>
        <w:tc>
          <w:tcPr>
            <w:tcW w:w="1331" w:type="pct"/>
            <w:tcBorders>
              <w:left w:val="nil"/>
              <w:bottom w:val="single" w:sz="4" w:space="0" w:color="auto"/>
              <w:right w:val="nil"/>
            </w:tcBorders>
            <w:shd w:val="clear" w:color="auto" w:fill="auto"/>
            <w:vAlign w:val="center"/>
          </w:tcPr>
          <w:p w:rsidR="004C0F04" w:rsidRPr="002019B2" w:rsidRDefault="004C0F04" w:rsidP="00252290">
            <w:pPr>
              <w:jc w:val="left"/>
              <w:rPr>
                <w:rFonts w:ascii="Arial Narrow" w:hAnsi="Arial Narrow"/>
                <w:b/>
                <w:bCs/>
                <w:sz w:val="20"/>
                <w:szCs w:val="20"/>
              </w:rPr>
            </w:pPr>
            <w:r w:rsidRPr="002019B2">
              <w:rPr>
                <w:rFonts w:ascii="Arial Narrow" w:hAnsi="Arial Narrow"/>
                <w:b/>
                <w:bCs/>
                <w:sz w:val="20"/>
                <w:szCs w:val="20"/>
              </w:rPr>
              <w:t>Trial</w:t>
            </w:r>
          </w:p>
        </w:tc>
        <w:tc>
          <w:tcPr>
            <w:tcW w:w="792" w:type="pct"/>
            <w:tcBorders>
              <w:left w:val="nil"/>
              <w:bottom w:val="single" w:sz="4" w:space="0" w:color="auto"/>
              <w:right w:val="nil"/>
            </w:tcBorders>
            <w:shd w:val="clear" w:color="auto" w:fill="auto"/>
          </w:tcPr>
          <w:p w:rsidR="004C0F04" w:rsidRPr="002019B2" w:rsidRDefault="004C0F04" w:rsidP="00252290">
            <w:pPr>
              <w:jc w:val="center"/>
              <w:rPr>
                <w:rFonts w:ascii="Arial Narrow" w:hAnsi="Arial Narrow"/>
                <w:b/>
                <w:bCs/>
                <w:sz w:val="20"/>
                <w:szCs w:val="20"/>
              </w:rPr>
            </w:pPr>
            <w:r w:rsidRPr="002019B2">
              <w:rPr>
                <w:rFonts w:ascii="Arial Narrow" w:hAnsi="Arial Narrow"/>
                <w:b/>
                <w:bCs/>
                <w:sz w:val="20"/>
                <w:szCs w:val="20"/>
              </w:rPr>
              <w:t>Drug</w:t>
            </w:r>
          </w:p>
          <w:p w:rsidR="004C0F04" w:rsidRPr="002019B2" w:rsidRDefault="004C0F04" w:rsidP="00252290">
            <w:pPr>
              <w:jc w:val="center"/>
              <w:rPr>
                <w:rFonts w:ascii="Arial Narrow" w:hAnsi="Arial Narrow"/>
                <w:b/>
                <w:bCs/>
                <w:sz w:val="20"/>
                <w:szCs w:val="20"/>
              </w:rPr>
            </w:pPr>
            <w:r w:rsidRPr="002019B2">
              <w:rPr>
                <w:rFonts w:ascii="Arial Narrow" w:hAnsi="Arial Narrow"/>
                <w:b/>
                <w:bCs/>
                <w:sz w:val="20"/>
                <w:szCs w:val="20"/>
              </w:rPr>
              <w:t>n/N (%)</w:t>
            </w:r>
          </w:p>
        </w:tc>
        <w:tc>
          <w:tcPr>
            <w:tcW w:w="792" w:type="pct"/>
            <w:tcBorders>
              <w:left w:val="nil"/>
              <w:bottom w:val="single" w:sz="4" w:space="0" w:color="auto"/>
              <w:right w:val="nil"/>
            </w:tcBorders>
            <w:shd w:val="clear" w:color="auto" w:fill="auto"/>
          </w:tcPr>
          <w:p w:rsidR="004C0F04" w:rsidRPr="002019B2" w:rsidRDefault="004C0F04" w:rsidP="00252290">
            <w:pPr>
              <w:jc w:val="center"/>
              <w:rPr>
                <w:rFonts w:ascii="Arial Narrow" w:hAnsi="Arial Narrow"/>
                <w:b/>
                <w:bCs/>
                <w:sz w:val="20"/>
                <w:szCs w:val="20"/>
              </w:rPr>
            </w:pPr>
            <w:r w:rsidRPr="002019B2">
              <w:rPr>
                <w:rFonts w:ascii="Arial Narrow" w:hAnsi="Arial Narrow"/>
                <w:b/>
                <w:bCs/>
                <w:sz w:val="20"/>
                <w:szCs w:val="20"/>
              </w:rPr>
              <w:t>Control</w:t>
            </w:r>
          </w:p>
          <w:p w:rsidR="004C0F04" w:rsidRPr="002019B2" w:rsidRDefault="004C0F04" w:rsidP="00252290">
            <w:pPr>
              <w:jc w:val="center"/>
              <w:rPr>
                <w:rFonts w:ascii="Arial Narrow" w:hAnsi="Arial Narrow"/>
                <w:b/>
                <w:bCs/>
                <w:sz w:val="20"/>
                <w:szCs w:val="20"/>
              </w:rPr>
            </w:pPr>
            <w:r w:rsidRPr="002019B2">
              <w:rPr>
                <w:rFonts w:ascii="Arial Narrow" w:hAnsi="Arial Narrow"/>
                <w:b/>
                <w:bCs/>
                <w:sz w:val="20"/>
                <w:szCs w:val="20"/>
              </w:rPr>
              <w:t>n/N (%)</w:t>
            </w:r>
          </w:p>
        </w:tc>
        <w:tc>
          <w:tcPr>
            <w:tcW w:w="792" w:type="pct"/>
            <w:tcBorders>
              <w:left w:val="nil"/>
              <w:bottom w:val="single" w:sz="4" w:space="0" w:color="auto"/>
              <w:right w:val="nil"/>
            </w:tcBorders>
            <w:shd w:val="clear" w:color="auto" w:fill="auto"/>
          </w:tcPr>
          <w:p w:rsidR="004C0F04" w:rsidRPr="002019B2" w:rsidRDefault="004C0F04" w:rsidP="00252290">
            <w:pPr>
              <w:jc w:val="center"/>
              <w:rPr>
                <w:rFonts w:ascii="Arial Narrow" w:hAnsi="Arial Narrow"/>
                <w:b/>
                <w:bCs/>
                <w:sz w:val="20"/>
                <w:szCs w:val="20"/>
                <w:vertAlign w:val="superscript"/>
              </w:rPr>
            </w:pPr>
            <w:r w:rsidRPr="002019B2">
              <w:rPr>
                <w:rFonts w:ascii="Arial Narrow" w:hAnsi="Arial Narrow"/>
                <w:b/>
                <w:bCs/>
                <w:sz w:val="20"/>
                <w:szCs w:val="20"/>
              </w:rPr>
              <w:t>RR</w:t>
            </w:r>
          </w:p>
          <w:p w:rsidR="004C0F04" w:rsidRPr="002019B2" w:rsidRDefault="004C0F04" w:rsidP="00252290">
            <w:pPr>
              <w:jc w:val="center"/>
              <w:rPr>
                <w:rFonts w:ascii="Arial Narrow" w:hAnsi="Arial Narrow"/>
                <w:b/>
                <w:bCs/>
                <w:sz w:val="20"/>
                <w:szCs w:val="20"/>
              </w:rPr>
            </w:pPr>
            <w:r w:rsidRPr="002019B2">
              <w:rPr>
                <w:rFonts w:ascii="Arial Narrow" w:hAnsi="Arial Narrow"/>
                <w:b/>
                <w:bCs/>
                <w:sz w:val="20"/>
                <w:szCs w:val="20"/>
              </w:rPr>
              <w:t>(95%CI)</w:t>
            </w:r>
          </w:p>
        </w:tc>
        <w:tc>
          <w:tcPr>
            <w:tcW w:w="792" w:type="pct"/>
            <w:tcBorders>
              <w:left w:val="nil"/>
              <w:bottom w:val="single" w:sz="4" w:space="0" w:color="auto"/>
              <w:right w:val="nil"/>
            </w:tcBorders>
            <w:shd w:val="clear" w:color="auto" w:fill="auto"/>
          </w:tcPr>
          <w:p w:rsidR="004C0F04" w:rsidRPr="002019B2" w:rsidRDefault="004C0F04" w:rsidP="00252290">
            <w:pPr>
              <w:jc w:val="center"/>
              <w:rPr>
                <w:rFonts w:ascii="Arial Narrow" w:hAnsi="Arial Narrow"/>
                <w:b/>
                <w:bCs/>
                <w:sz w:val="20"/>
                <w:szCs w:val="20"/>
                <w:vertAlign w:val="superscript"/>
              </w:rPr>
            </w:pPr>
            <w:r w:rsidRPr="002019B2">
              <w:rPr>
                <w:rFonts w:ascii="Arial Narrow" w:hAnsi="Arial Narrow"/>
                <w:b/>
                <w:bCs/>
                <w:sz w:val="20"/>
                <w:szCs w:val="20"/>
              </w:rPr>
              <w:t>RD</w:t>
            </w:r>
          </w:p>
          <w:p w:rsidR="004C0F04" w:rsidRPr="002019B2" w:rsidRDefault="004C0F04" w:rsidP="00252290">
            <w:pPr>
              <w:jc w:val="center"/>
              <w:rPr>
                <w:rFonts w:ascii="Arial Narrow" w:hAnsi="Arial Narrow"/>
                <w:b/>
                <w:bCs/>
                <w:sz w:val="20"/>
                <w:szCs w:val="20"/>
              </w:rPr>
            </w:pPr>
            <w:r w:rsidRPr="002019B2">
              <w:rPr>
                <w:rFonts w:ascii="Arial Narrow" w:hAnsi="Arial Narrow"/>
                <w:b/>
                <w:bCs/>
                <w:sz w:val="20"/>
                <w:szCs w:val="20"/>
              </w:rPr>
              <w:t>(95%CI)</w:t>
            </w:r>
          </w:p>
        </w:tc>
        <w:tc>
          <w:tcPr>
            <w:tcW w:w="501" w:type="pct"/>
            <w:tcBorders>
              <w:left w:val="nil"/>
              <w:bottom w:val="single" w:sz="4" w:space="0" w:color="auto"/>
              <w:right w:val="nil"/>
            </w:tcBorders>
            <w:shd w:val="clear" w:color="auto" w:fill="auto"/>
          </w:tcPr>
          <w:p w:rsidR="004C0F04" w:rsidRPr="002019B2" w:rsidRDefault="004C0F04" w:rsidP="00252290">
            <w:pPr>
              <w:jc w:val="center"/>
              <w:rPr>
                <w:rFonts w:ascii="Arial Narrow" w:hAnsi="Arial Narrow"/>
                <w:b/>
                <w:bCs/>
                <w:sz w:val="20"/>
                <w:szCs w:val="20"/>
                <w:vertAlign w:val="superscript"/>
              </w:rPr>
            </w:pPr>
            <w:r w:rsidRPr="002019B2">
              <w:rPr>
                <w:rFonts w:ascii="Arial Narrow" w:hAnsi="Arial Narrow"/>
                <w:b/>
                <w:bCs/>
                <w:sz w:val="20"/>
                <w:szCs w:val="20"/>
              </w:rPr>
              <w:t>NNT</w:t>
            </w:r>
          </w:p>
          <w:p w:rsidR="004C0F04" w:rsidRPr="002019B2" w:rsidRDefault="004C0F04" w:rsidP="00252290">
            <w:pPr>
              <w:jc w:val="center"/>
              <w:rPr>
                <w:rFonts w:ascii="Arial Narrow" w:hAnsi="Arial Narrow"/>
                <w:b/>
                <w:bCs/>
                <w:sz w:val="20"/>
                <w:szCs w:val="20"/>
              </w:rPr>
            </w:pPr>
            <w:r w:rsidRPr="002019B2">
              <w:rPr>
                <w:rFonts w:ascii="Arial Narrow" w:hAnsi="Arial Narrow"/>
                <w:b/>
                <w:bCs/>
                <w:sz w:val="20"/>
                <w:szCs w:val="20"/>
              </w:rPr>
              <w:t>(95%CI)</w:t>
            </w:r>
          </w:p>
        </w:tc>
      </w:tr>
      <w:tr w:rsidR="004C0F04" w:rsidRPr="002019B2" w:rsidTr="007C7B54">
        <w:trPr>
          <w:tblHeader/>
        </w:trPr>
        <w:tc>
          <w:tcPr>
            <w:tcW w:w="2916" w:type="pct"/>
            <w:gridSpan w:val="3"/>
            <w:tcBorders>
              <w:left w:val="nil"/>
              <w:bottom w:val="nil"/>
              <w:right w:val="nil"/>
            </w:tcBorders>
          </w:tcPr>
          <w:p w:rsidR="004C0F04" w:rsidRPr="002019B2" w:rsidRDefault="004C0F04" w:rsidP="00252290">
            <w:pPr>
              <w:rPr>
                <w:rFonts w:ascii="Arial Narrow" w:hAnsi="Arial Narrow"/>
                <w:b/>
                <w:bCs/>
                <w:color w:val="76923C" w:themeColor="accent3" w:themeShade="BF"/>
                <w:sz w:val="20"/>
                <w:szCs w:val="20"/>
                <w:u w:val="single"/>
              </w:rPr>
            </w:pPr>
            <w:r w:rsidRPr="002019B2">
              <w:rPr>
                <w:rFonts w:ascii="Arial Narrow" w:hAnsi="Arial Narrow"/>
                <w:b/>
                <w:bCs/>
                <w:color w:val="76923C" w:themeColor="accent3" w:themeShade="BF"/>
                <w:sz w:val="20"/>
                <w:szCs w:val="20"/>
                <w:u w:val="single"/>
              </w:rPr>
              <w:t>cDMARD IR population</w:t>
            </w:r>
          </w:p>
        </w:tc>
        <w:tc>
          <w:tcPr>
            <w:tcW w:w="792" w:type="pct"/>
            <w:tcBorders>
              <w:left w:val="nil"/>
              <w:bottom w:val="nil"/>
              <w:right w:val="nil"/>
            </w:tcBorders>
          </w:tcPr>
          <w:p w:rsidR="004C0F04" w:rsidRPr="002019B2" w:rsidRDefault="004C0F04" w:rsidP="00252290">
            <w:pPr>
              <w:jc w:val="center"/>
              <w:rPr>
                <w:rFonts w:ascii="Arial Narrow" w:hAnsi="Arial Narrow"/>
                <w:iCs/>
                <w:sz w:val="20"/>
                <w:szCs w:val="20"/>
              </w:rPr>
            </w:pPr>
          </w:p>
        </w:tc>
        <w:tc>
          <w:tcPr>
            <w:tcW w:w="792" w:type="pct"/>
            <w:tcBorders>
              <w:left w:val="nil"/>
              <w:bottom w:val="nil"/>
              <w:right w:val="nil"/>
            </w:tcBorders>
          </w:tcPr>
          <w:p w:rsidR="004C0F04" w:rsidRPr="002019B2" w:rsidRDefault="004C0F04" w:rsidP="00252290">
            <w:pPr>
              <w:jc w:val="center"/>
              <w:rPr>
                <w:rFonts w:ascii="Arial Narrow" w:hAnsi="Arial Narrow"/>
                <w:iCs/>
                <w:sz w:val="20"/>
                <w:szCs w:val="20"/>
              </w:rPr>
            </w:pPr>
          </w:p>
        </w:tc>
        <w:tc>
          <w:tcPr>
            <w:tcW w:w="501" w:type="pct"/>
            <w:tcBorders>
              <w:left w:val="nil"/>
              <w:bottom w:val="nil"/>
              <w:right w:val="nil"/>
            </w:tcBorders>
            <w:vAlign w:val="center"/>
          </w:tcPr>
          <w:p w:rsidR="004C0F04" w:rsidRPr="002019B2" w:rsidRDefault="004C0F04" w:rsidP="00252290">
            <w:pPr>
              <w:jc w:val="center"/>
              <w:rPr>
                <w:rFonts w:ascii="Arial Narrow" w:hAnsi="Arial Narrow"/>
                <w:sz w:val="20"/>
                <w:szCs w:val="20"/>
              </w:rPr>
            </w:pPr>
          </w:p>
        </w:tc>
      </w:tr>
      <w:tr w:rsidR="004C0F04" w:rsidRPr="002019B2" w:rsidTr="007C7B54">
        <w:trPr>
          <w:tblHeader/>
        </w:trPr>
        <w:tc>
          <w:tcPr>
            <w:tcW w:w="2916" w:type="pct"/>
            <w:gridSpan w:val="3"/>
            <w:tcBorders>
              <w:top w:val="nil"/>
              <w:left w:val="nil"/>
              <w:bottom w:val="nil"/>
              <w:right w:val="nil"/>
            </w:tcBorders>
          </w:tcPr>
          <w:p w:rsidR="004C0F04" w:rsidRPr="002019B2" w:rsidRDefault="004C0F04" w:rsidP="00252290">
            <w:pPr>
              <w:rPr>
                <w:rFonts w:ascii="Arial Narrow" w:hAnsi="Arial Narrow"/>
                <w:b/>
                <w:bCs/>
                <w:sz w:val="20"/>
                <w:szCs w:val="20"/>
              </w:rPr>
            </w:pPr>
            <w:r w:rsidRPr="002019B2">
              <w:rPr>
                <w:rFonts w:ascii="Arial Narrow" w:hAnsi="Arial Narrow"/>
                <w:b/>
                <w:bCs/>
                <w:sz w:val="20"/>
                <w:szCs w:val="20"/>
              </w:rPr>
              <w:t>UPA v PBO or MTX</w:t>
            </w: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p>
        </w:tc>
      </w:tr>
      <w:tr w:rsidR="004C0F04" w:rsidRPr="002019B2" w:rsidTr="007C7B54">
        <w:trPr>
          <w:tblHeader/>
        </w:trPr>
        <w:tc>
          <w:tcPr>
            <w:tcW w:w="1331" w:type="pct"/>
            <w:tcBorders>
              <w:top w:val="nil"/>
              <w:left w:val="nil"/>
              <w:bottom w:val="nil"/>
              <w:right w:val="nil"/>
            </w:tcBorders>
          </w:tcPr>
          <w:p w:rsidR="004C0F04" w:rsidRPr="002019B2" w:rsidRDefault="004C0F04" w:rsidP="00252290">
            <w:pPr>
              <w:pStyle w:val="Tabletext"/>
            </w:pPr>
            <w:r w:rsidRPr="002019B2">
              <w:t>SELECT COMPARE</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459/651 (70.5)</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237/651 (36.4)</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1.94 (1.73,2.17)</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0.34 (0.29,0.39)</w:t>
            </w:r>
          </w:p>
        </w:tc>
        <w:tc>
          <w:tcPr>
            <w:tcW w:w="501" w:type="pct"/>
            <w:tcBorders>
              <w:top w:val="nil"/>
              <w:left w:val="nil"/>
              <w:bottom w:val="nil"/>
              <w:right w:val="nil"/>
            </w:tcBorders>
            <w:vAlign w:val="center"/>
          </w:tcPr>
          <w:p w:rsidR="004C0F04" w:rsidRPr="002019B2" w:rsidRDefault="004C0F04" w:rsidP="00252290">
            <w:pPr>
              <w:pStyle w:val="Tabletext"/>
              <w:jc w:val="center"/>
            </w:pPr>
            <w:r w:rsidRPr="002019B2">
              <w:t>3 (3, 11)</w:t>
            </w:r>
          </w:p>
        </w:tc>
      </w:tr>
      <w:tr w:rsidR="004C0F04" w:rsidRPr="002019B2" w:rsidTr="007C7B54">
        <w:trPr>
          <w:tblHeader/>
        </w:trPr>
        <w:tc>
          <w:tcPr>
            <w:tcW w:w="1331" w:type="pct"/>
            <w:tcBorders>
              <w:top w:val="nil"/>
              <w:left w:val="nil"/>
              <w:bottom w:val="nil"/>
              <w:right w:val="nil"/>
            </w:tcBorders>
          </w:tcPr>
          <w:p w:rsidR="004C0F04" w:rsidRPr="002019B2" w:rsidRDefault="004C0F04" w:rsidP="00252290">
            <w:pPr>
              <w:pStyle w:val="Tabletext"/>
            </w:pPr>
            <w:r w:rsidRPr="002019B2">
              <w:t>SELECT NEXT</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141/221 (63.8)</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79/221 (35.7)</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1.78 (1.46,2.19)</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0.28 (0.19,0.37)</w:t>
            </w:r>
          </w:p>
        </w:tc>
        <w:tc>
          <w:tcPr>
            <w:tcW w:w="501" w:type="pct"/>
            <w:tcBorders>
              <w:top w:val="nil"/>
              <w:left w:val="nil"/>
              <w:bottom w:val="nil"/>
              <w:right w:val="nil"/>
            </w:tcBorders>
            <w:vAlign w:val="center"/>
          </w:tcPr>
          <w:p w:rsidR="004C0F04" w:rsidRPr="002019B2" w:rsidRDefault="004C0F04" w:rsidP="00252290">
            <w:pPr>
              <w:pStyle w:val="Tabletext"/>
              <w:jc w:val="center"/>
            </w:pPr>
            <w:r w:rsidRPr="002019B2">
              <w:t>4 (3, 5)</w:t>
            </w:r>
          </w:p>
        </w:tc>
      </w:tr>
      <w:tr w:rsidR="004C0F04" w:rsidRPr="002019B2" w:rsidTr="007C7B54">
        <w:trPr>
          <w:tblHeader/>
        </w:trPr>
        <w:tc>
          <w:tcPr>
            <w:tcW w:w="1331" w:type="pct"/>
            <w:tcBorders>
              <w:top w:val="nil"/>
              <w:left w:val="nil"/>
              <w:bottom w:val="nil"/>
              <w:right w:val="nil"/>
            </w:tcBorders>
          </w:tcPr>
          <w:p w:rsidR="004C0F04" w:rsidRPr="002019B2" w:rsidRDefault="004C0F04" w:rsidP="00252290">
            <w:pPr>
              <w:pStyle w:val="Tabletext"/>
            </w:pPr>
            <w:r w:rsidRPr="002019B2">
              <w:t>SELECT MONOTHERAPY</w:t>
            </w:r>
            <w:r w:rsidRPr="002019B2">
              <w:rPr>
                <w:vertAlign w:val="superscript"/>
              </w:rPr>
              <w:t>a</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147/217 (67.7)</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89/216 (41.2)</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1.64 (1.37,1.98)</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0.27 (0.17,0.36)</w:t>
            </w:r>
          </w:p>
        </w:tc>
        <w:tc>
          <w:tcPr>
            <w:tcW w:w="501" w:type="pct"/>
            <w:tcBorders>
              <w:top w:val="nil"/>
              <w:left w:val="nil"/>
              <w:bottom w:val="nil"/>
              <w:right w:val="nil"/>
            </w:tcBorders>
            <w:vAlign w:val="center"/>
          </w:tcPr>
          <w:p w:rsidR="004C0F04" w:rsidRPr="002019B2" w:rsidRDefault="004C0F04" w:rsidP="00252290">
            <w:pPr>
              <w:pStyle w:val="Tabletext"/>
              <w:jc w:val="center"/>
            </w:pPr>
            <w:r w:rsidRPr="002019B2">
              <w:t>4 (3, 6)</w:t>
            </w:r>
          </w:p>
        </w:tc>
      </w:tr>
      <w:tr w:rsidR="004C0F04" w:rsidRPr="002019B2" w:rsidTr="007C7B54">
        <w:trPr>
          <w:tblHeader/>
        </w:trPr>
        <w:tc>
          <w:tcPr>
            <w:tcW w:w="1331" w:type="pct"/>
            <w:tcBorders>
              <w:top w:val="nil"/>
              <w:left w:val="nil"/>
              <w:bottom w:val="nil"/>
              <w:right w:val="nil"/>
            </w:tcBorders>
            <w:vAlign w:val="center"/>
          </w:tcPr>
          <w:p w:rsidR="004C0F04" w:rsidRPr="002019B2" w:rsidRDefault="004C0F04" w:rsidP="00252290">
            <w:pPr>
              <w:pStyle w:val="Tabletext"/>
              <w:jc w:val="right"/>
            </w:pPr>
            <w:r w:rsidRPr="002019B2">
              <w:t>Meta-analysis (excl. MONO)</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600/872 (68.8)</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316/872 (36.2)</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1.90 (1.72,2.10)</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0.33 (0.28,0.37)</w:t>
            </w:r>
          </w:p>
        </w:tc>
        <w:tc>
          <w:tcPr>
            <w:tcW w:w="501" w:type="pct"/>
            <w:tcBorders>
              <w:top w:val="nil"/>
              <w:left w:val="nil"/>
              <w:bottom w:val="nil"/>
              <w:right w:val="nil"/>
            </w:tcBorders>
            <w:vAlign w:val="center"/>
          </w:tcPr>
          <w:p w:rsidR="004C0F04" w:rsidRPr="002019B2" w:rsidRDefault="004C0F04" w:rsidP="00252290">
            <w:pPr>
              <w:pStyle w:val="Tabletext"/>
              <w:jc w:val="center"/>
            </w:pPr>
            <w:r w:rsidRPr="002019B2">
              <w:t>3 (3, 4)</w:t>
            </w:r>
          </w:p>
        </w:tc>
      </w:tr>
      <w:tr w:rsidR="004C0F04" w:rsidRPr="002019B2" w:rsidTr="007C7B54">
        <w:trPr>
          <w:tblHeader/>
        </w:trPr>
        <w:tc>
          <w:tcPr>
            <w:tcW w:w="1331" w:type="pct"/>
            <w:tcBorders>
              <w:top w:val="nil"/>
              <w:left w:val="nil"/>
              <w:bottom w:val="nil"/>
              <w:right w:val="nil"/>
            </w:tcBorders>
            <w:vAlign w:val="center"/>
          </w:tcPr>
          <w:p w:rsidR="004C0F04" w:rsidRPr="002019B2" w:rsidRDefault="004C0F04" w:rsidP="00252290">
            <w:pPr>
              <w:pStyle w:val="Tabletext"/>
              <w:jc w:val="right"/>
              <w:rPr>
                <w:iCs/>
              </w:rPr>
            </w:pPr>
            <w:r w:rsidRPr="002019B2">
              <w:rPr>
                <w:iCs/>
              </w:rPr>
              <w:t>Meta-analysis (incl. MONO)</w:t>
            </w:r>
          </w:p>
        </w:tc>
        <w:tc>
          <w:tcPr>
            <w:tcW w:w="792" w:type="pct"/>
            <w:tcBorders>
              <w:top w:val="nil"/>
              <w:left w:val="nil"/>
              <w:bottom w:val="nil"/>
              <w:right w:val="nil"/>
            </w:tcBorders>
            <w:vAlign w:val="center"/>
          </w:tcPr>
          <w:p w:rsidR="004C0F04" w:rsidRPr="002019B2" w:rsidRDefault="004C0F04" w:rsidP="00252290">
            <w:pPr>
              <w:pStyle w:val="Tabletext"/>
              <w:jc w:val="center"/>
              <w:rPr>
                <w:iCs/>
              </w:rPr>
            </w:pPr>
            <w:r w:rsidRPr="002019B2">
              <w:rPr>
                <w:iCs/>
              </w:rPr>
              <w:t>747/1089 (68.6)</w:t>
            </w:r>
          </w:p>
        </w:tc>
        <w:tc>
          <w:tcPr>
            <w:tcW w:w="792" w:type="pct"/>
            <w:tcBorders>
              <w:top w:val="nil"/>
              <w:left w:val="nil"/>
              <w:bottom w:val="nil"/>
              <w:right w:val="nil"/>
            </w:tcBorders>
            <w:vAlign w:val="center"/>
          </w:tcPr>
          <w:p w:rsidR="004C0F04" w:rsidRPr="002019B2" w:rsidRDefault="004C0F04" w:rsidP="00252290">
            <w:pPr>
              <w:pStyle w:val="Tabletext"/>
              <w:jc w:val="center"/>
              <w:rPr>
                <w:iCs/>
              </w:rPr>
            </w:pPr>
            <w:r w:rsidRPr="002019B2">
              <w:rPr>
                <w:iCs/>
              </w:rPr>
              <w:t>405/1088 (37.2)</w:t>
            </w:r>
          </w:p>
        </w:tc>
        <w:tc>
          <w:tcPr>
            <w:tcW w:w="792" w:type="pct"/>
            <w:tcBorders>
              <w:top w:val="nil"/>
              <w:left w:val="nil"/>
              <w:bottom w:val="nil"/>
              <w:right w:val="nil"/>
            </w:tcBorders>
            <w:vAlign w:val="center"/>
          </w:tcPr>
          <w:p w:rsidR="004C0F04" w:rsidRPr="002019B2" w:rsidRDefault="004C0F04" w:rsidP="00252290">
            <w:pPr>
              <w:pStyle w:val="Tabletext"/>
              <w:jc w:val="center"/>
              <w:rPr>
                <w:bCs/>
                <w:iCs/>
              </w:rPr>
            </w:pPr>
            <w:r w:rsidRPr="002019B2">
              <w:rPr>
                <w:bCs/>
                <w:iCs/>
              </w:rPr>
              <w:t>1.84 (1.69,2.01)</w:t>
            </w:r>
          </w:p>
        </w:tc>
        <w:tc>
          <w:tcPr>
            <w:tcW w:w="792" w:type="pct"/>
            <w:tcBorders>
              <w:top w:val="nil"/>
              <w:left w:val="nil"/>
              <w:bottom w:val="nil"/>
              <w:right w:val="nil"/>
            </w:tcBorders>
            <w:vAlign w:val="center"/>
          </w:tcPr>
          <w:p w:rsidR="004C0F04" w:rsidRPr="002019B2" w:rsidRDefault="004C0F04" w:rsidP="00252290">
            <w:pPr>
              <w:pStyle w:val="Tabletext"/>
              <w:jc w:val="center"/>
              <w:rPr>
                <w:bCs/>
                <w:iCs/>
              </w:rPr>
            </w:pPr>
            <w:r w:rsidRPr="002019B2">
              <w:rPr>
                <w:bCs/>
                <w:iCs/>
              </w:rPr>
              <w:t>0.31 (0.27,0.35)</w:t>
            </w:r>
          </w:p>
        </w:tc>
        <w:tc>
          <w:tcPr>
            <w:tcW w:w="501" w:type="pct"/>
            <w:tcBorders>
              <w:top w:val="nil"/>
              <w:left w:val="nil"/>
              <w:bottom w:val="nil"/>
              <w:right w:val="nil"/>
            </w:tcBorders>
            <w:vAlign w:val="center"/>
          </w:tcPr>
          <w:p w:rsidR="004C0F04" w:rsidRPr="002019B2" w:rsidRDefault="004C0F04" w:rsidP="00252290">
            <w:pPr>
              <w:pStyle w:val="Tabletext"/>
              <w:jc w:val="center"/>
            </w:pPr>
            <w:r w:rsidRPr="002019B2">
              <w:t>3 (3, 4)</w:t>
            </w:r>
          </w:p>
        </w:tc>
      </w:tr>
      <w:tr w:rsidR="004C0F04" w:rsidRPr="002019B2" w:rsidTr="007C7B54">
        <w:trPr>
          <w:tblHeader/>
        </w:trPr>
        <w:tc>
          <w:tcPr>
            <w:tcW w:w="2916" w:type="pct"/>
            <w:gridSpan w:val="3"/>
            <w:tcBorders>
              <w:top w:val="nil"/>
              <w:left w:val="nil"/>
              <w:bottom w:val="nil"/>
              <w:right w:val="nil"/>
            </w:tcBorders>
            <w:vAlign w:val="center"/>
          </w:tcPr>
          <w:p w:rsidR="004C0F04" w:rsidRPr="002019B2" w:rsidRDefault="004C0F04" w:rsidP="00252290">
            <w:pPr>
              <w:pStyle w:val="Tabletext"/>
            </w:pPr>
            <w:r w:rsidRPr="002019B2">
              <w:rPr>
                <w:b/>
                <w:bCs/>
                <w:szCs w:val="20"/>
              </w:rPr>
              <w:t>BARI v PBO</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p>
        </w:tc>
        <w:tc>
          <w:tcPr>
            <w:tcW w:w="792" w:type="pct"/>
            <w:tcBorders>
              <w:top w:val="nil"/>
              <w:left w:val="nil"/>
              <w:bottom w:val="nil"/>
              <w:right w:val="nil"/>
            </w:tcBorders>
            <w:vAlign w:val="center"/>
          </w:tcPr>
          <w:p w:rsidR="004C0F04" w:rsidRPr="002019B2" w:rsidRDefault="004C0F04" w:rsidP="00252290">
            <w:pPr>
              <w:pStyle w:val="Tabletext"/>
              <w:jc w:val="center"/>
              <w:rPr>
                <w:bCs/>
              </w:rPr>
            </w:pPr>
          </w:p>
        </w:tc>
        <w:tc>
          <w:tcPr>
            <w:tcW w:w="501" w:type="pct"/>
            <w:tcBorders>
              <w:top w:val="nil"/>
              <w:left w:val="nil"/>
              <w:bottom w:val="nil"/>
              <w:right w:val="nil"/>
            </w:tcBorders>
            <w:vAlign w:val="center"/>
          </w:tcPr>
          <w:p w:rsidR="004C0F04" w:rsidRPr="002019B2" w:rsidRDefault="004C0F04" w:rsidP="00252290">
            <w:pPr>
              <w:pStyle w:val="Tabletext"/>
              <w:jc w:val="center"/>
              <w:rPr>
                <w:szCs w:val="20"/>
              </w:rPr>
            </w:pPr>
          </w:p>
        </w:tc>
      </w:tr>
      <w:tr w:rsidR="004C0F04" w:rsidRPr="002019B2" w:rsidTr="007C7B54">
        <w:trPr>
          <w:tblHeader/>
        </w:trPr>
        <w:tc>
          <w:tcPr>
            <w:tcW w:w="1331" w:type="pct"/>
            <w:tcBorders>
              <w:top w:val="nil"/>
              <w:left w:val="nil"/>
              <w:bottom w:val="nil"/>
              <w:right w:val="nil"/>
            </w:tcBorders>
          </w:tcPr>
          <w:p w:rsidR="004C0F04" w:rsidRPr="002019B2" w:rsidRDefault="004C0F04" w:rsidP="00252290">
            <w:pPr>
              <w:pStyle w:val="Tabletext"/>
              <w:rPr>
                <w:szCs w:val="20"/>
              </w:rPr>
            </w:pPr>
            <w:r w:rsidRPr="002019B2">
              <w:rPr>
                <w:szCs w:val="20"/>
              </w:rPr>
              <w:t>RA-BEAM/JADV</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339/487 (69.6)</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196/488 (40.2)</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1.73 (1.53,1.96)</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0.29 (0.23,0.35)</w:t>
            </w:r>
          </w:p>
        </w:tc>
        <w:tc>
          <w:tcPr>
            <w:tcW w:w="501" w:type="pct"/>
            <w:tcBorders>
              <w:top w:val="nil"/>
              <w:left w:val="nil"/>
              <w:bottom w:val="nil"/>
              <w:right w:val="nil"/>
            </w:tcBorders>
            <w:vAlign w:val="center"/>
          </w:tcPr>
          <w:p w:rsidR="004C0F04" w:rsidRPr="002019B2" w:rsidRDefault="004C0F04" w:rsidP="00252290">
            <w:pPr>
              <w:pStyle w:val="Tabletext"/>
              <w:jc w:val="center"/>
              <w:rPr>
                <w:szCs w:val="20"/>
              </w:rPr>
            </w:pPr>
            <w:r w:rsidRPr="002019B2">
              <w:rPr>
                <w:szCs w:val="20"/>
              </w:rPr>
              <w:t>3 (3, 4)</w:t>
            </w:r>
          </w:p>
        </w:tc>
      </w:tr>
      <w:tr w:rsidR="004C0F04" w:rsidRPr="002019B2" w:rsidTr="007C7B54">
        <w:trPr>
          <w:tblHeader/>
        </w:trPr>
        <w:tc>
          <w:tcPr>
            <w:tcW w:w="1331" w:type="pct"/>
            <w:tcBorders>
              <w:top w:val="nil"/>
              <w:left w:val="nil"/>
              <w:bottom w:val="nil"/>
              <w:right w:val="nil"/>
            </w:tcBorders>
          </w:tcPr>
          <w:p w:rsidR="004C0F04" w:rsidRPr="002019B2" w:rsidRDefault="004C0F04" w:rsidP="00252290">
            <w:pPr>
              <w:pStyle w:val="Tabletext"/>
              <w:rPr>
                <w:szCs w:val="20"/>
              </w:rPr>
            </w:pPr>
            <w:r w:rsidRPr="002019B2">
              <w:rPr>
                <w:szCs w:val="20"/>
              </w:rPr>
              <w:t>RA-BUILD/JADX</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140/227 (61.7)</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90/228 (39.5)</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1.56 (1.29,1.89)</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0.22 (0.13,0.31)</w:t>
            </w:r>
          </w:p>
        </w:tc>
        <w:tc>
          <w:tcPr>
            <w:tcW w:w="501" w:type="pct"/>
            <w:tcBorders>
              <w:top w:val="nil"/>
              <w:left w:val="nil"/>
              <w:bottom w:val="nil"/>
              <w:right w:val="nil"/>
            </w:tcBorders>
            <w:vAlign w:val="center"/>
          </w:tcPr>
          <w:p w:rsidR="004C0F04" w:rsidRPr="002019B2" w:rsidRDefault="004C0F04" w:rsidP="00252290">
            <w:pPr>
              <w:pStyle w:val="Tabletext"/>
              <w:jc w:val="center"/>
              <w:rPr>
                <w:szCs w:val="20"/>
              </w:rPr>
            </w:pPr>
            <w:r w:rsidRPr="002019B2">
              <w:rPr>
                <w:szCs w:val="20"/>
              </w:rPr>
              <w:t>5 (3, 8)</w:t>
            </w:r>
          </w:p>
        </w:tc>
      </w:tr>
      <w:tr w:rsidR="004C0F04" w:rsidRPr="002019B2" w:rsidTr="007C7B54">
        <w:trPr>
          <w:tblHeader/>
        </w:trPr>
        <w:tc>
          <w:tcPr>
            <w:tcW w:w="1331" w:type="pct"/>
            <w:tcBorders>
              <w:top w:val="nil"/>
              <w:left w:val="nil"/>
              <w:bottom w:val="nil"/>
              <w:right w:val="nil"/>
            </w:tcBorders>
          </w:tcPr>
          <w:p w:rsidR="004C0F04" w:rsidRPr="002019B2" w:rsidRDefault="004C0F04" w:rsidP="00252290">
            <w:pPr>
              <w:pStyle w:val="Tabletext"/>
              <w:rPr>
                <w:szCs w:val="20"/>
              </w:rPr>
            </w:pPr>
            <w:r w:rsidRPr="002019B2">
              <w:rPr>
                <w:szCs w:val="20"/>
              </w:rPr>
              <w:t>JADA</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39/52 (75.0)</w:t>
            </w:r>
          </w:p>
        </w:tc>
        <w:tc>
          <w:tcPr>
            <w:tcW w:w="792" w:type="pct"/>
            <w:tcBorders>
              <w:top w:val="nil"/>
              <w:left w:val="nil"/>
              <w:bottom w:val="nil"/>
              <w:right w:val="nil"/>
            </w:tcBorders>
            <w:vAlign w:val="center"/>
          </w:tcPr>
          <w:p w:rsidR="004C0F04" w:rsidRPr="002019B2" w:rsidRDefault="004C0F04" w:rsidP="00252290">
            <w:pPr>
              <w:pStyle w:val="Tabletext"/>
              <w:jc w:val="center"/>
            </w:pPr>
            <w:r w:rsidRPr="002019B2">
              <w:t>41/98 (41.8)</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1.79 (1.35,2.37)</w:t>
            </w:r>
          </w:p>
        </w:tc>
        <w:tc>
          <w:tcPr>
            <w:tcW w:w="792" w:type="pct"/>
            <w:tcBorders>
              <w:top w:val="nil"/>
              <w:left w:val="nil"/>
              <w:bottom w:val="nil"/>
              <w:right w:val="nil"/>
            </w:tcBorders>
            <w:vAlign w:val="center"/>
          </w:tcPr>
          <w:p w:rsidR="004C0F04" w:rsidRPr="002019B2" w:rsidRDefault="004C0F04" w:rsidP="00252290">
            <w:pPr>
              <w:pStyle w:val="Tabletext"/>
              <w:jc w:val="center"/>
              <w:rPr>
                <w:bCs/>
              </w:rPr>
            </w:pPr>
            <w:r w:rsidRPr="002019B2">
              <w:rPr>
                <w:bCs/>
              </w:rPr>
              <w:t>0.33 (0.18,0.48)</w:t>
            </w:r>
          </w:p>
        </w:tc>
        <w:tc>
          <w:tcPr>
            <w:tcW w:w="501" w:type="pct"/>
            <w:tcBorders>
              <w:top w:val="nil"/>
              <w:left w:val="nil"/>
              <w:bottom w:val="nil"/>
              <w:right w:val="nil"/>
            </w:tcBorders>
            <w:vAlign w:val="center"/>
          </w:tcPr>
          <w:p w:rsidR="004C0F04" w:rsidRPr="002019B2" w:rsidRDefault="004C0F04" w:rsidP="00802C10">
            <w:pPr>
              <w:pStyle w:val="Tabletext"/>
              <w:jc w:val="center"/>
              <w:rPr>
                <w:szCs w:val="20"/>
              </w:rPr>
            </w:pPr>
            <w:r w:rsidRPr="002019B2">
              <w:rPr>
                <w:szCs w:val="20"/>
              </w:rPr>
              <w:t xml:space="preserve">3 (2, </w:t>
            </w:r>
            <w:r w:rsidR="00802C10" w:rsidRPr="002019B2">
              <w:rPr>
                <w:szCs w:val="20"/>
              </w:rPr>
              <w:t>6</w:t>
            </w:r>
            <w:r w:rsidRPr="002019B2">
              <w:rPr>
                <w:szCs w:val="20"/>
              </w:rPr>
              <w:t>)</w:t>
            </w:r>
          </w:p>
        </w:tc>
      </w:tr>
      <w:tr w:rsidR="004C0F04" w:rsidRPr="002019B2" w:rsidTr="007C7B54">
        <w:trPr>
          <w:tblHeader/>
        </w:trPr>
        <w:tc>
          <w:tcPr>
            <w:tcW w:w="1331" w:type="pct"/>
            <w:tcBorders>
              <w:top w:val="nil"/>
              <w:left w:val="nil"/>
              <w:bottom w:val="nil"/>
              <w:right w:val="nil"/>
            </w:tcBorders>
            <w:vAlign w:val="center"/>
          </w:tcPr>
          <w:p w:rsidR="004C0F04" w:rsidRPr="002019B2" w:rsidRDefault="004C0F04" w:rsidP="00252290">
            <w:pPr>
              <w:jc w:val="right"/>
              <w:rPr>
                <w:rFonts w:ascii="Arial Narrow" w:hAnsi="Arial Narrow"/>
                <w:iCs/>
                <w:sz w:val="20"/>
                <w:szCs w:val="20"/>
              </w:rPr>
            </w:pPr>
            <w:r w:rsidRPr="002019B2">
              <w:rPr>
                <w:rFonts w:ascii="Arial Narrow" w:hAnsi="Arial Narrow"/>
                <w:iCs/>
                <w:sz w:val="20"/>
                <w:szCs w:val="20"/>
              </w:rPr>
              <w:t>Meta-analysis</w:t>
            </w:r>
          </w:p>
        </w:tc>
        <w:tc>
          <w:tcPr>
            <w:tcW w:w="792" w:type="pct"/>
            <w:tcBorders>
              <w:top w:val="nil"/>
              <w:left w:val="nil"/>
              <w:bottom w:val="nil"/>
              <w:right w:val="nil"/>
            </w:tcBorders>
            <w:vAlign w:val="center"/>
          </w:tcPr>
          <w:p w:rsidR="004C0F04" w:rsidRPr="002019B2" w:rsidRDefault="004C0F04" w:rsidP="00252290">
            <w:pPr>
              <w:jc w:val="center"/>
              <w:rPr>
                <w:rFonts w:ascii="Arial Narrow" w:hAnsi="Arial Narrow"/>
                <w:iCs/>
                <w:sz w:val="20"/>
                <w:szCs w:val="20"/>
              </w:rPr>
            </w:pPr>
            <w:r w:rsidRPr="002019B2">
              <w:rPr>
                <w:rFonts w:ascii="Arial Narrow" w:hAnsi="Arial Narrow"/>
                <w:iCs/>
                <w:sz w:val="20"/>
                <w:szCs w:val="20"/>
              </w:rPr>
              <w:t>518/766 (70.5)</w:t>
            </w:r>
          </w:p>
        </w:tc>
        <w:tc>
          <w:tcPr>
            <w:tcW w:w="792" w:type="pct"/>
            <w:tcBorders>
              <w:top w:val="nil"/>
              <w:left w:val="nil"/>
              <w:bottom w:val="nil"/>
              <w:right w:val="nil"/>
            </w:tcBorders>
            <w:vAlign w:val="center"/>
          </w:tcPr>
          <w:p w:rsidR="004C0F04" w:rsidRPr="002019B2" w:rsidRDefault="004C0F04" w:rsidP="00252290">
            <w:pPr>
              <w:jc w:val="center"/>
              <w:rPr>
                <w:rFonts w:ascii="Arial Narrow" w:hAnsi="Arial Narrow"/>
                <w:iCs/>
                <w:sz w:val="20"/>
                <w:szCs w:val="20"/>
              </w:rPr>
            </w:pPr>
            <w:r w:rsidRPr="002019B2">
              <w:rPr>
                <w:rFonts w:ascii="Arial Narrow" w:hAnsi="Arial Narrow"/>
                <w:iCs/>
                <w:sz w:val="20"/>
                <w:szCs w:val="20"/>
              </w:rPr>
              <w:t>327/814 (40.2)</w:t>
            </w:r>
          </w:p>
        </w:tc>
        <w:tc>
          <w:tcPr>
            <w:tcW w:w="792" w:type="pct"/>
            <w:tcBorders>
              <w:top w:val="nil"/>
              <w:left w:val="nil"/>
              <w:bottom w:val="nil"/>
              <w:right w:val="nil"/>
            </w:tcBorders>
            <w:vAlign w:val="center"/>
          </w:tcPr>
          <w:p w:rsidR="004C0F04" w:rsidRPr="002019B2" w:rsidRDefault="004C0F04" w:rsidP="00252290">
            <w:pPr>
              <w:jc w:val="center"/>
              <w:rPr>
                <w:rFonts w:ascii="Arial Narrow" w:hAnsi="Arial Narrow"/>
                <w:bCs/>
                <w:iCs/>
                <w:sz w:val="20"/>
                <w:szCs w:val="20"/>
              </w:rPr>
            </w:pPr>
            <w:r w:rsidRPr="002019B2">
              <w:rPr>
                <w:rFonts w:ascii="Arial Narrow" w:hAnsi="Arial Narrow"/>
                <w:bCs/>
                <w:iCs/>
                <w:sz w:val="20"/>
                <w:szCs w:val="20"/>
              </w:rPr>
              <w:t>1.69 (1.53,1.86)</w:t>
            </w:r>
          </w:p>
        </w:tc>
        <w:tc>
          <w:tcPr>
            <w:tcW w:w="792" w:type="pct"/>
            <w:tcBorders>
              <w:top w:val="nil"/>
              <w:left w:val="nil"/>
              <w:bottom w:val="nil"/>
              <w:right w:val="nil"/>
            </w:tcBorders>
            <w:vAlign w:val="center"/>
          </w:tcPr>
          <w:p w:rsidR="004C0F04" w:rsidRPr="002019B2" w:rsidRDefault="004C0F04" w:rsidP="00252290">
            <w:pPr>
              <w:jc w:val="center"/>
              <w:rPr>
                <w:rFonts w:ascii="Arial Narrow" w:hAnsi="Arial Narrow"/>
                <w:bCs/>
                <w:iCs/>
                <w:sz w:val="20"/>
                <w:szCs w:val="20"/>
              </w:rPr>
            </w:pPr>
            <w:r w:rsidRPr="002019B2">
              <w:rPr>
                <w:rFonts w:ascii="Arial Narrow" w:hAnsi="Arial Narrow"/>
                <w:bCs/>
                <w:iCs/>
                <w:sz w:val="20"/>
                <w:szCs w:val="20"/>
              </w:rPr>
              <w:t>0.28 (0.23,0.32)</w:t>
            </w: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r w:rsidRPr="002019B2">
              <w:rPr>
                <w:rFonts w:ascii="Arial Narrow" w:hAnsi="Arial Narrow"/>
                <w:sz w:val="20"/>
                <w:szCs w:val="20"/>
              </w:rPr>
              <w:t>4 (3, 4)</w:t>
            </w:r>
          </w:p>
        </w:tc>
      </w:tr>
      <w:tr w:rsidR="004C0F04" w:rsidRPr="002019B2" w:rsidTr="007C7B54">
        <w:trPr>
          <w:tblHeader/>
        </w:trPr>
        <w:tc>
          <w:tcPr>
            <w:tcW w:w="2916" w:type="pct"/>
            <w:gridSpan w:val="3"/>
            <w:tcBorders>
              <w:top w:val="nil"/>
              <w:left w:val="nil"/>
              <w:bottom w:val="nil"/>
              <w:right w:val="nil"/>
            </w:tcBorders>
            <w:vAlign w:val="center"/>
          </w:tcPr>
          <w:p w:rsidR="004C0F04" w:rsidRPr="002019B2" w:rsidRDefault="004C0F04" w:rsidP="00252290">
            <w:pPr>
              <w:jc w:val="left"/>
              <w:rPr>
                <w:rFonts w:ascii="Arial Narrow" w:hAnsi="Arial Narrow"/>
                <w:iCs/>
                <w:sz w:val="20"/>
                <w:szCs w:val="20"/>
              </w:rPr>
            </w:pPr>
            <w:r w:rsidRPr="002019B2">
              <w:rPr>
                <w:rFonts w:ascii="Arial Narrow" w:hAnsi="Arial Narrow"/>
                <w:b/>
                <w:bCs/>
                <w:sz w:val="20"/>
                <w:szCs w:val="20"/>
              </w:rPr>
              <w:t>UPA v ADA</w:t>
            </w:r>
          </w:p>
        </w:tc>
        <w:tc>
          <w:tcPr>
            <w:tcW w:w="792" w:type="pct"/>
            <w:tcBorders>
              <w:top w:val="nil"/>
              <w:left w:val="nil"/>
              <w:bottom w:val="nil"/>
              <w:right w:val="nil"/>
            </w:tcBorders>
            <w:vAlign w:val="center"/>
          </w:tcPr>
          <w:p w:rsidR="004C0F04" w:rsidRPr="002019B2" w:rsidRDefault="004C0F04" w:rsidP="00252290">
            <w:pPr>
              <w:jc w:val="center"/>
              <w:rPr>
                <w:rFonts w:ascii="Arial Narrow" w:hAnsi="Arial Narrow"/>
                <w:bCs/>
                <w:iCs/>
                <w:sz w:val="20"/>
                <w:szCs w:val="20"/>
              </w:rPr>
            </w:pPr>
          </w:p>
        </w:tc>
        <w:tc>
          <w:tcPr>
            <w:tcW w:w="792" w:type="pct"/>
            <w:tcBorders>
              <w:top w:val="nil"/>
              <w:left w:val="nil"/>
              <w:bottom w:val="nil"/>
              <w:right w:val="nil"/>
            </w:tcBorders>
            <w:vAlign w:val="center"/>
          </w:tcPr>
          <w:p w:rsidR="004C0F04" w:rsidRPr="002019B2" w:rsidRDefault="004C0F04" w:rsidP="00252290">
            <w:pPr>
              <w:jc w:val="center"/>
              <w:rPr>
                <w:rFonts w:ascii="Arial Narrow" w:hAnsi="Arial Narrow"/>
                <w:bCs/>
                <w:iCs/>
                <w:sz w:val="20"/>
                <w:szCs w:val="20"/>
              </w:rPr>
            </w:pP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p>
        </w:tc>
      </w:tr>
      <w:tr w:rsidR="004C0F04" w:rsidRPr="002019B2" w:rsidTr="007C7B54">
        <w:trPr>
          <w:tblHeader/>
        </w:trPr>
        <w:tc>
          <w:tcPr>
            <w:tcW w:w="1331" w:type="pct"/>
            <w:tcBorders>
              <w:top w:val="nil"/>
              <w:left w:val="nil"/>
              <w:bottom w:val="nil"/>
              <w:right w:val="nil"/>
            </w:tcBorders>
          </w:tcPr>
          <w:p w:rsidR="004C0F04" w:rsidRPr="002019B2" w:rsidRDefault="004C0F04" w:rsidP="00252290">
            <w:pPr>
              <w:pStyle w:val="Tabletext"/>
              <w:rPr>
                <w:szCs w:val="20"/>
              </w:rPr>
            </w:pPr>
            <w:r w:rsidRPr="002019B2">
              <w:rPr>
                <w:szCs w:val="20"/>
              </w:rPr>
              <w:t>SELECT COMPARE</w:t>
            </w:r>
          </w:p>
        </w:tc>
        <w:tc>
          <w:tcPr>
            <w:tcW w:w="792" w:type="pct"/>
            <w:tcBorders>
              <w:top w:val="nil"/>
              <w:left w:val="nil"/>
              <w:bottom w:val="nil"/>
              <w:right w:val="nil"/>
            </w:tcBorders>
            <w:vAlign w:val="center"/>
          </w:tcPr>
          <w:p w:rsidR="004C0F04" w:rsidRPr="002019B2" w:rsidRDefault="004C0F04" w:rsidP="00252290">
            <w:pPr>
              <w:pStyle w:val="Tabletext"/>
              <w:jc w:val="center"/>
              <w:rPr>
                <w:szCs w:val="20"/>
              </w:rPr>
            </w:pPr>
            <w:r w:rsidRPr="002019B2">
              <w:rPr>
                <w:szCs w:val="20"/>
              </w:rPr>
              <w:t>459/651 (70.5)</w:t>
            </w:r>
          </w:p>
        </w:tc>
        <w:tc>
          <w:tcPr>
            <w:tcW w:w="792" w:type="pct"/>
            <w:tcBorders>
              <w:top w:val="nil"/>
              <w:left w:val="nil"/>
              <w:bottom w:val="nil"/>
              <w:right w:val="nil"/>
            </w:tcBorders>
            <w:vAlign w:val="center"/>
          </w:tcPr>
          <w:p w:rsidR="004C0F04" w:rsidRPr="002019B2" w:rsidRDefault="004C0F04" w:rsidP="00252290">
            <w:pPr>
              <w:pStyle w:val="Tabletext"/>
              <w:jc w:val="center"/>
              <w:rPr>
                <w:szCs w:val="20"/>
              </w:rPr>
            </w:pPr>
            <w:r w:rsidRPr="002019B2">
              <w:rPr>
                <w:szCs w:val="20"/>
              </w:rPr>
              <w:t>206/327 (63.0)</w:t>
            </w:r>
          </w:p>
        </w:tc>
        <w:tc>
          <w:tcPr>
            <w:tcW w:w="792" w:type="pct"/>
            <w:tcBorders>
              <w:top w:val="nil"/>
              <w:left w:val="nil"/>
              <w:bottom w:val="nil"/>
              <w:right w:val="nil"/>
            </w:tcBorders>
            <w:vAlign w:val="center"/>
          </w:tcPr>
          <w:p w:rsidR="004C0F04" w:rsidRPr="002019B2" w:rsidRDefault="004C0F04" w:rsidP="00252290">
            <w:pPr>
              <w:pStyle w:val="Tabletext"/>
              <w:jc w:val="center"/>
              <w:rPr>
                <w:bCs/>
                <w:szCs w:val="20"/>
              </w:rPr>
            </w:pPr>
            <w:r w:rsidRPr="002019B2">
              <w:rPr>
                <w:bCs/>
                <w:szCs w:val="20"/>
              </w:rPr>
              <w:t>1.12 (1.02,1.23)</w:t>
            </w:r>
          </w:p>
        </w:tc>
        <w:tc>
          <w:tcPr>
            <w:tcW w:w="792" w:type="pct"/>
            <w:tcBorders>
              <w:top w:val="nil"/>
              <w:left w:val="nil"/>
              <w:bottom w:val="nil"/>
              <w:right w:val="nil"/>
            </w:tcBorders>
            <w:vAlign w:val="center"/>
          </w:tcPr>
          <w:p w:rsidR="004C0F04" w:rsidRPr="002019B2" w:rsidRDefault="004C0F04" w:rsidP="00252290">
            <w:pPr>
              <w:pStyle w:val="Tabletext"/>
              <w:jc w:val="center"/>
              <w:rPr>
                <w:bCs/>
                <w:szCs w:val="20"/>
              </w:rPr>
            </w:pPr>
            <w:r w:rsidRPr="002019B2">
              <w:rPr>
                <w:bCs/>
                <w:szCs w:val="20"/>
              </w:rPr>
              <w:t>0.08 (0.01,0.14)</w:t>
            </w:r>
          </w:p>
        </w:tc>
        <w:tc>
          <w:tcPr>
            <w:tcW w:w="501" w:type="pct"/>
            <w:tcBorders>
              <w:top w:val="nil"/>
              <w:left w:val="nil"/>
              <w:bottom w:val="nil"/>
              <w:right w:val="nil"/>
            </w:tcBorders>
            <w:vAlign w:val="center"/>
          </w:tcPr>
          <w:p w:rsidR="004C0F04" w:rsidRPr="002019B2" w:rsidRDefault="004C0F04" w:rsidP="00802C10">
            <w:pPr>
              <w:jc w:val="center"/>
              <w:rPr>
                <w:rFonts w:ascii="Arial Narrow" w:hAnsi="Arial Narrow"/>
                <w:sz w:val="20"/>
                <w:szCs w:val="20"/>
              </w:rPr>
            </w:pPr>
            <w:r w:rsidRPr="002019B2">
              <w:rPr>
                <w:rFonts w:ascii="Arial Narrow" w:hAnsi="Arial Narrow"/>
                <w:sz w:val="20"/>
                <w:szCs w:val="20"/>
              </w:rPr>
              <w:t>1</w:t>
            </w:r>
            <w:r w:rsidR="00802C10" w:rsidRPr="002019B2">
              <w:rPr>
                <w:rFonts w:ascii="Arial Narrow" w:hAnsi="Arial Narrow"/>
                <w:sz w:val="20"/>
                <w:szCs w:val="20"/>
              </w:rPr>
              <w:t>3</w:t>
            </w:r>
            <w:r w:rsidRPr="002019B2">
              <w:rPr>
                <w:rFonts w:ascii="Arial Narrow" w:hAnsi="Arial Narrow"/>
                <w:sz w:val="20"/>
                <w:szCs w:val="20"/>
              </w:rPr>
              <w:t xml:space="preserve"> (7, 100)</w:t>
            </w:r>
          </w:p>
        </w:tc>
      </w:tr>
      <w:tr w:rsidR="004C0F04" w:rsidRPr="002019B2" w:rsidTr="007C7B54">
        <w:trPr>
          <w:tblHeader/>
        </w:trPr>
        <w:tc>
          <w:tcPr>
            <w:tcW w:w="2916" w:type="pct"/>
            <w:gridSpan w:val="3"/>
            <w:tcBorders>
              <w:top w:val="nil"/>
              <w:left w:val="nil"/>
              <w:bottom w:val="nil"/>
              <w:right w:val="nil"/>
            </w:tcBorders>
          </w:tcPr>
          <w:p w:rsidR="004C0F04" w:rsidRPr="002019B2" w:rsidRDefault="004C0F04" w:rsidP="00252290">
            <w:pPr>
              <w:rPr>
                <w:rFonts w:ascii="Arial Narrow" w:hAnsi="Arial Narrow"/>
                <w:b/>
                <w:bCs/>
                <w:sz w:val="20"/>
                <w:szCs w:val="20"/>
              </w:rPr>
            </w:pPr>
            <w:r w:rsidRPr="002019B2">
              <w:rPr>
                <w:rFonts w:ascii="Arial Narrow" w:hAnsi="Arial Narrow"/>
                <w:b/>
                <w:bCs/>
                <w:sz w:val="20"/>
                <w:szCs w:val="20"/>
              </w:rPr>
              <w:t>BARI v ADA</w:t>
            </w: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p>
        </w:tc>
      </w:tr>
      <w:tr w:rsidR="004C0F04" w:rsidRPr="002019B2" w:rsidTr="007C7B54">
        <w:trPr>
          <w:tblHeader/>
        </w:trPr>
        <w:tc>
          <w:tcPr>
            <w:tcW w:w="1331" w:type="pct"/>
            <w:tcBorders>
              <w:top w:val="nil"/>
              <w:left w:val="nil"/>
              <w:bottom w:val="single" w:sz="4" w:space="0" w:color="auto"/>
              <w:right w:val="nil"/>
            </w:tcBorders>
          </w:tcPr>
          <w:p w:rsidR="004C0F04" w:rsidRPr="002019B2" w:rsidRDefault="004C0F04" w:rsidP="00252290">
            <w:pPr>
              <w:pStyle w:val="Tabletext"/>
            </w:pPr>
            <w:r w:rsidRPr="002019B2">
              <w:t>RA-BEAM/JADV</w:t>
            </w:r>
          </w:p>
        </w:tc>
        <w:tc>
          <w:tcPr>
            <w:tcW w:w="792" w:type="pct"/>
            <w:tcBorders>
              <w:top w:val="nil"/>
              <w:left w:val="nil"/>
              <w:bottom w:val="single" w:sz="4" w:space="0" w:color="auto"/>
              <w:right w:val="nil"/>
            </w:tcBorders>
            <w:vAlign w:val="center"/>
          </w:tcPr>
          <w:p w:rsidR="004C0F04" w:rsidRPr="002019B2" w:rsidRDefault="004C0F04" w:rsidP="00252290">
            <w:pPr>
              <w:pStyle w:val="Tabletext"/>
              <w:jc w:val="center"/>
            </w:pPr>
            <w:r w:rsidRPr="002019B2">
              <w:t>339/487 (69.6)</w:t>
            </w:r>
          </w:p>
        </w:tc>
        <w:tc>
          <w:tcPr>
            <w:tcW w:w="792" w:type="pct"/>
            <w:tcBorders>
              <w:top w:val="nil"/>
              <w:left w:val="nil"/>
              <w:bottom w:val="single" w:sz="4" w:space="0" w:color="auto"/>
              <w:right w:val="nil"/>
            </w:tcBorders>
            <w:vAlign w:val="center"/>
          </w:tcPr>
          <w:p w:rsidR="004C0F04" w:rsidRPr="002019B2" w:rsidRDefault="004C0F04" w:rsidP="00252290">
            <w:pPr>
              <w:pStyle w:val="Tabletext"/>
              <w:jc w:val="center"/>
            </w:pPr>
            <w:r w:rsidRPr="002019B2">
              <w:t>202/330 (61.2)</w:t>
            </w:r>
          </w:p>
        </w:tc>
        <w:tc>
          <w:tcPr>
            <w:tcW w:w="792" w:type="pct"/>
            <w:tcBorders>
              <w:top w:val="nil"/>
              <w:left w:val="nil"/>
              <w:bottom w:val="single" w:sz="4" w:space="0" w:color="auto"/>
              <w:right w:val="nil"/>
            </w:tcBorders>
            <w:vAlign w:val="center"/>
          </w:tcPr>
          <w:p w:rsidR="004C0F04" w:rsidRPr="002019B2" w:rsidRDefault="004C0F04" w:rsidP="00252290">
            <w:pPr>
              <w:pStyle w:val="Tabletext"/>
              <w:jc w:val="center"/>
              <w:rPr>
                <w:bCs/>
              </w:rPr>
            </w:pPr>
            <w:r w:rsidRPr="002019B2">
              <w:rPr>
                <w:bCs/>
              </w:rPr>
              <w:t>1.14 (1.02,1.26)</w:t>
            </w:r>
          </w:p>
        </w:tc>
        <w:tc>
          <w:tcPr>
            <w:tcW w:w="792" w:type="pct"/>
            <w:tcBorders>
              <w:top w:val="nil"/>
              <w:left w:val="nil"/>
              <w:bottom w:val="single" w:sz="4" w:space="0" w:color="auto"/>
              <w:right w:val="nil"/>
            </w:tcBorders>
            <w:vAlign w:val="center"/>
          </w:tcPr>
          <w:p w:rsidR="004C0F04" w:rsidRPr="002019B2" w:rsidRDefault="004C0F04" w:rsidP="00252290">
            <w:pPr>
              <w:pStyle w:val="Tabletext"/>
              <w:jc w:val="center"/>
              <w:rPr>
                <w:bCs/>
              </w:rPr>
            </w:pPr>
            <w:r w:rsidRPr="002019B2">
              <w:rPr>
                <w:bCs/>
              </w:rPr>
              <w:t>0.08 (0.02,0.15)</w:t>
            </w:r>
          </w:p>
        </w:tc>
        <w:tc>
          <w:tcPr>
            <w:tcW w:w="501" w:type="pct"/>
            <w:tcBorders>
              <w:top w:val="nil"/>
              <w:left w:val="nil"/>
              <w:bottom w:val="single" w:sz="4" w:space="0" w:color="auto"/>
              <w:right w:val="nil"/>
            </w:tcBorders>
            <w:vAlign w:val="center"/>
          </w:tcPr>
          <w:p w:rsidR="004C0F04" w:rsidRPr="002019B2" w:rsidRDefault="004C0F04" w:rsidP="00802C10">
            <w:pPr>
              <w:jc w:val="center"/>
              <w:rPr>
                <w:rFonts w:ascii="Arial Narrow" w:hAnsi="Arial Narrow"/>
                <w:sz w:val="20"/>
                <w:szCs w:val="20"/>
              </w:rPr>
            </w:pPr>
            <w:r w:rsidRPr="002019B2">
              <w:rPr>
                <w:rFonts w:ascii="Arial Narrow" w:hAnsi="Arial Narrow"/>
                <w:sz w:val="20"/>
                <w:szCs w:val="20"/>
              </w:rPr>
              <w:t>1</w:t>
            </w:r>
            <w:r w:rsidR="00802C10" w:rsidRPr="002019B2">
              <w:rPr>
                <w:rFonts w:ascii="Arial Narrow" w:hAnsi="Arial Narrow"/>
                <w:sz w:val="20"/>
                <w:szCs w:val="20"/>
              </w:rPr>
              <w:t>3</w:t>
            </w:r>
            <w:r w:rsidRPr="002019B2">
              <w:rPr>
                <w:rFonts w:ascii="Arial Narrow" w:hAnsi="Arial Narrow"/>
                <w:sz w:val="20"/>
                <w:szCs w:val="20"/>
              </w:rPr>
              <w:t xml:space="preserve"> (7, 50)</w:t>
            </w:r>
          </w:p>
        </w:tc>
      </w:tr>
      <w:tr w:rsidR="004C0F04" w:rsidRPr="002019B2" w:rsidTr="007C7B54">
        <w:trPr>
          <w:tblHeader/>
        </w:trPr>
        <w:tc>
          <w:tcPr>
            <w:tcW w:w="2916" w:type="pct"/>
            <w:gridSpan w:val="3"/>
            <w:tcBorders>
              <w:left w:val="nil"/>
              <w:bottom w:val="nil"/>
              <w:right w:val="nil"/>
            </w:tcBorders>
          </w:tcPr>
          <w:p w:rsidR="004C0F04" w:rsidRPr="002019B2" w:rsidRDefault="004C0F04" w:rsidP="00252290">
            <w:pPr>
              <w:rPr>
                <w:rFonts w:ascii="Arial Narrow" w:hAnsi="Arial Narrow"/>
                <w:color w:val="1F497D" w:themeColor="text2"/>
                <w:sz w:val="20"/>
                <w:szCs w:val="20"/>
                <w:u w:val="single"/>
              </w:rPr>
            </w:pPr>
            <w:r w:rsidRPr="002019B2">
              <w:rPr>
                <w:rFonts w:ascii="Arial Narrow" w:hAnsi="Arial Narrow"/>
                <w:b/>
                <w:bCs/>
                <w:color w:val="31849B" w:themeColor="accent5" w:themeShade="BF"/>
                <w:sz w:val="20"/>
                <w:szCs w:val="20"/>
                <w:u w:val="single"/>
              </w:rPr>
              <w:t>bDMARD IR population</w:t>
            </w:r>
          </w:p>
        </w:tc>
        <w:tc>
          <w:tcPr>
            <w:tcW w:w="792" w:type="pct"/>
            <w:tcBorders>
              <w:top w:val="single" w:sz="4" w:space="0" w:color="auto"/>
              <w:left w:val="nil"/>
              <w:bottom w:val="nil"/>
              <w:right w:val="nil"/>
            </w:tcBorders>
          </w:tcPr>
          <w:p w:rsidR="004C0F04" w:rsidRPr="002019B2" w:rsidRDefault="004C0F04" w:rsidP="00252290">
            <w:pPr>
              <w:jc w:val="center"/>
              <w:rPr>
                <w:rFonts w:ascii="Arial Narrow" w:hAnsi="Arial Narrow"/>
                <w:iCs/>
                <w:sz w:val="20"/>
                <w:szCs w:val="20"/>
              </w:rPr>
            </w:pPr>
          </w:p>
        </w:tc>
        <w:tc>
          <w:tcPr>
            <w:tcW w:w="792" w:type="pct"/>
            <w:tcBorders>
              <w:top w:val="single" w:sz="4" w:space="0" w:color="auto"/>
              <w:left w:val="nil"/>
              <w:bottom w:val="nil"/>
              <w:right w:val="nil"/>
            </w:tcBorders>
          </w:tcPr>
          <w:p w:rsidR="004C0F04" w:rsidRPr="002019B2" w:rsidRDefault="004C0F04" w:rsidP="00252290">
            <w:pPr>
              <w:jc w:val="center"/>
              <w:rPr>
                <w:rFonts w:ascii="Arial Narrow" w:hAnsi="Arial Narrow"/>
                <w:iCs/>
                <w:sz w:val="20"/>
                <w:szCs w:val="20"/>
              </w:rPr>
            </w:pPr>
          </w:p>
        </w:tc>
        <w:tc>
          <w:tcPr>
            <w:tcW w:w="501" w:type="pct"/>
            <w:tcBorders>
              <w:top w:val="single" w:sz="4" w:space="0" w:color="auto"/>
              <w:left w:val="nil"/>
              <w:bottom w:val="nil"/>
              <w:right w:val="nil"/>
            </w:tcBorders>
            <w:vAlign w:val="center"/>
          </w:tcPr>
          <w:p w:rsidR="004C0F04" w:rsidRPr="002019B2" w:rsidRDefault="004C0F04" w:rsidP="00252290">
            <w:pPr>
              <w:jc w:val="center"/>
              <w:rPr>
                <w:rFonts w:ascii="Arial Narrow" w:hAnsi="Arial Narrow"/>
                <w:b/>
                <w:sz w:val="20"/>
                <w:szCs w:val="20"/>
              </w:rPr>
            </w:pPr>
          </w:p>
        </w:tc>
      </w:tr>
      <w:tr w:rsidR="004C0F04" w:rsidRPr="002019B2" w:rsidTr="007C7B54">
        <w:trPr>
          <w:tblHeader/>
        </w:trPr>
        <w:tc>
          <w:tcPr>
            <w:tcW w:w="2916" w:type="pct"/>
            <w:gridSpan w:val="3"/>
            <w:tcBorders>
              <w:top w:val="nil"/>
              <w:left w:val="nil"/>
              <w:bottom w:val="nil"/>
              <w:right w:val="nil"/>
            </w:tcBorders>
          </w:tcPr>
          <w:p w:rsidR="004C0F04" w:rsidRPr="002019B2" w:rsidRDefault="004C0F04" w:rsidP="00252290">
            <w:pPr>
              <w:rPr>
                <w:rFonts w:ascii="Arial Narrow" w:hAnsi="Arial Narrow"/>
                <w:b/>
                <w:bCs/>
                <w:sz w:val="20"/>
                <w:szCs w:val="20"/>
              </w:rPr>
            </w:pPr>
            <w:r w:rsidRPr="002019B2">
              <w:rPr>
                <w:rFonts w:ascii="Arial Narrow" w:hAnsi="Arial Narrow"/>
                <w:b/>
                <w:bCs/>
                <w:sz w:val="20"/>
                <w:szCs w:val="20"/>
              </w:rPr>
              <w:t>UPA v PBO</w:t>
            </w: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p>
        </w:tc>
      </w:tr>
      <w:tr w:rsidR="004C0F04" w:rsidRPr="002019B2" w:rsidTr="007C7B54">
        <w:trPr>
          <w:tblHeader/>
        </w:trPr>
        <w:tc>
          <w:tcPr>
            <w:tcW w:w="1331" w:type="pct"/>
            <w:tcBorders>
              <w:top w:val="nil"/>
              <w:left w:val="nil"/>
              <w:bottom w:val="nil"/>
              <w:right w:val="nil"/>
            </w:tcBorders>
          </w:tcPr>
          <w:p w:rsidR="004C0F04" w:rsidRPr="002019B2" w:rsidRDefault="004C0F04" w:rsidP="00252290">
            <w:pPr>
              <w:rPr>
                <w:rFonts w:ascii="Arial Narrow" w:hAnsi="Arial Narrow"/>
                <w:sz w:val="20"/>
                <w:szCs w:val="20"/>
              </w:rPr>
            </w:pPr>
            <w:r w:rsidRPr="002019B2">
              <w:rPr>
                <w:rFonts w:ascii="Arial Narrow" w:hAnsi="Arial Narrow"/>
                <w:sz w:val="20"/>
                <w:szCs w:val="20"/>
              </w:rPr>
              <w:t>SELECT BEYOND</w:t>
            </w:r>
          </w:p>
        </w:tc>
        <w:tc>
          <w:tcPr>
            <w:tcW w:w="792" w:type="pct"/>
            <w:tcBorders>
              <w:top w:val="nil"/>
              <w:left w:val="nil"/>
              <w:bottom w:val="nil"/>
              <w:right w:val="nil"/>
            </w:tcBorders>
          </w:tcPr>
          <w:p w:rsidR="004C0F04" w:rsidRPr="002019B2" w:rsidRDefault="004C0F04" w:rsidP="00252290">
            <w:pPr>
              <w:jc w:val="left"/>
              <w:rPr>
                <w:rFonts w:ascii="Arial Narrow" w:hAnsi="Arial Narrow"/>
                <w:sz w:val="20"/>
                <w:szCs w:val="20"/>
              </w:rPr>
            </w:pPr>
            <w:r w:rsidRPr="002019B2">
              <w:rPr>
                <w:rFonts w:ascii="Arial Narrow" w:hAnsi="Arial Narrow"/>
                <w:sz w:val="20"/>
                <w:szCs w:val="20"/>
              </w:rPr>
              <w:t>106/164 (64.6)</w:t>
            </w:r>
          </w:p>
        </w:tc>
        <w:tc>
          <w:tcPr>
            <w:tcW w:w="792" w:type="pct"/>
            <w:tcBorders>
              <w:top w:val="nil"/>
              <w:left w:val="nil"/>
              <w:bottom w:val="nil"/>
              <w:right w:val="nil"/>
            </w:tcBorders>
          </w:tcPr>
          <w:p w:rsidR="004C0F04" w:rsidRPr="002019B2" w:rsidRDefault="004C0F04" w:rsidP="00252290">
            <w:pPr>
              <w:jc w:val="left"/>
              <w:rPr>
                <w:rFonts w:ascii="Arial Narrow" w:hAnsi="Arial Narrow"/>
                <w:sz w:val="20"/>
                <w:szCs w:val="20"/>
              </w:rPr>
            </w:pPr>
            <w:r w:rsidRPr="002019B2">
              <w:rPr>
                <w:rFonts w:ascii="Arial Narrow" w:hAnsi="Arial Narrow"/>
                <w:sz w:val="20"/>
                <w:szCs w:val="20"/>
              </w:rPr>
              <w:t>48/169 (28.4)</w:t>
            </w:r>
          </w:p>
        </w:tc>
        <w:tc>
          <w:tcPr>
            <w:tcW w:w="792" w:type="pct"/>
            <w:tcBorders>
              <w:top w:val="nil"/>
              <w:left w:val="nil"/>
              <w:bottom w:val="nil"/>
              <w:right w:val="nil"/>
            </w:tcBorders>
          </w:tcPr>
          <w:p w:rsidR="004C0F04" w:rsidRPr="002019B2" w:rsidRDefault="004C0F04" w:rsidP="00252290">
            <w:pPr>
              <w:jc w:val="center"/>
              <w:rPr>
                <w:rFonts w:ascii="Arial Narrow" w:hAnsi="Arial Narrow"/>
                <w:bCs/>
                <w:sz w:val="20"/>
                <w:szCs w:val="20"/>
              </w:rPr>
            </w:pPr>
            <w:r w:rsidRPr="002019B2">
              <w:rPr>
                <w:rFonts w:ascii="Arial Narrow" w:hAnsi="Arial Narrow"/>
                <w:bCs/>
                <w:sz w:val="20"/>
                <w:szCs w:val="20"/>
              </w:rPr>
              <w:t>2.28 (1.75,2.97)</w:t>
            </w:r>
          </w:p>
        </w:tc>
        <w:tc>
          <w:tcPr>
            <w:tcW w:w="792" w:type="pct"/>
            <w:tcBorders>
              <w:top w:val="nil"/>
              <w:left w:val="nil"/>
              <w:bottom w:val="nil"/>
              <w:right w:val="nil"/>
            </w:tcBorders>
          </w:tcPr>
          <w:p w:rsidR="004C0F04" w:rsidRPr="002019B2" w:rsidRDefault="004C0F04" w:rsidP="00252290">
            <w:pPr>
              <w:jc w:val="center"/>
              <w:rPr>
                <w:rFonts w:ascii="Arial Narrow" w:hAnsi="Arial Narrow"/>
                <w:bCs/>
                <w:sz w:val="20"/>
                <w:szCs w:val="20"/>
              </w:rPr>
            </w:pPr>
            <w:r w:rsidRPr="002019B2">
              <w:rPr>
                <w:rFonts w:ascii="Arial Narrow" w:hAnsi="Arial Narrow"/>
                <w:bCs/>
                <w:sz w:val="20"/>
                <w:szCs w:val="20"/>
              </w:rPr>
              <w:t>0.36 (0.26,0.46)</w:t>
            </w: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r w:rsidRPr="002019B2">
              <w:rPr>
                <w:rFonts w:ascii="Arial Narrow" w:hAnsi="Arial Narrow"/>
                <w:sz w:val="20"/>
                <w:szCs w:val="20"/>
              </w:rPr>
              <w:t>3 (2, 4)</w:t>
            </w:r>
          </w:p>
        </w:tc>
      </w:tr>
      <w:tr w:rsidR="004C0F04" w:rsidRPr="002019B2" w:rsidTr="007C7B54">
        <w:trPr>
          <w:trHeight w:val="374"/>
          <w:tblHeader/>
        </w:trPr>
        <w:tc>
          <w:tcPr>
            <w:tcW w:w="2916" w:type="pct"/>
            <w:gridSpan w:val="3"/>
            <w:tcBorders>
              <w:top w:val="nil"/>
              <w:left w:val="nil"/>
              <w:bottom w:val="nil"/>
              <w:right w:val="nil"/>
            </w:tcBorders>
          </w:tcPr>
          <w:p w:rsidR="004C0F04" w:rsidRPr="002019B2" w:rsidRDefault="004C0F04" w:rsidP="00252290">
            <w:pPr>
              <w:jc w:val="left"/>
              <w:rPr>
                <w:rFonts w:ascii="Arial Narrow" w:hAnsi="Arial Narrow"/>
                <w:sz w:val="20"/>
                <w:szCs w:val="20"/>
              </w:rPr>
            </w:pPr>
            <w:r w:rsidRPr="002019B2">
              <w:rPr>
                <w:rFonts w:ascii="Arial Narrow" w:hAnsi="Arial Narrow"/>
                <w:b/>
                <w:bCs/>
                <w:sz w:val="20"/>
                <w:szCs w:val="20"/>
              </w:rPr>
              <w:t>BARI v PBO</w:t>
            </w: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p>
        </w:tc>
      </w:tr>
      <w:tr w:rsidR="004C0F04" w:rsidRPr="002019B2" w:rsidTr="007C7B54">
        <w:trPr>
          <w:tblHeader/>
        </w:trPr>
        <w:tc>
          <w:tcPr>
            <w:tcW w:w="1331" w:type="pct"/>
            <w:tcBorders>
              <w:top w:val="nil"/>
              <w:left w:val="nil"/>
              <w:bottom w:val="double" w:sz="4" w:space="0" w:color="auto"/>
              <w:right w:val="nil"/>
            </w:tcBorders>
          </w:tcPr>
          <w:p w:rsidR="004C0F04" w:rsidRPr="002019B2" w:rsidRDefault="004C0F04" w:rsidP="00252290">
            <w:pPr>
              <w:rPr>
                <w:rFonts w:ascii="Arial Narrow" w:hAnsi="Arial Narrow"/>
                <w:sz w:val="20"/>
                <w:szCs w:val="20"/>
              </w:rPr>
            </w:pPr>
            <w:r w:rsidRPr="002019B2">
              <w:rPr>
                <w:rFonts w:ascii="Arial Narrow" w:hAnsi="Arial Narrow"/>
                <w:sz w:val="20"/>
                <w:szCs w:val="20"/>
              </w:rPr>
              <w:t>RA-BEACON/JADW</w:t>
            </w:r>
          </w:p>
        </w:tc>
        <w:tc>
          <w:tcPr>
            <w:tcW w:w="792" w:type="pct"/>
            <w:tcBorders>
              <w:top w:val="nil"/>
              <w:left w:val="nil"/>
              <w:bottom w:val="double" w:sz="4" w:space="0" w:color="auto"/>
              <w:right w:val="nil"/>
            </w:tcBorders>
          </w:tcPr>
          <w:p w:rsidR="004C0F04" w:rsidRPr="002019B2" w:rsidRDefault="004C0F04" w:rsidP="00252290">
            <w:pPr>
              <w:jc w:val="left"/>
              <w:rPr>
                <w:rFonts w:ascii="Arial Narrow" w:hAnsi="Arial Narrow"/>
                <w:sz w:val="20"/>
                <w:szCs w:val="20"/>
              </w:rPr>
            </w:pPr>
            <w:r w:rsidRPr="002019B2">
              <w:rPr>
                <w:rFonts w:ascii="Arial Narrow" w:hAnsi="Arial Narrow"/>
                <w:sz w:val="20"/>
                <w:szCs w:val="20"/>
              </w:rPr>
              <w:t>98/177 (55.4)</w:t>
            </w:r>
          </w:p>
        </w:tc>
        <w:tc>
          <w:tcPr>
            <w:tcW w:w="792" w:type="pct"/>
            <w:tcBorders>
              <w:top w:val="nil"/>
              <w:left w:val="nil"/>
              <w:bottom w:val="double" w:sz="4" w:space="0" w:color="auto"/>
              <w:right w:val="nil"/>
            </w:tcBorders>
          </w:tcPr>
          <w:p w:rsidR="004C0F04" w:rsidRPr="002019B2" w:rsidRDefault="004C0F04" w:rsidP="00252290">
            <w:pPr>
              <w:jc w:val="left"/>
              <w:rPr>
                <w:rFonts w:ascii="Arial Narrow" w:hAnsi="Arial Narrow"/>
                <w:sz w:val="20"/>
                <w:szCs w:val="20"/>
              </w:rPr>
            </w:pPr>
            <w:r w:rsidRPr="002019B2">
              <w:rPr>
                <w:rFonts w:ascii="Arial Narrow" w:hAnsi="Arial Narrow"/>
                <w:sz w:val="20"/>
                <w:szCs w:val="20"/>
              </w:rPr>
              <w:t>48/176 (27.3)</w:t>
            </w:r>
          </w:p>
        </w:tc>
        <w:tc>
          <w:tcPr>
            <w:tcW w:w="792" w:type="pct"/>
            <w:tcBorders>
              <w:top w:val="nil"/>
              <w:left w:val="nil"/>
              <w:bottom w:val="double" w:sz="4" w:space="0" w:color="auto"/>
              <w:right w:val="nil"/>
            </w:tcBorders>
          </w:tcPr>
          <w:p w:rsidR="004C0F04" w:rsidRPr="002019B2" w:rsidRDefault="004C0F04" w:rsidP="00252290">
            <w:pPr>
              <w:jc w:val="center"/>
              <w:rPr>
                <w:rFonts w:ascii="Arial Narrow" w:hAnsi="Arial Narrow"/>
                <w:bCs/>
                <w:sz w:val="20"/>
                <w:szCs w:val="20"/>
              </w:rPr>
            </w:pPr>
            <w:r w:rsidRPr="002019B2">
              <w:rPr>
                <w:rFonts w:ascii="Arial Narrow" w:hAnsi="Arial Narrow"/>
                <w:bCs/>
                <w:sz w:val="20"/>
                <w:szCs w:val="20"/>
              </w:rPr>
              <w:t>2.03 (1.54,2.67)</w:t>
            </w:r>
          </w:p>
        </w:tc>
        <w:tc>
          <w:tcPr>
            <w:tcW w:w="792" w:type="pct"/>
            <w:tcBorders>
              <w:top w:val="nil"/>
              <w:left w:val="nil"/>
              <w:bottom w:val="double" w:sz="4" w:space="0" w:color="auto"/>
              <w:right w:val="nil"/>
            </w:tcBorders>
          </w:tcPr>
          <w:p w:rsidR="004C0F04" w:rsidRPr="002019B2" w:rsidRDefault="004C0F04" w:rsidP="00252290">
            <w:pPr>
              <w:jc w:val="center"/>
              <w:rPr>
                <w:rFonts w:ascii="Arial Narrow" w:hAnsi="Arial Narrow"/>
                <w:bCs/>
                <w:sz w:val="20"/>
                <w:szCs w:val="20"/>
              </w:rPr>
            </w:pPr>
            <w:r w:rsidRPr="002019B2">
              <w:rPr>
                <w:rFonts w:ascii="Arial Narrow" w:hAnsi="Arial Narrow"/>
                <w:bCs/>
                <w:sz w:val="20"/>
                <w:szCs w:val="20"/>
              </w:rPr>
              <w:t>0.28 (0.18,0.38)</w:t>
            </w:r>
          </w:p>
        </w:tc>
        <w:tc>
          <w:tcPr>
            <w:tcW w:w="501" w:type="pct"/>
            <w:tcBorders>
              <w:top w:val="nil"/>
              <w:left w:val="nil"/>
              <w:bottom w:val="double" w:sz="4" w:space="0" w:color="auto"/>
              <w:right w:val="nil"/>
            </w:tcBorders>
            <w:vAlign w:val="center"/>
          </w:tcPr>
          <w:p w:rsidR="004C0F04" w:rsidRPr="002019B2" w:rsidRDefault="004C0F04" w:rsidP="00802C10">
            <w:pPr>
              <w:jc w:val="center"/>
              <w:rPr>
                <w:rFonts w:ascii="Arial Narrow" w:hAnsi="Arial Narrow"/>
                <w:sz w:val="20"/>
                <w:szCs w:val="20"/>
              </w:rPr>
            </w:pPr>
            <w:r w:rsidRPr="002019B2">
              <w:rPr>
                <w:rFonts w:ascii="Arial Narrow" w:hAnsi="Arial Narrow"/>
                <w:sz w:val="20"/>
                <w:szCs w:val="20"/>
              </w:rPr>
              <w:t xml:space="preserve">4 (3, </w:t>
            </w:r>
            <w:r w:rsidR="00802C10" w:rsidRPr="002019B2">
              <w:rPr>
                <w:rFonts w:ascii="Arial Narrow" w:hAnsi="Arial Narrow"/>
                <w:sz w:val="20"/>
                <w:szCs w:val="20"/>
              </w:rPr>
              <w:t>6</w:t>
            </w:r>
            <w:r w:rsidRPr="002019B2">
              <w:rPr>
                <w:rFonts w:ascii="Arial Narrow" w:hAnsi="Arial Narrow"/>
                <w:sz w:val="20"/>
                <w:szCs w:val="20"/>
              </w:rPr>
              <w:t>)</w:t>
            </w:r>
          </w:p>
        </w:tc>
      </w:tr>
      <w:tr w:rsidR="004C0F04" w:rsidRPr="002019B2" w:rsidTr="007C7B54">
        <w:trPr>
          <w:tblHeader/>
        </w:trPr>
        <w:tc>
          <w:tcPr>
            <w:tcW w:w="2916" w:type="pct"/>
            <w:gridSpan w:val="3"/>
            <w:tcBorders>
              <w:top w:val="double" w:sz="4" w:space="0" w:color="auto"/>
              <w:left w:val="nil"/>
              <w:bottom w:val="nil"/>
              <w:right w:val="nil"/>
            </w:tcBorders>
          </w:tcPr>
          <w:p w:rsidR="004C0F04" w:rsidRPr="002019B2" w:rsidRDefault="004C0F04" w:rsidP="00252290">
            <w:pPr>
              <w:rPr>
                <w:rFonts w:ascii="Arial Narrow" w:hAnsi="Arial Narrow"/>
                <w:color w:val="9BBB59" w:themeColor="accent3"/>
                <w:sz w:val="20"/>
                <w:szCs w:val="20"/>
              </w:rPr>
            </w:pPr>
            <w:r w:rsidRPr="002019B2">
              <w:rPr>
                <w:rFonts w:ascii="Arial Narrow" w:hAnsi="Arial Narrow"/>
                <w:b/>
                <w:bCs/>
                <w:sz w:val="20"/>
                <w:szCs w:val="20"/>
              </w:rPr>
              <w:t>Indirect Comparisons</w:t>
            </w:r>
          </w:p>
        </w:tc>
        <w:tc>
          <w:tcPr>
            <w:tcW w:w="792" w:type="pct"/>
            <w:tcBorders>
              <w:top w:val="double" w:sz="4" w:space="0" w:color="auto"/>
              <w:left w:val="nil"/>
              <w:bottom w:val="nil"/>
              <w:right w:val="nil"/>
            </w:tcBorders>
          </w:tcPr>
          <w:p w:rsidR="004C0F04" w:rsidRPr="002019B2" w:rsidRDefault="004C0F04" w:rsidP="00252290">
            <w:pPr>
              <w:jc w:val="center"/>
              <w:rPr>
                <w:rFonts w:ascii="Arial Narrow" w:hAnsi="Arial Narrow"/>
                <w:iCs/>
                <w:sz w:val="20"/>
                <w:szCs w:val="20"/>
              </w:rPr>
            </w:pPr>
          </w:p>
        </w:tc>
        <w:tc>
          <w:tcPr>
            <w:tcW w:w="792" w:type="pct"/>
            <w:tcBorders>
              <w:top w:val="double" w:sz="4" w:space="0" w:color="auto"/>
              <w:left w:val="nil"/>
              <w:bottom w:val="nil"/>
              <w:right w:val="nil"/>
            </w:tcBorders>
          </w:tcPr>
          <w:p w:rsidR="004C0F04" w:rsidRPr="002019B2" w:rsidRDefault="004C0F04" w:rsidP="00252290">
            <w:pPr>
              <w:jc w:val="center"/>
              <w:rPr>
                <w:rFonts w:ascii="Arial Narrow" w:hAnsi="Arial Narrow"/>
                <w:iCs/>
                <w:sz w:val="20"/>
                <w:szCs w:val="20"/>
              </w:rPr>
            </w:pPr>
          </w:p>
        </w:tc>
        <w:tc>
          <w:tcPr>
            <w:tcW w:w="501" w:type="pct"/>
            <w:tcBorders>
              <w:top w:val="double" w:sz="4" w:space="0" w:color="auto"/>
              <w:left w:val="nil"/>
              <w:bottom w:val="nil"/>
              <w:right w:val="nil"/>
            </w:tcBorders>
            <w:vAlign w:val="center"/>
          </w:tcPr>
          <w:p w:rsidR="004C0F04" w:rsidRPr="002019B2" w:rsidRDefault="004C0F04" w:rsidP="00252290">
            <w:pPr>
              <w:jc w:val="center"/>
              <w:rPr>
                <w:rFonts w:ascii="Arial Narrow" w:hAnsi="Arial Narrow"/>
                <w:sz w:val="20"/>
                <w:szCs w:val="20"/>
              </w:rPr>
            </w:pPr>
          </w:p>
        </w:tc>
      </w:tr>
      <w:tr w:rsidR="004C0F04" w:rsidRPr="002019B2" w:rsidTr="007C7B54">
        <w:trPr>
          <w:tblHeader/>
        </w:trPr>
        <w:tc>
          <w:tcPr>
            <w:tcW w:w="2916" w:type="pct"/>
            <w:gridSpan w:val="3"/>
            <w:tcBorders>
              <w:top w:val="nil"/>
              <w:left w:val="nil"/>
              <w:bottom w:val="nil"/>
              <w:right w:val="nil"/>
            </w:tcBorders>
            <w:vAlign w:val="center"/>
          </w:tcPr>
          <w:p w:rsidR="004C0F04" w:rsidRPr="002019B2" w:rsidRDefault="004C0F04" w:rsidP="00252290">
            <w:pPr>
              <w:jc w:val="left"/>
              <w:rPr>
                <w:rFonts w:ascii="Arial Narrow" w:hAnsi="Arial Narrow"/>
                <w:b/>
                <w:bCs/>
                <w:color w:val="76923C" w:themeColor="accent3" w:themeShade="BF"/>
                <w:sz w:val="20"/>
                <w:szCs w:val="20"/>
                <w:u w:val="single"/>
              </w:rPr>
            </w:pPr>
            <w:r w:rsidRPr="002019B2">
              <w:rPr>
                <w:rFonts w:ascii="Arial Narrow" w:hAnsi="Arial Narrow"/>
                <w:b/>
                <w:bCs/>
                <w:color w:val="76923C" w:themeColor="accent3" w:themeShade="BF"/>
                <w:sz w:val="20"/>
                <w:szCs w:val="20"/>
                <w:u w:val="single"/>
              </w:rPr>
              <w:t>cDMARD IR population</w:t>
            </w: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p>
        </w:tc>
      </w:tr>
      <w:tr w:rsidR="004C0F04" w:rsidRPr="002019B2" w:rsidTr="007C7B54">
        <w:trPr>
          <w:tblHeader/>
        </w:trPr>
        <w:tc>
          <w:tcPr>
            <w:tcW w:w="2916" w:type="pct"/>
            <w:gridSpan w:val="3"/>
            <w:tcBorders>
              <w:top w:val="nil"/>
              <w:left w:val="nil"/>
              <w:bottom w:val="nil"/>
              <w:right w:val="nil"/>
            </w:tcBorders>
            <w:vAlign w:val="center"/>
          </w:tcPr>
          <w:p w:rsidR="004C0F04" w:rsidRPr="002019B2" w:rsidRDefault="004C0F04" w:rsidP="00252290">
            <w:pPr>
              <w:jc w:val="left"/>
              <w:rPr>
                <w:rFonts w:ascii="Arial Narrow" w:hAnsi="Arial Narrow"/>
                <w:sz w:val="20"/>
                <w:szCs w:val="20"/>
              </w:rPr>
            </w:pPr>
            <w:r w:rsidRPr="002019B2">
              <w:rPr>
                <w:rFonts w:ascii="Arial Narrow" w:hAnsi="Arial Narrow"/>
                <w:sz w:val="20"/>
                <w:szCs w:val="20"/>
              </w:rPr>
              <w:t>UPA (meta-analysis excl. MONO) v BARI (meta-analysis) via PBO</w:t>
            </w:r>
          </w:p>
        </w:tc>
        <w:tc>
          <w:tcPr>
            <w:tcW w:w="792" w:type="pct"/>
            <w:tcBorders>
              <w:top w:val="nil"/>
              <w:left w:val="nil"/>
              <w:bottom w:val="nil"/>
              <w:right w:val="nil"/>
            </w:tcBorders>
          </w:tcPr>
          <w:p w:rsidR="004C0F04" w:rsidRPr="002019B2" w:rsidRDefault="004C0F04" w:rsidP="00252290">
            <w:pPr>
              <w:jc w:val="center"/>
              <w:rPr>
                <w:rFonts w:ascii="Arial Narrow" w:hAnsi="Arial Narrow"/>
                <w:sz w:val="20"/>
                <w:szCs w:val="20"/>
                <w:highlight w:val="yellow"/>
              </w:rPr>
            </w:pPr>
            <w:r w:rsidRPr="002019B2">
              <w:rPr>
                <w:rFonts w:ascii="Arial Narrow" w:hAnsi="Arial Narrow"/>
                <w:sz w:val="20"/>
                <w:szCs w:val="20"/>
              </w:rPr>
              <w:t>1.12 (0.98,1.29)</w:t>
            </w:r>
          </w:p>
        </w:tc>
        <w:tc>
          <w:tcPr>
            <w:tcW w:w="792" w:type="pct"/>
            <w:tcBorders>
              <w:top w:val="nil"/>
              <w:left w:val="nil"/>
              <w:bottom w:val="nil"/>
              <w:right w:val="nil"/>
            </w:tcBorders>
          </w:tcPr>
          <w:p w:rsidR="004C0F04" w:rsidRPr="002019B2" w:rsidRDefault="004C0F04" w:rsidP="00252290">
            <w:pPr>
              <w:jc w:val="center"/>
              <w:rPr>
                <w:rFonts w:ascii="Arial Narrow" w:hAnsi="Arial Narrow"/>
                <w:sz w:val="20"/>
                <w:szCs w:val="20"/>
                <w:highlight w:val="yellow"/>
              </w:rPr>
            </w:pPr>
            <w:r w:rsidRPr="002019B2">
              <w:rPr>
                <w:rFonts w:ascii="Arial Narrow" w:hAnsi="Arial Narrow"/>
                <w:sz w:val="20"/>
                <w:szCs w:val="20"/>
              </w:rPr>
              <w:t>0.05 (-0.01, 0.11)</w:t>
            </w: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r w:rsidRPr="002019B2">
              <w:rPr>
                <w:rFonts w:ascii="Arial Narrow" w:hAnsi="Arial Narrow"/>
                <w:sz w:val="20"/>
                <w:szCs w:val="20"/>
              </w:rPr>
              <w:t>NA</w:t>
            </w:r>
          </w:p>
        </w:tc>
      </w:tr>
      <w:tr w:rsidR="004C0F04" w:rsidRPr="002019B2" w:rsidTr="007C7B54">
        <w:trPr>
          <w:tblHeader/>
        </w:trPr>
        <w:tc>
          <w:tcPr>
            <w:tcW w:w="2916" w:type="pct"/>
            <w:gridSpan w:val="3"/>
            <w:tcBorders>
              <w:top w:val="nil"/>
              <w:left w:val="nil"/>
              <w:bottom w:val="nil"/>
              <w:right w:val="nil"/>
            </w:tcBorders>
            <w:vAlign w:val="center"/>
          </w:tcPr>
          <w:p w:rsidR="004C0F04" w:rsidRPr="002019B2" w:rsidRDefault="004C0F04" w:rsidP="00252290">
            <w:pPr>
              <w:jc w:val="left"/>
              <w:rPr>
                <w:rFonts w:ascii="Arial Narrow" w:hAnsi="Arial Narrow"/>
                <w:iCs/>
                <w:sz w:val="20"/>
                <w:szCs w:val="20"/>
              </w:rPr>
            </w:pPr>
            <w:r w:rsidRPr="002019B2">
              <w:rPr>
                <w:rFonts w:ascii="Arial Narrow" w:hAnsi="Arial Narrow"/>
                <w:iCs/>
                <w:sz w:val="20"/>
                <w:szCs w:val="20"/>
              </w:rPr>
              <w:t>UPA (meta-analysis incl. MONO) v BARI (meta-analysis) via PBO</w:t>
            </w: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r w:rsidRPr="002019B2">
              <w:rPr>
                <w:rFonts w:ascii="Arial Narrow" w:hAnsi="Arial Narrow"/>
                <w:iCs/>
                <w:sz w:val="20"/>
                <w:szCs w:val="20"/>
              </w:rPr>
              <w:t>1.09 (0.96,1.24)</w:t>
            </w:r>
          </w:p>
        </w:tc>
        <w:tc>
          <w:tcPr>
            <w:tcW w:w="792" w:type="pct"/>
            <w:tcBorders>
              <w:top w:val="nil"/>
              <w:left w:val="nil"/>
              <w:bottom w:val="nil"/>
              <w:right w:val="nil"/>
            </w:tcBorders>
          </w:tcPr>
          <w:p w:rsidR="004C0F04" w:rsidRPr="002019B2" w:rsidRDefault="004C0F04" w:rsidP="00252290">
            <w:pPr>
              <w:jc w:val="center"/>
              <w:rPr>
                <w:rFonts w:ascii="Arial Narrow" w:hAnsi="Arial Narrow"/>
                <w:b/>
                <w:bCs/>
                <w:iCs/>
                <w:sz w:val="20"/>
                <w:szCs w:val="20"/>
              </w:rPr>
            </w:pPr>
            <w:r w:rsidRPr="002019B2">
              <w:rPr>
                <w:rFonts w:ascii="Arial Narrow" w:hAnsi="Arial Narrow"/>
                <w:iCs/>
                <w:sz w:val="20"/>
                <w:szCs w:val="20"/>
              </w:rPr>
              <w:t>0.03 (-0.03,0.09)</w:t>
            </w: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r w:rsidRPr="002019B2">
              <w:rPr>
                <w:rFonts w:ascii="Arial Narrow" w:hAnsi="Arial Narrow"/>
                <w:sz w:val="20"/>
                <w:szCs w:val="20"/>
              </w:rPr>
              <w:t>NA</w:t>
            </w:r>
          </w:p>
        </w:tc>
      </w:tr>
      <w:tr w:rsidR="004C0F04" w:rsidRPr="002019B2" w:rsidTr="007C7B54">
        <w:trPr>
          <w:tblHeader/>
        </w:trPr>
        <w:tc>
          <w:tcPr>
            <w:tcW w:w="2916" w:type="pct"/>
            <w:gridSpan w:val="3"/>
            <w:tcBorders>
              <w:top w:val="nil"/>
              <w:left w:val="nil"/>
              <w:bottom w:val="single" w:sz="4" w:space="0" w:color="auto"/>
              <w:right w:val="nil"/>
            </w:tcBorders>
            <w:vAlign w:val="center"/>
          </w:tcPr>
          <w:p w:rsidR="004C0F04" w:rsidRPr="002019B2" w:rsidRDefault="004C0F04" w:rsidP="00252290">
            <w:pPr>
              <w:jc w:val="left"/>
              <w:rPr>
                <w:rFonts w:ascii="Arial Narrow" w:hAnsi="Arial Narrow"/>
                <w:sz w:val="20"/>
                <w:szCs w:val="20"/>
              </w:rPr>
            </w:pPr>
            <w:r w:rsidRPr="002019B2">
              <w:rPr>
                <w:rFonts w:ascii="Arial Narrow" w:hAnsi="Arial Narrow"/>
                <w:sz w:val="20"/>
                <w:szCs w:val="20"/>
              </w:rPr>
              <w:t>UPA (SELECT COMPARE) v BARI (RA-BEAM/JADV) via ADA</w:t>
            </w:r>
          </w:p>
        </w:tc>
        <w:tc>
          <w:tcPr>
            <w:tcW w:w="792" w:type="pct"/>
            <w:tcBorders>
              <w:top w:val="nil"/>
              <w:left w:val="nil"/>
              <w:bottom w:val="nil"/>
              <w:right w:val="nil"/>
            </w:tcBorders>
          </w:tcPr>
          <w:p w:rsidR="004C0F04" w:rsidRPr="002019B2" w:rsidRDefault="004C0F04" w:rsidP="00252290">
            <w:pPr>
              <w:jc w:val="center"/>
              <w:rPr>
                <w:rFonts w:ascii="Arial Narrow" w:hAnsi="Arial Narrow"/>
                <w:sz w:val="20"/>
                <w:szCs w:val="20"/>
              </w:rPr>
            </w:pPr>
            <w:r w:rsidRPr="002019B2">
              <w:rPr>
                <w:rFonts w:ascii="Arial Narrow" w:hAnsi="Arial Narrow"/>
                <w:sz w:val="20"/>
                <w:szCs w:val="20"/>
              </w:rPr>
              <w:t>0.98 (0.85,1.13)</w:t>
            </w: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r w:rsidRPr="002019B2">
              <w:rPr>
                <w:rFonts w:ascii="Arial Narrow" w:hAnsi="Arial Narrow"/>
                <w:iCs/>
                <w:sz w:val="20"/>
                <w:szCs w:val="20"/>
              </w:rPr>
              <w:t>0 (-0.07,0.07)</w:t>
            </w: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r w:rsidRPr="002019B2">
              <w:rPr>
                <w:rFonts w:ascii="Arial Narrow" w:hAnsi="Arial Narrow"/>
                <w:sz w:val="20"/>
                <w:szCs w:val="20"/>
              </w:rPr>
              <w:t>NA</w:t>
            </w:r>
          </w:p>
        </w:tc>
      </w:tr>
      <w:tr w:rsidR="004C0F04" w:rsidRPr="002019B2" w:rsidTr="007C7B54">
        <w:trPr>
          <w:tblHeader/>
        </w:trPr>
        <w:tc>
          <w:tcPr>
            <w:tcW w:w="2916" w:type="pct"/>
            <w:gridSpan w:val="3"/>
            <w:tcBorders>
              <w:top w:val="single" w:sz="4" w:space="0" w:color="auto"/>
              <w:left w:val="nil"/>
              <w:bottom w:val="nil"/>
              <w:right w:val="nil"/>
            </w:tcBorders>
            <w:vAlign w:val="center"/>
          </w:tcPr>
          <w:p w:rsidR="004C0F04" w:rsidRPr="002019B2" w:rsidRDefault="004C0F04" w:rsidP="00252290">
            <w:pPr>
              <w:jc w:val="left"/>
              <w:rPr>
                <w:rFonts w:ascii="Arial Narrow" w:hAnsi="Arial Narrow"/>
                <w:color w:val="4F81BD" w:themeColor="accent1"/>
                <w:sz w:val="20"/>
                <w:szCs w:val="20"/>
                <w:u w:val="single"/>
              </w:rPr>
            </w:pPr>
            <w:r w:rsidRPr="002019B2">
              <w:rPr>
                <w:rFonts w:ascii="Arial Narrow" w:hAnsi="Arial Narrow"/>
                <w:b/>
                <w:bCs/>
                <w:color w:val="31849B" w:themeColor="accent5" w:themeShade="BF"/>
                <w:sz w:val="20"/>
                <w:szCs w:val="20"/>
                <w:u w:val="single"/>
              </w:rPr>
              <w:t>bDMARD IR population</w:t>
            </w: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792" w:type="pct"/>
            <w:tcBorders>
              <w:top w:val="nil"/>
              <w:left w:val="nil"/>
              <w:bottom w:val="nil"/>
              <w:right w:val="nil"/>
            </w:tcBorders>
          </w:tcPr>
          <w:p w:rsidR="004C0F04" w:rsidRPr="002019B2" w:rsidRDefault="004C0F04" w:rsidP="00252290">
            <w:pPr>
              <w:jc w:val="center"/>
              <w:rPr>
                <w:rFonts w:ascii="Arial Narrow" w:hAnsi="Arial Narrow"/>
                <w:iCs/>
                <w:sz w:val="20"/>
                <w:szCs w:val="20"/>
              </w:rPr>
            </w:pPr>
          </w:p>
        </w:tc>
        <w:tc>
          <w:tcPr>
            <w:tcW w:w="501" w:type="pct"/>
            <w:tcBorders>
              <w:top w:val="nil"/>
              <w:left w:val="nil"/>
              <w:bottom w:val="nil"/>
              <w:right w:val="nil"/>
            </w:tcBorders>
            <w:vAlign w:val="center"/>
          </w:tcPr>
          <w:p w:rsidR="004C0F04" w:rsidRPr="002019B2" w:rsidRDefault="004C0F04" w:rsidP="00252290">
            <w:pPr>
              <w:jc w:val="center"/>
              <w:rPr>
                <w:rFonts w:ascii="Arial Narrow" w:hAnsi="Arial Narrow"/>
                <w:sz w:val="20"/>
                <w:szCs w:val="20"/>
              </w:rPr>
            </w:pPr>
          </w:p>
        </w:tc>
      </w:tr>
      <w:tr w:rsidR="004C0F04" w:rsidRPr="002019B2" w:rsidTr="007C7B54">
        <w:trPr>
          <w:tblHeader/>
        </w:trPr>
        <w:tc>
          <w:tcPr>
            <w:tcW w:w="2916" w:type="pct"/>
            <w:gridSpan w:val="3"/>
            <w:tcBorders>
              <w:top w:val="nil"/>
              <w:left w:val="nil"/>
              <w:right w:val="nil"/>
            </w:tcBorders>
          </w:tcPr>
          <w:p w:rsidR="004C0F04" w:rsidRPr="002019B2" w:rsidRDefault="004C0F04" w:rsidP="00252290">
            <w:pPr>
              <w:rPr>
                <w:rFonts w:ascii="Arial Narrow" w:hAnsi="Arial Narrow"/>
                <w:sz w:val="20"/>
                <w:szCs w:val="20"/>
              </w:rPr>
            </w:pPr>
            <w:r w:rsidRPr="002019B2">
              <w:rPr>
                <w:rFonts w:ascii="Arial Narrow" w:hAnsi="Arial Narrow"/>
                <w:sz w:val="20"/>
                <w:szCs w:val="20"/>
              </w:rPr>
              <w:t>UPA (SELECT BEYOND) v BARI (RA-BEACON/JADW) via PBO</w:t>
            </w:r>
          </w:p>
        </w:tc>
        <w:tc>
          <w:tcPr>
            <w:tcW w:w="792" w:type="pct"/>
            <w:tcBorders>
              <w:top w:val="nil"/>
              <w:left w:val="nil"/>
              <w:right w:val="nil"/>
            </w:tcBorders>
          </w:tcPr>
          <w:p w:rsidR="004C0F04" w:rsidRPr="002019B2" w:rsidRDefault="004C0F04" w:rsidP="00252290">
            <w:pPr>
              <w:jc w:val="center"/>
              <w:rPr>
                <w:rFonts w:ascii="Arial Narrow" w:hAnsi="Arial Narrow"/>
                <w:sz w:val="20"/>
                <w:szCs w:val="20"/>
              </w:rPr>
            </w:pPr>
            <w:r w:rsidRPr="002019B2">
              <w:rPr>
                <w:rFonts w:ascii="Arial Narrow" w:hAnsi="Arial Narrow"/>
                <w:sz w:val="20"/>
                <w:szCs w:val="20"/>
              </w:rPr>
              <w:t>1.12 (0.77,1.65)</w:t>
            </w:r>
          </w:p>
        </w:tc>
        <w:tc>
          <w:tcPr>
            <w:tcW w:w="792" w:type="pct"/>
            <w:tcBorders>
              <w:top w:val="nil"/>
              <w:left w:val="nil"/>
              <w:right w:val="nil"/>
            </w:tcBorders>
          </w:tcPr>
          <w:p w:rsidR="004C0F04" w:rsidRPr="002019B2" w:rsidRDefault="004C0F04" w:rsidP="00252290">
            <w:pPr>
              <w:jc w:val="center"/>
              <w:rPr>
                <w:rFonts w:ascii="Arial Narrow" w:hAnsi="Arial Narrow"/>
                <w:iCs/>
                <w:sz w:val="20"/>
                <w:szCs w:val="20"/>
              </w:rPr>
            </w:pPr>
            <w:r w:rsidRPr="002019B2">
              <w:rPr>
                <w:rFonts w:ascii="Arial Narrow" w:hAnsi="Arial Narrow"/>
                <w:iCs/>
                <w:sz w:val="20"/>
                <w:szCs w:val="20"/>
              </w:rPr>
              <w:t>0.08 (-0.06,022)</w:t>
            </w:r>
          </w:p>
        </w:tc>
        <w:tc>
          <w:tcPr>
            <w:tcW w:w="501" w:type="pct"/>
            <w:tcBorders>
              <w:top w:val="nil"/>
              <w:left w:val="nil"/>
              <w:right w:val="nil"/>
            </w:tcBorders>
          </w:tcPr>
          <w:p w:rsidR="004C0F04" w:rsidRPr="002019B2" w:rsidRDefault="004C0F04" w:rsidP="00252290">
            <w:pPr>
              <w:jc w:val="center"/>
              <w:rPr>
                <w:rFonts w:ascii="Arial Narrow" w:hAnsi="Arial Narrow"/>
                <w:sz w:val="20"/>
                <w:szCs w:val="20"/>
              </w:rPr>
            </w:pPr>
            <w:r w:rsidRPr="002019B2">
              <w:rPr>
                <w:rFonts w:ascii="Arial Narrow" w:hAnsi="Arial Narrow"/>
                <w:sz w:val="20"/>
                <w:szCs w:val="20"/>
              </w:rPr>
              <w:t>NA</w:t>
            </w:r>
          </w:p>
        </w:tc>
      </w:tr>
    </w:tbl>
    <w:p w:rsidR="004C0F04" w:rsidRPr="002019B2" w:rsidRDefault="004C0F04" w:rsidP="003636AC">
      <w:pPr>
        <w:pStyle w:val="TableFooter"/>
      </w:pPr>
      <w:r w:rsidRPr="002019B2">
        <w:rPr>
          <w:szCs w:val="16"/>
          <w:vertAlign w:val="superscript"/>
        </w:rPr>
        <w:t>a</w:t>
      </w:r>
      <w:r w:rsidRPr="002019B2">
        <w:t>PBO arm is receiving MTX. Response measured at Wk14.</w:t>
      </w:r>
    </w:p>
    <w:p w:rsidR="004C0F04" w:rsidRPr="002019B2" w:rsidRDefault="004C0F04" w:rsidP="003636AC">
      <w:pPr>
        <w:pStyle w:val="TableFooter"/>
      </w:pPr>
      <w:r w:rsidRPr="002019B2">
        <w:t xml:space="preserve">Abbreviations: ADA=adalimumab; BARI=baricitinib; CI=confidence interval; IR=inadequate response; </w:t>
      </w:r>
      <w:r w:rsidR="00CD2CBD" w:rsidRPr="002019B2">
        <w:t xml:space="preserve">NNT = number needed to treat; </w:t>
      </w:r>
      <w:r w:rsidRPr="002019B2">
        <w:t>OR=odds ratio; PBO=placebo; RD=risk difference; RR=risk ratio; UPA=upa</w:t>
      </w:r>
      <w:r w:rsidR="002B1D13" w:rsidRPr="002019B2">
        <w:t>da</w:t>
      </w:r>
      <w:r w:rsidRPr="002019B2">
        <w:t xml:space="preserve">citinib </w:t>
      </w:r>
    </w:p>
    <w:p w:rsidR="004C0F04" w:rsidRPr="002019B2" w:rsidRDefault="004C0F04" w:rsidP="003636AC">
      <w:pPr>
        <w:pStyle w:val="TableFooter"/>
      </w:pPr>
      <w:r w:rsidRPr="002019B2">
        <w:t>Source: compiled during the evaluation:</w:t>
      </w:r>
      <w:r w:rsidR="00114D2A" w:rsidRPr="002019B2">
        <w:t xml:space="preserve"> </w:t>
      </w:r>
      <w:r w:rsidRPr="002019B2">
        <w:t>Table 2.16, p84; Table 2.20, p89; Table 2.24, p94</w:t>
      </w:r>
      <w:r w:rsidR="006E21BE" w:rsidRPr="002019B2">
        <w:t xml:space="preserve"> of the submission</w:t>
      </w:r>
    </w:p>
    <w:p w:rsidR="00114D2A" w:rsidRPr="002019B2" w:rsidRDefault="00114D2A" w:rsidP="003636AC">
      <w:pPr>
        <w:pStyle w:val="TableFooter"/>
        <w:sectPr w:rsidR="00114D2A" w:rsidRPr="002019B2" w:rsidSect="00E21358">
          <w:pgSz w:w="11907" w:h="16840" w:code="9"/>
          <w:pgMar w:top="1440" w:right="1440" w:bottom="1440" w:left="1440" w:header="1440" w:footer="1440" w:gutter="0"/>
          <w:cols w:space="708"/>
          <w:docGrid w:linePitch="360"/>
        </w:sectPr>
      </w:pPr>
    </w:p>
    <w:p w:rsidR="00B57ABA" w:rsidRPr="002019B2" w:rsidRDefault="00B57ABA" w:rsidP="00B57ABA">
      <w:pPr>
        <w:rPr>
          <w:rFonts w:ascii="Arial Narrow" w:hAnsi="Arial Narrow"/>
          <w:b/>
          <w:bCs/>
          <w:sz w:val="20"/>
          <w:szCs w:val="18"/>
        </w:rPr>
      </w:pPr>
      <w:r w:rsidRPr="002019B2">
        <w:rPr>
          <w:rFonts w:ascii="Arial Narrow" w:hAnsi="Arial Narrow"/>
          <w:b/>
          <w:bCs/>
          <w:sz w:val="20"/>
          <w:szCs w:val="18"/>
        </w:rPr>
        <w:lastRenderedPageBreak/>
        <w:t>Table 6: ACR50 response at Week 12 at the recommended doses of UPA, BARI and ADA, and indirect comparisons presented by the submission</w:t>
      </w:r>
    </w:p>
    <w:tbl>
      <w:tblPr>
        <w:tblStyle w:val="TableGrid"/>
        <w:tblW w:w="5000" w:type="pct"/>
        <w:tblLayout w:type="fixed"/>
        <w:tblCellMar>
          <w:left w:w="28" w:type="dxa"/>
          <w:right w:w="28" w:type="dxa"/>
        </w:tblCellMar>
        <w:tblLook w:val="04A0" w:firstRow="1" w:lastRow="0" w:firstColumn="1" w:lastColumn="0" w:noHBand="0" w:noVBand="1"/>
        <w:tblCaption w:val="Table 6: ACR50 response at Week 12 at the recommended doses of UPA, BARI and ADA, and indirect comparisons presented by the submission"/>
      </w:tblPr>
      <w:tblGrid>
        <w:gridCol w:w="2220"/>
        <w:gridCol w:w="1372"/>
        <w:gridCol w:w="1372"/>
        <w:gridCol w:w="1486"/>
        <w:gridCol w:w="1488"/>
        <w:gridCol w:w="1089"/>
      </w:tblGrid>
      <w:tr w:rsidR="00B57ABA" w:rsidRPr="002019B2" w:rsidTr="007C7B54">
        <w:trPr>
          <w:tblHeader/>
        </w:trPr>
        <w:tc>
          <w:tcPr>
            <w:tcW w:w="1230" w:type="pct"/>
            <w:tcBorders>
              <w:left w:val="nil"/>
              <w:bottom w:val="single" w:sz="4" w:space="0" w:color="auto"/>
              <w:right w:val="nil"/>
            </w:tcBorders>
            <w:vAlign w:val="center"/>
          </w:tcPr>
          <w:p w:rsidR="00B57ABA" w:rsidRPr="002019B2" w:rsidRDefault="00B57ABA" w:rsidP="00252290">
            <w:pPr>
              <w:jc w:val="left"/>
              <w:rPr>
                <w:rFonts w:ascii="Arial Narrow" w:hAnsi="Arial Narrow"/>
                <w:b/>
                <w:bCs/>
                <w:sz w:val="20"/>
                <w:szCs w:val="20"/>
              </w:rPr>
            </w:pPr>
            <w:r w:rsidRPr="002019B2">
              <w:rPr>
                <w:rFonts w:ascii="Arial Narrow" w:hAnsi="Arial Narrow"/>
                <w:b/>
                <w:bCs/>
                <w:sz w:val="20"/>
                <w:szCs w:val="20"/>
              </w:rPr>
              <w:t>Trial</w:t>
            </w:r>
          </w:p>
        </w:tc>
        <w:tc>
          <w:tcPr>
            <w:tcW w:w="760" w:type="pct"/>
            <w:tcBorders>
              <w:left w:val="nil"/>
              <w:bottom w:val="single" w:sz="4" w:space="0" w:color="auto"/>
              <w:right w:val="nil"/>
            </w:tcBorders>
            <w:vAlign w:val="center"/>
          </w:tcPr>
          <w:p w:rsidR="00B57ABA" w:rsidRPr="002019B2" w:rsidRDefault="00B57ABA" w:rsidP="00252290">
            <w:pPr>
              <w:jc w:val="center"/>
              <w:rPr>
                <w:rFonts w:ascii="Arial Narrow" w:hAnsi="Arial Narrow"/>
                <w:b/>
                <w:bCs/>
                <w:sz w:val="20"/>
                <w:szCs w:val="20"/>
              </w:rPr>
            </w:pPr>
            <w:r w:rsidRPr="002019B2">
              <w:rPr>
                <w:rFonts w:ascii="Arial Narrow" w:hAnsi="Arial Narrow"/>
                <w:b/>
                <w:bCs/>
                <w:sz w:val="20"/>
                <w:szCs w:val="20"/>
              </w:rPr>
              <w:t>Drug</w:t>
            </w:r>
          </w:p>
          <w:p w:rsidR="00B57ABA" w:rsidRPr="002019B2" w:rsidRDefault="00B57ABA" w:rsidP="00252290">
            <w:pPr>
              <w:jc w:val="center"/>
              <w:rPr>
                <w:rFonts w:ascii="Arial Narrow" w:hAnsi="Arial Narrow"/>
                <w:b/>
                <w:bCs/>
                <w:sz w:val="20"/>
                <w:szCs w:val="20"/>
              </w:rPr>
            </w:pPr>
            <w:r w:rsidRPr="002019B2">
              <w:rPr>
                <w:rFonts w:ascii="Arial Narrow" w:hAnsi="Arial Narrow"/>
                <w:b/>
                <w:bCs/>
                <w:sz w:val="20"/>
                <w:szCs w:val="20"/>
              </w:rPr>
              <w:t>n/N (%)</w:t>
            </w:r>
          </w:p>
        </w:tc>
        <w:tc>
          <w:tcPr>
            <w:tcW w:w="760" w:type="pct"/>
            <w:tcBorders>
              <w:left w:val="nil"/>
              <w:bottom w:val="single" w:sz="4" w:space="0" w:color="auto"/>
              <w:right w:val="nil"/>
            </w:tcBorders>
            <w:vAlign w:val="center"/>
          </w:tcPr>
          <w:p w:rsidR="00B57ABA" w:rsidRPr="002019B2" w:rsidRDefault="00B57ABA" w:rsidP="00252290">
            <w:pPr>
              <w:jc w:val="center"/>
              <w:rPr>
                <w:rFonts w:ascii="Arial Narrow" w:hAnsi="Arial Narrow"/>
                <w:b/>
                <w:bCs/>
                <w:sz w:val="20"/>
                <w:szCs w:val="20"/>
              </w:rPr>
            </w:pPr>
            <w:r w:rsidRPr="002019B2">
              <w:rPr>
                <w:rFonts w:ascii="Arial Narrow" w:hAnsi="Arial Narrow"/>
                <w:b/>
                <w:bCs/>
                <w:sz w:val="20"/>
                <w:szCs w:val="20"/>
              </w:rPr>
              <w:t>Control</w:t>
            </w:r>
          </w:p>
          <w:p w:rsidR="00B57ABA" w:rsidRPr="002019B2" w:rsidRDefault="00B57ABA" w:rsidP="00252290">
            <w:pPr>
              <w:jc w:val="center"/>
              <w:rPr>
                <w:rFonts w:ascii="Arial Narrow" w:hAnsi="Arial Narrow"/>
                <w:b/>
                <w:bCs/>
                <w:sz w:val="20"/>
                <w:szCs w:val="20"/>
              </w:rPr>
            </w:pPr>
            <w:r w:rsidRPr="002019B2">
              <w:rPr>
                <w:rFonts w:ascii="Arial Narrow" w:hAnsi="Arial Narrow"/>
                <w:b/>
                <w:bCs/>
                <w:sz w:val="20"/>
                <w:szCs w:val="20"/>
              </w:rPr>
              <w:t>n/N (%)</w:t>
            </w:r>
          </w:p>
        </w:tc>
        <w:tc>
          <w:tcPr>
            <w:tcW w:w="823" w:type="pct"/>
            <w:tcBorders>
              <w:left w:val="nil"/>
              <w:bottom w:val="single" w:sz="4" w:space="0" w:color="auto"/>
              <w:right w:val="nil"/>
            </w:tcBorders>
            <w:vAlign w:val="center"/>
          </w:tcPr>
          <w:p w:rsidR="00B57ABA" w:rsidRPr="002019B2" w:rsidRDefault="00B57ABA" w:rsidP="00252290">
            <w:pPr>
              <w:jc w:val="center"/>
              <w:rPr>
                <w:rFonts w:ascii="Arial Narrow" w:hAnsi="Arial Narrow"/>
                <w:b/>
                <w:bCs/>
                <w:sz w:val="20"/>
                <w:szCs w:val="20"/>
                <w:vertAlign w:val="superscript"/>
              </w:rPr>
            </w:pPr>
            <w:r w:rsidRPr="002019B2">
              <w:rPr>
                <w:rFonts w:ascii="Arial Narrow" w:hAnsi="Arial Narrow"/>
                <w:b/>
                <w:bCs/>
                <w:sz w:val="20"/>
                <w:szCs w:val="20"/>
              </w:rPr>
              <w:t>RR</w:t>
            </w:r>
          </w:p>
          <w:p w:rsidR="00B57ABA" w:rsidRPr="002019B2" w:rsidRDefault="00B57ABA" w:rsidP="00252290">
            <w:pPr>
              <w:jc w:val="center"/>
              <w:rPr>
                <w:rFonts w:ascii="Arial Narrow" w:hAnsi="Arial Narrow"/>
                <w:b/>
                <w:bCs/>
                <w:sz w:val="20"/>
                <w:szCs w:val="20"/>
              </w:rPr>
            </w:pPr>
            <w:r w:rsidRPr="002019B2">
              <w:rPr>
                <w:rFonts w:ascii="Arial Narrow" w:hAnsi="Arial Narrow"/>
                <w:b/>
                <w:bCs/>
                <w:sz w:val="20"/>
                <w:szCs w:val="20"/>
              </w:rPr>
              <w:t>(95%CI)</w:t>
            </w:r>
          </w:p>
        </w:tc>
        <w:tc>
          <w:tcPr>
            <w:tcW w:w="824" w:type="pct"/>
            <w:tcBorders>
              <w:left w:val="nil"/>
              <w:bottom w:val="single" w:sz="4" w:space="0" w:color="auto"/>
              <w:right w:val="nil"/>
            </w:tcBorders>
            <w:vAlign w:val="center"/>
          </w:tcPr>
          <w:p w:rsidR="00B57ABA" w:rsidRPr="002019B2" w:rsidRDefault="00B57ABA" w:rsidP="00252290">
            <w:pPr>
              <w:jc w:val="center"/>
              <w:rPr>
                <w:rFonts w:ascii="Arial Narrow" w:hAnsi="Arial Narrow"/>
                <w:b/>
                <w:bCs/>
                <w:sz w:val="20"/>
                <w:szCs w:val="20"/>
                <w:vertAlign w:val="superscript"/>
              </w:rPr>
            </w:pPr>
            <w:r w:rsidRPr="002019B2">
              <w:rPr>
                <w:rFonts w:ascii="Arial Narrow" w:hAnsi="Arial Narrow"/>
                <w:b/>
                <w:bCs/>
                <w:sz w:val="20"/>
                <w:szCs w:val="20"/>
              </w:rPr>
              <w:t>RD</w:t>
            </w:r>
          </w:p>
          <w:p w:rsidR="00B57ABA" w:rsidRPr="002019B2" w:rsidRDefault="00B57ABA" w:rsidP="00252290">
            <w:pPr>
              <w:jc w:val="center"/>
              <w:rPr>
                <w:rFonts w:ascii="Arial Narrow" w:hAnsi="Arial Narrow"/>
                <w:b/>
                <w:bCs/>
                <w:sz w:val="20"/>
                <w:szCs w:val="20"/>
              </w:rPr>
            </w:pPr>
            <w:r w:rsidRPr="002019B2">
              <w:rPr>
                <w:rFonts w:ascii="Arial Narrow" w:hAnsi="Arial Narrow"/>
                <w:b/>
                <w:bCs/>
                <w:sz w:val="20"/>
                <w:szCs w:val="20"/>
              </w:rPr>
              <w:t>(95%CI)</w:t>
            </w:r>
          </w:p>
        </w:tc>
        <w:tc>
          <w:tcPr>
            <w:tcW w:w="603" w:type="pct"/>
            <w:tcBorders>
              <w:left w:val="nil"/>
              <w:bottom w:val="single" w:sz="4" w:space="0" w:color="auto"/>
              <w:right w:val="nil"/>
            </w:tcBorders>
            <w:vAlign w:val="center"/>
          </w:tcPr>
          <w:p w:rsidR="00B57ABA" w:rsidRPr="002019B2" w:rsidRDefault="00B57ABA" w:rsidP="00252290">
            <w:pPr>
              <w:jc w:val="center"/>
              <w:rPr>
                <w:rFonts w:ascii="Arial Narrow" w:hAnsi="Arial Narrow"/>
                <w:b/>
                <w:bCs/>
                <w:sz w:val="20"/>
                <w:szCs w:val="20"/>
                <w:vertAlign w:val="superscript"/>
              </w:rPr>
            </w:pPr>
            <w:r w:rsidRPr="002019B2">
              <w:rPr>
                <w:rFonts w:ascii="Arial Narrow" w:hAnsi="Arial Narrow"/>
                <w:b/>
                <w:bCs/>
                <w:sz w:val="20"/>
                <w:szCs w:val="20"/>
              </w:rPr>
              <w:t>NNT</w:t>
            </w:r>
          </w:p>
          <w:p w:rsidR="00B57ABA" w:rsidRPr="002019B2" w:rsidRDefault="00B57ABA" w:rsidP="00252290">
            <w:pPr>
              <w:jc w:val="center"/>
              <w:rPr>
                <w:rFonts w:ascii="Arial Narrow" w:hAnsi="Arial Narrow"/>
                <w:b/>
                <w:bCs/>
                <w:sz w:val="20"/>
                <w:szCs w:val="20"/>
              </w:rPr>
            </w:pPr>
            <w:r w:rsidRPr="002019B2">
              <w:rPr>
                <w:rFonts w:ascii="Arial Narrow" w:hAnsi="Arial Narrow"/>
                <w:b/>
                <w:bCs/>
                <w:sz w:val="20"/>
                <w:szCs w:val="20"/>
              </w:rPr>
              <w:t>(95%CI)</w:t>
            </w:r>
          </w:p>
        </w:tc>
      </w:tr>
      <w:tr w:rsidR="00B57ABA" w:rsidRPr="002019B2" w:rsidTr="007C7B54">
        <w:trPr>
          <w:tblHeader/>
        </w:trPr>
        <w:tc>
          <w:tcPr>
            <w:tcW w:w="2750" w:type="pct"/>
            <w:gridSpan w:val="3"/>
            <w:tcBorders>
              <w:left w:val="nil"/>
              <w:bottom w:val="nil"/>
              <w:right w:val="nil"/>
            </w:tcBorders>
            <w:vAlign w:val="center"/>
          </w:tcPr>
          <w:p w:rsidR="00B57ABA" w:rsidRPr="002019B2" w:rsidRDefault="00B57ABA" w:rsidP="00252290">
            <w:pPr>
              <w:jc w:val="left"/>
              <w:rPr>
                <w:rFonts w:ascii="Arial Narrow" w:hAnsi="Arial Narrow"/>
                <w:b/>
                <w:bCs/>
                <w:color w:val="76923C" w:themeColor="accent3" w:themeShade="BF"/>
                <w:sz w:val="20"/>
                <w:szCs w:val="20"/>
                <w:u w:val="single"/>
              </w:rPr>
            </w:pPr>
            <w:r w:rsidRPr="002019B2">
              <w:rPr>
                <w:rFonts w:ascii="Arial Narrow" w:hAnsi="Arial Narrow"/>
                <w:b/>
                <w:bCs/>
                <w:color w:val="76923C" w:themeColor="accent3" w:themeShade="BF"/>
                <w:sz w:val="20"/>
                <w:szCs w:val="20"/>
                <w:u w:val="single"/>
              </w:rPr>
              <w:t>cDMARD IR population</w:t>
            </w:r>
          </w:p>
        </w:tc>
        <w:tc>
          <w:tcPr>
            <w:tcW w:w="823" w:type="pct"/>
            <w:tcBorders>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824" w:type="pct"/>
            <w:tcBorders>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603" w:type="pct"/>
            <w:tcBorders>
              <w:left w:val="nil"/>
              <w:bottom w:val="nil"/>
              <w:right w:val="nil"/>
            </w:tcBorders>
            <w:vAlign w:val="center"/>
          </w:tcPr>
          <w:p w:rsidR="00B57ABA" w:rsidRPr="002019B2" w:rsidRDefault="00B57ABA" w:rsidP="00252290">
            <w:pPr>
              <w:jc w:val="center"/>
              <w:rPr>
                <w:rFonts w:ascii="Arial Narrow" w:hAnsi="Arial Narrow"/>
                <w:sz w:val="20"/>
                <w:szCs w:val="20"/>
              </w:rPr>
            </w:pPr>
          </w:p>
        </w:tc>
      </w:tr>
      <w:tr w:rsidR="00B57ABA" w:rsidRPr="002019B2" w:rsidTr="007C7B54">
        <w:trPr>
          <w:tblHeader/>
        </w:trPr>
        <w:tc>
          <w:tcPr>
            <w:tcW w:w="2750" w:type="pct"/>
            <w:gridSpan w:val="3"/>
            <w:tcBorders>
              <w:top w:val="nil"/>
              <w:left w:val="nil"/>
              <w:bottom w:val="nil"/>
              <w:right w:val="nil"/>
            </w:tcBorders>
            <w:vAlign w:val="center"/>
          </w:tcPr>
          <w:p w:rsidR="00B57ABA" w:rsidRPr="002019B2" w:rsidRDefault="00B57ABA" w:rsidP="00252290">
            <w:pPr>
              <w:jc w:val="left"/>
              <w:rPr>
                <w:rFonts w:ascii="Arial Narrow" w:hAnsi="Arial Narrow"/>
                <w:b/>
                <w:bCs/>
                <w:sz w:val="20"/>
                <w:szCs w:val="20"/>
              </w:rPr>
            </w:pPr>
            <w:r w:rsidRPr="002019B2">
              <w:rPr>
                <w:rFonts w:ascii="Arial Narrow" w:hAnsi="Arial Narrow"/>
                <w:b/>
                <w:bCs/>
                <w:sz w:val="20"/>
                <w:szCs w:val="20"/>
              </w:rPr>
              <w:t>UPA v PBO or MTX</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p>
        </w:tc>
      </w:tr>
      <w:tr w:rsidR="00B57ABA" w:rsidRPr="002019B2" w:rsidTr="007C7B54">
        <w:trPr>
          <w:tblHeader/>
        </w:trPr>
        <w:tc>
          <w:tcPr>
            <w:tcW w:w="1230" w:type="pct"/>
            <w:tcBorders>
              <w:top w:val="nil"/>
              <w:left w:val="nil"/>
              <w:bottom w:val="nil"/>
              <w:right w:val="nil"/>
            </w:tcBorders>
            <w:vAlign w:val="center"/>
          </w:tcPr>
          <w:p w:rsidR="00B57ABA" w:rsidRPr="002019B2" w:rsidRDefault="00B57ABA" w:rsidP="00252290">
            <w:pPr>
              <w:pStyle w:val="Tabletext"/>
            </w:pPr>
            <w:r w:rsidRPr="002019B2">
              <w:t>SELECT COMPARE</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294/651 (45.2)</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97/651 (14.9)</w:t>
            </w:r>
          </w:p>
        </w:tc>
        <w:tc>
          <w:tcPr>
            <w:tcW w:w="823"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3.03 (2.48, 3.71)</w:t>
            </w:r>
          </w:p>
        </w:tc>
        <w:tc>
          <w:tcPr>
            <w:tcW w:w="824"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0.30 (0.26, 0.35)</w:t>
            </w:r>
          </w:p>
        </w:tc>
        <w:tc>
          <w:tcPr>
            <w:tcW w:w="603" w:type="pct"/>
            <w:tcBorders>
              <w:top w:val="nil"/>
              <w:left w:val="nil"/>
              <w:bottom w:val="nil"/>
              <w:right w:val="nil"/>
            </w:tcBorders>
            <w:vAlign w:val="center"/>
          </w:tcPr>
          <w:p w:rsidR="00B57ABA" w:rsidRPr="002019B2" w:rsidRDefault="00B57ABA" w:rsidP="00252290">
            <w:pPr>
              <w:pStyle w:val="Tabletext"/>
              <w:jc w:val="center"/>
            </w:pPr>
            <w:r w:rsidRPr="002019B2">
              <w:t>3 (3, 4)</w:t>
            </w:r>
          </w:p>
        </w:tc>
      </w:tr>
      <w:tr w:rsidR="00B57ABA" w:rsidRPr="002019B2" w:rsidTr="007C7B54">
        <w:trPr>
          <w:tblHeader/>
        </w:trPr>
        <w:tc>
          <w:tcPr>
            <w:tcW w:w="1230" w:type="pct"/>
            <w:tcBorders>
              <w:top w:val="nil"/>
              <w:left w:val="nil"/>
              <w:bottom w:val="nil"/>
              <w:right w:val="nil"/>
            </w:tcBorders>
            <w:vAlign w:val="center"/>
          </w:tcPr>
          <w:p w:rsidR="00B57ABA" w:rsidRPr="002019B2" w:rsidRDefault="00B57ABA" w:rsidP="00252290">
            <w:pPr>
              <w:pStyle w:val="Tabletext"/>
            </w:pPr>
            <w:r w:rsidRPr="002019B2">
              <w:t>SELECT NEXT</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84/221 (38.0)</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33/221 (14.9)</w:t>
            </w:r>
          </w:p>
        </w:tc>
        <w:tc>
          <w:tcPr>
            <w:tcW w:w="823"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2.55 (1.78, 3.64)</w:t>
            </w:r>
          </w:p>
        </w:tc>
        <w:tc>
          <w:tcPr>
            <w:tcW w:w="824"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0.23 (0.15, 0.31)</w:t>
            </w:r>
          </w:p>
        </w:tc>
        <w:tc>
          <w:tcPr>
            <w:tcW w:w="603" w:type="pct"/>
            <w:tcBorders>
              <w:top w:val="nil"/>
              <w:left w:val="nil"/>
              <w:bottom w:val="nil"/>
              <w:right w:val="nil"/>
            </w:tcBorders>
            <w:vAlign w:val="center"/>
          </w:tcPr>
          <w:p w:rsidR="00B57ABA" w:rsidRPr="002019B2" w:rsidRDefault="00B57ABA" w:rsidP="00252290">
            <w:pPr>
              <w:pStyle w:val="Tabletext"/>
              <w:jc w:val="center"/>
            </w:pPr>
            <w:r w:rsidRPr="002019B2">
              <w:t>4 (3, 7)</w:t>
            </w:r>
          </w:p>
        </w:tc>
      </w:tr>
      <w:tr w:rsidR="00B57ABA" w:rsidRPr="002019B2" w:rsidTr="007C7B54">
        <w:trPr>
          <w:tblHeader/>
        </w:trPr>
        <w:tc>
          <w:tcPr>
            <w:tcW w:w="1230" w:type="pct"/>
            <w:tcBorders>
              <w:top w:val="nil"/>
              <w:left w:val="nil"/>
              <w:bottom w:val="nil"/>
              <w:right w:val="nil"/>
            </w:tcBorders>
            <w:vAlign w:val="center"/>
          </w:tcPr>
          <w:p w:rsidR="00B57ABA" w:rsidRPr="002019B2" w:rsidRDefault="00B57ABA" w:rsidP="00252290">
            <w:pPr>
              <w:pStyle w:val="Tabletext"/>
            </w:pPr>
            <w:r w:rsidRPr="002019B2">
              <w:t>SELECT MONOTHERAPY</w:t>
            </w:r>
            <w:r w:rsidRPr="002019B2">
              <w:rPr>
                <w:vertAlign w:val="superscript"/>
              </w:rPr>
              <w:t>a</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91/217 (41.9)</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33/216 (15.3)</w:t>
            </w:r>
          </w:p>
        </w:tc>
        <w:tc>
          <w:tcPr>
            <w:tcW w:w="823"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2.74 (1.93, 3.90)</w:t>
            </w:r>
          </w:p>
        </w:tc>
        <w:tc>
          <w:tcPr>
            <w:tcW w:w="824"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0.27 (0.19, 0.35)</w:t>
            </w:r>
          </w:p>
        </w:tc>
        <w:tc>
          <w:tcPr>
            <w:tcW w:w="603" w:type="pct"/>
            <w:tcBorders>
              <w:top w:val="nil"/>
              <w:left w:val="nil"/>
              <w:bottom w:val="nil"/>
              <w:right w:val="nil"/>
            </w:tcBorders>
            <w:vAlign w:val="center"/>
          </w:tcPr>
          <w:p w:rsidR="00B57ABA" w:rsidRPr="002019B2" w:rsidRDefault="00B57ABA" w:rsidP="00252290">
            <w:pPr>
              <w:pStyle w:val="Tabletext"/>
              <w:jc w:val="center"/>
            </w:pPr>
            <w:r w:rsidRPr="002019B2">
              <w:t>4 (3, 5)</w:t>
            </w:r>
          </w:p>
        </w:tc>
      </w:tr>
      <w:tr w:rsidR="00B57ABA" w:rsidRPr="002019B2" w:rsidTr="007C7B54">
        <w:trPr>
          <w:tblHeader/>
        </w:trPr>
        <w:tc>
          <w:tcPr>
            <w:tcW w:w="1230" w:type="pct"/>
            <w:tcBorders>
              <w:top w:val="nil"/>
              <w:left w:val="nil"/>
              <w:bottom w:val="nil"/>
              <w:right w:val="nil"/>
            </w:tcBorders>
            <w:vAlign w:val="center"/>
          </w:tcPr>
          <w:p w:rsidR="00B57ABA" w:rsidRPr="002019B2" w:rsidRDefault="00B57ABA" w:rsidP="00252290">
            <w:pPr>
              <w:pStyle w:val="Tabletext"/>
              <w:jc w:val="right"/>
            </w:pPr>
            <w:r w:rsidRPr="002019B2">
              <w:t>Meta-analysis (excl. MONO)</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378/872 (43.3)</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130/872 (14.9)</w:t>
            </w:r>
          </w:p>
        </w:tc>
        <w:tc>
          <w:tcPr>
            <w:tcW w:w="823"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2.91 (2.44, 3.46)</w:t>
            </w:r>
          </w:p>
        </w:tc>
        <w:tc>
          <w:tcPr>
            <w:tcW w:w="824"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0.27 (0.21,0.34)</w:t>
            </w:r>
          </w:p>
        </w:tc>
        <w:tc>
          <w:tcPr>
            <w:tcW w:w="603" w:type="pct"/>
            <w:tcBorders>
              <w:top w:val="nil"/>
              <w:left w:val="nil"/>
              <w:bottom w:val="nil"/>
              <w:right w:val="nil"/>
            </w:tcBorders>
            <w:vAlign w:val="center"/>
          </w:tcPr>
          <w:p w:rsidR="00B57ABA" w:rsidRPr="002019B2" w:rsidRDefault="00B57ABA" w:rsidP="00252290">
            <w:pPr>
              <w:pStyle w:val="Tabletext"/>
              <w:jc w:val="center"/>
            </w:pPr>
            <w:r w:rsidRPr="002019B2">
              <w:t>4 (3, 5)</w:t>
            </w:r>
          </w:p>
        </w:tc>
      </w:tr>
      <w:tr w:rsidR="00B57ABA" w:rsidRPr="002019B2" w:rsidTr="007C7B54">
        <w:trPr>
          <w:trHeight w:val="64"/>
          <w:tblHeader/>
        </w:trPr>
        <w:tc>
          <w:tcPr>
            <w:tcW w:w="1230" w:type="pct"/>
            <w:tcBorders>
              <w:top w:val="nil"/>
              <w:left w:val="nil"/>
              <w:bottom w:val="nil"/>
              <w:right w:val="nil"/>
            </w:tcBorders>
            <w:vAlign w:val="center"/>
          </w:tcPr>
          <w:p w:rsidR="00B57ABA" w:rsidRPr="002019B2" w:rsidRDefault="00B57ABA" w:rsidP="00252290">
            <w:pPr>
              <w:pStyle w:val="Tabletext"/>
              <w:jc w:val="right"/>
            </w:pPr>
            <w:r w:rsidRPr="002019B2">
              <w:rPr>
                <w:iCs/>
              </w:rPr>
              <w:t>Meta-analysis (incl. MONO)</w:t>
            </w:r>
          </w:p>
        </w:tc>
        <w:tc>
          <w:tcPr>
            <w:tcW w:w="760" w:type="pct"/>
            <w:tcBorders>
              <w:top w:val="nil"/>
              <w:left w:val="nil"/>
              <w:bottom w:val="nil"/>
              <w:right w:val="nil"/>
            </w:tcBorders>
            <w:vAlign w:val="center"/>
          </w:tcPr>
          <w:p w:rsidR="00B57ABA" w:rsidRPr="002019B2" w:rsidRDefault="00B57ABA" w:rsidP="000A1E3B">
            <w:pPr>
              <w:pStyle w:val="Tabletext"/>
              <w:jc w:val="center"/>
              <w:rPr>
                <w:iCs/>
              </w:rPr>
            </w:pPr>
            <w:r w:rsidRPr="002019B2">
              <w:rPr>
                <w:iCs/>
              </w:rPr>
              <w:t>469/1089</w:t>
            </w:r>
            <w:r w:rsidR="000A1E3B" w:rsidRPr="002019B2">
              <w:rPr>
                <w:iCs/>
              </w:rPr>
              <w:t xml:space="preserve"> </w:t>
            </w:r>
            <w:r w:rsidRPr="002019B2">
              <w:rPr>
                <w:iCs/>
              </w:rPr>
              <w:t>(43.1)</w:t>
            </w:r>
          </w:p>
        </w:tc>
        <w:tc>
          <w:tcPr>
            <w:tcW w:w="760" w:type="pct"/>
            <w:tcBorders>
              <w:top w:val="nil"/>
              <w:left w:val="nil"/>
              <w:bottom w:val="nil"/>
              <w:right w:val="nil"/>
            </w:tcBorders>
            <w:vAlign w:val="center"/>
          </w:tcPr>
          <w:p w:rsidR="00B57ABA" w:rsidRPr="002019B2" w:rsidRDefault="00B57ABA" w:rsidP="00252290">
            <w:pPr>
              <w:pStyle w:val="Tabletext"/>
              <w:jc w:val="center"/>
              <w:rPr>
                <w:iCs/>
              </w:rPr>
            </w:pPr>
            <w:r w:rsidRPr="002019B2">
              <w:rPr>
                <w:iCs/>
              </w:rPr>
              <w:t>163/1088 (14.9)</w:t>
            </w:r>
          </w:p>
        </w:tc>
        <w:tc>
          <w:tcPr>
            <w:tcW w:w="823" w:type="pct"/>
            <w:tcBorders>
              <w:top w:val="nil"/>
              <w:left w:val="nil"/>
              <w:bottom w:val="nil"/>
              <w:right w:val="nil"/>
            </w:tcBorders>
            <w:vAlign w:val="center"/>
          </w:tcPr>
          <w:p w:rsidR="00B57ABA" w:rsidRPr="002019B2" w:rsidRDefault="00B57ABA" w:rsidP="00252290">
            <w:pPr>
              <w:pStyle w:val="Tabletext"/>
              <w:jc w:val="center"/>
              <w:rPr>
                <w:bCs/>
                <w:iCs/>
              </w:rPr>
            </w:pPr>
            <w:r w:rsidRPr="002019B2">
              <w:rPr>
                <w:bCs/>
                <w:iCs/>
              </w:rPr>
              <w:t>2.87 (2.46, 3.36)</w:t>
            </w:r>
          </w:p>
        </w:tc>
        <w:tc>
          <w:tcPr>
            <w:tcW w:w="824" w:type="pct"/>
            <w:tcBorders>
              <w:top w:val="nil"/>
              <w:left w:val="nil"/>
              <w:bottom w:val="nil"/>
              <w:right w:val="nil"/>
            </w:tcBorders>
            <w:vAlign w:val="center"/>
          </w:tcPr>
          <w:p w:rsidR="00B57ABA" w:rsidRPr="002019B2" w:rsidRDefault="00B57ABA" w:rsidP="00252290">
            <w:pPr>
              <w:pStyle w:val="Tabletext"/>
              <w:jc w:val="center"/>
              <w:rPr>
                <w:bCs/>
                <w:iCs/>
              </w:rPr>
            </w:pPr>
            <w:r w:rsidRPr="002019B2">
              <w:rPr>
                <w:bCs/>
                <w:iCs/>
              </w:rPr>
              <w:t>0.28 (0.24, 0.32)</w:t>
            </w:r>
          </w:p>
        </w:tc>
        <w:tc>
          <w:tcPr>
            <w:tcW w:w="603" w:type="pct"/>
            <w:tcBorders>
              <w:top w:val="nil"/>
              <w:left w:val="nil"/>
              <w:bottom w:val="nil"/>
              <w:right w:val="nil"/>
            </w:tcBorders>
            <w:vAlign w:val="center"/>
          </w:tcPr>
          <w:p w:rsidR="00B57ABA" w:rsidRPr="002019B2" w:rsidRDefault="00B57ABA" w:rsidP="00252290">
            <w:pPr>
              <w:pStyle w:val="Tabletext"/>
              <w:jc w:val="center"/>
            </w:pPr>
            <w:r w:rsidRPr="002019B2">
              <w:t>4 (3, 4)</w:t>
            </w:r>
          </w:p>
        </w:tc>
      </w:tr>
      <w:tr w:rsidR="00B57ABA" w:rsidRPr="002019B2" w:rsidTr="007C7B54">
        <w:trPr>
          <w:tblHeader/>
        </w:trPr>
        <w:tc>
          <w:tcPr>
            <w:tcW w:w="2750" w:type="pct"/>
            <w:gridSpan w:val="3"/>
            <w:tcBorders>
              <w:top w:val="nil"/>
              <w:left w:val="nil"/>
              <w:bottom w:val="nil"/>
              <w:right w:val="nil"/>
            </w:tcBorders>
            <w:vAlign w:val="center"/>
          </w:tcPr>
          <w:p w:rsidR="00B57ABA" w:rsidRPr="002019B2" w:rsidRDefault="00B57ABA" w:rsidP="00252290">
            <w:pPr>
              <w:pStyle w:val="Tabletext"/>
            </w:pPr>
            <w:r w:rsidRPr="002019B2">
              <w:rPr>
                <w:b/>
                <w:bCs/>
                <w:szCs w:val="20"/>
              </w:rPr>
              <w:t>BARI v PBO</w:t>
            </w:r>
          </w:p>
        </w:tc>
        <w:tc>
          <w:tcPr>
            <w:tcW w:w="823" w:type="pct"/>
            <w:tcBorders>
              <w:top w:val="nil"/>
              <w:left w:val="nil"/>
              <w:bottom w:val="nil"/>
              <w:right w:val="nil"/>
            </w:tcBorders>
            <w:vAlign w:val="center"/>
          </w:tcPr>
          <w:p w:rsidR="00B57ABA" w:rsidRPr="002019B2" w:rsidRDefault="00B57ABA" w:rsidP="00252290">
            <w:pPr>
              <w:pStyle w:val="Tabletext"/>
              <w:jc w:val="center"/>
              <w:rPr>
                <w:bCs/>
              </w:rPr>
            </w:pPr>
          </w:p>
        </w:tc>
        <w:tc>
          <w:tcPr>
            <w:tcW w:w="824" w:type="pct"/>
            <w:tcBorders>
              <w:top w:val="nil"/>
              <w:left w:val="nil"/>
              <w:bottom w:val="nil"/>
              <w:right w:val="nil"/>
            </w:tcBorders>
            <w:vAlign w:val="center"/>
          </w:tcPr>
          <w:p w:rsidR="00B57ABA" w:rsidRPr="002019B2" w:rsidRDefault="00B57ABA" w:rsidP="00252290">
            <w:pPr>
              <w:pStyle w:val="Tabletext"/>
              <w:jc w:val="center"/>
              <w:rPr>
                <w:bCs/>
              </w:rPr>
            </w:pPr>
          </w:p>
        </w:tc>
        <w:tc>
          <w:tcPr>
            <w:tcW w:w="603" w:type="pct"/>
            <w:tcBorders>
              <w:top w:val="nil"/>
              <w:left w:val="nil"/>
              <w:bottom w:val="nil"/>
              <w:right w:val="nil"/>
            </w:tcBorders>
            <w:vAlign w:val="center"/>
          </w:tcPr>
          <w:p w:rsidR="00B57ABA" w:rsidRPr="002019B2" w:rsidRDefault="00B57ABA" w:rsidP="00252290">
            <w:pPr>
              <w:pStyle w:val="Tabletext"/>
              <w:jc w:val="center"/>
              <w:rPr>
                <w:szCs w:val="20"/>
              </w:rPr>
            </w:pPr>
          </w:p>
        </w:tc>
      </w:tr>
      <w:tr w:rsidR="00B57ABA" w:rsidRPr="002019B2" w:rsidTr="007C7B54">
        <w:trPr>
          <w:tblHeader/>
        </w:trPr>
        <w:tc>
          <w:tcPr>
            <w:tcW w:w="1230" w:type="pct"/>
            <w:tcBorders>
              <w:top w:val="nil"/>
              <w:left w:val="nil"/>
              <w:bottom w:val="nil"/>
              <w:right w:val="nil"/>
            </w:tcBorders>
            <w:vAlign w:val="center"/>
          </w:tcPr>
          <w:p w:rsidR="00B57ABA" w:rsidRPr="002019B2" w:rsidRDefault="00B57ABA" w:rsidP="00252290">
            <w:pPr>
              <w:pStyle w:val="Tabletext"/>
              <w:rPr>
                <w:szCs w:val="20"/>
              </w:rPr>
            </w:pPr>
            <w:r w:rsidRPr="002019B2">
              <w:rPr>
                <w:szCs w:val="20"/>
              </w:rPr>
              <w:t>RA-BEAM/JADV</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219/487 (45.0)</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82/488 (16.8)</w:t>
            </w:r>
          </w:p>
        </w:tc>
        <w:tc>
          <w:tcPr>
            <w:tcW w:w="823"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2.68 (2.15, 3.34)</w:t>
            </w:r>
          </w:p>
        </w:tc>
        <w:tc>
          <w:tcPr>
            <w:tcW w:w="824"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0.28 (0.23, 0.34)</w:t>
            </w:r>
          </w:p>
        </w:tc>
        <w:tc>
          <w:tcPr>
            <w:tcW w:w="603" w:type="pct"/>
            <w:tcBorders>
              <w:top w:val="nil"/>
              <w:left w:val="nil"/>
              <w:bottom w:val="nil"/>
              <w:right w:val="nil"/>
            </w:tcBorders>
            <w:vAlign w:val="center"/>
          </w:tcPr>
          <w:p w:rsidR="00B57ABA" w:rsidRPr="002019B2" w:rsidRDefault="00B57ABA" w:rsidP="00252290">
            <w:pPr>
              <w:pStyle w:val="Tabletext"/>
              <w:jc w:val="center"/>
              <w:rPr>
                <w:szCs w:val="20"/>
              </w:rPr>
            </w:pPr>
            <w:r w:rsidRPr="002019B2">
              <w:rPr>
                <w:szCs w:val="20"/>
              </w:rPr>
              <w:t>4 (3, 4)</w:t>
            </w:r>
          </w:p>
        </w:tc>
      </w:tr>
      <w:tr w:rsidR="00B57ABA" w:rsidRPr="002019B2" w:rsidTr="007C7B54">
        <w:trPr>
          <w:tblHeader/>
        </w:trPr>
        <w:tc>
          <w:tcPr>
            <w:tcW w:w="1230" w:type="pct"/>
            <w:tcBorders>
              <w:top w:val="nil"/>
              <w:left w:val="nil"/>
              <w:bottom w:val="nil"/>
              <w:right w:val="nil"/>
            </w:tcBorders>
            <w:vAlign w:val="center"/>
          </w:tcPr>
          <w:p w:rsidR="00B57ABA" w:rsidRPr="002019B2" w:rsidRDefault="00B57ABA" w:rsidP="00252290">
            <w:pPr>
              <w:pStyle w:val="Tabletext"/>
              <w:rPr>
                <w:szCs w:val="20"/>
              </w:rPr>
            </w:pPr>
            <w:r w:rsidRPr="002019B2">
              <w:rPr>
                <w:szCs w:val="20"/>
              </w:rPr>
              <w:t>RA-BUILD/JADX</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76/227 (33.5)</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29/228 (12.7)</w:t>
            </w:r>
          </w:p>
        </w:tc>
        <w:tc>
          <w:tcPr>
            <w:tcW w:w="823"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2.63 (1.79, 3.87)</w:t>
            </w:r>
          </w:p>
        </w:tc>
        <w:tc>
          <w:tcPr>
            <w:tcW w:w="824"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0.21 (0.13, 0.28)</w:t>
            </w:r>
          </w:p>
        </w:tc>
        <w:tc>
          <w:tcPr>
            <w:tcW w:w="603" w:type="pct"/>
            <w:tcBorders>
              <w:top w:val="nil"/>
              <w:left w:val="nil"/>
              <w:bottom w:val="nil"/>
              <w:right w:val="nil"/>
            </w:tcBorders>
            <w:vAlign w:val="center"/>
          </w:tcPr>
          <w:p w:rsidR="00B57ABA" w:rsidRPr="002019B2" w:rsidRDefault="00B57ABA" w:rsidP="00252290">
            <w:pPr>
              <w:pStyle w:val="Tabletext"/>
              <w:jc w:val="center"/>
              <w:rPr>
                <w:szCs w:val="20"/>
              </w:rPr>
            </w:pPr>
            <w:r w:rsidRPr="002019B2">
              <w:rPr>
                <w:szCs w:val="20"/>
              </w:rPr>
              <w:t>5 (4, 7)</w:t>
            </w:r>
          </w:p>
        </w:tc>
      </w:tr>
      <w:tr w:rsidR="00B57ABA" w:rsidRPr="002019B2" w:rsidTr="007C7B54">
        <w:trPr>
          <w:tblHeader/>
        </w:trPr>
        <w:tc>
          <w:tcPr>
            <w:tcW w:w="1230" w:type="pct"/>
            <w:tcBorders>
              <w:top w:val="nil"/>
              <w:left w:val="nil"/>
              <w:bottom w:val="nil"/>
              <w:right w:val="nil"/>
            </w:tcBorders>
            <w:vAlign w:val="center"/>
          </w:tcPr>
          <w:p w:rsidR="00B57ABA" w:rsidRPr="002019B2" w:rsidRDefault="00B57ABA" w:rsidP="00252290">
            <w:pPr>
              <w:pStyle w:val="Tabletext"/>
              <w:rPr>
                <w:szCs w:val="20"/>
              </w:rPr>
            </w:pPr>
            <w:r w:rsidRPr="002019B2">
              <w:rPr>
                <w:szCs w:val="20"/>
              </w:rPr>
              <w:t>JADA</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18/52 (34.6)</w:t>
            </w:r>
          </w:p>
        </w:tc>
        <w:tc>
          <w:tcPr>
            <w:tcW w:w="760" w:type="pct"/>
            <w:tcBorders>
              <w:top w:val="nil"/>
              <w:left w:val="nil"/>
              <w:bottom w:val="nil"/>
              <w:right w:val="nil"/>
            </w:tcBorders>
            <w:vAlign w:val="center"/>
          </w:tcPr>
          <w:p w:rsidR="00B57ABA" w:rsidRPr="002019B2" w:rsidRDefault="00B57ABA" w:rsidP="00252290">
            <w:pPr>
              <w:pStyle w:val="Tabletext"/>
              <w:jc w:val="center"/>
            </w:pPr>
            <w:r w:rsidRPr="002019B2">
              <w:t>10/98 (10.2)</w:t>
            </w:r>
          </w:p>
        </w:tc>
        <w:tc>
          <w:tcPr>
            <w:tcW w:w="823"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3.39 (1.69, 6.80)</w:t>
            </w:r>
          </w:p>
        </w:tc>
        <w:tc>
          <w:tcPr>
            <w:tcW w:w="824" w:type="pct"/>
            <w:tcBorders>
              <w:top w:val="nil"/>
              <w:left w:val="nil"/>
              <w:bottom w:val="nil"/>
              <w:right w:val="nil"/>
            </w:tcBorders>
            <w:vAlign w:val="center"/>
          </w:tcPr>
          <w:p w:rsidR="00B57ABA" w:rsidRPr="002019B2" w:rsidRDefault="00B57ABA" w:rsidP="00252290">
            <w:pPr>
              <w:pStyle w:val="Tabletext"/>
              <w:jc w:val="center"/>
              <w:rPr>
                <w:bCs/>
              </w:rPr>
            </w:pPr>
            <w:r w:rsidRPr="002019B2">
              <w:rPr>
                <w:bCs/>
              </w:rPr>
              <w:t>0.24 (0.10, 0.39)</w:t>
            </w:r>
          </w:p>
        </w:tc>
        <w:tc>
          <w:tcPr>
            <w:tcW w:w="603" w:type="pct"/>
            <w:tcBorders>
              <w:top w:val="nil"/>
              <w:left w:val="nil"/>
              <w:bottom w:val="nil"/>
              <w:right w:val="nil"/>
            </w:tcBorders>
            <w:vAlign w:val="center"/>
          </w:tcPr>
          <w:p w:rsidR="00B57ABA" w:rsidRPr="002019B2" w:rsidRDefault="00B57ABA" w:rsidP="00252290">
            <w:pPr>
              <w:pStyle w:val="Tabletext"/>
              <w:jc w:val="center"/>
              <w:rPr>
                <w:szCs w:val="20"/>
              </w:rPr>
            </w:pPr>
            <w:r w:rsidRPr="002019B2">
              <w:rPr>
                <w:szCs w:val="20"/>
              </w:rPr>
              <w:t>4 (3, 10)</w:t>
            </w:r>
          </w:p>
        </w:tc>
      </w:tr>
      <w:tr w:rsidR="00B57ABA" w:rsidRPr="002019B2" w:rsidTr="007C7B54">
        <w:trPr>
          <w:tblHeader/>
        </w:trPr>
        <w:tc>
          <w:tcPr>
            <w:tcW w:w="1230" w:type="pct"/>
            <w:tcBorders>
              <w:top w:val="nil"/>
              <w:left w:val="nil"/>
              <w:bottom w:val="nil"/>
              <w:right w:val="nil"/>
            </w:tcBorders>
            <w:vAlign w:val="center"/>
          </w:tcPr>
          <w:p w:rsidR="00B57ABA" w:rsidRPr="002019B2" w:rsidRDefault="00B57ABA" w:rsidP="00252290">
            <w:pPr>
              <w:jc w:val="right"/>
              <w:rPr>
                <w:rFonts w:ascii="Arial Narrow" w:hAnsi="Arial Narrow"/>
                <w:sz w:val="20"/>
                <w:szCs w:val="20"/>
              </w:rPr>
            </w:pPr>
            <w:r w:rsidRPr="002019B2">
              <w:rPr>
                <w:rFonts w:ascii="Arial Narrow" w:hAnsi="Arial Narrow"/>
                <w:sz w:val="20"/>
                <w:szCs w:val="20"/>
              </w:rPr>
              <w:t>Meta-analysis</w:t>
            </w:r>
          </w:p>
        </w:tc>
        <w:tc>
          <w:tcPr>
            <w:tcW w:w="760"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r w:rsidRPr="002019B2">
              <w:rPr>
                <w:rFonts w:ascii="Arial Narrow" w:hAnsi="Arial Narrow"/>
                <w:iCs/>
                <w:sz w:val="20"/>
                <w:szCs w:val="20"/>
              </w:rPr>
              <w:t>313/766 (40.8)</w:t>
            </w:r>
          </w:p>
        </w:tc>
        <w:tc>
          <w:tcPr>
            <w:tcW w:w="760"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r w:rsidRPr="002019B2">
              <w:rPr>
                <w:rFonts w:ascii="Arial Narrow" w:hAnsi="Arial Narrow"/>
                <w:iCs/>
                <w:sz w:val="20"/>
                <w:szCs w:val="20"/>
              </w:rPr>
              <w:t>121/814 (14.8)</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bCs/>
                <w:iCs/>
                <w:sz w:val="20"/>
                <w:szCs w:val="20"/>
              </w:rPr>
            </w:pPr>
            <w:r w:rsidRPr="002019B2">
              <w:rPr>
                <w:rFonts w:ascii="Arial Narrow" w:hAnsi="Arial Narrow"/>
                <w:bCs/>
                <w:iCs/>
                <w:sz w:val="20"/>
                <w:szCs w:val="20"/>
              </w:rPr>
              <w:t>2.71 (2.25, 3.26)</w:t>
            </w: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bCs/>
                <w:iCs/>
                <w:sz w:val="20"/>
                <w:szCs w:val="20"/>
              </w:rPr>
            </w:pPr>
            <w:r w:rsidRPr="002019B2">
              <w:rPr>
                <w:rFonts w:ascii="Arial Narrow" w:hAnsi="Arial Narrow"/>
                <w:bCs/>
                <w:iCs/>
                <w:sz w:val="20"/>
                <w:szCs w:val="20"/>
              </w:rPr>
              <w:t>0.26 (0.21, 0.30)</w:t>
            </w: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4 (3, 5)</w:t>
            </w:r>
          </w:p>
        </w:tc>
      </w:tr>
      <w:tr w:rsidR="00B57ABA" w:rsidRPr="002019B2" w:rsidTr="007C7B54">
        <w:trPr>
          <w:tblHeader/>
        </w:trPr>
        <w:tc>
          <w:tcPr>
            <w:tcW w:w="2750" w:type="pct"/>
            <w:gridSpan w:val="3"/>
            <w:tcBorders>
              <w:top w:val="nil"/>
              <w:left w:val="nil"/>
              <w:bottom w:val="nil"/>
              <w:right w:val="nil"/>
            </w:tcBorders>
            <w:vAlign w:val="center"/>
          </w:tcPr>
          <w:p w:rsidR="00B57ABA" w:rsidRPr="002019B2" w:rsidRDefault="00B57ABA" w:rsidP="00252290">
            <w:pPr>
              <w:jc w:val="left"/>
              <w:rPr>
                <w:rFonts w:ascii="Arial Narrow" w:hAnsi="Arial Narrow"/>
                <w:iCs/>
                <w:sz w:val="20"/>
                <w:szCs w:val="20"/>
              </w:rPr>
            </w:pPr>
            <w:r w:rsidRPr="002019B2">
              <w:rPr>
                <w:rFonts w:ascii="Arial Narrow" w:hAnsi="Arial Narrow"/>
                <w:b/>
                <w:bCs/>
                <w:sz w:val="20"/>
                <w:szCs w:val="20"/>
              </w:rPr>
              <w:t>UPA v ADA</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bCs/>
                <w:iCs/>
                <w:sz w:val="20"/>
                <w:szCs w:val="20"/>
              </w:rPr>
            </w:pP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bCs/>
                <w:iCs/>
                <w:sz w:val="20"/>
                <w:szCs w:val="20"/>
              </w:rPr>
            </w:pP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p>
        </w:tc>
      </w:tr>
      <w:tr w:rsidR="00B57ABA" w:rsidRPr="002019B2" w:rsidTr="007C7B54">
        <w:trPr>
          <w:tblHeader/>
        </w:trPr>
        <w:tc>
          <w:tcPr>
            <w:tcW w:w="1230" w:type="pct"/>
            <w:tcBorders>
              <w:top w:val="nil"/>
              <w:left w:val="nil"/>
              <w:bottom w:val="nil"/>
              <w:right w:val="nil"/>
            </w:tcBorders>
            <w:vAlign w:val="center"/>
          </w:tcPr>
          <w:p w:rsidR="00B57ABA" w:rsidRPr="002019B2" w:rsidRDefault="00B57ABA" w:rsidP="00252290">
            <w:pPr>
              <w:pStyle w:val="Tabletext"/>
              <w:rPr>
                <w:szCs w:val="20"/>
              </w:rPr>
            </w:pPr>
            <w:r w:rsidRPr="002019B2">
              <w:rPr>
                <w:szCs w:val="20"/>
              </w:rPr>
              <w:t>SELECT COMPARE</w:t>
            </w:r>
          </w:p>
        </w:tc>
        <w:tc>
          <w:tcPr>
            <w:tcW w:w="760" w:type="pct"/>
            <w:tcBorders>
              <w:top w:val="nil"/>
              <w:left w:val="nil"/>
              <w:bottom w:val="nil"/>
              <w:right w:val="nil"/>
            </w:tcBorders>
            <w:vAlign w:val="center"/>
          </w:tcPr>
          <w:p w:rsidR="00B57ABA" w:rsidRPr="002019B2" w:rsidRDefault="00B57ABA" w:rsidP="00252290">
            <w:pPr>
              <w:pStyle w:val="Tabletext"/>
              <w:jc w:val="center"/>
              <w:rPr>
                <w:szCs w:val="20"/>
              </w:rPr>
            </w:pPr>
            <w:r w:rsidRPr="002019B2">
              <w:rPr>
                <w:szCs w:val="20"/>
              </w:rPr>
              <w:t>294/651 (45.2)</w:t>
            </w:r>
          </w:p>
        </w:tc>
        <w:tc>
          <w:tcPr>
            <w:tcW w:w="760" w:type="pct"/>
            <w:tcBorders>
              <w:top w:val="nil"/>
              <w:left w:val="nil"/>
              <w:bottom w:val="nil"/>
              <w:right w:val="nil"/>
            </w:tcBorders>
            <w:vAlign w:val="center"/>
          </w:tcPr>
          <w:p w:rsidR="00B57ABA" w:rsidRPr="002019B2" w:rsidRDefault="00B57ABA" w:rsidP="00252290">
            <w:pPr>
              <w:pStyle w:val="Tabletext"/>
              <w:jc w:val="center"/>
              <w:rPr>
                <w:szCs w:val="20"/>
              </w:rPr>
            </w:pPr>
            <w:r w:rsidRPr="002019B2">
              <w:rPr>
                <w:szCs w:val="20"/>
              </w:rPr>
              <w:t>95/327 (29.1)</w:t>
            </w:r>
          </w:p>
        </w:tc>
        <w:tc>
          <w:tcPr>
            <w:tcW w:w="823" w:type="pct"/>
            <w:tcBorders>
              <w:top w:val="nil"/>
              <w:left w:val="nil"/>
              <w:bottom w:val="nil"/>
              <w:right w:val="nil"/>
            </w:tcBorders>
            <w:vAlign w:val="center"/>
          </w:tcPr>
          <w:p w:rsidR="00B57ABA" w:rsidRPr="002019B2" w:rsidRDefault="00B57ABA" w:rsidP="00252290">
            <w:pPr>
              <w:pStyle w:val="Tabletext"/>
              <w:jc w:val="center"/>
              <w:rPr>
                <w:bCs/>
                <w:szCs w:val="20"/>
              </w:rPr>
            </w:pPr>
            <w:r w:rsidRPr="002019B2">
              <w:rPr>
                <w:bCs/>
                <w:szCs w:val="20"/>
              </w:rPr>
              <w:t>1.55 (1.29, 1.88)</w:t>
            </w:r>
          </w:p>
        </w:tc>
        <w:tc>
          <w:tcPr>
            <w:tcW w:w="824" w:type="pct"/>
            <w:tcBorders>
              <w:top w:val="nil"/>
              <w:left w:val="nil"/>
              <w:bottom w:val="nil"/>
              <w:right w:val="nil"/>
            </w:tcBorders>
            <w:vAlign w:val="center"/>
          </w:tcPr>
          <w:p w:rsidR="00B57ABA" w:rsidRPr="002019B2" w:rsidRDefault="00B57ABA" w:rsidP="00252290">
            <w:pPr>
              <w:pStyle w:val="Tabletext"/>
              <w:jc w:val="center"/>
              <w:rPr>
                <w:bCs/>
                <w:szCs w:val="20"/>
              </w:rPr>
            </w:pPr>
            <w:r w:rsidRPr="002019B2">
              <w:rPr>
                <w:bCs/>
                <w:szCs w:val="20"/>
              </w:rPr>
              <w:t>0.16 (0.10, 0.22)</w:t>
            </w:r>
          </w:p>
        </w:tc>
        <w:tc>
          <w:tcPr>
            <w:tcW w:w="603" w:type="pct"/>
            <w:tcBorders>
              <w:top w:val="nil"/>
              <w:left w:val="nil"/>
              <w:bottom w:val="nil"/>
              <w:right w:val="nil"/>
            </w:tcBorders>
            <w:vAlign w:val="center"/>
          </w:tcPr>
          <w:p w:rsidR="00B57ABA" w:rsidRPr="002019B2" w:rsidRDefault="00B57ABA" w:rsidP="00802C10">
            <w:pPr>
              <w:jc w:val="center"/>
              <w:rPr>
                <w:rFonts w:ascii="Arial Narrow" w:hAnsi="Arial Narrow"/>
                <w:sz w:val="20"/>
                <w:szCs w:val="20"/>
              </w:rPr>
            </w:pPr>
            <w:r w:rsidRPr="002019B2">
              <w:rPr>
                <w:rFonts w:ascii="Arial Narrow" w:hAnsi="Arial Narrow"/>
                <w:sz w:val="20"/>
                <w:szCs w:val="20"/>
              </w:rPr>
              <w:t>6 (5, 10)</w:t>
            </w:r>
          </w:p>
        </w:tc>
      </w:tr>
      <w:tr w:rsidR="00B57ABA" w:rsidRPr="002019B2" w:rsidTr="007C7B54">
        <w:trPr>
          <w:tblHeader/>
        </w:trPr>
        <w:tc>
          <w:tcPr>
            <w:tcW w:w="2750" w:type="pct"/>
            <w:gridSpan w:val="3"/>
            <w:tcBorders>
              <w:top w:val="nil"/>
              <w:left w:val="nil"/>
              <w:bottom w:val="nil"/>
              <w:right w:val="nil"/>
            </w:tcBorders>
            <w:vAlign w:val="center"/>
          </w:tcPr>
          <w:p w:rsidR="00B57ABA" w:rsidRPr="002019B2" w:rsidRDefault="00B57ABA" w:rsidP="00252290">
            <w:pPr>
              <w:jc w:val="left"/>
              <w:rPr>
                <w:rFonts w:ascii="Arial Narrow" w:hAnsi="Arial Narrow"/>
                <w:b/>
                <w:bCs/>
                <w:sz w:val="20"/>
                <w:szCs w:val="20"/>
              </w:rPr>
            </w:pPr>
            <w:r w:rsidRPr="002019B2">
              <w:rPr>
                <w:rFonts w:ascii="Arial Narrow" w:hAnsi="Arial Narrow"/>
                <w:b/>
                <w:bCs/>
                <w:sz w:val="20"/>
                <w:szCs w:val="20"/>
              </w:rPr>
              <w:t>BARI v ADA</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p>
        </w:tc>
      </w:tr>
      <w:tr w:rsidR="00B57ABA" w:rsidRPr="002019B2" w:rsidTr="007C7B54">
        <w:trPr>
          <w:tblHeader/>
        </w:trPr>
        <w:tc>
          <w:tcPr>
            <w:tcW w:w="1230" w:type="pct"/>
            <w:tcBorders>
              <w:top w:val="nil"/>
              <w:left w:val="nil"/>
              <w:bottom w:val="single" w:sz="4" w:space="0" w:color="auto"/>
              <w:right w:val="nil"/>
            </w:tcBorders>
            <w:shd w:val="clear" w:color="auto" w:fill="auto"/>
            <w:vAlign w:val="center"/>
          </w:tcPr>
          <w:p w:rsidR="00B57ABA" w:rsidRPr="002019B2" w:rsidRDefault="00B57ABA" w:rsidP="00252290">
            <w:pPr>
              <w:pStyle w:val="Tabletext"/>
            </w:pPr>
            <w:r w:rsidRPr="002019B2">
              <w:t>RA-BEAM/JADV</w:t>
            </w:r>
          </w:p>
        </w:tc>
        <w:tc>
          <w:tcPr>
            <w:tcW w:w="760" w:type="pct"/>
            <w:tcBorders>
              <w:top w:val="nil"/>
              <w:left w:val="nil"/>
              <w:bottom w:val="single" w:sz="4" w:space="0" w:color="auto"/>
              <w:right w:val="nil"/>
            </w:tcBorders>
            <w:shd w:val="clear" w:color="auto" w:fill="auto"/>
            <w:vAlign w:val="center"/>
          </w:tcPr>
          <w:p w:rsidR="00B57ABA" w:rsidRPr="002019B2" w:rsidRDefault="00B57ABA" w:rsidP="00252290">
            <w:pPr>
              <w:pStyle w:val="Tabletext"/>
              <w:jc w:val="center"/>
            </w:pPr>
            <w:r w:rsidRPr="002019B2">
              <w:t>219/487 (45.0)</w:t>
            </w:r>
          </w:p>
        </w:tc>
        <w:tc>
          <w:tcPr>
            <w:tcW w:w="760" w:type="pct"/>
            <w:tcBorders>
              <w:top w:val="nil"/>
              <w:left w:val="nil"/>
              <w:bottom w:val="single" w:sz="4" w:space="0" w:color="auto"/>
              <w:right w:val="nil"/>
            </w:tcBorders>
            <w:shd w:val="clear" w:color="auto" w:fill="auto"/>
            <w:vAlign w:val="center"/>
          </w:tcPr>
          <w:p w:rsidR="00B57ABA" w:rsidRPr="002019B2" w:rsidRDefault="00B57ABA" w:rsidP="00252290">
            <w:pPr>
              <w:pStyle w:val="Tabletext"/>
              <w:jc w:val="center"/>
            </w:pPr>
            <w:r w:rsidRPr="002019B2">
              <w:t>115/330 (34.8)</w:t>
            </w:r>
          </w:p>
        </w:tc>
        <w:tc>
          <w:tcPr>
            <w:tcW w:w="823" w:type="pct"/>
            <w:tcBorders>
              <w:top w:val="nil"/>
              <w:left w:val="nil"/>
              <w:bottom w:val="single" w:sz="4" w:space="0" w:color="auto"/>
              <w:right w:val="nil"/>
            </w:tcBorders>
            <w:shd w:val="clear" w:color="auto" w:fill="auto"/>
            <w:vAlign w:val="center"/>
          </w:tcPr>
          <w:p w:rsidR="00B57ABA" w:rsidRPr="002019B2" w:rsidRDefault="00B57ABA" w:rsidP="00252290">
            <w:pPr>
              <w:pStyle w:val="Tabletext"/>
              <w:jc w:val="center"/>
              <w:rPr>
                <w:bCs/>
              </w:rPr>
            </w:pPr>
            <w:r w:rsidRPr="002019B2">
              <w:rPr>
                <w:bCs/>
              </w:rPr>
              <w:t>1.29 (1.08, 1.54)</w:t>
            </w:r>
          </w:p>
        </w:tc>
        <w:tc>
          <w:tcPr>
            <w:tcW w:w="824" w:type="pct"/>
            <w:tcBorders>
              <w:top w:val="nil"/>
              <w:left w:val="nil"/>
              <w:bottom w:val="single" w:sz="4" w:space="0" w:color="auto"/>
              <w:right w:val="nil"/>
            </w:tcBorders>
            <w:shd w:val="clear" w:color="auto" w:fill="auto"/>
            <w:vAlign w:val="center"/>
          </w:tcPr>
          <w:p w:rsidR="00B57ABA" w:rsidRPr="002019B2" w:rsidRDefault="00B57ABA" w:rsidP="00252290">
            <w:pPr>
              <w:pStyle w:val="Tabletext"/>
              <w:jc w:val="center"/>
              <w:rPr>
                <w:bCs/>
              </w:rPr>
            </w:pPr>
            <w:r w:rsidRPr="002019B2">
              <w:rPr>
                <w:bCs/>
              </w:rPr>
              <w:t>0.10 (0.03, 0.17)</w:t>
            </w:r>
          </w:p>
        </w:tc>
        <w:tc>
          <w:tcPr>
            <w:tcW w:w="603" w:type="pct"/>
            <w:tcBorders>
              <w:top w:val="nil"/>
              <w:left w:val="nil"/>
              <w:bottom w:val="single" w:sz="4" w:space="0" w:color="auto"/>
              <w:right w:val="nil"/>
            </w:tcBorders>
            <w:shd w:val="clear" w:color="auto" w:fill="auto"/>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10 (6, 33)</w:t>
            </w:r>
          </w:p>
        </w:tc>
      </w:tr>
      <w:tr w:rsidR="00B57ABA" w:rsidRPr="002019B2" w:rsidTr="007C7B54">
        <w:trPr>
          <w:tblHeader/>
        </w:trPr>
        <w:tc>
          <w:tcPr>
            <w:tcW w:w="2750" w:type="pct"/>
            <w:gridSpan w:val="3"/>
            <w:tcBorders>
              <w:top w:val="single" w:sz="4" w:space="0" w:color="auto"/>
              <w:left w:val="nil"/>
              <w:bottom w:val="nil"/>
              <w:right w:val="nil"/>
            </w:tcBorders>
            <w:vAlign w:val="center"/>
          </w:tcPr>
          <w:p w:rsidR="00B57ABA" w:rsidRPr="002019B2" w:rsidRDefault="00B57ABA" w:rsidP="00252290">
            <w:pPr>
              <w:jc w:val="left"/>
              <w:rPr>
                <w:rFonts w:ascii="Arial Narrow" w:hAnsi="Arial Narrow"/>
                <w:color w:val="31849B" w:themeColor="accent5" w:themeShade="BF"/>
                <w:sz w:val="20"/>
                <w:szCs w:val="20"/>
                <w:u w:val="single"/>
              </w:rPr>
            </w:pPr>
            <w:r w:rsidRPr="002019B2">
              <w:rPr>
                <w:rFonts w:ascii="Arial Narrow" w:hAnsi="Arial Narrow"/>
                <w:b/>
                <w:bCs/>
                <w:color w:val="31849B" w:themeColor="accent5" w:themeShade="BF"/>
                <w:sz w:val="20"/>
                <w:szCs w:val="20"/>
                <w:u w:val="single"/>
              </w:rPr>
              <w:t>bDMARD IR population</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p>
        </w:tc>
      </w:tr>
      <w:tr w:rsidR="00B57ABA" w:rsidRPr="002019B2" w:rsidTr="007C7B54">
        <w:trPr>
          <w:tblHeader/>
        </w:trPr>
        <w:tc>
          <w:tcPr>
            <w:tcW w:w="2750" w:type="pct"/>
            <w:gridSpan w:val="3"/>
            <w:tcBorders>
              <w:top w:val="nil"/>
              <w:left w:val="nil"/>
              <w:bottom w:val="nil"/>
              <w:right w:val="nil"/>
            </w:tcBorders>
            <w:vAlign w:val="center"/>
          </w:tcPr>
          <w:p w:rsidR="00B57ABA" w:rsidRPr="002019B2" w:rsidRDefault="00B57ABA" w:rsidP="00252290">
            <w:pPr>
              <w:jc w:val="left"/>
              <w:rPr>
                <w:rFonts w:ascii="Arial Narrow" w:hAnsi="Arial Narrow"/>
                <w:b/>
                <w:bCs/>
                <w:sz w:val="20"/>
                <w:szCs w:val="20"/>
              </w:rPr>
            </w:pPr>
            <w:r w:rsidRPr="002019B2">
              <w:rPr>
                <w:rFonts w:ascii="Arial Narrow" w:hAnsi="Arial Narrow"/>
                <w:b/>
                <w:bCs/>
                <w:sz w:val="20"/>
                <w:szCs w:val="20"/>
              </w:rPr>
              <w:t>UPA v PBO</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p>
        </w:tc>
      </w:tr>
      <w:tr w:rsidR="00B57ABA" w:rsidRPr="002019B2" w:rsidTr="007C7B54">
        <w:trPr>
          <w:tblHeader/>
        </w:trPr>
        <w:tc>
          <w:tcPr>
            <w:tcW w:w="1230" w:type="pct"/>
            <w:tcBorders>
              <w:top w:val="nil"/>
              <w:left w:val="nil"/>
              <w:bottom w:val="nil"/>
              <w:right w:val="nil"/>
            </w:tcBorders>
            <w:vAlign w:val="center"/>
          </w:tcPr>
          <w:p w:rsidR="00B57ABA" w:rsidRPr="002019B2" w:rsidRDefault="00B57ABA" w:rsidP="00252290">
            <w:pPr>
              <w:jc w:val="left"/>
              <w:rPr>
                <w:rFonts w:ascii="Arial Narrow" w:hAnsi="Arial Narrow"/>
                <w:sz w:val="20"/>
                <w:szCs w:val="20"/>
              </w:rPr>
            </w:pPr>
            <w:r w:rsidRPr="002019B2">
              <w:rPr>
                <w:rFonts w:ascii="Arial Narrow" w:hAnsi="Arial Narrow"/>
                <w:sz w:val="20"/>
                <w:szCs w:val="20"/>
              </w:rPr>
              <w:t>SELECT BEYOND</w:t>
            </w:r>
          </w:p>
        </w:tc>
        <w:tc>
          <w:tcPr>
            <w:tcW w:w="760" w:type="pct"/>
            <w:tcBorders>
              <w:top w:val="nil"/>
              <w:left w:val="nil"/>
              <w:bottom w:val="nil"/>
              <w:right w:val="nil"/>
            </w:tcBorders>
            <w:vAlign w:val="center"/>
          </w:tcPr>
          <w:p w:rsidR="00B57ABA" w:rsidRPr="002019B2" w:rsidRDefault="00B57ABA" w:rsidP="00252290">
            <w:pPr>
              <w:pStyle w:val="Tabletext"/>
              <w:jc w:val="center"/>
              <w:rPr>
                <w:szCs w:val="20"/>
              </w:rPr>
            </w:pPr>
            <w:r w:rsidRPr="002019B2">
              <w:t>56/164 (34.1)</w:t>
            </w:r>
          </w:p>
        </w:tc>
        <w:tc>
          <w:tcPr>
            <w:tcW w:w="760" w:type="pct"/>
            <w:tcBorders>
              <w:top w:val="nil"/>
              <w:left w:val="nil"/>
              <w:bottom w:val="nil"/>
              <w:right w:val="nil"/>
            </w:tcBorders>
            <w:vAlign w:val="center"/>
          </w:tcPr>
          <w:p w:rsidR="00B57ABA" w:rsidRPr="002019B2" w:rsidRDefault="00B57ABA" w:rsidP="00252290">
            <w:pPr>
              <w:pStyle w:val="Tabletext"/>
              <w:jc w:val="center"/>
              <w:rPr>
                <w:szCs w:val="20"/>
              </w:rPr>
            </w:pPr>
            <w:r w:rsidRPr="002019B2">
              <w:t>20/169 (11.8)</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bCs/>
                <w:sz w:val="20"/>
                <w:szCs w:val="20"/>
              </w:rPr>
            </w:pPr>
            <w:r w:rsidRPr="002019B2">
              <w:rPr>
                <w:rFonts w:ascii="Arial Narrow" w:hAnsi="Arial Narrow"/>
                <w:bCs/>
                <w:sz w:val="20"/>
                <w:szCs w:val="20"/>
              </w:rPr>
              <w:t>2.89 (1.82, 4.59)</w:t>
            </w: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bCs/>
                <w:sz w:val="20"/>
                <w:szCs w:val="20"/>
              </w:rPr>
            </w:pPr>
            <w:r w:rsidRPr="002019B2">
              <w:rPr>
                <w:rFonts w:ascii="Arial Narrow" w:hAnsi="Arial Narrow"/>
                <w:bCs/>
                <w:sz w:val="20"/>
                <w:szCs w:val="20"/>
              </w:rPr>
              <w:t>0.22 (0.14, 0.31)</w:t>
            </w: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5 (3, 7)</w:t>
            </w:r>
          </w:p>
        </w:tc>
      </w:tr>
      <w:tr w:rsidR="00B57ABA" w:rsidRPr="002019B2" w:rsidTr="007C7B54">
        <w:trPr>
          <w:tblHeader/>
        </w:trPr>
        <w:tc>
          <w:tcPr>
            <w:tcW w:w="2750" w:type="pct"/>
            <w:gridSpan w:val="3"/>
            <w:tcBorders>
              <w:top w:val="nil"/>
              <w:left w:val="nil"/>
              <w:bottom w:val="nil"/>
              <w:right w:val="nil"/>
            </w:tcBorders>
            <w:vAlign w:val="center"/>
          </w:tcPr>
          <w:p w:rsidR="00B57ABA" w:rsidRPr="002019B2" w:rsidRDefault="00B57ABA" w:rsidP="00252290">
            <w:pPr>
              <w:jc w:val="left"/>
              <w:rPr>
                <w:rFonts w:ascii="Arial Narrow" w:hAnsi="Arial Narrow"/>
                <w:sz w:val="20"/>
                <w:szCs w:val="20"/>
              </w:rPr>
            </w:pPr>
            <w:r w:rsidRPr="002019B2">
              <w:rPr>
                <w:rFonts w:ascii="Arial Narrow" w:hAnsi="Arial Narrow"/>
                <w:b/>
                <w:bCs/>
                <w:sz w:val="20"/>
                <w:szCs w:val="20"/>
              </w:rPr>
              <w:t>BARI v PBO</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p>
        </w:tc>
      </w:tr>
      <w:tr w:rsidR="00B57ABA" w:rsidRPr="002019B2" w:rsidTr="007C7B54">
        <w:trPr>
          <w:tblHeader/>
        </w:trPr>
        <w:tc>
          <w:tcPr>
            <w:tcW w:w="1230" w:type="pct"/>
            <w:tcBorders>
              <w:top w:val="nil"/>
              <w:left w:val="nil"/>
              <w:bottom w:val="double" w:sz="4" w:space="0" w:color="auto"/>
              <w:right w:val="nil"/>
            </w:tcBorders>
            <w:vAlign w:val="center"/>
          </w:tcPr>
          <w:p w:rsidR="00B57ABA" w:rsidRPr="002019B2" w:rsidRDefault="00B57ABA" w:rsidP="00252290">
            <w:pPr>
              <w:jc w:val="left"/>
              <w:rPr>
                <w:rFonts w:ascii="Arial Narrow" w:hAnsi="Arial Narrow"/>
                <w:sz w:val="20"/>
                <w:szCs w:val="20"/>
              </w:rPr>
            </w:pPr>
            <w:r w:rsidRPr="002019B2">
              <w:rPr>
                <w:rFonts w:ascii="Arial Narrow" w:hAnsi="Arial Narrow"/>
                <w:sz w:val="20"/>
                <w:szCs w:val="20"/>
              </w:rPr>
              <w:t>RA-BEACON/JADW</w:t>
            </w:r>
          </w:p>
        </w:tc>
        <w:tc>
          <w:tcPr>
            <w:tcW w:w="760" w:type="pct"/>
            <w:tcBorders>
              <w:top w:val="nil"/>
              <w:left w:val="nil"/>
              <w:bottom w:val="double" w:sz="4" w:space="0" w:color="auto"/>
              <w:right w:val="nil"/>
            </w:tcBorders>
            <w:vAlign w:val="center"/>
          </w:tcPr>
          <w:p w:rsidR="00B57ABA" w:rsidRPr="002019B2" w:rsidRDefault="00B57ABA" w:rsidP="00252290">
            <w:pPr>
              <w:pStyle w:val="Tabletext"/>
              <w:jc w:val="center"/>
              <w:rPr>
                <w:szCs w:val="20"/>
              </w:rPr>
            </w:pPr>
            <w:r w:rsidRPr="002019B2">
              <w:t>50/177 (28.2)</w:t>
            </w:r>
          </w:p>
        </w:tc>
        <w:tc>
          <w:tcPr>
            <w:tcW w:w="760" w:type="pct"/>
            <w:tcBorders>
              <w:top w:val="nil"/>
              <w:left w:val="nil"/>
              <w:bottom w:val="double" w:sz="4" w:space="0" w:color="auto"/>
              <w:right w:val="nil"/>
            </w:tcBorders>
            <w:vAlign w:val="center"/>
          </w:tcPr>
          <w:p w:rsidR="00B57ABA" w:rsidRPr="002019B2" w:rsidRDefault="00B57ABA" w:rsidP="00252290">
            <w:pPr>
              <w:pStyle w:val="Tabletext"/>
              <w:jc w:val="center"/>
              <w:rPr>
                <w:szCs w:val="20"/>
              </w:rPr>
            </w:pPr>
            <w:r w:rsidRPr="002019B2">
              <w:t>14/176 (8.0)</w:t>
            </w:r>
          </w:p>
        </w:tc>
        <w:tc>
          <w:tcPr>
            <w:tcW w:w="823" w:type="pct"/>
            <w:tcBorders>
              <w:top w:val="nil"/>
              <w:left w:val="nil"/>
              <w:bottom w:val="double" w:sz="4" w:space="0" w:color="auto"/>
              <w:right w:val="nil"/>
            </w:tcBorders>
            <w:vAlign w:val="center"/>
          </w:tcPr>
          <w:p w:rsidR="00B57ABA" w:rsidRPr="002019B2" w:rsidRDefault="00B57ABA" w:rsidP="00252290">
            <w:pPr>
              <w:jc w:val="center"/>
              <w:rPr>
                <w:rFonts w:ascii="Arial Narrow" w:hAnsi="Arial Narrow"/>
                <w:bCs/>
                <w:sz w:val="20"/>
                <w:szCs w:val="20"/>
              </w:rPr>
            </w:pPr>
            <w:r w:rsidRPr="002019B2">
              <w:rPr>
                <w:rFonts w:ascii="Arial Narrow" w:hAnsi="Arial Narrow"/>
                <w:bCs/>
                <w:sz w:val="20"/>
                <w:szCs w:val="20"/>
              </w:rPr>
              <w:t>3.55 (2.04, 6.18)</w:t>
            </w:r>
          </w:p>
        </w:tc>
        <w:tc>
          <w:tcPr>
            <w:tcW w:w="824" w:type="pct"/>
            <w:tcBorders>
              <w:top w:val="nil"/>
              <w:left w:val="nil"/>
              <w:bottom w:val="double" w:sz="4" w:space="0" w:color="auto"/>
              <w:right w:val="nil"/>
            </w:tcBorders>
            <w:vAlign w:val="center"/>
          </w:tcPr>
          <w:p w:rsidR="00B57ABA" w:rsidRPr="002019B2" w:rsidRDefault="00B57ABA" w:rsidP="00252290">
            <w:pPr>
              <w:jc w:val="center"/>
              <w:rPr>
                <w:rFonts w:ascii="Arial Narrow" w:hAnsi="Arial Narrow"/>
                <w:bCs/>
                <w:sz w:val="20"/>
                <w:szCs w:val="20"/>
              </w:rPr>
            </w:pPr>
            <w:r w:rsidRPr="002019B2">
              <w:rPr>
                <w:rFonts w:ascii="Arial Narrow" w:hAnsi="Arial Narrow"/>
                <w:bCs/>
                <w:sz w:val="20"/>
                <w:szCs w:val="20"/>
              </w:rPr>
              <w:t>0.20 (0.13, 0.28)</w:t>
            </w:r>
          </w:p>
        </w:tc>
        <w:tc>
          <w:tcPr>
            <w:tcW w:w="603" w:type="pct"/>
            <w:tcBorders>
              <w:top w:val="nil"/>
              <w:left w:val="nil"/>
              <w:bottom w:val="double" w:sz="4" w:space="0" w:color="auto"/>
              <w:right w:val="nil"/>
            </w:tcBorders>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5 (4, 8)</w:t>
            </w:r>
          </w:p>
        </w:tc>
      </w:tr>
      <w:tr w:rsidR="00B57ABA" w:rsidRPr="002019B2" w:rsidTr="007C7B54">
        <w:trPr>
          <w:tblHeader/>
        </w:trPr>
        <w:tc>
          <w:tcPr>
            <w:tcW w:w="2750" w:type="pct"/>
            <w:gridSpan w:val="3"/>
            <w:tcBorders>
              <w:top w:val="double" w:sz="4" w:space="0" w:color="auto"/>
              <w:left w:val="nil"/>
              <w:bottom w:val="nil"/>
              <w:right w:val="nil"/>
            </w:tcBorders>
            <w:vAlign w:val="center"/>
          </w:tcPr>
          <w:p w:rsidR="00B57ABA" w:rsidRPr="002019B2" w:rsidRDefault="00B57ABA" w:rsidP="00252290">
            <w:pPr>
              <w:jc w:val="left"/>
              <w:rPr>
                <w:rFonts w:ascii="Arial Narrow" w:hAnsi="Arial Narrow"/>
                <w:color w:val="9BBB59" w:themeColor="accent3"/>
                <w:sz w:val="20"/>
                <w:szCs w:val="20"/>
                <w:u w:val="single"/>
              </w:rPr>
            </w:pPr>
            <w:r w:rsidRPr="002019B2">
              <w:rPr>
                <w:rFonts w:ascii="Arial Narrow" w:hAnsi="Arial Narrow"/>
                <w:b/>
                <w:bCs/>
                <w:sz w:val="20"/>
                <w:szCs w:val="20"/>
                <w:u w:val="single"/>
              </w:rPr>
              <w:t>Indirect Comparisons</w:t>
            </w:r>
          </w:p>
        </w:tc>
        <w:tc>
          <w:tcPr>
            <w:tcW w:w="823" w:type="pct"/>
            <w:tcBorders>
              <w:top w:val="double" w:sz="4" w:space="0" w:color="auto"/>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824" w:type="pct"/>
            <w:tcBorders>
              <w:top w:val="double" w:sz="4" w:space="0" w:color="auto"/>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603" w:type="pct"/>
            <w:tcBorders>
              <w:top w:val="double" w:sz="4" w:space="0" w:color="auto"/>
              <w:left w:val="nil"/>
              <w:bottom w:val="nil"/>
              <w:right w:val="nil"/>
            </w:tcBorders>
            <w:vAlign w:val="center"/>
          </w:tcPr>
          <w:p w:rsidR="00B57ABA" w:rsidRPr="002019B2" w:rsidRDefault="00B57ABA" w:rsidP="00252290">
            <w:pPr>
              <w:jc w:val="center"/>
              <w:rPr>
                <w:rFonts w:ascii="Arial Narrow" w:hAnsi="Arial Narrow"/>
                <w:sz w:val="20"/>
                <w:szCs w:val="20"/>
              </w:rPr>
            </w:pPr>
          </w:p>
        </w:tc>
      </w:tr>
      <w:tr w:rsidR="00B57ABA" w:rsidRPr="002019B2" w:rsidTr="007C7B54">
        <w:trPr>
          <w:tblHeader/>
        </w:trPr>
        <w:tc>
          <w:tcPr>
            <w:tcW w:w="2750" w:type="pct"/>
            <w:gridSpan w:val="3"/>
            <w:tcBorders>
              <w:top w:val="nil"/>
              <w:left w:val="nil"/>
              <w:bottom w:val="nil"/>
              <w:right w:val="nil"/>
            </w:tcBorders>
            <w:vAlign w:val="center"/>
          </w:tcPr>
          <w:p w:rsidR="00B57ABA" w:rsidRPr="002019B2" w:rsidRDefault="00B57ABA" w:rsidP="00252290">
            <w:pPr>
              <w:jc w:val="left"/>
              <w:rPr>
                <w:rFonts w:ascii="Arial Narrow" w:hAnsi="Arial Narrow"/>
                <w:b/>
                <w:bCs/>
                <w:color w:val="76923C" w:themeColor="accent3" w:themeShade="BF"/>
                <w:sz w:val="20"/>
                <w:szCs w:val="20"/>
                <w:u w:val="single"/>
              </w:rPr>
            </w:pPr>
            <w:r w:rsidRPr="002019B2">
              <w:rPr>
                <w:rFonts w:ascii="Arial Narrow" w:hAnsi="Arial Narrow"/>
                <w:b/>
                <w:bCs/>
                <w:color w:val="76923C" w:themeColor="accent3" w:themeShade="BF"/>
                <w:sz w:val="20"/>
                <w:szCs w:val="20"/>
                <w:u w:val="single"/>
              </w:rPr>
              <w:t>cDMARD IR population</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p>
        </w:tc>
      </w:tr>
      <w:tr w:rsidR="00B57ABA" w:rsidRPr="002019B2" w:rsidTr="007C7B54">
        <w:trPr>
          <w:tblHeader/>
        </w:trPr>
        <w:tc>
          <w:tcPr>
            <w:tcW w:w="2750" w:type="pct"/>
            <w:gridSpan w:val="3"/>
            <w:tcBorders>
              <w:top w:val="nil"/>
              <w:left w:val="nil"/>
              <w:bottom w:val="nil"/>
              <w:right w:val="nil"/>
            </w:tcBorders>
            <w:vAlign w:val="center"/>
          </w:tcPr>
          <w:p w:rsidR="00B57ABA" w:rsidRPr="002019B2" w:rsidRDefault="00B57ABA" w:rsidP="00252290">
            <w:pPr>
              <w:jc w:val="left"/>
              <w:rPr>
                <w:rFonts w:ascii="Arial Narrow" w:hAnsi="Arial Narrow"/>
                <w:sz w:val="20"/>
                <w:szCs w:val="20"/>
              </w:rPr>
            </w:pPr>
            <w:r w:rsidRPr="002019B2">
              <w:rPr>
                <w:rFonts w:ascii="Arial Narrow" w:hAnsi="Arial Narrow"/>
                <w:sz w:val="20"/>
                <w:szCs w:val="20"/>
              </w:rPr>
              <w:t>UPA (meta-analysis excl. MONO) v BARI (meta-analysis) via PBO</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1.07 (0.83, 1.38)</w:t>
            </w: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0.02 (-0.04, 0.08)</w:t>
            </w: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NA</w:t>
            </w:r>
          </w:p>
        </w:tc>
      </w:tr>
      <w:tr w:rsidR="00B57ABA" w:rsidRPr="002019B2" w:rsidTr="007C7B54">
        <w:trPr>
          <w:tblHeader/>
        </w:trPr>
        <w:tc>
          <w:tcPr>
            <w:tcW w:w="2750" w:type="pct"/>
            <w:gridSpan w:val="3"/>
            <w:tcBorders>
              <w:top w:val="nil"/>
              <w:left w:val="nil"/>
              <w:bottom w:val="nil"/>
              <w:right w:val="nil"/>
            </w:tcBorders>
            <w:vAlign w:val="center"/>
          </w:tcPr>
          <w:p w:rsidR="00B57ABA" w:rsidRPr="002019B2" w:rsidRDefault="00B57ABA" w:rsidP="00252290">
            <w:pPr>
              <w:jc w:val="left"/>
              <w:rPr>
                <w:rFonts w:ascii="Arial Narrow" w:hAnsi="Arial Narrow"/>
                <w:sz w:val="20"/>
                <w:szCs w:val="20"/>
              </w:rPr>
            </w:pPr>
            <w:r w:rsidRPr="002019B2">
              <w:rPr>
                <w:rFonts w:ascii="Arial Narrow" w:hAnsi="Arial Narrow"/>
                <w:iCs/>
                <w:sz w:val="20"/>
                <w:szCs w:val="20"/>
              </w:rPr>
              <w:t>UPA (meta-analysis incl. MONO) v BARI (meta-analysis) via PBO</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r w:rsidRPr="002019B2">
              <w:rPr>
                <w:rFonts w:ascii="Arial Narrow" w:hAnsi="Arial Narrow"/>
                <w:iCs/>
                <w:sz w:val="20"/>
                <w:szCs w:val="20"/>
              </w:rPr>
              <w:t>1.06 (0.83,1.35)</w:t>
            </w: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r w:rsidRPr="002019B2">
              <w:rPr>
                <w:rFonts w:ascii="Arial Narrow" w:hAnsi="Arial Narrow"/>
                <w:iCs/>
                <w:sz w:val="20"/>
                <w:szCs w:val="20"/>
              </w:rPr>
              <w:t>0.02 (-0.04,0.08)</w:t>
            </w: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NA</w:t>
            </w:r>
          </w:p>
        </w:tc>
      </w:tr>
      <w:tr w:rsidR="00B57ABA" w:rsidRPr="002019B2" w:rsidTr="007C7B54">
        <w:trPr>
          <w:tblHeader/>
        </w:trPr>
        <w:tc>
          <w:tcPr>
            <w:tcW w:w="2750" w:type="pct"/>
            <w:gridSpan w:val="3"/>
            <w:tcBorders>
              <w:top w:val="nil"/>
              <w:left w:val="nil"/>
              <w:bottom w:val="nil"/>
              <w:right w:val="nil"/>
            </w:tcBorders>
            <w:vAlign w:val="center"/>
          </w:tcPr>
          <w:p w:rsidR="00B57ABA" w:rsidRPr="002019B2" w:rsidRDefault="00B57ABA" w:rsidP="00252290">
            <w:pPr>
              <w:jc w:val="left"/>
              <w:rPr>
                <w:rFonts w:ascii="Arial Narrow" w:hAnsi="Arial Narrow"/>
                <w:sz w:val="20"/>
                <w:szCs w:val="20"/>
              </w:rPr>
            </w:pPr>
            <w:r w:rsidRPr="002019B2">
              <w:rPr>
                <w:rFonts w:ascii="Arial Narrow" w:hAnsi="Arial Narrow"/>
                <w:sz w:val="20"/>
                <w:szCs w:val="20"/>
              </w:rPr>
              <w:t>UPA (SELECT COMPARE) v BARI (RA-BEAM/JADV) via ADA</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1.20 (0.93,1.56)</w:t>
            </w: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r w:rsidRPr="002019B2">
              <w:rPr>
                <w:rFonts w:ascii="Arial Narrow" w:hAnsi="Arial Narrow"/>
                <w:iCs/>
                <w:sz w:val="20"/>
                <w:szCs w:val="20"/>
              </w:rPr>
              <w:t>0 (-0.09,0.09)</w:t>
            </w: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NA</w:t>
            </w:r>
          </w:p>
        </w:tc>
      </w:tr>
      <w:tr w:rsidR="00B57ABA" w:rsidRPr="002019B2" w:rsidTr="007C7B54">
        <w:trPr>
          <w:tblHeader/>
        </w:trPr>
        <w:tc>
          <w:tcPr>
            <w:tcW w:w="2750" w:type="pct"/>
            <w:gridSpan w:val="3"/>
            <w:tcBorders>
              <w:top w:val="nil"/>
              <w:left w:val="nil"/>
              <w:bottom w:val="nil"/>
              <w:right w:val="nil"/>
            </w:tcBorders>
            <w:vAlign w:val="center"/>
          </w:tcPr>
          <w:p w:rsidR="00B57ABA" w:rsidRPr="002019B2" w:rsidRDefault="00B57ABA" w:rsidP="00252290">
            <w:pPr>
              <w:jc w:val="left"/>
              <w:rPr>
                <w:rFonts w:ascii="Arial Narrow" w:hAnsi="Arial Narrow"/>
                <w:color w:val="4F81BD" w:themeColor="accent1"/>
                <w:sz w:val="20"/>
                <w:szCs w:val="20"/>
                <w:u w:val="single"/>
              </w:rPr>
            </w:pPr>
            <w:r w:rsidRPr="002019B2">
              <w:rPr>
                <w:rFonts w:ascii="Arial Narrow" w:hAnsi="Arial Narrow"/>
                <w:b/>
                <w:bCs/>
                <w:color w:val="31849B" w:themeColor="accent5" w:themeShade="BF"/>
                <w:sz w:val="20"/>
                <w:szCs w:val="20"/>
                <w:u w:val="single"/>
              </w:rPr>
              <w:t>bDMARD IR population</w:t>
            </w:r>
          </w:p>
        </w:tc>
        <w:tc>
          <w:tcPr>
            <w:tcW w:w="823"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824" w:type="pct"/>
            <w:tcBorders>
              <w:top w:val="nil"/>
              <w:left w:val="nil"/>
              <w:bottom w:val="nil"/>
              <w:right w:val="nil"/>
            </w:tcBorders>
            <w:vAlign w:val="center"/>
          </w:tcPr>
          <w:p w:rsidR="00B57ABA" w:rsidRPr="002019B2" w:rsidRDefault="00B57ABA" w:rsidP="00252290">
            <w:pPr>
              <w:jc w:val="center"/>
              <w:rPr>
                <w:rFonts w:ascii="Arial Narrow" w:hAnsi="Arial Narrow"/>
                <w:iCs/>
                <w:sz w:val="20"/>
                <w:szCs w:val="20"/>
              </w:rPr>
            </w:pPr>
          </w:p>
        </w:tc>
        <w:tc>
          <w:tcPr>
            <w:tcW w:w="603" w:type="pct"/>
            <w:tcBorders>
              <w:top w:val="nil"/>
              <w:left w:val="nil"/>
              <w:bottom w:val="nil"/>
              <w:right w:val="nil"/>
            </w:tcBorders>
            <w:vAlign w:val="center"/>
          </w:tcPr>
          <w:p w:rsidR="00B57ABA" w:rsidRPr="002019B2" w:rsidRDefault="00B57ABA" w:rsidP="00252290">
            <w:pPr>
              <w:jc w:val="center"/>
              <w:rPr>
                <w:rFonts w:ascii="Arial Narrow" w:hAnsi="Arial Narrow"/>
                <w:sz w:val="20"/>
                <w:szCs w:val="20"/>
              </w:rPr>
            </w:pPr>
          </w:p>
        </w:tc>
      </w:tr>
      <w:tr w:rsidR="00B57ABA" w:rsidRPr="002019B2" w:rsidTr="007C7B54">
        <w:trPr>
          <w:trHeight w:val="56"/>
          <w:tblHeader/>
        </w:trPr>
        <w:tc>
          <w:tcPr>
            <w:tcW w:w="2750" w:type="pct"/>
            <w:gridSpan w:val="3"/>
            <w:tcBorders>
              <w:top w:val="nil"/>
              <w:left w:val="nil"/>
              <w:right w:val="nil"/>
            </w:tcBorders>
          </w:tcPr>
          <w:p w:rsidR="00B57ABA" w:rsidRPr="002019B2" w:rsidRDefault="00B57ABA" w:rsidP="00252290">
            <w:pPr>
              <w:jc w:val="left"/>
              <w:rPr>
                <w:rFonts w:ascii="Arial Narrow" w:hAnsi="Arial Narrow"/>
                <w:sz w:val="20"/>
                <w:szCs w:val="20"/>
              </w:rPr>
            </w:pPr>
            <w:r w:rsidRPr="002019B2">
              <w:rPr>
                <w:rFonts w:ascii="Arial Narrow" w:hAnsi="Arial Narrow"/>
                <w:sz w:val="20"/>
                <w:szCs w:val="20"/>
              </w:rPr>
              <w:t>UPA (SELECT BEYOND) v BARI (RA-BEACON/JADW) via PBO</w:t>
            </w:r>
          </w:p>
        </w:tc>
        <w:tc>
          <w:tcPr>
            <w:tcW w:w="823" w:type="pct"/>
            <w:tcBorders>
              <w:top w:val="nil"/>
              <w:left w:val="nil"/>
              <w:right w:val="nil"/>
            </w:tcBorders>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0.81 (0.40,1.68)</w:t>
            </w:r>
          </w:p>
        </w:tc>
        <w:tc>
          <w:tcPr>
            <w:tcW w:w="824" w:type="pct"/>
            <w:tcBorders>
              <w:top w:val="nil"/>
              <w:left w:val="nil"/>
              <w:right w:val="nil"/>
            </w:tcBorders>
            <w:vAlign w:val="center"/>
          </w:tcPr>
          <w:p w:rsidR="00B57ABA" w:rsidRPr="002019B2" w:rsidRDefault="00B57ABA" w:rsidP="00252290">
            <w:pPr>
              <w:jc w:val="center"/>
              <w:rPr>
                <w:rFonts w:ascii="Arial Narrow" w:hAnsi="Arial Narrow"/>
                <w:iCs/>
                <w:sz w:val="20"/>
                <w:szCs w:val="20"/>
              </w:rPr>
            </w:pPr>
            <w:r w:rsidRPr="002019B2">
              <w:rPr>
                <w:rFonts w:ascii="Arial Narrow" w:hAnsi="Arial Narrow"/>
                <w:iCs/>
                <w:sz w:val="20"/>
                <w:szCs w:val="20"/>
              </w:rPr>
              <w:t>0.08 (-0.06,0.22)</w:t>
            </w:r>
          </w:p>
        </w:tc>
        <w:tc>
          <w:tcPr>
            <w:tcW w:w="603" w:type="pct"/>
            <w:tcBorders>
              <w:top w:val="nil"/>
              <w:left w:val="nil"/>
              <w:right w:val="nil"/>
            </w:tcBorders>
            <w:vAlign w:val="center"/>
          </w:tcPr>
          <w:p w:rsidR="00B57ABA" w:rsidRPr="002019B2" w:rsidRDefault="00B57ABA" w:rsidP="00252290">
            <w:pPr>
              <w:jc w:val="center"/>
              <w:rPr>
                <w:rFonts w:ascii="Arial Narrow" w:hAnsi="Arial Narrow"/>
                <w:sz w:val="20"/>
                <w:szCs w:val="20"/>
              </w:rPr>
            </w:pPr>
            <w:r w:rsidRPr="002019B2">
              <w:rPr>
                <w:rFonts w:ascii="Arial Narrow" w:hAnsi="Arial Narrow"/>
                <w:sz w:val="20"/>
                <w:szCs w:val="20"/>
              </w:rPr>
              <w:t>NA</w:t>
            </w:r>
          </w:p>
        </w:tc>
      </w:tr>
    </w:tbl>
    <w:p w:rsidR="00B57ABA" w:rsidRPr="002019B2" w:rsidRDefault="00B57ABA" w:rsidP="00B57ABA">
      <w:pPr>
        <w:tabs>
          <w:tab w:val="left" w:pos="142"/>
        </w:tabs>
        <w:rPr>
          <w:rFonts w:ascii="Arial Narrow" w:hAnsi="Arial Narrow"/>
          <w:sz w:val="18"/>
          <w:szCs w:val="18"/>
        </w:rPr>
      </w:pPr>
      <w:r w:rsidRPr="002019B2">
        <w:rPr>
          <w:rFonts w:ascii="Arial Narrow" w:hAnsi="Arial Narrow"/>
          <w:sz w:val="18"/>
          <w:szCs w:val="16"/>
          <w:vertAlign w:val="superscript"/>
        </w:rPr>
        <w:t>a</w:t>
      </w:r>
      <w:r w:rsidRPr="002019B2">
        <w:rPr>
          <w:rFonts w:ascii="Arial Narrow" w:hAnsi="Arial Narrow"/>
          <w:sz w:val="18"/>
          <w:szCs w:val="18"/>
        </w:rPr>
        <w:t>PBO arm is receiving MTX</w:t>
      </w:r>
    </w:p>
    <w:p w:rsidR="00B57ABA" w:rsidRPr="002019B2" w:rsidRDefault="00B57ABA" w:rsidP="00B57ABA">
      <w:pPr>
        <w:pStyle w:val="TableFooter"/>
      </w:pPr>
      <w:r w:rsidRPr="002019B2">
        <w:t xml:space="preserve">Abbreviations: ADA=adalimumab; BARI=baricitinib; CI=confidence interval; IR=inadequate response; </w:t>
      </w:r>
      <w:r w:rsidR="00CD2CBD" w:rsidRPr="002019B2">
        <w:t xml:space="preserve">NNT = number needed to treat; </w:t>
      </w:r>
      <w:r w:rsidRPr="002019B2">
        <w:t>OR=odds ratio; PBO=placebo; RD=risk difference; RR=risk ratio; UPA=upa</w:t>
      </w:r>
      <w:r w:rsidR="002B1D13" w:rsidRPr="002019B2">
        <w:t>da</w:t>
      </w:r>
      <w:r w:rsidRPr="002019B2">
        <w:t xml:space="preserve">citinib </w:t>
      </w:r>
    </w:p>
    <w:p w:rsidR="00B57ABA" w:rsidRPr="002019B2" w:rsidRDefault="00B57ABA" w:rsidP="00B57ABA">
      <w:pPr>
        <w:rPr>
          <w:rFonts w:ascii="Arial Narrow" w:hAnsi="Arial Narrow"/>
          <w:sz w:val="18"/>
          <w:szCs w:val="18"/>
        </w:rPr>
      </w:pPr>
      <w:r w:rsidRPr="002019B2">
        <w:rPr>
          <w:rFonts w:ascii="Arial Narrow" w:hAnsi="Arial Narrow"/>
          <w:sz w:val="18"/>
          <w:szCs w:val="18"/>
        </w:rPr>
        <w:t>Source: compiled during the evaluation:</w:t>
      </w:r>
      <w:r w:rsidR="002B1D13" w:rsidRPr="002019B2">
        <w:rPr>
          <w:rFonts w:ascii="Arial Narrow" w:hAnsi="Arial Narrow"/>
          <w:sz w:val="18"/>
          <w:szCs w:val="18"/>
        </w:rPr>
        <w:t xml:space="preserve"> </w:t>
      </w:r>
      <w:r w:rsidRPr="002019B2">
        <w:rPr>
          <w:rFonts w:ascii="Arial Narrow" w:hAnsi="Arial Narrow"/>
          <w:sz w:val="18"/>
          <w:szCs w:val="18"/>
        </w:rPr>
        <w:t>Table 2.16, p84; Table 2.20, p89; Table 2.24, p94</w:t>
      </w:r>
      <w:r w:rsidR="006E21BE" w:rsidRPr="002019B2">
        <w:rPr>
          <w:rFonts w:ascii="Arial Narrow" w:hAnsi="Arial Narrow"/>
          <w:sz w:val="18"/>
          <w:szCs w:val="18"/>
        </w:rPr>
        <w:t xml:space="preserve"> of the submission</w:t>
      </w:r>
    </w:p>
    <w:p w:rsidR="00C545C1" w:rsidRPr="002019B2" w:rsidRDefault="00C545C1" w:rsidP="001C155A">
      <w:pPr>
        <w:widowControl/>
        <w:rPr>
          <w:iCs/>
        </w:rPr>
      </w:pPr>
    </w:p>
    <w:p w:rsidR="000F6CC3" w:rsidRPr="002019B2" w:rsidRDefault="00C545C1" w:rsidP="00123D0F">
      <w:pPr>
        <w:pStyle w:val="ListParagraph"/>
        <w:widowControl/>
        <w:numPr>
          <w:ilvl w:val="1"/>
          <w:numId w:val="9"/>
        </w:numPr>
        <w:spacing w:after="120"/>
        <w:ind w:left="720" w:hanging="720"/>
      </w:pPr>
      <w:r w:rsidRPr="002019B2">
        <w:t xml:space="preserve">The results demonstrated both UPA and BARI were more effective than PBO at achieving ACR20 and ACR50 response at Week 12, and the magnitude of the treatment effect for UPA was similar with or without concomitant MTX </w:t>
      </w:r>
      <w:r w:rsidR="005878EB" w:rsidRPr="002019B2">
        <w:t>(</w:t>
      </w:r>
      <w:r w:rsidRPr="002019B2">
        <w:t>demonstrated in SELECT-MONOTHERAPY</w:t>
      </w:r>
      <w:r w:rsidR="005878EB" w:rsidRPr="002019B2">
        <w:t>)</w:t>
      </w:r>
      <w:r w:rsidRPr="002019B2">
        <w:t xml:space="preserve">. The results of the indirect comparisons did not show any statistically significant differences between UPA and BARI in patients with an inadequate response to either cDMARDs or bDMARDs. The results for ACR20 met the non-inferiority margin previously accepted by the PBAC given the lower bound of </w:t>
      </w:r>
      <w:r w:rsidR="004652AD" w:rsidRPr="002019B2">
        <w:t xml:space="preserve">RR </w:t>
      </w:r>
      <w:r w:rsidRPr="002019B2">
        <w:t>95%CI for the indirect comparisons was larger than 0.4.</w:t>
      </w:r>
    </w:p>
    <w:p w:rsidR="003D68A8" w:rsidRPr="002019B2" w:rsidRDefault="006A4F20" w:rsidP="00123D0F">
      <w:pPr>
        <w:pStyle w:val="ListParagraph"/>
        <w:widowControl/>
        <w:numPr>
          <w:ilvl w:val="1"/>
          <w:numId w:val="9"/>
        </w:numPr>
        <w:spacing w:after="120"/>
        <w:ind w:left="720" w:hanging="720"/>
      </w:pPr>
      <w:r w:rsidRPr="002019B2">
        <w:t>Overall</w:t>
      </w:r>
      <w:r w:rsidR="00A545EA" w:rsidRPr="002019B2">
        <w:t>, the ESC considered that</w:t>
      </w:r>
      <w:r w:rsidRPr="002019B2">
        <w:t xml:space="preserve"> the results supported a conclusion of non-inferior efficacy between UPA and BARI. The results were not sensitive to the inclusion of SELECT-MONOTHERAPY or the three excluded trials (JADN, SELECT-SUNRISE, RA-BALANCE/JAGS) conducted in ‘foreign’ populations.</w:t>
      </w:r>
      <w:r w:rsidR="006515EE" w:rsidRPr="002019B2">
        <w:t xml:space="preserve"> </w:t>
      </w:r>
      <w:r w:rsidR="003D68A8" w:rsidRPr="002019B2">
        <w:t xml:space="preserve">Similar findings were reported for </w:t>
      </w:r>
      <w:r w:rsidR="003D68A8" w:rsidRPr="002019B2">
        <w:lastRenderedPageBreak/>
        <w:t>other outcomes (ACR70, DAS28</w:t>
      </w:r>
      <w:r w:rsidR="002B1D13" w:rsidRPr="002019B2">
        <w:t xml:space="preserve"> </w:t>
      </w:r>
      <w:r w:rsidR="003D68A8" w:rsidRPr="002019B2">
        <w:t>(CRP)&lt;2.6, HAQ-DI) and time points (Week 12 and 24) presented in the submission.</w:t>
      </w:r>
    </w:p>
    <w:p w:rsidR="006A4F20" w:rsidRPr="002019B2" w:rsidRDefault="006A4F20" w:rsidP="00123D0F">
      <w:pPr>
        <w:pStyle w:val="ListParagraph"/>
        <w:widowControl/>
        <w:numPr>
          <w:ilvl w:val="1"/>
          <w:numId w:val="9"/>
        </w:numPr>
        <w:spacing w:after="120"/>
        <w:ind w:left="720" w:hanging="720"/>
      </w:pPr>
      <w:r w:rsidRPr="002019B2">
        <w:t>Results of the head-to-head trials demonstrated that UPA and BARI were statistically more effective than ADA at achieving ACR20 and ACR50 response at Week 12. In SELECT-COMPARE, the comparison between UPA and ADA met the pre-specified non-inferiority margin for ACR50 (RD = 0.16, 95%CI: 0.10, 0.22) because the lower bound of the 95%CI was larger than -0.10. The result also met the multiplicity-controlled conclusion of superiority. In RA-BEAM</w:t>
      </w:r>
      <w:r w:rsidR="003D68A8" w:rsidRPr="002019B2">
        <w:t>/JADV</w:t>
      </w:r>
      <w:r w:rsidRPr="002019B2">
        <w:t>, the comparison between BARI and ADA met the pre-specified non-inferiority margin for ACR20 and BARI was considered to be superior to ADA according to the statistical analysis plan.</w:t>
      </w:r>
    </w:p>
    <w:p w:rsidR="006A4F20" w:rsidRPr="002019B2" w:rsidRDefault="003D68A8" w:rsidP="00123D0F">
      <w:pPr>
        <w:pStyle w:val="ListParagraph"/>
        <w:widowControl/>
        <w:numPr>
          <w:ilvl w:val="1"/>
          <w:numId w:val="9"/>
        </w:numPr>
        <w:spacing w:after="120"/>
        <w:ind w:left="720" w:hanging="720"/>
      </w:pPr>
      <w:r w:rsidRPr="002019B2">
        <w:t xml:space="preserve">Despite the trial conclusions, </w:t>
      </w:r>
      <w:r w:rsidR="006A4F20" w:rsidRPr="002019B2">
        <w:t xml:space="preserve">it was unclear whether the results </w:t>
      </w:r>
      <w:r w:rsidRPr="002019B2">
        <w:t xml:space="preserve">adequately </w:t>
      </w:r>
      <w:r w:rsidR="006A4F20" w:rsidRPr="002019B2">
        <w:t>supported a claim of superior efficacy for UPA over ADA. The submission argued SELECT-COMPARE (and RA-BEAM</w:t>
      </w:r>
      <w:r w:rsidR="000C4C41" w:rsidRPr="002019B2">
        <w:t>/JADV</w:t>
      </w:r>
      <w:r w:rsidR="006A4F20" w:rsidRPr="002019B2">
        <w:t>) were powered for non-inferiority and then assessed superiority to ADA</w:t>
      </w:r>
      <w:r w:rsidR="000C4C41" w:rsidRPr="002019B2">
        <w:t>;</w:t>
      </w:r>
      <w:r w:rsidR="006A4F20" w:rsidRPr="002019B2">
        <w:t xml:space="preserve"> therefore, any statistically significant difference should be considered clinically important. However, the </w:t>
      </w:r>
      <w:r w:rsidR="00A545EA" w:rsidRPr="002019B2">
        <w:t xml:space="preserve">ESC recalled that the </w:t>
      </w:r>
      <w:r w:rsidR="006A4F20" w:rsidRPr="002019B2">
        <w:t>PBAC previously rejected a claim of superior efficacy between BARI and ADA based on</w:t>
      </w:r>
      <w:r w:rsidRPr="002019B2">
        <w:t xml:space="preserve"> the evidence reported in</w:t>
      </w:r>
      <w:r w:rsidR="006A4F20" w:rsidRPr="002019B2">
        <w:t xml:space="preserve"> RA-BEAM</w:t>
      </w:r>
      <w:r w:rsidR="000C4C41" w:rsidRPr="002019B2">
        <w:t>/JADV</w:t>
      </w:r>
      <w:r w:rsidR="006A4F20" w:rsidRPr="002019B2">
        <w:t xml:space="preserve">. </w:t>
      </w:r>
    </w:p>
    <w:p w:rsidR="006D1358" w:rsidRPr="002019B2" w:rsidRDefault="006D1358" w:rsidP="006D1358">
      <w:pPr>
        <w:pStyle w:val="Heading2"/>
      </w:pPr>
      <w:bookmarkStart w:id="10" w:name="_Toc19709476"/>
      <w:r w:rsidRPr="002019B2">
        <w:t>Comparative harms</w:t>
      </w:r>
      <w:bookmarkEnd w:id="10"/>
    </w:p>
    <w:p w:rsidR="006D1358" w:rsidRPr="002019B2" w:rsidRDefault="006D1358" w:rsidP="006D1358"/>
    <w:p w:rsidR="006D1358" w:rsidRPr="002019B2" w:rsidRDefault="006D1358" w:rsidP="00123D0F">
      <w:pPr>
        <w:pStyle w:val="ListParagraph"/>
        <w:widowControl/>
        <w:numPr>
          <w:ilvl w:val="1"/>
          <w:numId w:val="9"/>
        </w:numPr>
        <w:spacing w:after="120"/>
        <w:ind w:left="720" w:hanging="720"/>
      </w:pPr>
      <w:r w:rsidRPr="002019B2">
        <w:t>The submission did not conduct an indirect comparison for any safety outcomes; estimates presented below were calculated during the evaluation.</w:t>
      </w:r>
      <w:r w:rsidR="00B834BA" w:rsidRPr="002019B2">
        <w:t xml:space="preserve"> Table 7</w:t>
      </w:r>
      <w:r w:rsidR="009E72A9" w:rsidRPr="002019B2">
        <w:t xml:space="preserve"> present</w:t>
      </w:r>
      <w:r w:rsidR="000F6CC3" w:rsidRPr="002019B2">
        <w:t>s</w:t>
      </w:r>
      <w:r w:rsidR="009E72A9" w:rsidRPr="002019B2">
        <w:t xml:space="preserve"> a comparison of (pooled) safety outcomes for UPA, BARI and PBO at Week 12</w:t>
      </w:r>
      <w:r w:rsidR="000F6CC3" w:rsidRPr="002019B2">
        <w:t xml:space="preserve">. Safety outcomes at week 24/26 </w:t>
      </w:r>
      <w:r w:rsidR="00C11582" w:rsidRPr="002019B2">
        <w:t xml:space="preserve">were </w:t>
      </w:r>
      <w:r w:rsidR="000F6CC3" w:rsidRPr="002019B2">
        <w:t>consistent with Week 12 results.</w:t>
      </w:r>
    </w:p>
    <w:p w:rsidR="000F6CC3" w:rsidRPr="002019B2" w:rsidRDefault="00B834BA" w:rsidP="00D6130A">
      <w:pPr>
        <w:pStyle w:val="Tabletext"/>
        <w:keepNext/>
        <w:keepLines/>
        <w:rPr>
          <w:b/>
        </w:rPr>
      </w:pPr>
      <w:r w:rsidRPr="002019B2">
        <w:rPr>
          <w:b/>
        </w:rPr>
        <w:lastRenderedPageBreak/>
        <w:t>Table 7</w:t>
      </w:r>
      <w:r w:rsidR="000F6CC3" w:rsidRPr="002019B2">
        <w:rPr>
          <w:b/>
        </w:rPr>
        <w:t xml:space="preserve">: Summary of key adverse events in the randomised trials at Wk12 (PBO common </w:t>
      </w:r>
      <w:r w:rsidR="00DC5B72" w:rsidRPr="002019B2">
        <w:rPr>
          <w:b/>
        </w:rPr>
        <w:t>reference</w:t>
      </w:r>
      <w:r w:rsidR="000F6CC3" w:rsidRPr="002019B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Summary of key adverse events in the randomised trials at Wk12 (PBO common reference)"/>
      </w:tblPr>
      <w:tblGrid>
        <w:gridCol w:w="2263"/>
        <w:gridCol w:w="1276"/>
        <w:gridCol w:w="1276"/>
        <w:gridCol w:w="1276"/>
        <w:gridCol w:w="1134"/>
        <w:gridCol w:w="1792"/>
      </w:tblGrid>
      <w:tr w:rsidR="000F6CC3" w:rsidRPr="002019B2" w:rsidTr="007C7B54">
        <w:trPr>
          <w:tblHeader/>
        </w:trPr>
        <w:tc>
          <w:tcPr>
            <w:tcW w:w="2263" w:type="dxa"/>
            <w:vAlign w:val="center"/>
          </w:tcPr>
          <w:p w:rsidR="000F6CC3" w:rsidRPr="002019B2" w:rsidRDefault="000F6CC3" w:rsidP="00D6130A">
            <w:pPr>
              <w:pStyle w:val="Tabletext"/>
              <w:keepNext/>
              <w:keepLines/>
              <w:rPr>
                <w:b/>
              </w:rPr>
            </w:pPr>
            <w:r w:rsidRPr="002019B2">
              <w:rPr>
                <w:b/>
              </w:rPr>
              <w:t>Pooled results</w:t>
            </w:r>
          </w:p>
        </w:tc>
        <w:tc>
          <w:tcPr>
            <w:tcW w:w="2552" w:type="dxa"/>
            <w:gridSpan w:val="2"/>
            <w:vAlign w:val="center"/>
          </w:tcPr>
          <w:p w:rsidR="000F6CC3" w:rsidRPr="002019B2" w:rsidRDefault="000F6CC3" w:rsidP="00D6130A">
            <w:pPr>
              <w:pStyle w:val="Tabletext"/>
              <w:keepNext/>
              <w:keepLines/>
              <w:jc w:val="center"/>
              <w:rPr>
                <w:b/>
              </w:rPr>
            </w:pPr>
            <w:r w:rsidRPr="002019B2">
              <w:rPr>
                <w:b/>
              </w:rPr>
              <w:t>UPA trials</w:t>
            </w:r>
            <w:r w:rsidRPr="002019B2">
              <w:rPr>
                <w:b/>
                <w:vertAlign w:val="superscript"/>
              </w:rPr>
              <w:t>a</w:t>
            </w:r>
          </w:p>
        </w:tc>
        <w:tc>
          <w:tcPr>
            <w:tcW w:w="2410" w:type="dxa"/>
            <w:gridSpan w:val="2"/>
            <w:vAlign w:val="center"/>
          </w:tcPr>
          <w:p w:rsidR="000F6CC3" w:rsidRPr="002019B2" w:rsidRDefault="000F6CC3" w:rsidP="00D6130A">
            <w:pPr>
              <w:pStyle w:val="Tabletext"/>
              <w:keepNext/>
              <w:keepLines/>
              <w:jc w:val="center"/>
              <w:rPr>
                <w:b/>
              </w:rPr>
            </w:pPr>
            <w:r w:rsidRPr="002019B2">
              <w:rPr>
                <w:b/>
              </w:rPr>
              <w:t>BARI trials</w:t>
            </w:r>
            <w:r w:rsidRPr="002019B2">
              <w:rPr>
                <w:b/>
                <w:vertAlign w:val="superscript"/>
              </w:rPr>
              <w:t>b</w:t>
            </w:r>
          </w:p>
        </w:tc>
        <w:tc>
          <w:tcPr>
            <w:tcW w:w="1792" w:type="dxa"/>
            <w:vMerge w:val="restart"/>
            <w:vAlign w:val="center"/>
          </w:tcPr>
          <w:p w:rsidR="000F6CC3" w:rsidRPr="002019B2" w:rsidRDefault="000F6CC3" w:rsidP="00D6130A">
            <w:pPr>
              <w:pStyle w:val="Tabletext"/>
              <w:keepNext/>
              <w:keepLines/>
              <w:jc w:val="center"/>
              <w:rPr>
                <w:b/>
                <w:iCs/>
              </w:rPr>
            </w:pPr>
            <w:r w:rsidRPr="002019B2">
              <w:rPr>
                <w:b/>
                <w:iCs/>
              </w:rPr>
              <w:t>Indirect comparison</w:t>
            </w:r>
          </w:p>
          <w:p w:rsidR="000F6CC3" w:rsidRPr="002019B2" w:rsidRDefault="000F6CC3" w:rsidP="00D6130A">
            <w:pPr>
              <w:pStyle w:val="Tabletext"/>
              <w:keepNext/>
              <w:keepLines/>
              <w:jc w:val="center"/>
              <w:rPr>
                <w:b/>
                <w:iCs/>
              </w:rPr>
            </w:pPr>
            <w:r w:rsidRPr="002019B2">
              <w:rPr>
                <w:b/>
                <w:iCs/>
              </w:rPr>
              <w:t>RD (95% CI)</w:t>
            </w:r>
          </w:p>
        </w:tc>
      </w:tr>
      <w:tr w:rsidR="000F6CC3" w:rsidRPr="002019B2" w:rsidTr="007C7B54">
        <w:trPr>
          <w:tblHeader/>
        </w:trPr>
        <w:tc>
          <w:tcPr>
            <w:tcW w:w="2263" w:type="dxa"/>
            <w:vAlign w:val="center"/>
          </w:tcPr>
          <w:p w:rsidR="000F6CC3" w:rsidRPr="002019B2" w:rsidRDefault="000F6CC3" w:rsidP="00D6130A">
            <w:pPr>
              <w:pStyle w:val="Tabletext"/>
              <w:keepNext/>
              <w:keepLines/>
              <w:rPr>
                <w:b/>
              </w:rPr>
            </w:pPr>
          </w:p>
        </w:tc>
        <w:tc>
          <w:tcPr>
            <w:tcW w:w="1276" w:type="dxa"/>
            <w:vAlign w:val="center"/>
          </w:tcPr>
          <w:p w:rsidR="000F6CC3" w:rsidRPr="002019B2" w:rsidRDefault="000F6CC3" w:rsidP="00D6130A">
            <w:pPr>
              <w:pStyle w:val="Tabletext"/>
              <w:keepNext/>
              <w:keepLines/>
              <w:jc w:val="center"/>
            </w:pPr>
            <w:r w:rsidRPr="002019B2">
              <w:t>UPA 15mg</w:t>
            </w:r>
          </w:p>
          <w:p w:rsidR="000F6CC3" w:rsidRPr="002019B2" w:rsidRDefault="000F6CC3" w:rsidP="00D6130A">
            <w:pPr>
              <w:pStyle w:val="Tabletext"/>
              <w:keepNext/>
              <w:keepLines/>
              <w:jc w:val="center"/>
            </w:pPr>
            <w:r w:rsidRPr="002019B2">
              <w:t>N=1035</w:t>
            </w:r>
          </w:p>
          <w:p w:rsidR="000F6CC3" w:rsidRPr="002019B2" w:rsidRDefault="000F6CC3" w:rsidP="00D6130A">
            <w:pPr>
              <w:pStyle w:val="Tabletext"/>
              <w:keepNext/>
              <w:keepLines/>
              <w:jc w:val="center"/>
            </w:pPr>
            <w:r w:rsidRPr="002019B2">
              <w:t>n events (%)</w:t>
            </w:r>
          </w:p>
        </w:tc>
        <w:tc>
          <w:tcPr>
            <w:tcW w:w="1276" w:type="dxa"/>
            <w:vAlign w:val="center"/>
          </w:tcPr>
          <w:p w:rsidR="000F6CC3" w:rsidRPr="002019B2" w:rsidRDefault="000F6CC3" w:rsidP="00D6130A">
            <w:pPr>
              <w:pStyle w:val="Tabletext"/>
              <w:keepNext/>
              <w:keepLines/>
              <w:jc w:val="center"/>
            </w:pPr>
            <w:r w:rsidRPr="002019B2">
              <w:t>PBO,</w:t>
            </w:r>
          </w:p>
          <w:p w:rsidR="000F6CC3" w:rsidRPr="002019B2" w:rsidRDefault="000F6CC3" w:rsidP="00D6130A">
            <w:pPr>
              <w:pStyle w:val="Tabletext"/>
              <w:keepNext/>
              <w:keepLines/>
              <w:jc w:val="center"/>
            </w:pPr>
            <w:r w:rsidRPr="002019B2">
              <w:t>N=1042</w:t>
            </w:r>
          </w:p>
          <w:p w:rsidR="000F6CC3" w:rsidRPr="002019B2" w:rsidRDefault="000F6CC3" w:rsidP="00D6130A">
            <w:pPr>
              <w:pStyle w:val="Tabletext"/>
              <w:keepNext/>
              <w:keepLines/>
              <w:jc w:val="center"/>
            </w:pPr>
            <w:r w:rsidRPr="002019B2">
              <w:t>n events (%)</w:t>
            </w:r>
          </w:p>
        </w:tc>
        <w:tc>
          <w:tcPr>
            <w:tcW w:w="1276" w:type="dxa"/>
            <w:vAlign w:val="center"/>
          </w:tcPr>
          <w:p w:rsidR="000F6CC3" w:rsidRPr="002019B2" w:rsidRDefault="000F6CC3" w:rsidP="00D6130A">
            <w:pPr>
              <w:pStyle w:val="Tabletext"/>
              <w:keepNext/>
              <w:keepLines/>
              <w:jc w:val="center"/>
            </w:pPr>
            <w:r w:rsidRPr="002019B2">
              <w:t>BARI 4mg</w:t>
            </w:r>
          </w:p>
          <w:p w:rsidR="000F6CC3" w:rsidRPr="002019B2" w:rsidRDefault="000F6CC3" w:rsidP="00D6130A">
            <w:pPr>
              <w:pStyle w:val="Tabletext"/>
              <w:keepNext/>
              <w:keepLines/>
              <w:jc w:val="center"/>
            </w:pPr>
            <w:r w:rsidRPr="002019B2">
              <w:t>N=456</w:t>
            </w:r>
          </w:p>
          <w:p w:rsidR="000F6CC3" w:rsidRPr="002019B2" w:rsidRDefault="000F6CC3" w:rsidP="00D6130A">
            <w:pPr>
              <w:pStyle w:val="Tabletext"/>
              <w:keepNext/>
              <w:keepLines/>
              <w:jc w:val="center"/>
            </w:pPr>
            <w:r w:rsidRPr="002019B2">
              <w:t>n events (%)</w:t>
            </w:r>
          </w:p>
        </w:tc>
        <w:tc>
          <w:tcPr>
            <w:tcW w:w="1134" w:type="dxa"/>
            <w:vAlign w:val="center"/>
          </w:tcPr>
          <w:p w:rsidR="000F6CC3" w:rsidRPr="002019B2" w:rsidRDefault="000F6CC3" w:rsidP="00D6130A">
            <w:pPr>
              <w:pStyle w:val="Tabletext"/>
              <w:keepNext/>
              <w:keepLines/>
              <w:jc w:val="center"/>
            </w:pPr>
            <w:r w:rsidRPr="002019B2">
              <w:t>PBO</w:t>
            </w:r>
          </w:p>
          <w:p w:rsidR="000F6CC3" w:rsidRPr="002019B2" w:rsidRDefault="000F6CC3" w:rsidP="00D6130A">
            <w:pPr>
              <w:pStyle w:val="Tabletext"/>
              <w:keepNext/>
              <w:keepLines/>
              <w:jc w:val="center"/>
            </w:pPr>
            <w:r w:rsidRPr="002019B2">
              <w:t>N=507</w:t>
            </w:r>
          </w:p>
          <w:p w:rsidR="000F6CC3" w:rsidRPr="002019B2" w:rsidRDefault="000F6CC3" w:rsidP="00D6130A">
            <w:pPr>
              <w:pStyle w:val="Tabletext"/>
              <w:keepNext/>
              <w:keepLines/>
              <w:jc w:val="center"/>
            </w:pPr>
            <w:r w:rsidRPr="002019B2">
              <w:t>n events (%)</w:t>
            </w:r>
          </w:p>
        </w:tc>
        <w:tc>
          <w:tcPr>
            <w:tcW w:w="1792" w:type="dxa"/>
            <w:vMerge/>
            <w:vAlign w:val="center"/>
          </w:tcPr>
          <w:p w:rsidR="000F6CC3" w:rsidRPr="002019B2" w:rsidRDefault="000F6CC3" w:rsidP="00D6130A">
            <w:pPr>
              <w:pStyle w:val="Tabletext"/>
              <w:keepNext/>
              <w:keepLines/>
              <w:rPr>
                <w:b/>
              </w:rPr>
            </w:pPr>
          </w:p>
        </w:tc>
      </w:tr>
      <w:tr w:rsidR="000F6CC3" w:rsidRPr="002019B2" w:rsidTr="007C7B54">
        <w:trPr>
          <w:tblHeader/>
        </w:trPr>
        <w:tc>
          <w:tcPr>
            <w:tcW w:w="9017" w:type="dxa"/>
            <w:gridSpan w:val="6"/>
            <w:vAlign w:val="center"/>
          </w:tcPr>
          <w:p w:rsidR="000F6CC3" w:rsidRPr="002019B2" w:rsidRDefault="000F6CC3" w:rsidP="00D6130A">
            <w:pPr>
              <w:pStyle w:val="Tabletext"/>
              <w:keepNext/>
              <w:keepLines/>
              <w:rPr>
                <w:b/>
              </w:rPr>
            </w:pPr>
            <w:r w:rsidRPr="002019B2">
              <w:rPr>
                <w:b/>
              </w:rPr>
              <w:t>Any Adverse events</w:t>
            </w:r>
          </w:p>
        </w:tc>
      </w:tr>
      <w:tr w:rsidR="000F6CC3" w:rsidRPr="002019B2" w:rsidTr="007C7B54">
        <w:trPr>
          <w:tblHeader/>
        </w:trPr>
        <w:tc>
          <w:tcPr>
            <w:tcW w:w="2263" w:type="dxa"/>
            <w:vAlign w:val="center"/>
          </w:tcPr>
          <w:p w:rsidR="000F6CC3" w:rsidRPr="002019B2" w:rsidRDefault="000F6CC3" w:rsidP="00D6130A">
            <w:pPr>
              <w:pStyle w:val="Tabletext"/>
              <w:keepNext/>
              <w:keepLines/>
            </w:pPr>
            <w:r w:rsidRPr="002019B2">
              <w:t>AEs</w:t>
            </w:r>
          </w:p>
        </w:tc>
        <w:tc>
          <w:tcPr>
            <w:tcW w:w="1276" w:type="dxa"/>
            <w:vAlign w:val="center"/>
          </w:tcPr>
          <w:p w:rsidR="000F6CC3" w:rsidRPr="002019B2" w:rsidRDefault="000F6CC3" w:rsidP="00D6130A">
            <w:pPr>
              <w:pStyle w:val="Tabletext"/>
              <w:keepNext/>
              <w:keepLines/>
              <w:jc w:val="center"/>
            </w:pPr>
            <w:r w:rsidRPr="002019B2">
              <w:t xml:space="preserve">564 </w:t>
            </w:r>
            <w:r w:rsidRPr="002019B2">
              <w:rPr>
                <w:rFonts w:cs="Calibri"/>
                <w:color w:val="000000"/>
                <w:szCs w:val="20"/>
              </w:rPr>
              <w:t>(54.4)</w:t>
            </w:r>
          </w:p>
        </w:tc>
        <w:tc>
          <w:tcPr>
            <w:tcW w:w="1276" w:type="dxa"/>
            <w:vAlign w:val="center"/>
          </w:tcPr>
          <w:p w:rsidR="000F6CC3" w:rsidRPr="002019B2" w:rsidRDefault="000F6CC3" w:rsidP="00D6130A">
            <w:pPr>
              <w:pStyle w:val="Tabletext"/>
              <w:keepNext/>
              <w:keepLines/>
              <w:jc w:val="center"/>
            </w:pPr>
            <w:r w:rsidRPr="002019B2">
              <w:t xml:space="preserve">506 </w:t>
            </w:r>
            <w:r w:rsidRPr="002019B2">
              <w:rPr>
                <w:rFonts w:cs="Calibri"/>
                <w:color w:val="000000"/>
                <w:szCs w:val="20"/>
              </w:rPr>
              <w:t>(48.5)</w:t>
            </w:r>
          </w:p>
        </w:tc>
        <w:tc>
          <w:tcPr>
            <w:tcW w:w="1276" w:type="dxa"/>
            <w:vAlign w:val="center"/>
          </w:tcPr>
          <w:p w:rsidR="000F6CC3" w:rsidRPr="002019B2" w:rsidRDefault="000F6CC3" w:rsidP="00D6130A">
            <w:pPr>
              <w:pStyle w:val="Tabletext"/>
              <w:keepNext/>
              <w:keepLines/>
              <w:jc w:val="center"/>
            </w:pPr>
            <w:r w:rsidRPr="002019B2">
              <w:t>276 (60.5)</w:t>
            </w:r>
          </w:p>
        </w:tc>
        <w:tc>
          <w:tcPr>
            <w:tcW w:w="1134" w:type="dxa"/>
            <w:vAlign w:val="center"/>
          </w:tcPr>
          <w:p w:rsidR="000F6CC3" w:rsidRPr="002019B2" w:rsidRDefault="000F6CC3" w:rsidP="00D6130A">
            <w:pPr>
              <w:pStyle w:val="Tabletext"/>
              <w:keepNext/>
              <w:keepLines/>
              <w:jc w:val="center"/>
            </w:pPr>
            <w:r w:rsidRPr="002019B2">
              <w:t>274 (</w:t>
            </w:r>
            <w:r w:rsidRPr="002019B2">
              <w:rPr>
                <w:rFonts w:cs="Calibri"/>
                <w:color w:val="000000"/>
                <w:szCs w:val="24"/>
                <w:lang w:eastAsia="en-AU"/>
              </w:rPr>
              <w:t>54.6)</w:t>
            </w:r>
          </w:p>
        </w:tc>
        <w:tc>
          <w:tcPr>
            <w:tcW w:w="1792" w:type="dxa"/>
            <w:vAlign w:val="center"/>
          </w:tcPr>
          <w:p w:rsidR="000F6CC3" w:rsidRPr="002019B2" w:rsidRDefault="000F6CC3" w:rsidP="00D6130A">
            <w:pPr>
              <w:pStyle w:val="Tabletext"/>
              <w:keepNext/>
              <w:keepLines/>
              <w:jc w:val="center"/>
            </w:pPr>
            <w:r w:rsidRPr="002019B2">
              <w:t>0.01 (-0.06, 0.08)</w:t>
            </w:r>
          </w:p>
        </w:tc>
      </w:tr>
      <w:tr w:rsidR="000F6CC3" w:rsidRPr="002019B2" w:rsidTr="007C7B54">
        <w:trPr>
          <w:tblHeader/>
        </w:trPr>
        <w:tc>
          <w:tcPr>
            <w:tcW w:w="2263" w:type="dxa"/>
            <w:vAlign w:val="center"/>
          </w:tcPr>
          <w:p w:rsidR="000F6CC3" w:rsidRPr="002019B2" w:rsidRDefault="000F6CC3" w:rsidP="00D6130A">
            <w:pPr>
              <w:pStyle w:val="Tabletext"/>
              <w:keepNext/>
              <w:keepLines/>
            </w:pPr>
            <w:r w:rsidRPr="002019B2">
              <w:t>SAEs</w:t>
            </w:r>
          </w:p>
        </w:tc>
        <w:tc>
          <w:tcPr>
            <w:tcW w:w="1276" w:type="dxa"/>
            <w:vAlign w:val="center"/>
          </w:tcPr>
          <w:p w:rsidR="000F6CC3" w:rsidRPr="002019B2" w:rsidRDefault="000F6CC3" w:rsidP="00D6130A">
            <w:pPr>
              <w:pStyle w:val="Tabletext"/>
              <w:keepNext/>
              <w:keepLines/>
              <w:jc w:val="center"/>
            </w:pPr>
            <w:r w:rsidRPr="002019B2">
              <w:t xml:space="preserve">35 </w:t>
            </w:r>
            <w:r w:rsidRPr="002019B2">
              <w:rPr>
                <w:rFonts w:cs="Calibri"/>
                <w:color w:val="000000"/>
                <w:szCs w:val="20"/>
              </w:rPr>
              <w:t>(3.4)</w:t>
            </w:r>
          </w:p>
        </w:tc>
        <w:tc>
          <w:tcPr>
            <w:tcW w:w="1276" w:type="dxa"/>
            <w:vAlign w:val="center"/>
          </w:tcPr>
          <w:p w:rsidR="000F6CC3" w:rsidRPr="002019B2" w:rsidRDefault="000F6CC3" w:rsidP="00D6130A">
            <w:pPr>
              <w:pStyle w:val="Tabletext"/>
              <w:keepNext/>
              <w:keepLines/>
              <w:jc w:val="center"/>
            </w:pPr>
            <w:r w:rsidRPr="002019B2">
              <w:t>19 (1.8)</w:t>
            </w:r>
          </w:p>
        </w:tc>
        <w:tc>
          <w:tcPr>
            <w:tcW w:w="1276" w:type="dxa"/>
            <w:vAlign w:val="center"/>
          </w:tcPr>
          <w:p w:rsidR="000F6CC3" w:rsidRPr="002019B2" w:rsidRDefault="000F6CC3" w:rsidP="00D6130A">
            <w:pPr>
              <w:pStyle w:val="Tabletext"/>
              <w:keepNext/>
              <w:keepLines/>
              <w:jc w:val="center"/>
            </w:pPr>
            <w:r w:rsidRPr="002019B2">
              <w:t>15 (3.3)</w:t>
            </w:r>
          </w:p>
        </w:tc>
        <w:tc>
          <w:tcPr>
            <w:tcW w:w="1134" w:type="dxa"/>
            <w:vAlign w:val="center"/>
          </w:tcPr>
          <w:p w:rsidR="000F6CC3" w:rsidRPr="002019B2" w:rsidRDefault="000F6CC3" w:rsidP="00D6130A">
            <w:pPr>
              <w:pStyle w:val="Tabletext"/>
              <w:keepNext/>
              <w:keepLines/>
              <w:jc w:val="center"/>
            </w:pPr>
            <w:r w:rsidRPr="002019B2">
              <w:t>18 (3.6)</w:t>
            </w:r>
          </w:p>
        </w:tc>
        <w:tc>
          <w:tcPr>
            <w:tcW w:w="1792" w:type="dxa"/>
            <w:vAlign w:val="center"/>
          </w:tcPr>
          <w:p w:rsidR="000F6CC3" w:rsidRPr="002019B2" w:rsidRDefault="000F6CC3" w:rsidP="00D6130A">
            <w:pPr>
              <w:pStyle w:val="Tabletext"/>
              <w:keepNext/>
              <w:keepLines/>
              <w:jc w:val="center"/>
            </w:pPr>
            <w:r w:rsidRPr="002019B2">
              <w:t>0.01 (-0.02, 0.04)</w:t>
            </w:r>
          </w:p>
        </w:tc>
      </w:tr>
      <w:tr w:rsidR="000F6CC3" w:rsidRPr="002019B2" w:rsidTr="007C7B54">
        <w:trPr>
          <w:tblHeader/>
        </w:trPr>
        <w:tc>
          <w:tcPr>
            <w:tcW w:w="2263" w:type="dxa"/>
            <w:vAlign w:val="center"/>
          </w:tcPr>
          <w:p w:rsidR="000F6CC3" w:rsidRPr="002019B2" w:rsidRDefault="000F6CC3" w:rsidP="00D6130A">
            <w:pPr>
              <w:pStyle w:val="Tabletext"/>
              <w:keepNext/>
              <w:keepLines/>
            </w:pPr>
            <w:r w:rsidRPr="002019B2">
              <w:t>AEs leading to discontinuation</w:t>
            </w:r>
          </w:p>
        </w:tc>
        <w:tc>
          <w:tcPr>
            <w:tcW w:w="1276" w:type="dxa"/>
            <w:vAlign w:val="center"/>
          </w:tcPr>
          <w:p w:rsidR="000F6CC3" w:rsidRPr="002019B2" w:rsidRDefault="000F6CC3" w:rsidP="00D6130A">
            <w:pPr>
              <w:pStyle w:val="Tabletext"/>
              <w:keepNext/>
              <w:keepLines/>
              <w:jc w:val="center"/>
            </w:pPr>
            <w:r w:rsidRPr="002019B2">
              <w:t xml:space="preserve">29 </w:t>
            </w:r>
            <w:r w:rsidRPr="002019B2">
              <w:rPr>
                <w:rFonts w:cs="Calibri"/>
                <w:color w:val="000000"/>
                <w:szCs w:val="20"/>
              </w:rPr>
              <w:t>(2.8)</w:t>
            </w:r>
          </w:p>
        </w:tc>
        <w:tc>
          <w:tcPr>
            <w:tcW w:w="1276" w:type="dxa"/>
            <w:vAlign w:val="center"/>
          </w:tcPr>
          <w:p w:rsidR="000F6CC3" w:rsidRPr="002019B2" w:rsidRDefault="000F6CC3" w:rsidP="00D6130A">
            <w:pPr>
              <w:pStyle w:val="Tabletext"/>
              <w:keepNext/>
              <w:keepLines/>
              <w:jc w:val="center"/>
            </w:pPr>
            <w:r w:rsidRPr="002019B2">
              <w:t>28 (2.7)</w:t>
            </w:r>
          </w:p>
        </w:tc>
        <w:tc>
          <w:tcPr>
            <w:tcW w:w="1276" w:type="dxa"/>
            <w:vAlign w:val="center"/>
          </w:tcPr>
          <w:p w:rsidR="000F6CC3" w:rsidRPr="002019B2" w:rsidRDefault="000F6CC3" w:rsidP="00D6130A">
            <w:pPr>
              <w:pStyle w:val="Tabletext"/>
              <w:keepNext/>
              <w:keepLines/>
              <w:jc w:val="center"/>
            </w:pPr>
            <w:r w:rsidRPr="002019B2">
              <w:t>18 (3.9)</w:t>
            </w:r>
          </w:p>
        </w:tc>
        <w:tc>
          <w:tcPr>
            <w:tcW w:w="1134" w:type="dxa"/>
            <w:vAlign w:val="center"/>
          </w:tcPr>
          <w:p w:rsidR="000F6CC3" w:rsidRPr="002019B2" w:rsidRDefault="000F6CC3" w:rsidP="00D6130A">
            <w:pPr>
              <w:pStyle w:val="Tabletext"/>
              <w:keepNext/>
              <w:keepLines/>
              <w:jc w:val="center"/>
            </w:pPr>
            <w:r w:rsidRPr="002019B2">
              <w:t>17 (3.4)</w:t>
            </w:r>
          </w:p>
        </w:tc>
        <w:tc>
          <w:tcPr>
            <w:tcW w:w="1792" w:type="dxa"/>
            <w:vAlign w:val="center"/>
          </w:tcPr>
          <w:p w:rsidR="000F6CC3" w:rsidRPr="002019B2" w:rsidRDefault="000F6CC3" w:rsidP="00D6130A">
            <w:pPr>
              <w:pStyle w:val="Tabletext"/>
              <w:keepNext/>
              <w:keepLines/>
              <w:jc w:val="center"/>
            </w:pPr>
            <w:r w:rsidRPr="002019B2">
              <w:t>0.01 (-0.02, 0.04)</w:t>
            </w:r>
          </w:p>
        </w:tc>
      </w:tr>
      <w:tr w:rsidR="000F6CC3" w:rsidRPr="002019B2" w:rsidTr="007C7B54">
        <w:trPr>
          <w:tblHeader/>
        </w:trPr>
        <w:tc>
          <w:tcPr>
            <w:tcW w:w="2263" w:type="dxa"/>
            <w:vAlign w:val="center"/>
          </w:tcPr>
          <w:p w:rsidR="000F6CC3" w:rsidRPr="002019B2" w:rsidRDefault="000F6CC3" w:rsidP="00D6130A">
            <w:pPr>
              <w:pStyle w:val="Tabletext"/>
              <w:keepNext/>
              <w:keepLines/>
            </w:pPr>
            <w:r w:rsidRPr="002019B2">
              <w:t>Death</w:t>
            </w:r>
          </w:p>
        </w:tc>
        <w:tc>
          <w:tcPr>
            <w:tcW w:w="1276" w:type="dxa"/>
            <w:vAlign w:val="center"/>
          </w:tcPr>
          <w:p w:rsidR="000F6CC3" w:rsidRPr="002019B2" w:rsidRDefault="000F6CC3" w:rsidP="00D6130A">
            <w:pPr>
              <w:pStyle w:val="Tabletext"/>
              <w:keepNext/>
              <w:keepLines/>
              <w:jc w:val="center"/>
            </w:pPr>
            <w:r w:rsidRPr="002019B2">
              <w:t xml:space="preserve">0 </w:t>
            </w:r>
            <w:r w:rsidRPr="002019B2">
              <w:rPr>
                <w:rFonts w:cs="Calibri"/>
                <w:color w:val="000000"/>
                <w:szCs w:val="20"/>
              </w:rPr>
              <w:t>(0)</w:t>
            </w:r>
          </w:p>
        </w:tc>
        <w:tc>
          <w:tcPr>
            <w:tcW w:w="1276" w:type="dxa"/>
            <w:vAlign w:val="center"/>
          </w:tcPr>
          <w:p w:rsidR="000F6CC3" w:rsidRPr="002019B2" w:rsidRDefault="000F6CC3" w:rsidP="00D6130A">
            <w:pPr>
              <w:pStyle w:val="Tabletext"/>
              <w:keepNext/>
              <w:keepLines/>
              <w:jc w:val="center"/>
            </w:pPr>
            <w:r w:rsidRPr="002019B2">
              <w:t>2 (0.2)</w:t>
            </w:r>
          </w:p>
        </w:tc>
        <w:tc>
          <w:tcPr>
            <w:tcW w:w="1276" w:type="dxa"/>
            <w:vAlign w:val="center"/>
          </w:tcPr>
          <w:p w:rsidR="000F6CC3" w:rsidRPr="002019B2" w:rsidRDefault="000F6CC3" w:rsidP="00D6130A">
            <w:pPr>
              <w:pStyle w:val="Tabletext"/>
              <w:keepNext/>
              <w:keepLines/>
              <w:jc w:val="center"/>
            </w:pPr>
            <w:r w:rsidRPr="002019B2">
              <w:t>2 (0.4)</w:t>
            </w:r>
          </w:p>
        </w:tc>
        <w:tc>
          <w:tcPr>
            <w:tcW w:w="1134" w:type="dxa"/>
            <w:vAlign w:val="center"/>
          </w:tcPr>
          <w:p w:rsidR="000F6CC3" w:rsidRPr="002019B2" w:rsidRDefault="000F6CC3" w:rsidP="00D6130A">
            <w:pPr>
              <w:pStyle w:val="Tabletext"/>
              <w:keepNext/>
              <w:keepLines/>
              <w:jc w:val="center"/>
            </w:pPr>
            <w:r w:rsidRPr="002019B2">
              <w:t>7 (1.4)</w:t>
            </w:r>
          </w:p>
        </w:tc>
        <w:tc>
          <w:tcPr>
            <w:tcW w:w="1792" w:type="dxa"/>
            <w:vAlign w:val="center"/>
          </w:tcPr>
          <w:p w:rsidR="000F6CC3" w:rsidRPr="002019B2" w:rsidRDefault="000F6CC3" w:rsidP="00D6130A">
            <w:pPr>
              <w:pStyle w:val="Tabletext"/>
              <w:keepNext/>
              <w:keepLines/>
              <w:jc w:val="center"/>
            </w:pPr>
            <w:r w:rsidRPr="002019B2">
              <w:t>0.01 (-0.01, 0.03)</w:t>
            </w:r>
          </w:p>
        </w:tc>
      </w:tr>
      <w:tr w:rsidR="000F6CC3" w:rsidRPr="002019B2" w:rsidTr="007C7B54">
        <w:trPr>
          <w:tblHeader/>
        </w:trPr>
        <w:tc>
          <w:tcPr>
            <w:tcW w:w="9017" w:type="dxa"/>
            <w:gridSpan w:val="6"/>
            <w:vAlign w:val="center"/>
          </w:tcPr>
          <w:p w:rsidR="000F6CC3" w:rsidRPr="002019B2" w:rsidRDefault="000F6CC3" w:rsidP="00D6130A">
            <w:pPr>
              <w:pStyle w:val="Tabletext"/>
              <w:keepNext/>
              <w:keepLines/>
              <w:rPr>
                <w:b/>
              </w:rPr>
            </w:pPr>
            <w:r w:rsidRPr="002019B2">
              <w:rPr>
                <w:b/>
              </w:rPr>
              <w:t>TEAE of special interest</w:t>
            </w:r>
          </w:p>
        </w:tc>
      </w:tr>
      <w:tr w:rsidR="000F6CC3" w:rsidRPr="002019B2" w:rsidTr="007C7B54">
        <w:trPr>
          <w:tblHeader/>
        </w:trPr>
        <w:tc>
          <w:tcPr>
            <w:tcW w:w="2263" w:type="dxa"/>
            <w:vAlign w:val="center"/>
          </w:tcPr>
          <w:p w:rsidR="000F6CC3" w:rsidRPr="002019B2" w:rsidRDefault="000F6CC3" w:rsidP="00D6130A">
            <w:pPr>
              <w:pStyle w:val="Tabletext"/>
              <w:keepNext/>
              <w:keepLines/>
            </w:pPr>
            <w:r w:rsidRPr="002019B2">
              <w:t>Serious infection</w:t>
            </w:r>
          </w:p>
        </w:tc>
        <w:tc>
          <w:tcPr>
            <w:tcW w:w="1276" w:type="dxa"/>
            <w:vAlign w:val="center"/>
          </w:tcPr>
          <w:p w:rsidR="000F6CC3" w:rsidRPr="002019B2" w:rsidRDefault="000F6CC3" w:rsidP="00D6130A">
            <w:pPr>
              <w:pStyle w:val="Tabletext"/>
              <w:keepNext/>
              <w:keepLines/>
              <w:jc w:val="center"/>
            </w:pPr>
            <w:r w:rsidRPr="002019B2">
              <w:t xml:space="preserve">12 </w:t>
            </w:r>
            <w:r w:rsidRPr="002019B2">
              <w:rPr>
                <w:rFonts w:cs="Calibri"/>
                <w:color w:val="000000"/>
                <w:szCs w:val="20"/>
              </w:rPr>
              <w:t>(1.2)</w:t>
            </w:r>
          </w:p>
        </w:tc>
        <w:tc>
          <w:tcPr>
            <w:tcW w:w="1276" w:type="dxa"/>
            <w:vAlign w:val="center"/>
          </w:tcPr>
          <w:p w:rsidR="000F6CC3" w:rsidRPr="002019B2" w:rsidRDefault="000F6CC3" w:rsidP="00D6130A">
            <w:pPr>
              <w:pStyle w:val="Tabletext"/>
              <w:keepNext/>
              <w:keepLines/>
              <w:jc w:val="center"/>
            </w:pPr>
            <w:r w:rsidRPr="002019B2">
              <w:t>6 (0.6)</w:t>
            </w:r>
          </w:p>
        </w:tc>
        <w:tc>
          <w:tcPr>
            <w:tcW w:w="1276" w:type="dxa"/>
            <w:vAlign w:val="center"/>
          </w:tcPr>
          <w:p w:rsidR="000F6CC3" w:rsidRPr="002019B2" w:rsidRDefault="000F6CC3" w:rsidP="00D6130A">
            <w:pPr>
              <w:pStyle w:val="Tabletext"/>
              <w:keepNext/>
              <w:keepLines/>
              <w:jc w:val="center"/>
            </w:pPr>
            <w:r w:rsidRPr="002019B2">
              <w:t>5 (1.1)</w:t>
            </w:r>
          </w:p>
        </w:tc>
        <w:tc>
          <w:tcPr>
            <w:tcW w:w="1134" w:type="dxa"/>
            <w:vAlign w:val="center"/>
          </w:tcPr>
          <w:p w:rsidR="000F6CC3" w:rsidRPr="002019B2" w:rsidRDefault="000F6CC3" w:rsidP="00D6130A">
            <w:pPr>
              <w:pStyle w:val="Tabletext"/>
              <w:keepNext/>
              <w:keepLines/>
              <w:jc w:val="center"/>
            </w:pPr>
            <w:r w:rsidRPr="002019B2">
              <w:t>6 (1.2)</w:t>
            </w:r>
          </w:p>
        </w:tc>
        <w:tc>
          <w:tcPr>
            <w:tcW w:w="1792" w:type="dxa"/>
            <w:vAlign w:val="center"/>
          </w:tcPr>
          <w:p w:rsidR="000F6CC3" w:rsidRPr="002019B2" w:rsidRDefault="000F6CC3" w:rsidP="00D6130A">
            <w:pPr>
              <w:pStyle w:val="Tabletext"/>
              <w:keepNext/>
              <w:keepLines/>
              <w:jc w:val="center"/>
            </w:pPr>
            <w:r w:rsidRPr="002019B2">
              <w:t>0.00 (-0.02, 0.02)</w:t>
            </w:r>
          </w:p>
        </w:tc>
      </w:tr>
      <w:tr w:rsidR="000F6CC3" w:rsidRPr="002019B2" w:rsidTr="007C7B54">
        <w:trPr>
          <w:tblHeader/>
        </w:trPr>
        <w:tc>
          <w:tcPr>
            <w:tcW w:w="2263" w:type="dxa"/>
            <w:vAlign w:val="center"/>
          </w:tcPr>
          <w:p w:rsidR="000F6CC3" w:rsidRPr="002019B2" w:rsidRDefault="000F6CC3" w:rsidP="00D6130A">
            <w:pPr>
              <w:pStyle w:val="Tabletext"/>
              <w:keepNext/>
              <w:keepLines/>
            </w:pPr>
            <w:r w:rsidRPr="002019B2">
              <w:t>Herpes zoster infections</w:t>
            </w:r>
          </w:p>
        </w:tc>
        <w:tc>
          <w:tcPr>
            <w:tcW w:w="1276" w:type="dxa"/>
            <w:vAlign w:val="center"/>
          </w:tcPr>
          <w:p w:rsidR="000F6CC3" w:rsidRPr="002019B2" w:rsidRDefault="000F6CC3" w:rsidP="00D6130A">
            <w:pPr>
              <w:pStyle w:val="Tabletext"/>
              <w:keepNext/>
              <w:keepLines/>
              <w:jc w:val="center"/>
            </w:pPr>
            <w:r w:rsidRPr="002019B2">
              <w:t>7 (0.7)</w:t>
            </w:r>
          </w:p>
        </w:tc>
        <w:tc>
          <w:tcPr>
            <w:tcW w:w="1276" w:type="dxa"/>
            <w:vAlign w:val="center"/>
          </w:tcPr>
          <w:p w:rsidR="000F6CC3" w:rsidRPr="002019B2" w:rsidRDefault="000F6CC3" w:rsidP="00D6130A">
            <w:pPr>
              <w:pStyle w:val="Tabletext"/>
              <w:keepNext/>
              <w:keepLines/>
              <w:jc w:val="center"/>
            </w:pPr>
            <w:r w:rsidRPr="002019B2">
              <w:t>3 (0.3)</w:t>
            </w:r>
          </w:p>
        </w:tc>
        <w:tc>
          <w:tcPr>
            <w:tcW w:w="1276" w:type="dxa"/>
            <w:vAlign w:val="center"/>
          </w:tcPr>
          <w:p w:rsidR="000F6CC3" w:rsidRPr="002019B2" w:rsidRDefault="000F6CC3" w:rsidP="00D6130A">
            <w:pPr>
              <w:pStyle w:val="Tabletext"/>
              <w:keepNext/>
              <w:keepLines/>
              <w:jc w:val="center"/>
            </w:pPr>
            <w:r w:rsidRPr="002019B2">
              <w:t>7 (1.5)</w:t>
            </w:r>
          </w:p>
        </w:tc>
        <w:tc>
          <w:tcPr>
            <w:tcW w:w="1134" w:type="dxa"/>
            <w:vAlign w:val="center"/>
          </w:tcPr>
          <w:p w:rsidR="000F6CC3" w:rsidRPr="002019B2" w:rsidRDefault="000F6CC3" w:rsidP="00D6130A">
            <w:pPr>
              <w:pStyle w:val="Tabletext"/>
              <w:keepNext/>
              <w:keepLines/>
              <w:jc w:val="center"/>
            </w:pPr>
            <w:r w:rsidRPr="002019B2">
              <w:t>1 (0.2)</w:t>
            </w:r>
          </w:p>
        </w:tc>
        <w:tc>
          <w:tcPr>
            <w:tcW w:w="1792" w:type="dxa"/>
            <w:vAlign w:val="center"/>
          </w:tcPr>
          <w:p w:rsidR="000F6CC3" w:rsidRPr="002019B2" w:rsidRDefault="000F6CC3" w:rsidP="00D6130A">
            <w:pPr>
              <w:pStyle w:val="Tabletext"/>
              <w:keepNext/>
              <w:keepLines/>
              <w:jc w:val="center"/>
            </w:pPr>
            <w:r w:rsidRPr="002019B2">
              <w:t>-0.01 (-0.03, 0.01)</w:t>
            </w:r>
          </w:p>
        </w:tc>
      </w:tr>
      <w:tr w:rsidR="000F6CC3" w:rsidRPr="002019B2" w:rsidTr="007C7B54">
        <w:trPr>
          <w:tblHeader/>
        </w:trPr>
        <w:tc>
          <w:tcPr>
            <w:tcW w:w="2263" w:type="dxa"/>
            <w:vAlign w:val="center"/>
          </w:tcPr>
          <w:p w:rsidR="000F6CC3" w:rsidRPr="002019B2" w:rsidRDefault="000F6CC3" w:rsidP="00D6130A">
            <w:pPr>
              <w:pStyle w:val="Tabletext"/>
              <w:keepNext/>
              <w:keepLines/>
            </w:pPr>
            <w:r w:rsidRPr="002019B2">
              <w:t>MACE</w:t>
            </w:r>
            <w:r w:rsidRPr="002019B2">
              <w:rPr>
                <w:vertAlign w:val="superscript"/>
              </w:rPr>
              <w:t>c</w:t>
            </w:r>
          </w:p>
        </w:tc>
        <w:tc>
          <w:tcPr>
            <w:tcW w:w="1276" w:type="dxa"/>
            <w:vAlign w:val="center"/>
          </w:tcPr>
          <w:p w:rsidR="000F6CC3" w:rsidRPr="002019B2" w:rsidRDefault="000F6CC3" w:rsidP="00D6130A">
            <w:pPr>
              <w:pStyle w:val="Tabletext"/>
              <w:keepNext/>
              <w:keepLines/>
              <w:jc w:val="center"/>
            </w:pPr>
            <w:r w:rsidRPr="002019B2">
              <w:t>1 (0.1)</w:t>
            </w:r>
          </w:p>
        </w:tc>
        <w:tc>
          <w:tcPr>
            <w:tcW w:w="1276" w:type="dxa"/>
            <w:vAlign w:val="center"/>
          </w:tcPr>
          <w:p w:rsidR="000F6CC3" w:rsidRPr="002019B2" w:rsidRDefault="000F6CC3" w:rsidP="00D6130A">
            <w:pPr>
              <w:pStyle w:val="Tabletext"/>
              <w:keepNext/>
              <w:keepLines/>
              <w:jc w:val="center"/>
            </w:pPr>
            <w:r w:rsidRPr="002019B2">
              <w:t>3 (0.3)</w:t>
            </w:r>
          </w:p>
        </w:tc>
        <w:tc>
          <w:tcPr>
            <w:tcW w:w="1276" w:type="dxa"/>
            <w:vAlign w:val="center"/>
          </w:tcPr>
          <w:p w:rsidR="000F6CC3" w:rsidRPr="002019B2" w:rsidRDefault="000F6CC3" w:rsidP="00D6130A">
            <w:pPr>
              <w:pStyle w:val="Tabletext"/>
              <w:keepNext/>
              <w:keepLines/>
              <w:jc w:val="center"/>
            </w:pPr>
            <w:r w:rsidRPr="002019B2">
              <w:t>1 (0.2)</w:t>
            </w:r>
          </w:p>
        </w:tc>
        <w:tc>
          <w:tcPr>
            <w:tcW w:w="1134" w:type="dxa"/>
            <w:vAlign w:val="center"/>
          </w:tcPr>
          <w:p w:rsidR="000F6CC3" w:rsidRPr="002019B2" w:rsidRDefault="000F6CC3" w:rsidP="00D6130A">
            <w:pPr>
              <w:pStyle w:val="Tabletext"/>
              <w:keepNext/>
              <w:keepLines/>
              <w:jc w:val="center"/>
            </w:pPr>
            <w:r w:rsidRPr="002019B2">
              <w:t>2 (0.5)</w:t>
            </w:r>
          </w:p>
        </w:tc>
        <w:tc>
          <w:tcPr>
            <w:tcW w:w="1792" w:type="dxa"/>
            <w:vAlign w:val="center"/>
          </w:tcPr>
          <w:p w:rsidR="000F6CC3" w:rsidRPr="002019B2" w:rsidRDefault="000F6CC3" w:rsidP="00D6130A">
            <w:pPr>
              <w:pStyle w:val="Tabletext"/>
              <w:keepNext/>
              <w:keepLines/>
              <w:jc w:val="center"/>
            </w:pPr>
            <w:r w:rsidRPr="002019B2">
              <w:t>0.00 (-0.01, 0.01)</w:t>
            </w:r>
          </w:p>
        </w:tc>
      </w:tr>
      <w:tr w:rsidR="000F6CC3" w:rsidRPr="002019B2" w:rsidTr="007C7B54">
        <w:trPr>
          <w:trHeight w:val="60"/>
          <w:tblHeader/>
        </w:trPr>
        <w:tc>
          <w:tcPr>
            <w:tcW w:w="2263" w:type="dxa"/>
            <w:vAlign w:val="center"/>
          </w:tcPr>
          <w:p w:rsidR="000F6CC3" w:rsidRPr="002019B2" w:rsidRDefault="000F6CC3" w:rsidP="00D6130A">
            <w:pPr>
              <w:pStyle w:val="Tabletext"/>
              <w:keepNext/>
              <w:keepLines/>
            </w:pPr>
            <w:r w:rsidRPr="002019B2">
              <w:t>Malignancy</w:t>
            </w:r>
            <w:r w:rsidRPr="002019B2">
              <w:rPr>
                <w:vertAlign w:val="superscript"/>
              </w:rPr>
              <w:t>c</w:t>
            </w:r>
          </w:p>
        </w:tc>
        <w:tc>
          <w:tcPr>
            <w:tcW w:w="1276" w:type="dxa"/>
            <w:vAlign w:val="center"/>
          </w:tcPr>
          <w:p w:rsidR="000F6CC3" w:rsidRPr="002019B2" w:rsidRDefault="000F6CC3" w:rsidP="00D6130A">
            <w:pPr>
              <w:pStyle w:val="Tabletext"/>
              <w:keepNext/>
              <w:keepLines/>
              <w:jc w:val="center"/>
            </w:pPr>
            <w:r w:rsidRPr="002019B2">
              <w:t>1 (0.1)</w:t>
            </w:r>
          </w:p>
        </w:tc>
        <w:tc>
          <w:tcPr>
            <w:tcW w:w="1276" w:type="dxa"/>
            <w:vAlign w:val="center"/>
          </w:tcPr>
          <w:p w:rsidR="000F6CC3" w:rsidRPr="002019B2" w:rsidRDefault="000F6CC3" w:rsidP="00D6130A">
            <w:pPr>
              <w:pStyle w:val="Tabletext"/>
              <w:keepNext/>
              <w:keepLines/>
              <w:jc w:val="center"/>
            </w:pPr>
            <w:r w:rsidRPr="002019B2">
              <w:t>2 (0.2)</w:t>
            </w:r>
          </w:p>
        </w:tc>
        <w:tc>
          <w:tcPr>
            <w:tcW w:w="1276" w:type="dxa"/>
            <w:vAlign w:val="center"/>
          </w:tcPr>
          <w:p w:rsidR="000F6CC3" w:rsidRPr="002019B2" w:rsidRDefault="000F6CC3" w:rsidP="00D6130A">
            <w:pPr>
              <w:pStyle w:val="Tabletext"/>
              <w:keepNext/>
              <w:keepLines/>
              <w:jc w:val="center"/>
            </w:pPr>
            <w:r w:rsidRPr="002019B2">
              <w:t>1 (0.2)</w:t>
            </w:r>
          </w:p>
        </w:tc>
        <w:tc>
          <w:tcPr>
            <w:tcW w:w="1134" w:type="dxa"/>
            <w:vAlign w:val="center"/>
          </w:tcPr>
          <w:p w:rsidR="000F6CC3" w:rsidRPr="002019B2" w:rsidRDefault="000F6CC3" w:rsidP="00D6130A">
            <w:pPr>
              <w:pStyle w:val="Tabletext"/>
              <w:keepNext/>
              <w:keepLines/>
              <w:jc w:val="center"/>
            </w:pPr>
            <w:r w:rsidRPr="002019B2">
              <w:t>0 (0)</w:t>
            </w:r>
          </w:p>
        </w:tc>
        <w:tc>
          <w:tcPr>
            <w:tcW w:w="1792" w:type="dxa"/>
            <w:vAlign w:val="center"/>
          </w:tcPr>
          <w:p w:rsidR="000F6CC3" w:rsidRPr="002019B2" w:rsidRDefault="000F6CC3" w:rsidP="00D6130A">
            <w:pPr>
              <w:pStyle w:val="Tabletext"/>
              <w:keepNext/>
              <w:keepLines/>
              <w:jc w:val="center"/>
            </w:pPr>
            <w:r w:rsidRPr="002019B2">
              <w:t>0.00 (-0.01, 0.01)</w:t>
            </w:r>
          </w:p>
        </w:tc>
      </w:tr>
      <w:tr w:rsidR="000F6CC3" w:rsidRPr="002019B2" w:rsidTr="007C7B54">
        <w:trPr>
          <w:tblHeader/>
        </w:trPr>
        <w:tc>
          <w:tcPr>
            <w:tcW w:w="2263" w:type="dxa"/>
            <w:vAlign w:val="center"/>
          </w:tcPr>
          <w:p w:rsidR="000F6CC3" w:rsidRPr="002019B2" w:rsidRDefault="000F6CC3" w:rsidP="00D6130A">
            <w:pPr>
              <w:pStyle w:val="Tabletext"/>
              <w:keepNext/>
              <w:keepLines/>
            </w:pPr>
            <w:r w:rsidRPr="002019B2">
              <w:t>NMSC</w:t>
            </w:r>
            <w:r w:rsidRPr="002019B2">
              <w:rPr>
                <w:vertAlign w:val="superscript"/>
              </w:rPr>
              <w:t>c</w:t>
            </w:r>
          </w:p>
        </w:tc>
        <w:tc>
          <w:tcPr>
            <w:tcW w:w="1276" w:type="dxa"/>
            <w:vAlign w:val="center"/>
          </w:tcPr>
          <w:p w:rsidR="000F6CC3" w:rsidRPr="002019B2" w:rsidRDefault="000F6CC3" w:rsidP="00D6130A">
            <w:pPr>
              <w:pStyle w:val="Tabletext"/>
              <w:keepNext/>
              <w:keepLines/>
              <w:jc w:val="center"/>
            </w:pPr>
            <w:r w:rsidRPr="002019B2">
              <w:t>0 (0)</w:t>
            </w:r>
          </w:p>
        </w:tc>
        <w:tc>
          <w:tcPr>
            <w:tcW w:w="1276" w:type="dxa"/>
            <w:vAlign w:val="center"/>
          </w:tcPr>
          <w:p w:rsidR="000F6CC3" w:rsidRPr="002019B2" w:rsidRDefault="000F6CC3" w:rsidP="00D6130A">
            <w:pPr>
              <w:pStyle w:val="Tabletext"/>
              <w:keepNext/>
              <w:keepLines/>
              <w:jc w:val="center"/>
            </w:pPr>
            <w:r w:rsidRPr="002019B2">
              <w:t>1 (0.1)</w:t>
            </w:r>
          </w:p>
        </w:tc>
        <w:tc>
          <w:tcPr>
            <w:tcW w:w="1276" w:type="dxa"/>
            <w:vAlign w:val="center"/>
          </w:tcPr>
          <w:p w:rsidR="000F6CC3" w:rsidRPr="002019B2" w:rsidRDefault="000F6CC3" w:rsidP="00D6130A">
            <w:pPr>
              <w:pStyle w:val="Tabletext"/>
              <w:keepNext/>
              <w:keepLines/>
              <w:jc w:val="center"/>
            </w:pPr>
            <w:r w:rsidRPr="002019B2">
              <w:t>1 (0.2)</w:t>
            </w:r>
          </w:p>
        </w:tc>
        <w:tc>
          <w:tcPr>
            <w:tcW w:w="1134" w:type="dxa"/>
            <w:vAlign w:val="center"/>
          </w:tcPr>
          <w:p w:rsidR="000F6CC3" w:rsidRPr="002019B2" w:rsidRDefault="000F6CC3" w:rsidP="00D6130A">
            <w:pPr>
              <w:pStyle w:val="Tabletext"/>
              <w:keepNext/>
              <w:keepLines/>
              <w:jc w:val="center"/>
            </w:pPr>
            <w:r w:rsidRPr="002019B2">
              <w:t>0 (0)</w:t>
            </w:r>
          </w:p>
        </w:tc>
        <w:tc>
          <w:tcPr>
            <w:tcW w:w="1792" w:type="dxa"/>
            <w:vAlign w:val="center"/>
          </w:tcPr>
          <w:p w:rsidR="000F6CC3" w:rsidRPr="002019B2" w:rsidRDefault="000F6CC3" w:rsidP="00D6130A">
            <w:pPr>
              <w:pStyle w:val="Tabletext"/>
              <w:keepNext/>
              <w:keepLines/>
              <w:jc w:val="center"/>
            </w:pPr>
            <w:r w:rsidRPr="002019B2">
              <w:t>0.00 (-0.01, 0.01)</w:t>
            </w:r>
          </w:p>
        </w:tc>
      </w:tr>
    </w:tbl>
    <w:p w:rsidR="000F6CC3" w:rsidRPr="002019B2" w:rsidRDefault="000F6CC3" w:rsidP="00D6130A">
      <w:pPr>
        <w:pStyle w:val="TableFooter"/>
        <w:keepNext/>
        <w:keepLines/>
        <w:rPr>
          <w:rFonts w:eastAsia="Calibri"/>
        </w:rPr>
      </w:pPr>
      <w:r w:rsidRPr="002019B2">
        <w:rPr>
          <w:rFonts w:eastAsia="Calibri"/>
        </w:rPr>
        <w:t>Abbreviations: AE=adverse event; CI=confidence interval; MACE=major adverse cardiovascular events; n=number of participants reporting data; N=total participants in group; NMSC=non-melanoma skin cancer; PBO=placebo; RD=risk difference; SAE=serious adverse event; UPA=upa</w:t>
      </w:r>
      <w:r w:rsidR="00A446E9" w:rsidRPr="002019B2">
        <w:rPr>
          <w:rFonts w:eastAsia="Calibri"/>
        </w:rPr>
        <w:t>da</w:t>
      </w:r>
      <w:r w:rsidRPr="002019B2">
        <w:rPr>
          <w:rFonts w:eastAsia="Calibri"/>
        </w:rPr>
        <w:t xml:space="preserve">citinib </w:t>
      </w:r>
    </w:p>
    <w:p w:rsidR="000F6CC3" w:rsidRPr="002019B2" w:rsidRDefault="000F6CC3" w:rsidP="00D6130A">
      <w:pPr>
        <w:pStyle w:val="TableFooter"/>
        <w:keepNext/>
        <w:keepLines/>
      </w:pPr>
      <w:r w:rsidRPr="002019B2">
        <w:rPr>
          <w:vertAlign w:val="superscript"/>
        </w:rPr>
        <w:t xml:space="preserve">a </w:t>
      </w:r>
      <w:r w:rsidRPr="002019B2">
        <w:t>UPA trials included SELECT COMPARE, SELECT NEXT, and SELECT BEYOND</w:t>
      </w:r>
    </w:p>
    <w:p w:rsidR="000F6CC3" w:rsidRPr="002019B2" w:rsidRDefault="000F6CC3" w:rsidP="00D6130A">
      <w:pPr>
        <w:pStyle w:val="TableFooter"/>
        <w:keepNext/>
        <w:keepLines/>
      </w:pPr>
      <w:r w:rsidRPr="002019B2">
        <w:rPr>
          <w:vertAlign w:val="superscript"/>
        </w:rPr>
        <w:t>b</w:t>
      </w:r>
      <w:r w:rsidRPr="002019B2">
        <w:t xml:space="preserve"> BARI trials included JADA, RA-BUILD/JADX, and RA-BEACON/JADW</w:t>
      </w:r>
    </w:p>
    <w:p w:rsidR="000F6CC3" w:rsidRPr="002019B2" w:rsidRDefault="000F6CC3" w:rsidP="00D6130A">
      <w:pPr>
        <w:pStyle w:val="TableFooter"/>
        <w:keepNext/>
        <w:keepLines/>
      </w:pPr>
      <w:r w:rsidRPr="002019B2">
        <w:rPr>
          <w:vertAlign w:val="superscript"/>
        </w:rPr>
        <w:t>c</w:t>
      </w:r>
      <w:r w:rsidRPr="002019B2">
        <w:t xml:space="preserve"> not reported in the JADA trial, total N in the pooled BARI trials is 404. </w:t>
      </w:r>
    </w:p>
    <w:p w:rsidR="000F6CC3" w:rsidRPr="002019B2" w:rsidRDefault="000F6CC3" w:rsidP="00D6130A">
      <w:pPr>
        <w:pStyle w:val="TableFooter"/>
        <w:keepNext/>
        <w:keepLines/>
      </w:pPr>
      <w:r w:rsidRPr="002019B2">
        <w:t>Source: Tables 2.27, 2.29, 2.31, pp97-102 of the submission.</w:t>
      </w:r>
    </w:p>
    <w:p w:rsidR="000F6CC3" w:rsidRPr="002019B2" w:rsidRDefault="000F6CC3" w:rsidP="000F6CC3">
      <w:pPr>
        <w:pStyle w:val="TableFooter"/>
      </w:pPr>
    </w:p>
    <w:p w:rsidR="000F6CC3" w:rsidRPr="002019B2" w:rsidRDefault="000F6CC3" w:rsidP="00123D0F">
      <w:pPr>
        <w:pStyle w:val="ListParagraph"/>
        <w:widowControl/>
        <w:numPr>
          <w:ilvl w:val="1"/>
          <w:numId w:val="9"/>
        </w:numPr>
        <w:spacing w:after="120"/>
        <w:ind w:left="720" w:hanging="720"/>
      </w:pPr>
      <w:r w:rsidRPr="002019B2">
        <w:t xml:space="preserve">Overall, UPA </w:t>
      </w:r>
      <w:r w:rsidR="005C6C0F" w:rsidRPr="002019B2">
        <w:t>15</w:t>
      </w:r>
      <w:r w:rsidR="00FE70C4">
        <w:t xml:space="preserve"> </w:t>
      </w:r>
      <w:r w:rsidR="005C6C0F" w:rsidRPr="002019B2">
        <w:t xml:space="preserve">mg </w:t>
      </w:r>
      <w:r w:rsidRPr="002019B2">
        <w:t xml:space="preserve">was not significantly different from BARI </w:t>
      </w:r>
      <w:r w:rsidR="005C6C0F" w:rsidRPr="002019B2">
        <w:t>4</w:t>
      </w:r>
      <w:r w:rsidR="00FE70C4">
        <w:t xml:space="preserve"> </w:t>
      </w:r>
      <w:r w:rsidR="005C6C0F" w:rsidRPr="002019B2">
        <w:t xml:space="preserve">mg </w:t>
      </w:r>
      <w:r w:rsidRPr="002019B2">
        <w:t>for any of the key safety outcomes. There was a statistically lower risk of serious adverse events (SAE) and adverse events (AEs) leading to discontinuation when ADA was the common</w:t>
      </w:r>
      <w:r w:rsidR="00973C77" w:rsidRPr="002019B2">
        <w:t xml:space="preserve"> reference arm</w:t>
      </w:r>
      <w:r w:rsidRPr="002019B2">
        <w:t>; however, this result was driven by the higher proportion of these events for ADA in SELECT-COMPARE but lower proportion in the ADA arm of RA-BEAM, compared to the UPA and BARI respectively.</w:t>
      </w:r>
    </w:p>
    <w:p w:rsidR="00A25E3E" w:rsidRPr="002019B2" w:rsidRDefault="00A25E3E" w:rsidP="00123D0F">
      <w:pPr>
        <w:pStyle w:val="ListParagraph"/>
        <w:widowControl/>
        <w:numPr>
          <w:ilvl w:val="1"/>
          <w:numId w:val="9"/>
        </w:numPr>
        <w:spacing w:after="120"/>
        <w:ind w:left="720" w:hanging="720"/>
      </w:pPr>
      <w:r w:rsidRPr="002019B2">
        <w:t>Long-term safety data has raised concerns regarding the risk of thrombosis with JAK inhibitors, but it is not yet understood whether or how the inhibition of JAK subtypes may contribute to this risk. In 2018, the</w:t>
      </w:r>
      <w:r w:rsidR="0087296A" w:rsidRPr="002019B2">
        <w:t xml:space="preserve"> U.S. Food and Drug Administration</w:t>
      </w:r>
      <w:r w:rsidRPr="002019B2">
        <w:t xml:space="preserve"> </w:t>
      </w:r>
      <w:r w:rsidR="0087296A" w:rsidRPr="002019B2">
        <w:t>(</w:t>
      </w:r>
      <w:r w:rsidRPr="002019B2">
        <w:t>FDA</w:t>
      </w:r>
      <w:r w:rsidR="0087296A" w:rsidRPr="002019B2">
        <w:t>)</w:t>
      </w:r>
      <w:r w:rsidRPr="002019B2">
        <w:t xml:space="preserve"> only approved the BARI 2</w:t>
      </w:r>
      <w:r w:rsidR="00FE70C4">
        <w:t xml:space="preserve"> </w:t>
      </w:r>
      <w:r w:rsidRPr="002019B2">
        <w:t>mg once daily (i.e. BARI 4</w:t>
      </w:r>
      <w:r w:rsidR="00FE70C4">
        <w:t xml:space="preserve"> </w:t>
      </w:r>
      <w:r w:rsidRPr="002019B2">
        <w:t>mg was not approved) with a black box warning that includes a caution related to deep venous thrombosis, pulmonary embolism and arterial thrombosis. In July 2019, the FDA also approved a black box warning for TOF 10</w:t>
      </w:r>
      <w:r w:rsidR="00FE70C4">
        <w:t xml:space="preserve"> </w:t>
      </w:r>
      <w:r w:rsidRPr="002019B2">
        <w:t>mg due to an increased risk of thrombosis and mortality</w:t>
      </w:r>
      <w:r w:rsidRPr="002019B2">
        <w:rPr>
          <w:vertAlign w:val="superscript"/>
        </w:rPr>
        <w:footnoteReference w:id="1"/>
      </w:r>
      <w:r w:rsidRPr="002019B2">
        <w:t xml:space="preserve"> seen in the post-marketing study.</w:t>
      </w:r>
    </w:p>
    <w:p w:rsidR="000F6CC3" w:rsidRPr="002019B2" w:rsidRDefault="006226EC" w:rsidP="00123D0F">
      <w:pPr>
        <w:pStyle w:val="ListParagraph"/>
        <w:widowControl/>
        <w:numPr>
          <w:ilvl w:val="1"/>
          <w:numId w:val="9"/>
        </w:numPr>
        <w:spacing w:after="120"/>
        <w:ind w:left="720" w:hanging="720"/>
      </w:pPr>
      <w:r w:rsidRPr="002019B2">
        <w:t>Based on pooled trial evidence for UPA (N=4443), there was</w:t>
      </w:r>
      <w:r w:rsidR="0087296A" w:rsidRPr="002019B2">
        <w:t xml:space="preserve"> not</w:t>
      </w:r>
      <w:r w:rsidRPr="002019B2">
        <w:t xml:space="preserve"> an increased risk of venous thromboembolism or mortality for UPA 15</w:t>
      </w:r>
      <w:r w:rsidR="00FE70C4">
        <w:t xml:space="preserve"> </w:t>
      </w:r>
      <w:r w:rsidRPr="002019B2">
        <w:t>mg compared to placebo. However, t</w:t>
      </w:r>
      <w:r w:rsidR="000F6CC3" w:rsidRPr="002019B2">
        <w:t xml:space="preserve">he TGA </w:t>
      </w:r>
      <w:r w:rsidRPr="002019B2">
        <w:t xml:space="preserve">clinical evaluation </w:t>
      </w:r>
      <w:r w:rsidR="000F6CC3" w:rsidRPr="002019B2">
        <w:t xml:space="preserve">report stated “there is limited long-term safety data </w:t>
      </w:r>
      <w:r w:rsidRPr="002019B2">
        <w:t>…</w:t>
      </w:r>
      <w:r w:rsidR="000F6CC3" w:rsidRPr="002019B2">
        <w:t xml:space="preserve"> to assess the risk of some types of AEs such as malignancy and </w:t>
      </w:r>
      <w:r w:rsidRPr="002019B2">
        <w:t>MACE [major adverse cardiovascular events]</w:t>
      </w:r>
      <w:r w:rsidR="000F6CC3" w:rsidRPr="002019B2">
        <w:t xml:space="preserve">, which will require additional longitudinal safety follow-up. </w:t>
      </w:r>
      <w:r w:rsidR="000F6CC3" w:rsidRPr="002019B2">
        <w:lastRenderedPageBreak/>
        <w:t>From the assessment of the safety dataset, there are some significant safety concerns with UPA therapy including the risk of infection, opportunistic infection (mainly, oral herpes and zoster infection), increased serum CPK values, anaemia, neutropenia, abnormal liver function tests (raised serum transaminases) and dyslipidaemia. These safety concerns are consistent with the known profile of JAK inhibitor therapy in adult patients with RA</w:t>
      </w:r>
      <w:r w:rsidR="005C6C0F" w:rsidRPr="002019B2">
        <w:t>.</w:t>
      </w:r>
      <w:r w:rsidR="000F6CC3" w:rsidRPr="002019B2">
        <w:t>”</w:t>
      </w:r>
    </w:p>
    <w:p w:rsidR="007F1017" w:rsidRPr="002019B2" w:rsidRDefault="007F1017" w:rsidP="00C9624D">
      <w:pPr>
        <w:pStyle w:val="Heading2"/>
      </w:pPr>
      <w:bookmarkStart w:id="11" w:name="_Toc19709477"/>
      <w:r w:rsidRPr="002019B2">
        <w:t>Benefits/harms</w:t>
      </w:r>
      <w:bookmarkEnd w:id="11"/>
    </w:p>
    <w:p w:rsidR="004151CF" w:rsidRPr="002019B2" w:rsidRDefault="004151CF" w:rsidP="004151CF"/>
    <w:p w:rsidR="00C44DBF" w:rsidRPr="002019B2" w:rsidRDefault="00C44DBF" w:rsidP="00123D0F">
      <w:pPr>
        <w:pStyle w:val="ListParagraph"/>
        <w:widowControl/>
        <w:numPr>
          <w:ilvl w:val="1"/>
          <w:numId w:val="9"/>
        </w:numPr>
        <w:spacing w:after="120"/>
        <w:ind w:left="720" w:hanging="720"/>
      </w:pPr>
      <w:r w:rsidRPr="002019B2">
        <w:t>There are no expected clinically meaningful differences between UPA and BARI in efficacy and safety when used for the treatment of RA.</w:t>
      </w:r>
    </w:p>
    <w:p w:rsidR="00B60939" w:rsidRPr="002019B2" w:rsidRDefault="00B60939" w:rsidP="00C9624D">
      <w:pPr>
        <w:pStyle w:val="Heading2"/>
      </w:pPr>
      <w:bookmarkStart w:id="12" w:name="_Toc19709478"/>
      <w:r w:rsidRPr="002019B2">
        <w:t>Clinical claim</w:t>
      </w:r>
      <w:bookmarkEnd w:id="12"/>
    </w:p>
    <w:p w:rsidR="00B60939" w:rsidRPr="002019B2" w:rsidRDefault="00B60939" w:rsidP="00B60939">
      <w:pPr>
        <w:ind w:left="720" w:hanging="720"/>
      </w:pPr>
    </w:p>
    <w:p w:rsidR="006226EC" w:rsidRPr="002019B2" w:rsidRDefault="001D5661" w:rsidP="00123D0F">
      <w:pPr>
        <w:pStyle w:val="ListParagraph"/>
        <w:widowControl/>
        <w:numPr>
          <w:ilvl w:val="1"/>
          <w:numId w:val="9"/>
        </w:numPr>
        <w:spacing w:after="120"/>
        <w:ind w:left="720" w:hanging="720"/>
      </w:pPr>
      <w:r w:rsidRPr="002019B2">
        <w:t xml:space="preserve">The submission described UPA as non-inferior in terms of effectiveness and safety compared with BARI, as well as superior in terms of effectiveness and non-inferior in terms of safety compared to ADA. The evidence presented in the submission supported the clinical claim of non-inferior effectiveness versus BARI, and non-inferior safety versus BARI and ADA. However, </w:t>
      </w:r>
      <w:r w:rsidR="001A5076" w:rsidRPr="002019B2">
        <w:t xml:space="preserve">both the PBAC and the </w:t>
      </w:r>
      <w:r w:rsidR="00DD7CF7" w:rsidRPr="002019B2">
        <w:t xml:space="preserve">ESC considered that the </w:t>
      </w:r>
      <w:r w:rsidRPr="002019B2">
        <w:t xml:space="preserve">claim of superior effectiveness versus ADA </w:t>
      </w:r>
      <w:r w:rsidR="00562E6E" w:rsidRPr="002019B2">
        <w:t>was not adequately supported for the</w:t>
      </w:r>
      <w:r w:rsidRPr="002019B2">
        <w:t xml:space="preserve"> following reasons:</w:t>
      </w:r>
    </w:p>
    <w:p w:rsidR="001D5661" w:rsidRPr="002019B2" w:rsidRDefault="001D5661" w:rsidP="00C8590A">
      <w:pPr>
        <w:pStyle w:val="ListParagraph"/>
        <w:widowControl/>
        <w:numPr>
          <w:ilvl w:val="1"/>
          <w:numId w:val="26"/>
        </w:numPr>
        <w:spacing w:after="120"/>
      </w:pPr>
      <w:r w:rsidRPr="002019B2">
        <w:t>The claim was based on ACR50 results in the SELECT-COMPARE trial meeting the pre-specified tests for non-inferiority and then superiority of UPA versus ADA. That is, the lower bound of the 95%CI for the RD was larger than the nominated non-inferiority margin of -10%, and then larger than 0% (i.e. statistically significant) in accordance with the sequential testing procedure.</w:t>
      </w:r>
    </w:p>
    <w:p w:rsidR="007704DD" w:rsidRPr="002019B2" w:rsidRDefault="007704DD" w:rsidP="00C8590A">
      <w:pPr>
        <w:pStyle w:val="ListParagraph"/>
        <w:widowControl/>
        <w:numPr>
          <w:ilvl w:val="1"/>
          <w:numId w:val="26"/>
        </w:numPr>
        <w:spacing w:after="120"/>
      </w:pPr>
      <w:r w:rsidRPr="002019B2">
        <w:t xml:space="preserve">The PBAC noted the Sponsor’s pre-PBAC response included a </w:t>
      </w:r>
      <w:r w:rsidR="00423E14" w:rsidRPr="002019B2">
        <w:t xml:space="preserve">statistical </w:t>
      </w:r>
      <w:r w:rsidRPr="002019B2">
        <w:t>report to support the claim of UPA’s superior efficacy over ADA</w:t>
      </w:r>
      <w:r w:rsidR="00C56D4D" w:rsidRPr="002019B2">
        <w:t xml:space="preserve"> in the SELECT-COPMARE trial</w:t>
      </w:r>
      <w:r w:rsidRPr="002019B2">
        <w:t>. The report stated that UPA meets the requirements for statistical superiority as defined by global statistical norms through the ICH-E9 guidelines EMA guidelines and FDA guidelines.</w:t>
      </w:r>
      <w:r w:rsidR="00423E14" w:rsidRPr="002019B2">
        <w:t xml:space="preserve"> </w:t>
      </w:r>
      <w:r w:rsidR="00A57899" w:rsidRPr="002019B2">
        <w:t>The PBAC noted these were regulatory guidelines focused on statistical superiority and not necessarily relevant to the assessment of clinical superiority.</w:t>
      </w:r>
    </w:p>
    <w:p w:rsidR="00B12987" w:rsidRPr="002019B2" w:rsidRDefault="00301383" w:rsidP="00C8590A">
      <w:pPr>
        <w:pStyle w:val="ListParagraph"/>
        <w:widowControl/>
        <w:numPr>
          <w:ilvl w:val="1"/>
          <w:numId w:val="26"/>
        </w:numPr>
        <w:spacing w:after="120"/>
      </w:pPr>
      <w:r w:rsidRPr="002019B2">
        <w:t xml:space="preserve">Finally, </w:t>
      </w:r>
      <w:r w:rsidR="00B12987" w:rsidRPr="002019B2">
        <w:t>Australian patients can receive and fail up to five of the eleven PBS listed JAK inhibitors/bDMARDs. There was no evidence that adding UPA as a twelfth treatment alternative provided a significant improvement in long-term outcomes over the treatment algorithm.</w:t>
      </w:r>
    </w:p>
    <w:p w:rsidR="0087351A" w:rsidRPr="002019B2" w:rsidRDefault="0087351A" w:rsidP="0087351A">
      <w:pPr>
        <w:pStyle w:val="ListParagraph"/>
        <w:widowControl/>
        <w:numPr>
          <w:ilvl w:val="1"/>
          <w:numId w:val="9"/>
        </w:numPr>
        <w:spacing w:after="120"/>
        <w:ind w:left="720" w:hanging="720"/>
      </w:pPr>
      <w:r w:rsidRPr="002019B2">
        <w:t xml:space="preserve">The PBAC considered that the claim of non-inferior comparative effectiveness </w:t>
      </w:r>
      <w:r w:rsidR="00CB1D9F" w:rsidRPr="002019B2">
        <w:t xml:space="preserve">compared with BARI </w:t>
      </w:r>
      <w:r w:rsidRPr="002019B2">
        <w:t>was reasonable</w:t>
      </w:r>
      <w:r w:rsidR="00C8590A" w:rsidRPr="002019B2">
        <w:t xml:space="preserve"> and that the claim of superior comparative effectiveness compared with ADA was not reasonable</w:t>
      </w:r>
      <w:r w:rsidRPr="002019B2">
        <w:t>.</w:t>
      </w:r>
    </w:p>
    <w:p w:rsidR="0087351A" w:rsidRPr="002019B2" w:rsidRDefault="0087351A" w:rsidP="0087351A">
      <w:pPr>
        <w:pStyle w:val="ListParagraph"/>
        <w:widowControl/>
        <w:numPr>
          <w:ilvl w:val="1"/>
          <w:numId w:val="9"/>
        </w:numPr>
        <w:spacing w:after="120"/>
        <w:ind w:left="720" w:hanging="720"/>
      </w:pPr>
      <w:r w:rsidRPr="002019B2">
        <w:lastRenderedPageBreak/>
        <w:t xml:space="preserve">The PBAC considered that the claim of non-inferior comparative safety </w:t>
      </w:r>
      <w:r w:rsidR="00CB1D9F" w:rsidRPr="002019B2">
        <w:t xml:space="preserve">compared with BARI </w:t>
      </w:r>
      <w:r w:rsidR="00CB5C2C" w:rsidRPr="002019B2">
        <w:t xml:space="preserve">and ADA </w:t>
      </w:r>
      <w:r w:rsidRPr="002019B2">
        <w:t>was reasonable.</w:t>
      </w:r>
    </w:p>
    <w:p w:rsidR="0087351A" w:rsidRPr="002019B2" w:rsidRDefault="0087351A" w:rsidP="007A48AF">
      <w:pPr>
        <w:pStyle w:val="ListParagraph"/>
        <w:widowControl/>
        <w:spacing w:after="120"/>
      </w:pPr>
    </w:p>
    <w:p w:rsidR="00B60939" w:rsidRPr="002019B2" w:rsidRDefault="00B60939" w:rsidP="00C9624D">
      <w:pPr>
        <w:pStyle w:val="Heading2"/>
      </w:pPr>
      <w:bookmarkStart w:id="13" w:name="_Toc19709479"/>
      <w:r w:rsidRPr="002019B2">
        <w:t>Economic analysis</w:t>
      </w:r>
      <w:bookmarkEnd w:id="13"/>
      <w:r w:rsidR="00491B3A" w:rsidRPr="002019B2">
        <w:t xml:space="preserve"> </w:t>
      </w:r>
    </w:p>
    <w:p w:rsidR="00C51BE3" w:rsidRPr="002019B2" w:rsidRDefault="00CE0F17" w:rsidP="00123D0F">
      <w:pPr>
        <w:pStyle w:val="ListParagraph"/>
        <w:widowControl/>
        <w:numPr>
          <w:ilvl w:val="1"/>
          <w:numId w:val="9"/>
        </w:numPr>
        <w:spacing w:after="120"/>
        <w:ind w:left="720" w:hanging="720"/>
      </w:pPr>
      <w:r w:rsidRPr="002019B2">
        <w:t>The submission presented a cost-minimisation analysis comparing UPA with BARI</w:t>
      </w:r>
      <w:r w:rsidR="00D02937" w:rsidRPr="002019B2">
        <w:t xml:space="preserve"> over 12 months</w:t>
      </w:r>
      <w:r w:rsidR="00B84107" w:rsidRPr="002019B2">
        <w:t xml:space="preserve">, based on published DPMQ prices. The </w:t>
      </w:r>
      <w:r w:rsidR="00870BC4" w:rsidRPr="002019B2">
        <w:t xml:space="preserve">nominated </w:t>
      </w:r>
      <w:r w:rsidR="00B84107" w:rsidRPr="002019B2">
        <w:t xml:space="preserve">equi-effective doses were </w:t>
      </w:r>
      <w:r w:rsidR="00F028C2" w:rsidRPr="002019B2">
        <w:t xml:space="preserve">reasonably </w:t>
      </w:r>
      <w:r w:rsidR="00B84107" w:rsidRPr="002019B2">
        <w:t xml:space="preserve">based on </w:t>
      </w:r>
      <w:r w:rsidR="00870BC4" w:rsidRPr="002019B2">
        <w:t>the recommended doses for RA (</w:t>
      </w:r>
      <w:r w:rsidR="00B84107" w:rsidRPr="002019B2">
        <w:t>UPA 15</w:t>
      </w:r>
      <w:r w:rsidR="00FE70C4">
        <w:t xml:space="preserve"> </w:t>
      </w:r>
      <w:r w:rsidR="00B84107" w:rsidRPr="002019B2">
        <w:t>mg daily = BARI 4</w:t>
      </w:r>
      <w:r w:rsidR="00FE70C4">
        <w:t xml:space="preserve"> </w:t>
      </w:r>
      <w:r w:rsidR="00B84107" w:rsidRPr="002019B2">
        <w:t>mg daily</w:t>
      </w:r>
      <w:r w:rsidR="00870BC4" w:rsidRPr="002019B2">
        <w:t>)</w:t>
      </w:r>
      <w:r w:rsidR="006F52B9" w:rsidRPr="002019B2">
        <w:t>.</w:t>
      </w:r>
      <w:r w:rsidR="00870BC4" w:rsidRPr="002019B2">
        <w:t xml:space="preserve"> </w:t>
      </w:r>
      <w:r w:rsidR="00F028C2" w:rsidRPr="002019B2">
        <w:t>G</w:t>
      </w:r>
      <w:r w:rsidR="009062AE" w:rsidRPr="002019B2">
        <w:t>iven there is no difference in dosing schedule</w:t>
      </w:r>
      <w:r w:rsidR="00F028C2" w:rsidRPr="002019B2">
        <w:t xml:space="preserve"> (one tablet daily) or pack size</w:t>
      </w:r>
      <w:r w:rsidR="009062AE" w:rsidRPr="002019B2">
        <w:t xml:space="preserve"> </w:t>
      </w:r>
      <w:r w:rsidR="00F028C2" w:rsidRPr="002019B2">
        <w:t xml:space="preserve">(28 tablets) </w:t>
      </w:r>
      <w:r w:rsidR="009062AE" w:rsidRPr="002019B2">
        <w:t>between UPA and BARI, the analysis was insensitive to time horizon</w:t>
      </w:r>
      <w:r w:rsidR="00F028C2" w:rsidRPr="002019B2">
        <w:t xml:space="preserve"> and the DPMQs </w:t>
      </w:r>
      <w:r w:rsidR="00B10578" w:rsidRPr="002019B2">
        <w:t>we</w:t>
      </w:r>
      <w:r w:rsidR="00F028C2" w:rsidRPr="002019B2">
        <w:t>re identical</w:t>
      </w:r>
      <w:r w:rsidR="009062AE" w:rsidRPr="002019B2">
        <w:t>.</w:t>
      </w:r>
    </w:p>
    <w:p w:rsidR="00910455" w:rsidRPr="002019B2" w:rsidRDefault="0004645F" w:rsidP="00123D0F">
      <w:pPr>
        <w:pStyle w:val="ListParagraph"/>
        <w:widowControl/>
        <w:numPr>
          <w:ilvl w:val="1"/>
          <w:numId w:val="9"/>
        </w:numPr>
        <w:spacing w:after="120"/>
        <w:ind w:left="720" w:hanging="720"/>
      </w:pPr>
      <w:r w:rsidRPr="002019B2">
        <w:t xml:space="preserve">The submission stated that the effective price was not available to the </w:t>
      </w:r>
      <w:r w:rsidR="00281666" w:rsidRPr="002019B2">
        <w:t>s</w:t>
      </w:r>
      <w:r w:rsidRPr="002019B2">
        <w:t>ponsor for the cost-minimisation analysis, but requested the same effective price as BARI 4</w:t>
      </w:r>
      <w:r w:rsidR="00FE70C4">
        <w:t xml:space="preserve"> </w:t>
      </w:r>
      <w:r w:rsidRPr="002019B2">
        <w:t>mg tablets.</w:t>
      </w:r>
    </w:p>
    <w:p w:rsidR="00C25D9C" w:rsidRPr="002019B2" w:rsidRDefault="00C25D9C" w:rsidP="002C262F">
      <w:pPr>
        <w:pStyle w:val="Heading2"/>
      </w:pPr>
      <w:bookmarkStart w:id="14" w:name="_Toc19709480"/>
      <w:r w:rsidRPr="002019B2">
        <w:t>Drug cost/patient/year</w:t>
      </w:r>
      <w:bookmarkEnd w:id="14"/>
    </w:p>
    <w:p w:rsidR="00130B0E" w:rsidRPr="002019B2" w:rsidRDefault="00130B0E" w:rsidP="00123D0F">
      <w:pPr>
        <w:pStyle w:val="ListParagraph"/>
        <w:widowControl/>
        <w:numPr>
          <w:ilvl w:val="1"/>
          <w:numId w:val="9"/>
        </w:numPr>
        <w:spacing w:after="120"/>
        <w:ind w:left="720" w:hanging="720"/>
      </w:pPr>
      <w:r w:rsidRPr="002019B2">
        <w:t>$</w:t>
      </w:r>
      <w:r w:rsidR="00176C48">
        <w:rPr>
          <w:noProof/>
          <w:color w:val="000000"/>
          <w:highlight w:val="black"/>
        </w:rPr>
        <w:t>'''''''''''''''''''</w:t>
      </w:r>
      <w:r w:rsidRPr="002019B2">
        <w:t xml:space="preserve"> per year </w:t>
      </w:r>
      <w:r w:rsidR="00CB523A" w:rsidRPr="002019B2">
        <w:t xml:space="preserve">based on the requested published </w:t>
      </w:r>
      <w:r w:rsidRPr="002019B2">
        <w:t xml:space="preserve">DPMQ of </w:t>
      </w:r>
      <w:r w:rsidR="00E00A8F" w:rsidRPr="002019B2">
        <w:t>$</w:t>
      </w:r>
      <w:r w:rsidR="00176C48">
        <w:rPr>
          <w:noProof/>
          <w:color w:val="000000"/>
          <w:highlight w:val="black"/>
        </w:rPr>
        <w:t>''''''''''''''''</w:t>
      </w:r>
      <w:r w:rsidR="00E00A8F" w:rsidRPr="002019B2">
        <w:t xml:space="preserve"> </w:t>
      </w:r>
      <w:r w:rsidRPr="002019B2">
        <w:t>and 13</w:t>
      </w:r>
      <w:r w:rsidR="00E00A8F" w:rsidRPr="002019B2">
        <w:t xml:space="preserve"> </w:t>
      </w:r>
      <w:r w:rsidRPr="002019B2">
        <w:t>scripts per year.</w:t>
      </w:r>
      <w:r w:rsidR="00CB523A" w:rsidRPr="002019B2">
        <w:t xml:space="preserve"> As discussed above, the Sponsor requested a Special Pricing Arrangement for UPA 15 mg tablets including the same effective price (unknown) as BARI 4 mg tablets.</w:t>
      </w:r>
    </w:p>
    <w:p w:rsidR="00B60939" w:rsidRPr="002019B2" w:rsidRDefault="00B60939" w:rsidP="00C9624D">
      <w:pPr>
        <w:pStyle w:val="Heading2"/>
      </w:pPr>
      <w:bookmarkStart w:id="15" w:name="_Toc19709481"/>
      <w:r w:rsidRPr="002019B2">
        <w:t>Estimated PBS usage &amp; financial implications</w:t>
      </w:r>
      <w:bookmarkEnd w:id="15"/>
    </w:p>
    <w:p w:rsidR="00B60939" w:rsidRPr="002019B2" w:rsidRDefault="00B60939" w:rsidP="00B60939">
      <w:pPr>
        <w:ind w:left="720" w:hanging="720"/>
        <w:rPr>
          <w:b/>
        </w:rPr>
      </w:pPr>
    </w:p>
    <w:p w:rsidR="0033322F" w:rsidRPr="002019B2" w:rsidRDefault="00C25D9C" w:rsidP="00123D0F">
      <w:pPr>
        <w:pStyle w:val="ListParagraph"/>
        <w:widowControl/>
        <w:numPr>
          <w:ilvl w:val="1"/>
          <w:numId w:val="9"/>
        </w:numPr>
        <w:spacing w:after="120"/>
        <w:ind w:left="720" w:hanging="720"/>
      </w:pPr>
      <w:r w:rsidRPr="002019B2">
        <w:t xml:space="preserve">This submission </w:t>
      </w:r>
      <w:r w:rsidR="00DD7CF7" w:rsidRPr="002019B2">
        <w:t>was not</w:t>
      </w:r>
      <w:r w:rsidR="00E81815" w:rsidRPr="002019B2">
        <w:t xml:space="preserve"> </w:t>
      </w:r>
      <w:r w:rsidRPr="002019B2">
        <w:t>considered by DUSC</w:t>
      </w:r>
      <w:r w:rsidR="00084288" w:rsidRPr="002019B2">
        <w:t xml:space="preserve">. </w:t>
      </w:r>
      <w:r w:rsidR="0033322F" w:rsidRPr="002019B2">
        <w:t xml:space="preserve">A market share approach was used to estimate the financial implications of the proposed listing, summarised in Table </w:t>
      </w:r>
      <w:r w:rsidR="00412000" w:rsidRPr="002019B2">
        <w:t>8</w:t>
      </w:r>
      <w:r w:rsidR="0033322F" w:rsidRPr="002019B2">
        <w:t xml:space="preserve">, assuming UPA would substitute for </w:t>
      </w:r>
      <w:r w:rsidR="00084288" w:rsidRPr="002019B2">
        <w:t>the most commonly prescribed</w:t>
      </w:r>
      <w:r w:rsidR="0033322F" w:rsidRPr="002019B2">
        <w:t xml:space="preserve"> PBS-listed </w:t>
      </w:r>
      <w:r w:rsidR="00BC58B0" w:rsidRPr="002019B2">
        <w:t>JAK inhibitors/</w:t>
      </w:r>
      <w:r w:rsidR="0033322F" w:rsidRPr="002019B2">
        <w:t xml:space="preserve">bDMARDs and the listing will not affect current market growth. </w:t>
      </w:r>
      <w:r w:rsidR="004A159D" w:rsidRPr="002019B2">
        <w:t xml:space="preserve">The PBAC considered </w:t>
      </w:r>
      <w:r w:rsidR="00CB1D9F" w:rsidRPr="002019B2">
        <w:t xml:space="preserve">that </w:t>
      </w:r>
      <w:r w:rsidR="004A159D" w:rsidRPr="002019B2">
        <w:t xml:space="preserve">the market share approach </w:t>
      </w:r>
      <w:r w:rsidR="00CB1D9F" w:rsidRPr="002019B2">
        <w:t>wa</w:t>
      </w:r>
      <w:r w:rsidR="004A159D" w:rsidRPr="002019B2">
        <w:t xml:space="preserve">s appropriate. </w:t>
      </w:r>
      <w:r w:rsidR="00BC58B0" w:rsidRPr="002019B2">
        <w:t xml:space="preserve">The analysis used the published </w:t>
      </w:r>
      <w:r w:rsidR="0033322F" w:rsidRPr="002019B2">
        <w:t xml:space="preserve">DPMQ </w:t>
      </w:r>
      <w:r w:rsidR="00BC58B0" w:rsidRPr="002019B2">
        <w:t xml:space="preserve">values </w:t>
      </w:r>
      <w:r w:rsidR="0033322F" w:rsidRPr="002019B2">
        <w:t xml:space="preserve">given the </w:t>
      </w:r>
      <w:r w:rsidR="008006E9" w:rsidRPr="002019B2">
        <w:t>s</w:t>
      </w:r>
      <w:r w:rsidR="0033322F" w:rsidRPr="002019B2">
        <w:t>ponsor did not have knowledge of special pricing arrangements.</w:t>
      </w:r>
    </w:p>
    <w:p w:rsidR="00C25D9C" w:rsidRPr="002019B2" w:rsidRDefault="002A2F50" w:rsidP="00D6130A">
      <w:pPr>
        <w:keepNext/>
        <w:keepLines/>
        <w:rPr>
          <w:rStyle w:val="CommentReference"/>
        </w:rPr>
      </w:pPr>
      <w:r w:rsidRPr="002019B2">
        <w:rPr>
          <w:rStyle w:val="CommentReference"/>
        </w:rPr>
        <w:lastRenderedPageBreak/>
        <w:t xml:space="preserve">Table </w:t>
      </w:r>
      <w:r w:rsidR="00412000" w:rsidRPr="002019B2">
        <w:rPr>
          <w:rStyle w:val="CommentReference"/>
        </w:rPr>
        <w:t>8</w:t>
      </w:r>
      <w:r w:rsidRPr="002019B2">
        <w:rPr>
          <w:rStyle w:val="CommentReference"/>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Estimated use and financial implications"/>
      </w:tblPr>
      <w:tblGrid>
        <w:gridCol w:w="2110"/>
        <w:gridCol w:w="1127"/>
        <w:gridCol w:w="1127"/>
        <w:gridCol w:w="1268"/>
        <w:gridCol w:w="1127"/>
        <w:gridCol w:w="1127"/>
        <w:gridCol w:w="1131"/>
      </w:tblGrid>
      <w:tr w:rsidR="00AE3735" w:rsidRPr="002019B2" w:rsidTr="007C7B54">
        <w:trPr>
          <w:tblHeader/>
        </w:trPr>
        <w:tc>
          <w:tcPr>
            <w:tcW w:w="1170" w:type="pct"/>
            <w:tcBorders>
              <w:bottom w:val="single" w:sz="4" w:space="0" w:color="auto"/>
            </w:tcBorders>
            <w:shd w:val="clear" w:color="auto" w:fill="auto"/>
            <w:vAlign w:val="center"/>
          </w:tcPr>
          <w:p w:rsidR="00AE3735" w:rsidRPr="002019B2" w:rsidRDefault="00AE3735" w:rsidP="00D6130A">
            <w:pPr>
              <w:pStyle w:val="Tabletext"/>
              <w:keepNext/>
              <w:keepLines/>
              <w:rPr>
                <w:b/>
                <w:bCs/>
              </w:rPr>
            </w:pPr>
          </w:p>
        </w:tc>
        <w:tc>
          <w:tcPr>
            <w:tcW w:w="625" w:type="pct"/>
            <w:shd w:val="clear" w:color="auto" w:fill="auto"/>
            <w:vAlign w:val="center"/>
          </w:tcPr>
          <w:p w:rsidR="00AE3735" w:rsidRPr="002019B2" w:rsidRDefault="00AE3735" w:rsidP="00D6130A">
            <w:pPr>
              <w:pStyle w:val="Tabletext"/>
              <w:keepNext/>
              <w:keepLines/>
              <w:jc w:val="center"/>
              <w:rPr>
                <w:b/>
                <w:bCs/>
              </w:rPr>
            </w:pPr>
            <w:r w:rsidRPr="002019B2">
              <w:rPr>
                <w:b/>
                <w:bCs/>
              </w:rPr>
              <w:t>Year 1</w:t>
            </w:r>
          </w:p>
        </w:tc>
        <w:tc>
          <w:tcPr>
            <w:tcW w:w="625" w:type="pct"/>
            <w:shd w:val="clear" w:color="auto" w:fill="auto"/>
            <w:vAlign w:val="center"/>
          </w:tcPr>
          <w:p w:rsidR="00AE3735" w:rsidRPr="002019B2" w:rsidRDefault="00AE3735" w:rsidP="00D6130A">
            <w:pPr>
              <w:pStyle w:val="Tabletext"/>
              <w:keepNext/>
              <w:keepLines/>
              <w:jc w:val="center"/>
              <w:rPr>
                <w:b/>
                <w:bCs/>
              </w:rPr>
            </w:pPr>
            <w:r w:rsidRPr="002019B2">
              <w:rPr>
                <w:b/>
                <w:bCs/>
              </w:rPr>
              <w:t>Year 2</w:t>
            </w:r>
          </w:p>
        </w:tc>
        <w:tc>
          <w:tcPr>
            <w:tcW w:w="703" w:type="pct"/>
            <w:shd w:val="clear" w:color="auto" w:fill="auto"/>
            <w:vAlign w:val="center"/>
          </w:tcPr>
          <w:p w:rsidR="00AE3735" w:rsidRPr="002019B2" w:rsidRDefault="00AE3735" w:rsidP="00D6130A">
            <w:pPr>
              <w:pStyle w:val="Tabletext"/>
              <w:keepNext/>
              <w:keepLines/>
              <w:jc w:val="center"/>
              <w:rPr>
                <w:b/>
                <w:bCs/>
              </w:rPr>
            </w:pPr>
            <w:r w:rsidRPr="002019B2">
              <w:rPr>
                <w:b/>
                <w:bCs/>
              </w:rPr>
              <w:t>Year 3</w:t>
            </w:r>
          </w:p>
        </w:tc>
        <w:tc>
          <w:tcPr>
            <w:tcW w:w="625" w:type="pct"/>
            <w:shd w:val="clear" w:color="auto" w:fill="auto"/>
            <w:vAlign w:val="center"/>
          </w:tcPr>
          <w:p w:rsidR="00AE3735" w:rsidRPr="002019B2" w:rsidRDefault="00AE3735" w:rsidP="00D6130A">
            <w:pPr>
              <w:pStyle w:val="Tabletext"/>
              <w:keepNext/>
              <w:keepLines/>
              <w:jc w:val="center"/>
              <w:rPr>
                <w:b/>
                <w:bCs/>
              </w:rPr>
            </w:pPr>
            <w:r w:rsidRPr="002019B2">
              <w:rPr>
                <w:b/>
                <w:bCs/>
              </w:rPr>
              <w:t>Year 4</w:t>
            </w:r>
          </w:p>
        </w:tc>
        <w:tc>
          <w:tcPr>
            <w:tcW w:w="625" w:type="pct"/>
            <w:shd w:val="clear" w:color="auto" w:fill="auto"/>
            <w:vAlign w:val="center"/>
          </w:tcPr>
          <w:p w:rsidR="00AE3735" w:rsidRPr="002019B2" w:rsidRDefault="00AE3735" w:rsidP="00D6130A">
            <w:pPr>
              <w:pStyle w:val="Tabletext"/>
              <w:keepNext/>
              <w:keepLines/>
              <w:jc w:val="center"/>
              <w:rPr>
                <w:b/>
                <w:bCs/>
              </w:rPr>
            </w:pPr>
            <w:r w:rsidRPr="002019B2">
              <w:rPr>
                <w:b/>
                <w:bCs/>
              </w:rPr>
              <w:t>Year 5</w:t>
            </w:r>
          </w:p>
        </w:tc>
        <w:tc>
          <w:tcPr>
            <w:tcW w:w="625" w:type="pct"/>
            <w:shd w:val="clear" w:color="auto" w:fill="auto"/>
            <w:vAlign w:val="center"/>
          </w:tcPr>
          <w:p w:rsidR="00AE3735" w:rsidRPr="002019B2" w:rsidRDefault="00AE3735" w:rsidP="00D6130A">
            <w:pPr>
              <w:pStyle w:val="Tabletext"/>
              <w:keepNext/>
              <w:keepLines/>
              <w:jc w:val="center"/>
              <w:rPr>
                <w:b/>
                <w:bCs/>
              </w:rPr>
            </w:pPr>
            <w:r w:rsidRPr="002019B2">
              <w:rPr>
                <w:b/>
                <w:bCs/>
              </w:rPr>
              <w:t>Year 6</w:t>
            </w:r>
          </w:p>
        </w:tc>
      </w:tr>
      <w:tr w:rsidR="00AE3735" w:rsidRPr="002019B2" w:rsidTr="007C7B54">
        <w:trPr>
          <w:tblHeader/>
        </w:trPr>
        <w:tc>
          <w:tcPr>
            <w:tcW w:w="5000" w:type="pct"/>
            <w:gridSpan w:val="7"/>
            <w:tcBorders>
              <w:top w:val="single" w:sz="4" w:space="0" w:color="auto"/>
              <w:left w:val="single" w:sz="4" w:space="0" w:color="auto"/>
              <w:bottom w:val="single" w:sz="4" w:space="0" w:color="auto"/>
            </w:tcBorders>
            <w:shd w:val="clear" w:color="auto" w:fill="auto"/>
            <w:vAlign w:val="center"/>
          </w:tcPr>
          <w:p w:rsidR="00AE3735" w:rsidRPr="002019B2" w:rsidRDefault="00AE3735" w:rsidP="00D6130A">
            <w:pPr>
              <w:pStyle w:val="Tabletext"/>
              <w:keepNext/>
              <w:keepLines/>
              <w:rPr>
                <w:b/>
                <w:bCs/>
                <w:color w:val="000000"/>
                <w:szCs w:val="18"/>
              </w:rPr>
            </w:pPr>
            <w:r w:rsidRPr="002019B2">
              <w:rPr>
                <w:b/>
                <w:bCs/>
                <w:color w:val="000000"/>
                <w:szCs w:val="18"/>
              </w:rPr>
              <w:t xml:space="preserve">4.2 Estimation of use and financial impact of the proposed medicine </w:t>
            </w:r>
          </w:p>
        </w:tc>
      </w:tr>
      <w:tr w:rsidR="00AE3735" w:rsidRPr="002019B2" w:rsidTr="007C7B54">
        <w:trPr>
          <w:trHeight w:val="70"/>
          <w:tblHeader/>
        </w:trPr>
        <w:tc>
          <w:tcPr>
            <w:tcW w:w="1170" w:type="pct"/>
            <w:tcBorders>
              <w:top w:val="single" w:sz="4" w:space="0" w:color="auto"/>
              <w:left w:val="single" w:sz="4" w:space="0" w:color="auto"/>
              <w:bottom w:val="nil"/>
              <w:right w:val="single" w:sz="4" w:space="0" w:color="auto"/>
            </w:tcBorders>
            <w:shd w:val="clear" w:color="auto" w:fill="auto"/>
            <w:vAlign w:val="center"/>
          </w:tcPr>
          <w:p w:rsidR="00AE3735" w:rsidRPr="002019B2" w:rsidRDefault="00AE3735" w:rsidP="00D6130A">
            <w:pPr>
              <w:pStyle w:val="Tabletext"/>
              <w:keepNext/>
              <w:keepLines/>
            </w:pPr>
            <w:r w:rsidRPr="002019B2">
              <w:rPr>
                <w:color w:val="000000"/>
                <w:szCs w:val="18"/>
              </w:rPr>
              <w:t>Total scripts PBS</w:t>
            </w:r>
          </w:p>
        </w:tc>
        <w:tc>
          <w:tcPr>
            <w:tcW w:w="625" w:type="pct"/>
            <w:tcBorders>
              <w:left w:val="single" w:sz="4" w:space="0" w:color="auto"/>
              <w:bottom w:val="nil"/>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c>
          <w:tcPr>
            <w:tcW w:w="625" w:type="pct"/>
            <w:tcBorders>
              <w:bottom w:val="nil"/>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c>
          <w:tcPr>
            <w:tcW w:w="703" w:type="pct"/>
            <w:tcBorders>
              <w:bottom w:val="nil"/>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c>
          <w:tcPr>
            <w:tcW w:w="625" w:type="pct"/>
            <w:tcBorders>
              <w:bottom w:val="nil"/>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c>
          <w:tcPr>
            <w:tcW w:w="625" w:type="pct"/>
            <w:tcBorders>
              <w:bottom w:val="nil"/>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c>
          <w:tcPr>
            <w:tcW w:w="625" w:type="pct"/>
            <w:tcBorders>
              <w:bottom w:val="nil"/>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r>
      <w:tr w:rsidR="00AE3735" w:rsidRPr="002019B2" w:rsidTr="007C7B54">
        <w:trPr>
          <w:trHeight w:val="70"/>
          <w:tblHeader/>
        </w:trPr>
        <w:tc>
          <w:tcPr>
            <w:tcW w:w="1170" w:type="pct"/>
            <w:tcBorders>
              <w:top w:val="single" w:sz="4" w:space="0" w:color="auto"/>
              <w:left w:val="single" w:sz="4" w:space="0" w:color="auto"/>
              <w:bottom w:val="nil"/>
              <w:right w:val="single" w:sz="4" w:space="0" w:color="auto"/>
            </w:tcBorders>
            <w:shd w:val="clear" w:color="auto" w:fill="auto"/>
            <w:vAlign w:val="center"/>
          </w:tcPr>
          <w:p w:rsidR="00AE3735" w:rsidRPr="002019B2" w:rsidRDefault="00AE3735" w:rsidP="00D6130A">
            <w:pPr>
              <w:pStyle w:val="Tabletext"/>
              <w:keepNext/>
              <w:keepLines/>
              <w:rPr>
                <w:color w:val="000000"/>
                <w:szCs w:val="18"/>
              </w:rPr>
            </w:pPr>
            <w:r w:rsidRPr="002019B2">
              <w:rPr>
                <w:color w:val="000000"/>
                <w:szCs w:val="18"/>
              </w:rPr>
              <w:t>Total scripts RPBS</w:t>
            </w:r>
          </w:p>
        </w:tc>
        <w:tc>
          <w:tcPr>
            <w:tcW w:w="625" w:type="pct"/>
            <w:tcBorders>
              <w:left w:val="single" w:sz="4" w:space="0" w:color="auto"/>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c>
          <w:tcPr>
            <w:tcW w:w="625" w:type="pct"/>
            <w:tcBorders>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c>
          <w:tcPr>
            <w:tcW w:w="703" w:type="pct"/>
            <w:tcBorders>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c>
          <w:tcPr>
            <w:tcW w:w="625" w:type="pct"/>
            <w:tcBorders>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c>
          <w:tcPr>
            <w:tcW w:w="625" w:type="pct"/>
            <w:tcBorders>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c>
          <w:tcPr>
            <w:tcW w:w="625" w:type="pct"/>
            <w:tcBorders>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r>
      <w:tr w:rsidR="00AE3735" w:rsidRPr="002019B2" w:rsidTr="007C7B54">
        <w:trPr>
          <w:tblHeader/>
        </w:trPr>
        <w:tc>
          <w:tcPr>
            <w:tcW w:w="1170" w:type="pct"/>
            <w:shd w:val="clear" w:color="auto" w:fill="auto"/>
            <w:vAlign w:val="center"/>
          </w:tcPr>
          <w:p w:rsidR="00AE3735" w:rsidRPr="002019B2" w:rsidRDefault="00AE3735" w:rsidP="00D6130A">
            <w:pPr>
              <w:pStyle w:val="Tabletext"/>
              <w:keepNext/>
              <w:keepLines/>
            </w:pPr>
            <w:r w:rsidRPr="002019B2">
              <w:t>Net Cost PBS/RPBS (less co-pay)</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703"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r>
      <w:tr w:rsidR="00AE3735" w:rsidRPr="002019B2" w:rsidTr="007C7B54">
        <w:trPr>
          <w:tblHeader/>
        </w:trPr>
        <w:tc>
          <w:tcPr>
            <w:tcW w:w="5000" w:type="pct"/>
            <w:gridSpan w:val="7"/>
            <w:tcBorders>
              <w:bottom w:val="single" w:sz="4" w:space="0" w:color="auto"/>
            </w:tcBorders>
            <w:shd w:val="clear" w:color="auto" w:fill="auto"/>
            <w:vAlign w:val="center"/>
          </w:tcPr>
          <w:p w:rsidR="00AE3735" w:rsidRPr="002019B2" w:rsidRDefault="00AE3735" w:rsidP="00D6130A">
            <w:pPr>
              <w:pStyle w:val="Tabletext"/>
              <w:keepNext/>
              <w:keepLines/>
              <w:rPr>
                <w:b/>
                <w:bCs/>
              </w:rPr>
            </w:pPr>
            <w:r w:rsidRPr="002019B2">
              <w:rPr>
                <w:b/>
                <w:bCs/>
              </w:rPr>
              <w:t>4.3 Estimation of changes in use and financial impact of other bDMARDs</w:t>
            </w:r>
          </w:p>
        </w:tc>
      </w:tr>
      <w:tr w:rsidR="00AE3735" w:rsidRPr="002019B2" w:rsidTr="007C7B54">
        <w:trPr>
          <w:tblHeader/>
        </w:trPr>
        <w:tc>
          <w:tcPr>
            <w:tcW w:w="1170" w:type="pct"/>
            <w:tcBorders>
              <w:top w:val="nil"/>
              <w:bottom w:val="nil"/>
            </w:tcBorders>
            <w:shd w:val="clear" w:color="auto" w:fill="auto"/>
          </w:tcPr>
          <w:p w:rsidR="00AE3735" w:rsidRPr="002019B2" w:rsidRDefault="00AE3735" w:rsidP="00D6130A">
            <w:pPr>
              <w:pStyle w:val="Tabletext"/>
              <w:keepNext/>
              <w:keepLines/>
              <w:rPr>
                <w:szCs w:val="20"/>
              </w:rPr>
            </w:pPr>
            <w:r w:rsidRPr="002019B2">
              <w:rPr>
                <w:bCs/>
                <w:szCs w:val="20"/>
              </w:rPr>
              <w:t>ABA SC</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703"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r>
      <w:tr w:rsidR="00AE3735" w:rsidRPr="002019B2" w:rsidTr="007C7B54">
        <w:trPr>
          <w:tblHeader/>
        </w:trPr>
        <w:tc>
          <w:tcPr>
            <w:tcW w:w="1170" w:type="pct"/>
            <w:tcBorders>
              <w:top w:val="nil"/>
              <w:bottom w:val="nil"/>
            </w:tcBorders>
            <w:shd w:val="clear" w:color="auto" w:fill="auto"/>
          </w:tcPr>
          <w:p w:rsidR="00AE3735" w:rsidRPr="002019B2" w:rsidRDefault="00AE3735" w:rsidP="00D6130A">
            <w:pPr>
              <w:pStyle w:val="Tabletext"/>
              <w:keepNext/>
              <w:keepLines/>
              <w:rPr>
                <w:szCs w:val="20"/>
              </w:rPr>
            </w:pPr>
            <w:r w:rsidRPr="002019B2">
              <w:rPr>
                <w:bCs/>
                <w:szCs w:val="20"/>
              </w:rPr>
              <w:t>ADA</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703"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r>
      <w:tr w:rsidR="00AE3735" w:rsidRPr="002019B2" w:rsidTr="007C7B54">
        <w:trPr>
          <w:tblHeader/>
        </w:trPr>
        <w:tc>
          <w:tcPr>
            <w:tcW w:w="1170" w:type="pct"/>
            <w:tcBorders>
              <w:top w:val="nil"/>
              <w:bottom w:val="nil"/>
            </w:tcBorders>
            <w:shd w:val="clear" w:color="auto" w:fill="auto"/>
          </w:tcPr>
          <w:p w:rsidR="00AE3735" w:rsidRPr="002019B2" w:rsidRDefault="00AE3735" w:rsidP="00D6130A">
            <w:pPr>
              <w:pStyle w:val="Tabletext"/>
              <w:keepNext/>
              <w:keepLines/>
              <w:rPr>
                <w:szCs w:val="20"/>
              </w:rPr>
            </w:pPr>
            <w:r w:rsidRPr="002019B2">
              <w:rPr>
                <w:bCs/>
                <w:szCs w:val="20"/>
              </w:rPr>
              <w:t>BARI</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c>
          <w:tcPr>
            <w:tcW w:w="703" w:type="pct"/>
            <w:tcBorders>
              <w:top w:val="nil"/>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iCs/>
                <w:highlight w:val="black"/>
              </w:rPr>
            </w:pPr>
            <w:r>
              <w:rPr>
                <w:rFonts w:cs="Arial"/>
                <w:noProof/>
                <w:color w:val="000000"/>
                <w:szCs w:val="20"/>
                <w:highlight w:val="black"/>
                <w:lang w:eastAsia="en-AU"/>
              </w:rPr>
              <w:t>''''''''''''''''</w:t>
            </w:r>
          </w:p>
        </w:tc>
      </w:tr>
      <w:tr w:rsidR="00AE3735" w:rsidRPr="002019B2" w:rsidTr="007C7B54">
        <w:trPr>
          <w:tblHeader/>
        </w:trPr>
        <w:tc>
          <w:tcPr>
            <w:tcW w:w="1170" w:type="pct"/>
            <w:tcBorders>
              <w:top w:val="nil"/>
              <w:bottom w:val="nil"/>
            </w:tcBorders>
            <w:shd w:val="clear" w:color="auto" w:fill="auto"/>
          </w:tcPr>
          <w:p w:rsidR="00AE3735" w:rsidRPr="002019B2" w:rsidRDefault="00AE3735" w:rsidP="00D6130A">
            <w:pPr>
              <w:pStyle w:val="Tabletext"/>
              <w:keepNext/>
              <w:keepLines/>
              <w:rPr>
                <w:szCs w:val="20"/>
              </w:rPr>
            </w:pPr>
            <w:r w:rsidRPr="002019B2">
              <w:rPr>
                <w:bCs/>
                <w:szCs w:val="20"/>
              </w:rPr>
              <w:t>ETA</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703"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r>
      <w:tr w:rsidR="00AE3735" w:rsidRPr="002019B2" w:rsidTr="007C7B54">
        <w:trPr>
          <w:tblHeader/>
        </w:trPr>
        <w:tc>
          <w:tcPr>
            <w:tcW w:w="1170" w:type="pct"/>
            <w:tcBorders>
              <w:top w:val="nil"/>
              <w:bottom w:val="nil"/>
            </w:tcBorders>
            <w:shd w:val="clear" w:color="auto" w:fill="auto"/>
          </w:tcPr>
          <w:p w:rsidR="00AE3735" w:rsidRPr="002019B2" w:rsidRDefault="00AE3735" w:rsidP="00D6130A">
            <w:pPr>
              <w:pStyle w:val="Tabletext"/>
              <w:keepNext/>
              <w:keepLines/>
              <w:rPr>
                <w:szCs w:val="20"/>
              </w:rPr>
            </w:pPr>
            <w:r w:rsidRPr="002019B2">
              <w:rPr>
                <w:bCs/>
                <w:szCs w:val="20"/>
              </w:rPr>
              <w:t>TOC SC</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703"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r>
      <w:tr w:rsidR="00AE3735" w:rsidRPr="002019B2" w:rsidTr="007C7B54">
        <w:trPr>
          <w:tblHeader/>
        </w:trPr>
        <w:tc>
          <w:tcPr>
            <w:tcW w:w="1170" w:type="pct"/>
            <w:tcBorders>
              <w:top w:val="nil"/>
              <w:bottom w:val="nil"/>
            </w:tcBorders>
            <w:shd w:val="clear" w:color="auto" w:fill="auto"/>
          </w:tcPr>
          <w:p w:rsidR="00AE3735" w:rsidRPr="002019B2" w:rsidRDefault="00AE3735" w:rsidP="00D6130A">
            <w:pPr>
              <w:pStyle w:val="Tabletext"/>
              <w:keepNext/>
              <w:keepLines/>
              <w:rPr>
                <w:szCs w:val="20"/>
              </w:rPr>
            </w:pPr>
            <w:r w:rsidRPr="002019B2">
              <w:rPr>
                <w:bCs/>
                <w:szCs w:val="20"/>
              </w:rPr>
              <w:t>TOF</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703"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c>
          <w:tcPr>
            <w:tcW w:w="625" w:type="pct"/>
            <w:tcBorders>
              <w:top w:val="nil"/>
              <w:bottom w:val="nil"/>
            </w:tcBorders>
            <w:shd w:val="clear" w:color="auto" w:fill="auto"/>
            <w:vAlign w:val="center"/>
          </w:tcPr>
          <w:p w:rsidR="00AE3735" w:rsidRPr="00176C48" w:rsidRDefault="00176C48" w:rsidP="00D6130A">
            <w:pPr>
              <w:pStyle w:val="Tabletext"/>
              <w:keepNext/>
              <w:keepLines/>
              <w:jc w:val="center"/>
              <w:rPr>
                <w:highlight w:val="black"/>
              </w:rPr>
            </w:pPr>
            <w:r>
              <w:rPr>
                <w:rFonts w:cs="Arial"/>
                <w:noProof/>
                <w:color w:val="000000"/>
                <w:szCs w:val="20"/>
                <w:highlight w:val="black"/>
                <w:lang w:eastAsia="en-AU"/>
              </w:rPr>
              <w:t>'''''''''''''''''</w:t>
            </w:r>
          </w:p>
        </w:tc>
      </w:tr>
      <w:tr w:rsidR="00AE3735" w:rsidRPr="002019B2" w:rsidTr="007C7B54">
        <w:trPr>
          <w:tblHeader/>
        </w:trPr>
        <w:tc>
          <w:tcPr>
            <w:tcW w:w="1170" w:type="pct"/>
            <w:tcBorders>
              <w:top w:val="nil"/>
              <w:bottom w:val="single" w:sz="4" w:space="0" w:color="auto"/>
            </w:tcBorders>
            <w:shd w:val="clear" w:color="auto" w:fill="auto"/>
          </w:tcPr>
          <w:p w:rsidR="00AE3735" w:rsidRPr="002019B2" w:rsidRDefault="00AE3735" w:rsidP="00D6130A">
            <w:pPr>
              <w:pStyle w:val="Tabletext"/>
              <w:keepNext/>
              <w:keepLines/>
              <w:rPr>
                <w:szCs w:val="20"/>
              </w:rPr>
            </w:pPr>
            <w:r w:rsidRPr="002019B2">
              <w:rPr>
                <w:szCs w:val="20"/>
              </w:rPr>
              <w:t>Total other bDMARDs</w:t>
            </w:r>
          </w:p>
        </w:tc>
        <w:tc>
          <w:tcPr>
            <w:tcW w:w="625" w:type="pct"/>
            <w:tcBorders>
              <w:top w:val="nil"/>
              <w:bottom w:val="single" w:sz="4" w:space="0" w:color="auto"/>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c>
          <w:tcPr>
            <w:tcW w:w="625" w:type="pct"/>
            <w:tcBorders>
              <w:top w:val="nil"/>
              <w:bottom w:val="single" w:sz="4" w:space="0" w:color="auto"/>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c>
          <w:tcPr>
            <w:tcW w:w="703" w:type="pct"/>
            <w:tcBorders>
              <w:top w:val="nil"/>
              <w:bottom w:val="single" w:sz="4" w:space="0" w:color="auto"/>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c>
          <w:tcPr>
            <w:tcW w:w="625" w:type="pct"/>
            <w:tcBorders>
              <w:top w:val="nil"/>
              <w:bottom w:val="single" w:sz="4" w:space="0" w:color="auto"/>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c>
          <w:tcPr>
            <w:tcW w:w="625" w:type="pct"/>
            <w:tcBorders>
              <w:top w:val="nil"/>
              <w:bottom w:val="single" w:sz="4" w:space="0" w:color="auto"/>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c>
          <w:tcPr>
            <w:tcW w:w="625" w:type="pct"/>
            <w:tcBorders>
              <w:top w:val="nil"/>
              <w:bottom w:val="single" w:sz="4" w:space="0" w:color="auto"/>
            </w:tcBorders>
            <w:shd w:val="clear" w:color="auto" w:fill="auto"/>
          </w:tcPr>
          <w:p w:rsidR="00AE3735" w:rsidRPr="00176C48" w:rsidRDefault="00176C48" w:rsidP="00D6130A">
            <w:pPr>
              <w:pStyle w:val="Tabletext"/>
              <w:keepNext/>
              <w:keepLines/>
              <w:jc w:val="center"/>
              <w:rPr>
                <w:iCs/>
                <w:highlight w:val="black"/>
              </w:rPr>
            </w:pPr>
            <w:r>
              <w:rPr>
                <w:noProof/>
                <w:color w:val="000000"/>
                <w:highlight w:val="black"/>
              </w:rPr>
              <w:t>''''''''''''''''''</w:t>
            </w:r>
          </w:p>
        </w:tc>
      </w:tr>
      <w:tr w:rsidR="00AE3735" w:rsidRPr="002019B2" w:rsidTr="007C7B54">
        <w:trPr>
          <w:tblHeader/>
        </w:trPr>
        <w:tc>
          <w:tcPr>
            <w:tcW w:w="1170" w:type="pct"/>
            <w:tcBorders>
              <w:bottom w:val="nil"/>
            </w:tcBorders>
            <w:shd w:val="clear" w:color="auto" w:fill="auto"/>
          </w:tcPr>
          <w:p w:rsidR="00AE3735" w:rsidRPr="002019B2" w:rsidRDefault="00AE3735" w:rsidP="00D6130A">
            <w:pPr>
              <w:pStyle w:val="Tabletext"/>
              <w:keepNext/>
              <w:keepLines/>
              <w:rPr>
                <w:szCs w:val="20"/>
              </w:rPr>
            </w:pPr>
            <w:r w:rsidRPr="002019B2">
              <w:rPr>
                <w:bCs/>
                <w:szCs w:val="20"/>
              </w:rPr>
              <w:t>ABA SC</w:t>
            </w:r>
          </w:p>
        </w:tc>
        <w:tc>
          <w:tcPr>
            <w:tcW w:w="625" w:type="pct"/>
            <w:tcBorders>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703" w:type="pct"/>
            <w:tcBorders>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r>
      <w:tr w:rsidR="00AE3735" w:rsidRPr="002019B2" w:rsidTr="007C7B54">
        <w:trPr>
          <w:tblHeader/>
        </w:trPr>
        <w:tc>
          <w:tcPr>
            <w:tcW w:w="1170" w:type="pct"/>
            <w:tcBorders>
              <w:top w:val="nil"/>
              <w:bottom w:val="nil"/>
            </w:tcBorders>
            <w:shd w:val="clear" w:color="auto" w:fill="auto"/>
          </w:tcPr>
          <w:p w:rsidR="00AE3735" w:rsidRPr="002019B2" w:rsidRDefault="00AE3735" w:rsidP="00D6130A">
            <w:pPr>
              <w:pStyle w:val="Tabletext"/>
              <w:keepNext/>
              <w:keepLines/>
              <w:rPr>
                <w:szCs w:val="20"/>
              </w:rPr>
            </w:pPr>
            <w:r w:rsidRPr="002019B2">
              <w:rPr>
                <w:bCs/>
                <w:szCs w:val="20"/>
              </w:rPr>
              <w:t>ADA</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703"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r>
      <w:tr w:rsidR="00AE3735" w:rsidRPr="002019B2" w:rsidTr="007C7B54">
        <w:trPr>
          <w:trHeight w:val="90"/>
          <w:tblHeader/>
        </w:trPr>
        <w:tc>
          <w:tcPr>
            <w:tcW w:w="1170" w:type="pct"/>
            <w:tcBorders>
              <w:top w:val="nil"/>
              <w:bottom w:val="nil"/>
            </w:tcBorders>
            <w:shd w:val="clear" w:color="auto" w:fill="auto"/>
          </w:tcPr>
          <w:p w:rsidR="00AE3735" w:rsidRPr="002019B2" w:rsidRDefault="00AE3735" w:rsidP="00D6130A">
            <w:pPr>
              <w:pStyle w:val="Tabletext"/>
              <w:keepNext/>
              <w:keepLines/>
              <w:rPr>
                <w:szCs w:val="20"/>
              </w:rPr>
            </w:pPr>
            <w:r w:rsidRPr="002019B2">
              <w:rPr>
                <w:bCs/>
                <w:szCs w:val="20"/>
              </w:rPr>
              <w:t>BARI</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703"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r>
      <w:tr w:rsidR="00AE3735" w:rsidRPr="002019B2" w:rsidTr="007C7B54">
        <w:trPr>
          <w:tblHeader/>
        </w:trPr>
        <w:tc>
          <w:tcPr>
            <w:tcW w:w="1170" w:type="pct"/>
            <w:tcBorders>
              <w:top w:val="nil"/>
              <w:bottom w:val="nil"/>
            </w:tcBorders>
            <w:shd w:val="clear" w:color="auto" w:fill="auto"/>
          </w:tcPr>
          <w:p w:rsidR="00AE3735" w:rsidRPr="002019B2" w:rsidRDefault="00AE3735" w:rsidP="00D6130A">
            <w:pPr>
              <w:pStyle w:val="Tabletext"/>
              <w:keepNext/>
              <w:keepLines/>
              <w:rPr>
                <w:szCs w:val="20"/>
              </w:rPr>
            </w:pPr>
            <w:r w:rsidRPr="002019B2">
              <w:rPr>
                <w:bCs/>
                <w:szCs w:val="20"/>
              </w:rPr>
              <w:t>ETA</w:t>
            </w:r>
          </w:p>
        </w:tc>
        <w:tc>
          <w:tcPr>
            <w:tcW w:w="625" w:type="pct"/>
            <w:tcBorders>
              <w:top w:val="nil"/>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703" w:type="pct"/>
            <w:tcBorders>
              <w:top w:val="nil"/>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r>
      <w:tr w:rsidR="00AE3735" w:rsidRPr="002019B2" w:rsidTr="007C7B54">
        <w:trPr>
          <w:tblHeader/>
        </w:trPr>
        <w:tc>
          <w:tcPr>
            <w:tcW w:w="1170" w:type="pct"/>
            <w:tcBorders>
              <w:top w:val="nil"/>
              <w:bottom w:val="nil"/>
            </w:tcBorders>
            <w:shd w:val="clear" w:color="auto" w:fill="auto"/>
          </w:tcPr>
          <w:p w:rsidR="00AE3735" w:rsidRPr="002019B2" w:rsidRDefault="00AE3735" w:rsidP="00D6130A">
            <w:pPr>
              <w:pStyle w:val="Tabletext"/>
              <w:keepNext/>
              <w:keepLines/>
              <w:rPr>
                <w:szCs w:val="20"/>
              </w:rPr>
            </w:pPr>
            <w:r w:rsidRPr="002019B2">
              <w:rPr>
                <w:bCs/>
                <w:szCs w:val="20"/>
              </w:rPr>
              <w:t>TOC SC</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703"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r>
      <w:tr w:rsidR="00AE3735" w:rsidRPr="002019B2" w:rsidTr="007C7B54">
        <w:trPr>
          <w:tblHeader/>
        </w:trPr>
        <w:tc>
          <w:tcPr>
            <w:tcW w:w="1170" w:type="pct"/>
            <w:tcBorders>
              <w:top w:val="nil"/>
              <w:bottom w:val="nil"/>
            </w:tcBorders>
            <w:shd w:val="clear" w:color="auto" w:fill="auto"/>
          </w:tcPr>
          <w:p w:rsidR="00AE3735" w:rsidRPr="002019B2" w:rsidRDefault="00AE3735" w:rsidP="00D6130A">
            <w:pPr>
              <w:pStyle w:val="Tabletext"/>
              <w:keepNext/>
              <w:keepLines/>
              <w:rPr>
                <w:szCs w:val="20"/>
              </w:rPr>
            </w:pPr>
            <w:r w:rsidRPr="002019B2">
              <w:rPr>
                <w:bCs/>
                <w:szCs w:val="20"/>
              </w:rPr>
              <w:t>TOF</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703"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c>
          <w:tcPr>
            <w:tcW w:w="625" w:type="pct"/>
            <w:tcBorders>
              <w:top w:val="nil"/>
              <w:bottom w:val="nil"/>
            </w:tcBorders>
            <w:shd w:val="clear" w:color="auto" w:fill="auto"/>
          </w:tcPr>
          <w:p w:rsidR="00AE3735" w:rsidRPr="00176C48" w:rsidRDefault="00AE3735" w:rsidP="00D6130A">
            <w:pPr>
              <w:pStyle w:val="Tabletext"/>
              <w:keepNext/>
              <w:keepLines/>
              <w:jc w:val="center"/>
            </w:pPr>
            <w:r w:rsidRPr="00075805">
              <w:t>-$</w:t>
            </w:r>
            <w:r w:rsidR="00176C48">
              <w:rPr>
                <w:noProof/>
                <w:color w:val="000000"/>
                <w:highlight w:val="black"/>
              </w:rPr>
              <w:t>'''''''''''''''''''''''''''</w:t>
            </w:r>
          </w:p>
        </w:tc>
      </w:tr>
      <w:tr w:rsidR="00AE3735" w:rsidRPr="002019B2" w:rsidTr="007C7B54">
        <w:trPr>
          <w:tblHeader/>
        </w:trPr>
        <w:tc>
          <w:tcPr>
            <w:tcW w:w="1170" w:type="pct"/>
            <w:tcBorders>
              <w:top w:val="nil"/>
            </w:tcBorders>
            <w:shd w:val="clear" w:color="auto" w:fill="auto"/>
            <w:vAlign w:val="center"/>
          </w:tcPr>
          <w:p w:rsidR="00AE3735" w:rsidRPr="002019B2" w:rsidRDefault="00AE3735" w:rsidP="00D6130A">
            <w:pPr>
              <w:pStyle w:val="Tabletext"/>
              <w:keepNext/>
              <w:keepLines/>
            </w:pPr>
            <w:r w:rsidRPr="002019B2">
              <w:t>Net cost PBS/RPBS (less co-pay), bDMARDs</w:t>
            </w:r>
          </w:p>
        </w:tc>
        <w:tc>
          <w:tcPr>
            <w:tcW w:w="625" w:type="pct"/>
            <w:tcBorders>
              <w:top w:val="nil"/>
            </w:tcBorders>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top w:val="nil"/>
            </w:tcBorders>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703" w:type="pct"/>
            <w:tcBorders>
              <w:top w:val="nil"/>
            </w:tcBorders>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top w:val="nil"/>
            </w:tcBorders>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top w:val="nil"/>
            </w:tcBorders>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tcBorders>
              <w:top w:val="nil"/>
            </w:tcBorders>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r>
      <w:tr w:rsidR="00AE3735" w:rsidRPr="002019B2" w:rsidTr="007C7B54">
        <w:trPr>
          <w:tblHeader/>
        </w:trPr>
        <w:tc>
          <w:tcPr>
            <w:tcW w:w="5000" w:type="pct"/>
            <w:gridSpan w:val="7"/>
            <w:shd w:val="clear" w:color="auto" w:fill="auto"/>
            <w:vAlign w:val="center"/>
          </w:tcPr>
          <w:p w:rsidR="00AE3735" w:rsidRPr="002019B2" w:rsidRDefault="00AE3735" w:rsidP="00D6130A">
            <w:pPr>
              <w:pStyle w:val="Tabletext"/>
              <w:keepNext/>
              <w:keepLines/>
              <w:rPr>
                <w:bCs/>
              </w:rPr>
            </w:pPr>
            <w:r w:rsidRPr="002019B2">
              <w:rPr>
                <w:b/>
                <w:bCs/>
              </w:rPr>
              <w:t>4.4 Estimated financial implications for the PBS/RPBS</w:t>
            </w:r>
            <w:r w:rsidR="003D5CED" w:rsidRPr="002019B2">
              <w:rPr>
                <w:b/>
                <w:bCs/>
                <w:vertAlign w:val="superscript"/>
              </w:rPr>
              <w:t>#</w:t>
            </w:r>
          </w:p>
        </w:tc>
      </w:tr>
      <w:tr w:rsidR="00AE3735" w:rsidRPr="002019B2" w:rsidTr="007C7B54">
        <w:trPr>
          <w:trHeight w:val="70"/>
          <w:tblHeader/>
        </w:trPr>
        <w:tc>
          <w:tcPr>
            <w:tcW w:w="1170" w:type="pct"/>
            <w:shd w:val="clear" w:color="auto" w:fill="auto"/>
            <w:vAlign w:val="center"/>
          </w:tcPr>
          <w:p w:rsidR="00AE3735" w:rsidRPr="002019B2" w:rsidRDefault="00AE3735" w:rsidP="00D6130A">
            <w:pPr>
              <w:pStyle w:val="Tabletext"/>
              <w:keepNext/>
              <w:keepLines/>
            </w:pPr>
            <w:r w:rsidRPr="002019B2">
              <w:t>Net Cost PBS/RPBS (less co-payment)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703"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r>
      <w:tr w:rsidR="00AE3735" w:rsidRPr="002019B2" w:rsidTr="007C7B54">
        <w:trPr>
          <w:tblHeader/>
        </w:trPr>
        <w:tc>
          <w:tcPr>
            <w:tcW w:w="5000" w:type="pct"/>
            <w:gridSpan w:val="7"/>
            <w:shd w:val="clear" w:color="auto" w:fill="auto"/>
            <w:vAlign w:val="center"/>
          </w:tcPr>
          <w:p w:rsidR="00AE3735" w:rsidRPr="002019B2" w:rsidRDefault="00AE3735" w:rsidP="00D6130A">
            <w:pPr>
              <w:pStyle w:val="Tabletext"/>
              <w:keepNext/>
              <w:keepLines/>
              <w:rPr>
                <w:b/>
                <w:bCs/>
              </w:rPr>
            </w:pPr>
            <w:r w:rsidRPr="002019B2">
              <w:rPr>
                <w:b/>
                <w:bCs/>
              </w:rPr>
              <w:t>4.5 Estimated financial implications for the health budget</w:t>
            </w:r>
          </w:p>
        </w:tc>
      </w:tr>
      <w:tr w:rsidR="00AE3735" w:rsidRPr="002019B2" w:rsidTr="007C7B54">
        <w:trPr>
          <w:tblHeader/>
        </w:trPr>
        <w:tc>
          <w:tcPr>
            <w:tcW w:w="1170" w:type="pct"/>
            <w:shd w:val="clear" w:color="auto" w:fill="auto"/>
            <w:vAlign w:val="center"/>
          </w:tcPr>
          <w:p w:rsidR="00AE3735" w:rsidRPr="002019B2" w:rsidRDefault="00AE3735" w:rsidP="00D6130A">
            <w:pPr>
              <w:pStyle w:val="Tabletext"/>
              <w:keepNext/>
              <w:keepLines/>
            </w:pPr>
            <w:r w:rsidRPr="002019B2">
              <w:t>Net cost to health budget (less co-payment)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703"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c>
          <w:tcPr>
            <w:tcW w:w="625" w:type="pct"/>
            <w:shd w:val="clear" w:color="auto" w:fill="auto"/>
            <w:vAlign w:val="center"/>
          </w:tcPr>
          <w:p w:rsidR="00AE3735" w:rsidRPr="00176C48" w:rsidRDefault="00AE3735" w:rsidP="00D6130A">
            <w:pPr>
              <w:pStyle w:val="Tabletext"/>
              <w:keepNext/>
              <w:keepLines/>
              <w:jc w:val="center"/>
              <w:rPr>
                <w:iCs/>
              </w:rPr>
            </w:pPr>
            <w:r w:rsidRPr="00075805">
              <w:t>$</w:t>
            </w:r>
            <w:r w:rsidR="00176C48">
              <w:rPr>
                <w:noProof/>
                <w:color w:val="000000"/>
                <w:highlight w:val="black"/>
              </w:rPr>
              <w:t>''''''''''''''''''''''''</w:t>
            </w:r>
          </w:p>
        </w:tc>
      </w:tr>
    </w:tbl>
    <w:p w:rsidR="00826574" w:rsidRPr="002019B2" w:rsidRDefault="00826574" w:rsidP="00D6130A">
      <w:pPr>
        <w:pStyle w:val="TableFooter"/>
        <w:keepNext/>
        <w:keepLines/>
      </w:pPr>
      <w:r w:rsidRPr="002019B2">
        <w:t>Abbreviations: ABA=abatacept, ADA=adalimumab, BARI=baricitinib, bDMARDs=biological disease modifying antirheumatic drug, ETA=etanercept, TOC=tocilizumab, TOF=tofacitinib, SC=subcutaneous</w:t>
      </w:r>
    </w:p>
    <w:p w:rsidR="003D5CED" w:rsidRPr="002019B2" w:rsidRDefault="003D5CED" w:rsidP="00D6130A">
      <w:pPr>
        <w:pStyle w:val="TableFooter"/>
        <w:keepNext/>
        <w:keepLines/>
      </w:pPr>
      <w:r w:rsidRPr="002019B2">
        <w:rPr>
          <w:vertAlign w:val="superscript"/>
        </w:rPr>
        <w:t xml:space="preserve"># </w:t>
      </w:r>
      <w:r w:rsidRPr="002019B2">
        <w:t>The submission made some coding errors in the calculation of the Net cost to PBS/RPBS (less co-payments)</w:t>
      </w:r>
    </w:p>
    <w:p w:rsidR="00826574" w:rsidRPr="002019B2" w:rsidRDefault="00826574" w:rsidP="00D6130A">
      <w:pPr>
        <w:pStyle w:val="TableFooter"/>
        <w:keepNext/>
        <w:keepLines/>
      </w:pPr>
      <w:r w:rsidRPr="002019B2">
        <w:t xml:space="preserve">Source: Compiled during the evaluation from Section 4 workbook </w:t>
      </w:r>
    </w:p>
    <w:p w:rsidR="00AE3735" w:rsidRDefault="00AE3735" w:rsidP="00C25D9C">
      <w:pPr>
        <w:widowControl/>
      </w:pPr>
    </w:p>
    <w:p w:rsidR="00E748BD" w:rsidRDefault="00E748BD" w:rsidP="00C25D9C">
      <w:pPr>
        <w:widowControl/>
      </w:pPr>
      <w:r>
        <w:t xml:space="preserve">The redacted table shows that at year </w:t>
      </w:r>
      <w:r w:rsidR="00E0413E">
        <w:t>6, the estimated number of scripts was 50,000-100,000 per year and the net cost to the PBS would be $20 - $30 million.</w:t>
      </w:r>
    </w:p>
    <w:p w:rsidR="00E0413E" w:rsidRPr="002019B2" w:rsidRDefault="00E0413E" w:rsidP="00C25D9C">
      <w:pPr>
        <w:widowControl/>
      </w:pPr>
    </w:p>
    <w:p w:rsidR="00BC58B0" w:rsidRPr="002019B2" w:rsidRDefault="0000383B" w:rsidP="00123D0F">
      <w:pPr>
        <w:pStyle w:val="ListParagraph"/>
        <w:widowControl/>
        <w:numPr>
          <w:ilvl w:val="1"/>
          <w:numId w:val="9"/>
        </w:numPr>
        <w:spacing w:after="120"/>
        <w:ind w:left="720" w:hanging="720"/>
      </w:pPr>
      <w:r w:rsidRPr="002019B2">
        <w:t>The PBAC noted that t</w:t>
      </w:r>
      <w:r w:rsidR="005900E6" w:rsidRPr="002019B2">
        <w:t xml:space="preserve">he estimated net cost to the government of </w:t>
      </w:r>
      <w:r w:rsidR="00FA1564">
        <w:t xml:space="preserve">$20-$30 million </w:t>
      </w:r>
      <w:r w:rsidR="005900E6" w:rsidRPr="002019B2">
        <w:t>over six years was not reliable and an artefact of using published rather than effective prices of substituted therapies.</w:t>
      </w:r>
      <w:r w:rsidR="00BC58B0" w:rsidRPr="002019B2">
        <w:t xml:space="preserve"> Assuming UPA were to be listed on a cost-minimisation basis to the least costly</w:t>
      </w:r>
      <w:r w:rsidR="00DD312D" w:rsidRPr="002019B2">
        <w:t xml:space="preserve"> alternative therapy</w:t>
      </w:r>
      <w:r w:rsidR="00BC58B0" w:rsidRPr="002019B2">
        <w:t xml:space="preserve"> and current market growth was unchanged, then the requested listing would </w:t>
      </w:r>
      <w:r w:rsidR="00B95480" w:rsidRPr="002019B2">
        <w:t>likely be cost neutral to</w:t>
      </w:r>
      <w:r w:rsidR="00BC58B0" w:rsidRPr="002019B2">
        <w:t xml:space="preserve"> the PBS/RPBS</w:t>
      </w:r>
      <w:r w:rsidR="00D85371" w:rsidRPr="002019B2">
        <w:t>, however it was noted that there may be additional cost to the PBS from grandfathering of patients in the first 12 months of listing</w:t>
      </w:r>
      <w:r w:rsidR="00BC58B0" w:rsidRPr="002019B2">
        <w:t>.</w:t>
      </w:r>
    </w:p>
    <w:p w:rsidR="00576972" w:rsidRPr="002019B2" w:rsidRDefault="00576972" w:rsidP="00BC58B0">
      <w:pPr>
        <w:widowControl/>
      </w:pPr>
    </w:p>
    <w:p w:rsidR="00576972" w:rsidRPr="002019B2" w:rsidRDefault="00576972" w:rsidP="00C9624D">
      <w:pPr>
        <w:pStyle w:val="Heading2"/>
      </w:pPr>
      <w:bookmarkStart w:id="16" w:name="_Toc19709482"/>
      <w:r w:rsidRPr="002019B2">
        <w:t>Quality Use of Medicines</w:t>
      </w:r>
      <w:bookmarkEnd w:id="16"/>
    </w:p>
    <w:p w:rsidR="00576972" w:rsidRPr="002019B2" w:rsidRDefault="00576972" w:rsidP="00576972">
      <w:pPr>
        <w:widowControl/>
      </w:pPr>
    </w:p>
    <w:p w:rsidR="00576972" w:rsidRPr="002019B2" w:rsidRDefault="00E77210" w:rsidP="00123D0F">
      <w:pPr>
        <w:pStyle w:val="ListParagraph"/>
        <w:widowControl/>
        <w:numPr>
          <w:ilvl w:val="1"/>
          <w:numId w:val="9"/>
        </w:numPr>
        <w:spacing w:after="120"/>
        <w:ind w:left="720" w:hanging="720"/>
      </w:pPr>
      <w:r w:rsidRPr="002019B2">
        <w:t>The submission provided a risk management plan, including an Australian-specific annex. This include</w:t>
      </w:r>
      <w:r w:rsidR="000500A6" w:rsidRPr="002019B2">
        <w:t>d</w:t>
      </w:r>
      <w:r w:rsidRPr="002019B2">
        <w:t xml:space="preserve"> pharmacovigilance activities, risk minimisation plan, and the </w:t>
      </w:r>
      <w:r w:rsidRPr="002019B2">
        <w:lastRenderedPageBreak/>
        <w:t>responsible contact person</w:t>
      </w:r>
      <w:r w:rsidR="00E554E8" w:rsidRPr="002019B2">
        <w:t xml:space="preserve"> for important and identified risks (e.g. serious infections, herpes zoster and MACE)</w:t>
      </w:r>
      <w:r w:rsidRPr="002019B2">
        <w:t>.</w:t>
      </w:r>
      <w:r w:rsidR="00E560CC" w:rsidRPr="002019B2">
        <w:t xml:space="preserve"> </w:t>
      </w:r>
      <w:r w:rsidRPr="002019B2">
        <w:t>The sponsor will provid</w:t>
      </w:r>
      <w:r w:rsidR="00E560CC" w:rsidRPr="002019B2">
        <w:t>e</w:t>
      </w:r>
      <w:r w:rsidRPr="002019B2">
        <w:t xml:space="preserve"> the AbbVie Care patient support program to support patients with managing their RA and treatment with </w:t>
      </w:r>
      <w:r w:rsidR="00FA6BF7" w:rsidRPr="002019B2">
        <w:t>UPA.</w:t>
      </w:r>
    </w:p>
    <w:p w:rsidR="00AA4988" w:rsidRPr="002019B2" w:rsidRDefault="00AA4988" w:rsidP="008A3C3E">
      <w:pPr>
        <w:widowControl/>
      </w:pPr>
    </w:p>
    <w:p w:rsidR="006147C4" w:rsidRPr="002019B2" w:rsidRDefault="006147C4" w:rsidP="006147C4">
      <w:pPr>
        <w:pStyle w:val="PBACHeading1"/>
        <w:rPr>
          <w:b w:val="0"/>
          <w:i/>
          <w:sz w:val="24"/>
        </w:rPr>
      </w:pPr>
      <w:r w:rsidRPr="002019B2">
        <w:rPr>
          <w:b w:val="0"/>
          <w:i/>
          <w:sz w:val="24"/>
        </w:rPr>
        <w:t>For more detail on PBAC’s view, see section 7 PBAC outcome.</w:t>
      </w:r>
    </w:p>
    <w:p w:rsidR="009F10CB" w:rsidRPr="00EB65D0" w:rsidRDefault="0087351A" w:rsidP="00EB65D0">
      <w:pPr>
        <w:pStyle w:val="PBACHeading1"/>
        <w:keepNext/>
        <w:keepLines/>
        <w:numPr>
          <w:ilvl w:val="0"/>
          <w:numId w:val="1"/>
        </w:numPr>
        <w:spacing w:before="240" w:after="120"/>
        <w:ind w:left="709" w:hanging="709"/>
        <w:jc w:val="both"/>
        <w:outlineLvl w:val="0"/>
        <w:rPr>
          <w:rFonts w:cs="Times New Roman"/>
          <w:snapToGrid/>
          <w:szCs w:val="28"/>
        </w:rPr>
      </w:pPr>
      <w:r w:rsidRPr="002019B2">
        <w:rPr>
          <w:rFonts w:cs="Times New Roman"/>
          <w:snapToGrid/>
          <w:szCs w:val="28"/>
        </w:rPr>
        <w:t>PBAC Outcome</w:t>
      </w:r>
    </w:p>
    <w:p w:rsidR="009F10CB" w:rsidRPr="002019B2" w:rsidRDefault="009F10CB" w:rsidP="009F10CB">
      <w:pPr>
        <w:pStyle w:val="ListParagraph"/>
        <w:widowControl/>
        <w:numPr>
          <w:ilvl w:val="1"/>
          <w:numId w:val="16"/>
        </w:numPr>
        <w:spacing w:after="120"/>
      </w:pPr>
      <w:r w:rsidRPr="002019B2">
        <w:tab/>
        <w:t xml:space="preserve">The PBAC recommended the listing of upadacitinib (UPA) on a cost-minimisation basis </w:t>
      </w:r>
      <w:r w:rsidRPr="002019B2">
        <w:tab/>
        <w:t xml:space="preserve">against the least costly biological disease modifying anti-rheumatic drug (bDMARD) </w:t>
      </w:r>
      <w:r w:rsidRPr="002019B2">
        <w:tab/>
        <w:t xml:space="preserve">for rheumatoid arthritis (RA). In making this recommendation, the PBAC accepted any </w:t>
      </w:r>
      <w:r w:rsidRPr="002019B2">
        <w:tab/>
        <w:t>of the current PBS listed bDMARDs for RA could be an alternative therapy to UPA.</w:t>
      </w:r>
    </w:p>
    <w:p w:rsidR="003B4C5D" w:rsidRPr="002019B2" w:rsidRDefault="003B4C5D" w:rsidP="008C5D3A">
      <w:pPr>
        <w:pStyle w:val="ListParagraph"/>
        <w:widowControl/>
        <w:numPr>
          <w:ilvl w:val="1"/>
          <w:numId w:val="16"/>
        </w:numPr>
        <w:spacing w:after="120"/>
        <w:ind w:left="720" w:hanging="720"/>
      </w:pPr>
      <w:r w:rsidRPr="002019B2">
        <w:t>The PBAC considered the equi-effective doses between UPA (at a dose of 15 mg daily) and the alternative bDMARDs could be derived from the product information and with reference to the previously recommended equi-effective doses collated in the PBS Therapeutic Relativity Sheets.</w:t>
      </w:r>
      <w:r w:rsidR="00451BDE" w:rsidRPr="002019B2">
        <w:t xml:space="preserve"> The cost minimisation analysis should be conducted over two years using approved ex-manufacturer price</w:t>
      </w:r>
      <w:r w:rsidR="00B00F4B" w:rsidRPr="002019B2">
        <w:t>s</w:t>
      </w:r>
      <w:r w:rsidR="00451BDE" w:rsidRPr="002019B2">
        <w:t xml:space="preserve"> consistent with methodology previously accepted by the PBAC for bDMARDs. </w:t>
      </w:r>
    </w:p>
    <w:p w:rsidR="003B4C5D" w:rsidRPr="002019B2" w:rsidRDefault="003B4C5D" w:rsidP="008C5D3A">
      <w:pPr>
        <w:pStyle w:val="ListParagraph"/>
        <w:widowControl/>
        <w:numPr>
          <w:ilvl w:val="1"/>
          <w:numId w:val="16"/>
        </w:numPr>
        <w:spacing w:after="120"/>
        <w:ind w:left="720" w:hanging="720"/>
      </w:pPr>
      <w:r w:rsidRPr="002019B2">
        <w:rPr>
          <w:rFonts w:asciiTheme="minorHAnsi" w:hAnsiTheme="minorHAnsi"/>
          <w:bCs/>
        </w:rPr>
        <w:t xml:space="preserve">The PBAC noted that </w:t>
      </w:r>
      <w:r w:rsidR="00916D0C" w:rsidRPr="002019B2">
        <w:rPr>
          <w:rFonts w:asciiTheme="minorHAnsi" w:hAnsiTheme="minorHAnsi"/>
          <w:bCs/>
        </w:rPr>
        <w:t xml:space="preserve">10 </w:t>
      </w:r>
      <w:r w:rsidRPr="002019B2">
        <w:rPr>
          <w:rFonts w:asciiTheme="minorHAnsi" w:hAnsiTheme="minorHAnsi"/>
          <w:bCs/>
        </w:rPr>
        <w:t>alternative therapies were listed on the PBS for the treatment of RA at the time of consideration. The PBAC considered that while the clinical need for an additional treatment was low, the addition of another option  may be useful for some patients</w:t>
      </w:r>
    </w:p>
    <w:p w:rsidR="00916D0C" w:rsidRPr="002019B2" w:rsidRDefault="008C5D3A" w:rsidP="00916D0C">
      <w:pPr>
        <w:pStyle w:val="ListParagraph"/>
        <w:widowControl/>
        <w:numPr>
          <w:ilvl w:val="1"/>
          <w:numId w:val="16"/>
        </w:numPr>
        <w:spacing w:after="120"/>
        <w:ind w:left="720" w:hanging="720"/>
      </w:pPr>
      <w:r w:rsidRPr="002019B2">
        <w:t>The PBAC considered the nominated comparators of baricitinib (BARI) and adalimumab (ADA) were reasonable; however,</w:t>
      </w:r>
      <w:r w:rsidR="003B4C5D" w:rsidRPr="002019B2">
        <w:t xml:space="preserve"> noted any of </w:t>
      </w:r>
      <w:r w:rsidR="007B77FE" w:rsidRPr="002019B2">
        <w:t xml:space="preserve">the </w:t>
      </w:r>
      <w:r w:rsidR="003B4C5D" w:rsidRPr="002019B2">
        <w:t xml:space="preserve">bDMARDs currently listed on the PBS for RA were relevant alternative therapies. </w:t>
      </w:r>
    </w:p>
    <w:p w:rsidR="008C5D3A" w:rsidRPr="002019B2" w:rsidRDefault="008C5D3A" w:rsidP="00916D0C">
      <w:pPr>
        <w:pStyle w:val="ListParagraph"/>
        <w:widowControl/>
        <w:numPr>
          <w:ilvl w:val="1"/>
          <w:numId w:val="16"/>
        </w:numPr>
        <w:spacing w:after="120"/>
        <w:ind w:left="720" w:hanging="720"/>
      </w:pPr>
      <w:r w:rsidRPr="002019B2">
        <w:t>The PBAC considered the claims that UPA is non-inferior to BARI in terms of effectiveness and safety and non-inferior in terms of safety compared to ADA, were adequately supported by the clinical evidence presented in the submission. The PBAC considered the claim of superior effectiveness versus ADA</w:t>
      </w:r>
      <w:r w:rsidR="00916D0C" w:rsidRPr="002019B2">
        <w:t xml:space="preserve"> </w:t>
      </w:r>
      <w:r w:rsidRPr="002019B2">
        <w:t xml:space="preserve">was not fully supported by the evidence. </w:t>
      </w:r>
      <w:r w:rsidR="00916D0C" w:rsidRPr="002019B2">
        <w:t>The PBAC noted no evidence demonstrating superiority against any of the other alternative therapies was provided</w:t>
      </w:r>
      <w:r w:rsidR="002019B2">
        <w:t xml:space="preserve">. </w:t>
      </w:r>
    </w:p>
    <w:p w:rsidR="006304E4" w:rsidRPr="002019B2" w:rsidRDefault="00B43007" w:rsidP="00B43007">
      <w:pPr>
        <w:pStyle w:val="ListParagraph"/>
        <w:widowControl/>
        <w:numPr>
          <w:ilvl w:val="1"/>
          <w:numId w:val="16"/>
        </w:numPr>
        <w:spacing w:after="120"/>
        <w:ind w:left="720" w:hanging="720"/>
      </w:pPr>
      <w:r w:rsidRPr="002019B2">
        <w:t xml:space="preserve">The PBAC noted that the claim of superior effectiveness versus ADA was based on ACR50 results in the SELECT-COMPARE trial meeting the pre-specified tests for non-inferiority and then superiority of UPA versus ADA. </w:t>
      </w:r>
      <w:r w:rsidR="006304E4" w:rsidRPr="002019B2">
        <w:t>That is, the lower bound of the 95%</w:t>
      </w:r>
      <w:r w:rsidR="00ED27F2" w:rsidRPr="002019B2">
        <w:t xml:space="preserve"> confidence interval</w:t>
      </w:r>
      <w:r w:rsidR="006304E4" w:rsidRPr="002019B2">
        <w:t xml:space="preserve"> for the </w:t>
      </w:r>
      <w:r w:rsidR="002F642B" w:rsidRPr="002019B2">
        <w:t xml:space="preserve">risk difference </w:t>
      </w:r>
      <w:r w:rsidR="006304E4" w:rsidRPr="002019B2">
        <w:t>was larger than the nominated non-inferiority margin of -10%, and then larger than 0% (i.e. statistically significant) in accordance with the sequential testing procedure.</w:t>
      </w:r>
      <w:r w:rsidR="00297A21" w:rsidRPr="002019B2">
        <w:t xml:space="preserve"> </w:t>
      </w:r>
    </w:p>
    <w:p w:rsidR="001B6EA9" w:rsidRPr="001B6EA9" w:rsidRDefault="001B6EA9" w:rsidP="0087351A">
      <w:pPr>
        <w:pStyle w:val="ListParagraph"/>
        <w:widowControl/>
        <w:numPr>
          <w:ilvl w:val="1"/>
          <w:numId w:val="16"/>
        </w:numPr>
        <w:spacing w:after="120"/>
        <w:ind w:left="720" w:hanging="720"/>
      </w:pPr>
      <w:r w:rsidRPr="000843F1">
        <w:t xml:space="preserve">The PBAC noted that the 12 week ACR50 response rate in the SELECT-COMPARE trial was 16% higher </w:t>
      </w:r>
      <w:r w:rsidRPr="000843F1">
        <w:rPr>
          <w:lang w:val="en-GB"/>
        </w:rPr>
        <w:t xml:space="preserve">(with 95%CI 10-22%) for UPA versus ADA, which met the convention for statistical significance. However, the PBAC considered that a clinically relevant </w:t>
      </w:r>
      <w:r w:rsidRPr="000843F1">
        <w:rPr>
          <w:lang w:val="en-GB"/>
        </w:rPr>
        <w:lastRenderedPageBreak/>
        <w:t xml:space="preserve">difference in effectiveness of one agent over another requires consideration of the totality of evidence, which involves consideration of the quality of the relevant studies, durability of treatment effect and all relevant outcomes.  As such, the PBAC considered that a statistically significant result for ACR50 at 12-weeks in the SELECT-COMPARE trial was not sufficient, in isolation, to demonstrate/establish clinical superiority of UPA over ADA. </w:t>
      </w:r>
    </w:p>
    <w:p w:rsidR="00852C73" w:rsidRPr="002019B2" w:rsidRDefault="00852C73" w:rsidP="0087351A">
      <w:pPr>
        <w:pStyle w:val="ListParagraph"/>
        <w:widowControl/>
        <w:numPr>
          <w:ilvl w:val="1"/>
          <w:numId w:val="16"/>
        </w:numPr>
        <w:spacing w:after="120"/>
        <w:ind w:left="720" w:hanging="720"/>
      </w:pPr>
      <w:r w:rsidRPr="002019B2">
        <w:t>The PBAC</w:t>
      </w:r>
      <w:r w:rsidR="00C436C5" w:rsidRPr="002019B2">
        <w:t xml:space="preserve"> noted that the submission proposed a </w:t>
      </w:r>
      <w:r w:rsidRPr="002019B2">
        <w:t xml:space="preserve">grandfather clause to be incorporated into the listing </w:t>
      </w:r>
      <w:r w:rsidR="008D5B3A" w:rsidRPr="002019B2">
        <w:t>for</w:t>
      </w:r>
      <w:r w:rsidRPr="002019B2">
        <w:t xml:space="preserve"> approximately </w:t>
      </w:r>
      <w:r w:rsidR="00C92224">
        <w:t>&lt;500</w:t>
      </w:r>
      <w:r w:rsidRPr="002019B2">
        <w:t xml:space="preserve"> patients from a planned UPA Patient Familiarisation Program (PFP) and </w:t>
      </w:r>
      <w:r w:rsidR="00C92224">
        <w:t xml:space="preserve">&lt;500 </w:t>
      </w:r>
      <w:r w:rsidRPr="002019B2">
        <w:t>patients enrolled in the long-term extension phases of the UPA clinical trials who may not be eligible for</w:t>
      </w:r>
      <w:r w:rsidR="008D5B3A" w:rsidRPr="002019B2">
        <w:t xml:space="preserve"> PBS-subsidised</w:t>
      </w:r>
      <w:r w:rsidRPr="002019B2">
        <w:t xml:space="preserve"> treatment under the initial treatment criteria. </w:t>
      </w:r>
      <w:r w:rsidR="00360AAA" w:rsidRPr="002019B2">
        <w:t xml:space="preserve">The PBAC </w:t>
      </w:r>
      <w:r w:rsidR="009436AD" w:rsidRPr="002019B2">
        <w:t>considered that</w:t>
      </w:r>
      <w:r w:rsidR="00360AAA" w:rsidRPr="002019B2">
        <w:t xml:space="preserve"> the proposed grandfather clause</w:t>
      </w:r>
      <w:r w:rsidR="009436AD" w:rsidRPr="002019B2">
        <w:t xml:space="preserve"> was appropriate</w:t>
      </w:r>
      <w:r w:rsidR="00360AAA" w:rsidRPr="002019B2">
        <w:t xml:space="preserve">, and </w:t>
      </w:r>
      <w:r w:rsidR="009436AD" w:rsidRPr="002019B2">
        <w:t>that</w:t>
      </w:r>
      <w:r w:rsidR="00360AAA" w:rsidRPr="002019B2">
        <w:t xml:space="preserve"> its wording should align with the current listing</w:t>
      </w:r>
      <w:r w:rsidR="009436AD" w:rsidRPr="002019B2">
        <w:t>s</w:t>
      </w:r>
      <w:r w:rsidR="00360AAA" w:rsidRPr="002019B2">
        <w:t xml:space="preserve"> for BARI</w:t>
      </w:r>
      <w:r w:rsidR="00A41296" w:rsidRPr="002019B2">
        <w:t xml:space="preserve"> </w:t>
      </w:r>
      <w:r w:rsidR="00A41296" w:rsidRPr="002019B2">
        <w:rPr>
          <w:rFonts w:asciiTheme="minorHAnsi" w:hAnsiTheme="minorHAnsi"/>
          <w:bCs/>
        </w:rPr>
        <w:t>that the grandfather restriction be removed from the listing after 12 months in line with standard procedure</w:t>
      </w:r>
      <w:r w:rsidR="002019B2">
        <w:t xml:space="preserve">. </w:t>
      </w:r>
    </w:p>
    <w:p w:rsidR="005D4415" w:rsidRPr="002019B2" w:rsidRDefault="005D4415" w:rsidP="00615A80">
      <w:pPr>
        <w:pStyle w:val="ListParagraph"/>
        <w:widowControl/>
        <w:numPr>
          <w:ilvl w:val="1"/>
          <w:numId w:val="16"/>
        </w:numPr>
        <w:spacing w:after="120"/>
        <w:ind w:left="720" w:hanging="720"/>
      </w:pPr>
      <w:r w:rsidRPr="002019B2">
        <w:t>The PBAC considered that listing of UPA for RA based on a cost minimisation basis with the least costly bDMARD using effective prices would be cost-neutral to the PBS</w:t>
      </w:r>
      <w:r w:rsidR="00D85371" w:rsidRPr="002019B2">
        <w:t>, noting the potential for additional cost from the inclusion of grandfathered patients form the first 12 months of listing</w:t>
      </w:r>
      <w:r w:rsidRPr="002019B2">
        <w:t xml:space="preserve">. </w:t>
      </w:r>
    </w:p>
    <w:p w:rsidR="00A169FB" w:rsidRPr="002019B2" w:rsidRDefault="008464FE" w:rsidP="0087351A">
      <w:pPr>
        <w:pStyle w:val="ListParagraph"/>
        <w:widowControl/>
        <w:numPr>
          <w:ilvl w:val="1"/>
          <w:numId w:val="16"/>
        </w:numPr>
        <w:spacing w:after="120"/>
        <w:ind w:left="720" w:hanging="720"/>
      </w:pPr>
      <w:r w:rsidRPr="002019B2">
        <w:t xml:space="preserve">The PBAC </w:t>
      </w:r>
      <w:r w:rsidR="008D5B3A" w:rsidRPr="002019B2">
        <w:t>considered</w:t>
      </w:r>
      <w:r w:rsidRPr="002019B2">
        <w:t xml:space="preserve"> that </w:t>
      </w:r>
      <w:r w:rsidR="008D5B3A" w:rsidRPr="002019B2">
        <w:t>UPA</w:t>
      </w:r>
      <w:r w:rsidRPr="002019B2">
        <w:t xml:space="preserve"> is not suitable for prescribing by nurse practitioners.</w:t>
      </w:r>
    </w:p>
    <w:p w:rsidR="00852C73" w:rsidRPr="002019B2" w:rsidRDefault="008464FE" w:rsidP="00852C73">
      <w:pPr>
        <w:pStyle w:val="ListParagraph"/>
        <w:widowControl/>
        <w:numPr>
          <w:ilvl w:val="1"/>
          <w:numId w:val="16"/>
        </w:numPr>
        <w:spacing w:after="120"/>
        <w:ind w:left="720" w:hanging="720"/>
      </w:pPr>
      <w:r w:rsidRPr="002019B2">
        <w:t xml:space="preserve">The PBAC </w:t>
      </w:r>
      <w:r w:rsidR="008D5B3A" w:rsidRPr="002019B2">
        <w:t>considered</w:t>
      </w:r>
      <w:r w:rsidRPr="002019B2">
        <w:t xml:space="preserve"> that the Early Supply Rule should apply</w:t>
      </w:r>
      <w:r w:rsidR="008D5B3A" w:rsidRPr="002019B2">
        <w:t xml:space="preserve"> to UPA</w:t>
      </w:r>
      <w:r w:rsidRPr="002019B2">
        <w:t>.</w:t>
      </w:r>
    </w:p>
    <w:p w:rsidR="00000B3F" w:rsidRPr="002019B2" w:rsidRDefault="008464FE" w:rsidP="003D3308">
      <w:pPr>
        <w:pStyle w:val="ListParagraph"/>
        <w:widowControl/>
        <w:numPr>
          <w:ilvl w:val="1"/>
          <w:numId w:val="16"/>
        </w:numPr>
        <w:spacing w:after="120"/>
        <w:ind w:left="720" w:hanging="720"/>
      </w:pPr>
      <w:r w:rsidRPr="002019B2">
        <w:t xml:space="preserve">The PBAC advised that the restriction is complex and </w:t>
      </w:r>
      <w:r w:rsidR="00CB5C2C" w:rsidRPr="002019B2">
        <w:t xml:space="preserve">that the </w:t>
      </w:r>
      <w:r w:rsidR="00CB5C2C" w:rsidRPr="002019B2">
        <w:rPr>
          <w:rFonts w:asciiTheme="minorHAnsi" w:hAnsiTheme="minorHAnsi" w:cstheme="minorHAnsi"/>
          <w:color w:val="000000"/>
        </w:rPr>
        <w:t>listing of upadacitinib would result in flow-on changes to the Prescriber Instructions regarding the treatment of adult patients with severe active rheumatoid arthritis</w:t>
      </w:r>
      <w:r w:rsidRPr="002019B2">
        <w:t>.</w:t>
      </w:r>
    </w:p>
    <w:p w:rsidR="008464FE" w:rsidRPr="002019B2" w:rsidRDefault="008464FE" w:rsidP="0087351A">
      <w:pPr>
        <w:pStyle w:val="ListParagraph"/>
        <w:widowControl/>
        <w:numPr>
          <w:ilvl w:val="1"/>
          <w:numId w:val="16"/>
        </w:numPr>
        <w:spacing w:after="120"/>
        <w:ind w:left="720" w:hanging="720"/>
      </w:pPr>
      <w:r w:rsidRPr="002019B2">
        <w:t>The PBAC noted that this submission is not eligible for an Independent Review as it received a positive recommendation.</w:t>
      </w:r>
    </w:p>
    <w:p w:rsidR="008464FE" w:rsidRPr="002019B2" w:rsidRDefault="008464FE" w:rsidP="0087351A">
      <w:pPr>
        <w:pStyle w:val="ListParagraph"/>
        <w:widowControl/>
        <w:numPr>
          <w:ilvl w:val="1"/>
          <w:numId w:val="16"/>
        </w:numPr>
        <w:spacing w:after="120"/>
        <w:ind w:left="720" w:hanging="720"/>
      </w:pPr>
      <w:r w:rsidRPr="002019B2">
        <w:t>Under section 101(3BA) of the National Health Act 1953, the PBAC advised that upadacitinib should be treated as interchangeable on an individual patient basis with abatacept, adalimumab, baricitinib, certolizumab pegol, etanercept, golimumab, infliximab, rituximab, tocilizumab</w:t>
      </w:r>
      <w:r w:rsidR="00A41296" w:rsidRPr="002019B2">
        <w:t>, sarilumab</w:t>
      </w:r>
      <w:r w:rsidRPr="002019B2">
        <w:t xml:space="preserve"> and tofacitinib for the treatment of RA</w:t>
      </w:r>
      <w:r w:rsidR="008D5B3A" w:rsidRPr="002019B2">
        <w:t>.</w:t>
      </w:r>
      <w:r w:rsidRPr="002019B2">
        <w:t xml:space="preserve"> </w:t>
      </w:r>
    </w:p>
    <w:p w:rsidR="00427D6F" w:rsidRPr="002019B2" w:rsidRDefault="00427D6F" w:rsidP="00427D6F">
      <w:pPr>
        <w:pStyle w:val="ListParagraph"/>
        <w:widowControl/>
        <w:numPr>
          <w:ilvl w:val="1"/>
          <w:numId w:val="16"/>
        </w:numPr>
        <w:spacing w:after="120"/>
        <w:ind w:left="720" w:hanging="720"/>
      </w:pPr>
      <w:r w:rsidRPr="002019B2">
        <w:t xml:space="preserve">The PBAC noted that its recommendation was on a cost-minimisation basis and advised that, because </w:t>
      </w:r>
      <w:r w:rsidR="006A0570" w:rsidRPr="002019B2">
        <w:t xml:space="preserve">UPA </w:t>
      </w:r>
      <w:r w:rsidRPr="002019B2">
        <w:t>is not expected to provide a substantial and clinically relevant improvement in efficacy, or reduction of toxicity, over</w:t>
      </w:r>
      <w:r w:rsidR="00A41296" w:rsidRPr="002019B2">
        <w:t xml:space="preserve"> alternative therapies</w:t>
      </w:r>
      <w:r w:rsidRPr="002019B2">
        <w:t>, or not expected to address a high and urgent unmet clinical need given the presence of an alternative therapy, the criteria prescribed by the National Health (Pharmaceuticals and Vaccines – Cost Recovery) Regulations 2009 for Pricing Pathway A were not met.</w:t>
      </w:r>
    </w:p>
    <w:p w:rsidR="0087351A" w:rsidRPr="002019B2" w:rsidRDefault="0087351A" w:rsidP="0087351A">
      <w:pPr>
        <w:widowControl/>
        <w:spacing w:after="120"/>
        <w:ind w:left="720"/>
      </w:pPr>
    </w:p>
    <w:p w:rsidR="0087351A" w:rsidRPr="002019B2" w:rsidRDefault="0087351A" w:rsidP="00104BEE">
      <w:pPr>
        <w:widowControl/>
        <w:jc w:val="left"/>
        <w:rPr>
          <w:rFonts w:asciiTheme="minorHAnsi" w:hAnsiTheme="minorHAnsi"/>
          <w:b/>
          <w:bCs/>
        </w:rPr>
      </w:pPr>
      <w:r w:rsidRPr="002019B2">
        <w:rPr>
          <w:rFonts w:asciiTheme="minorHAnsi" w:hAnsiTheme="minorHAnsi"/>
          <w:b/>
          <w:bCs/>
        </w:rPr>
        <w:t>Outcome:</w:t>
      </w:r>
    </w:p>
    <w:p w:rsidR="001967DB" w:rsidRPr="002019B2" w:rsidRDefault="00C06504" w:rsidP="0087351A">
      <w:pPr>
        <w:rPr>
          <w:rFonts w:asciiTheme="minorHAnsi" w:hAnsiTheme="minorHAnsi"/>
          <w:bCs/>
        </w:rPr>
      </w:pPr>
      <w:r>
        <w:rPr>
          <w:rFonts w:asciiTheme="minorHAnsi" w:hAnsiTheme="minorHAnsi"/>
          <w:bCs/>
        </w:rPr>
        <w:lastRenderedPageBreak/>
        <w:t xml:space="preserve">Recommended </w:t>
      </w:r>
    </w:p>
    <w:p w:rsidR="0087351A" w:rsidRPr="002019B2" w:rsidRDefault="0087351A" w:rsidP="00EB65D0">
      <w:pPr>
        <w:pStyle w:val="Heading1"/>
        <w:keepNext/>
        <w:keepLines/>
        <w:widowControl/>
        <w:numPr>
          <w:ilvl w:val="0"/>
          <w:numId w:val="1"/>
        </w:numPr>
        <w:spacing w:before="240" w:after="120"/>
        <w:ind w:left="709" w:hanging="709"/>
        <w:rPr>
          <w:rFonts w:cs="Times New Roman"/>
          <w:caps w:val="0"/>
          <w:snapToGrid/>
          <w:szCs w:val="28"/>
        </w:rPr>
      </w:pPr>
      <w:r w:rsidRPr="002019B2">
        <w:rPr>
          <w:rFonts w:cs="Times New Roman"/>
          <w:caps w:val="0"/>
          <w:snapToGrid/>
          <w:szCs w:val="28"/>
        </w:rPr>
        <w:t>Recommended listing</w:t>
      </w:r>
    </w:p>
    <w:p w:rsidR="0087351A" w:rsidRPr="002019B2" w:rsidRDefault="0087351A" w:rsidP="0087351A">
      <w:pPr>
        <w:ind w:firstLine="720"/>
        <w:rPr>
          <w:rFonts w:asciiTheme="minorHAnsi" w:hAnsiTheme="minorHAnsi"/>
          <w:bCs/>
        </w:rPr>
      </w:pPr>
      <w:r w:rsidRPr="002019B2">
        <w:rPr>
          <w:rFonts w:asciiTheme="minorHAnsi" w:hAnsiTheme="minorHAnsi"/>
          <w:bCs/>
        </w:rPr>
        <w:t>Add new item:</w:t>
      </w:r>
    </w:p>
    <w:p w:rsidR="0088255B" w:rsidRPr="002019B2" w:rsidRDefault="0088255B" w:rsidP="0087351A">
      <w:pPr>
        <w:ind w:firstLine="720"/>
        <w:rPr>
          <w:rFonts w:asciiTheme="minorHAnsi" w:hAnsiTheme="minorHAnsi"/>
          <w:bCs/>
        </w:rPr>
      </w:pPr>
    </w:p>
    <w:p w:rsidR="006F7A0B" w:rsidRPr="002019B2" w:rsidRDefault="006F7A0B" w:rsidP="006F7A0B">
      <w:pPr>
        <w:rPr>
          <w:rFonts w:asciiTheme="minorHAnsi" w:hAnsiTheme="minorHAnsi" w:cstheme="minorHAnsi"/>
          <w:color w:val="000000"/>
        </w:rPr>
      </w:pPr>
      <w:r w:rsidRPr="002019B2">
        <w:rPr>
          <w:rFonts w:asciiTheme="minorHAnsi" w:hAnsiTheme="minorHAnsi" w:cstheme="minorHAnsi"/>
          <w:color w:val="000000"/>
        </w:rPr>
        <w:t>The submission requested the same restriction wording for upadacitinib as for the currently listed bDMARDS for rheumatoid arthritis; these restrictions have not been duplicated in full here.</w:t>
      </w:r>
    </w:p>
    <w:p w:rsidR="00A57899" w:rsidRPr="002019B2" w:rsidRDefault="00A57899" w:rsidP="006F7A0B">
      <w:pPr>
        <w:rPr>
          <w:rFonts w:asciiTheme="minorHAnsi" w:hAnsiTheme="minorHAnsi" w:cstheme="minorHAnsi"/>
          <w:color w:val="000000"/>
          <w:highlight w:val="yellow"/>
        </w:rPr>
      </w:pPr>
    </w:p>
    <w:p w:rsidR="00A57899" w:rsidRPr="002019B2" w:rsidRDefault="00A57899" w:rsidP="006F7A0B">
      <w:pPr>
        <w:rPr>
          <w:rFonts w:asciiTheme="minorHAnsi" w:hAnsiTheme="minorHAnsi" w:cstheme="minorHAnsi"/>
          <w:color w:val="000000"/>
        </w:rPr>
      </w:pPr>
      <w:r w:rsidRPr="002019B2">
        <w:rPr>
          <w:rFonts w:asciiTheme="minorHAnsi" w:hAnsiTheme="minorHAnsi" w:cstheme="minorHAnsi"/>
          <w:color w:val="000000"/>
        </w:rPr>
        <w:t>The listing of upadacitinib would result in flow-on changes to include upadacitinib in the administrative notes for other bDMARDS regarding the treatment of adult patients with severe active rheumatoid arthritis.</w:t>
      </w:r>
    </w:p>
    <w:p w:rsidR="006F7A0B" w:rsidRPr="002019B2" w:rsidRDefault="006F7A0B" w:rsidP="006F7A0B">
      <w:pPr>
        <w:rPr>
          <w:rFonts w:asciiTheme="minorHAnsi" w:hAnsiTheme="minorHAnsi" w:cstheme="minorHAnsi"/>
          <w:color w:val="000000"/>
        </w:rPr>
      </w:pPr>
    </w:p>
    <w:p w:rsidR="00066AD4" w:rsidRPr="00EB65D0" w:rsidRDefault="006F7A0B" w:rsidP="00EB65D0">
      <w:pPr>
        <w:rPr>
          <w:rFonts w:asciiTheme="minorHAnsi" w:hAnsiTheme="minorHAnsi" w:cstheme="minorHAnsi"/>
          <w:color w:val="000000"/>
        </w:rPr>
      </w:pPr>
      <w:r w:rsidRPr="002019B2">
        <w:rPr>
          <w:rFonts w:asciiTheme="minorHAnsi" w:hAnsiTheme="minorHAnsi" w:cstheme="minorHAnsi"/>
          <w:color w:val="000000"/>
        </w:rPr>
        <w:t>The PBAC recommended that the wording for the proposed grandfather restriction should align with that of the BARI listings; this restriction has not been duplicated here.</w:t>
      </w:r>
    </w:p>
    <w:p w:rsidR="00FA1564" w:rsidRPr="00EB65D0" w:rsidRDefault="00FA1564" w:rsidP="00EB65D0">
      <w:pPr>
        <w:pStyle w:val="Heading1"/>
        <w:keepNext/>
        <w:keepLines/>
        <w:widowControl/>
        <w:numPr>
          <w:ilvl w:val="0"/>
          <w:numId w:val="1"/>
        </w:numPr>
        <w:spacing w:before="240" w:after="120"/>
        <w:ind w:left="709" w:hanging="709"/>
        <w:rPr>
          <w:rFonts w:cs="Times New Roman"/>
          <w:caps w:val="0"/>
          <w:snapToGrid/>
          <w:szCs w:val="28"/>
        </w:rPr>
      </w:pPr>
      <w:r w:rsidRPr="00EB65D0">
        <w:rPr>
          <w:rFonts w:cs="Times New Roman"/>
          <w:caps w:val="0"/>
          <w:snapToGrid/>
          <w:szCs w:val="28"/>
        </w:rPr>
        <w:t xml:space="preserve">Context for Decision </w:t>
      </w:r>
    </w:p>
    <w:p w:rsidR="00FA1564" w:rsidRPr="008C56C9" w:rsidRDefault="00880709" w:rsidP="00FA1564">
      <w:pPr>
        <w:rPr>
          <w:rFonts w:asciiTheme="minorHAnsi" w:hAnsiTheme="minorHAnsi"/>
        </w:rPr>
      </w:pPr>
      <w:r w:rsidRPr="00880709">
        <w:rPr>
          <w:rFonts w:asciiTheme="minorHAnsi" w:hAnsiTheme="minorHAnsi"/>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FA1564" w:rsidRPr="00D53BD3" w:rsidRDefault="00FA1564" w:rsidP="001B6EA9">
      <w:pPr>
        <w:pStyle w:val="2Sections"/>
        <w:numPr>
          <w:ilvl w:val="0"/>
          <w:numId w:val="1"/>
        </w:numPr>
        <w:ind w:hanging="720"/>
      </w:pPr>
      <w:r w:rsidRPr="00D53BD3">
        <w:t>Sponsor’s Comment</w:t>
      </w:r>
    </w:p>
    <w:p w:rsidR="00B900F8" w:rsidRPr="00C1049E" w:rsidRDefault="008210EB" w:rsidP="00C1049E">
      <w:pPr>
        <w:spacing w:after="120" w:line="276" w:lineRule="auto"/>
        <w:rPr>
          <w:rFonts w:asciiTheme="minorHAnsi" w:eastAsiaTheme="minorHAnsi" w:hAnsiTheme="minorHAnsi"/>
          <w:bCs/>
        </w:rPr>
      </w:pPr>
      <w:r>
        <w:rPr>
          <w:rFonts w:asciiTheme="minorHAnsi" w:eastAsiaTheme="minorHAnsi" w:hAnsiTheme="minorHAnsi"/>
          <w:bCs/>
        </w:rPr>
        <w:t xml:space="preserve">AbbVie welcomes the decision of the PBAC in recommending upadacitinib for the treatment of patients with severe RA. AbbVie maintains that upadacitinib is superior to adalimumab as demonstrated in </w:t>
      </w:r>
      <w:r w:rsidR="001D7E95">
        <w:rPr>
          <w:rFonts w:asciiTheme="minorHAnsi" w:eastAsiaTheme="minorHAnsi" w:hAnsiTheme="minorHAnsi"/>
          <w:bCs/>
        </w:rPr>
        <w:t>head-to-head</w:t>
      </w:r>
      <w:r>
        <w:rPr>
          <w:rFonts w:asciiTheme="minorHAnsi" w:eastAsiaTheme="minorHAnsi" w:hAnsiTheme="minorHAnsi"/>
          <w:bCs/>
        </w:rPr>
        <w:t xml:space="preserve"> clinical trials and strongly disagrees with</w:t>
      </w:r>
      <w:r w:rsidRPr="00995B27">
        <w:rPr>
          <w:rFonts w:asciiTheme="minorHAnsi" w:eastAsiaTheme="minorHAnsi" w:hAnsiTheme="minorHAnsi"/>
          <w:bCs/>
        </w:rPr>
        <w:t xml:space="preserve"> the </w:t>
      </w:r>
      <w:r>
        <w:rPr>
          <w:rFonts w:asciiTheme="minorHAnsi" w:eastAsiaTheme="minorHAnsi" w:hAnsiTheme="minorHAnsi"/>
          <w:bCs/>
        </w:rPr>
        <w:t>methodology</w:t>
      </w:r>
      <w:r w:rsidRPr="00995B27">
        <w:rPr>
          <w:rFonts w:asciiTheme="minorHAnsi" w:eastAsiaTheme="minorHAnsi" w:hAnsiTheme="minorHAnsi"/>
          <w:bCs/>
        </w:rPr>
        <w:t xml:space="preserve"> of </w:t>
      </w:r>
      <w:r>
        <w:rPr>
          <w:rFonts w:asciiTheme="minorHAnsi" w:eastAsiaTheme="minorHAnsi" w:hAnsiTheme="minorHAnsi"/>
          <w:bCs/>
        </w:rPr>
        <w:t>using</w:t>
      </w:r>
      <w:r w:rsidRPr="00995B27">
        <w:rPr>
          <w:rFonts w:asciiTheme="minorHAnsi" w:eastAsiaTheme="minorHAnsi" w:hAnsiTheme="minorHAnsi"/>
          <w:bCs/>
        </w:rPr>
        <w:t xml:space="preserve"> the inverse of the non-inferiority margin to determine superiority. This methodology </w:t>
      </w:r>
      <w:r w:rsidRPr="004F7EDF">
        <w:rPr>
          <w:rFonts w:asciiTheme="minorHAnsi" w:eastAsiaTheme="minorHAnsi" w:hAnsiTheme="minorHAnsi"/>
          <w:bCs/>
        </w:rPr>
        <w:t>is not supported by international</w:t>
      </w:r>
      <w:r>
        <w:rPr>
          <w:rFonts w:asciiTheme="minorHAnsi" w:eastAsiaTheme="minorHAnsi" w:hAnsiTheme="minorHAnsi"/>
          <w:bCs/>
        </w:rPr>
        <w:t xml:space="preserve"> literature or experts.</w:t>
      </w:r>
      <w:r w:rsidRPr="00995B27">
        <w:rPr>
          <w:rFonts w:asciiTheme="minorHAnsi" w:eastAsiaTheme="minorHAnsi" w:hAnsiTheme="minorHAnsi"/>
          <w:bCs/>
        </w:rPr>
        <w:t xml:space="preserve"> </w:t>
      </w:r>
      <w:r>
        <w:rPr>
          <w:rFonts w:asciiTheme="minorHAnsi" w:eastAsiaTheme="minorHAnsi" w:hAnsiTheme="minorHAnsi"/>
          <w:bCs/>
        </w:rPr>
        <w:t>Further use of this methodology would have</w:t>
      </w:r>
      <w:r w:rsidRPr="0058509E">
        <w:rPr>
          <w:rFonts w:asciiTheme="minorHAnsi" w:eastAsiaTheme="minorHAnsi" w:hAnsiTheme="minorHAnsi"/>
          <w:bCs/>
        </w:rPr>
        <w:t xml:space="preserve"> profound </w:t>
      </w:r>
      <w:r>
        <w:rPr>
          <w:rFonts w:asciiTheme="minorHAnsi" w:eastAsiaTheme="minorHAnsi" w:hAnsiTheme="minorHAnsi"/>
          <w:bCs/>
        </w:rPr>
        <w:t xml:space="preserve">trial design, patient access and </w:t>
      </w:r>
      <w:r w:rsidRPr="0058509E">
        <w:rPr>
          <w:rFonts w:asciiTheme="minorHAnsi" w:eastAsiaTheme="minorHAnsi" w:hAnsiTheme="minorHAnsi"/>
          <w:bCs/>
        </w:rPr>
        <w:t xml:space="preserve">industry </w:t>
      </w:r>
      <w:r>
        <w:rPr>
          <w:rFonts w:asciiTheme="minorHAnsi" w:eastAsiaTheme="minorHAnsi" w:hAnsiTheme="minorHAnsi"/>
          <w:bCs/>
        </w:rPr>
        <w:t>impacts. AbbVie will continue to seek further dialogue on this issue with the PBAC.</w:t>
      </w:r>
    </w:p>
    <w:sectPr w:rsidR="00B900F8" w:rsidRPr="00C1049E" w:rsidSect="00E21358">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CF1" w:rsidRDefault="002A7CF1" w:rsidP="00124A51">
      <w:r>
        <w:separator/>
      </w:r>
    </w:p>
    <w:p w:rsidR="002A7CF1" w:rsidRDefault="002A7CF1"/>
  </w:endnote>
  <w:endnote w:type="continuationSeparator" w:id="0">
    <w:p w:rsidR="002A7CF1" w:rsidRDefault="002A7CF1" w:rsidP="00124A51">
      <w:r>
        <w:continuationSeparator/>
      </w:r>
    </w:p>
    <w:p w:rsidR="002A7CF1" w:rsidRDefault="002A7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F0" w:rsidRDefault="00EE7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45939"/>
      <w:docPartObj>
        <w:docPartGallery w:val="Page Numbers (Bottom of Page)"/>
        <w:docPartUnique/>
      </w:docPartObj>
    </w:sdtPr>
    <w:sdtEndPr>
      <w:rPr>
        <w:noProof/>
      </w:rPr>
    </w:sdtEndPr>
    <w:sdtContent>
      <w:p w:rsidR="00BC4C59" w:rsidRDefault="00BC4C59">
        <w:pPr>
          <w:pStyle w:val="Footer"/>
          <w:jc w:val="center"/>
        </w:pPr>
      </w:p>
      <w:p w:rsidR="00BC4C59" w:rsidRDefault="00BC4C59">
        <w:pPr>
          <w:pStyle w:val="Footer"/>
          <w:jc w:val="center"/>
        </w:pPr>
        <w:r w:rsidRPr="005E00E8">
          <w:rPr>
            <w:b/>
          </w:rPr>
          <w:fldChar w:fldCharType="begin"/>
        </w:r>
        <w:r w:rsidRPr="005E00E8">
          <w:rPr>
            <w:b/>
          </w:rPr>
          <w:instrText xml:space="preserve"> PAGE   \* MERGEFORMAT </w:instrText>
        </w:r>
        <w:r w:rsidRPr="005E00E8">
          <w:rPr>
            <w:b/>
          </w:rPr>
          <w:fldChar w:fldCharType="separate"/>
        </w:r>
        <w:r w:rsidR="00925063">
          <w:rPr>
            <w:b/>
            <w:noProof/>
          </w:rPr>
          <w:t>19</w:t>
        </w:r>
        <w:r w:rsidRPr="005E00E8">
          <w:rPr>
            <w:b/>
            <w:noProof/>
          </w:rPr>
          <w:fldChar w:fldCharType="end"/>
        </w:r>
      </w:p>
    </w:sdtContent>
  </w:sdt>
  <w:p w:rsidR="00BC4C59" w:rsidRDefault="00BC4C59" w:rsidP="005E00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F0" w:rsidRDefault="00EE7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CF1" w:rsidRDefault="002A7CF1" w:rsidP="00124A51">
      <w:r>
        <w:separator/>
      </w:r>
    </w:p>
    <w:p w:rsidR="002A7CF1" w:rsidRDefault="002A7CF1"/>
  </w:footnote>
  <w:footnote w:type="continuationSeparator" w:id="0">
    <w:p w:rsidR="002A7CF1" w:rsidRDefault="002A7CF1" w:rsidP="00124A51">
      <w:r>
        <w:continuationSeparator/>
      </w:r>
    </w:p>
    <w:p w:rsidR="002A7CF1" w:rsidRDefault="002A7CF1"/>
  </w:footnote>
  <w:footnote w:id="1">
    <w:p w:rsidR="00BC4C59" w:rsidRDefault="00BC4C59" w:rsidP="00A25E3E">
      <w:pPr>
        <w:pStyle w:val="TableFooter"/>
      </w:pPr>
      <w:r>
        <w:rPr>
          <w:rStyle w:val="FootnoteReference"/>
        </w:rPr>
        <w:footnoteRef/>
      </w:r>
      <w:r>
        <w:t xml:space="preserve"> </w:t>
      </w:r>
      <w:hyperlink r:id="rId1" w:history="1">
        <w:r w:rsidRPr="00AC66F7">
          <w:rPr>
            <w:rStyle w:val="Hyperlink"/>
          </w:rPr>
          <w:t>https://www.fda.gov/drugs/drug-safety-and-availability/fda-approves-boxed-warning-about-increased-risk-blood-clots-and-death-higher-dose-arthritis-and</w:t>
        </w:r>
      </w:hyperlink>
    </w:p>
    <w:p w:rsidR="00BC4C59" w:rsidRDefault="00925063" w:rsidP="00A25E3E">
      <w:pPr>
        <w:pStyle w:val="TableFooter"/>
      </w:pPr>
      <w:hyperlink r:id="rId2" w:history="1">
        <w:r w:rsidR="00BC4C59">
          <w:rPr>
            <w:rStyle w:val="Hyperlink"/>
          </w:rPr>
          <w:t>https://www.pfizermedicalinformation.com/en-us/xeljanz/boxed-warning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F0" w:rsidRDefault="00EE7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59" w:rsidRPr="00C8590A" w:rsidRDefault="00BC4C59" w:rsidP="00160F74">
    <w:pPr>
      <w:tabs>
        <w:tab w:val="left" w:pos="142"/>
        <w:tab w:val="right" w:pos="13892"/>
      </w:tabs>
      <w:jc w:val="center"/>
      <w:rPr>
        <w:i/>
      </w:rPr>
    </w:pPr>
    <w:r>
      <w:rPr>
        <w:i/>
      </w:rPr>
      <w:t>Public Summary Document</w:t>
    </w:r>
    <w:r w:rsidRPr="00C8590A">
      <w:rPr>
        <w:i/>
      </w:rPr>
      <w:t xml:space="preserve"> – November 2019 PBAC Meeting</w:t>
    </w:r>
  </w:p>
  <w:p w:rsidR="00BC4C59" w:rsidRDefault="00BC4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F0" w:rsidRDefault="00EE7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A922DF"/>
    <w:multiLevelType w:val="multilevel"/>
    <w:tmpl w:val="1A06A4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E5040"/>
    <w:multiLevelType w:val="multilevel"/>
    <w:tmpl w:val="4F422A52"/>
    <w:lvl w:ilvl="0">
      <w:start w:val="9"/>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6310E"/>
    <w:multiLevelType w:val="multilevel"/>
    <w:tmpl w:val="3A2AB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31415"/>
    <w:multiLevelType w:val="multilevel"/>
    <w:tmpl w:val="71B23F2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AA1464"/>
    <w:multiLevelType w:val="multilevel"/>
    <w:tmpl w:val="FAB82CF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3241EE"/>
    <w:multiLevelType w:val="multilevel"/>
    <w:tmpl w:val="3616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66A44"/>
    <w:multiLevelType w:val="hybridMultilevel"/>
    <w:tmpl w:val="9EE2A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B1A53"/>
    <w:multiLevelType w:val="multilevel"/>
    <w:tmpl w:val="0A7CB8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F4FD8"/>
    <w:multiLevelType w:val="multilevel"/>
    <w:tmpl w:val="C58E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D9325F"/>
    <w:multiLevelType w:val="multilevel"/>
    <w:tmpl w:val="2CC4C0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CB3C93"/>
    <w:multiLevelType w:val="multilevel"/>
    <w:tmpl w:val="1DF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E589E"/>
    <w:multiLevelType w:val="multilevel"/>
    <w:tmpl w:val="BEB2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C34E2"/>
    <w:multiLevelType w:val="hybridMultilevel"/>
    <w:tmpl w:val="C278FFF4"/>
    <w:lvl w:ilvl="0" w:tplc="0CBCE64E">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9558E"/>
    <w:multiLevelType w:val="multilevel"/>
    <w:tmpl w:val="FE4C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875A5"/>
    <w:multiLevelType w:val="hybridMultilevel"/>
    <w:tmpl w:val="4D8C6658"/>
    <w:lvl w:ilvl="0" w:tplc="CF184C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63AA5"/>
    <w:multiLevelType w:val="multilevel"/>
    <w:tmpl w:val="162A8726"/>
    <w:lvl w:ilvl="0">
      <w:start w:val="6"/>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A047440"/>
    <w:multiLevelType w:val="multilevel"/>
    <w:tmpl w:val="1D4404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364A94"/>
    <w:multiLevelType w:val="multilevel"/>
    <w:tmpl w:val="A8C889F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65A2F82"/>
    <w:multiLevelType w:val="multilevel"/>
    <w:tmpl w:val="8CAC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D033C"/>
    <w:multiLevelType w:val="multilevel"/>
    <w:tmpl w:val="F8CAFDC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6"/>
  </w:num>
  <w:num w:numId="3">
    <w:abstractNumId w:val="20"/>
  </w:num>
  <w:num w:numId="4">
    <w:abstractNumId w:val="18"/>
  </w:num>
  <w:num w:numId="5">
    <w:abstractNumId w:val="9"/>
  </w:num>
  <w:num w:numId="6">
    <w:abstractNumId w:val="1"/>
  </w:num>
  <w:num w:numId="7">
    <w:abstractNumId w:val="23"/>
  </w:num>
  <w:num w:numId="8">
    <w:abstractNumId w:val="6"/>
  </w:num>
  <w:num w:numId="9">
    <w:abstractNumId w:val="24"/>
  </w:num>
  <w:num w:numId="10">
    <w:abstractNumId w:val="21"/>
  </w:num>
  <w:num w:numId="11">
    <w:abstractNumId w:val="4"/>
  </w:num>
  <w:num w:numId="12">
    <w:abstractNumId w:val="0"/>
  </w:num>
  <w:num w:numId="13">
    <w:abstractNumId w:val="11"/>
  </w:num>
  <w:num w:numId="14">
    <w:abstractNumId w:val="13"/>
  </w:num>
  <w:num w:numId="15">
    <w:abstractNumId w:val="10"/>
  </w:num>
  <w:num w:numId="16">
    <w:abstractNumId w:val="3"/>
  </w:num>
  <w:num w:numId="17">
    <w:abstractNumId w:val="14"/>
  </w:num>
  <w:num w:numId="18">
    <w:abstractNumId w:val="8"/>
  </w:num>
  <w:num w:numId="19">
    <w:abstractNumId w:val="5"/>
  </w:num>
  <w:num w:numId="20">
    <w:abstractNumId w:val="15"/>
  </w:num>
  <w:num w:numId="21">
    <w:abstractNumId w:val="19"/>
  </w:num>
  <w:num w:numId="22">
    <w:abstractNumId w:val="25"/>
  </w:num>
  <w:num w:numId="23">
    <w:abstractNumId w:val="12"/>
  </w:num>
  <w:num w:numId="24">
    <w:abstractNumId w:val="16"/>
  </w:num>
  <w:num w:numId="25">
    <w:abstractNumId w:val="7"/>
  </w:num>
  <w:num w:numId="26">
    <w:abstractNumId w:val="22"/>
  </w:num>
  <w:num w:numId="2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ctiveWritingStyle w:appName="MSWord" w:lang="es-ES" w:vendorID="64" w:dllVersion="6" w:nlCheck="1" w:checkStyle="0"/>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MX"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n-AU"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n-GB" w:vendorID="64" w:dllVersion="131078" w:nlCheck="1" w:checkStyle="1"/>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3D9"/>
    <w:rsid w:val="00000790"/>
    <w:rsid w:val="00000943"/>
    <w:rsid w:val="00000B3F"/>
    <w:rsid w:val="0000110B"/>
    <w:rsid w:val="000017AA"/>
    <w:rsid w:val="00001A25"/>
    <w:rsid w:val="0000254E"/>
    <w:rsid w:val="000031D7"/>
    <w:rsid w:val="00003499"/>
    <w:rsid w:val="0000383B"/>
    <w:rsid w:val="000039B7"/>
    <w:rsid w:val="00005557"/>
    <w:rsid w:val="00007F6C"/>
    <w:rsid w:val="000105EE"/>
    <w:rsid w:val="000108AF"/>
    <w:rsid w:val="00010D57"/>
    <w:rsid w:val="00011626"/>
    <w:rsid w:val="00012E69"/>
    <w:rsid w:val="00012E88"/>
    <w:rsid w:val="00012F03"/>
    <w:rsid w:val="00013247"/>
    <w:rsid w:val="0001438D"/>
    <w:rsid w:val="0001453D"/>
    <w:rsid w:val="00014846"/>
    <w:rsid w:val="00015886"/>
    <w:rsid w:val="00015EF7"/>
    <w:rsid w:val="00016014"/>
    <w:rsid w:val="000162EF"/>
    <w:rsid w:val="0001646D"/>
    <w:rsid w:val="0001708C"/>
    <w:rsid w:val="0002225F"/>
    <w:rsid w:val="00022857"/>
    <w:rsid w:val="00022D01"/>
    <w:rsid w:val="00023763"/>
    <w:rsid w:val="00023AA7"/>
    <w:rsid w:val="000255A7"/>
    <w:rsid w:val="000260AD"/>
    <w:rsid w:val="000323E0"/>
    <w:rsid w:val="00032991"/>
    <w:rsid w:val="00032CC6"/>
    <w:rsid w:val="00032D2C"/>
    <w:rsid w:val="00033863"/>
    <w:rsid w:val="00035678"/>
    <w:rsid w:val="00035C85"/>
    <w:rsid w:val="00035DC0"/>
    <w:rsid w:val="000367A0"/>
    <w:rsid w:val="00036829"/>
    <w:rsid w:val="0003771C"/>
    <w:rsid w:val="00040895"/>
    <w:rsid w:val="00040EA0"/>
    <w:rsid w:val="00042008"/>
    <w:rsid w:val="00042604"/>
    <w:rsid w:val="00043C37"/>
    <w:rsid w:val="00045017"/>
    <w:rsid w:val="00045A2B"/>
    <w:rsid w:val="0004640C"/>
    <w:rsid w:val="0004645F"/>
    <w:rsid w:val="0004698F"/>
    <w:rsid w:val="00046DBB"/>
    <w:rsid w:val="000471D6"/>
    <w:rsid w:val="00047D80"/>
    <w:rsid w:val="000500A6"/>
    <w:rsid w:val="0005022C"/>
    <w:rsid w:val="00052FEC"/>
    <w:rsid w:val="000539D0"/>
    <w:rsid w:val="000539E5"/>
    <w:rsid w:val="00053D0D"/>
    <w:rsid w:val="00054080"/>
    <w:rsid w:val="00054621"/>
    <w:rsid w:val="000546D7"/>
    <w:rsid w:val="00054D7B"/>
    <w:rsid w:val="00054FD4"/>
    <w:rsid w:val="00055B6A"/>
    <w:rsid w:val="0005609D"/>
    <w:rsid w:val="000566DF"/>
    <w:rsid w:val="00057928"/>
    <w:rsid w:val="000623A3"/>
    <w:rsid w:val="000639A2"/>
    <w:rsid w:val="00064886"/>
    <w:rsid w:val="00066360"/>
    <w:rsid w:val="00066AD4"/>
    <w:rsid w:val="00067884"/>
    <w:rsid w:val="0007107B"/>
    <w:rsid w:val="00071248"/>
    <w:rsid w:val="000720B9"/>
    <w:rsid w:val="0007267F"/>
    <w:rsid w:val="00072BEB"/>
    <w:rsid w:val="000737F7"/>
    <w:rsid w:val="00073CC2"/>
    <w:rsid w:val="000744F8"/>
    <w:rsid w:val="000756E1"/>
    <w:rsid w:val="00075805"/>
    <w:rsid w:val="000766CD"/>
    <w:rsid w:val="000766EF"/>
    <w:rsid w:val="0007672F"/>
    <w:rsid w:val="000774F0"/>
    <w:rsid w:val="00077899"/>
    <w:rsid w:val="00077BF7"/>
    <w:rsid w:val="00077E87"/>
    <w:rsid w:val="00080909"/>
    <w:rsid w:val="00080CB0"/>
    <w:rsid w:val="000812CA"/>
    <w:rsid w:val="0008258D"/>
    <w:rsid w:val="00083383"/>
    <w:rsid w:val="00083E99"/>
    <w:rsid w:val="00084288"/>
    <w:rsid w:val="000856C5"/>
    <w:rsid w:val="00085B54"/>
    <w:rsid w:val="000860E8"/>
    <w:rsid w:val="0008626B"/>
    <w:rsid w:val="0008627D"/>
    <w:rsid w:val="0008743F"/>
    <w:rsid w:val="00087949"/>
    <w:rsid w:val="00087BEF"/>
    <w:rsid w:val="00087E40"/>
    <w:rsid w:val="000901A0"/>
    <w:rsid w:val="00090C7E"/>
    <w:rsid w:val="000921AA"/>
    <w:rsid w:val="00092600"/>
    <w:rsid w:val="0009262B"/>
    <w:rsid w:val="00093310"/>
    <w:rsid w:val="0009445C"/>
    <w:rsid w:val="000954BB"/>
    <w:rsid w:val="00095FE5"/>
    <w:rsid w:val="00096284"/>
    <w:rsid w:val="00096627"/>
    <w:rsid w:val="00097F17"/>
    <w:rsid w:val="000A06DD"/>
    <w:rsid w:val="000A1E3B"/>
    <w:rsid w:val="000A1F79"/>
    <w:rsid w:val="000A2C3F"/>
    <w:rsid w:val="000A3283"/>
    <w:rsid w:val="000A33C8"/>
    <w:rsid w:val="000A36BF"/>
    <w:rsid w:val="000A7D08"/>
    <w:rsid w:val="000B0670"/>
    <w:rsid w:val="000B0E75"/>
    <w:rsid w:val="000B1E26"/>
    <w:rsid w:val="000B266E"/>
    <w:rsid w:val="000B39A5"/>
    <w:rsid w:val="000B3E40"/>
    <w:rsid w:val="000B6CAC"/>
    <w:rsid w:val="000B7612"/>
    <w:rsid w:val="000B7D5B"/>
    <w:rsid w:val="000C26A7"/>
    <w:rsid w:val="000C2D6E"/>
    <w:rsid w:val="000C2EE0"/>
    <w:rsid w:val="000C3DF9"/>
    <w:rsid w:val="000C4C41"/>
    <w:rsid w:val="000C50B9"/>
    <w:rsid w:val="000C54B0"/>
    <w:rsid w:val="000C5D22"/>
    <w:rsid w:val="000C6713"/>
    <w:rsid w:val="000C6919"/>
    <w:rsid w:val="000C6AE2"/>
    <w:rsid w:val="000C72F5"/>
    <w:rsid w:val="000D0834"/>
    <w:rsid w:val="000D093D"/>
    <w:rsid w:val="000D0D46"/>
    <w:rsid w:val="000D1AF2"/>
    <w:rsid w:val="000D1BFC"/>
    <w:rsid w:val="000D281A"/>
    <w:rsid w:val="000D3210"/>
    <w:rsid w:val="000D326A"/>
    <w:rsid w:val="000D51FB"/>
    <w:rsid w:val="000D6F94"/>
    <w:rsid w:val="000D7DD8"/>
    <w:rsid w:val="000E00A2"/>
    <w:rsid w:val="000E0789"/>
    <w:rsid w:val="000E135D"/>
    <w:rsid w:val="000E1434"/>
    <w:rsid w:val="000E2C91"/>
    <w:rsid w:val="000E3127"/>
    <w:rsid w:val="000E554D"/>
    <w:rsid w:val="000E5CB9"/>
    <w:rsid w:val="000E60A0"/>
    <w:rsid w:val="000F00BA"/>
    <w:rsid w:val="000F012D"/>
    <w:rsid w:val="000F0DF1"/>
    <w:rsid w:val="000F2258"/>
    <w:rsid w:val="000F2D91"/>
    <w:rsid w:val="000F311E"/>
    <w:rsid w:val="000F316A"/>
    <w:rsid w:val="000F3369"/>
    <w:rsid w:val="000F3C74"/>
    <w:rsid w:val="000F4BB8"/>
    <w:rsid w:val="000F5070"/>
    <w:rsid w:val="000F6CC3"/>
    <w:rsid w:val="000F7127"/>
    <w:rsid w:val="000F7347"/>
    <w:rsid w:val="00100F8A"/>
    <w:rsid w:val="00104472"/>
    <w:rsid w:val="00104BEE"/>
    <w:rsid w:val="00105AE2"/>
    <w:rsid w:val="00106AC0"/>
    <w:rsid w:val="00106B80"/>
    <w:rsid w:val="00107176"/>
    <w:rsid w:val="0011032E"/>
    <w:rsid w:val="00110FD3"/>
    <w:rsid w:val="0011128E"/>
    <w:rsid w:val="00111622"/>
    <w:rsid w:val="00111D3B"/>
    <w:rsid w:val="0011348B"/>
    <w:rsid w:val="00114D2A"/>
    <w:rsid w:val="00115982"/>
    <w:rsid w:val="001165FF"/>
    <w:rsid w:val="00116C53"/>
    <w:rsid w:val="0011791C"/>
    <w:rsid w:val="001206D4"/>
    <w:rsid w:val="00121799"/>
    <w:rsid w:val="001221C3"/>
    <w:rsid w:val="001222FC"/>
    <w:rsid w:val="00123D0F"/>
    <w:rsid w:val="00123FE7"/>
    <w:rsid w:val="00124137"/>
    <w:rsid w:val="00124A51"/>
    <w:rsid w:val="001255B1"/>
    <w:rsid w:val="00126209"/>
    <w:rsid w:val="001264E9"/>
    <w:rsid w:val="00126621"/>
    <w:rsid w:val="001271AC"/>
    <w:rsid w:val="001276CB"/>
    <w:rsid w:val="00127CD8"/>
    <w:rsid w:val="001301E9"/>
    <w:rsid w:val="00130B0E"/>
    <w:rsid w:val="00131116"/>
    <w:rsid w:val="001318DC"/>
    <w:rsid w:val="00131CF1"/>
    <w:rsid w:val="00131D82"/>
    <w:rsid w:val="00133269"/>
    <w:rsid w:val="0013327C"/>
    <w:rsid w:val="00133D36"/>
    <w:rsid w:val="001346D2"/>
    <w:rsid w:val="001348A2"/>
    <w:rsid w:val="00135FAF"/>
    <w:rsid w:val="00137645"/>
    <w:rsid w:val="00137B97"/>
    <w:rsid w:val="00137CFE"/>
    <w:rsid w:val="0014004B"/>
    <w:rsid w:val="0014015A"/>
    <w:rsid w:val="00140E99"/>
    <w:rsid w:val="00143B23"/>
    <w:rsid w:val="00145540"/>
    <w:rsid w:val="001456B0"/>
    <w:rsid w:val="001458DA"/>
    <w:rsid w:val="001545D0"/>
    <w:rsid w:val="00154F19"/>
    <w:rsid w:val="00155DD7"/>
    <w:rsid w:val="001561DD"/>
    <w:rsid w:val="0015655C"/>
    <w:rsid w:val="00157130"/>
    <w:rsid w:val="00157359"/>
    <w:rsid w:val="001576B1"/>
    <w:rsid w:val="001604B1"/>
    <w:rsid w:val="00160A4C"/>
    <w:rsid w:val="00160F74"/>
    <w:rsid w:val="001619E4"/>
    <w:rsid w:val="00162913"/>
    <w:rsid w:val="00163EFB"/>
    <w:rsid w:val="00163EFF"/>
    <w:rsid w:val="00165707"/>
    <w:rsid w:val="001661FB"/>
    <w:rsid w:val="00166B4E"/>
    <w:rsid w:val="00170109"/>
    <w:rsid w:val="00170B1A"/>
    <w:rsid w:val="00170C3E"/>
    <w:rsid w:val="001711C4"/>
    <w:rsid w:val="00171FE8"/>
    <w:rsid w:val="00173565"/>
    <w:rsid w:val="00173B07"/>
    <w:rsid w:val="00173E0E"/>
    <w:rsid w:val="00175199"/>
    <w:rsid w:val="00175AF9"/>
    <w:rsid w:val="001760CB"/>
    <w:rsid w:val="00176C48"/>
    <w:rsid w:val="00181D9C"/>
    <w:rsid w:val="00183CC2"/>
    <w:rsid w:val="001841E1"/>
    <w:rsid w:val="0018604F"/>
    <w:rsid w:val="0018752F"/>
    <w:rsid w:val="00187836"/>
    <w:rsid w:val="0019054B"/>
    <w:rsid w:val="001926F2"/>
    <w:rsid w:val="001928BD"/>
    <w:rsid w:val="00192CFE"/>
    <w:rsid w:val="00195189"/>
    <w:rsid w:val="00195222"/>
    <w:rsid w:val="00195471"/>
    <w:rsid w:val="00195847"/>
    <w:rsid w:val="001967DB"/>
    <w:rsid w:val="001975D8"/>
    <w:rsid w:val="001976D6"/>
    <w:rsid w:val="001A0D6C"/>
    <w:rsid w:val="001A2BAB"/>
    <w:rsid w:val="001A3595"/>
    <w:rsid w:val="001A39BF"/>
    <w:rsid w:val="001A42E4"/>
    <w:rsid w:val="001A43FA"/>
    <w:rsid w:val="001A5076"/>
    <w:rsid w:val="001A59FB"/>
    <w:rsid w:val="001A61A8"/>
    <w:rsid w:val="001A6354"/>
    <w:rsid w:val="001A691D"/>
    <w:rsid w:val="001A789C"/>
    <w:rsid w:val="001A7AE8"/>
    <w:rsid w:val="001B202B"/>
    <w:rsid w:val="001B204E"/>
    <w:rsid w:val="001B25BE"/>
    <w:rsid w:val="001B3381"/>
    <w:rsid w:val="001B3443"/>
    <w:rsid w:val="001B49A1"/>
    <w:rsid w:val="001B4D20"/>
    <w:rsid w:val="001B604C"/>
    <w:rsid w:val="001B686C"/>
    <w:rsid w:val="001B6EA9"/>
    <w:rsid w:val="001B75FA"/>
    <w:rsid w:val="001C0274"/>
    <w:rsid w:val="001C155A"/>
    <w:rsid w:val="001C25E9"/>
    <w:rsid w:val="001C2A9B"/>
    <w:rsid w:val="001C3B80"/>
    <w:rsid w:val="001C4258"/>
    <w:rsid w:val="001C4299"/>
    <w:rsid w:val="001C5F94"/>
    <w:rsid w:val="001C6E66"/>
    <w:rsid w:val="001C73F3"/>
    <w:rsid w:val="001C763E"/>
    <w:rsid w:val="001D0432"/>
    <w:rsid w:val="001D20FC"/>
    <w:rsid w:val="001D36A5"/>
    <w:rsid w:val="001D43A4"/>
    <w:rsid w:val="001D496D"/>
    <w:rsid w:val="001D517C"/>
    <w:rsid w:val="001D53E0"/>
    <w:rsid w:val="001D5661"/>
    <w:rsid w:val="001D5A66"/>
    <w:rsid w:val="001D7E95"/>
    <w:rsid w:val="001E03A9"/>
    <w:rsid w:val="001E03DC"/>
    <w:rsid w:val="001E15D0"/>
    <w:rsid w:val="001E1F19"/>
    <w:rsid w:val="001E1FF3"/>
    <w:rsid w:val="001E238E"/>
    <w:rsid w:val="001E2483"/>
    <w:rsid w:val="001E2B1E"/>
    <w:rsid w:val="001E2E22"/>
    <w:rsid w:val="001E2FFB"/>
    <w:rsid w:val="001E30D4"/>
    <w:rsid w:val="001E3124"/>
    <w:rsid w:val="001E3CDE"/>
    <w:rsid w:val="001E4327"/>
    <w:rsid w:val="001E52EB"/>
    <w:rsid w:val="001E61D2"/>
    <w:rsid w:val="001E6859"/>
    <w:rsid w:val="001E740C"/>
    <w:rsid w:val="001E7705"/>
    <w:rsid w:val="001F04A9"/>
    <w:rsid w:val="001F0E17"/>
    <w:rsid w:val="001F0E8A"/>
    <w:rsid w:val="001F1235"/>
    <w:rsid w:val="001F1CB3"/>
    <w:rsid w:val="001F2DBE"/>
    <w:rsid w:val="001F38B5"/>
    <w:rsid w:val="001F39A1"/>
    <w:rsid w:val="001F3C5E"/>
    <w:rsid w:val="001F3CF3"/>
    <w:rsid w:val="001F3E61"/>
    <w:rsid w:val="001F4AC9"/>
    <w:rsid w:val="001F59D8"/>
    <w:rsid w:val="001F5B4B"/>
    <w:rsid w:val="001F5CAC"/>
    <w:rsid w:val="001F65C1"/>
    <w:rsid w:val="001F6B09"/>
    <w:rsid w:val="001F7361"/>
    <w:rsid w:val="001F7DD0"/>
    <w:rsid w:val="001F7EE6"/>
    <w:rsid w:val="002003DF"/>
    <w:rsid w:val="00200FDA"/>
    <w:rsid w:val="002011B0"/>
    <w:rsid w:val="002016B5"/>
    <w:rsid w:val="002019B2"/>
    <w:rsid w:val="00203181"/>
    <w:rsid w:val="00203783"/>
    <w:rsid w:val="002037B4"/>
    <w:rsid w:val="0020385F"/>
    <w:rsid w:val="002038C9"/>
    <w:rsid w:val="0020428E"/>
    <w:rsid w:val="0020590A"/>
    <w:rsid w:val="00205EF9"/>
    <w:rsid w:val="0020701E"/>
    <w:rsid w:val="00207021"/>
    <w:rsid w:val="0020732F"/>
    <w:rsid w:val="002077F2"/>
    <w:rsid w:val="00207D00"/>
    <w:rsid w:val="0021052C"/>
    <w:rsid w:val="002105C1"/>
    <w:rsid w:val="0021237E"/>
    <w:rsid w:val="002125B1"/>
    <w:rsid w:val="002128B8"/>
    <w:rsid w:val="002160E3"/>
    <w:rsid w:val="002201CA"/>
    <w:rsid w:val="0022031B"/>
    <w:rsid w:val="00220E66"/>
    <w:rsid w:val="002214D9"/>
    <w:rsid w:val="00221509"/>
    <w:rsid w:val="00222EB0"/>
    <w:rsid w:val="002230F1"/>
    <w:rsid w:val="00223411"/>
    <w:rsid w:val="00223B49"/>
    <w:rsid w:val="00224DD4"/>
    <w:rsid w:val="00225B9E"/>
    <w:rsid w:val="00230590"/>
    <w:rsid w:val="002309CC"/>
    <w:rsid w:val="002318C0"/>
    <w:rsid w:val="0023209F"/>
    <w:rsid w:val="0023434D"/>
    <w:rsid w:val="00235D47"/>
    <w:rsid w:val="0023629D"/>
    <w:rsid w:val="00236454"/>
    <w:rsid w:val="00236E72"/>
    <w:rsid w:val="00237255"/>
    <w:rsid w:val="00237E47"/>
    <w:rsid w:val="00240011"/>
    <w:rsid w:val="002402AE"/>
    <w:rsid w:val="0024049C"/>
    <w:rsid w:val="00241ACE"/>
    <w:rsid w:val="002424AF"/>
    <w:rsid w:val="002439DC"/>
    <w:rsid w:val="00244C10"/>
    <w:rsid w:val="00244DC8"/>
    <w:rsid w:val="002458BA"/>
    <w:rsid w:val="0024601E"/>
    <w:rsid w:val="0024636C"/>
    <w:rsid w:val="00247067"/>
    <w:rsid w:val="00247925"/>
    <w:rsid w:val="00247C46"/>
    <w:rsid w:val="002504BD"/>
    <w:rsid w:val="0025098A"/>
    <w:rsid w:val="00251384"/>
    <w:rsid w:val="00252290"/>
    <w:rsid w:val="00253D53"/>
    <w:rsid w:val="002543BE"/>
    <w:rsid w:val="00254DCF"/>
    <w:rsid w:val="0025534B"/>
    <w:rsid w:val="00255B83"/>
    <w:rsid w:val="00255BB7"/>
    <w:rsid w:val="0025620F"/>
    <w:rsid w:val="00256327"/>
    <w:rsid w:val="00257541"/>
    <w:rsid w:val="002579DB"/>
    <w:rsid w:val="002600C2"/>
    <w:rsid w:val="0026132E"/>
    <w:rsid w:val="002613BA"/>
    <w:rsid w:val="00261C1D"/>
    <w:rsid w:val="00262A1A"/>
    <w:rsid w:val="00262A87"/>
    <w:rsid w:val="00262C05"/>
    <w:rsid w:val="0026358C"/>
    <w:rsid w:val="0026366C"/>
    <w:rsid w:val="00263D53"/>
    <w:rsid w:val="0026450B"/>
    <w:rsid w:val="00264D26"/>
    <w:rsid w:val="002660ED"/>
    <w:rsid w:val="00266C36"/>
    <w:rsid w:val="00267642"/>
    <w:rsid w:val="00267AEA"/>
    <w:rsid w:val="002700E6"/>
    <w:rsid w:val="00271156"/>
    <w:rsid w:val="00271CA5"/>
    <w:rsid w:val="0027233E"/>
    <w:rsid w:val="0027294B"/>
    <w:rsid w:val="002729CB"/>
    <w:rsid w:val="00272C69"/>
    <w:rsid w:val="00273249"/>
    <w:rsid w:val="00273D99"/>
    <w:rsid w:val="00273EA3"/>
    <w:rsid w:val="00273F2B"/>
    <w:rsid w:val="002744BD"/>
    <w:rsid w:val="00274704"/>
    <w:rsid w:val="00274F8C"/>
    <w:rsid w:val="00275C5A"/>
    <w:rsid w:val="00281014"/>
    <w:rsid w:val="00281666"/>
    <w:rsid w:val="00281696"/>
    <w:rsid w:val="00281C26"/>
    <w:rsid w:val="00282324"/>
    <w:rsid w:val="00282338"/>
    <w:rsid w:val="00286A12"/>
    <w:rsid w:val="00290269"/>
    <w:rsid w:val="00292E93"/>
    <w:rsid w:val="00293354"/>
    <w:rsid w:val="00294204"/>
    <w:rsid w:val="00297660"/>
    <w:rsid w:val="00297A21"/>
    <w:rsid w:val="002A0664"/>
    <w:rsid w:val="002A140F"/>
    <w:rsid w:val="002A14AB"/>
    <w:rsid w:val="002A2F50"/>
    <w:rsid w:val="002A3A4A"/>
    <w:rsid w:val="002A433E"/>
    <w:rsid w:val="002A4EFF"/>
    <w:rsid w:val="002A5FAC"/>
    <w:rsid w:val="002A7CF1"/>
    <w:rsid w:val="002B01BD"/>
    <w:rsid w:val="002B09A4"/>
    <w:rsid w:val="002B18A1"/>
    <w:rsid w:val="002B1C1F"/>
    <w:rsid w:val="002B1D13"/>
    <w:rsid w:val="002B1E70"/>
    <w:rsid w:val="002B2FC5"/>
    <w:rsid w:val="002B3C29"/>
    <w:rsid w:val="002B432F"/>
    <w:rsid w:val="002B563D"/>
    <w:rsid w:val="002B62B3"/>
    <w:rsid w:val="002B63DD"/>
    <w:rsid w:val="002B6754"/>
    <w:rsid w:val="002B6CCE"/>
    <w:rsid w:val="002B6F0C"/>
    <w:rsid w:val="002B78E1"/>
    <w:rsid w:val="002C0CBE"/>
    <w:rsid w:val="002C2510"/>
    <w:rsid w:val="002C262F"/>
    <w:rsid w:val="002C2775"/>
    <w:rsid w:val="002C27C1"/>
    <w:rsid w:val="002C4102"/>
    <w:rsid w:val="002C47B9"/>
    <w:rsid w:val="002C4FC4"/>
    <w:rsid w:val="002C5099"/>
    <w:rsid w:val="002C56C4"/>
    <w:rsid w:val="002C5889"/>
    <w:rsid w:val="002C60A1"/>
    <w:rsid w:val="002C71CE"/>
    <w:rsid w:val="002D0777"/>
    <w:rsid w:val="002D25D6"/>
    <w:rsid w:val="002D5160"/>
    <w:rsid w:val="002D577C"/>
    <w:rsid w:val="002E0775"/>
    <w:rsid w:val="002E0E1C"/>
    <w:rsid w:val="002E15B9"/>
    <w:rsid w:val="002E18EA"/>
    <w:rsid w:val="002E1E3C"/>
    <w:rsid w:val="002E2158"/>
    <w:rsid w:val="002E25F4"/>
    <w:rsid w:val="002E2D0B"/>
    <w:rsid w:val="002E4CE2"/>
    <w:rsid w:val="002E770C"/>
    <w:rsid w:val="002E7722"/>
    <w:rsid w:val="002E78E6"/>
    <w:rsid w:val="002F0455"/>
    <w:rsid w:val="002F07BA"/>
    <w:rsid w:val="002F0DA9"/>
    <w:rsid w:val="002F15B9"/>
    <w:rsid w:val="002F2E40"/>
    <w:rsid w:val="002F2EE0"/>
    <w:rsid w:val="002F3A5D"/>
    <w:rsid w:val="002F475B"/>
    <w:rsid w:val="002F4CF3"/>
    <w:rsid w:val="002F52A1"/>
    <w:rsid w:val="002F5533"/>
    <w:rsid w:val="002F6365"/>
    <w:rsid w:val="002F642B"/>
    <w:rsid w:val="002F643C"/>
    <w:rsid w:val="002F66D4"/>
    <w:rsid w:val="002F690D"/>
    <w:rsid w:val="002F71C0"/>
    <w:rsid w:val="002F73C2"/>
    <w:rsid w:val="00300683"/>
    <w:rsid w:val="00301017"/>
    <w:rsid w:val="00301383"/>
    <w:rsid w:val="0030155F"/>
    <w:rsid w:val="00302523"/>
    <w:rsid w:val="0030587B"/>
    <w:rsid w:val="00306D98"/>
    <w:rsid w:val="003071CE"/>
    <w:rsid w:val="0030786C"/>
    <w:rsid w:val="0031031A"/>
    <w:rsid w:val="00310981"/>
    <w:rsid w:val="0031176D"/>
    <w:rsid w:val="00312AB8"/>
    <w:rsid w:val="00312BBB"/>
    <w:rsid w:val="0031477B"/>
    <w:rsid w:val="00315411"/>
    <w:rsid w:val="00315498"/>
    <w:rsid w:val="00316544"/>
    <w:rsid w:val="00321020"/>
    <w:rsid w:val="00321947"/>
    <w:rsid w:val="00322107"/>
    <w:rsid w:val="003227B3"/>
    <w:rsid w:val="00322846"/>
    <w:rsid w:val="00324C81"/>
    <w:rsid w:val="0032618D"/>
    <w:rsid w:val="00326DA7"/>
    <w:rsid w:val="003270E4"/>
    <w:rsid w:val="003304AE"/>
    <w:rsid w:val="003309A2"/>
    <w:rsid w:val="00330DF9"/>
    <w:rsid w:val="00330F5C"/>
    <w:rsid w:val="00332B7C"/>
    <w:rsid w:val="0033322F"/>
    <w:rsid w:val="00333E07"/>
    <w:rsid w:val="003366C9"/>
    <w:rsid w:val="0033705D"/>
    <w:rsid w:val="003371B0"/>
    <w:rsid w:val="00340542"/>
    <w:rsid w:val="00340DF1"/>
    <w:rsid w:val="0034232A"/>
    <w:rsid w:val="00343329"/>
    <w:rsid w:val="00343694"/>
    <w:rsid w:val="00344985"/>
    <w:rsid w:val="0034603D"/>
    <w:rsid w:val="003469AC"/>
    <w:rsid w:val="00346DDE"/>
    <w:rsid w:val="00347E94"/>
    <w:rsid w:val="00347FD4"/>
    <w:rsid w:val="00350951"/>
    <w:rsid w:val="003517F9"/>
    <w:rsid w:val="003519DB"/>
    <w:rsid w:val="00351C0D"/>
    <w:rsid w:val="00353CB0"/>
    <w:rsid w:val="003542F4"/>
    <w:rsid w:val="00354E7E"/>
    <w:rsid w:val="0035620E"/>
    <w:rsid w:val="00360AAA"/>
    <w:rsid w:val="0036170F"/>
    <w:rsid w:val="00361913"/>
    <w:rsid w:val="00361A07"/>
    <w:rsid w:val="0036229F"/>
    <w:rsid w:val="00362365"/>
    <w:rsid w:val="003624C4"/>
    <w:rsid w:val="00362CF5"/>
    <w:rsid w:val="003636AC"/>
    <w:rsid w:val="00364DCE"/>
    <w:rsid w:val="003654AC"/>
    <w:rsid w:val="00365913"/>
    <w:rsid w:val="00370EC2"/>
    <w:rsid w:val="003710CF"/>
    <w:rsid w:val="00371D2B"/>
    <w:rsid w:val="00371DA8"/>
    <w:rsid w:val="003721BA"/>
    <w:rsid w:val="00372402"/>
    <w:rsid w:val="00373538"/>
    <w:rsid w:val="0037358A"/>
    <w:rsid w:val="003744A8"/>
    <w:rsid w:val="003750F6"/>
    <w:rsid w:val="003760FC"/>
    <w:rsid w:val="00376839"/>
    <w:rsid w:val="00380ED6"/>
    <w:rsid w:val="003820F1"/>
    <w:rsid w:val="003821F2"/>
    <w:rsid w:val="0038365C"/>
    <w:rsid w:val="0038369B"/>
    <w:rsid w:val="00383B78"/>
    <w:rsid w:val="00384076"/>
    <w:rsid w:val="00384B85"/>
    <w:rsid w:val="00384B89"/>
    <w:rsid w:val="003858A0"/>
    <w:rsid w:val="00385A9D"/>
    <w:rsid w:val="00387624"/>
    <w:rsid w:val="003902B1"/>
    <w:rsid w:val="00390440"/>
    <w:rsid w:val="0039138D"/>
    <w:rsid w:val="003941CB"/>
    <w:rsid w:val="00396310"/>
    <w:rsid w:val="0039682B"/>
    <w:rsid w:val="00396896"/>
    <w:rsid w:val="00396A40"/>
    <w:rsid w:val="00396FD0"/>
    <w:rsid w:val="00397355"/>
    <w:rsid w:val="0039759E"/>
    <w:rsid w:val="003A0811"/>
    <w:rsid w:val="003A1A7A"/>
    <w:rsid w:val="003A1F36"/>
    <w:rsid w:val="003A2392"/>
    <w:rsid w:val="003A2831"/>
    <w:rsid w:val="003A3891"/>
    <w:rsid w:val="003A3ED1"/>
    <w:rsid w:val="003A44FB"/>
    <w:rsid w:val="003A676A"/>
    <w:rsid w:val="003A6AE2"/>
    <w:rsid w:val="003A7023"/>
    <w:rsid w:val="003A7320"/>
    <w:rsid w:val="003B4C27"/>
    <w:rsid w:val="003B4C5D"/>
    <w:rsid w:val="003B5B61"/>
    <w:rsid w:val="003B5FD4"/>
    <w:rsid w:val="003B7974"/>
    <w:rsid w:val="003C0484"/>
    <w:rsid w:val="003C0774"/>
    <w:rsid w:val="003C0790"/>
    <w:rsid w:val="003C091A"/>
    <w:rsid w:val="003C1654"/>
    <w:rsid w:val="003C2837"/>
    <w:rsid w:val="003C32B1"/>
    <w:rsid w:val="003C48B4"/>
    <w:rsid w:val="003C4DF7"/>
    <w:rsid w:val="003C632D"/>
    <w:rsid w:val="003C6C06"/>
    <w:rsid w:val="003C7D19"/>
    <w:rsid w:val="003D1828"/>
    <w:rsid w:val="003D1DE4"/>
    <w:rsid w:val="003D2422"/>
    <w:rsid w:val="003D2A68"/>
    <w:rsid w:val="003D3308"/>
    <w:rsid w:val="003D39A1"/>
    <w:rsid w:val="003D3FBF"/>
    <w:rsid w:val="003D4A30"/>
    <w:rsid w:val="003D522B"/>
    <w:rsid w:val="003D5CED"/>
    <w:rsid w:val="003D61A4"/>
    <w:rsid w:val="003D628C"/>
    <w:rsid w:val="003D68A8"/>
    <w:rsid w:val="003D6B2A"/>
    <w:rsid w:val="003D79BB"/>
    <w:rsid w:val="003D7C98"/>
    <w:rsid w:val="003E0543"/>
    <w:rsid w:val="003E0776"/>
    <w:rsid w:val="003E0C4F"/>
    <w:rsid w:val="003E18E1"/>
    <w:rsid w:val="003E31F0"/>
    <w:rsid w:val="003E3C8B"/>
    <w:rsid w:val="003E536E"/>
    <w:rsid w:val="003E5AF3"/>
    <w:rsid w:val="003E5DA5"/>
    <w:rsid w:val="003E66B8"/>
    <w:rsid w:val="003E749C"/>
    <w:rsid w:val="003F06C9"/>
    <w:rsid w:val="003F0D7E"/>
    <w:rsid w:val="003F0E6C"/>
    <w:rsid w:val="003F200E"/>
    <w:rsid w:val="003F31D9"/>
    <w:rsid w:val="003F398C"/>
    <w:rsid w:val="003F4156"/>
    <w:rsid w:val="003F451C"/>
    <w:rsid w:val="003F5A4E"/>
    <w:rsid w:val="00400B29"/>
    <w:rsid w:val="004013FE"/>
    <w:rsid w:val="004025C4"/>
    <w:rsid w:val="00403C6B"/>
    <w:rsid w:val="00403E88"/>
    <w:rsid w:val="0040504B"/>
    <w:rsid w:val="004051CB"/>
    <w:rsid w:val="00405800"/>
    <w:rsid w:val="004069F6"/>
    <w:rsid w:val="00406AB7"/>
    <w:rsid w:val="00407027"/>
    <w:rsid w:val="00410708"/>
    <w:rsid w:val="00410DB6"/>
    <w:rsid w:val="00410EC7"/>
    <w:rsid w:val="00411B39"/>
    <w:rsid w:val="00412000"/>
    <w:rsid w:val="004127AE"/>
    <w:rsid w:val="00413671"/>
    <w:rsid w:val="00413A1E"/>
    <w:rsid w:val="00414476"/>
    <w:rsid w:val="00414C2E"/>
    <w:rsid w:val="004151CF"/>
    <w:rsid w:val="00416364"/>
    <w:rsid w:val="0041699A"/>
    <w:rsid w:val="00416CFF"/>
    <w:rsid w:val="0041795B"/>
    <w:rsid w:val="00420AA6"/>
    <w:rsid w:val="00420B9F"/>
    <w:rsid w:val="00420BB6"/>
    <w:rsid w:val="00420F4B"/>
    <w:rsid w:val="00422260"/>
    <w:rsid w:val="0042236F"/>
    <w:rsid w:val="00422763"/>
    <w:rsid w:val="004239C6"/>
    <w:rsid w:val="00423E14"/>
    <w:rsid w:val="0042413F"/>
    <w:rsid w:val="0042414F"/>
    <w:rsid w:val="00426A2C"/>
    <w:rsid w:val="00427467"/>
    <w:rsid w:val="00427D6F"/>
    <w:rsid w:val="00430B73"/>
    <w:rsid w:val="004319F8"/>
    <w:rsid w:val="00431E55"/>
    <w:rsid w:val="004321F6"/>
    <w:rsid w:val="00433044"/>
    <w:rsid w:val="004350A1"/>
    <w:rsid w:val="004352AA"/>
    <w:rsid w:val="00436730"/>
    <w:rsid w:val="00437327"/>
    <w:rsid w:val="00437542"/>
    <w:rsid w:val="00437578"/>
    <w:rsid w:val="004375B9"/>
    <w:rsid w:val="004405C6"/>
    <w:rsid w:val="004412BC"/>
    <w:rsid w:val="004428D0"/>
    <w:rsid w:val="00442BEA"/>
    <w:rsid w:val="00443954"/>
    <w:rsid w:val="004442F8"/>
    <w:rsid w:val="0044432D"/>
    <w:rsid w:val="004443A7"/>
    <w:rsid w:val="0044442C"/>
    <w:rsid w:val="00444517"/>
    <w:rsid w:val="00445941"/>
    <w:rsid w:val="004464EB"/>
    <w:rsid w:val="00447D26"/>
    <w:rsid w:val="00447FD5"/>
    <w:rsid w:val="00450907"/>
    <w:rsid w:val="00450A5B"/>
    <w:rsid w:val="00450A7F"/>
    <w:rsid w:val="00451BDE"/>
    <w:rsid w:val="00452391"/>
    <w:rsid w:val="00454149"/>
    <w:rsid w:val="004545C5"/>
    <w:rsid w:val="004557E1"/>
    <w:rsid w:val="00455D45"/>
    <w:rsid w:val="00456385"/>
    <w:rsid w:val="00457244"/>
    <w:rsid w:val="004575EE"/>
    <w:rsid w:val="00462B91"/>
    <w:rsid w:val="00463292"/>
    <w:rsid w:val="00463949"/>
    <w:rsid w:val="00464595"/>
    <w:rsid w:val="004652AD"/>
    <w:rsid w:val="00465520"/>
    <w:rsid w:val="004660D3"/>
    <w:rsid w:val="00471023"/>
    <w:rsid w:val="00471106"/>
    <w:rsid w:val="0047213B"/>
    <w:rsid w:val="00472A79"/>
    <w:rsid w:val="00473F19"/>
    <w:rsid w:val="004748B6"/>
    <w:rsid w:val="004748EC"/>
    <w:rsid w:val="0047593A"/>
    <w:rsid w:val="00475E22"/>
    <w:rsid w:val="004770D4"/>
    <w:rsid w:val="0048088E"/>
    <w:rsid w:val="00480A23"/>
    <w:rsid w:val="00482720"/>
    <w:rsid w:val="00482D2C"/>
    <w:rsid w:val="00483396"/>
    <w:rsid w:val="004833DA"/>
    <w:rsid w:val="004835E7"/>
    <w:rsid w:val="004867E2"/>
    <w:rsid w:val="004877A0"/>
    <w:rsid w:val="0049001B"/>
    <w:rsid w:val="0049068E"/>
    <w:rsid w:val="00491B3A"/>
    <w:rsid w:val="00492189"/>
    <w:rsid w:val="00492CFD"/>
    <w:rsid w:val="00494428"/>
    <w:rsid w:val="0049460E"/>
    <w:rsid w:val="00494DD5"/>
    <w:rsid w:val="004962D2"/>
    <w:rsid w:val="00497751"/>
    <w:rsid w:val="004A0DA1"/>
    <w:rsid w:val="004A0FD5"/>
    <w:rsid w:val="004A159D"/>
    <w:rsid w:val="004A200D"/>
    <w:rsid w:val="004A2055"/>
    <w:rsid w:val="004A34D3"/>
    <w:rsid w:val="004A38F2"/>
    <w:rsid w:val="004A3BB7"/>
    <w:rsid w:val="004A4A36"/>
    <w:rsid w:val="004A4DE5"/>
    <w:rsid w:val="004A52E9"/>
    <w:rsid w:val="004A6597"/>
    <w:rsid w:val="004A6691"/>
    <w:rsid w:val="004A7848"/>
    <w:rsid w:val="004A7C71"/>
    <w:rsid w:val="004B197A"/>
    <w:rsid w:val="004B1CB4"/>
    <w:rsid w:val="004B27ED"/>
    <w:rsid w:val="004B2F18"/>
    <w:rsid w:val="004B3DDB"/>
    <w:rsid w:val="004B3E41"/>
    <w:rsid w:val="004B44FD"/>
    <w:rsid w:val="004B4677"/>
    <w:rsid w:val="004B5CFC"/>
    <w:rsid w:val="004B5D28"/>
    <w:rsid w:val="004B643D"/>
    <w:rsid w:val="004B69BE"/>
    <w:rsid w:val="004B774D"/>
    <w:rsid w:val="004B7F0C"/>
    <w:rsid w:val="004C072E"/>
    <w:rsid w:val="004C0F04"/>
    <w:rsid w:val="004C2EA6"/>
    <w:rsid w:val="004C3D22"/>
    <w:rsid w:val="004C4AED"/>
    <w:rsid w:val="004C4E5B"/>
    <w:rsid w:val="004C6B58"/>
    <w:rsid w:val="004C6BB0"/>
    <w:rsid w:val="004C7436"/>
    <w:rsid w:val="004D0253"/>
    <w:rsid w:val="004D0BD1"/>
    <w:rsid w:val="004D1CF5"/>
    <w:rsid w:val="004D2192"/>
    <w:rsid w:val="004D2C2D"/>
    <w:rsid w:val="004D2CFD"/>
    <w:rsid w:val="004D2DE4"/>
    <w:rsid w:val="004D4C8E"/>
    <w:rsid w:val="004D51F7"/>
    <w:rsid w:val="004D5DF5"/>
    <w:rsid w:val="004D6F7F"/>
    <w:rsid w:val="004D7227"/>
    <w:rsid w:val="004D74BF"/>
    <w:rsid w:val="004E0070"/>
    <w:rsid w:val="004E0E7F"/>
    <w:rsid w:val="004E0EB8"/>
    <w:rsid w:val="004E1425"/>
    <w:rsid w:val="004E1B93"/>
    <w:rsid w:val="004E1BE4"/>
    <w:rsid w:val="004E2745"/>
    <w:rsid w:val="004E2ADC"/>
    <w:rsid w:val="004E43B2"/>
    <w:rsid w:val="004E4CAE"/>
    <w:rsid w:val="004E5319"/>
    <w:rsid w:val="004E5B6D"/>
    <w:rsid w:val="004E7566"/>
    <w:rsid w:val="004E7B04"/>
    <w:rsid w:val="004E7C75"/>
    <w:rsid w:val="004F18E2"/>
    <w:rsid w:val="004F1D02"/>
    <w:rsid w:val="004F2679"/>
    <w:rsid w:val="004F2DD2"/>
    <w:rsid w:val="004F2F21"/>
    <w:rsid w:val="004F2F5F"/>
    <w:rsid w:val="004F31C2"/>
    <w:rsid w:val="004F40BA"/>
    <w:rsid w:val="004F459D"/>
    <w:rsid w:val="004F5C8E"/>
    <w:rsid w:val="004F6791"/>
    <w:rsid w:val="004F6913"/>
    <w:rsid w:val="004F7865"/>
    <w:rsid w:val="0050048A"/>
    <w:rsid w:val="0050109B"/>
    <w:rsid w:val="005010E0"/>
    <w:rsid w:val="0050219B"/>
    <w:rsid w:val="00503F17"/>
    <w:rsid w:val="00506928"/>
    <w:rsid w:val="005125CE"/>
    <w:rsid w:val="00512921"/>
    <w:rsid w:val="0051322A"/>
    <w:rsid w:val="005152B5"/>
    <w:rsid w:val="00516894"/>
    <w:rsid w:val="005175EE"/>
    <w:rsid w:val="00521319"/>
    <w:rsid w:val="00521B08"/>
    <w:rsid w:val="00522BC8"/>
    <w:rsid w:val="00523C28"/>
    <w:rsid w:val="005263F9"/>
    <w:rsid w:val="0052698D"/>
    <w:rsid w:val="005277CB"/>
    <w:rsid w:val="005279FC"/>
    <w:rsid w:val="005315B9"/>
    <w:rsid w:val="0053162A"/>
    <w:rsid w:val="0053275C"/>
    <w:rsid w:val="00532891"/>
    <w:rsid w:val="0053357C"/>
    <w:rsid w:val="00533D40"/>
    <w:rsid w:val="00533E24"/>
    <w:rsid w:val="00534BF8"/>
    <w:rsid w:val="00535C9D"/>
    <w:rsid w:val="00535D7E"/>
    <w:rsid w:val="00536A5F"/>
    <w:rsid w:val="00536F42"/>
    <w:rsid w:val="00537182"/>
    <w:rsid w:val="00540A05"/>
    <w:rsid w:val="00540B45"/>
    <w:rsid w:val="00541698"/>
    <w:rsid w:val="00542008"/>
    <w:rsid w:val="00542207"/>
    <w:rsid w:val="00542743"/>
    <w:rsid w:val="00542900"/>
    <w:rsid w:val="00542C2D"/>
    <w:rsid w:val="00543132"/>
    <w:rsid w:val="00543D5A"/>
    <w:rsid w:val="005448CC"/>
    <w:rsid w:val="00545B1E"/>
    <w:rsid w:val="00546B2E"/>
    <w:rsid w:val="0054707B"/>
    <w:rsid w:val="00547E02"/>
    <w:rsid w:val="00550ED8"/>
    <w:rsid w:val="00551985"/>
    <w:rsid w:val="005527B5"/>
    <w:rsid w:val="00552BD3"/>
    <w:rsid w:val="00554720"/>
    <w:rsid w:val="00555109"/>
    <w:rsid w:val="0055632B"/>
    <w:rsid w:val="00556F3C"/>
    <w:rsid w:val="0056007E"/>
    <w:rsid w:val="00560EDE"/>
    <w:rsid w:val="005620EB"/>
    <w:rsid w:val="00562E6E"/>
    <w:rsid w:val="005631A4"/>
    <w:rsid w:val="005654C8"/>
    <w:rsid w:val="00566030"/>
    <w:rsid w:val="0056696F"/>
    <w:rsid w:val="005718AD"/>
    <w:rsid w:val="00572269"/>
    <w:rsid w:val="0057244A"/>
    <w:rsid w:val="00574251"/>
    <w:rsid w:val="00574723"/>
    <w:rsid w:val="00575631"/>
    <w:rsid w:val="005757A2"/>
    <w:rsid w:val="00575D8D"/>
    <w:rsid w:val="00576972"/>
    <w:rsid w:val="005776F2"/>
    <w:rsid w:val="00577921"/>
    <w:rsid w:val="00582355"/>
    <w:rsid w:val="005827FC"/>
    <w:rsid w:val="00583699"/>
    <w:rsid w:val="00583EB3"/>
    <w:rsid w:val="00583FA9"/>
    <w:rsid w:val="00584241"/>
    <w:rsid w:val="005852BD"/>
    <w:rsid w:val="00585CDD"/>
    <w:rsid w:val="00586B57"/>
    <w:rsid w:val="00587058"/>
    <w:rsid w:val="00587664"/>
    <w:rsid w:val="005878EB"/>
    <w:rsid w:val="005900E6"/>
    <w:rsid w:val="005916A3"/>
    <w:rsid w:val="00591957"/>
    <w:rsid w:val="00594ACE"/>
    <w:rsid w:val="00595673"/>
    <w:rsid w:val="0059655A"/>
    <w:rsid w:val="005966DA"/>
    <w:rsid w:val="005975A7"/>
    <w:rsid w:val="00597BF9"/>
    <w:rsid w:val="005A0818"/>
    <w:rsid w:val="005A0E14"/>
    <w:rsid w:val="005A20CB"/>
    <w:rsid w:val="005A344B"/>
    <w:rsid w:val="005A373D"/>
    <w:rsid w:val="005A4094"/>
    <w:rsid w:val="005A62DF"/>
    <w:rsid w:val="005B21B6"/>
    <w:rsid w:val="005B2A9E"/>
    <w:rsid w:val="005B379F"/>
    <w:rsid w:val="005B4A68"/>
    <w:rsid w:val="005B5857"/>
    <w:rsid w:val="005B64ED"/>
    <w:rsid w:val="005B6597"/>
    <w:rsid w:val="005B6748"/>
    <w:rsid w:val="005B6E73"/>
    <w:rsid w:val="005C011F"/>
    <w:rsid w:val="005C078C"/>
    <w:rsid w:val="005C1B83"/>
    <w:rsid w:val="005C2D55"/>
    <w:rsid w:val="005C2DBF"/>
    <w:rsid w:val="005C346B"/>
    <w:rsid w:val="005C4F8F"/>
    <w:rsid w:val="005C58AF"/>
    <w:rsid w:val="005C60E1"/>
    <w:rsid w:val="005C6C0F"/>
    <w:rsid w:val="005C6C80"/>
    <w:rsid w:val="005D01F8"/>
    <w:rsid w:val="005D044D"/>
    <w:rsid w:val="005D0ABD"/>
    <w:rsid w:val="005D1349"/>
    <w:rsid w:val="005D18AD"/>
    <w:rsid w:val="005D26B4"/>
    <w:rsid w:val="005D3153"/>
    <w:rsid w:val="005D368B"/>
    <w:rsid w:val="005D4305"/>
    <w:rsid w:val="005D4415"/>
    <w:rsid w:val="005E00E8"/>
    <w:rsid w:val="005E043C"/>
    <w:rsid w:val="005E35D2"/>
    <w:rsid w:val="005E582B"/>
    <w:rsid w:val="005E691E"/>
    <w:rsid w:val="005E6CBC"/>
    <w:rsid w:val="005E705B"/>
    <w:rsid w:val="005E73C0"/>
    <w:rsid w:val="005E7C9B"/>
    <w:rsid w:val="005F0E20"/>
    <w:rsid w:val="005F2706"/>
    <w:rsid w:val="005F28AB"/>
    <w:rsid w:val="005F5C85"/>
    <w:rsid w:val="005F6A8F"/>
    <w:rsid w:val="005F79EC"/>
    <w:rsid w:val="00600405"/>
    <w:rsid w:val="0060041A"/>
    <w:rsid w:val="0060168B"/>
    <w:rsid w:val="006016CE"/>
    <w:rsid w:val="006018B6"/>
    <w:rsid w:val="006018E7"/>
    <w:rsid w:val="00601FA4"/>
    <w:rsid w:val="00603D9B"/>
    <w:rsid w:val="00603DB9"/>
    <w:rsid w:val="00604EAA"/>
    <w:rsid w:val="00604EF7"/>
    <w:rsid w:val="00605421"/>
    <w:rsid w:val="00607669"/>
    <w:rsid w:val="00607AFD"/>
    <w:rsid w:val="00610D0B"/>
    <w:rsid w:val="006111E1"/>
    <w:rsid w:val="00611F80"/>
    <w:rsid w:val="00612F97"/>
    <w:rsid w:val="00613198"/>
    <w:rsid w:val="0061345D"/>
    <w:rsid w:val="006147C4"/>
    <w:rsid w:val="00615A80"/>
    <w:rsid w:val="00615E78"/>
    <w:rsid w:val="00616544"/>
    <w:rsid w:val="00616567"/>
    <w:rsid w:val="00616802"/>
    <w:rsid w:val="00616B10"/>
    <w:rsid w:val="006172C8"/>
    <w:rsid w:val="00617E12"/>
    <w:rsid w:val="006210CA"/>
    <w:rsid w:val="00621477"/>
    <w:rsid w:val="00621BEE"/>
    <w:rsid w:val="006224F5"/>
    <w:rsid w:val="006226EC"/>
    <w:rsid w:val="00623CA4"/>
    <w:rsid w:val="00625236"/>
    <w:rsid w:val="00626896"/>
    <w:rsid w:val="0063029E"/>
    <w:rsid w:val="006304E4"/>
    <w:rsid w:val="0063158F"/>
    <w:rsid w:val="00631684"/>
    <w:rsid w:val="00631D6B"/>
    <w:rsid w:val="00631F9F"/>
    <w:rsid w:val="0063217F"/>
    <w:rsid w:val="006330A1"/>
    <w:rsid w:val="0063479F"/>
    <w:rsid w:val="006353F0"/>
    <w:rsid w:val="006364A1"/>
    <w:rsid w:val="00637270"/>
    <w:rsid w:val="00637BFD"/>
    <w:rsid w:val="006414C6"/>
    <w:rsid w:val="00641C4E"/>
    <w:rsid w:val="00641E21"/>
    <w:rsid w:val="00642D1D"/>
    <w:rsid w:val="006438B9"/>
    <w:rsid w:val="00644DC6"/>
    <w:rsid w:val="0064587C"/>
    <w:rsid w:val="00646208"/>
    <w:rsid w:val="006466DC"/>
    <w:rsid w:val="006471CC"/>
    <w:rsid w:val="00647A3E"/>
    <w:rsid w:val="00650454"/>
    <w:rsid w:val="0065079F"/>
    <w:rsid w:val="006515EE"/>
    <w:rsid w:val="00651A4A"/>
    <w:rsid w:val="00651C79"/>
    <w:rsid w:val="0065379F"/>
    <w:rsid w:val="006537D2"/>
    <w:rsid w:val="00653F0C"/>
    <w:rsid w:val="0065507B"/>
    <w:rsid w:val="00655400"/>
    <w:rsid w:val="00655573"/>
    <w:rsid w:val="00657824"/>
    <w:rsid w:val="006607B4"/>
    <w:rsid w:val="00660886"/>
    <w:rsid w:val="00660CCF"/>
    <w:rsid w:val="006618BD"/>
    <w:rsid w:val="00661C6B"/>
    <w:rsid w:val="0066232C"/>
    <w:rsid w:val="00662397"/>
    <w:rsid w:val="006707FD"/>
    <w:rsid w:val="00674B4D"/>
    <w:rsid w:val="00674E42"/>
    <w:rsid w:val="00676455"/>
    <w:rsid w:val="00676829"/>
    <w:rsid w:val="00676BA1"/>
    <w:rsid w:val="006779C5"/>
    <w:rsid w:val="00681A5C"/>
    <w:rsid w:val="00681CCB"/>
    <w:rsid w:val="00681D25"/>
    <w:rsid w:val="00682112"/>
    <w:rsid w:val="006825D6"/>
    <w:rsid w:val="00683322"/>
    <w:rsid w:val="006836C5"/>
    <w:rsid w:val="006842DB"/>
    <w:rsid w:val="00685946"/>
    <w:rsid w:val="00685EFA"/>
    <w:rsid w:val="00686957"/>
    <w:rsid w:val="006870DA"/>
    <w:rsid w:val="006872BA"/>
    <w:rsid w:val="00687CC6"/>
    <w:rsid w:val="00691611"/>
    <w:rsid w:val="00691648"/>
    <w:rsid w:val="006917D7"/>
    <w:rsid w:val="00691900"/>
    <w:rsid w:val="00691B2C"/>
    <w:rsid w:val="006921C7"/>
    <w:rsid w:val="006932BF"/>
    <w:rsid w:val="00694F44"/>
    <w:rsid w:val="006951F8"/>
    <w:rsid w:val="006959FB"/>
    <w:rsid w:val="00695EF2"/>
    <w:rsid w:val="0069612F"/>
    <w:rsid w:val="00696BD1"/>
    <w:rsid w:val="0069789D"/>
    <w:rsid w:val="0069792E"/>
    <w:rsid w:val="006A0570"/>
    <w:rsid w:val="006A0660"/>
    <w:rsid w:val="006A0FDD"/>
    <w:rsid w:val="006A1A10"/>
    <w:rsid w:val="006A229A"/>
    <w:rsid w:val="006A2D8C"/>
    <w:rsid w:val="006A331E"/>
    <w:rsid w:val="006A4B16"/>
    <w:rsid w:val="006A4CB1"/>
    <w:rsid w:val="006A4F20"/>
    <w:rsid w:val="006A5E8F"/>
    <w:rsid w:val="006A7D8B"/>
    <w:rsid w:val="006A7E5F"/>
    <w:rsid w:val="006B0826"/>
    <w:rsid w:val="006B118E"/>
    <w:rsid w:val="006B19EC"/>
    <w:rsid w:val="006B261B"/>
    <w:rsid w:val="006B2C90"/>
    <w:rsid w:val="006B38F9"/>
    <w:rsid w:val="006B3C3F"/>
    <w:rsid w:val="006B5543"/>
    <w:rsid w:val="006B5F9D"/>
    <w:rsid w:val="006B69B3"/>
    <w:rsid w:val="006B6DD0"/>
    <w:rsid w:val="006C14F3"/>
    <w:rsid w:val="006C2A8E"/>
    <w:rsid w:val="006C4D15"/>
    <w:rsid w:val="006C648F"/>
    <w:rsid w:val="006D0D23"/>
    <w:rsid w:val="006D1358"/>
    <w:rsid w:val="006D1D82"/>
    <w:rsid w:val="006D3C7D"/>
    <w:rsid w:val="006D48A8"/>
    <w:rsid w:val="006D4BE8"/>
    <w:rsid w:val="006D5112"/>
    <w:rsid w:val="006D5D20"/>
    <w:rsid w:val="006D5D5F"/>
    <w:rsid w:val="006D666D"/>
    <w:rsid w:val="006D6A13"/>
    <w:rsid w:val="006D6AC3"/>
    <w:rsid w:val="006E0C15"/>
    <w:rsid w:val="006E1B5B"/>
    <w:rsid w:val="006E21BE"/>
    <w:rsid w:val="006E22FC"/>
    <w:rsid w:val="006E31DD"/>
    <w:rsid w:val="006E3CCD"/>
    <w:rsid w:val="006E4136"/>
    <w:rsid w:val="006E4BCB"/>
    <w:rsid w:val="006E66C6"/>
    <w:rsid w:val="006E772C"/>
    <w:rsid w:val="006F0348"/>
    <w:rsid w:val="006F10E2"/>
    <w:rsid w:val="006F11E2"/>
    <w:rsid w:val="006F187A"/>
    <w:rsid w:val="006F299C"/>
    <w:rsid w:val="006F306C"/>
    <w:rsid w:val="006F4778"/>
    <w:rsid w:val="006F52B9"/>
    <w:rsid w:val="006F63A5"/>
    <w:rsid w:val="006F7033"/>
    <w:rsid w:val="006F70BD"/>
    <w:rsid w:val="006F7157"/>
    <w:rsid w:val="006F7A0B"/>
    <w:rsid w:val="006F7CF6"/>
    <w:rsid w:val="006F7FE4"/>
    <w:rsid w:val="00700A92"/>
    <w:rsid w:val="0070142B"/>
    <w:rsid w:val="00701440"/>
    <w:rsid w:val="007024DD"/>
    <w:rsid w:val="00702506"/>
    <w:rsid w:val="0070276E"/>
    <w:rsid w:val="00702F8F"/>
    <w:rsid w:val="007032EE"/>
    <w:rsid w:val="00703407"/>
    <w:rsid w:val="0070379A"/>
    <w:rsid w:val="0070529D"/>
    <w:rsid w:val="00711228"/>
    <w:rsid w:val="00711A36"/>
    <w:rsid w:val="00711ADB"/>
    <w:rsid w:val="00712782"/>
    <w:rsid w:val="00712C06"/>
    <w:rsid w:val="007141BD"/>
    <w:rsid w:val="00714BD8"/>
    <w:rsid w:val="0071529C"/>
    <w:rsid w:val="00716FE9"/>
    <w:rsid w:val="007172AD"/>
    <w:rsid w:val="00717583"/>
    <w:rsid w:val="0072158C"/>
    <w:rsid w:val="007216B7"/>
    <w:rsid w:val="0072178C"/>
    <w:rsid w:val="00721A13"/>
    <w:rsid w:val="00721D56"/>
    <w:rsid w:val="0072218C"/>
    <w:rsid w:val="00722B1B"/>
    <w:rsid w:val="00723BA0"/>
    <w:rsid w:val="0072416F"/>
    <w:rsid w:val="00724C6E"/>
    <w:rsid w:val="00724F66"/>
    <w:rsid w:val="00725218"/>
    <w:rsid w:val="007260A9"/>
    <w:rsid w:val="00727C94"/>
    <w:rsid w:val="00730B76"/>
    <w:rsid w:val="00731619"/>
    <w:rsid w:val="007319DE"/>
    <w:rsid w:val="00731EAE"/>
    <w:rsid w:val="00732EE3"/>
    <w:rsid w:val="0073369A"/>
    <w:rsid w:val="00735033"/>
    <w:rsid w:val="00735328"/>
    <w:rsid w:val="00735520"/>
    <w:rsid w:val="00735D85"/>
    <w:rsid w:val="0073685B"/>
    <w:rsid w:val="0073727E"/>
    <w:rsid w:val="00737689"/>
    <w:rsid w:val="00737757"/>
    <w:rsid w:val="007402B5"/>
    <w:rsid w:val="00740AA9"/>
    <w:rsid w:val="00740F18"/>
    <w:rsid w:val="00742869"/>
    <w:rsid w:val="00742A69"/>
    <w:rsid w:val="00742E5C"/>
    <w:rsid w:val="0074336C"/>
    <w:rsid w:val="007436B9"/>
    <w:rsid w:val="00744799"/>
    <w:rsid w:val="00746701"/>
    <w:rsid w:val="007467C8"/>
    <w:rsid w:val="007473BC"/>
    <w:rsid w:val="007475B5"/>
    <w:rsid w:val="00750D08"/>
    <w:rsid w:val="0075143A"/>
    <w:rsid w:val="00752142"/>
    <w:rsid w:val="007523F9"/>
    <w:rsid w:val="007573E8"/>
    <w:rsid w:val="007574F9"/>
    <w:rsid w:val="007577E9"/>
    <w:rsid w:val="00760036"/>
    <w:rsid w:val="00760C4E"/>
    <w:rsid w:val="00761B75"/>
    <w:rsid w:val="00761D64"/>
    <w:rsid w:val="00762F9D"/>
    <w:rsid w:val="00763D31"/>
    <w:rsid w:val="0076508D"/>
    <w:rsid w:val="00765B1A"/>
    <w:rsid w:val="00766305"/>
    <w:rsid w:val="00767075"/>
    <w:rsid w:val="00770025"/>
    <w:rsid w:val="007704DD"/>
    <w:rsid w:val="00771776"/>
    <w:rsid w:val="00772AB6"/>
    <w:rsid w:val="0077683B"/>
    <w:rsid w:val="007769C8"/>
    <w:rsid w:val="007824D4"/>
    <w:rsid w:val="007825E1"/>
    <w:rsid w:val="00782F48"/>
    <w:rsid w:val="007843F2"/>
    <w:rsid w:val="00785296"/>
    <w:rsid w:val="00786BA4"/>
    <w:rsid w:val="007917D7"/>
    <w:rsid w:val="00792BD9"/>
    <w:rsid w:val="00794431"/>
    <w:rsid w:val="00794651"/>
    <w:rsid w:val="00794BA0"/>
    <w:rsid w:val="00795B54"/>
    <w:rsid w:val="0079631B"/>
    <w:rsid w:val="007A01CC"/>
    <w:rsid w:val="007A01DD"/>
    <w:rsid w:val="007A0A02"/>
    <w:rsid w:val="007A0A12"/>
    <w:rsid w:val="007A1009"/>
    <w:rsid w:val="007A132D"/>
    <w:rsid w:val="007A146C"/>
    <w:rsid w:val="007A19BA"/>
    <w:rsid w:val="007A27A8"/>
    <w:rsid w:val="007A2921"/>
    <w:rsid w:val="007A3907"/>
    <w:rsid w:val="007A48AF"/>
    <w:rsid w:val="007A5E44"/>
    <w:rsid w:val="007A6B0A"/>
    <w:rsid w:val="007B0D68"/>
    <w:rsid w:val="007B1621"/>
    <w:rsid w:val="007B19DF"/>
    <w:rsid w:val="007B251D"/>
    <w:rsid w:val="007B2DEC"/>
    <w:rsid w:val="007B37EE"/>
    <w:rsid w:val="007B3AEF"/>
    <w:rsid w:val="007B3B4D"/>
    <w:rsid w:val="007B3B81"/>
    <w:rsid w:val="007B3BCB"/>
    <w:rsid w:val="007B4F58"/>
    <w:rsid w:val="007B528D"/>
    <w:rsid w:val="007B7464"/>
    <w:rsid w:val="007B77D1"/>
    <w:rsid w:val="007B77FE"/>
    <w:rsid w:val="007C07EC"/>
    <w:rsid w:val="007C13A7"/>
    <w:rsid w:val="007C1795"/>
    <w:rsid w:val="007C1CD9"/>
    <w:rsid w:val="007C29B4"/>
    <w:rsid w:val="007C3060"/>
    <w:rsid w:val="007C361D"/>
    <w:rsid w:val="007C4B84"/>
    <w:rsid w:val="007C6927"/>
    <w:rsid w:val="007C7318"/>
    <w:rsid w:val="007C76F2"/>
    <w:rsid w:val="007C7B54"/>
    <w:rsid w:val="007D004F"/>
    <w:rsid w:val="007D0B38"/>
    <w:rsid w:val="007D1B56"/>
    <w:rsid w:val="007D2457"/>
    <w:rsid w:val="007D2DD2"/>
    <w:rsid w:val="007D3468"/>
    <w:rsid w:val="007D43EC"/>
    <w:rsid w:val="007D4716"/>
    <w:rsid w:val="007D5440"/>
    <w:rsid w:val="007E0920"/>
    <w:rsid w:val="007E1131"/>
    <w:rsid w:val="007E1FCC"/>
    <w:rsid w:val="007E2F10"/>
    <w:rsid w:val="007E44B5"/>
    <w:rsid w:val="007E4894"/>
    <w:rsid w:val="007E57CA"/>
    <w:rsid w:val="007E7018"/>
    <w:rsid w:val="007E7F0F"/>
    <w:rsid w:val="007F1017"/>
    <w:rsid w:val="007F2A7B"/>
    <w:rsid w:val="007F2E65"/>
    <w:rsid w:val="007F301D"/>
    <w:rsid w:val="007F344B"/>
    <w:rsid w:val="007F36EE"/>
    <w:rsid w:val="007F4A3F"/>
    <w:rsid w:val="007F4A61"/>
    <w:rsid w:val="007F60CA"/>
    <w:rsid w:val="007F61B2"/>
    <w:rsid w:val="007F61C2"/>
    <w:rsid w:val="007F6B53"/>
    <w:rsid w:val="007F701D"/>
    <w:rsid w:val="007F7547"/>
    <w:rsid w:val="007F7EC1"/>
    <w:rsid w:val="008006E9"/>
    <w:rsid w:val="0080150A"/>
    <w:rsid w:val="00801895"/>
    <w:rsid w:val="00802C10"/>
    <w:rsid w:val="00804D2A"/>
    <w:rsid w:val="00805142"/>
    <w:rsid w:val="008079F7"/>
    <w:rsid w:val="00807A8B"/>
    <w:rsid w:val="00807AB9"/>
    <w:rsid w:val="00811283"/>
    <w:rsid w:val="00811383"/>
    <w:rsid w:val="0081167D"/>
    <w:rsid w:val="00812149"/>
    <w:rsid w:val="008127E5"/>
    <w:rsid w:val="00812CAC"/>
    <w:rsid w:val="00812E84"/>
    <w:rsid w:val="00814080"/>
    <w:rsid w:val="008162E5"/>
    <w:rsid w:val="008166EF"/>
    <w:rsid w:val="00816E6A"/>
    <w:rsid w:val="00817631"/>
    <w:rsid w:val="00817632"/>
    <w:rsid w:val="008210EB"/>
    <w:rsid w:val="008229B7"/>
    <w:rsid w:val="008251B8"/>
    <w:rsid w:val="00825751"/>
    <w:rsid w:val="008264EB"/>
    <w:rsid w:val="00826574"/>
    <w:rsid w:val="00826E9A"/>
    <w:rsid w:val="0082742F"/>
    <w:rsid w:val="00831E55"/>
    <w:rsid w:val="00833737"/>
    <w:rsid w:val="00833B05"/>
    <w:rsid w:val="008356D0"/>
    <w:rsid w:val="00835B72"/>
    <w:rsid w:val="00836049"/>
    <w:rsid w:val="008362B4"/>
    <w:rsid w:val="00840136"/>
    <w:rsid w:val="00840CA2"/>
    <w:rsid w:val="00840CD0"/>
    <w:rsid w:val="00840DB8"/>
    <w:rsid w:val="008424A7"/>
    <w:rsid w:val="0084374F"/>
    <w:rsid w:val="00844547"/>
    <w:rsid w:val="00844820"/>
    <w:rsid w:val="0084616C"/>
    <w:rsid w:val="008464FE"/>
    <w:rsid w:val="00847DF5"/>
    <w:rsid w:val="008526ED"/>
    <w:rsid w:val="00852C73"/>
    <w:rsid w:val="0085309D"/>
    <w:rsid w:val="00854907"/>
    <w:rsid w:val="00854E18"/>
    <w:rsid w:val="00856897"/>
    <w:rsid w:val="00856E9A"/>
    <w:rsid w:val="0085742E"/>
    <w:rsid w:val="008575FA"/>
    <w:rsid w:val="00860400"/>
    <w:rsid w:val="0086075D"/>
    <w:rsid w:val="00860CA4"/>
    <w:rsid w:val="00861609"/>
    <w:rsid w:val="00861BF1"/>
    <w:rsid w:val="00861D37"/>
    <w:rsid w:val="0086238E"/>
    <w:rsid w:val="00862502"/>
    <w:rsid w:val="00862D1F"/>
    <w:rsid w:val="00863089"/>
    <w:rsid w:val="00863AA6"/>
    <w:rsid w:val="00864A10"/>
    <w:rsid w:val="0086544B"/>
    <w:rsid w:val="008659F5"/>
    <w:rsid w:val="00865F3B"/>
    <w:rsid w:val="008660D4"/>
    <w:rsid w:val="00866536"/>
    <w:rsid w:val="00870405"/>
    <w:rsid w:val="00870BC4"/>
    <w:rsid w:val="00871448"/>
    <w:rsid w:val="00871CA2"/>
    <w:rsid w:val="00871FA9"/>
    <w:rsid w:val="008727B0"/>
    <w:rsid w:val="008728E9"/>
    <w:rsid w:val="0087296A"/>
    <w:rsid w:val="0087351A"/>
    <w:rsid w:val="0087659F"/>
    <w:rsid w:val="008768C8"/>
    <w:rsid w:val="00876BFD"/>
    <w:rsid w:val="0087775B"/>
    <w:rsid w:val="00877CDA"/>
    <w:rsid w:val="00880355"/>
    <w:rsid w:val="00880709"/>
    <w:rsid w:val="00880D17"/>
    <w:rsid w:val="00881AF0"/>
    <w:rsid w:val="0088255B"/>
    <w:rsid w:val="00882874"/>
    <w:rsid w:val="00883787"/>
    <w:rsid w:val="00885E01"/>
    <w:rsid w:val="00885E77"/>
    <w:rsid w:val="00886CD2"/>
    <w:rsid w:val="00886E58"/>
    <w:rsid w:val="00887900"/>
    <w:rsid w:val="00890ADD"/>
    <w:rsid w:val="00891B96"/>
    <w:rsid w:val="00892A36"/>
    <w:rsid w:val="00892D85"/>
    <w:rsid w:val="00893239"/>
    <w:rsid w:val="0089401B"/>
    <w:rsid w:val="00894489"/>
    <w:rsid w:val="008963A5"/>
    <w:rsid w:val="0089721F"/>
    <w:rsid w:val="008A03F5"/>
    <w:rsid w:val="008A3363"/>
    <w:rsid w:val="008A3371"/>
    <w:rsid w:val="008A3C3E"/>
    <w:rsid w:val="008A3D6F"/>
    <w:rsid w:val="008A630C"/>
    <w:rsid w:val="008A6DBA"/>
    <w:rsid w:val="008A6EA7"/>
    <w:rsid w:val="008A79DE"/>
    <w:rsid w:val="008B06AF"/>
    <w:rsid w:val="008B11B5"/>
    <w:rsid w:val="008B1757"/>
    <w:rsid w:val="008B1C44"/>
    <w:rsid w:val="008B2CAF"/>
    <w:rsid w:val="008B3651"/>
    <w:rsid w:val="008B47C3"/>
    <w:rsid w:val="008B625F"/>
    <w:rsid w:val="008B699B"/>
    <w:rsid w:val="008B6B74"/>
    <w:rsid w:val="008B7D7E"/>
    <w:rsid w:val="008C093A"/>
    <w:rsid w:val="008C14BA"/>
    <w:rsid w:val="008C1D2F"/>
    <w:rsid w:val="008C2031"/>
    <w:rsid w:val="008C385A"/>
    <w:rsid w:val="008C56C9"/>
    <w:rsid w:val="008C5D3A"/>
    <w:rsid w:val="008C631B"/>
    <w:rsid w:val="008C7ECB"/>
    <w:rsid w:val="008D33A5"/>
    <w:rsid w:val="008D418D"/>
    <w:rsid w:val="008D46E9"/>
    <w:rsid w:val="008D4755"/>
    <w:rsid w:val="008D4B61"/>
    <w:rsid w:val="008D4C3D"/>
    <w:rsid w:val="008D57D4"/>
    <w:rsid w:val="008D5B3A"/>
    <w:rsid w:val="008D6DDD"/>
    <w:rsid w:val="008D7896"/>
    <w:rsid w:val="008E0993"/>
    <w:rsid w:val="008E0A3C"/>
    <w:rsid w:val="008E0D3C"/>
    <w:rsid w:val="008E1B9E"/>
    <w:rsid w:val="008E3AFE"/>
    <w:rsid w:val="008E4E48"/>
    <w:rsid w:val="008E55AB"/>
    <w:rsid w:val="008E5B9B"/>
    <w:rsid w:val="008E6D98"/>
    <w:rsid w:val="008F026D"/>
    <w:rsid w:val="008F07D0"/>
    <w:rsid w:val="008F120A"/>
    <w:rsid w:val="008F24B5"/>
    <w:rsid w:val="008F27E0"/>
    <w:rsid w:val="008F3096"/>
    <w:rsid w:val="008F36E7"/>
    <w:rsid w:val="008F48EB"/>
    <w:rsid w:val="008F4F0B"/>
    <w:rsid w:val="008F5D66"/>
    <w:rsid w:val="008F7918"/>
    <w:rsid w:val="009000FF"/>
    <w:rsid w:val="00901C03"/>
    <w:rsid w:val="009033D1"/>
    <w:rsid w:val="00903819"/>
    <w:rsid w:val="009046C4"/>
    <w:rsid w:val="00905C86"/>
    <w:rsid w:val="00905EDE"/>
    <w:rsid w:val="009062A5"/>
    <w:rsid w:val="009062AE"/>
    <w:rsid w:val="00906F8B"/>
    <w:rsid w:val="009074DD"/>
    <w:rsid w:val="0090756B"/>
    <w:rsid w:val="00910455"/>
    <w:rsid w:val="00911272"/>
    <w:rsid w:val="00912BF4"/>
    <w:rsid w:val="009135D6"/>
    <w:rsid w:val="00914C00"/>
    <w:rsid w:val="00914C77"/>
    <w:rsid w:val="009154BB"/>
    <w:rsid w:val="009157A1"/>
    <w:rsid w:val="00915FFC"/>
    <w:rsid w:val="00916CE4"/>
    <w:rsid w:val="00916D0C"/>
    <w:rsid w:val="00920510"/>
    <w:rsid w:val="009206D3"/>
    <w:rsid w:val="00921C8F"/>
    <w:rsid w:val="00921F7A"/>
    <w:rsid w:val="00922138"/>
    <w:rsid w:val="0092369B"/>
    <w:rsid w:val="00924D40"/>
    <w:rsid w:val="00924F47"/>
    <w:rsid w:val="00925063"/>
    <w:rsid w:val="0092569C"/>
    <w:rsid w:val="0093455F"/>
    <w:rsid w:val="0093463E"/>
    <w:rsid w:val="009347E0"/>
    <w:rsid w:val="009347F1"/>
    <w:rsid w:val="00934B30"/>
    <w:rsid w:val="00934F69"/>
    <w:rsid w:val="009356DB"/>
    <w:rsid w:val="00937464"/>
    <w:rsid w:val="00937465"/>
    <w:rsid w:val="00937F0F"/>
    <w:rsid w:val="00940292"/>
    <w:rsid w:val="009414B2"/>
    <w:rsid w:val="009436AD"/>
    <w:rsid w:val="0094387F"/>
    <w:rsid w:val="00944871"/>
    <w:rsid w:val="00946433"/>
    <w:rsid w:val="00947A2C"/>
    <w:rsid w:val="00947FD3"/>
    <w:rsid w:val="009510A2"/>
    <w:rsid w:val="00951EAB"/>
    <w:rsid w:val="00952AED"/>
    <w:rsid w:val="00953257"/>
    <w:rsid w:val="009536CF"/>
    <w:rsid w:val="009536FA"/>
    <w:rsid w:val="0095732C"/>
    <w:rsid w:val="00957676"/>
    <w:rsid w:val="009617C9"/>
    <w:rsid w:val="00962A1E"/>
    <w:rsid w:val="00962CB9"/>
    <w:rsid w:val="00963528"/>
    <w:rsid w:val="00963576"/>
    <w:rsid w:val="0096424E"/>
    <w:rsid w:val="00964312"/>
    <w:rsid w:val="00964E74"/>
    <w:rsid w:val="00964EDC"/>
    <w:rsid w:val="00965208"/>
    <w:rsid w:val="0096539D"/>
    <w:rsid w:val="00965B8A"/>
    <w:rsid w:val="00966669"/>
    <w:rsid w:val="00967581"/>
    <w:rsid w:val="00970042"/>
    <w:rsid w:val="0097015F"/>
    <w:rsid w:val="009717AC"/>
    <w:rsid w:val="009733C9"/>
    <w:rsid w:val="00973C77"/>
    <w:rsid w:val="00973F87"/>
    <w:rsid w:val="00976B10"/>
    <w:rsid w:val="009772F9"/>
    <w:rsid w:val="009779B4"/>
    <w:rsid w:val="00977E3C"/>
    <w:rsid w:val="00980C8A"/>
    <w:rsid w:val="00981D17"/>
    <w:rsid w:val="00982544"/>
    <w:rsid w:val="009827E3"/>
    <w:rsid w:val="00983E57"/>
    <w:rsid w:val="00984142"/>
    <w:rsid w:val="00984A7E"/>
    <w:rsid w:val="00984F7B"/>
    <w:rsid w:val="00985DD4"/>
    <w:rsid w:val="00985E97"/>
    <w:rsid w:val="00986134"/>
    <w:rsid w:val="0098675D"/>
    <w:rsid w:val="00987BA0"/>
    <w:rsid w:val="009913B4"/>
    <w:rsid w:val="00993915"/>
    <w:rsid w:val="00993B8C"/>
    <w:rsid w:val="009957AF"/>
    <w:rsid w:val="0099584A"/>
    <w:rsid w:val="00996B1A"/>
    <w:rsid w:val="009A0ACB"/>
    <w:rsid w:val="009A30E8"/>
    <w:rsid w:val="009A3559"/>
    <w:rsid w:val="009A3B0F"/>
    <w:rsid w:val="009A4872"/>
    <w:rsid w:val="009A4EAE"/>
    <w:rsid w:val="009A6885"/>
    <w:rsid w:val="009A70F8"/>
    <w:rsid w:val="009A7F10"/>
    <w:rsid w:val="009B2914"/>
    <w:rsid w:val="009B2DBF"/>
    <w:rsid w:val="009B3E26"/>
    <w:rsid w:val="009B40CF"/>
    <w:rsid w:val="009B490E"/>
    <w:rsid w:val="009B5850"/>
    <w:rsid w:val="009B5966"/>
    <w:rsid w:val="009B5B83"/>
    <w:rsid w:val="009B5C68"/>
    <w:rsid w:val="009B5C9C"/>
    <w:rsid w:val="009B6BC1"/>
    <w:rsid w:val="009B6E4E"/>
    <w:rsid w:val="009C0FC6"/>
    <w:rsid w:val="009C2A63"/>
    <w:rsid w:val="009C2F98"/>
    <w:rsid w:val="009C3CC9"/>
    <w:rsid w:val="009C3FC2"/>
    <w:rsid w:val="009C47CC"/>
    <w:rsid w:val="009C5B94"/>
    <w:rsid w:val="009C5FD5"/>
    <w:rsid w:val="009C6CEA"/>
    <w:rsid w:val="009C7A0C"/>
    <w:rsid w:val="009C7B85"/>
    <w:rsid w:val="009C7BDF"/>
    <w:rsid w:val="009D1F67"/>
    <w:rsid w:val="009D26B8"/>
    <w:rsid w:val="009D2E2D"/>
    <w:rsid w:val="009D34FD"/>
    <w:rsid w:val="009D4E5F"/>
    <w:rsid w:val="009D58B8"/>
    <w:rsid w:val="009D5B91"/>
    <w:rsid w:val="009D6223"/>
    <w:rsid w:val="009D7768"/>
    <w:rsid w:val="009D792E"/>
    <w:rsid w:val="009E0DFE"/>
    <w:rsid w:val="009E1889"/>
    <w:rsid w:val="009E1953"/>
    <w:rsid w:val="009E2937"/>
    <w:rsid w:val="009E3210"/>
    <w:rsid w:val="009E39E2"/>
    <w:rsid w:val="009E4314"/>
    <w:rsid w:val="009E4C07"/>
    <w:rsid w:val="009E57ED"/>
    <w:rsid w:val="009E72A9"/>
    <w:rsid w:val="009E7704"/>
    <w:rsid w:val="009E7856"/>
    <w:rsid w:val="009E7A64"/>
    <w:rsid w:val="009E7BE4"/>
    <w:rsid w:val="009F10CB"/>
    <w:rsid w:val="009F1512"/>
    <w:rsid w:val="009F16F6"/>
    <w:rsid w:val="009F34B6"/>
    <w:rsid w:val="009F357E"/>
    <w:rsid w:val="009F38BC"/>
    <w:rsid w:val="009F545F"/>
    <w:rsid w:val="009F55D7"/>
    <w:rsid w:val="009F61DB"/>
    <w:rsid w:val="009F6294"/>
    <w:rsid w:val="00A00EDF"/>
    <w:rsid w:val="00A01184"/>
    <w:rsid w:val="00A03803"/>
    <w:rsid w:val="00A03D43"/>
    <w:rsid w:val="00A04380"/>
    <w:rsid w:val="00A05703"/>
    <w:rsid w:val="00A06DE7"/>
    <w:rsid w:val="00A07A98"/>
    <w:rsid w:val="00A10953"/>
    <w:rsid w:val="00A1099C"/>
    <w:rsid w:val="00A11132"/>
    <w:rsid w:val="00A11CD0"/>
    <w:rsid w:val="00A12030"/>
    <w:rsid w:val="00A13948"/>
    <w:rsid w:val="00A13D23"/>
    <w:rsid w:val="00A13F3F"/>
    <w:rsid w:val="00A14CD2"/>
    <w:rsid w:val="00A1555B"/>
    <w:rsid w:val="00A15563"/>
    <w:rsid w:val="00A155C5"/>
    <w:rsid w:val="00A169FB"/>
    <w:rsid w:val="00A16AD8"/>
    <w:rsid w:val="00A1706A"/>
    <w:rsid w:val="00A1723E"/>
    <w:rsid w:val="00A207DD"/>
    <w:rsid w:val="00A214EC"/>
    <w:rsid w:val="00A21CF3"/>
    <w:rsid w:val="00A2204D"/>
    <w:rsid w:val="00A237F9"/>
    <w:rsid w:val="00A2581C"/>
    <w:rsid w:val="00A25E3E"/>
    <w:rsid w:val="00A260CE"/>
    <w:rsid w:val="00A27AEC"/>
    <w:rsid w:val="00A27C75"/>
    <w:rsid w:val="00A3017A"/>
    <w:rsid w:val="00A3036A"/>
    <w:rsid w:val="00A320DB"/>
    <w:rsid w:val="00A32A6B"/>
    <w:rsid w:val="00A33E66"/>
    <w:rsid w:val="00A35D16"/>
    <w:rsid w:val="00A3612D"/>
    <w:rsid w:val="00A37A6A"/>
    <w:rsid w:val="00A37BCD"/>
    <w:rsid w:val="00A40468"/>
    <w:rsid w:val="00A4098A"/>
    <w:rsid w:val="00A410B1"/>
    <w:rsid w:val="00A41296"/>
    <w:rsid w:val="00A4182C"/>
    <w:rsid w:val="00A42054"/>
    <w:rsid w:val="00A43C59"/>
    <w:rsid w:val="00A446E9"/>
    <w:rsid w:val="00A46ABF"/>
    <w:rsid w:val="00A47385"/>
    <w:rsid w:val="00A501EA"/>
    <w:rsid w:val="00A50ECD"/>
    <w:rsid w:val="00A518F3"/>
    <w:rsid w:val="00A51D2C"/>
    <w:rsid w:val="00A5267B"/>
    <w:rsid w:val="00A52729"/>
    <w:rsid w:val="00A53675"/>
    <w:rsid w:val="00A545EA"/>
    <w:rsid w:val="00A54DF1"/>
    <w:rsid w:val="00A55E82"/>
    <w:rsid w:val="00A564D7"/>
    <w:rsid w:val="00A5671D"/>
    <w:rsid w:val="00A56A74"/>
    <w:rsid w:val="00A56B6A"/>
    <w:rsid w:val="00A56C66"/>
    <w:rsid w:val="00A577B8"/>
    <w:rsid w:val="00A57899"/>
    <w:rsid w:val="00A578DC"/>
    <w:rsid w:val="00A616EC"/>
    <w:rsid w:val="00A635BD"/>
    <w:rsid w:val="00A637BF"/>
    <w:rsid w:val="00A64A35"/>
    <w:rsid w:val="00A65715"/>
    <w:rsid w:val="00A65AD1"/>
    <w:rsid w:val="00A6725B"/>
    <w:rsid w:val="00A702AC"/>
    <w:rsid w:val="00A70605"/>
    <w:rsid w:val="00A71020"/>
    <w:rsid w:val="00A7170E"/>
    <w:rsid w:val="00A729D6"/>
    <w:rsid w:val="00A73134"/>
    <w:rsid w:val="00A75758"/>
    <w:rsid w:val="00A7638B"/>
    <w:rsid w:val="00A77794"/>
    <w:rsid w:val="00A777B2"/>
    <w:rsid w:val="00A77C80"/>
    <w:rsid w:val="00A80571"/>
    <w:rsid w:val="00A846D8"/>
    <w:rsid w:val="00A84C91"/>
    <w:rsid w:val="00A85295"/>
    <w:rsid w:val="00A857BF"/>
    <w:rsid w:val="00A86E8B"/>
    <w:rsid w:val="00A86EF9"/>
    <w:rsid w:val="00A87164"/>
    <w:rsid w:val="00A907D6"/>
    <w:rsid w:val="00A90F36"/>
    <w:rsid w:val="00A9128D"/>
    <w:rsid w:val="00A91316"/>
    <w:rsid w:val="00A91F4E"/>
    <w:rsid w:val="00A93072"/>
    <w:rsid w:val="00A93264"/>
    <w:rsid w:val="00A93953"/>
    <w:rsid w:val="00A947B0"/>
    <w:rsid w:val="00A959D8"/>
    <w:rsid w:val="00A9715B"/>
    <w:rsid w:val="00AA113D"/>
    <w:rsid w:val="00AA1E5E"/>
    <w:rsid w:val="00AA2497"/>
    <w:rsid w:val="00AA4988"/>
    <w:rsid w:val="00AA4CF9"/>
    <w:rsid w:val="00AA4D13"/>
    <w:rsid w:val="00AA67FC"/>
    <w:rsid w:val="00AA6C7D"/>
    <w:rsid w:val="00AA7FD6"/>
    <w:rsid w:val="00AB042A"/>
    <w:rsid w:val="00AB1814"/>
    <w:rsid w:val="00AB1A2A"/>
    <w:rsid w:val="00AB1ECD"/>
    <w:rsid w:val="00AB2522"/>
    <w:rsid w:val="00AB2D34"/>
    <w:rsid w:val="00AB30EF"/>
    <w:rsid w:val="00AB3430"/>
    <w:rsid w:val="00AB4AD1"/>
    <w:rsid w:val="00AB60DE"/>
    <w:rsid w:val="00AB6372"/>
    <w:rsid w:val="00AB7CFA"/>
    <w:rsid w:val="00AB7D7D"/>
    <w:rsid w:val="00AC2581"/>
    <w:rsid w:val="00AC4AB3"/>
    <w:rsid w:val="00AC5B48"/>
    <w:rsid w:val="00AC752D"/>
    <w:rsid w:val="00AC7661"/>
    <w:rsid w:val="00AD051E"/>
    <w:rsid w:val="00AD05CD"/>
    <w:rsid w:val="00AD06BF"/>
    <w:rsid w:val="00AD0CBD"/>
    <w:rsid w:val="00AD0F26"/>
    <w:rsid w:val="00AD119D"/>
    <w:rsid w:val="00AD163B"/>
    <w:rsid w:val="00AD19C9"/>
    <w:rsid w:val="00AD219C"/>
    <w:rsid w:val="00AD2D32"/>
    <w:rsid w:val="00AD3F29"/>
    <w:rsid w:val="00AD44CD"/>
    <w:rsid w:val="00AD62CA"/>
    <w:rsid w:val="00AD6502"/>
    <w:rsid w:val="00AD7BCB"/>
    <w:rsid w:val="00AE054A"/>
    <w:rsid w:val="00AE1CFC"/>
    <w:rsid w:val="00AE34E7"/>
    <w:rsid w:val="00AE3735"/>
    <w:rsid w:val="00AE4662"/>
    <w:rsid w:val="00AE6891"/>
    <w:rsid w:val="00AE702A"/>
    <w:rsid w:val="00AE7FF7"/>
    <w:rsid w:val="00AF0E3C"/>
    <w:rsid w:val="00AF1315"/>
    <w:rsid w:val="00AF19BF"/>
    <w:rsid w:val="00AF2DC3"/>
    <w:rsid w:val="00AF2E47"/>
    <w:rsid w:val="00AF376F"/>
    <w:rsid w:val="00AF4484"/>
    <w:rsid w:val="00AF46A1"/>
    <w:rsid w:val="00AF52EF"/>
    <w:rsid w:val="00AF6B31"/>
    <w:rsid w:val="00B0002B"/>
    <w:rsid w:val="00B00F4B"/>
    <w:rsid w:val="00B01323"/>
    <w:rsid w:val="00B02607"/>
    <w:rsid w:val="00B033E5"/>
    <w:rsid w:val="00B03A63"/>
    <w:rsid w:val="00B04EB5"/>
    <w:rsid w:val="00B06434"/>
    <w:rsid w:val="00B06EAB"/>
    <w:rsid w:val="00B10578"/>
    <w:rsid w:val="00B10F62"/>
    <w:rsid w:val="00B11DD5"/>
    <w:rsid w:val="00B12987"/>
    <w:rsid w:val="00B13DB3"/>
    <w:rsid w:val="00B14656"/>
    <w:rsid w:val="00B178CE"/>
    <w:rsid w:val="00B17B6F"/>
    <w:rsid w:val="00B201A4"/>
    <w:rsid w:val="00B213A6"/>
    <w:rsid w:val="00B21B4C"/>
    <w:rsid w:val="00B2225F"/>
    <w:rsid w:val="00B227D9"/>
    <w:rsid w:val="00B24DF6"/>
    <w:rsid w:val="00B24E17"/>
    <w:rsid w:val="00B2737C"/>
    <w:rsid w:val="00B27896"/>
    <w:rsid w:val="00B27C66"/>
    <w:rsid w:val="00B30AFF"/>
    <w:rsid w:val="00B339CE"/>
    <w:rsid w:val="00B34FE2"/>
    <w:rsid w:val="00B357AB"/>
    <w:rsid w:val="00B357D8"/>
    <w:rsid w:val="00B3594C"/>
    <w:rsid w:val="00B35A51"/>
    <w:rsid w:val="00B36E5F"/>
    <w:rsid w:val="00B37BFC"/>
    <w:rsid w:val="00B37D4C"/>
    <w:rsid w:val="00B40358"/>
    <w:rsid w:val="00B41360"/>
    <w:rsid w:val="00B41614"/>
    <w:rsid w:val="00B426D6"/>
    <w:rsid w:val="00B42851"/>
    <w:rsid w:val="00B42910"/>
    <w:rsid w:val="00B42F80"/>
    <w:rsid w:val="00B43007"/>
    <w:rsid w:val="00B435CB"/>
    <w:rsid w:val="00B4378F"/>
    <w:rsid w:val="00B4472A"/>
    <w:rsid w:val="00B44790"/>
    <w:rsid w:val="00B449B2"/>
    <w:rsid w:val="00B45A56"/>
    <w:rsid w:val="00B46452"/>
    <w:rsid w:val="00B46F5B"/>
    <w:rsid w:val="00B50DB8"/>
    <w:rsid w:val="00B51B21"/>
    <w:rsid w:val="00B51D45"/>
    <w:rsid w:val="00B5279D"/>
    <w:rsid w:val="00B53654"/>
    <w:rsid w:val="00B53905"/>
    <w:rsid w:val="00B54B5B"/>
    <w:rsid w:val="00B553B4"/>
    <w:rsid w:val="00B5562E"/>
    <w:rsid w:val="00B556CB"/>
    <w:rsid w:val="00B56E75"/>
    <w:rsid w:val="00B57000"/>
    <w:rsid w:val="00B57133"/>
    <w:rsid w:val="00B573B4"/>
    <w:rsid w:val="00B57ABA"/>
    <w:rsid w:val="00B57C73"/>
    <w:rsid w:val="00B6032E"/>
    <w:rsid w:val="00B60939"/>
    <w:rsid w:val="00B6099D"/>
    <w:rsid w:val="00B60AFD"/>
    <w:rsid w:val="00B60BEB"/>
    <w:rsid w:val="00B62715"/>
    <w:rsid w:val="00B6368C"/>
    <w:rsid w:val="00B6398A"/>
    <w:rsid w:val="00B640F5"/>
    <w:rsid w:val="00B6414E"/>
    <w:rsid w:val="00B64F99"/>
    <w:rsid w:val="00B66380"/>
    <w:rsid w:val="00B66901"/>
    <w:rsid w:val="00B6758E"/>
    <w:rsid w:val="00B67CF3"/>
    <w:rsid w:val="00B70E73"/>
    <w:rsid w:val="00B72806"/>
    <w:rsid w:val="00B72895"/>
    <w:rsid w:val="00B72BC9"/>
    <w:rsid w:val="00B72FC4"/>
    <w:rsid w:val="00B74C31"/>
    <w:rsid w:val="00B74C3B"/>
    <w:rsid w:val="00B77B2B"/>
    <w:rsid w:val="00B77CDB"/>
    <w:rsid w:val="00B8171A"/>
    <w:rsid w:val="00B817C6"/>
    <w:rsid w:val="00B817F2"/>
    <w:rsid w:val="00B818A4"/>
    <w:rsid w:val="00B81E77"/>
    <w:rsid w:val="00B824C3"/>
    <w:rsid w:val="00B834BA"/>
    <w:rsid w:val="00B83E90"/>
    <w:rsid w:val="00B84107"/>
    <w:rsid w:val="00B84117"/>
    <w:rsid w:val="00B8510D"/>
    <w:rsid w:val="00B85AA2"/>
    <w:rsid w:val="00B8649C"/>
    <w:rsid w:val="00B879F7"/>
    <w:rsid w:val="00B87F0A"/>
    <w:rsid w:val="00B900F8"/>
    <w:rsid w:val="00B904FF"/>
    <w:rsid w:val="00B91E4A"/>
    <w:rsid w:val="00B9257F"/>
    <w:rsid w:val="00B92D0B"/>
    <w:rsid w:val="00B93BF2"/>
    <w:rsid w:val="00B94945"/>
    <w:rsid w:val="00B95480"/>
    <w:rsid w:val="00B9638B"/>
    <w:rsid w:val="00B96EDE"/>
    <w:rsid w:val="00BA003F"/>
    <w:rsid w:val="00BA322D"/>
    <w:rsid w:val="00BA6AD3"/>
    <w:rsid w:val="00BA713F"/>
    <w:rsid w:val="00BA7BE7"/>
    <w:rsid w:val="00BB0BDD"/>
    <w:rsid w:val="00BB1418"/>
    <w:rsid w:val="00BB2A73"/>
    <w:rsid w:val="00BB305B"/>
    <w:rsid w:val="00BB4ACC"/>
    <w:rsid w:val="00BB6C29"/>
    <w:rsid w:val="00BB703E"/>
    <w:rsid w:val="00BB7405"/>
    <w:rsid w:val="00BB790C"/>
    <w:rsid w:val="00BC0B61"/>
    <w:rsid w:val="00BC0DC1"/>
    <w:rsid w:val="00BC123D"/>
    <w:rsid w:val="00BC203B"/>
    <w:rsid w:val="00BC31DF"/>
    <w:rsid w:val="00BC3631"/>
    <w:rsid w:val="00BC3D5D"/>
    <w:rsid w:val="00BC4391"/>
    <w:rsid w:val="00BC4C59"/>
    <w:rsid w:val="00BC580E"/>
    <w:rsid w:val="00BC58B0"/>
    <w:rsid w:val="00BC5A3D"/>
    <w:rsid w:val="00BC63CC"/>
    <w:rsid w:val="00BC6B8C"/>
    <w:rsid w:val="00BC7676"/>
    <w:rsid w:val="00BD1ECC"/>
    <w:rsid w:val="00BD5545"/>
    <w:rsid w:val="00BD6374"/>
    <w:rsid w:val="00BD68A3"/>
    <w:rsid w:val="00BD6938"/>
    <w:rsid w:val="00BD6CF3"/>
    <w:rsid w:val="00BD7224"/>
    <w:rsid w:val="00BE1602"/>
    <w:rsid w:val="00BE1AD4"/>
    <w:rsid w:val="00BE1E0A"/>
    <w:rsid w:val="00BE1F79"/>
    <w:rsid w:val="00BE2180"/>
    <w:rsid w:val="00BE21F2"/>
    <w:rsid w:val="00BE2273"/>
    <w:rsid w:val="00BE26F8"/>
    <w:rsid w:val="00BE4275"/>
    <w:rsid w:val="00BE43A7"/>
    <w:rsid w:val="00BE6922"/>
    <w:rsid w:val="00BE7C05"/>
    <w:rsid w:val="00BF049E"/>
    <w:rsid w:val="00BF0F95"/>
    <w:rsid w:val="00BF2433"/>
    <w:rsid w:val="00BF4195"/>
    <w:rsid w:val="00BF4425"/>
    <w:rsid w:val="00BF4518"/>
    <w:rsid w:val="00BF61C9"/>
    <w:rsid w:val="00BF6C94"/>
    <w:rsid w:val="00C00424"/>
    <w:rsid w:val="00C02178"/>
    <w:rsid w:val="00C02561"/>
    <w:rsid w:val="00C03A91"/>
    <w:rsid w:val="00C03E11"/>
    <w:rsid w:val="00C04D7C"/>
    <w:rsid w:val="00C06504"/>
    <w:rsid w:val="00C07EFB"/>
    <w:rsid w:val="00C1049E"/>
    <w:rsid w:val="00C10A08"/>
    <w:rsid w:val="00C10AB5"/>
    <w:rsid w:val="00C11582"/>
    <w:rsid w:val="00C1170C"/>
    <w:rsid w:val="00C12471"/>
    <w:rsid w:val="00C12C14"/>
    <w:rsid w:val="00C1348C"/>
    <w:rsid w:val="00C145FE"/>
    <w:rsid w:val="00C15172"/>
    <w:rsid w:val="00C152A8"/>
    <w:rsid w:val="00C1563A"/>
    <w:rsid w:val="00C1659A"/>
    <w:rsid w:val="00C16DBE"/>
    <w:rsid w:val="00C16FCE"/>
    <w:rsid w:val="00C17452"/>
    <w:rsid w:val="00C200AA"/>
    <w:rsid w:val="00C20E6B"/>
    <w:rsid w:val="00C21888"/>
    <w:rsid w:val="00C23057"/>
    <w:rsid w:val="00C237ED"/>
    <w:rsid w:val="00C24632"/>
    <w:rsid w:val="00C25418"/>
    <w:rsid w:val="00C25D9C"/>
    <w:rsid w:val="00C25F29"/>
    <w:rsid w:val="00C2778B"/>
    <w:rsid w:val="00C31649"/>
    <w:rsid w:val="00C35EA5"/>
    <w:rsid w:val="00C36AE4"/>
    <w:rsid w:val="00C376DF"/>
    <w:rsid w:val="00C40385"/>
    <w:rsid w:val="00C411B1"/>
    <w:rsid w:val="00C41BD6"/>
    <w:rsid w:val="00C42D6A"/>
    <w:rsid w:val="00C436C5"/>
    <w:rsid w:val="00C43EC7"/>
    <w:rsid w:val="00C44DBF"/>
    <w:rsid w:val="00C45876"/>
    <w:rsid w:val="00C45B89"/>
    <w:rsid w:val="00C45BE2"/>
    <w:rsid w:val="00C45E25"/>
    <w:rsid w:val="00C460DD"/>
    <w:rsid w:val="00C475AA"/>
    <w:rsid w:val="00C47F09"/>
    <w:rsid w:val="00C50CE0"/>
    <w:rsid w:val="00C51BE3"/>
    <w:rsid w:val="00C52142"/>
    <w:rsid w:val="00C522E6"/>
    <w:rsid w:val="00C53903"/>
    <w:rsid w:val="00C53A17"/>
    <w:rsid w:val="00C540AA"/>
    <w:rsid w:val="00C545C1"/>
    <w:rsid w:val="00C55787"/>
    <w:rsid w:val="00C55884"/>
    <w:rsid w:val="00C56D4D"/>
    <w:rsid w:val="00C57EC6"/>
    <w:rsid w:val="00C6036D"/>
    <w:rsid w:val="00C629CA"/>
    <w:rsid w:val="00C62EC3"/>
    <w:rsid w:val="00C641FA"/>
    <w:rsid w:val="00C64B66"/>
    <w:rsid w:val="00C654D4"/>
    <w:rsid w:val="00C65576"/>
    <w:rsid w:val="00C65CCC"/>
    <w:rsid w:val="00C65D3B"/>
    <w:rsid w:val="00C65F97"/>
    <w:rsid w:val="00C66165"/>
    <w:rsid w:val="00C71099"/>
    <w:rsid w:val="00C7151A"/>
    <w:rsid w:val="00C71F60"/>
    <w:rsid w:val="00C72241"/>
    <w:rsid w:val="00C722D2"/>
    <w:rsid w:val="00C72A00"/>
    <w:rsid w:val="00C73066"/>
    <w:rsid w:val="00C730E5"/>
    <w:rsid w:val="00C732A7"/>
    <w:rsid w:val="00C734E3"/>
    <w:rsid w:val="00C737ED"/>
    <w:rsid w:val="00C750C8"/>
    <w:rsid w:val="00C7560F"/>
    <w:rsid w:val="00C75EE9"/>
    <w:rsid w:val="00C767D5"/>
    <w:rsid w:val="00C80A0E"/>
    <w:rsid w:val="00C80D66"/>
    <w:rsid w:val="00C81060"/>
    <w:rsid w:val="00C8213F"/>
    <w:rsid w:val="00C82D39"/>
    <w:rsid w:val="00C839B0"/>
    <w:rsid w:val="00C85062"/>
    <w:rsid w:val="00C8590A"/>
    <w:rsid w:val="00C86503"/>
    <w:rsid w:val="00C86531"/>
    <w:rsid w:val="00C86B1A"/>
    <w:rsid w:val="00C8797A"/>
    <w:rsid w:val="00C900B8"/>
    <w:rsid w:val="00C90752"/>
    <w:rsid w:val="00C90C71"/>
    <w:rsid w:val="00C916C0"/>
    <w:rsid w:val="00C92224"/>
    <w:rsid w:val="00C9272E"/>
    <w:rsid w:val="00C931CF"/>
    <w:rsid w:val="00C938CF"/>
    <w:rsid w:val="00C943CD"/>
    <w:rsid w:val="00C94C5A"/>
    <w:rsid w:val="00C94CCA"/>
    <w:rsid w:val="00C95394"/>
    <w:rsid w:val="00C955BD"/>
    <w:rsid w:val="00C9624D"/>
    <w:rsid w:val="00C9655C"/>
    <w:rsid w:val="00C969DA"/>
    <w:rsid w:val="00CA112A"/>
    <w:rsid w:val="00CA1E98"/>
    <w:rsid w:val="00CA2C77"/>
    <w:rsid w:val="00CA2EEF"/>
    <w:rsid w:val="00CA444F"/>
    <w:rsid w:val="00CA4CAD"/>
    <w:rsid w:val="00CA5245"/>
    <w:rsid w:val="00CA5676"/>
    <w:rsid w:val="00CA70C7"/>
    <w:rsid w:val="00CA717E"/>
    <w:rsid w:val="00CA71F4"/>
    <w:rsid w:val="00CA7B09"/>
    <w:rsid w:val="00CB1D9F"/>
    <w:rsid w:val="00CB2261"/>
    <w:rsid w:val="00CB2F2A"/>
    <w:rsid w:val="00CB446E"/>
    <w:rsid w:val="00CB523A"/>
    <w:rsid w:val="00CB5B1A"/>
    <w:rsid w:val="00CB5C2C"/>
    <w:rsid w:val="00CB5E79"/>
    <w:rsid w:val="00CB6B22"/>
    <w:rsid w:val="00CB7F5F"/>
    <w:rsid w:val="00CC105E"/>
    <w:rsid w:val="00CC1095"/>
    <w:rsid w:val="00CC1B39"/>
    <w:rsid w:val="00CC3829"/>
    <w:rsid w:val="00CC4551"/>
    <w:rsid w:val="00CC5DAB"/>
    <w:rsid w:val="00CC6615"/>
    <w:rsid w:val="00CC678B"/>
    <w:rsid w:val="00CC6884"/>
    <w:rsid w:val="00CC74D2"/>
    <w:rsid w:val="00CC7C9D"/>
    <w:rsid w:val="00CC7FCB"/>
    <w:rsid w:val="00CD2604"/>
    <w:rsid w:val="00CD2CBD"/>
    <w:rsid w:val="00CD2EF3"/>
    <w:rsid w:val="00CD3D27"/>
    <w:rsid w:val="00CD5202"/>
    <w:rsid w:val="00CD5E2F"/>
    <w:rsid w:val="00CD6ADC"/>
    <w:rsid w:val="00CE02A9"/>
    <w:rsid w:val="00CE0F17"/>
    <w:rsid w:val="00CE24BF"/>
    <w:rsid w:val="00CE2FF9"/>
    <w:rsid w:val="00CE32EB"/>
    <w:rsid w:val="00CE5733"/>
    <w:rsid w:val="00CE6274"/>
    <w:rsid w:val="00CE6C2C"/>
    <w:rsid w:val="00CF001B"/>
    <w:rsid w:val="00CF0C3F"/>
    <w:rsid w:val="00CF2B8D"/>
    <w:rsid w:val="00CF456B"/>
    <w:rsid w:val="00CF5A22"/>
    <w:rsid w:val="00CF64E3"/>
    <w:rsid w:val="00CF78E3"/>
    <w:rsid w:val="00D01000"/>
    <w:rsid w:val="00D0262E"/>
    <w:rsid w:val="00D02937"/>
    <w:rsid w:val="00D02B64"/>
    <w:rsid w:val="00D041E9"/>
    <w:rsid w:val="00D056A5"/>
    <w:rsid w:val="00D05B42"/>
    <w:rsid w:val="00D06F51"/>
    <w:rsid w:val="00D10059"/>
    <w:rsid w:val="00D10466"/>
    <w:rsid w:val="00D110BD"/>
    <w:rsid w:val="00D130ED"/>
    <w:rsid w:val="00D13675"/>
    <w:rsid w:val="00D141E1"/>
    <w:rsid w:val="00D14F02"/>
    <w:rsid w:val="00D15408"/>
    <w:rsid w:val="00D155B5"/>
    <w:rsid w:val="00D15BFF"/>
    <w:rsid w:val="00D15D38"/>
    <w:rsid w:val="00D16CAB"/>
    <w:rsid w:val="00D17D6C"/>
    <w:rsid w:val="00D2048D"/>
    <w:rsid w:val="00D215C4"/>
    <w:rsid w:val="00D21C27"/>
    <w:rsid w:val="00D23153"/>
    <w:rsid w:val="00D23CAC"/>
    <w:rsid w:val="00D242C8"/>
    <w:rsid w:val="00D25CD5"/>
    <w:rsid w:val="00D25ED0"/>
    <w:rsid w:val="00D263D2"/>
    <w:rsid w:val="00D26E9E"/>
    <w:rsid w:val="00D27405"/>
    <w:rsid w:val="00D2754D"/>
    <w:rsid w:val="00D27823"/>
    <w:rsid w:val="00D27B27"/>
    <w:rsid w:val="00D30077"/>
    <w:rsid w:val="00D313C4"/>
    <w:rsid w:val="00D314CD"/>
    <w:rsid w:val="00D314E7"/>
    <w:rsid w:val="00D31F8E"/>
    <w:rsid w:val="00D3278D"/>
    <w:rsid w:val="00D33947"/>
    <w:rsid w:val="00D33BE9"/>
    <w:rsid w:val="00D340F5"/>
    <w:rsid w:val="00D357FF"/>
    <w:rsid w:val="00D36152"/>
    <w:rsid w:val="00D363A7"/>
    <w:rsid w:val="00D3670F"/>
    <w:rsid w:val="00D37428"/>
    <w:rsid w:val="00D37886"/>
    <w:rsid w:val="00D40885"/>
    <w:rsid w:val="00D4089B"/>
    <w:rsid w:val="00D41043"/>
    <w:rsid w:val="00D424C7"/>
    <w:rsid w:val="00D42596"/>
    <w:rsid w:val="00D43546"/>
    <w:rsid w:val="00D43B2A"/>
    <w:rsid w:val="00D44CCD"/>
    <w:rsid w:val="00D46909"/>
    <w:rsid w:val="00D47575"/>
    <w:rsid w:val="00D50EDA"/>
    <w:rsid w:val="00D51E2C"/>
    <w:rsid w:val="00D527F2"/>
    <w:rsid w:val="00D52B07"/>
    <w:rsid w:val="00D52F45"/>
    <w:rsid w:val="00D5396C"/>
    <w:rsid w:val="00D5414B"/>
    <w:rsid w:val="00D541C5"/>
    <w:rsid w:val="00D5449B"/>
    <w:rsid w:val="00D553A3"/>
    <w:rsid w:val="00D55622"/>
    <w:rsid w:val="00D562CC"/>
    <w:rsid w:val="00D565B9"/>
    <w:rsid w:val="00D60048"/>
    <w:rsid w:val="00D60A8A"/>
    <w:rsid w:val="00D6130A"/>
    <w:rsid w:val="00D61DF6"/>
    <w:rsid w:val="00D61E5A"/>
    <w:rsid w:val="00D63073"/>
    <w:rsid w:val="00D63212"/>
    <w:rsid w:val="00D64F1D"/>
    <w:rsid w:val="00D67FA3"/>
    <w:rsid w:val="00D70903"/>
    <w:rsid w:val="00D70F16"/>
    <w:rsid w:val="00D72960"/>
    <w:rsid w:val="00D72BC9"/>
    <w:rsid w:val="00D72D9B"/>
    <w:rsid w:val="00D73D1E"/>
    <w:rsid w:val="00D755A2"/>
    <w:rsid w:val="00D755FD"/>
    <w:rsid w:val="00D76A44"/>
    <w:rsid w:val="00D76A93"/>
    <w:rsid w:val="00D815EF"/>
    <w:rsid w:val="00D83A9C"/>
    <w:rsid w:val="00D84A11"/>
    <w:rsid w:val="00D85371"/>
    <w:rsid w:val="00D85E94"/>
    <w:rsid w:val="00D90A66"/>
    <w:rsid w:val="00D90B0E"/>
    <w:rsid w:val="00D91923"/>
    <w:rsid w:val="00D93485"/>
    <w:rsid w:val="00D93496"/>
    <w:rsid w:val="00D93753"/>
    <w:rsid w:val="00DA13C5"/>
    <w:rsid w:val="00DA1FAA"/>
    <w:rsid w:val="00DA2189"/>
    <w:rsid w:val="00DA25EE"/>
    <w:rsid w:val="00DA3121"/>
    <w:rsid w:val="00DA3167"/>
    <w:rsid w:val="00DA4220"/>
    <w:rsid w:val="00DA4383"/>
    <w:rsid w:val="00DA478F"/>
    <w:rsid w:val="00DA47BD"/>
    <w:rsid w:val="00DA4DC3"/>
    <w:rsid w:val="00DA51B5"/>
    <w:rsid w:val="00DA51D0"/>
    <w:rsid w:val="00DA77A5"/>
    <w:rsid w:val="00DB05AE"/>
    <w:rsid w:val="00DB118E"/>
    <w:rsid w:val="00DB28A0"/>
    <w:rsid w:val="00DB484F"/>
    <w:rsid w:val="00DB5E4F"/>
    <w:rsid w:val="00DB7D53"/>
    <w:rsid w:val="00DC04F6"/>
    <w:rsid w:val="00DC2EFF"/>
    <w:rsid w:val="00DC3A58"/>
    <w:rsid w:val="00DC3C57"/>
    <w:rsid w:val="00DC4548"/>
    <w:rsid w:val="00DC5501"/>
    <w:rsid w:val="00DC5746"/>
    <w:rsid w:val="00DC5B72"/>
    <w:rsid w:val="00DC60DE"/>
    <w:rsid w:val="00DD0BD8"/>
    <w:rsid w:val="00DD1023"/>
    <w:rsid w:val="00DD174C"/>
    <w:rsid w:val="00DD1D0C"/>
    <w:rsid w:val="00DD273C"/>
    <w:rsid w:val="00DD312D"/>
    <w:rsid w:val="00DD3640"/>
    <w:rsid w:val="00DD3F28"/>
    <w:rsid w:val="00DD4537"/>
    <w:rsid w:val="00DD4E15"/>
    <w:rsid w:val="00DD4F15"/>
    <w:rsid w:val="00DD4FF6"/>
    <w:rsid w:val="00DD6ABA"/>
    <w:rsid w:val="00DD6BDF"/>
    <w:rsid w:val="00DD7CF7"/>
    <w:rsid w:val="00DE097D"/>
    <w:rsid w:val="00DE189D"/>
    <w:rsid w:val="00DE3138"/>
    <w:rsid w:val="00DE33AA"/>
    <w:rsid w:val="00DE348C"/>
    <w:rsid w:val="00DE359E"/>
    <w:rsid w:val="00DE35F2"/>
    <w:rsid w:val="00DE37F8"/>
    <w:rsid w:val="00DE430E"/>
    <w:rsid w:val="00DE472B"/>
    <w:rsid w:val="00DE4FCB"/>
    <w:rsid w:val="00DE57F5"/>
    <w:rsid w:val="00DE6A32"/>
    <w:rsid w:val="00DE7832"/>
    <w:rsid w:val="00DF074A"/>
    <w:rsid w:val="00DF0F00"/>
    <w:rsid w:val="00DF18FC"/>
    <w:rsid w:val="00DF2BE8"/>
    <w:rsid w:val="00DF4907"/>
    <w:rsid w:val="00DF537F"/>
    <w:rsid w:val="00DF5D2B"/>
    <w:rsid w:val="00DF7E16"/>
    <w:rsid w:val="00E00A8F"/>
    <w:rsid w:val="00E00E8E"/>
    <w:rsid w:val="00E01068"/>
    <w:rsid w:val="00E01842"/>
    <w:rsid w:val="00E01E63"/>
    <w:rsid w:val="00E0413E"/>
    <w:rsid w:val="00E05630"/>
    <w:rsid w:val="00E06C8C"/>
    <w:rsid w:val="00E06DBB"/>
    <w:rsid w:val="00E10149"/>
    <w:rsid w:val="00E10B6E"/>
    <w:rsid w:val="00E11F82"/>
    <w:rsid w:val="00E12EE1"/>
    <w:rsid w:val="00E14AD6"/>
    <w:rsid w:val="00E16024"/>
    <w:rsid w:val="00E16372"/>
    <w:rsid w:val="00E16CE9"/>
    <w:rsid w:val="00E16FD2"/>
    <w:rsid w:val="00E20319"/>
    <w:rsid w:val="00E207EF"/>
    <w:rsid w:val="00E20E4D"/>
    <w:rsid w:val="00E20ED6"/>
    <w:rsid w:val="00E21358"/>
    <w:rsid w:val="00E2249B"/>
    <w:rsid w:val="00E22558"/>
    <w:rsid w:val="00E22A0D"/>
    <w:rsid w:val="00E25543"/>
    <w:rsid w:val="00E25E2D"/>
    <w:rsid w:val="00E2771E"/>
    <w:rsid w:val="00E302DE"/>
    <w:rsid w:val="00E31DF1"/>
    <w:rsid w:val="00E33ACB"/>
    <w:rsid w:val="00E345F8"/>
    <w:rsid w:val="00E34948"/>
    <w:rsid w:val="00E34B84"/>
    <w:rsid w:val="00E34C80"/>
    <w:rsid w:val="00E35391"/>
    <w:rsid w:val="00E37569"/>
    <w:rsid w:val="00E37608"/>
    <w:rsid w:val="00E41E30"/>
    <w:rsid w:val="00E43D70"/>
    <w:rsid w:val="00E449FF"/>
    <w:rsid w:val="00E454E5"/>
    <w:rsid w:val="00E45726"/>
    <w:rsid w:val="00E46667"/>
    <w:rsid w:val="00E466F3"/>
    <w:rsid w:val="00E47B2C"/>
    <w:rsid w:val="00E502F0"/>
    <w:rsid w:val="00E50EA7"/>
    <w:rsid w:val="00E51422"/>
    <w:rsid w:val="00E51560"/>
    <w:rsid w:val="00E530A9"/>
    <w:rsid w:val="00E537EE"/>
    <w:rsid w:val="00E54347"/>
    <w:rsid w:val="00E55424"/>
    <w:rsid w:val="00E554E8"/>
    <w:rsid w:val="00E55BB5"/>
    <w:rsid w:val="00E560CC"/>
    <w:rsid w:val="00E5623C"/>
    <w:rsid w:val="00E56DEB"/>
    <w:rsid w:val="00E57231"/>
    <w:rsid w:val="00E60FE8"/>
    <w:rsid w:val="00E610BF"/>
    <w:rsid w:val="00E6162F"/>
    <w:rsid w:val="00E61F18"/>
    <w:rsid w:val="00E62719"/>
    <w:rsid w:val="00E62A61"/>
    <w:rsid w:val="00E632B0"/>
    <w:rsid w:val="00E640A6"/>
    <w:rsid w:val="00E641E2"/>
    <w:rsid w:val="00E64A08"/>
    <w:rsid w:val="00E64EFA"/>
    <w:rsid w:val="00E65E79"/>
    <w:rsid w:val="00E6647F"/>
    <w:rsid w:val="00E66BA2"/>
    <w:rsid w:val="00E670DF"/>
    <w:rsid w:val="00E67416"/>
    <w:rsid w:val="00E70F5C"/>
    <w:rsid w:val="00E71702"/>
    <w:rsid w:val="00E718B6"/>
    <w:rsid w:val="00E7195C"/>
    <w:rsid w:val="00E71D51"/>
    <w:rsid w:val="00E723BA"/>
    <w:rsid w:val="00E72DE0"/>
    <w:rsid w:val="00E73581"/>
    <w:rsid w:val="00E73A76"/>
    <w:rsid w:val="00E73C67"/>
    <w:rsid w:val="00E748BD"/>
    <w:rsid w:val="00E74DB2"/>
    <w:rsid w:val="00E75DFF"/>
    <w:rsid w:val="00E765F1"/>
    <w:rsid w:val="00E770B9"/>
    <w:rsid w:val="00E77210"/>
    <w:rsid w:val="00E81328"/>
    <w:rsid w:val="00E81815"/>
    <w:rsid w:val="00E818B6"/>
    <w:rsid w:val="00E81A89"/>
    <w:rsid w:val="00E833F7"/>
    <w:rsid w:val="00E83BDF"/>
    <w:rsid w:val="00E846FA"/>
    <w:rsid w:val="00E85A02"/>
    <w:rsid w:val="00E85BBD"/>
    <w:rsid w:val="00E86041"/>
    <w:rsid w:val="00E87A1D"/>
    <w:rsid w:val="00E90A69"/>
    <w:rsid w:val="00E9219B"/>
    <w:rsid w:val="00E926A5"/>
    <w:rsid w:val="00E96440"/>
    <w:rsid w:val="00E96AD2"/>
    <w:rsid w:val="00EA0428"/>
    <w:rsid w:val="00EA0EB3"/>
    <w:rsid w:val="00EA11F3"/>
    <w:rsid w:val="00EA17C3"/>
    <w:rsid w:val="00EA1E8D"/>
    <w:rsid w:val="00EA28F3"/>
    <w:rsid w:val="00EA2CAA"/>
    <w:rsid w:val="00EA2EA6"/>
    <w:rsid w:val="00EA3864"/>
    <w:rsid w:val="00EA5669"/>
    <w:rsid w:val="00EA5E06"/>
    <w:rsid w:val="00EA761E"/>
    <w:rsid w:val="00EA7FCD"/>
    <w:rsid w:val="00EB02AF"/>
    <w:rsid w:val="00EB04F1"/>
    <w:rsid w:val="00EB15B6"/>
    <w:rsid w:val="00EB2843"/>
    <w:rsid w:val="00EB289D"/>
    <w:rsid w:val="00EB4916"/>
    <w:rsid w:val="00EB53AF"/>
    <w:rsid w:val="00EB65D0"/>
    <w:rsid w:val="00EB726F"/>
    <w:rsid w:val="00EC00C9"/>
    <w:rsid w:val="00EC00F1"/>
    <w:rsid w:val="00EC13CA"/>
    <w:rsid w:val="00EC2649"/>
    <w:rsid w:val="00EC27FC"/>
    <w:rsid w:val="00EC2C7B"/>
    <w:rsid w:val="00EC2FDF"/>
    <w:rsid w:val="00EC39E0"/>
    <w:rsid w:val="00EC3EEB"/>
    <w:rsid w:val="00EC5D00"/>
    <w:rsid w:val="00EC6104"/>
    <w:rsid w:val="00EC7A78"/>
    <w:rsid w:val="00ED09C6"/>
    <w:rsid w:val="00ED100C"/>
    <w:rsid w:val="00ED1B04"/>
    <w:rsid w:val="00ED27F2"/>
    <w:rsid w:val="00ED283B"/>
    <w:rsid w:val="00ED2ADD"/>
    <w:rsid w:val="00ED2DA5"/>
    <w:rsid w:val="00ED43E1"/>
    <w:rsid w:val="00ED487D"/>
    <w:rsid w:val="00ED5072"/>
    <w:rsid w:val="00ED57EA"/>
    <w:rsid w:val="00ED6B0B"/>
    <w:rsid w:val="00ED710E"/>
    <w:rsid w:val="00EE07D3"/>
    <w:rsid w:val="00EE11AD"/>
    <w:rsid w:val="00EE22AF"/>
    <w:rsid w:val="00EE29EA"/>
    <w:rsid w:val="00EE6A77"/>
    <w:rsid w:val="00EE6A9A"/>
    <w:rsid w:val="00EE76F0"/>
    <w:rsid w:val="00EE7AA5"/>
    <w:rsid w:val="00EF0171"/>
    <w:rsid w:val="00EF06E5"/>
    <w:rsid w:val="00EF076A"/>
    <w:rsid w:val="00EF1068"/>
    <w:rsid w:val="00EF1997"/>
    <w:rsid w:val="00EF1B25"/>
    <w:rsid w:val="00EF2129"/>
    <w:rsid w:val="00EF21D5"/>
    <w:rsid w:val="00EF2710"/>
    <w:rsid w:val="00EF2E2F"/>
    <w:rsid w:val="00EF4747"/>
    <w:rsid w:val="00EF4BF8"/>
    <w:rsid w:val="00EF4EEE"/>
    <w:rsid w:val="00EF7938"/>
    <w:rsid w:val="00F00A83"/>
    <w:rsid w:val="00F00B2B"/>
    <w:rsid w:val="00F013EA"/>
    <w:rsid w:val="00F01C97"/>
    <w:rsid w:val="00F02253"/>
    <w:rsid w:val="00F022FD"/>
    <w:rsid w:val="00F028C2"/>
    <w:rsid w:val="00F03027"/>
    <w:rsid w:val="00F03C2E"/>
    <w:rsid w:val="00F042F8"/>
    <w:rsid w:val="00F04A66"/>
    <w:rsid w:val="00F0516C"/>
    <w:rsid w:val="00F067A2"/>
    <w:rsid w:val="00F06D41"/>
    <w:rsid w:val="00F10E57"/>
    <w:rsid w:val="00F122C2"/>
    <w:rsid w:val="00F1263A"/>
    <w:rsid w:val="00F12A52"/>
    <w:rsid w:val="00F144E0"/>
    <w:rsid w:val="00F147C5"/>
    <w:rsid w:val="00F1557F"/>
    <w:rsid w:val="00F1581D"/>
    <w:rsid w:val="00F16016"/>
    <w:rsid w:val="00F20E76"/>
    <w:rsid w:val="00F2162C"/>
    <w:rsid w:val="00F2207F"/>
    <w:rsid w:val="00F22FE4"/>
    <w:rsid w:val="00F23D29"/>
    <w:rsid w:val="00F2465C"/>
    <w:rsid w:val="00F24837"/>
    <w:rsid w:val="00F24904"/>
    <w:rsid w:val="00F24A21"/>
    <w:rsid w:val="00F253A0"/>
    <w:rsid w:val="00F2575F"/>
    <w:rsid w:val="00F2596E"/>
    <w:rsid w:val="00F27565"/>
    <w:rsid w:val="00F27B1B"/>
    <w:rsid w:val="00F310D4"/>
    <w:rsid w:val="00F3167E"/>
    <w:rsid w:val="00F31D5A"/>
    <w:rsid w:val="00F322D2"/>
    <w:rsid w:val="00F33DE9"/>
    <w:rsid w:val="00F33DF4"/>
    <w:rsid w:val="00F34418"/>
    <w:rsid w:val="00F352DF"/>
    <w:rsid w:val="00F3619A"/>
    <w:rsid w:val="00F3632C"/>
    <w:rsid w:val="00F376DA"/>
    <w:rsid w:val="00F40AAA"/>
    <w:rsid w:val="00F40BA7"/>
    <w:rsid w:val="00F418D4"/>
    <w:rsid w:val="00F41D9C"/>
    <w:rsid w:val="00F4463D"/>
    <w:rsid w:val="00F45AF0"/>
    <w:rsid w:val="00F46CB6"/>
    <w:rsid w:val="00F47DE8"/>
    <w:rsid w:val="00F47E95"/>
    <w:rsid w:val="00F5052B"/>
    <w:rsid w:val="00F50ADA"/>
    <w:rsid w:val="00F51354"/>
    <w:rsid w:val="00F51D7E"/>
    <w:rsid w:val="00F525D0"/>
    <w:rsid w:val="00F52AB1"/>
    <w:rsid w:val="00F542C1"/>
    <w:rsid w:val="00F545E2"/>
    <w:rsid w:val="00F54CAB"/>
    <w:rsid w:val="00F54DDA"/>
    <w:rsid w:val="00F54EFD"/>
    <w:rsid w:val="00F553B7"/>
    <w:rsid w:val="00F55DD6"/>
    <w:rsid w:val="00F55E73"/>
    <w:rsid w:val="00F55EDA"/>
    <w:rsid w:val="00F55F99"/>
    <w:rsid w:val="00F56224"/>
    <w:rsid w:val="00F60092"/>
    <w:rsid w:val="00F60B17"/>
    <w:rsid w:val="00F6121B"/>
    <w:rsid w:val="00F631E1"/>
    <w:rsid w:val="00F63E65"/>
    <w:rsid w:val="00F65F4B"/>
    <w:rsid w:val="00F66566"/>
    <w:rsid w:val="00F665C6"/>
    <w:rsid w:val="00F67201"/>
    <w:rsid w:val="00F70C9D"/>
    <w:rsid w:val="00F70F34"/>
    <w:rsid w:val="00F72127"/>
    <w:rsid w:val="00F737E3"/>
    <w:rsid w:val="00F7421D"/>
    <w:rsid w:val="00F74746"/>
    <w:rsid w:val="00F74CD9"/>
    <w:rsid w:val="00F7523D"/>
    <w:rsid w:val="00F75649"/>
    <w:rsid w:val="00F75BA4"/>
    <w:rsid w:val="00F77BD4"/>
    <w:rsid w:val="00F801D4"/>
    <w:rsid w:val="00F806FF"/>
    <w:rsid w:val="00F80A7B"/>
    <w:rsid w:val="00F80E5D"/>
    <w:rsid w:val="00F82855"/>
    <w:rsid w:val="00F82E9F"/>
    <w:rsid w:val="00F8315B"/>
    <w:rsid w:val="00F84CE2"/>
    <w:rsid w:val="00F851CE"/>
    <w:rsid w:val="00F8532E"/>
    <w:rsid w:val="00F87F3E"/>
    <w:rsid w:val="00F90E03"/>
    <w:rsid w:val="00F91219"/>
    <w:rsid w:val="00F92E8E"/>
    <w:rsid w:val="00F952CE"/>
    <w:rsid w:val="00F95E60"/>
    <w:rsid w:val="00F97A37"/>
    <w:rsid w:val="00F97A78"/>
    <w:rsid w:val="00F97F30"/>
    <w:rsid w:val="00FA0ABC"/>
    <w:rsid w:val="00FA0B20"/>
    <w:rsid w:val="00FA0D2D"/>
    <w:rsid w:val="00FA1355"/>
    <w:rsid w:val="00FA1564"/>
    <w:rsid w:val="00FA20A7"/>
    <w:rsid w:val="00FA2254"/>
    <w:rsid w:val="00FA2453"/>
    <w:rsid w:val="00FA24E7"/>
    <w:rsid w:val="00FA2E22"/>
    <w:rsid w:val="00FA3BBD"/>
    <w:rsid w:val="00FA405D"/>
    <w:rsid w:val="00FA4AB2"/>
    <w:rsid w:val="00FA67F6"/>
    <w:rsid w:val="00FA6BF7"/>
    <w:rsid w:val="00FA6D19"/>
    <w:rsid w:val="00FB045E"/>
    <w:rsid w:val="00FB0656"/>
    <w:rsid w:val="00FB0D99"/>
    <w:rsid w:val="00FB2FCB"/>
    <w:rsid w:val="00FB31CF"/>
    <w:rsid w:val="00FB3826"/>
    <w:rsid w:val="00FB3888"/>
    <w:rsid w:val="00FB4E98"/>
    <w:rsid w:val="00FB6207"/>
    <w:rsid w:val="00FC1053"/>
    <w:rsid w:val="00FC1074"/>
    <w:rsid w:val="00FC10AE"/>
    <w:rsid w:val="00FC1884"/>
    <w:rsid w:val="00FC3089"/>
    <w:rsid w:val="00FC371D"/>
    <w:rsid w:val="00FC45F1"/>
    <w:rsid w:val="00FC498E"/>
    <w:rsid w:val="00FC512B"/>
    <w:rsid w:val="00FC5496"/>
    <w:rsid w:val="00FC5F0B"/>
    <w:rsid w:val="00FC60AA"/>
    <w:rsid w:val="00FC6569"/>
    <w:rsid w:val="00FC6E8A"/>
    <w:rsid w:val="00FD0575"/>
    <w:rsid w:val="00FD0969"/>
    <w:rsid w:val="00FD1C1E"/>
    <w:rsid w:val="00FD2100"/>
    <w:rsid w:val="00FD436C"/>
    <w:rsid w:val="00FD446D"/>
    <w:rsid w:val="00FD6394"/>
    <w:rsid w:val="00FD6716"/>
    <w:rsid w:val="00FD77CA"/>
    <w:rsid w:val="00FD79C2"/>
    <w:rsid w:val="00FD7EE7"/>
    <w:rsid w:val="00FE07DF"/>
    <w:rsid w:val="00FE090C"/>
    <w:rsid w:val="00FE0E6C"/>
    <w:rsid w:val="00FE1F9A"/>
    <w:rsid w:val="00FE2A28"/>
    <w:rsid w:val="00FE70C3"/>
    <w:rsid w:val="00FE70C4"/>
    <w:rsid w:val="00FF1CE7"/>
    <w:rsid w:val="00FF21B9"/>
    <w:rsid w:val="00FF367B"/>
    <w:rsid w:val="00FF38D0"/>
    <w:rsid w:val="00FF3DCF"/>
    <w:rsid w:val="00FF4866"/>
    <w:rsid w:val="00FF492C"/>
    <w:rsid w:val="00FF4A21"/>
    <w:rsid w:val="00FF4BE1"/>
    <w:rsid w:val="00FF59ED"/>
    <w:rsid w:val="00FF5AA3"/>
    <w:rsid w:val="00FF5AD8"/>
    <w:rsid w:val="00FF68EF"/>
    <w:rsid w:val="00FF7DAF"/>
    <w:rsid w:val="00FF7DD0"/>
    <w:rsid w:val="00FF7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D66"/>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Table Legend,Bullet1,Bullet 1,Bullet List,Section 5,BulletPoints,Footnote,Bullet point,List Paragraph1,List Paragraph11,Recommendation,ES Paragraph,PBAC ES Paragraph,PBAC normal points"/>
    <w:basedOn w:val="Normal"/>
    <w:link w:val="ListParagraphChar"/>
    <w:uiPriority w:val="1"/>
    <w:qFormat/>
    <w:rsid w:val="00591957"/>
    <w:pPr>
      <w:spacing w:after="160"/>
      <w:ind w:left="720"/>
    </w:pPr>
  </w:style>
  <w:style w:type="character" w:customStyle="1" w:styleId="ListParagraphChar">
    <w:name w:val="List Paragraph Char"/>
    <w:aliases w:val="Numbered para Char,Table Legend Char,Bullet1 Char,Bullet 1 Char,Bullet List Char,Section 5 Char,BulletPoints Char,Footnote Char,Bullet point Char,List Paragraph1 Char,List Paragraph11 Char,Recommendation Char,ES Paragraph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unhideWhenUsed/>
    <w:rsid w:val="007A3907"/>
    <w:rPr>
      <w:sz w:val="20"/>
      <w:szCs w:val="20"/>
    </w:rPr>
  </w:style>
  <w:style w:type="character" w:customStyle="1" w:styleId="FootnoteTextChar">
    <w:name w:val="Footnote Text Char"/>
    <w:basedOn w:val="DefaultParagraphFont"/>
    <w:link w:val="FootnoteText"/>
    <w:semiHidden/>
    <w:rsid w:val="007A3907"/>
    <w:rPr>
      <w:rFonts w:ascii="Calibri" w:hAnsi="Calibri" w:cs="Arial"/>
      <w:snapToGrid w:val="0"/>
      <w:lang w:eastAsia="en-US"/>
    </w:rPr>
  </w:style>
  <w:style w:type="character" w:styleId="FootnoteReference">
    <w:name w:val="footnote reference"/>
    <w:basedOn w:val="DefaultParagraphFont"/>
    <w:semiHidden/>
    <w:unhideWhenUsed/>
    <w:rsid w:val="007A3907"/>
    <w:rPr>
      <w:vertAlign w:val="superscript"/>
    </w:rPr>
  </w:style>
  <w:style w:type="paragraph" w:customStyle="1" w:styleId="TableText0">
    <w:name w:val="Table Text"/>
    <w:basedOn w:val="Normal"/>
    <w:link w:val="TableTextChar0"/>
    <w:qFormat/>
    <w:rsid w:val="008F24B5"/>
    <w:pPr>
      <w:keepNext/>
      <w:keepLines/>
      <w:widowControl/>
      <w:spacing w:before="20" w:after="20"/>
      <w:jc w:val="left"/>
    </w:pPr>
    <w:rPr>
      <w:rFonts w:ascii="Arial Narrow" w:eastAsia="TimesNewRoman" w:hAnsi="Arial Narrow" w:cs="Times New Roman"/>
      <w:snapToGrid/>
      <w:color w:val="000000"/>
      <w:sz w:val="20"/>
      <w:szCs w:val="20"/>
      <w:lang w:val="en-US" w:eastAsia="en-AU"/>
    </w:rPr>
  </w:style>
  <w:style w:type="character" w:customStyle="1" w:styleId="TableTextChar0">
    <w:name w:val="Table Text Char"/>
    <w:link w:val="TableText0"/>
    <w:rsid w:val="008F24B5"/>
    <w:rPr>
      <w:rFonts w:ascii="Arial Narrow" w:eastAsia="TimesNewRoman" w:hAnsi="Arial Narrow"/>
      <w:color w:val="000000"/>
      <w:lang w:val="en-US"/>
    </w:rPr>
  </w:style>
  <w:style w:type="paragraph" w:customStyle="1" w:styleId="Tableheadingleft">
    <w:name w:val="Table heading left"/>
    <w:basedOn w:val="Normal"/>
    <w:qFormat/>
    <w:rsid w:val="008F24B5"/>
    <w:pPr>
      <w:keepNext/>
      <w:keepLines/>
      <w:widowControl/>
      <w:tabs>
        <w:tab w:val="left" w:pos="113"/>
        <w:tab w:val="center" w:pos="142"/>
        <w:tab w:val="center" w:pos="284"/>
        <w:tab w:val="center" w:pos="425"/>
      </w:tabs>
      <w:spacing w:after="120"/>
      <w:jc w:val="left"/>
    </w:pPr>
    <w:rPr>
      <w:rFonts w:ascii="Arial" w:hAnsi="Arial"/>
      <w:b/>
      <w:snapToGrid/>
      <w:sz w:val="20"/>
      <w:szCs w:val="20"/>
      <w:lang w:val="en-GB"/>
    </w:rPr>
  </w:style>
  <w:style w:type="paragraph" w:customStyle="1" w:styleId="CaptionFigure">
    <w:name w:val="Caption Figure"/>
    <w:basedOn w:val="Normal"/>
    <w:autoRedefine/>
    <w:uiPriority w:val="99"/>
    <w:qFormat/>
    <w:rsid w:val="008F24B5"/>
    <w:pPr>
      <w:keepNext/>
      <w:keepLines/>
      <w:widowControl/>
      <w:tabs>
        <w:tab w:val="left" w:pos="1134"/>
      </w:tabs>
      <w:suppressAutoHyphens/>
      <w:spacing w:line="280" w:lineRule="exact"/>
      <w:ind w:left="1128" w:hanging="1128"/>
    </w:pPr>
    <w:rPr>
      <w:rFonts w:asciiTheme="minorHAnsi" w:hAnsiTheme="minorHAnsi" w:cs="Times New Roman"/>
      <w:b/>
      <w:snapToGrid/>
      <w:sz w:val="20"/>
      <w:szCs w:val="20"/>
      <w:lang w:val="en-US"/>
    </w:rPr>
  </w:style>
  <w:style w:type="character" w:customStyle="1" w:styleId="TableCentredChar">
    <w:name w:val="Table Centred Char"/>
    <w:basedOn w:val="DefaultParagraphFont"/>
    <w:link w:val="TableCentred"/>
    <w:uiPriority w:val="5"/>
    <w:locked/>
    <w:rsid w:val="00737689"/>
    <w:rPr>
      <w:rFonts w:ascii="Calibri" w:hAnsi="Calibri"/>
    </w:rPr>
  </w:style>
  <w:style w:type="paragraph" w:customStyle="1" w:styleId="TableCentred">
    <w:name w:val="Table Centred"/>
    <w:basedOn w:val="Normal"/>
    <w:link w:val="TableCentredChar"/>
    <w:uiPriority w:val="5"/>
    <w:qFormat/>
    <w:rsid w:val="00737689"/>
    <w:pPr>
      <w:widowControl/>
      <w:spacing w:line="276" w:lineRule="auto"/>
      <w:jc w:val="center"/>
    </w:pPr>
    <w:rPr>
      <w:rFonts w:cs="Times New Roman"/>
      <w:snapToGrid/>
      <w:sz w:val="20"/>
      <w:szCs w:val="20"/>
      <w:lang w:eastAsia="en-AU"/>
    </w:rPr>
  </w:style>
  <w:style w:type="paragraph" w:customStyle="1" w:styleId="Table">
    <w:name w:val="Table"/>
    <w:basedOn w:val="Normal"/>
    <w:qFormat/>
    <w:rsid w:val="00B10F62"/>
    <w:pPr>
      <w:widowControl/>
      <w:jc w:val="left"/>
    </w:pPr>
    <w:rPr>
      <w:rFonts w:eastAsiaTheme="majorEastAsia" w:cstheme="majorBidi"/>
      <w:snapToGrid/>
      <w:sz w:val="20"/>
      <w:lang w:bidi="en-US"/>
    </w:rPr>
  </w:style>
  <w:style w:type="table" w:styleId="PlainTable4">
    <w:name w:val="Plain Table 4"/>
    <w:basedOn w:val="TableNormal"/>
    <w:uiPriority w:val="44"/>
    <w:rsid w:val="00EC2FD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Web3">
    <w:name w:val="Table Web 3"/>
    <w:basedOn w:val="TableNormal"/>
    <w:rsid w:val="004C4E5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3">
    <w:name w:val="Plain Table 3"/>
    <w:basedOn w:val="TableNormal"/>
    <w:uiPriority w:val="43"/>
    <w:rsid w:val="00687C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AB18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D1D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ink w:val="Heading1"/>
    <w:uiPriority w:val="1"/>
    <w:rsid w:val="00AA4988"/>
    <w:rPr>
      <w:rFonts w:ascii="Calibri" w:hAnsi="Calibri" w:cs="Arial"/>
      <w:b/>
      <w:caps/>
      <w:snapToGrid w:val="0"/>
      <w:sz w:val="32"/>
      <w:szCs w:val="22"/>
      <w:lang w:eastAsia="en-US"/>
    </w:rPr>
  </w:style>
  <w:style w:type="paragraph" w:customStyle="1" w:styleId="2Sections">
    <w:name w:val="2. Sections"/>
    <w:qFormat/>
    <w:rsid w:val="00FA1564"/>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FA1564"/>
    <w:pPr>
      <w:widowControl/>
      <w:tabs>
        <w:tab w:val="num" w:pos="360"/>
      </w:tabs>
      <w:spacing w:after="120"/>
    </w:pPr>
    <w:rPr>
      <w:rFonts w:asciiTheme="minorHAnsi" w:eastAsiaTheme="minorHAnsi" w:hAnsiTheme="minorHAnsi" w:cstheme="minorBidi"/>
      <w: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616">
      <w:bodyDiv w:val="1"/>
      <w:marLeft w:val="0"/>
      <w:marRight w:val="0"/>
      <w:marTop w:val="0"/>
      <w:marBottom w:val="0"/>
      <w:divBdr>
        <w:top w:val="none" w:sz="0" w:space="0" w:color="auto"/>
        <w:left w:val="none" w:sz="0" w:space="0" w:color="auto"/>
        <w:bottom w:val="none" w:sz="0" w:space="0" w:color="auto"/>
        <w:right w:val="none" w:sz="0" w:space="0" w:color="auto"/>
      </w:divBdr>
    </w:div>
    <w:div w:id="11034149">
      <w:bodyDiv w:val="1"/>
      <w:marLeft w:val="0"/>
      <w:marRight w:val="0"/>
      <w:marTop w:val="0"/>
      <w:marBottom w:val="0"/>
      <w:divBdr>
        <w:top w:val="none" w:sz="0" w:space="0" w:color="auto"/>
        <w:left w:val="none" w:sz="0" w:space="0" w:color="auto"/>
        <w:bottom w:val="none" w:sz="0" w:space="0" w:color="auto"/>
        <w:right w:val="none" w:sz="0" w:space="0" w:color="auto"/>
      </w:divBdr>
    </w:div>
    <w:div w:id="15430450">
      <w:bodyDiv w:val="1"/>
      <w:marLeft w:val="0"/>
      <w:marRight w:val="0"/>
      <w:marTop w:val="0"/>
      <w:marBottom w:val="0"/>
      <w:divBdr>
        <w:top w:val="none" w:sz="0" w:space="0" w:color="auto"/>
        <w:left w:val="none" w:sz="0" w:space="0" w:color="auto"/>
        <w:bottom w:val="none" w:sz="0" w:space="0" w:color="auto"/>
        <w:right w:val="none" w:sz="0" w:space="0" w:color="auto"/>
      </w:divBdr>
    </w:div>
    <w:div w:id="25838823">
      <w:bodyDiv w:val="1"/>
      <w:marLeft w:val="0"/>
      <w:marRight w:val="0"/>
      <w:marTop w:val="0"/>
      <w:marBottom w:val="0"/>
      <w:divBdr>
        <w:top w:val="none" w:sz="0" w:space="0" w:color="auto"/>
        <w:left w:val="none" w:sz="0" w:space="0" w:color="auto"/>
        <w:bottom w:val="none" w:sz="0" w:space="0" w:color="auto"/>
        <w:right w:val="none" w:sz="0" w:space="0" w:color="auto"/>
      </w:divBdr>
    </w:div>
    <w:div w:id="48234637">
      <w:bodyDiv w:val="1"/>
      <w:marLeft w:val="0"/>
      <w:marRight w:val="0"/>
      <w:marTop w:val="0"/>
      <w:marBottom w:val="0"/>
      <w:divBdr>
        <w:top w:val="none" w:sz="0" w:space="0" w:color="auto"/>
        <w:left w:val="none" w:sz="0" w:space="0" w:color="auto"/>
        <w:bottom w:val="none" w:sz="0" w:space="0" w:color="auto"/>
        <w:right w:val="none" w:sz="0" w:space="0" w:color="auto"/>
      </w:divBdr>
    </w:div>
    <w:div w:id="49426421">
      <w:bodyDiv w:val="1"/>
      <w:marLeft w:val="0"/>
      <w:marRight w:val="0"/>
      <w:marTop w:val="0"/>
      <w:marBottom w:val="0"/>
      <w:divBdr>
        <w:top w:val="none" w:sz="0" w:space="0" w:color="auto"/>
        <w:left w:val="none" w:sz="0" w:space="0" w:color="auto"/>
        <w:bottom w:val="none" w:sz="0" w:space="0" w:color="auto"/>
        <w:right w:val="none" w:sz="0" w:space="0" w:color="auto"/>
      </w:divBdr>
    </w:div>
    <w:div w:id="50082609">
      <w:bodyDiv w:val="1"/>
      <w:marLeft w:val="0"/>
      <w:marRight w:val="0"/>
      <w:marTop w:val="0"/>
      <w:marBottom w:val="0"/>
      <w:divBdr>
        <w:top w:val="none" w:sz="0" w:space="0" w:color="auto"/>
        <w:left w:val="none" w:sz="0" w:space="0" w:color="auto"/>
        <w:bottom w:val="none" w:sz="0" w:space="0" w:color="auto"/>
        <w:right w:val="none" w:sz="0" w:space="0" w:color="auto"/>
      </w:divBdr>
    </w:div>
    <w:div w:id="54090671">
      <w:bodyDiv w:val="1"/>
      <w:marLeft w:val="0"/>
      <w:marRight w:val="0"/>
      <w:marTop w:val="0"/>
      <w:marBottom w:val="0"/>
      <w:divBdr>
        <w:top w:val="none" w:sz="0" w:space="0" w:color="auto"/>
        <w:left w:val="none" w:sz="0" w:space="0" w:color="auto"/>
        <w:bottom w:val="none" w:sz="0" w:space="0" w:color="auto"/>
        <w:right w:val="none" w:sz="0" w:space="0" w:color="auto"/>
      </w:divBdr>
    </w:div>
    <w:div w:id="58947554">
      <w:bodyDiv w:val="1"/>
      <w:marLeft w:val="0"/>
      <w:marRight w:val="0"/>
      <w:marTop w:val="0"/>
      <w:marBottom w:val="0"/>
      <w:divBdr>
        <w:top w:val="none" w:sz="0" w:space="0" w:color="auto"/>
        <w:left w:val="none" w:sz="0" w:space="0" w:color="auto"/>
        <w:bottom w:val="none" w:sz="0" w:space="0" w:color="auto"/>
        <w:right w:val="none" w:sz="0" w:space="0" w:color="auto"/>
      </w:divBdr>
    </w:div>
    <w:div w:id="62412693">
      <w:bodyDiv w:val="1"/>
      <w:marLeft w:val="0"/>
      <w:marRight w:val="0"/>
      <w:marTop w:val="0"/>
      <w:marBottom w:val="0"/>
      <w:divBdr>
        <w:top w:val="none" w:sz="0" w:space="0" w:color="auto"/>
        <w:left w:val="none" w:sz="0" w:space="0" w:color="auto"/>
        <w:bottom w:val="none" w:sz="0" w:space="0" w:color="auto"/>
        <w:right w:val="none" w:sz="0" w:space="0" w:color="auto"/>
      </w:divBdr>
    </w:div>
    <w:div w:id="65029493">
      <w:bodyDiv w:val="1"/>
      <w:marLeft w:val="0"/>
      <w:marRight w:val="0"/>
      <w:marTop w:val="0"/>
      <w:marBottom w:val="0"/>
      <w:divBdr>
        <w:top w:val="none" w:sz="0" w:space="0" w:color="auto"/>
        <w:left w:val="none" w:sz="0" w:space="0" w:color="auto"/>
        <w:bottom w:val="none" w:sz="0" w:space="0" w:color="auto"/>
        <w:right w:val="none" w:sz="0" w:space="0" w:color="auto"/>
      </w:divBdr>
    </w:div>
    <w:div w:id="66653765">
      <w:bodyDiv w:val="1"/>
      <w:marLeft w:val="0"/>
      <w:marRight w:val="0"/>
      <w:marTop w:val="0"/>
      <w:marBottom w:val="0"/>
      <w:divBdr>
        <w:top w:val="none" w:sz="0" w:space="0" w:color="auto"/>
        <w:left w:val="none" w:sz="0" w:space="0" w:color="auto"/>
        <w:bottom w:val="none" w:sz="0" w:space="0" w:color="auto"/>
        <w:right w:val="none" w:sz="0" w:space="0" w:color="auto"/>
      </w:divBdr>
    </w:div>
    <w:div w:id="90853979">
      <w:bodyDiv w:val="1"/>
      <w:marLeft w:val="0"/>
      <w:marRight w:val="0"/>
      <w:marTop w:val="0"/>
      <w:marBottom w:val="0"/>
      <w:divBdr>
        <w:top w:val="none" w:sz="0" w:space="0" w:color="auto"/>
        <w:left w:val="none" w:sz="0" w:space="0" w:color="auto"/>
        <w:bottom w:val="none" w:sz="0" w:space="0" w:color="auto"/>
        <w:right w:val="none" w:sz="0" w:space="0" w:color="auto"/>
      </w:divBdr>
    </w:div>
    <w:div w:id="92407240">
      <w:bodyDiv w:val="1"/>
      <w:marLeft w:val="0"/>
      <w:marRight w:val="0"/>
      <w:marTop w:val="0"/>
      <w:marBottom w:val="0"/>
      <w:divBdr>
        <w:top w:val="none" w:sz="0" w:space="0" w:color="auto"/>
        <w:left w:val="none" w:sz="0" w:space="0" w:color="auto"/>
        <w:bottom w:val="none" w:sz="0" w:space="0" w:color="auto"/>
        <w:right w:val="none" w:sz="0" w:space="0" w:color="auto"/>
      </w:divBdr>
    </w:div>
    <w:div w:id="114057576">
      <w:bodyDiv w:val="1"/>
      <w:marLeft w:val="0"/>
      <w:marRight w:val="0"/>
      <w:marTop w:val="0"/>
      <w:marBottom w:val="0"/>
      <w:divBdr>
        <w:top w:val="none" w:sz="0" w:space="0" w:color="auto"/>
        <w:left w:val="none" w:sz="0" w:space="0" w:color="auto"/>
        <w:bottom w:val="none" w:sz="0" w:space="0" w:color="auto"/>
        <w:right w:val="none" w:sz="0" w:space="0" w:color="auto"/>
      </w:divBdr>
    </w:div>
    <w:div w:id="114254861">
      <w:bodyDiv w:val="1"/>
      <w:marLeft w:val="0"/>
      <w:marRight w:val="0"/>
      <w:marTop w:val="0"/>
      <w:marBottom w:val="0"/>
      <w:divBdr>
        <w:top w:val="none" w:sz="0" w:space="0" w:color="auto"/>
        <w:left w:val="none" w:sz="0" w:space="0" w:color="auto"/>
        <w:bottom w:val="none" w:sz="0" w:space="0" w:color="auto"/>
        <w:right w:val="none" w:sz="0" w:space="0" w:color="auto"/>
      </w:divBdr>
    </w:div>
    <w:div w:id="118232289">
      <w:bodyDiv w:val="1"/>
      <w:marLeft w:val="0"/>
      <w:marRight w:val="0"/>
      <w:marTop w:val="0"/>
      <w:marBottom w:val="0"/>
      <w:divBdr>
        <w:top w:val="none" w:sz="0" w:space="0" w:color="auto"/>
        <w:left w:val="none" w:sz="0" w:space="0" w:color="auto"/>
        <w:bottom w:val="none" w:sz="0" w:space="0" w:color="auto"/>
        <w:right w:val="none" w:sz="0" w:space="0" w:color="auto"/>
      </w:divBdr>
    </w:div>
    <w:div w:id="126239056">
      <w:bodyDiv w:val="1"/>
      <w:marLeft w:val="0"/>
      <w:marRight w:val="0"/>
      <w:marTop w:val="0"/>
      <w:marBottom w:val="0"/>
      <w:divBdr>
        <w:top w:val="none" w:sz="0" w:space="0" w:color="auto"/>
        <w:left w:val="none" w:sz="0" w:space="0" w:color="auto"/>
        <w:bottom w:val="none" w:sz="0" w:space="0" w:color="auto"/>
        <w:right w:val="none" w:sz="0" w:space="0" w:color="auto"/>
      </w:divBdr>
    </w:div>
    <w:div w:id="161900328">
      <w:bodyDiv w:val="1"/>
      <w:marLeft w:val="0"/>
      <w:marRight w:val="0"/>
      <w:marTop w:val="0"/>
      <w:marBottom w:val="0"/>
      <w:divBdr>
        <w:top w:val="none" w:sz="0" w:space="0" w:color="auto"/>
        <w:left w:val="none" w:sz="0" w:space="0" w:color="auto"/>
        <w:bottom w:val="none" w:sz="0" w:space="0" w:color="auto"/>
        <w:right w:val="none" w:sz="0" w:space="0" w:color="auto"/>
      </w:divBdr>
    </w:div>
    <w:div w:id="171578474">
      <w:bodyDiv w:val="1"/>
      <w:marLeft w:val="0"/>
      <w:marRight w:val="0"/>
      <w:marTop w:val="0"/>
      <w:marBottom w:val="0"/>
      <w:divBdr>
        <w:top w:val="none" w:sz="0" w:space="0" w:color="auto"/>
        <w:left w:val="none" w:sz="0" w:space="0" w:color="auto"/>
        <w:bottom w:val="none" w:sz="0" w:space="0" w:color="auto"/>
        <w:right w:val="none" w:sz="0" w:space="0" w:color="auto"/>
      </w:divBdr>
    </w:div>
    <w:div w:id="185799870">
      <w:bodyDiv w:val="1"/>
      <w:marLeft w:val="0"/>
      <w:marRight w:val="0"/>
      <w:marTop w:val="0"/>
      <w:marBottom w:val="0"/>
      <w:divBdr>
        <w:top w:val="none" w:sz="0" w:space="0" w:color="auto"/>
        <w:left w:val="none" w:sz="0" w:space="0" w:color="auto"/>
        <w:bottom w:val="none" w:sz="0" w:space="0" w:color="auto"/>
        <w:right w:val="none" w:sz="0" w:space="0" w:color="auto"/>
      </w:divBdr>
    </w:div>
    <w:div w:id="197089241">
      <w:bodyDiv w:val="1"/>
      <w:marLeft w:val="0"/>
      <w:marRight w:val="0"/>
      <w:marTop w:val="0"/>
      <w:marBottom w:val="0"/>
      <w:divBdr>
        <w:top w:val="none" w:sz="0" w:space="0" w:color="auto"/>
        <w:left w:val="none" w:sz="0" w:space="0" w:color="auto"/>
        <w:bottom w:val="none" w:sz="0" w:space="0" w:color="auto"/>
        <w:right w:val="none" w:sz="0" w:space="0" w:color="auto"/>
      </w:divBdr>
    </w:div>
    <w:div w:id="214512855">
      <w:bodyDiv w:val="1"/>
      <w:marLeft w:val="0"/>
      <w:marRight w:val="0"/>
      <w:marTop w:val="0"/>
      <w:marBottom w:val="0"/>
      <w:divBdr>
        <w:top w:val="none" w:sz="0" w:space="0" w:color="auto"/>
        <w:left w:val="none" w:sz="0" w:space="0" w:color="auto"/>
        <w:bottom w:val="none" w:sz="0" w:space="0" w:color="auto"/>
        <w:right w:val="none" w:sz="0" w:space="0" w:color="auto"/>
      </w:divBdr>
    </w:div>
    <w:div w:id="216279276">
      <w:bodyDiv w:val="1"/>
      <w:marLeft w:val="0"/>
      <w:marRight w:val="0"/>
      <w:marTop w:val="0"/>
      <w:marBottom w:val="0"/>
      <w:divBdr>
        <w:top w:val="none" w:sz="0" w:space="0" w:color="auto"/>
        <w:left w:val="none" w:sz="0" w:space="0" w:color="auto"/>
        <w:bottom w:val="none" w:sz="0" w:space="0" w:color="auto"/>
        <w:right w:val="none" w:sz="0" w:space="0" w:color="auto"/>
      </w:divBdr>
    </w:div>
    <w:div w:id="219026350">
      <w:bodyDiv w:val="1"/>
      <w:marLeft w:val="0"/>
      <w:marRight w:val="0"/>
      <w:marTop w:val="0"/>
      <w:marBottom w:val="0"/>
      <w:divBdr>
        <w:top w:val="none" w:sz="0" w:space="0" w:color="auto"/>
        <w:left w:val="none" w:sz="0" w:space="0" w:color="auto"/>
        <w:bottom w:val="none" w:sz="0" w:space="0" w:color="auto"/>
        <w:right w:val="none" w:sz="0" w:space="0" w:color="auto"/>
      </w:divBdr>
    </w:div>
    <w:div w:id="223418682">
      <w:bodyDiv w:val="1"/>
      <w:marLeft w:val="0"/>
      <w:marRight w:val="0"/>
      <w:marTop w:val="0"/>
      <w:marBottom w:val="0"/>
      <w:divBdr>
        <w:top w:val="none" w:sz="0" w:space="0" w:color="auto"/>
        <w:left w:val="none" w:sz="0" w:space="0" w:color="auto"/>
        <w:bottom w:val="none" w:sz="0" w:space="0" w:color="auto"/>
        <w:right w:val="none" w:sz="0" w:space="0" w:color="auto"/>
      </w:divBdr>
    </w:div>
    <w:div w:id="239365837">
      <w:bodyDiv w:val="1"/>
      <w:marLeft w:val="0"/>
      <w:marRight w:val="0"/>
      <w:marTop w:val="0"/>
      <w:marBottom w:val="0"/>
      <w:divBdr>
        <w:top w:val="none" w:sz="0" w:space="0" w:color="auto"/>
        <w:left w:val="none" w:sz="0" w:space="0" w:color="auto"/>
        <w:bottom w:val="none" w:sz="0" w:space="0" w:color="auto"/>
        <w:right w:val="none" w:sz="0" w:space="0" w:color="auto"/>
      </w:divBdr>
    </w:div>
    <w:div w:id="273246123">
      <w:bodyDiv w:val="1"/>
      <w:marLeft w:val="0"/>
      <w:marRight w:val="0"/>
      <w:marTop w:val="0"/>
      <w:marBottom w:val="0"/>
      <w:divBdr>
        <w:top w:val="none" w:sz="0" w:space="0" w:color="auto"/>
        <w:left w:val="none" w:sz="0" w:space="0" w:color="auto"/>
        <w:bottom w:val="none" w:sz="0" w:space="0" w:color="auto"/>
        <w:right w:val="none" w:sz="0" w:space="0" w:color="auto"/>
      </w:divBdr>
    </w:div>
    <w:div w:id="277296023">
      <w:bodyDiv w:val="1"/>
      <w:marLeft w:val="0"/>
      <w:marRight w:val="0"/>
      <w:marTop w:val="0"/>
      <w:marBottom w:val="0"/>
      <w:divBdr>
        <w:top w:val="none" w:sz="0" w:space="0" w:color="auto"/>
        <w:left w:val="none" w:sz="0" w:space="0" w:color="auto"/>
        <w:bottom w:val="none" w:sz="0" w:space="0" w:color="auto"/>
        <w:right w:val="none" w:sz="0" w:space="0" w:color="auto"/>
      </w:divBdr>
    </w:div>
    <w:div w:id="277684132">
      <w:bodyDiv w:val="1"/>
      <w:marLeft w:val="0"/>
      <w:marRight w:val="0"/>
      <w:marTop w:val="0"/>
      <w:marBottom w:val="0"/>
      <w:divBdr>
        <w:top w:val="none" w:sz="0" w:space="0" w:color="auto"/>
        <w:left w:val="none" w:sz="0" w:space="0" w:color="auto"/>
        <w:bottom w:val="none" w:sz="0" w:space="0" w:color="auto"/>
        <w:right w:val="none" w:sz="0" w:space="0" w:color="auto"/>
      </w:divBdr>
    </w:div>
    <w:div w:id="329605482">
      <w:bodyDiv w:val="1"/>
      <w:marLeft w:val="0"/>
      <w:marRight w:val="0"/>
      <w:marTop w:val="0"/>
      <w:marBottom w:val="0"/>
      <w:divBdr>
        <w:top w:val="none" w:sz="0" w:space="0" w:color="auto"/>
        <w:left w:val="none" w:sz="0" w:space="0" w:color="auto"/>
        <w:bottom w:val="none" w:sz="0" w:space="0" w:color="auto"/>
        <w:right w:val="none" w:sz="0" w:space="0" w:color="auto"/>
      </w:divBdr>
    </w:div>
    <w:div w:id="331379364">
      <w:bodyDiv w:val="1"/>
      <w:marLeft w:val="0"/>
      <w:marRight w:val="0"/>
      <w:marTop w:val="0"/>
      <w:marBottom w:val="0"/>
      <w:divBdr>
        <w:top w:val="none" w:sz="0" w:space="0" w:color="auto"/>
        <w:left w:val="none" w:sz="0" w:space="0" w:color="auto"/>
        <w:bottom w:val="none" w:sz="0" w:space="0" w:color="auto"/>
        <w:right w:val="none" w:sz="0" w:space="0" w:color="auto"/>
      </w:divBdr>
    </w:div>
    <w:div w:id="337970896">
      <w:bodyDiv w:val="1"/>
      <w:marLeft w:val="0"/>
      <w:marRight w:val="0"/>
      <w:marTop w:val="0"/>
      <w:marBottom w:val="0"/>
      <w:divBdr>
        <w:top w:val="none" w:sz="0" w:space="0" w:color="auto"/>
        <w:left w:val="none" w:sz="0" w:space="0" w:color="auto"/>
        <w:bottom w:val="none" w:sz="0" w:space="0" w:color="auto"/>
        <w:right w:val="none" w:sz="0" w:space="0" w:color="auto"/>
      </w:divBdr>
    </w:div>
    <w:div w:id="351536490">
      <w:bodyDiv w:val="1"/>
      <w:marLeft w:val="0"/>
      <w:marRight w:val="0"/>
      <w:marTop w:val="0"/>
      <w:marBottom w:val="0"/>
      <w:divBdr>
        <w:top w:val="none" w:sz="0" w:space="0" w:color="auto"/>
        <w:left w:val="none" w:sz="0" w:space="0" w:color="auto"/>
        <w:bottom w:val="none" w:sz="0" w:space="0" w:color="auto"/>
        <w:right w:val="none" w:sz="0" w:space="0" w:color="auto"/>
      </w:divBdr>
    </w:div>
    <w:div w:id="362946460">
      <w:bodyDiv w:val="1"/>
      <w:marLeft w:val="0"/>
      <w:marRight w:val="0"/>
      <w:marTop w:val="0"/>
      <w:marBottom w:val="0"/>
      <w:divBdr>
        <w:top w:val="none" w:sz="0" w:space="0" w:color="auto"/>
        <w:left w:val="none" w:sz="0" w:space="0" w:color="auto"/>
        <w:bottom w:val="none" w:sz="0" w:space="0" w:color="auto"/>
        <w:right w:val="none" w:sz="0" w:space="0" w:color="auto"/>
      </w:divBdr>
    </w:div>
    <w:div w:id="380399818">
      <w:bodyDiv w:val="1"/>
      <w:marLeft w:val="0"/>
      <w:marRight w:val="0"/>
      <w:marTop w:val="0"/>
      <w:marBottom w:val="0"/>
      <w:divBdr>
        <w:top w:val="none" w:sz="0" w:space="0" w:color="auto"/>
        <w:left w:val="none" w:sz="0" w:space="0" w:color="auto"/>
        <w:bottom w:val="none" w:sz="0" w:space="0" w:color="auto"/>
        <w:right w:val="none" w:sz="0" w:space="0" w:color="auto"/>
      </w:divBdr>
    </w:div>
    <w:div w:id="385296864">
      <w:bodyDiv w:val="1"/>
      <w:marLeft w:val="0"/>
      <w:marRight w:val="0"/>
      <w:marTop w:val="0"/>
      <w:marBottom w:val="0"/>
      <w:divBdr>
        <w:top w:val="none" w:sz="0" w:space="0" w:color="auto"/>
        <w:left w:val="none" w:sz="0" w:space="0" w:color="auto"/>
        <w:bottom w:val="none" w:sz="0" w:space="0" w:color="auto"/>
        <w:right w:val="none" w:sz="0" w:space="0" w:color="auto"/>
      </w:divBdr>
    </w:div>
    <w:div w:id="386615306">
      <w:bodyDiv w:val="1"/>
      <w:marLeft w:val="0"/>
      <w:marRight w:val="0"/>
      <w:marTop w:val="0"/>
      <w:marBottom w:val="0"/>
      <w:divBdr>
        <w:top w:val="none" w:sz="0" w:space="0" w:color="auto"/>
        <w:left w:val="none" w:sz="0" w:space="0" w:color="auto"/>
        <w:bottom w:val="none" w:sz="0" w:space="0" w:color="auto"/>
        <w:right w:val="none" w:sz="0" w:space="0" w:color="auto"/>
      </w:divBdr>
    </w:div>
    <w:div w:id="398788993">
      <w:bodyDiv w:val="1"/>
      <w:marLeft w:val="0"/>
      <w:marRight w:val="0"/>
      <w:marTop w:val="0"/>
      <w:marBottom w:val="0"/>
      <w:divBdr>
        <w:top w:val="none" w:sz="0" w:space="0" w:color="auto"/>
        <w:left w:val="none" w:sz="0" w:space="0" w:color="auto"/>
        <w:bottom w:val="none" w:sz="0" w:space="0" w:color="auto"/>
        <w:right w:val="none" w:sz="0" w:space="0" w:color="auto"/>
      </w:divBdr>
    </w:div>
    <w:div w:id="399329634">
      <w:bodyDiv w:val="1"/>
      <w:marLeft w:val="0"/>
      <w:marRight w:val="0"/>
      <w:marTop w:val="0"/>
      <w:marBottom w:val="0"/>
      <w:divBdr>
        <w:top w:val="none" w:sz="0" w:space="0" w:color="auto"/>
        <w:left w:val="none" w:sz="0" w:space="0" w:color="auto"/>
        <w:bottom w:val="none" w:sz="0" w:space="0" w:color="auto"/>
        <w:right w:val="none" w:sz="0" w:space="0" w:color="auto"/>
      </w:divBdr>
    </w:div>
    <w:div w:id="406541260">
      <w:bodyDiv w:val="1"/>
      <w:marLeft w:val="0"/>
      <w:marRight w:val="0"/>
      <w:marTop w:val="0"/>
      <w:marBottom w:val="0"/>
      <w:divBdr>
        <w:top w:val="none" w:sz="0" w:space="0" w:color="auto"/>
        <w:left w:val="none" w:sz="0" w:space="0" w:color="auto"/>
        <w:bottom w:val="none" w:sz="0" w:space="0" w:color="auto"/>
        <w:right w:val="none" w:sz="0" w:space="0" w:color="auto"/>
      </w:divBdr>
    </w:div>
    <w:div w:id="421220062">
      <w:bodyDiv w:val="1"/>
      <w:marLeft w:val="0"/>
      <w:marRight w:val="0"/>
      <w:marTop w:val="0"/>
      <w:marBottom w:val="0"/>
      <w:divBdr>
        <w:top w:val="none" w:sz="0" w:space="0" w:color="auto"/>
        <w:left w:val="none" w:sz="0" w:space="0" w:color="auto"/>
        <w:bottom w:val="none" w:sz="0" w:space="0" w:color="auto"/>
        <w:right w:val="none" w:sz="0" w:space="0" w:color="auto"/>
      </w:divBdr>
    </w:div>
    <w:div w:id="424808369">
      <w:bodyDiv w:val="1"/>
      <w:marLeft w:val="0"/>
      <w:marRight w:val="0"/>
      <w:marTop w:val="0"/>
      <w:marBottom w:val="0"/>
      <w:divBdr>
        <w:top w:val="none" w:sz="0" w:space="0" w:color="auto"/>
        <w:left w:val="none" w:sz="0" w:space="0" w:color="auto"/>
        <w:bottom w:val="none" w:sz="0" w:space="0" w:color="auto"/>
        <w:right w:val="none" w:sz="0" w:space="0" w:color="auto"/>
      </w:divBdr>
    </w:div>
    <w:div w:id="448548936">
      <w:bodyDiv w:val="1"/>
      <w:marLeft w:val="0"/>
      <w:marRight w:val="0"/>
      <w:marTop w:val="0"/>
      <w:marBottom w:val="0"/>
      <w:divBdr>
        <w:top w:val="none" w:sz="0" w:space="0" w:color="auto"/>
        <w:left w:val="none" w:sz="0" w:space="0" w:color="auto"/>
        <w:bottom w:val="none" w:sz="0" w:space="0" w:color="auto"/>
        <w:right w:val="none" w:sz="0" w:space="0" w:color="auto"/>
      </w:divBdr>
    </w:div>
    <w:div w:id="476993037">
      <w:bodyDiv w:val="1"/>
      <w:marLeft w:val="0"/>
      <w:marRight w:val="0"/>
      <w:marTop w:val="0"/>
      <w:marBottom w:val="0"/>
      <w:divBdr>
        <w:top w:val="none" w:sz="0" w:space="0" w:color="auto"/>
        <w:left w:val="none" w:sz="0" w:space="0" w:color="auto"/>
        <w:bottom w:val="none" w:sz="0" w:space="0" w:color="auto"/>
        <w:right w:val="none" w:sz="0" w:space="0" w:color="auto"/>
      </w:divBdr>
    </w:div>
    <w:div w:id="483661272">
      <w:bodyDiv w:val="1"/>
      <w:marLeft w:val="0"/>
      <w:marRight w:val="0"/>
      <w:marTop w:val="0"/>
      <w:marBottom w:val="0"/>
      <w:divBdr>
        <w:top w:val="none" w:sz="0" w:space="0" w:color="auto"/>
        <w:left w:val="none" w:sz="0" w:space="0" w:color="auto"/>
        <w:bottom w:val="none" w:sz="0" w:space="0" w:color="auto"/>
        <w:right w:val="none" w:sz="0" w:space="0" w:color="auto"/>
      </w:divBdr>
    </w:div>
    <w:div w:id="502621296">
      <w:bodyDiv w:val="1"/>
      <w:marLeft w:val="0"/>
      <w:marRight w:val="0"/>
      <w:marTop w:val="0"/>
      <w:marBottom w:val="0"/>
      <w:divBdr>
        <w:top w:val="none" w:sz="0" w:space="0" w:color="auto"/>
        <w:left w:val="none" w:sz="0" w:space="0" w:color="auto"/>
        <w:bottom w:val="none" w:sz="0" w:space="0" w:color="auto"/>
        <w:right w:val="none" w:sz="0" w:space="0" w:color="auto"/>
      </w:divBdr>
    </w:div>
    <w:div w:id="505487469">
      <w:bodyDiv w:val="1"/>
      <w:marLeft w:val="0"/>
      <w:marRight w:val="0"/>
      <w:marTop w:val="0"/>
      <w:marBottom w:val="0"/>
      <w:divBdr>
        <w:top w:val="none" w:sz="0" w:space="0" w:color="auto"/>
        <w:left w:val="none" w:sz="0" w:space="0" w:color="auto"/>
        <w:bottom w:val="none" w:sz="0" w:space="0" w:color="auto"/>
        <w:right w:val="none" w:sz="0" w:space="0" w:color="auto"/>
      </w:divBdr>
    </w:div>
    <w:div w:id="513038023">
      <w:bodyDiv w:val="1"/>
      <w:marLeft w:val="0"/>
      <w:marRight w:val="0"/>
      <w:marTop w:val="0"/>
      <w:marBottom w:val="0"/>
      <w:divBdr>
        <w:top w:val="none" w:sz="0" w:space="0" w:color="auto"/>
        <w:left w:val="none" w:sz="0" w:space="0" w:color="auto"/>
        <w:bottom w:val="none" w:sz="0" w:space="0" w:color="auto"/>
        <w:right w:val="none" w:sz="0" w:space="0" w:color="auto"/>
      </w:divBdr>
    </w:div>
    <w:div w:id="520555584">
      <w:bodyDiv w:val="1"/>
      <w:marLeft w:val="0"/>
      <w:marRight w:val="0"/>
      <w:marTop w:val="0"/>
      <w:marBottom w:val="0"/>
      <w:divBdr>
        <w:top w:val="none" w:sz="0" w:space="0" w:color="auto"/>
        <w:left w:val="none" w:sz="0" w:space="0" w:color="auto"/>
        <w:bottom w:val="none" w:sz="0" w:space="0" w:color="auto"/>
        <w:right w:val="none" w:sz="0" w:space="0" w:color="auto"/>
      </w:divBdr>
    </w:div>
    <w:div w:id="540363405">
      <w:bodyDiv w:val="1"/>
      <w:marLeft w:val="0"/>
      <w:marRight w:val="0"/>
      <w:marTop w:val="0"/>
      <w:marBottom w:val="0"/>
      <w:divBdr>
        <w:top w:val="none" w:sz="0" w:space="0" w:color="auto"/>
        <w:left w:val="none" w:sz="0" w:space="0" w:color="auto"/>
        <w:bottom w:val="none" w:sz="0" w:space="0" w:color="auto"/>
        <w:right w:val="none" w:sz="0" w:space="0" w:color="auto"/>
      </w:divBdr>
    </w:div>
    <w:div w:id="540476901">
      <w:bodyDiv w:val="1"/>
      <w:marLeft w:val="0"/>
      <w:marRight w:val="0"/>
      <w:marTop w:val="0"/>
      <w:marBottom w:val="0"/>
      <w:divBdr>
        <w:top w:val="none" w:sz="0" w:space="0" w:color="auto"/>
        <w:left w:val="none" w:sz="0" w:space="0" w:color="auto"/>
        <w:bottom w:val="none" w:sz="0" w:space="0" w:color="auto"/>
        <w:right w:val="none" w:sz="0" w:space="0" w:color="auto"/>
      </w:divBdr>
    </w:div>
    <w:div w:id="562915512">
      <w:bodyDiv w:val="1"/>
      <w:marLeft w:val="0"/>
      <w:marRight w:val="0"/>
      <w:marTop w:val="0"/>
      <w:marBottom w:val="0"/>
      <w:divBdr>
        <w:top w:val="none" w:sz="0" w:space="0" w:color="auto"/>
        <w:left w:val="none" w:sz="0" w:space="0" w:color="auto"/>
        <w:bottom w:val="none" w:sz="0" w:space="0" w:color="auto"/>
        <w:right w:val="none" w:sz="0" w:space="0" w:color="auto"/>
      </w:divBdr>
    </w:div>
    <w:div w:id="586572872">
      <w:bodyDiv w:val="1"/>
      <w:marLeft w:val="0"/>
      <w:marRight w:val="0"/>
      <w:marTop w:val="0"/>
      <w:marBottom w:val="0"/>
      <w:divBdr>
        <w:top w:val="none" w:sz="0" w:space="0" w:color="auto"/>
        <w:left w:val="none" w:sz="0" w:space="0" w:color="auto"/>
        <w:bottom w:val="none" w:sz="0" w:space="0" w:color="auto"/>
        <w:right w:val="none" w:sz="0" w:space="0" w:color="auto"/>
      </w:divBdr>
    </w:div>
    <w:div w:id="590361029">
      <w:bodyDiv w:val="1"/>
      <w:marLeft w:val="0"/>
      <w:marRight w:val="0"/>
      <w:marTop w:val="0"/>
      <w:marBottom w:val="0"/>
      <w:divBdr>
        <w:top w:val="none" w:sz="0" w:space="0" w:color="auto"/>
        <w:left w:val="none" w:sz="0" w:space="0" w:color="auto"/>
        <w:bottom w:val="none" w:sz="0" w:space="0" w:color="auto"/>
        <w:right w:val="none" w:sz="0" w:space="0" w:color="auto"/>
      </w:divBdr>
    </w:div>
    <w:div w:id="592053702">
      <w:bodyDiv w:val="1"/>
      <w:marLeft w:val="0"/>
      <w:marRight w:val="0"/>
      <w:marTop w:val="0"/>
      <w:marBottom w:val="0"/>
      <w:divBdr>
        <w:top w:val="none" w:sz="0" w:space="0" w:color="auto"/>
        <w:left w:val="none" w:sz="0" w:space="0" w:color="auto"/>
        <w:bottom w:val="none" w:sz="0" w:space="0" w:color="auto"/>
        <w:right w:val="none" w:sz="0" w:space="0" w:color="auto"/>
      </w:divBdr>
    </w:div>
    <w:div w:id="594365891">
      <w:bodyDiv w:val="1"/>
      <w:marLeft w:val="0"/>
      <w:marRight w:val="0"/>
      <w:marTop w:val="0"/>
      <w:marBottom w:val="0"/>
      <w:divBdr>
        <w:top w:val="none" w:sz="0" w:space="0" w:color="auto"/>
        <w:left w:val="none" w:sz="0" w:space="0" w:color="auto"/>
        <w:bottom w:val="none" w:sz="0" w:space="0" w:color="auto"/>
        <w:right w:val="none" w:sz="0" w:space="0" w:color="auto"/>
      </w:divBdr>
    </w:div>
    <w:div w:id="620695574">
      <w:bodyDiv w:val="1"/>
      <w:marLeft w:val="0"/>
      <w:marRight w:val="0"/>
      <w:marTop w:val="0"/>
      <w:marBottom w:val="0"/>
      <w:divBdr>
        <w:top w:val="none" w:sz="0" w:space="0" w:color="auto"/>
        <w:left w:val="none" w:sz="0" w:space="0" w:color="auto"/>
        <w:bottom w:val="none" w:sz="0" w:space="0" w:color="auto"/>
        <w:right w:val="none" w:sz="0" w:space="0" w:color="auto"/>
      </w:divBdr>
    </w:div>
    <w:div w:id="639698403">
      <w:bodyDiv w:val="1"/>
      <w:marLeft w:val="0"/>
      <w:marRight w:val="0"/>
      <w:marTop w:val="0"/>
      <w:marBottom w:val="0"/>
      <w:divBdr>
        <w:top w:val="none" w:sz="0" w:space="0" w:color="auto"/>
        <w:left w:val="none" w:sz="0" w:space="0" w:color="auto"/>
        <w:bottom w:val="none" w:sz="0" w:space="0" w:color="auto"/>
        <w:right w:val="none" w:sz="0" w:space="0" w:color="auto"/>
      </w:divBdr>
    </w:div>
    <w:div w:id="643853870">
      <w:bodyDiv w:val="1"/>
      <w:marLeft w:val="0"/>
      <w:marRight w:val="0"/>
      <w:marTop w:val="0"/>
      <w:marBottom w:val="0"/>
      <w:divBdr>
        <w:top w:val="none" w:sz="0" w:space="0" w:color="auto"/>
        <w:left w:val="none" w:sz="0" w:space="0" w:color="auto"/>
        <w:bottom w:val="none" w:sz="0" w:space="0" w:color="auto"/>
        <w:right w:val="none" w:sz="0" w:space="0" w:color="auto"/>
      </w:divBdr>
    </w:div>
    <w:div w:id="652871592">
      <w:bodyDiv w:val="1"/>
      <w:marLeft w:val="0"/>
      <w:marRight w:val="0"/>
      <w:marTop w:val="0"/>
      <w:marBottom w:val="0"/>
      <w:divBdr>
        <w:top w:val="none" w:sz="0" w:space="0" w:color="auto"/>
        <w:left w:val="none" w:sz="0" w:space="0" w:color="auto"/>
        <w:bottom w:val="none" w:sz="0" w:space="0" w:color="auto"/>
        <w:right w:val="none" w:sz="0" w:space="0" w:color="auto"/>
      </w:divBdr>
    </w:div>
    <w:div w:id="654070985">
      <w:bodyDiv w:val="1"/>
      <w:marLeft w:val="0"/>
      <w:marRight w:val="0"/>
      <w:marTop w:val="0"/>
      <w:marBottom w:val="0"/>
      <w:divBdr>
        <w:top w:val="none" w:sz="0" w:space="0" w:color="auto"/>
        <w:left w:val="none" w:sz="0" w:space="0" w:color="auto"/>
        <w:bottom w:val="none" w:sz="0" w:space="0" w:color="auto"/>
        <w:right w:val="none" w:sz="0" w:space="0" w:color="auto"/>
      </w:divBdr>
    </w:div>
    <w:div w:id="665859146">
      <w:bodyDiv w:val="1"/>
      <w:marLeft w:val="0"/>
      <w:marRight w:val="0"/>
      <w:marTop w:val="0"/>
      <w:marBottom w:val="0"/>
      <w:divBdr>
        <w:top w:val="none" w:sz="0" w:space="0" w:color="auto"/>
        <w:left w:val="none" w:sz="0" w:space="0" w:color="auto"/>
        <w:bottom w:val="none" w:sz="0" w:space="0" w:color="auto"/>
        <w:right w:val="none" w:sz="0" w:space="0" w:color="auto"/>
      </w:divBdr>
    </w:div>
    <w:div w:id="691109379">
      <w:bodyDiv w:val="1"/>
      <w:marLeft w:val="0"/>
      <w:marRight w:val="0"/>
      <w:marTop w:val="0"/>
      <w:marBottom w:val="0"/>
      <w:divBdr>
        <w:top w:val="none" w:sz="0" w:space="0" w:color="auto"/>
        <w:left w:val="none" w:sz="0" w:space="0" w:color="auto"/>
        <w:bottom w:val="none" w:sz="0" w:space="0" w:color="auto"/>
        <w:right w:val="none" w:sz="0" w:space="0" w:color="auto"/>
      </w:divBdr>
    </w:div>
    <w:div w:id="699671035">
      <w:bodyDiv w:val="1"/>
      <w:marLeft w:val="0"/>
      <w:marRight w:val="0"/>
      <w:marTop w:val="0"/>
      <w:marBottom w:val="0"/>
      <w:divBdr>
        <w:top w:val="none" w:sz="0" w:space="0" w:color="auto"/>
        <w:left w:val="none" w:sz="0" w:space="0" w:color="auto"/>
        <w:bottom w:val="none" w:sz="0" w:space="0" w:color="auto"/>
        <w:right w:val="none" w:sz="0" w:space="0" w:color="auto"/>
      </w:divBdr>
    </w:div>
    <w:div w:id="717321277">
      <w:bodyDiv w:val="1"/>
      <w:marLeft w:val="0"/>
      <w:marRight w:val="0"/>
      <w:marTop w:val="0"/>
      <w:marBottom w:val="0"/>
      <w:divBdr>
        <w:top w:val="none" w:sz="0" w:space="0" w:color="auto"/>
        <w:left w:val="none" w:sz="0" w:space="0" w:color="auto"/>
        <w:bottom w:val="none" w:sz="0" w:space="0" w:color="auto"/>
        <w:right w:val="none" w:sz="0" w:space="0" w:color="auto"/>
      </w:divBdr>
    </w:div>
    <w:div w:id="719597034">
      <w:bodyDiv w:val="1"/>
      <w:marLeft w:val="0"/>
      <w:marRight w:val="0"/>
      <w:marTop w:val="0"/>
      <w:marBottom w:val="0"/>
      <w:divBdr>
        <w:top w:val="none" w:sz="0" w:space="0" w:color="auto"/>
        <w:left w:val="none" w:sz="0" w:space="0" w:color="auto"/>
        <w:bottom w:val="none" w:sz="0" w:space="0" w:color="auto"/>
        <w:right w:val="none" w:sz="0" w:space="0" w:color="auto"/>
      </w:divBdr>
    </w:div>
    <w:div w:id="720521735">
      <w:bodyDiv w:val="1"/>
      <w:marLeft w:val="0"/>
      <w:marRight w:val="0"/>
      <w:marTop w:val="0"/>
      <w:marBottom w:val="0"/>
      <w:divBdr>
        <w:top w:val="none" w:sz="0" w:space="0" w:color="auto"/>
        <w:left w:val="none" w:sz="0" w:space="0" w:color="auto"/>
        <w:bottom w:val="none" w:sz="0" w:space="0" w:color="auto"/>
        <w:right w:val="none" w:sz="0" w:space="0" w:color="auto"/>
      </w:divBdr>
    </w:div>
    <w:div w:id="725639543">
      <w:bodyDiv w:val="1"/>
      <w:marLeft w:val="0"/>
      <w:marRight w:val="0"/>
      <w:marTop w:val="0"/>
      <w:marBottom w:val="0"/>
      <w:divBdr>
        <w:top w:val="none" w:sz="0" w:space="0" w:color="auto"/>
        <w:left w:val="none" w:sz="0" w:space="0" w:color="auto"/>
        <w:bottom w:val="none" w:sz="0" w:space="0" w:color="auto"/>
        <w:right w:val="none" w:sz="0" w:space="0" w:color="auto"/>
      </w:divBdr>
    </w:div>
    <w:div w:id="728191449">
      <w:bodyDiv w:val="1"/>
      <w:marLeft w:val="0"/>
      <w:marRight w:val="0"/>
      <w:marTop w:val="0"/>
      <w:marBottom w:val="0"/>
      <w:divBdr>
        <w:top w:val="none" w:sz="0" w:space="0" w:color="auto"/>
        <w:left w:val="none" w:sz="0" w:space="0" w:color="auto"/>
        <w:bottom w:val="none" w:sz="0" w:space="0" w:color="auto"/>
        <w:right w:val="none" w:sz="0" w:space="0" w:color="auto"/>
      </w:divBdr>
    </w:div>
    <w:div w:id="744687280">
      <w:bodyDiv w:val="1"/>
      <w:marLeft w:val="0"/>
      <w:marRight w:val="0"/>
      <w:marTop w:val="0"/>
      <w:marBottom w:val="0"/>
      <w:divBdr>
        <w:top w:val="none" w:sz="0" w:space="0" w:color="auto"/>
        <w:left w:val="none" w:sz="0" w:space="0" w:color="auto"/>
        <w:bottom w:val="none" w:sz="0" w:space="0" w:color="auto"/>
        <w:right w:val="none" w:sz="0" w:space="0" w:color="auto"/>
      </w:divBdr>
    </w:div>
    <w:div w:id="755593658">
      <w:bodyDiv w:val="1"/>
      <w:marLeft w:val="0"/>
      <w:marRight w:val="0"/>
      <w:marTop w:val="0"/>
      <w:marBottom w:val="0"/>
      <w:divBdr>
        <w:top w:val="none" w:sz="0" w:space="0" w:color="auto"/>
        <w:left w:val="none" w:sz="0" w:space="0" w:color="auto"/>
        <w:bottom w:val="none" w:sz="0" w:space="0" w:color="auto"/>
        <w:right w:val="none" w:sz="0" w:space="0" w:color="auto"/>
      </w:divBdr>
    </w:div>
    <w:div w:id="761493486">
      <w:bodyDiv w:val="1"/>
      <w:marLeft w:val="0"/>
      <w:marRight w:val="0"/>
      <w:marTop w:val="0"/>
      <w:marBottom w:val="0"/>
      <w:divBdr>
        <w:top w:val="none" w:sz="0" w:space="0" w:color="auto"/>
        <w:left w:val="none" w:sz="0" w:space="0" w:color="auto"/>
        <w:bottom w:val="none" w:sz="0" w:space="0" w:color="auto"/>
        <w:right w:val="none" w:sz="0" w:space="0" w:color="auto"/>
      </w:divBdr>
    </w:div>
    <w:div w:id="771821976">
      <w:bodyDiv w:val="1"/>
      <w:marLeft w:val="0"/>
      <w:marRight w:val="0"/>
      <w:marTop w:val="0"/>
      <w:marBottom w:val="0"/>
      <w:divBdr>
        <w:top w:val="none" w:sz="0" w:space="0" w:color="auto"/>
        <w:left w:val="none" w:sz="0" w:space="0" w:color="auto"/>
        <w:bottom w:val="none" w:sz="0" w:space="0" w:color="auto"/>
        <w:right w:val="none" w:sz="0" w:space="0" w:color="auto"/>
      </w:divBdr>
    </w:div>
    <w:div w:id="778597627">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9980429">
      <w:bodyDiv w:val="1"/>
      <w:marLeft w:val="0"/>
      <w:marRight w:val="0"/>
      <w:marTop w:val="0"/>
      <w:marBottom w:val="0"/>
      <w:divBdr>
        <w:top w:val="none" w:sz="0" w:space="0" w:color="auto"/>
        <w:left w:val="none" w:sz="0" w:space="0" w:color="auto"/>
        <w:bottom w:val="none" w:sz="0" w:space="0" w:color="auto"/>
        <w:right w:val="none" w:sz="0" w:space="0" w:color="auto"/>
      </w:divBdr>
    </w:div>
    <w:div w:id="792938242">
      <w:bodyDiv w:val="1"/>
      <w:marLeft w:val="0"/>
      <w:marRight w:val="0"/>
      <w:marTop w:val="0"/>
      <w:marBottom w:val="0"/>
      <w:divBdr>
        <w:top w:val="none" w:sz="0" w:space="0" w:color="auto"/>
        <w:left w:val="none" w:sz="0" w:space="0" w:color="auto"/>
        <w:bottom w:val="none" w:sz="0" w:space="0" w:color="auto"/>
        <w:right w:val="none" w:sz="0" w:space="0" w:color="auto"/>
      </w:divBdr>
    </w:div>
    <w:div w:id="799766601">
      <w:bodyDiv w:val="1"/>
      <w:marLeft w:val="0"/>
      <w:marRight w:val="0"/>
      <w:marTop w:val="0"/>
      <w:marBottom w:val="0"/>
      <w:divBdr>
        <w:top w:val="none" w:sz="0" w:space="0" w:color="auto"/>
        <w:left w:val="none" w:sz="0" w:space="0" w:color="auto"/>
        <w:bottom w:val="none" w:sz="0" w:space="0" w:color="auto"/>
        <w:right w:val="none" w:sz="0" w:space="0" w:color="auto"/>
      </w:divBdr>
    </w:div>
    <w:div w:id="829297060">
      <w:bodyDiv w:val="1"/>
      <w:marLeft w:val="0"/>
      <w:marRight w:val="0"/>
      <w:marTop w:val="0"/>
      <w:marBottom w:val="0"/>
      <w:divBdr>
        <w:top w:val="none" w:sz="0" w:space="0" w:color="auto"/>
        <w:left w:val="none" w:sz="0" w:space="0" w:color="auto"/>
        <w:bottom w:val="none" w:sz="0" w:space="0" w:color="auto"/>
        <w:right w:val="none" w:sz="0" w:space="0" w:color="auto"/>
      </w:divBdr>
    </w:div>
    <w:div w:id="839197336">
      <w:bodyDiv w:val="1"/>
      <w:marLeft w:val="0"/>
      <w:marRight w:val="0"/>
      <w:marTop w:val="0"/>
      <w:marBottom w:val="0"/>
      <w:divBdr>
        <w:top w:val="none" w:sz="0" w:space="0" w:color="auto"/>
        <w:left w:val="none" w:sz="0" w:space="0" w:color="auto"/>
        <w:bottom w:val="none" w:sz="0" w:space="0" w:color="auto"/>
        <w:right w:val="none" w:sz="0" w:space="0" w:color="auto"/>
      </w:divBdr>
    </w:div>
    <w:div w:id="864370789">
      <w:bodyDiv w:val="1"/>
      <w:marLeft w:val="0"/>
      <w:marRight w:val="0"/>
      <w:marTop w:val="0"/>
      <w:marBottom w:val="0"/>
      <w:divBdr>
        <w:top w:val="none" w:sz="0" w:space="0" w:color="auto"/>
        <w:left w:val="none" w:sz="0" w:space="0" w:color="auto"/>
        <w:bottom w:val="none" w:sz="0" w:space="0" w:color="auto"/>
        <w:right w:val="none" w:sz="0" w:space="0" w:color="auto"/>
      </w:divBdr>
    </w:div>
    <w:div w:id="871846240">
      <w:bodyDiv w:val="1"/>
      <w:marLeft w:val="0"/>
      <w:marRight w:val="0"/>
      <w:marTop w:val="0"/>
      <w:marBottom w:val="0"/>
      <w:divBdr>
        <w:top w:val="none" w:sz="0" w:space="0" w:color="auto"/>
        <w:left w:val="none" w:sz="0" w:space="0" w:color="auto"/>
        <w:bottom w:val="none" w:sz="0" w:space="0" w:color="auto"/>
        <w:right w:val="none" w:sz="0" w:space="0" w:color="auto"/>
      </w:divBdr>
    </w:div>
    <w:div w:id="894435865">
      <w:bodyDiv w:val="1"/>
      <w:marLeft w:val="0"/>
      <w:marRight w:val="0"/>
      <w:marTop w:val="0"/>
      <w:marBottom w:val="0"/>
      <w:divBdr>
        <w:top w:val="none" w:sz="0" w:space="0" w:color="auto"/>
        <w:left w:val="none" w:sz="0" w:space="0" w:color="auto"/>
        <w:bottom w:val="none" w:sz="0" w:space="0" w:color="auto"/>
        <w:right w:val="none" w:sz="0" w:space="0" w:color="auto"/>
      </w:divBdr>
    </w:div>
    <w:div w:id="897279496">
      <w:bodyDiv w:val="1"/>
      <w:marLeft w:val="0"/>
      <w:marRight w:val="0"/>
      <w:marTop w:val="0"/>
      <w:marBottom w:val="0"/>
      <w:divBdr>
        <w:top w:val="none" w:sz="0" w:space="0" w:color="auto"/>
        <w:left w:val="none" w:sz="0" w:space="0" w:color="auto"/>
        <w:bottom w:val="none" w:sz="0" w:space="0" w:color="auto"/>
        <w:right w:val="none" w:sz="0" w:space="0" w:color="auto"/>
      </w:divBdr>
    </w:div>
    <w:div w:id="899287792">
      <w:bodyDiv w:val="1"/>
      <w:marLeft w:val="0"/>
      <w:marRight w:val="0"/>
      <w:marTop w:val="0"/>
      <w:marBottom w:val="0"/>
      <w:divBdr>
        <w:top w:val="none" w:sz="0" w:space="0" w:color="auto"/>
        <w:left w:val="none" w:sz="0" w:space="0" w:color="auto"/>
        <w:bottom w:val="none" w:sz="0" w:space="0" w:color="auto"/>
        <w:right w:val="none" w:sz="0" w:space="0" w:color="auto"/>
      </w:divBdr>
    </w:div>
    <w:div w:id="914826436">
      <w:bodyDiv w:val="1"/>
      <w:marLeft w:val="0"/>
      <w:marRight w:val="0"/>
      <w:marTop w:val="0"/>
      <w:marBottom w:val="0"/>
      <w:divBdr>
        <w:top w:val="none" w:sz="0" w:space="0" w:color="auto"/>
        <w:left w:val="none" w:sz="0" w:space="0" w:color="auto"/>
        <w:bottom w:val="none" w:sz="0" w:space="0" w:color="auto"/>
        <w:right w:val="none" w:sz="0" w:space="0" w:color="auto"/>
      </w:divBdr>
    </w:div>
    <w:div w:id="917909308">
      <w:bodyDiv w:val="1"/>
      <w:marLeft w:val="0"/>
      <w:marRight w:val="0"/>
      <w:marTop w:val="0"/>
      <w:marBottom w:val="0"/>
      <w:divBdr>
        <w:top w:val="none" w:sz="0" w:space="0" w:color="auto"/>
        <w:left w:val="none" w:sz="0" w:space="0" w:color="auto"/>
        <w:bottom w:val="none" w:sz="0" w:space="0" w:color="auto"/>
        <w:right w:val="none" w:sz="0" w:space="0" w:color="auto"/>
      </w:divBdr>
    </w:div>
    <w:div w:id="920530860">
      <w:bodyDiv w:val="1"/>
      <w:marLeft w:val="0"/>
      <w:marRight w:val="0"/>
      <w:marTop w:val="0"/>
      <w:marBottom w:val="0"/>
      <w:divBdr>
        <w:top w:val="none" w:sz="0" w:space="0" w:color="auto"/>
        <w:left w:val="none" w:sz="0" w:space="0" w:color="auto"/>
        <w:bottom w:val="none" w:sz="0" w:space="0" w:color="auto"/>
        <w:right w:val="none" w:sz="0" w:space="0" w:color="auto"/>
      </w:divBdr>
    </w:div>
    <w:div w:id="922104296">
      <w:bodyDiv w:val="1"/>
      <w:marLeft w:val="0"/>
      <w:marRight w:val="0"/>
      <w:marTop w:val="0"/>
      <w:marBottom w:val="0"/>
      <w:divBdr>
        <w:top w:val="none" w:sz="0" w:space="0" w:color="auto"/>
        <w:left w:val="none" w:sz="0" w:space="0" w:color="auto"/>
        <w:bottom w:val="none" w:sz="0" w:space="0" w:color="auto"/>
        <w:right w:val="none" w:sz="0" w:space="0" w:color="auto"/>
      </w:divBdr>
    </w:div>
    <w:div w:id="925265509">
      <w:bodyDiv w:val="1"/>
      <w:marLeft w:val="0"/>
      <w:marRight w:val="0"/>
      <w:marTop w:val="0"/>
      <w:marBottom w:val="0"/>
      <w:divBdr>
        <w:top w:val="none" w:sz="0" w:space="0" w:color="auto"/>
        <w:left w:val="none" w:sz="0" w:space="0" w:color="auto"/>
        <w:bottom w:val="none" w:sz="0" w:space="0" w:color="auto"/>
        <w:right w:val="none" w:sz="0" w:space="0" w:color="auto"/>
      </w:divBdr>
    </w:div>
    <w:div w:id="933977338">
      <w:bodyDiv w:val="1"/>
      <w:marLeft w:val="0"/>
      <w:marRight w:val="0"/>
      <w:marTop w:val="0"/>
      <w:marBottom w:val="0"/>
      <w:divBdr>
        <w:top w:val="none" w:sz="0" w:space="0" w:color="auto"/>
        <w:left w:val="none" w:sz="0" w:space="0" w:color="auto"/>
        <w:bottom w:val="none" w:sz="0" w:space="0" w:color="auto"/>
        <w:right w:val="none" w:sz="0" w:space="0" w:color="auto"/>
      </w:divBdr>
    </w:div>
    <w:div w:id="957759699">
      <w:bodyDiv w:val="1"/>
      <w:marLeft w:val="0"/>
      <w:marRight w:val="0"/>
      <w:marTop w:val="0"/>
      <w:marBottom w:val="0"/>
      <w:divBdr>
        <w:top w:val="none" w:sz="0" w:space="0" w:color="auto"/>
        <w:left w:val="none" w:sz="0" w:space="0" w:color="auto"/>
        <w:bottom w:val="none" w:sz="0" w:space="0" w:color="auto"/>
        <w:right w:val="none" w:sz="0" w:space="0" w:color="auto"/>
      </w:divBdr>
    </w:div>
    <w:div w:id="966738725">
      <w:bodyDiv w:val="1"/>
      <w:marLeft w:val="0"/>
      <w:marRight w:val="0"/>
      <w:marTop w:val="0"/>
      <w:marBottom w:val="0"/>
      <w:divBdr>
        <w:top w:val="none" w:sz="0" w:space="0" w:color="auto"/>
        <w:left w:val="none" w:sz="0" w:space="0" w:color="auto"/>
        <w:bottom w:val="none" w:sz="0" w:space="0" w:color="auto"/>
        <w:right w:val="none" w:sz="0" w:space="0" w:color="auto"/>
      </w:divBdr>
    </w:div>
    <w:div w:id="966934276">
      <w:bodyDiv w:val="1"/>
      <w:marLeft w:val="0"/>
      <w:marRight w:val="0"/>
      <w:marTop w:val="0"/>
      <w:marBottom w:val="0"/>
      <w:divBdr>
        <w:top w:val="none" w:sz="0" w:space="0" w:color="auto"/>
        <w:left w:val="none" w:sz="0" w:space="0" w:color="auto"/>
        <w:bottom w:val="none" w:sz="0" w:space="0" w:color="auto"/>
        <w:right w:val="none" w:sz="0" w:space="0" w:color="auto"/>
      </w:divBdr>
    </w:div>
    <w:div w:id="977147244">
      <w:bodyDiv w:val="1"/>
      <w:marLeft w:val="0"/>
      <w:marRight w:val="0"/>
      <w:marTop w:val="0"/>
      <w:marBottom w:val="0"/>
      <w:divBdr>
        <w:top w:val="none" w:sz="0" w:space="0" w:color="auto"/>
        <w:left w:val="none" w:sz="0" w:space="0" w:color="auto"/>
        <w:bottom w:val="none" w:sz="0" w:space="0" w:color="auto"/>
        <w:right w:val="none" w:sz="0" w:space="0" w:color="auto"/>
      </w:divBdr>
    </w:div>
    <w:div w:id="1011684869">
      <w:bodyDiv w:val="1"/>
      <w:marLeft w:val="0"/>
      <w:marRight w:val="0"/>
      <w:marTop w:val="0"/>
      <w:marBottom w:val="0"/>
      <w:divBdr>
        <w:top w:val="none" w:sz="0" w:space="0" w:color="auto"/>
        <w:left w:val="none" w:sz="0" w:space="0" w:color="auto"/>
        <w:bottom w:val="none" w:sz="0" w:space="0" w:color="auto"/>
        <w:right w:val="none" w:sz="0" w:space="0" w:color="auto"/>
      </w:divBdr>
    </w:div>
    <w:div w:id="1025980813">
      <w:bodyDiv w:val="1"/>
      <w:marLeft w:val="0"/>
      <w:marRight w:val="0"/>
      <w:marTop w:val="0"/>
      <w:marBottom w:val="0"/>
      <w:divBdr>
        <w:top w:val="none" w:sz="0" w:space="0" w:color="auto"/>
        <w:left w:val="none" w:sz="0" w:space="0" w:color="auto"/>
        <w:bottom w:val="none" w:sz="0" w:space="0" w:color="auto"/>
        <w:right w:val="none" w:sz="0" w:space="0" w:color="auto"/>
      </w:divBdr>
    </w:div>
    <w:div w:id="1030378549">
      <w:bodyDiv w:val="1"/>
      <w:marLeft w:val="0"/>
      <w:marRight w:val="0"/>
      <w:marTop w:val="0"/>
      <w:marBottom w:val="0"/>
      <w:divBdr>
        <w:top w:val="none" w:sz="0" w:space="0" w:color="auto"/>
        <w:left w:val="none" w:sz="0" w:space="0" w:color="auto"/>
        <w:bottom w:val="none" w:sz="0" w:space="0" w:color="auto"/>
        <w:right w:val="none" w:sz="0" w:space="0" w:color="auto"/>
      </w:divBdr>
    </w:div>
    <w:div w:id="1038122471">
      <w:bodyDiv w:val="1"/>
      <w:marLeft w:val="0"/>
      <w:marRight w:val="0"/>
      <w:marTop w:val="0"/>
      <w:marBottom w:val="0"/>
      <w:divBdr>
        <w:top w:val="none" w:sz="0" w:space="0" w:color="auto"/>
        <w:left w:val="none" w:sz="0" w:space="0" w:color="auto"/>
        <w:bottom w:val="none" w:sz="0" w:space="0" w:color="auto"/>
        <w:right w:val="none" w:sz="0" w:space="0" w:color="auto"/>
      </w:divBdr>
    </w:div>
    <w:div w:id="1039204918">
      <w:bodyDiv w:val="1"/>
      <w:marLeft w:val="0"/>
      <w:marRight w:val="0"/>
      <w:marTop w:val="0"/>
      <w:marBottom w:val="0"/>
      <w:divBdr>
        <w:top w:val="none" w:sz="0" w:space="0" w:color="auto"/>
        <w:left w:val="none" w:sz="0" w:space="0" w:color="auto"/>
        <w:bottom w:val="none" w:sz="0" w:space="0" w:color="auto"/>
        <w:right w:val="none" w:sz="0" w:space="0" w:color="auto"/>
      </w:divBdr>
    </w:div>
    <w:div w:id="1058672116">
      <w:bodyDiv w:val="1"/>
      <w:marLeft w:val="0"/>
      <w:marRight w:val="0"/>
      <w:marTop w:val="0"/>
      <w:marBottom w:val="0"/>
      <w:divBdr>
        <w:top w:val="none" w:sz="0" w:space="0" w:color="auto"/>
        <w:left w:val="none" w:sz="0" w:space="0" w:color="auto"/>
        <w:bottom w:val="none" w:sz="0" w:space="0" w:color="auto"/>
        <w:right w:val="none" w:sz="0" w:space="0" w:color="auto"/>
      </w:divBdr>
    </w:div>
    <w:div w:id="1062018040">
      <w:bodyDiv w:val="1"/>
      <w:marLeft w:val="0"/>
      <w:marRight w:val="0"/>
      <w:marTop w:val="0"/>
      <w:marBottom w:val="0"/>
      <w:divBdr>
        <w:top w:val="none" w:sz="0" w:space="0" w:color="auto"/>
        <w:left w:val="none" w:sz="0" w:space="0" w:color="auto"/>
        <w:bottom w:val="none" w:sz="0" w:space="0" w:color="auto"/>
        <w:right w:val="none" w:sz="0" w:space="0" w:color="auto"/>
      </w:divBdr>
    </w:div>
    <w:div w:id="1069618882">
      <w:bodyDiv w:val="1"/>
      <w:marLeft w:val="0"/>
      <w:marRight w:val="0"/>
      <w:marTop w:val="0"/>
      <w:marBottom w:val="0"/>
      <w:divBdr>
        <w:top w:val="none" w:sz="0" w:space="0" w:color="auto"/>
        <w:left w:val="none" w:sz="0" w:space="0" w:color="auto"/>
        <w:bottom w:val="none" w:sz="0" w:space="0" w:color="auto"/>
        <w:right w:val="none" w:sz="0" w:space="0" w:color="auto"/>
      </w:divBdr>
    </w:div>
    <w:div w:id="1071390272">
      <w:bodyDiv w:val="1"/>
      <w:marLeft w:val="0"/>
      <w:marRight w:val="0"/>
      <w:marTop w:val="0"/>
      <w:marBottom w:val="0"/>
      <w:divBdr>
        <w:top w:val="none" w:sz="0" w:space="0" w:color="auto"/>
        <w:left w:val="none" w:sz="0" w:space="0" w:color="auto"/>
        <w:bottom w:val="none" w:sz="0" w:space="0" w:color="auto"/>
        <w:right w:val="none" w:sz="0" w:space="0" w:color="auto"/>
      </w:divBdr>
    </w:div>
    <w:div w:id="1072898301">
      <w:bodyDiv w:val="1"/>
      <w:marLeft w:val="0"/>
      <w:marRight w:val="0"/>
      <w:marTop w:val="0"/>
      <w:marBottom w:val="0"/>
      <w:divBdr>
        <w:top w:val="none" w:sz="0" w:space="0" w:color="auto"/>
        <w:left w:val="none" w:sz="0" w:space="0" w:color="auto"/>
        <w:bottom w:val="none" w:sz="0" w:space="0" w:color="auto"/>
        <w:right w:val="none" w:sz="0" w:space="0" w:color="auto"/>
      </w:divBdr>
    </w:div>
    <w:div w:id="1110661242">
      <w:bodyDiv w:val="1"/>
      <w:marLeft w:val="0"/>
      <w:marRight w:val="0"/>
      <w:marTop w:val="0"/>
      <w:marBottom w:val="0"/>
      <w:divBdr>
        <w:top w:val="none" w:sz="0" w:space="0" w:color="auto"/>
        <w:left w:val="none" w:sz="0" w:space="0" w:color="auto"/>
        <w:bottom w:val="none" w:sz="0" w:space="0" w:color="auto"/>
        <w:right w:val="none" w:sz="0" w:space="0" w:color="auto"/>
      </w:divBdr>
    </w:div>
    <w:div w:id="1117484110">
      <w:bodyDiv w:val="1"/>
      <w:marLeft w:val="0"/>
      <w:marRight w:val="0"/>
      <w:marTop w:val="0"/>
      <w:marBottom w:val="0"/>
      <w:divBdr>
        <w:top w:val="none" w:sz="0" w:space="0" w:color="auto"/>
        <w:left w:val="none" w:sz="0" w:space="0" w:color="auto"/>
        <w:bottom w:val="none" w:sz="0" w:space="0" w:color="auto"/>
        <w:right w:val="none" w:sz="0" w:space="0" w:color="auto"/>
      </w:divBdr>
    </w:div>
    <w:div w:id="1118765320">
      <w:bodyDiv w:val="1"/>
      <w:marLeft w:val="0"/>
      <w:marRight w:val="0"/>
      <w:marTop w:val="0"/>
      <w:marBottom w:val="0"/>
      <w:divBdr>
        <w:top w:val="none" w:sz="0" w:space="0" w:color="auto"/>
        <w:left w:val="none" w:sz="0" w:space="0" w:color="auto"/>
        <w:bottom w:val="none" w:sz="0" w:space="0" w:color="auto"/>
        <w:right w:val="none" w:sz="0" w:space="0" w:color="auto"/>
      </w:divBdr>
    </w:div>
    <w:div w:id="1128159466">
      <w:bodyDiv w:val="1"/>
      <w:marLeft w:val="0"/>
      <w:marRight w:val="0"/>
      <w:marTop w:val="0"/>
      <w:marBottom w:val="0"/>
      <w:divBdr>
        <w:top w:val="none" w:sz="0" w:space="0" w:color="auto"/>
        <w:left w:val="none" w:sz="0" w:space="0" w:color="auto"/>
        <w:bottom w:val="none" w:sz="0" w:space="0" w:color="auto"/>
        <w:right w:val="none" w:sz="0" w:space="0" w:color="auto"/>
      </w:divBdr>
    </w:div>
    <w:div w:id="1128665217">
      <w:bodyDiv w:val="1"/>
      <w:marLeft w:val="0"/>
      <w:marRight w:val="0"/>
      <w:marTop w:val="0"/>
      <w:marBottom w:val="0"/>
      <w:divBdr>
        <w:top w:val="none" w:sz="0" w:space="0" w:color="auto"/>
        <w:left w:val="none" w:sz="0" w:space="0" w:color="auto"/>
        <w:bottom w:val="none" w:sz="0" w:space="0" w:color="auto"/>
        <w:right w:val="none" w:sz="0" w:space="0" w:color="auto"/>
      </w:divBdr>
    </w:div>
    <w:div w:id="1141966929">
      <w:bodyDiv w:val="1"/>
      <w:marLeft w:val="0"/>
      <w:marRight w:val="0"/>
      <w:marTop w:val="0"/>
      <w:marBottom w:val="0"/>
      <w:divBdr>
        <w:top w:val="none" w:sz="0" w:space="0" w:color="auto"/>
        <w:left w:val="none" w:sz="0" w:space="0" w:color="auto"/>
        <w:bottom w:val="none" w:sz="0" w:space="0" w:color="auto"/>
        <w:right w:val="none" w:sz="0" w:space="0" w:color="auto"/>
      </w:divBdr>
    </w:div>
    <w:div w:id="1150367076">
      <w:bodyDiv w:val="1"/>
      <w:marLeft w:val="0"/>
      <w:marRight w:val="0"/>
      <w:marTop w:val="0"/>
      <w:marBottom w:val="0"/>
      <w:divBdr>
        <w:top w:val="none" w:sz="0" w:space="0" w:color="auto"/>
        <w:left w:val="none" w:sz="0" w:space="0" w:color="auto"/>
        <w:bottom w:val="none" w:sz="0" w:space="0" w:color="auto"/>
        <w:right w:val="none" w:sz="0" w:space="0" w:color="auto"/>
      </w:divBdr>
    </w:div>
    <w:div w:id="1163206342">
      <w:bodyDiv w:val="1"/>
      <w:marLeft w:val="0"/>
      <w:marRight w:val="0"/>
      <w:marTop w:val="0"/>
      <w:marBottom w:val="0"/>
      <w:divBdr>
        <w:top w:val="none" w:sz="0" w:space="0" w:color="auto"/>
        <w:left w:val="none" w:sz="0" w:space="0" w:color="auto"/>
        <w:bottom w:val="none" w:sz="0" w:space="0" w:color="auto"/>
        <w:right w:val="none" w:sz="0" w:space="0" w:color="auto"/>
      </w:divBdr>
    </w:div>
    <w:div w:id="1169515049">
      <w:bodyDiv w:val="1"/>
      <w:marLeft w:val="0"/>
      <w:marRight w:val="0"/>
      <w:marTop w:val="0"/>
      <w:marBottom w:val="0"/>
      <w:divBdr>
        <w:top w:val="none" w:sz="0" w:space="0" w:color="auto"/>
        <w:left w:val="none" w:sz="0" w:space="0" w:color="auto"/>
        <w:bottom w:val="none" w:sz="0" w:space="0" w:color="auto"/>
        <w:right w:val="none" w:sz="0" w:space="0" w:color="auto"/>
      </w:divBdr>
    </w:div>
    <w:div w:id="1169632709">
      <w:bodyDiv w:val="1"/>
      <w:marLeft w:val="0"/>
      <w:marRight w:val="0"/>
      <w:marTop w:val="0"/>
      <w:marBottom w:val="0"/>
      <w:divBdr>
        <w:top w:val="none" w:sz="0" w:space="0" w:color="auto"/>
        <w:left w:val="none" w:sz="0" w:space="0" w:color="auto"/>
        <w:bottom w:val="none" w:sz="0" w:space="0" w:color="auto"/>
        <w:right w:val="none" w:sz="0" w:space="0" w:color="auto"/>
      </w:divBdr>
    </w:div>
    <w:div w:id="1177188173">
      <w:bodyDiv w:val="1"/>
      <w:marLeft w:val="0"/>
      <w:marRight w:val="0"/>
      <w:marTop w:val="0"/>
      <w:marBottom w:val="0"/>
      <w:divBdr>
        <w:top w:val="none" w:sz="0" w:space="0" w:color="auto"/>
        <w:left w:val="none" w:sz="0" w:space="0" w:color="auto"/>
        <w:bottom w:val="none" w:sz="0" w:space="0" w:color="auto"/>
        <w:right w:val="none" w:sz="0" w:space="0" w:color="auto"/>
      </w:divBdr>
    </w:div>
    <w:div w:id="1189417053">
      <w:bodyDiv w:val="1"/>
      <w:marLeft w:val="0"/>
      <w:marRight w:val="0"/>
      <w:marTop w:val="0"/>
      <w:marBottom w:val="0"/>
      <w:divBdr>
        <w:top w:val="none" w:sz="0" w:space="0" w:color="auto"/>
        <w:left w:val="none" w:sz="0" w:space="0" w:color="auto"/>
        <w:bottom w:val="none" w:sz="0" w:space="0" w:color="auto"/>
        <w:right w:val="none" w:sz="0" w:space="0" w:color="auto"/>
      </w:divBdr>
    </w:div>
    <w:div w:id="1190875759">
      <w:bodyDiv w:val="1"/>
      <w:marLeft w:val="0"/>
      <w:marRight w:val="0"/>
      <w:marTop w:val="0"/>
      <w:marBottom w:val="0"/>
      <w:divBdr>
        <w:top w:val="none" w:sz="0" w:space="0" w:color="auto"/>
        <w:left w:val="none" w:sz="0" w:space="0" w:color="auto"/>
        <w:bottom w:val="none" w:sz="0" w:space="0" w:color="auto"/>
        <w:right w:val="none" w:sz="0" w:space="0" w:color="auto"/>
      </w:divBdr>
    </w:div>
    <w:div w:id="1193761443">
      <w:bodyDiv w:val="1"/>
      <w:marLeft w:val="0"/>
      <w:marRight w:val="0"/>
      <w:marTop w:val="0"/>
      <w:marBottom w:val="0"/>
      <w:divBdr>
        <w:top w:val="none" w:sz="0" w:space="0" w:color="auto"/>
        <w:left w:val="none" w:sz="0" w:space="0" w:color="auto"/>
        <w:bottom w:val="none" w:sz="0" w:space="0" w:color="auto"/>
        <w:right w:val="none" w:sz="0" w:space="0" w:color="auto"/>
      </w:divBdr>
    </w:div>
    <w:div w:id="1195650991">
      <w:bodyDiv w:val="1"/>
      <w:marLeft w:val="0"/>
      <w:marRight w:val="0"/>
      <w:marTop w:val="0"/>
      <w:marBottom w:val="0"/>
      <w:divBdr>
        <w:top w:val="none" w:sz="0" w:space="0" w:color="auto"/>
        <w:left w:val="none" w:sz="0" w:space="0" w:color="auto"/>
        <w:bottom w:val="none" w:sz="0" w:space="0" w:color="auto"/>
        <w:right w:val="none" w:sz="0" w:space="0" w:color="auto"/>
      </w:divBdr>
    </w:div>
    <w:div w:id="1215890870">
      <w:bodyDiv w:val="1"/>
      <w:marLeft w:val="0"/>
      <w:marRight w:val="0"/>
      <w:marTop w:val="0"/>
      <w:marBottom w:val="0"/>
      <w:divBdr>
        <w:top w:val="none" w:sz="0" w:space="0" w:color="auto"/>
        <w:left w:val="none" w:sz="0" w:space="0" w:color="auto"/>
        <w:bottom w:val="none" w:sz="0" w:space="0" w:color="auto"/>
        <w:right w:val="none" w:sz="0" w:space="0" w:color="auto"/>
      </w:divBdr>
    </w:div>
    <w:div w:id="1225411488">
      <w:bodyDiv w:val="1"/>
      <w:marLeft w:val="0"/>
      <w:marRight w:val="0"/>
      <w:marTop w:val="0"/>
      <w:marBottom w:val="0"/>
      <w:divBdr>
        <w:top w:val="none" w:sz="0" w:space="0" w:color="auto"/>
        <w:left w:val="none" w:sz="0" w:space="0" w:color="auto"/>
        <w:bottom w:val="none" w:sz="0" w:space="0" w:color="auto"/>
        <w:right w:val="none" w:sz="0" w:space="0" w:color="auto"/>
      </w:divBdr>
    </w:div>
    <w:div w:id="1229339826">
      <w:bodyDiv w:val="1"/>
      <w:marLeft w:val="0"/>
      <w:marRight w:val="0"/>
      <w:marTop w:val="0"/>
      <w:marBottom w:val="0"/>
      <w:divBdr>
        <w:top w:val="none" w:sz="0" w:space="0" w:color="auto"/>
        <w:left w:val="none" w:sz="0" w:space="0" w:color="auto"/>
        <w:bottom w:val="none" w:sz="0" w:space="0" w:color="auto"/>
        <w:right w:val="none" w:sz="0" w:space="0" w:color="auto"/>
      </w:divBdr>
    </w:div>
    <w:div w:id="1236360999">
      <w:bodyDiv w:val="1"/>
      <w:marLeft w:val="0"/>
      <w:marRight w:val="0"/>
      <w:marTop w:val="0"/>
      <w:marBottom w:val="0"/>
      <w:divBdr>
        <w:top w:val="none" w:sz="0" w:space="0" w:color="auto"/>
        <w:left w:val="none" w:sz="0" w:space="0" w:color="auto"/>
        <w:bottom w:val="none" w:sz="0" w:space="0" w:color="auto"/>
        <w:right w:val="none" w:sz="0" w:space="0" w:color="auto"/>
      </w:divBdr>
    </w:div>
    <w:div w:id="1239287248">
      <w:bodyDiv w:val="1"/>
      <w:marLeft w:val="0"/>
      <w:marRight w:val="0"/>
      <w:marTop w:val="0"/>
      <w:marBottom w:val="0"/>
      <w:divBdr>
        <w:top w:val="none" w:sz="0" w:space="0" w:color="auto"/>
        <w:left w:val="none" w:sz="0" w:space="0" w:color="auto"/>
        <w:bottom w:val="none" w:sz="0" w:space="0" w:color="auto"/>
        <w:right w:val="none" w:sz="0" w:space="0" w:color="auto"/>
      </w:divBdr>
    </w:div>
    <w:div w:id="1243829783">
      <w:bodyDiv w:val="1"/>
      <w:marLeft w:val="0"/>
      <w:marRight w:val="0"/>
      <w:marTop w:val="0"/>
      <w:marBottom w:val="0"/>
      <w:divBdr>
        <w:top w:val="none" w:sz="0" w:space="0" w:color="auto"/>
        <w:left w:val="none" w:sz="0" w:space="0" w:color="auto"/>
        <w:bottom w:val="none" w:sz="0" w:space="0" w:color="auto"/>
        <w:right w:val="none" w:sz="0" w:space="0" w:color="auto"/>
      </w:divBdr>
    </w:div>
    <w:div w:id="1259559430">
      <w:bodyDiv w:val="1"/>
      <w:marLeft w:val="0"/>
      <w:marRight w:val="0"/>
      <w:marTop w:val="0"/>
      <w:marBottom w:val="0"/>
      <w:divBdr>
        <w:top w:val="none" w:sz="0" w:space="0" w:color="auto"/>
        <w:left w:val="none" w:sz="0" w:space="0" w:color="auto"/>
        <w:bottom w:val="none" w:sz="0" w:space="0" w:color="auto"/>
        <w:right w:val="none" w:sz="0" w:space="0" w:color="auto"/>
      </w:divBdr>
    </w:div>
    <w:div w:id="1269849493">
      <w:bodyDiv w:val="1"/>
      <w:marLeft w:val="0"/>
      <w:marRight w:val="0"/>
      <w:marTop w:val="0"/>
      <w:marBottom w:val="0"/>
      <w:divBdr>
        <w:top w:val="none" w:sz="0" w:space="0" w:color="auto"/>
        <w:left w:val="none" w:sz="0" w:space="0" w:color="auto"/>
        <w:bottom w:val="none" w:sz="0" w:space="0" w:color="auto"/>
        <w:right w:val="none" w:sz="0" w:space="0" w:color="auto"/>
      </w:divBdr>
    </w:div>
    <w:div w:id="1270969898">
      <w:bodyDiv w:val="1"/>
      <w:marLeft w:val="0"/>
      <w:marRight w:val="0"/>
      <w:marTop w:val="0"/>
      <w:marBottom w:val="0"/>
      <w:divBdr>
        <w:top w:val="none" w:sz="0" w:space="0" w:color="auto"/>
        <w:left w:val="none" w:sz="0" w:space="0" w:color="auto"/>
        <w:bottom w:val="none" w:sz="0" w:space="0" w:color="auto"/>
        <w:right w:val="none" w:sz="0" w:space="0" w:color="auto"/>
      </w:divBdr>
    </w:div>
    <w:div w:id="1273319664">
      <w:bodyDiv w:val="1"/>
      <w:marLeft w:val="0"/>
      <w:marRight w:val="0"/>
      <w:marTop w:val="0"/>
      <w:marBottom w:val="0"/>
      <w:divBdr>
        <w:top w:val="none" w:sz="0" w:space="0" w:color="auto"/>
        <w:left w:val="none" w:sz="0" w:space="0" w:color="auto"/>
        <w:bottom w:val="none" w:sz="0" w:space="0" w:color="auto"/>
        <w:right w:val="none" w:sz="0" w:space="0" w:color="auto"/>
      </w:divBdr>
    </w:div>
    <w:div w:id="1274555607">
      <w:bodyDiv w:val="1"/>
      <w:marLeft w:val="0"/>
      <w:marRight w:val="0"/>
      <w:marTop w:val="0"/>
      <w:marBottom w:val="0"/>
      <w:divBdr>
        <w:top w:val="none" w:sz="0" w:space="0" w:color="auto"/>
        <w:left w:val="none" w:sz="0" w:space="0" w:color="auto"/>
        <w:bottom w:val="none" w:sz="0" w:space="0" w:color="auto"/>
        <w:right w:val="none" w:sz="0" w:space="0" w:color="auto"/>
      </w:divBdr>
    </w:div>
    <w:div w:id="1286157670">
      <w:bodyDiv w:val="1"/>
      <w:marLeft w:val="0"/>
      <w:marRight w:val="0"/>
      <w:marTop w:val="0"/>
      <w:marBottom w:val="0"/>
      <w:divBdr>
        <w:top w:val="none" w:sz="0" w:space="0" w:color="auto"/>
        <w:left w:val="none" w:sz="0" w:space="0" w:color="auto"/>
        <w:bottom w:val="none" w:sz="0" w:space="0" w:color="auto"/>
        <w:right w:val="none" w:sz="0" w:space="0" w:color="auto"/>
      </w:divBdr>
    </w:div>
    <w:div w:id="1290085244">
      <w:bodyDiv w:val="1"/>
      <w:marLeft w:val="0"/>
      <w:marRight w:val="0"/>
      <w:marTop w:val="0"/>
      <w:marBottom w:val="0"/>
      <w:divBdr>
        <w:top w:val="none" w:sz="0" w:space="0" w:color="auto"/>
        <w:left w:val="none" w:sz="0" w:space="0" w:color="auto"/>
        <w:bottom w:val="none" w:sz="0" w:space="0" w:color="auto"/>
        <w:right w:val="none" w:sz="0" w:space="0" w:color="auto"/>
      </w:divBdr>
    </w:div>
    <w:div w:id="1292177245">
      <w:bodyDiv w:val="1"/>
      <w:marLeft w:val="0"/>
      <w:marRight w:val="0"/>
      <w:marTop w:val="0"/>
      <w:marBottom w:val="0"/>
      <w:divBdr>
        <w:top w:val="none" w:sz="0" w:space="0" w:color="auto"/>
        <w:left w:val="none" w:sz="0" w:space="0" w:color="auto"/>
        <w:bottom w:val="none" w:sz="0" w:space="0" w:color="auto"/>
        <w:right w:val="none" w:sz="0" w:space="0" w:color="auto"/>
      </w:divBdr>
    </w:div>
    <w:div w:id="1294217305">
      <w:bodyDiv w:val="1"/>
      <w:marLeft w:val="0"/>
      <w:marRight w:val="0"/>
      <w:marTop w:val="0"/>
      <w:marBottom w:val="0"/>
      <w:divBdr>
        <w:top w:val="none" w:sz="0" w:space="0" w:color="auto"/>
        <w:left w:val="none" w:sz="0" w:space="0" w:color="auto"/>
        <w:bottom w:val="none" w:sz="0" w:space="0" w:color="auto"/>
        <w:right w:val="none" w:sz="0" w:space="0" w:color="auto"/>
      </w:divBdr>
    </w:div>
    <w:div w:id="1298610710">
      <w:bodyDiv w:val="1"/>
      <w:marLeft w:val="0"/>
      <w:marRight w:val="0"/>
      <w:marTop w:val="0"/>
      <w:marBottom w:val="0"/>
      <w:divBdr>
        <w:top w:val="none" w:sz="0" w:space="0" w:color="auto"/>
        <w:left w:val="none" w:sz="0" w:space="0" w:color="auto"/>
        <w:bottom w:val="none" w:sz="0" w:space="0" w:color="auto"/>
        <w:right w:val="none" w:sz="0" w:space="0" w:color="auto"/>
      </w:divBdr>
    </w:div>
    <w:div w:id="1309554217">
      <w:bodyDiv w:val="1"/>
      <w:marLeft w:val="0"/>
      <w:marRight w:val="0"/>
      <w:marTop w:val="0"/>
      <w:marBottom w:val="0"/>
      <w:divBdr>
        <w:top w:val="none" w:sz="0" w:space="0" w:color="auto"/>
        <w:left w:val="none" w:sz="0" w:space="0" w:color="auto"/>
        <w:bottom w:val="none" w:sz="0" w:space="0" w:color="auto"/>
        <w:right w:val="none" w:sz="0" w:space="0" w:color="auto"/>
      </w:divBdr>
    </w:div>
    <w:div w:id="1318222290">
      <w:bodyDiv w:val="1"/>
      <w:marLeft w:val="0"/>
      <w:marRight w:val="0"/>
      <w:marTop w:val="0"/>
      <w:marBottom w:val="0"/>
      <w:divBdr>
        <w:top w:val="none" w:sz="0" w:space="0" w:color="auto"/>
        <w:left w:val="none" w:sz="0" w:space="0" w:color="auto"/>
        <w:bottom w:val="none" w:sz="0" w:space="0" w:color="auto"/>
        <w:right w:val="none" w:sz="0" w:space="0" w:color="auto"/>
      </w:divBdr>
    </w:div>
    <w:div w:id="1322781262">
      <w:bodyDiv w:val="1"/>
      <w:marLeft w:val="0"/>
      <w:marRight w:val="0"/>
      <w:marTop w:val="0"/>
      <w:marBottom w:val="0"/>
      <w:divBdr>
        <w:top w:val="none" w:sz="0" w:space="0" w:color="auto"/>
        <w:left w:val="none" w:sz="0" w:space="0" w:color="auto"/>
        <w:bottom w:val="none" w:sz="0" w:space="0" w:color="auto"/>
        <w:right w:val="none" w:sz="0" w:space="0" w:color="auto"/>
      </w:divBdr>
    </w:div>
    <w:div w:id="1324310165">
      <w:bodyDiv w:val="1"/>
      <w:marLeft w:val="0"/>
      <w:marRight w:val="0"/>
      <w:marTop w:val="0"/>
      <w:marBottom w:val="0"/>
      <w:divBdr>
        <w:top w:val="none" w:sz="0" w:space="0" w:color="auto"/>
        <w:left w:val="none" w:sz="0" w:space="0" w:color="auto"/>
        <w:bottom w:val="none" w:sz="0" w:space="0" w:color="auto"/>
        <w:right w:val="none" w:sz="0" w:space="0" w:color="auto"/>
      </w:divBdr>
    </w:div>
    <w:div w:id="1355617510">
      <w:bodyDiv w:val="1"/>
      <w:marLeft w:val="0"/>
      <w:marRight w:val="0"/>
      <w:marTop w:val="0"/>
      <w:marBottom w:val="0"/>
      <w:divBdr>
        <w:top w:val="none" w:sz="0" w:space="0" w:color="auto"/>
        <w:left w:val="none" w:sz="0" w:space="0" w:color="auto"/>
        <w:bottom w:val="none" w:sz="0" w:space="0" w:color="auto"/>
        <w:right w:val="none" w:sz="0" w:space="0" w:color="auto"/>
      </w:divBdr>
    </w:div>
    <w:div w:id="1358198677">
      <w:bodyDiv w:val="1"/>
      <w:marLeft w:val="0"/>
      <w:marRight w:val="0"/>
      <w:marTop w:val="0"/>
      <w:marBottom w:val="0"/>
      <w:divBdr>
        <w:top w:val="none" w:sz="0" w:space="0" w:color="auto"/>
        <w:left w:val="none" w:sz="0" w:space="0" w:color="auto"/>
        <w:bottom w:val="none" w:sz="0" w:space="0" w:color="auto"/>
        <w:right w:val="none" w:sz="0" w:space="0" w:color="auto"/>
      </w:divBdr>
    </w:div>
    <w:div w:id="1360354695">
      <w:bodyDiv w:val="1"/>
      <w:marLeft w:val="0"/>
      <w:marRight w:val="0"/>
      <w:marTop w:val="0"/>
      <w:marBottom w:val="0"/>
      <w:divBdr>
        <w:top w:val="none" w:sz="0" w:space="0" w:color="auto"/>
        <w:left w:val="none" w:sz="0" w:space="0" w:color="auto"/>
        <w:bottom w:val="none" w:sz="0" w:space="0" w:color="auto"/>
        <w:right w:val="none" w:sz="0" w:space="0" w:color="auto"/>
      </w:divBdr>
    </w:div>
    <w:div w:id="1364133052">
      <w:bodyDiv w:val="1"/>
      <w:marLeft w:val="0"/>
      <w:marRight w:val="0"/>
      <w:marTop w:val="0"/>
      <w:marBottom w:val="0"/>
      <w:divBdr>
        <w:top w:val="none" w:sz="0" w:space="0" w:color="auto"/>
        <w:left w:val="none" w:sz="0" w:space="0" w:color="auto"/>
        <w:bottom w:val="none" w:sz="0" w:space="0" w:color="auto"/>
        <w:right w:val="none" w:sz="0" w:space="0" w:color="auto"/>
      </w:divBdr>
    </w:div>
    <w:div w:id="1387220209">
      <w:bodyDiv w:val="1"/>
      <w:marLeft w:val="0"/>
      <w:marRight w:val="0"/>
      <w:marTop w:val="0"/>
      <w:marBottom w:val="0"/>
      <w:divBdr>
        <w:top w:val="none" w:sz="0" w:space="0" w:color="auto"/>
        <w:left w:val="none" w:sz="0" w:space="0" w:color="auto"/>
        <w:bottom w:val="none" w:sz="0" w:space="0" w:color="auto"/>
        <w:right w:val="none" w:sz="0" w:space="0" w:color="auto"/>
      </w:divBdr>
    </w:div>
    <w:div w:id="1393431145">
      <w:bodyDiv w:val="1"/>
      <w:marLeft w:val="0"/>
      <w:marRight w:val="0"/>
      <w:marTop w:val="0"/>
      <w:marBottom w:val="0"/>
      <w:divBdr>
        <w:top w:val="none" w:sz="0" w:space="0" w:color="auto"/>
        <w:left w:val="none" w:sz="0" w:space="0" w:color="auto"/>
        <w:bottom w:val="none" w:sz="0" w:space="0" w:color="auto"/>
        <w:right w:val="none" w:sz="0" w:space="0" w:color="auto"/>
      </w:divBdr>
    </w:div>
    <w:div w:id="1403603844">
      <w:bodyDiv w:val="1"/>
      <w:marLeft w:val="0"/>
      <w:marRight w:val="0"/>
      <w:marTop w:val="0"/>
      <w:marBottom w:val="0"/>
      <w:divBdr>
        <w:top w:val="none" w:sz="0" w:space="0" w:color="auto"/>
        <w:left w:val="none" w:sz="0" w:space="0" w:color="auto"/>
        <w:bottom w:val="none" w:sz="0" w:space="0" w:color="auto"/>
        <w:right w:val="none" w:sz="0" w:space="0" w:color="auto"/>
      </w:divBdr>
    </w:div>
    <w:div w:id="1429227705">
      <w:bodyDiv w:val="1"/>
      <w:marLeft w:val="0"/>
      <w:marRight w:val="0"/>
      <w:marTop w:val="0"/>
      <w:marBottom w:val="0"/>
      <w:divBdr>
        <w:top w:val="none" w:sz="0" w:space="0" w:color="auto"/>
        <w:left w:val="none" w:sz="0" w:space="0" w:color="auto"/>
        <w:bottom w:val="none" w:sz="0" w:space="0" w:color="auto"/>
        <w:right w:val="none" w:sz="0" w:space="0" w:color="auto"/>
      </w:divBdr>
    </w:div>
    <w:div w:id="1430616105">
      <w:bodyDiv w:val="1"/>
      <w:marLeft w:val="0"/>
      <w:marRight w:val="0"/>
      <w:marTop w:val="0"/>
      <w:marBottom w:val="0"/>
      <w:divBdr>
        <w:top w:val="none" w:sz="0" w:space="0" w:color="auto"/>
        <w:left w:val="none" w:sz="0" w:space="0" w:color="auto"/>
        <w:bottom w:val="none" w:sz="0" w:space="0" w:color="auto"/>
        <w:right w:val="none" w:sz="0" w:space="0" w:color="auto"/>
      </w:divBdr>
    </w:div>
    <w:div w:id="1431510166">
      <w:bodyDiv w:val="1"/>
      <w:marLeft w:val="0"/>
      <w:marRight w:val="0"/>
      <w:marTop w:val="0"/>
      <w:marBottom w:val="0"/>
      <w:divBdr>
        <w:top w:val="none" w:sz="0" w:space="0" w:color="auto"/>
        <w:left w:val="none" w:sz="0" w:space="0" w:color="auto"/>
        <w:bottom w:val="none" w:sz="0" w:space="0" w:color="auto"/>
        <w:right w:val="none" w:sz="0" w:space="0" w:color="auto"/>
      </w:divBdr>
    </w:div>
    <w:div w:id="1459452526">
      <w:bodyDiv w:val="1"/>
      <w:marLeft w:val="0"/>
      <w:marRight w:val="0"/>
      <w:marTop w:val="0"/>
      <w:marBottom w:val="0"/>
      <w:divBdr>
        <w:top w:val="none" w:sz="0" w:space="0" w:color="auto"/>
        <w:left w:val="none" w:sz="0" w:space="0" w:color="auto"/>
        <w:bottom w:val="none" w:sz="0" w:space="0" w:color="auto"/>
        <w:right w:val="none" w:sz="0" w:space="0" w:color="auto"/>
      </w:divBdr>
    </w:div>
    <w:div w:id="1472551359">
      <w:bodyDiv w:val="1"/>
      <w:marLeft w:val="0"/>
      <w:marRight w:val="0"/>
      <w:marTop w:val="0"/>
      <w:marBottom w:val="0"/>
      <w:divBdr>
        <w:top w:val="none" w:sz="0" w:space="0" w:color="auto"/>
        <w:left w:val="none" w:sz="0" w:space="0" w:color="auto"/>
        <w:bottom w:val="none" w:sz="0" w:space="0" w:color="auto"/>
        <w:right w:val="none" w:sz="0" w:space="0" w:color="auto"/>
      </w:divBdr>
    </w:div>
    <w:div w:id="1472865927">
      <w:bodyDiv w:val="1"/>
      <w:marLeft w:val="0"/>
      <w:marRight w:val="0"/>
      <w:marTop w:val="0"/>
      <w:marBottom w:val="0"/>
      <w:divBdr>
        <w:top w:val="none" w:sz="0" w:space="0" w:color="auto"/>
        <w:left w:val="none" w:sz="0" w:space="0" w:color="auto"/>
        <w:bottom w:val="none" w:sz="0" w:space="0" w:color="auto"/>
        <w:right w:val="none" w:sz="0" w:space="0" w:color="auto"/>
      </w:divBdr>
    </w:div>
    <w:div w:id="1477992825">
      <w:bodyDiv w:val="1"/>
      <w:marLeft w:val="0"/>
      <w:marRight w:val="0"/>
      <w:marTop w:val="0"/>
      <w:marBottom w:val="0"/>
      <w:divBdr>
        <w:top w:val="none" w:sz="0" w:space="0" w:color="auto"/>
        <w:left w:val="none" w:sz="0" w:space="0" w:color="auto"/>
        <w:bottom w:val="none" w:sz="0" w:space="0" w:color="auto"/>
        <w:right w:val="none" w:sz="0" w:space="0" w:color="auto"/>
      </w:divBdr>
    </w:div>
    <w:div w:id="1483042792">
      <w:bodyDiv w:val="1"/>
      <w:marLeft w:val="0"/>
      <w:marRight w:val="0"/>
      <w:marTop w:val="0"/>
      <w:marBottom w:val="0"/>
      <w:divBdr>
        <w:top w:val="none" w:sz="0" w:space="0" w:color="auto"/>
        <w:left w:val="none" w:sz="0" w:space="0" w:color="auto"/>
        <w:bottom w:val="none" w:sz="0" w:space="0" w:color="auto"/>
        <w:right w:val="none" w:sz="0" w:space="0" w:color="auto"/>
      </w:divBdr>
    </w:div>
    <w:div w:id="1485464651">
      <w:bodyDiv w:val="1"/>
      <w:marLeft w:val="0"/>
      <w:marRight w:val="0"/>
      <w:marTop w:val="0"/>
      <w:marBottom w:val="0"/>
      <w:divBdr>
        <w:top w:val="none" w:sz="0" w:space="0" w:color="auto"/>
        <w:left w:val="none" w:sz="0" w:space="0" w:color="auto"/>
        <w:bottom w:val="none" w:sz="0" w:space="0" w:color="auto"/>
        <w:right w:val="none" w:sz="0" w:space="0" w:color="auto"/>
      </w:divBdr>
    </w:div>
    <w:div w:id="1521435977">
      <w:bodyDiv w:val="1"/>
      <w:marLeft w:val="0"/>
      <w:marRight w:val="0"/>
      <w:marTop w:val="0"/>
      <w:marBottom w:val="0"/>
      <w:divBdr>
        <w:top w:val="none" w:sz="0" w:space="0" w:color="auto"/>
        <w:left w:val="none" w:sz="0" w:space="0" w:color="auto"/>
        <w:bottom w:val="none" w:sz="0" w:space="0" w:color="auto"/>
        <w:right w:val="none" w:sz="0" w:space="0" w:color="auto"/>
      </w:divBdr>
    </w:div>
    <w:div w:id="1526212150">
      <w:bodyDiv w:val="1"/>
      <w:marLeft w:val="0"/>
      <w:marRight w:val="0"/>
      <w:marTop w:val="0"/>
      <w:marBottom w:val="0"/>
      <w:divBdr>
        <w:top w:val="none" w:sz="0" w:space="0" w:color="auto"/>
        <w:left w:val="none" w:sz="0" w:space="0" w:color="auto"/>
        <w:bottom w:val="none" w:sz="0" w:space="0" w:color="auto"/>
        <w:right w:val="none" w:sz="0" w:space="0" w:color="auto"/>
      </w:divBdr>
    </w:div>
    <w:div w:id="1533958278">
      <w:bodyDiv w:val="1"/>
      <w:marLeft w:val="0"/>
      <w:marRight w:val="0"/>
      <w:marTop w:val="0"/>
      <w:marBottom w:val="0"/>
      <w:divBdr>
        <w:top w:val="none" w:sz="0" w:space="0" w:color="auto"/>
        <w:left w:val="none" w:sz="0" w:space="0" w:color="auto"/>
        <w:bottom w:val="none" w:sz="0" w:space="0" w:color="auto"/>
        <w:right w:val="none" w:sz="0" w:space="0" w:color="auto"/>
      </w:divBdr>
    </w:div>
    <w:div w:id="1549143241">
      <w:bodyDiv w:val="1"/>
      <w:marLeft w:val="0"/>
      <w:marRight w:val="0"/>
      <w:marTop w:val="0"/>
      <w:marBottom w:val="0"/>
      <w:divBdr>
        <w:top w:val="none" w:sz="0" w:space="0" w:color="auto"/>
        <w:left w:val="none" w:sz="0" w:space="0" w:color="auto"/>
        <w:bottom w:val="none" w:sz="0" w:space="0" w:color="auto"/>
        <w:right w:val="none" w:sz="0" w:space="0" w:color="auto"/>
      </w:divBdr>
    </w:div>
    <w:div w:id="1550149872">
      <w:bodyDiv w:val="1"/>
      <w:marLeft w:val="0"/>
      <w:marRight w:val="0"/>
      <w:marTop w:val="0"/>
      <w:marBottom w:val="0"/>
      <w:divBdr>
        <w:top w:val="none" w:sz="0" w:space="0" w:color="auto"/>
        <w:left w:val="none" w:sz="0" w:space="0" w:color="auto"/>
        <w:bottom w:val="none" w:sz="0" w:space="0" w:color="auto"/>
        <w:right w:val="none" w:sz="0" w:space="0" w:color="auto"/>
      </w:divBdr>
    </w:div>
    <w:div w:id="1560434360">
      <w:bodyDiv w:val="1"/>
      <w:marLeft w:val="0"/>
      <w:marRight w:val="0"/>
      <w:marTop w:val="0"/>
      <w:marBottom w:val="0"/>
      <w:divBdr>
        <w:top w:val="none" w:sz="0" w:space="0" w:color="auto"/>
        <w:left w:val="none" w:sz="0" w:space="0" w:color="auto"/>
        <w:bottom w:val="none" w:sz="0" w:space="0" w:color="auto"/>
        <w:right w:val="none" w:sz="0" w:space="0" w:color="auto"/>
      </w:divBdr>
    </w:div>
    <w:div w:id="1568032012">
      <w:bodyDiv w:val="1"/>
      <w:marLeft w:val="0"/>
      <w:marRight w:val="0"/>
      <w:marTop w:val="0"/>
      <w:marBottom w:val="0"/>
      <w:divBdr>
        <w:top w:val="none" w:sz="0" w:space="0" w:color="auto"/>
        <w:left w:val="none" w:sz="0" w:space="0" w:color="auto"/>
        <w:bottom w:val="none" w:sz="0" w:space="0" w:color="auto"/>
        <w:right w:val="none" w:sz="0" w:space="0" w:color="auto"/>
      </w:divBdr>
    </w:div>
    <w:div w:id="1571816132">
      <w:bodyDiv w:val="1"/>
      <w:marLeft w:val="0"/>
      <w:marRight w:val="0"/>
      <w:marTop w:val="0"/>
      <w:marBottom w:val="0"/>
      <w:divBdr>
        <w:top w:val="none" w:sz="0" w:space="0" w:color="auto"/>
        <w:left w:val="none" w:sz="0" w:space="0" w:color="auto"/>
        <w:bottom w:val="none" w:sz="0" w:space="0" w:color="auto"/>
        <w:right w:val="none" w:sz="0" w:space="0" w:color="auto"/>
      </w:divBdr>
    </w:div>
    <w:div w:id="1588146603">
      <w:bodyDiv w:val="1"/>
      <w:marLeft w:val="0"/>
      <w:marRight w:val="0"/>
      <w:marTop w:val="0"/>
      <w:marBottom w:val="0"/>
      <w:divBdr>
        <w:top w:val="none" w:sz="0" w:space="0" w:color="auto"/>
        <w:left w:val="none" w:sz="0" w:space="0" w:color="auto"/>
        <w:bottom w:val="none" w:sz="0" w:space="0" w:color="auto"/>
        <w:right w:val="none" w:sz="0" w:space="0" w:color="auto"/>
      </w:divBdr>
    </w:div>
    <w:div w:id="1608388343">
      <w:bodyDiv w:val="1"/>
      <w:marLeft w:val="0"/>
      <w:marRight w:val="0"/>
      <w:marTop w:val="0"/>
      <w:marBottom w:val="0"/>
      <w:divBdr>
        <w:top w:val="none" w:sz="0" w:space="0" w:color="auto"/>
        <w:left w:val="none" w:sz="0" w:space="0" w:color="auto"/>
        <w:bottom w:val="none" w:sz="0" w:space="0" w:color="auto"/>
        <w:right w:val="none" w:sz="0" w:space="0" w:color="auto"/>
      </w:divBdr>
    </w:div>
    <w:div w:id="1628466783">
      <w:bodyDiv w:val="1"/>
      <w:marLeft w:val="0"/>
      <w:marRight w:val="0"/>
      <w:marTop w:val="0"/>
      <w:marBottom w:val="0"/>
      <w:divBdr>
        <w:top w:val="none" w:sz="0" w:space="0" w:color="auto"/>
        <w:left w:val="none" w:sz="0" w:space="0" w:color="auto"/>
        <w:bottom w:val="none" w:sz="0" w:space="0" w:color="auto"/>
        <w:right w:val="none" w:sz="0" w:space="0" w:color="auto"/>
      </w:divBdr>
    </w:div>
    <w:div w:id="1631782558">
      <w:bodyDiv w:val="1"/>
      <w:marLeft w:val="0"/>
      <w:marRight w:val="0"/>
      <w:marTop w:val="0"/>
      <w:marBottom w:val="0"/>
      <w:divBdr>
        <w:top w:val="none" w:sz="0" w:space="0" w:color="auto"/>
        <w:left w:val="none" w:sz="0" w:space="0" w:color="auto"/>
        <w:bottom w:val="none" w:sz="0" w:space="0" w:color="auto"/>
        <w:right w:val="none" w:sz="0" w:space="0" w:color="auto"/>
      </w:divBdr>
    </w:div>
    <w:div w:id="1638803221">
      <w:bodyDiv w:val="1"/>
      <w:marLeft w:val="0"/>
      <w:marRight w:val="0"/>
      <w:marTop w:val="0"/>
      <w:marBottom w:val="0"/>
      <w:divBdr>
        <w:top w:val="none" w:sz="0" w:space="0" w:color="auto"/>
        <w:left w:val="none" w:sz="0" w:space="0" w:color="auto"/>
        <w:bottom w:val="none" w:sz="0" w:space="0" w:color="auto"/>
        <w:right w:val="none" w:sz="0" w:space="0" w:color="auto"/>
      </w:divBdr>
    </w:div>
    <w:div w:id="1677881894">
      <w:bodyDiv w:val="1"/>
      <w:marLeft w:val="0"/>
      <w:marRight w:val="0"/>
      <w:marTop w:val="0"/>
      <w:marBottom w:val="0"/>
      <w:divBdr>
        <w:top w:val="none" w:sz="0" w:space="0" w:color="auto"/>
        <w:left w:val="none" w:sz="0" w:space="0" w:color="auto"/>
        <w:bottom w:val="none" w:sz="0" w:space="0" w:color="auto"/>
        <w:right w:val="none" w:sz="0" w:space="0" w:color="auto"/>
      </w:divBdr>
    </w:div>
    <w:div w:id="1691711895">
      <w:bodyDiv w:val="1"/>
      <w:marLeft w:val="0"/>
      <w:marRight w:val="0"/>
      <w:marTop w:val="0"/>
      <w:marBottom w:val="0"/>
      <w:divBdr>
        <w:top w:val="none" w:sz="0" w:space="0" w:color="auto"/>
        <w:left w:val="none" w:sz="0" w:space="0" w:color="auto"/>
        <w:bottom w:val="none" w:sz="0" w:space="0" w:color="auto"/>
        <w:right w:val="none" w:sz="0" w:space="0" w:color="auto"/>
      </w:divBdr>
    </w:div>
    <w:div w:id="1692292176">
      <w:bodyDiv w:val="1"/>
      <w:marLeft w:val="0"/>
      <w:marRight w:val="0"/>
      <w:marTop w:val="0"/>
      <w:marBottom w:val="0"/>
      <w:divBdr>
        <w:top w:val="none" w:sz="0" w:space="0" w:color="auto"/>
        <w:left w:val="none" w:sz="0" w:space="0" w:color="auto"/>
        <w:bottom w:val="none" w:sz="0" w:space="0" w:color="auto"/>
        <w:right w:val="none" w:sz="0" w:space="0" w:color="auto"/>
      </w:divBdr>
    </w:div>
    <w:div w:id="1701859112">
      <w:bodyDiv w:val="1"/>
      <w:marLeft w:val="0"/>
      <w:marRight w:val="0"/>
      <w:marTop w:val="0"/>
      <w:marBottom w:val="0"/>
      <w:divBdr>
        <w:top w:val="none" w:sz="0" w:space="0" w:color="auto"/>
        <w:left w:val="none" w:sz="0" w:space="0" w:color="auto"/>
        <w:bottom w:val="none" w:sz="0" w:space="0" w:color="auto"/>
        <w:right w:val="none" w:sz="0" w:space="0" w:color="auto"/>
      </w:divBdr>
    </w:div>
    <w:div w:id="1702437974">
      <w:bodyDiv w:val="1"/>
      <w:marLeft w:val="0"/>
      <w:marRight w:val="0"/>
      <w:marTop w:val="0"/>
      <w:marBottom w:val="0"/>
      <w:divBdr>
        <w:top w:val="none" w:sz="0" w:space="0" w:color="auto"/>
        <w:left w:val="none" w:sz="0" w:space="0" w:color="auto"/>
        <w:bottom w:val="none" w:sz="0" w:space="0" w:color="auto"/>
        <w:right w:val="none" w:sz="0" w:space="0" w:color="auto"/>
      </w:divBdr>
    </w:div>
    <w:div w:id="1717855327">
      <w:bodyDiv w:val="1"/>
      <w:marLeft w:val="0"/>
      <w:marRight w:val="0"/>
      <w:marTop w:val="0"/>
      <w:marBottom w:val="0"/>
      <w:divBdr>
        <w:top w:val="none" w:sz="0" w:space="0" w:color="auto"/>
        <w:left w:val="none" w:sz="0" w:space="0" w:color="auto"/>
        <w:bottom w:val="none" w:sz="0" w:space="0" w:color="auto"/>
        <w:right w:val="none" w:sz="0" w:space="0" w:color="auto"/>
      </w:divBdr>
    </w:div>
    <w:div w:id="1729760414">
      <w:bodyDiv w:val="1"/>
      <w:marLeft w:val="0"/>
      <w:marRight w:val="0"/>
      <w:marTop w:val="0"/>
      <w:marBottom w:val="0"/>
      <w:divBdr>
        <w:top w:val="none" w:sz="0" w:space="0" w:color="auto"/>
        <w:left w:val="none" w:sz="0" w:space="0" w:color="auto"/>
        <w:bottom w:val="none" w:sz="0" w:space="0" w:color="auto"/>
        <w:right w:val="none" w:sz="0" w:space="0" w:color="auto"/>
      </w:divBdr>
    </w:div>
    <w:div w:id="1730807918">
      <w:bodyDiv w:val="1"/>
      <w:marLeft w:val="0"/>
      <w:marRight w:val="0"/>
      <w:marTop w:val="0"/>
      <w:marBottom w:val="0"/>
      <w:divBdr>
        <w:top w:val="none" w:sz="0" w:space="0" w:color="auto"/>
        <w:left w:val="none" w:sz="0" w:space="0" w:color="auto"/>
        <w:bottom w:val="none" w:sz="0" w:space="0" w:color="auto"/>
        <w:right w:val="none" w:sz="0" w:space="0" w:color="auto"/>
      </w:divBdr>
    </w:div>
    <w:div w:id="1731997418">
      <w:bodyDiv w:val="1"/>
      <w:marLeft w:val="0"/>
      <w:marRight w:val="0"/>
      <w:marTop w:val="0"/>
      <w:marBottom w:val="0"/>
      <w:divBdr>
        <w:top w:val="none" w:sz="0" w:space="0" w:color="auto"/>
        <w:left w:val="none" w:sz="0" w:space="0" w:color="auto"/>
        <w:bottom w:val="none" w:sz="0" w:space="0" w:color="auto"/>
        <w:right w:val="none" w:sz="0" w:space="0" w:color="auto"/>
      </w:divBdr>
    </w:div>
    <w:div w:id="1743866025">
      <w:bodyDiv w:val="1"/>
      <w:marLeft w:val="0"/>
      <w:marRight w:val="0"/>
      <w:marTop w:val="0"/>
      <w:marBottom w:val="0"/>
      <w:divBdr>
        <w:top w:val="none" w:sz="0" w:space="0" w:color="auto"/>
        <w:left w:val="none" w:sz="0" w:space="0" w:color="auto"/>
        <w:bottom w:val="none" w:sz="0" w:space="0" w:color="auto"/>
        <w:right w:val="none" w:sz="0" w:space="0" w:color="auto"/>
      </w:divBdr>
    </w:div>
    <w:div w:id="1751416777">
      <w:bodyDiv w:val="1"/>
      <w:marLeft w:val="0"/>
      <w:marRight w:val="0"/>
      <w:marTop w:val="0"/>
      <w:marBottom w:val="0"/>
      <w:divBdr>
        <w:top w:val="none" w:sz="0" w:space="0" w:color="auto"/>
        <w:left w:val="none" w:sz="0" w:space="0" w:color="auto"/>
        <w:bottom w:val="none" w:sz="0" w:space="0" w:color="auto"/>
        <w:right w:val="none" w:sz="0" w:space="0" w:color="auto"/>
      </w:divBdr>
    </w:div>
    <w:div w:id="1759525084">
      <w:bodyDiv w:val="1"/>
      <w:marLeft w:val="0"/>
      <w:marRight w:val="0"/>
      <w:marTop w:val="0"/>
      <w:marBottom w:val="0"/>
      <w:divBdr>
        <w:top w:val="none" w:sz="0" w:space="0" w:color="auto"/>
        <w:left w:val="none" w:sz="0" w:space="0" w:color="auto"/>
        <w:bottom w:val="none" w:sz="0" w:space="0" w:color="auto"/>
        <w:right w:val="none" w:sz="0" w:space="0" w:color="auto"/>
      </w:divBdr>
    </w:div>
    <w:div w:id="1778023072">
      <w:bodyDiv w:val="1"/>
      <w:marLeft w:val="0"/>
      <w:marRight w:val="0"/>
      <w:marTop w:val="0"/>
      <w:marBottom w:val="0"/>
      <w:divBdr>
        <w:top w:val="none" w:sz="0" w:space="0" w:color="auto"/>
        <w:left w:val="none" w:sz="0" w:space="0" w:color="auto"/>
        <w:bottom w:val="none" w:sz="0" w:space="0" w:color="auto"/>
        <w:right w:val="none" w:sz="0" w:space="0" w:color="auto"/>
      </w:divBdr>
    </w:div>
    <w:div w:id="1786608257">
      <w:bodyDiv w:val="1"/>
      <w:marLeft w:val="0"/>
      <w:marRight w:val="0"/>
      <w:marTop w:val="0"/>
      <w:marBottom w:val="0"/>
      <w:divBdr>
        <w:top w:val="none" w:sz="0" w:space="0" w:color="auto"/>
        <w:left w:val="none" w:sz="0" w:space="0" w:color="auto"/>
        <w:bottom w:val="none" w:sz="0" w:space="0" w:color="auto"/>
        <w:right w:val="none" w:sz="0" w:space="0" w:color="auto"/>
      </w:divBdr>
    </w:div>
    <w:div w:id="1792629476">
      <w:bodyDiv w:val="1"/>
      <w:marLeft w:val="0"/>
      <w:marRight w:val="0"/>
      <w:marTop w:val="0"/>
      <w:marBottom w:val="0"/>
      <w:divBdr>
        <w:top w:val="none" w:sz="0" w:space="0" w:color="auto"/>
        <w:left w:val="none" w:sz="0" w:space="0" w:color="auto"/>
        <w:bottom w:val="none" w:sz="0" w:space="0" w:color="auto"/>
        <w:right w:val="none" w:sz="0" w:space="0" w:color="auto"/>
      </w:divBdr>
    </w:div>
    <w:div w:id="1796483697">
      <w:bodyDiv w:val="1"/>
      <w:marLeft w:val="0"/>
      <w:marRight w:val="0"/>
      <w:marTop w:val="0"/>
      <w:marBottom w:val="0"/>
      <w:divBdr>
        <w:top w:val="none" w:sz="0" w:space="0" w:color="auto"/>
        <w:left w:val="none" w:sz="0" w:space="0" w:color="auto"/>
        <w:bottom w:val="none" w:sz="0" w:space="0" w:color="auto"/>
        <w:right w:val="none" w:sz="0" w:space="0" w:color="auto"/>
      </w:divBdr>
    </w:div>
    <w:div w:id="1848130838">
      <w:bodyDiv w:val="1"/>
      <w:marLeft w:val="0"/>
      <w:marRight w:val="0"/>
      <w:marTop w:val="0"/>
      <w:marBottom w:val="0"/>
      <w:divBdr>
        <w:top w:val="none" w:sz="0" w:space="0" w:color="auto"/>
        <w:left w:val="none" w:sz="0" w:space="0" w:color="auto"/>
        <w:bottom w:val="none" w:sz="0" w:space="0" w:color="auto"/>
        <w:right w:val="none" w:sz="0" w:space="0" w:color="auto"/>
      </w:divBdr>
    </w:div>
    <w:div w:id="1850292009">
      <w:bodyDiv w:val="1"/>
      <w:marLeft w:val="0"/>
      <w:marRight w:val="0"/>
      <w:marTop w:val="0"/>
      <w:marBottom w:val="0"/>
      <w:divBdr>
        <w:top w:val="none" w:sz="0" w:space="0" w:color="auto"/>
        <w:left w:val="none" w:sz="0" w:space="0" w:color="auto"/>
        <w:bottom w:val="none" w:sz="0" w:space="0" w:color="auto"/>
        <w:right w:val="none" w:sz="0" w:space="0" w:color="auto"/>
      </w:divBdr>
    </w:div>
    <w:div w:id="1853228113">
      <w:bodyDiv w:val="1"/>
      <w:marLeft w:val="0"/>
      <w:marRight w:val="0"/>
      <w:marTop w:val="0"/>
      <w:marBottom w:val="0"/>
      <w:divBdr>
        <w:top w:val="none" w:sz="0" w:space="0" w:color="auto"/>
        <w:left w:val="none" w:sz="0" w:space="0" w:color="auto"/>
        <w:bottom w:val="none" w:sz="0" w:space="0" w:color="auto"/>
        <w:right w:val="none" w:sz="0" w:space="0" w:color="auto"/>
      </w:divBdr>
    </w:div>
    <w:div w:id="1869952374">
      <w:bodyDiv w:val="1"/>
      <w:marLeft w:val="0"/>
      <w:marRight w:val="0"/>
      <w:marTop w:val="0"/>
      <w:marBottom w:val="0"/>
      <w:divBdr>
        <w:top w:val="none" w:sz="0" w:space="0" w:color="auto"/>
        <w:left w:val="none" w:sz="0" w:space="0" w:color="auto"/>
        <w:bottom w:val="none" w:sz="0" w:space="0" w:color="auto"/>
        <w:right w:val="none" w:sz="0" w:space="0" w:color="auto"/>
      </w:divBdr>
    </w:div>
    <w:div w:id="1883592004">
      <w:bodyDiv w:val="1"/>
      <w:marLeft w:val="0"/>
      <w:marRight w:val="0"/>
      <w:marTop w:val="0"/>
      <w:marBottom w:val="0"/>
      <w:divBdr>
        <w:top w:val="none" w:sz="0" w:space="0" w:color="auto"/>
        <w:left w:val="none" w:sz="0" w:space="0" w:color="auto"/>
        <w:bottom w:val="none" w:sz="0" w:space="0" w:color="auto"/>
        <w:right w:val="none" w:sz="0" w:space="0" w:color="auto"/>
      </w:divBdr>
    </w:div>
    <w:div w:id="1884366846">
      <w:bodyDiv w:val="1"/>
      <w:marLeft w:val="0"/>
      <w:marRight w:val="0"/>
      <w:marTop w:val="0"/>
      <w:marBottom w:val="0"/>
      <w:divBdr>
        <w:top w:val="none" w:sz="0" w:space="0" w:color="auto"/>
        <w:left w:val="none" w:sz="0" w:space="0" w:color="auto"/>
        <w:bottom w:val="none" w:sz="0" w:space="0" w:color="auto"/>
        <w:right w:val="none" w:sz="0" w:space="0" w:color="auto"/>
      </w:divBdr>
    </w:div>
    <w:div w:id="1893074853">
      <w:bodyDiv w:val="1"/>
      <w:marLeft w:val="0"/>
      <w:marRight w:val="0"/>
      <w:marTop w:val="0"/>
      <w:marBottom w:val="0"/>
      <w:divBdr>
        <w:top w:val="none" w:sz="0" w:space="0" w:color="auto"/>
        <w:left w:val="none" w:sz="0" w:space="0" w:color="auto"/>
        <w:bottom w:val="none" w:sz="0" w:space="0" w:color="auto"/>
        <w:right w:val="none" w:sz="0" w:space="0" w:color="auto"/>
      </w:divBdr>
    </w:div>
    <w:div w:id="1893735922">
      <w:bodyDiv w:val="1"/>
      <w:marLeft w:val="0"/>
      <w:marRight w:val="0"/>
      <w:marTop w:val="0"/>
      <w:marBottom w:val="0"/>
      <w:divBdr>
        <w:top w:val="none" w:sz="0" w:space="0" w:color="auto"/>
        <w:left w:val="none" w:sz="0" w:space="0" w:color="auto"/>
        <w:bottom w:val="none" w:sz="0" w:space="0" w:color="auto"/>
        <w:right w:val="none" w:sz="0" w:space="0" w:color="auto"/>
      </w:divBdr>
    </w:div>
    <w:div w:id="1894845326">
      <w:bodyDiv w:val="1"/>
      <w:marLeft w:val="0"/>
      <w:marRight w:val="0"/>
      <w:marTop w:val="0"/>
      <w:marBottom w:val="0"/>
      <w:divBdr>
        <w:top w:val="none" w:sz="0" w:space="0" w:color="auto"/>
        <w:left w:val="none" w:sz="0" w:space="0" w:color="auto"/>
        <w:bottom w:val="none" w:sz="0" w:space="0" w:color="auto"/>
        <w:right w:val="none" w:sz="0" w:space="0" w:color="auto"/>
      </w:divBdr>
    </w:div>
    <w:div w:id="1909850270">
      <w:bodyDiv w:val="1"/>
      <w:marLeft w:val="0"/>
      <w:marRight w:val="0"/>
      <w:marTop w:val="0"/>
      <w:marBottom w:val="0"/>
      <w:divBdr>
        <w:top w:val="none" w:sz="0" w:space="0" w:color="auto"/>
        <w:left w:val="none" w:sz="0" w:space="0" w:color="auto"/>
        <w:bottom w:val="none" w:sz="0" w:space="0" w:color="auto"/>
        <w:right w:val="none" w:sz="0" w:space="0" w:color="auto"/>
      </w:divBdr>
    </w:div>
    <w:div w:id="1922829918">
      <w:bodyDiv w:val="1"/>
      <w:marLeft w:val="0"/>
      <w:marRight w:val="0"/>
      <w:marTop w:val="0"/>
      <w:marBottom w:val="0"/>
      <w:divBdr>
        <w:top w:val="none" w:sz="0" w:space="0" w:color="auto"/>
        <w:left w:val="none" w:sz="0" w:space="0" w:color="auto"/>
        <w:bottom w:val="none" w:sz="0" w:space="0" w:color="auto"/>
        <w:right w:val="none" w:sz="0" w:space="0" w:color="auto"/>
      </w:divBdr>
    </w:div>
    <w:div w:id="1971398034">
      <w:bodyDiv w:val="1"/>
      <w:marLeft w:val="0"/>
      <w:marRight w:val="0"/>
      <w:marTop w:val="0"/>
      <w:marBottom w:val="0"/>
      <w:divBdr>
        <w:top w:val="none" w:sz="0" w:space="0" w:color="auto"/>
        <w:left w:val="none" w:sz="0" w:space="0" w:color="auto"/>
        <w:bottom w:val="none" w:sz="0" w:space="0" w:color="auto"/>
        <w:right w:val="none" w:sz="0" w:space="0" w:color="auto"/>
      </w:divBdr>
    </w:div>
    <w:div w:id="1990787501">
      <w:bodyDiv w:val="1"/>
      <w:marLeft w:val="0"/>
      <w:marRight w:val="0"/>
      <w:marTop w:val="0"/>
      <w:marBottom w:val="0"/>
      <w:divBdr>
        <w:top w:val="none" w:sz="0" w:space="0" w:color="auto"/>
        <w:left w:val="none" w:sz="0" w:space="0" w:color="auto"/>
        <w:bottom w:val="none" w:sz="0" w:space="0" w:color="auto"/>
        <w:right w:val="none" w:sz="0" w:space="0" w:color="auto"/>
      </w:divBdr>
    </w:div>
    <w:div w:id="1994874121">
      <w:bodyDiv w:val="1"/>
      <w:marLeft w:val="0"/>
      <w:marRight w:val="0"/>
      <w:marTop w:val="0"/>
      <w:marBottom w:val="0"/>
      <w:divBdr>
        <w:top w:val="none" w:sz="0" w:space="0" w:color="auto"/>
        <w:left w:val="none" w:sz="0" w:space="0" w:color="auto"/>
        <w:bottom w:val="none" w:sz="0" w:space="0" w:color="auto"/>
        <w:right w:val="none" w:sz="0" w:space="0" w:color="auto"/>
      </w:divBdr>
    </w:div>
    <w:div w:id="1995452848">
      <w:bodyDiv w:val="1"/>
      <w:marLeft w:val="0"/>
      <w:marRight w:val="0"/>
      <w:marTop w:val="0"/>
      <w:marBottom w:val="0"/>
      <w:divBdr>
        <w:top w:val="none" w:sz="0" w:space="0" w:color="auto"/>
        <w:left w:val="none" w:sz="0" w:space="0" w:color="auto"/>
        <w:bottom w:val="none" w:sz="0" w:space="0" w:color="auto"/>
        <w:right w:val="none" w:sz="0" w:space="0" w:color="auto"/>
      </w:divBdr>
    </w:div>
    <w:div w:id="2040079524">
      <w:bodyDiv w:val="1"/>
      <w:marLeft w:val="0"/>
      <w:marRight w:val="0"/>
      <w:marTop w:val="0"/>
      <w:marBottom w:val="0"/>
      <w:divBdr>
        <w:top w:val="none" w:sz="0" w:space="0" w:color="auto"/>
        <w:left w:val="none" w:sz="0" w:space="0" w:color="auto"/>
        <w:bottom w:val="none" w:sz="0" w:space="0" w:color="auto"/>
        <w:right w:val="none" w:sz="0" w:space="0" w:color="auto"/>
      </w:divBdr>
    </w:div>
    <w:div w:id="2050179143">
      <w:bodyDiv w:val="1"/>
      <w:marLeft w:val="0"/>
      <w:marRight w:val="0"/>
      <w:marTop w:val="0"/>
      <w:marBottom w:val="0"/>
      <w:divBdr>
        <w:top w:val="none" w:sz="0" w:space="0" w:color="auto"/>
        <w:left w:val="none" w:sz="0" w:space="0" w:color="auto"/>
        <w:bottom w:val="none" w:sz="0" w:space="0" w:color="auto"/>
        <w:right w:val="none" w:sz="0" w:space="0" w:color="auto"/>
      </w:divBdr>
    </w:div>
    <w:div w:id="2055035472">
      <w:bodyDiv w:val="1"/>
      <w:marLeft w:val="0"/>
      <w:marRight w:val="0"/>
      <w:marTop w:val="0"/>
      <w:marBottom w:val="0"/>
      <w:divBdr>
        <w:top w:val="none" w:sz="0" w:space="0" w:color="auto"/>
        <w:left w:val="none" w:sz="0" w:space="0" w:color="auto"/>
        <w:bottom w:val="none" w:sz="0" w:space="0" w:color="auto"/>
        <w:right w:val="none" w:sz="0" w:space="0" w:color="auto"/>
      </w:divBdr>
    </w:div>
    <w:div w:id="2061779648">
      <w:bodyDiv w:val="1"/>
      <w:marLeft w:val="0"/>
      <w:marRight w:val="0"/>
      <w:marTop w:val="0"/>
      <w:marBottom w:val="0"/>
      <w:divBdr>
        <w:top w:val="none" w:sz="0" w:space="0" w:color="auto"/>
        <w:left w:val="none" w:sz="0" w:space="0" w:color="auto"/>
        <w:bottom w:val="none" w:sz="0" w:space="0" w:color="auto"/>
        <w:right w:val="none" w:sz="0" w:space="0" w:color="auto"/>
      </w:divBdr>
    </w:div>
    <w:div w:id="2070296859">
      <w:bodyDiv w:val="1"/>
      <w:marLeft w:val="0"/>
      <w:marRight w:val="0"/>
      <w:marTop w:val="0"/>
      <w:marBottom w:val="0"/>
      <w:divBdr>
        <w:top w:val="none" w:sz="0" w:space="0" w:color="auto"/>
        <w:left w:val="none" w:sz="0" w:space="0" w:color="auto"/>
        <w:bottom w:val="none" w:sz="0" w:space="0" w:color="auto"/>
        <w:right w:val="none" w:sz="0" w:space="0" w:color="auto"/>
      </w:divBdr>
    </w:div>
    <w:div w:id="2076588019">
      <w:bodyDiv w:val="1"/>
      <w:marLeft w:val="0"/>
      <w:marRight w:val="0"/>
      <w:marTop w:val="0"/>
      <w:marBottom w:val="0"/>
      <w:divBdr>
        <w:top w:val="none" w:sz="0" w:space="0" w:color="auto"/>
        <w:left w:val="none" w:sz="0" w:space="0" w:color="auto"/>
        <w:bottom w:val="none" w:sz="0" w:space="0" w:color="auto"/>
        <w:right w:val="none" w:sz="0" w:space="0" w:color="auto"/>
      </w:divBdr>
    </w:div>
    <w:div w:id="2084909656">
      <w:bodyDiv w:val="1"/>
      <w:marLeft w:val="0"/>
      <w:marRight w:val="0"/>
      <w:marTop w:val="0"/>
      <w:marBottom w:val="0"/>
      <w:divBdr>
        <w:top w:val="none" w:sz="0" w:space="0" w:color="auto"/>
        <w:left w:val="none" w:sz="0" w:space="0" w:color="auto"/>
        <w:bottom w:val="none" w:sz="0" w:space="0" w:color="auto"/>
        <w:right w:val="none" w:sz="0" w:space="0" w:color="auto"/>
      </w:divBdr>
    </w:div>
    <w:div w:id="2088070832">
      <w:bodyDiv w:val="1"/>
      <w:marLeft w:val="0"/>
      <w:marRight w:val="0"/>
      <w:marTop w:val="0"/>
      <w:marBottom w:val="0"/>
      <w:divBdr>
        <w:top w:val="none" w:sz="0" w:space="0" w:color="auto"/>
        <w:left w:val="none" w:sz="0" w:space="0" w:color="auto"/>
        <w:bottom w:val="none" w:sz="0" w:space="0" w:color="auto"/>
        <w:right w:val="none" w:sz="0" w:space="0" w:color="auto"/>
      </w:divBdr>
    </w:div>
    <w:div w:id="2097632683">
      <w:bodyDiv w:val="1"/>
      <w:marLeft w:val="0"/>
      <w:marRight w:val="0"/>
      <w:marTop w:val="0"/>
      <w:marBottom w:val="0"/>
      <w:divBdr>
        <w:top w:val="none" w:sz="0" w:space="0" w:color="auto"/>
        <w:left w:val="none" w:sz="0" w:space="0" w:color="auto"/>
        <w:bottom w:val="none" w:sz="0" w:space="0" w:color="auto"/>
        <w:right w:val="none" w:sz="0" w:space="0" w:color="auto"/>
      </w:divBdr>
    </w:div>
    <w:div w:id="2106606964">
      <w:bodyDiv w:val="1"/>
      <w:marLeft w:val="0"/>
      <w:marRight w:val="0"/>
      <w:marTop w:val="0"/>
      <w:marBottom w:val="0"/>
      <w:divBdr>
        <w:top w:val="none" w:sz="0" w:space="0" w:color="auto"/>
        <w:left w:val="none" w:sz="0" w:space="0" w:color="auto"/>
        <w:bottom w:val="none" w:sz="0" w:space="0" w:color="auto"/>
        <w:right w:val="none" w:sz="0" w:space="0" w:color="auto"/>
      </w:divBdr>
    </w:div>
    <w:div w:id="21238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pfizermedicalinformation.com/en-us/xeljanz/boxed-warning" TargetMode="External"/><Relationship Id="rId1" Type="http://schemas.openxmlformats.org/officeDocument/2006/relationships/hyperlink" Target="https://www.fda.gov/drugs/drug-safety-and-availability/fda-approves-boxed-warning-about-increased-risk-blood-clots-and-death-higher-dose-arthriti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81D2-D9F6-4440-9B7E-08A1B13D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6832</Words>
  <Characters>41586</Characters>
  <Application>Microsoft Office Word</Application>
  <DocSecurity>0</DocSecurity>
  <Lines>346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2021-03-03T01:22:00Z</dcterms:created>
  <dcterms:modified xsi:type="dcterms:W3CDTF">2021-03-03T01:22:00Z</dcterms:modified>
</cp:coreProperties>
</file>