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A3B" w:rsidRPr="00EC6E05" w:rsidRDefault="00400B94" w:rsidP="00E9501B">
      <w:pPr>
        <w:pStyle w:val="1-MainHeading"/>
      </w:pPr>
      <w:bookmarkStart w:id="0" w:name="_Toc30597898"/>
      <w:bookmarkStart w:id="1" w:name="_Toc30600745"/>
      <w:bookmarkStart w:id="2" w:name="_Toc380679747"/>
      <w:bookmarkStart w:id="3" w:name="_Toc380742604"/>
      <w:bookmarkStart w:id="4" w:name="_Toc380746171"/>
      <w:bookmarkStart w:id="5" w:name="_Toc380746294"/>
      <w:bookmarkStart w:id="6" w:name="_Toc380746578"/>
      <w:bookmarkStart w:id="7" w:name="_Hlk27991672"/>
      <w:bookmarkStart w:id="8" w:name="_Hlk28006423"/>
      <w:bookmarkStart w:id="9" w:name="_Hlk29549244"/>
      <w:r w:rsidRPr="00EC6E05">
        <w:t>6.02</w:t>
      </w:r>
      <w:r w:rsidR="00B65A3B" w:rsidRPr="00EC6E05">
        <w:tab/>
        <w:t>AVELUMAB</w:t>
      </w:r>
      <w:bookmarkEnd w:id="0"/>
      <w:proofErr w:type="gramStart"/>
      <w:r w:rsidR="00E9501B" w:rsidRPr="00EC6E05">
        <w:t>,</w:t>
      </w:r>
      <w:proofErr w:type="gramEnd"/>
      <w:r w:rsidR="00E9501B" w:rsidRPr="00EC6E05">
        <w:br/>
      </w:r>
      <w:r w:rsidR="00C05F7F" w:rsidRPr="00EC6E05">
        <w:t>S</w:t>
      </w:r>
      <w:r w:rsidR="00B65A3B" w:rsidRPr="00EC6E05">
        <w:t>olution</w:t>
      </w:r>
      <w:r w:rsidR="00E9501B" w:rsidRPr="00EC6E05">
        <w:t xml:space="preserve"> concentrate for I.V. infusion </w:t>
      </w:r>
      <w:r w:rsidR="00B65A3B" w:rsidRPr="00EC6E05">
        <w:t>200</w:t>
      </w:r>
      <w:r w:rsidR="00E9501B" w:rsidRPr="00EC6E05">
        <w:t xml:space="preserve"> </w:t>
      </w:r>
      <w:r w:rsidR="00B65A3B" w:rsidRPr="00EC6E05">
        <w:t>mg</w:t>
      </w:r>
      <w:r w:rsidR="00593484" w:rsidRPr="00EC6E05">
        <w:t xml:space="preserve"> in </w:t>
      </w:r>
      <w:r w:rsidR="00B65A3B" w:rsidRPr="00EC6E05">
        <w:t>10</w:t>
      </w:r>
      <w:r w:rsidR="00465978">
        <w:t> </w:t>
      </w:r>
      <w:r w:rsidR="00B65A3B" w:rsidRPr="00EC6E05">
        <w:t>mL</w:t>
      </w:r>
      <w:r w:rsidR="00E9501B" w:rsidRPr="00EC6E05">
        <w:t xml:space="preserve">, </w:t>
      </w:r>
      <w:r w:rsidR="00E9501B" w:rsidRPr="00EC6E05">
        <w:br/>
      </w:r>
      <w:proofErr w:type="spellStart"/>
      <w:r w:rsidR="00B65A3B" w:rsidRPr="00EC6E05">
        <w:t>Bavencio</w:t>
      </w:r>
      <w:proofErr w:type="spellEnd"/>
      <w:r w:rsidR="00B65A3B" w:rsidRPr="00EC6E05">
        <w:t>®</w:t>
      </w:r>
      <w:r w:rsidR="00E9501B" w:rsidRPr="00EC6E05">
        <w:t>,</w:t>
      </w:r>
      <w:bookmarkStart w:id="10" w:name="_Toc30597900"/>
      <w:r w:rsidR="00E9501B" w:rsidRPr="00EC6E05">
        <w:br/>
      </w:r>
      <w:r w:rsidR="00B65A3B" w:rsidRPr="00EC6E05">
        <w:t>Merck Healthcare Pty Ltd</w:t>
      </w:r>
      <w:bookmarkEnd w:id="10"/>
      <w:r w:rsidR="00E9501B" w:rsidRPr="00EC6E05">
        <w:t>.</w:t>
      </w:r>
      <w:bookmarkEnd w:id="1"/>
    </w:p>
    <w:p w:rsidR="00B65A3B" w:rsidRPr="00EC6E05" w:rsidRDefault="00B65A3B" w:rsidP="00B65A3B">
      <w:pPr>
        <w:pStyle w:val="2-SectionHeading"/>
        <w:numPr>
          <w:ilvl w:val="0"/>
          <w:numId w:val="1"/>
        </w:numPr>
      </w:pPr>
      <w:bookmarkStart w:id="11" w:name="_Toc30600747"/>
      <w:r w:rsidRPr="00EC6E05">
        <w:t>Purpose of submission</w:t>
      </w:r>
      <w:bookmarkEnd w:id="11"/>
    </w:p>
    <w:p w:rsidR="00D91C22" w:rsidRPr="00EC6E05" w:rsidRDefault="00B65A3B" w:rsidP="00BF2EA7">
      <w:pPr>
        <w:pStyle w:val="3-BodyText"/>
      </w:pPr>
      <w:r w:rsidRPr="00EC6E05">
        <w:t xml:space="preserve">The submission requested an Authority </w:t>
      </w:r>
      <w:proofErr w:type="gramStart"/>
      <w:r w:rsidRPr="00EC6E05">
        <w:t>Required</w:t>
      </w:r>
      <w:proofErr w:type="gramEnd"/>
      <w:r w:rsidRPr="00EC6E05">
        <w:t xml:space="preserve"> listing for </w:t>
      </w:r>
      <w:proofErr w:type="spellStart"/>
      <w:r w:rsidRPr="00EC6E05">
        <w:t>avelumab</w:t>
      </w:r>
      <w:proofErr w:type="spellEnd"/>
      <w:r w:rsidRPr="00EC6E05">
        <w:t xml:space="preserve"> in combination with </w:t>
      </w:r>
      <w:proofErr w:type="spellStart"/>
      <w:r w:rsidRPr="00EC6E05">
        <w:t>axitinib</w:t>
      </w:r>
      <w:proofErr w:type="spellEnd"/>
      <w:r w:rsidRPr="00EC6E05">
        <w:t xml:space="preserve"> (AVE + AXI) for first-line treatment of advanced (stage IV) clear cell variant renal cell carcinoma (RCC).</w:t>
      </w:r>
    </w:p>
    <w:p w:rsidR="00B65A3B" w:rsidRPr="00EC6E05" w:rsidRDefault="00B65A3B" w:rsidP="00BF2EA7">
      <w:pPr>
        <w:pStyle w:val="3-BodyText"/>
      </w:pPr>
      <w:proofErr w:type="gramStart"/>
      <w:r w:rsidRPr="00EC6E05">
        <w:t xml:space="preserve">The submission </w:t>
      </w:r>
      <w:r w:rsidR="00D91C22" w:rsidRPr="00EC6E05">
        <w:t xml:space="preserve">also </w:t>
      </w:r>
      <w:r w:rsidRPr="00EC6E05">
        <w:t xml:space="preserve">requested that the PBAC consider a broad listing, agnostic to International Metastatic Renal Cell Carcinoma Database Consortium (IMDC) prognostic risk criteria based on </w:t>
      </w:r>
      <w:r w:rsidR="00F85C7D" w:rsidRPr="00EC6E05">
        <w:t>‘</w:t>
      </w:r>
      <w:r w:rsidRPr="00EC6E05">
        <w:t>unmet clinical need</w:t>
      </w:r>
      <w:r w:rsidR="00F85C7D" w:rsidRPr="00EC6E05">
        <w:t>’</w:t>
      </w:r>
      <w:r w:rsidRPr="00EC6E05">
        <w:t xml:space="preserve"> for more effective treatments for the first-line treatment of advanced RCC patients classified as favourable according to IMDC risk criteria and </w:t>
      </w:r>
      <w:r w:rsidR="00304979" w:rsidRPr="00EC6E05">
        <w:t xml:space="preserve">that </w:t>
      </w:r>
      <w:r w:rsidRPr="00EC6E05">
        <w:t>there is currently no immunotherapy regimen listed on the PBS for this population.</w:t>
      </w:r>
      <w:proofErr w:type="gramEnd"/>
      <w:r w:rsidR="0015177B" w:rsidRPr="00EC6E05">
        <w:t xml:space="preserve"> The </w:t>
      </w:r>
      <w:r w:rsidR="00F938AA">
        <w:t>Pre-Sub-Committee Response</w:t>
      </w:r>
      <w:r w:rsidR="00F938AA" w:rsidRPr="00EC6E05">
        <w:t xml:space="preserve"> </w:t>
      </w:r>
      <w:r w:rsidR="00F938AA">
        <w:t>(</w:t>
      </w:r>
      <w:r w:rsidR="0015177B" w:rsidRPr="00EC6E05">
        <w:t>PSCR</w:t>
      </w:r>
      <w:r w:rsidR="00F938AA">
        <w:t>)</w:t>
      </w:r>
      <w:r w:rsidR="0015177B" w:rsidRPr="00EC6E05">
        <w:t xml:space="preserve"> clarified that the submission did not ‘formally request’ listing </w:t>
      </w:r>
      <w:r w:rsidR="00F85C7D" w:rsidRPr="00EC6E05">
        <w:t>in</w:t>
      </w:r>
      <w:r w:rsidR="0015177B" w:rsidRPr="00EC6E05">
        <w:t xml:space="preserve"> the favourable </w:t>
      </w:r>
      <w:r w:rsidR="00F85C7D" w:rsidRPr="00EC6E05">
        <w:t xml:space="preserve">risk </w:t>
      </w:r>
      <w:r w:rsidR="0015177B" w:rsidRPr="00EC6E05">
        <w:t>patient group and stated that ‘the Committee may wish to consider a listing which is agnostic to prognostic risk classification in view of the high clinical need for this patient group’.</w:t>
      </w:r>
    </w:p>
    <w:p w:rsidR="00B65A3B" w:rsidRPr="00EC6E05" w:rsidRDefault="00B65A3B" w:rsidP="00BF2EA7">
      <w:pPr>
        <w:pStyle w:val="3-BodyText"/>
      </w:pPr>
      <w:r w:rsidRPr="00EC6E05">
        <w:t xml:space="preserve">Listing was requested </w:t>
      </w:r>
      <w:proofErr w:type="gramStart"/>
      <w:r w:rsidRPr="00EC6E05">
        <w:t>on the basis of</w:t>
      </w:r>
      <w:proofErr w:type="gramEnd"/>
      <w:r w:rsidRPr="00EC6E05">
        <w:t xml:space="preserve"> a cost-minimisation analysis </w:t>
      </w:r>
      <w:r w:rsidR="00261ECA">
        <w:t>(</w:t>
      </w:r>
      <w:r w:rsidRPr="00EC6E05">
        <w:t xml:space="preserve">CMA) against </w:t>
      </w:r>
      <w:proofErr w:type="spellStart"/>
      <w:r w:rsidRPr="00EC6E05">
        <w:t>nivolumab</w:t>
      </w:r>
      <w:proofErr w:type="spellEnd"/>
      <w:r w:rsidRPr="00EC6E05">
        <w:t xml:space="preserve"> in combination with </w:t>
      </w:r>
      <w:proofErr w:type="spellStart"/>
      <w:r w:rsidRPr="00EC6E05">
        <w:t>ipilimumab</w:t>
      </w:r>
      <w:proofErr w:type="spellEnd"/>
      <w:r w:rsidRPr="00EC6E05">
        <w:t xml:space="preserve"> (NIVO + IPI)</w:t>
      </w:r>
      <w:r w:rsidR="00236A99" w:rsidRPr="00EC6E05">
        <w:t>,</w:t>
      </w:r>
      <w:r w:rsidRPr="00EC6E05">
        <w:t xml:space="preserve"> </w:t>
      </w:r>
      <w:r w:rsidR="00236A99" w:rsidRPr="00EC6E05">
        <w:t xml:space="preserve">with </w:t>
      </w:r>
      <w:proofErr w:type="spellStart"/>
      <w:r w:rsidRPr="00EC6E05">
        <w:t>sunitinib</w:t>
      </w:r>
      <w:proofErr w:type="spellEnd"/>
      <w:r w:rsidRPr="00EC6E05">
        <w:t xml:space="preserve"> </w:t>
      </w:r>
      <w:r w:rsidR="00236A99" w:rsidRPr="00EC6E05">
        <w:t xml:space="preserve">as a </w:t>
      </w:r>
      <w:r w:rsidRPr="00EC6E05">
        <w:t>common reference.</w:t>
      </w:r>
      <w:r w:rsidRPr="00EC6E05">
        <w:rPr>
          <w:iCs/>
        </w:rPr>
        <w:t xml:space="preserve"> </w:t>
      </w:r>
      <w:r w:rsidRPr="00EC6E05">
        <w:t xml:space="preserve">The key components addressed by the submission </w:t>
      </w:r>
      <w:proofErr w:type="gramStart"/>
      <w:r w:rsidRPr="00EC6E05">
        <w:t xml:space="preserve">are </w:t>
      </w:r>
      <w:r w:rsidR="009D00D9">
        <w:t>shown</w:t>
      </w:r>
      <w:proofErr w:type="gramEnd"/>
      <w:r w:rsidRPr="00EC6E05">
        <w:t xml:space="preserve"> in Table 1.</w:t>
      </w:r>
    </w:p>
    <w:p w:rsidR="00B65A3B" w:rsidRPr="00EC6E05" w:rsidRDefault="00B65A3B" w:rsidP="00B65A3B">
      <w:pPr>
        <w:pStyle w:val="TableFigureHeading"/>
        <w:rPr>
          <w:rStyle w:val="CommentReference"/>
          <w:b/>
          <w:szCs w:val="24"/>
        </w:rPr>
      </w:pPr>
      <w:r w:rsidRPr="00EC6E05">
        <w:rPr>
          <w:rStyle w:val="CommentReference"/>
          <w:b/>
          <w:szCs w:val="24"/>
        </w:rPr>
        <w:t>Table 1: Key components of the clinical issue addressed by the submission</w:t>
      </w:r>
      <w:r w:rsidR="00102F02" w:rsidRPr="00EC6E05">
        <w:rPr>
          <w:rStyle w:val="CommentReference"/>
          <w:b/>
          <w:szCs w:val="24"/>
        </w:rPr>
        <w:t xml:space="preserve"> (as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0"/>
      </w:tblGrid>
      <w:tr w:rsidR="00B65A3B" w:rsidRPr="00EC6E05" w:rsidTr="00B65A3B">
        <w:trPr>
          <w:cantSplit/>
          <w:tblHeader/>
        </w:trPr>
        <w:tc>
          <w:tcPr>
            <w:tcW w:w="924" w:type="pct"/>
            <w:shd w:val="clear" w:color="auto" w:fill="auto"/>
          </w:tcPr>
          <w:p w:rsidR="00B65A3B" w:rsidRPr="00EC6E05" w:rsidRDefault="00B65A3B" w:rsidP="00B65A3B">
            <w:pPr>
              <w:pStyle w:val="In-tableHeading"/>
              <w:rPr>
                <w:szCs w:val="20"/>
                <w:lang w:val="en-AU"/>
              </w:rPr>
            </w:pPr>
            <w:r w:rsidRPr="00EC6E05">
              <w:rPr>
                <w:lang w:val="en-AU"/>
              </w:rPr>
              <w:t>Component</w:t>
            </w:r>
          </w:p>
        </w:tc>
        <w:tc>
          <w:tcPr>
            <w:tcW w:w="4076" w:type="pct"/>
            <w:shd w:val="clear" w:color="auto" w:fill="auto"/>
          </w:tcPr>
          <w:p w:rsidR="00B65A3B" w:rsidRPr="00EC6E05" w:rsidRDefault="00B65A3B" w:rsidP="00B65A3B">
            <w:pPr>
              <w:pStyle w:val="In-tableHeading"/>
              <w:rPr>
                <w:lang w:val="en-AU"/>
              </w:rPr>
            </w:pPr>
            <w:r w:rsidRPr="00EC6E05">
              <w:rPr>
                <w:lang w:val="en-AU"/>
              </w:rPr>
              <w:t>Description</w:t>
            </w:r>
          </w:p>
        </w:tc>
      </w:tr>
      <w:tr w:rsidR="00B65A3B" w:rsidRPr="00EC6E05" w:rsidTr="00B65A3B">
        <w:trPr>
          <w:cantSplit/>
        </w:trPr>
        <w:tc>
          <w:tcPr>
            <w:tcW w:w="924" w:type="pct"/>
            <w:shd w:val="clear" w:color="auto" w:fill="auto"/>
            <w:vAlign w:val="center"/>
          </w:tcPr>
          <w:p w:rsidR="00B65A3B" w:rsidRPr="00EC6E05" w:rsidRDefault="00B65A3B" w:rsidP="00B65A3B">
            <w:pPr>
              <w:pStyle w:val="TableText0"/>
            </w:pPr>
            <w:r w:rsidRPr="00EC6E05">
              <w:t>Population</w:t>
            </w:r>
          </w:p>
        </w:tc>
        <w:tc>
          <w:tcPr>
            <w:tcW w:w="4076" w:type="pct"/>
            <w:shd w:val="clear" w:color="auto" w:fill="auto"/>
          </w:tcPr>
          <w:p w:rsidR="00B65A3B" w:rsidRPr="00EC6E05" w:rsidRDefault="00B65A3B" w:rsidP="00B65A3B">
            <w:pPr>
              <w:pStyle w:val="TableText0"/>
              <w:rPr>
                <w:szCs w:val="20"/>
              </w:rPr>
            </w:pPr>
            <w:r w:rsidRPr="00EC6E05">
              <w:t>Patients with stage IV clear cell variant renal cell carcinoma classified as intermediate to poor prognostic risk according to the IMDC prognostic risk criteria</w:t>
            </w:r>
          </w:p>
        </w:tc>
      </w:tr>
      <w:tr w:rsidR="00B65A3B" w:rsidRPr="00EC6E05" w:rsidTr="00B65A3B">
        <w:trPr>
          <w:cantSplit/>
        </w:trPr>
        <w:tc>
          <w:tcPr>
            <w:tcW w:w="924" w:type="pct"/>
            <w:shd w:val="clear" w:color="auto" w:fill="auto"/>
            <w:vAlign w:val="center"/>
          </w:tcPr>
          <w:p w:rsidR="00B65A3B" w:rsidRPr="00EC6E05" w:rsidRDefault="00B65A3B" w:rsidP="00B65A3B">
            <w:pPr>
              <w:pStyle w:val="TableText0"/>
            </w:pPr>
            <w:r w:rsidRPr="00EC6E05">
              <w:t>Intervention</w:t>
            </w:r>
          </w:p>
        </w:tc>
        <w:tc>
          <w:tcPr>
            <w:tcW w:w="4076" w:type="pct"/>
            <w:shd w:val="clear" w:color="auto" w:fill="auto"/>
            <w:vAlign w:val="center"/>
          </w:tcPr>
          <w:p w:rsidR="00B65A3B" w:rsidRPr="00EC6E05" w:rsidRDefault="00B65A3B" w:rsidP="00B65A3B">
            <w:pPr>
              <w:pStyle w:val="TableText0"/>
            </w:pPr>
            <w:proofErr w:type="spellStart"/>
            <w:r w:rsidRPr="00EC6E05">
              <w:t>Avelumab</w:t>
            </w:r>
            <w:proofErr w:type="spellEnd"/>
            <w:r w:rsidRPr="00EC6E05">
              <w:t xml:space="preserve"> 800 mg IV every 2 weeks + </w:t>
            </w:r>
            <w:proofErr w:type="spellStart"/>
            <w:r w:rsidRPr="00EC6E05">
              <w:t>axitinib</w:t>
            </w:r>
            <w:proofErr w:type="spellEnd"/>
            <w:r w:rsidRPr="00EC6E05">
              <w:t xml:space="preserve"> 5 mg orally twice daily </w:t>
            </w:r>
          </w:p>
        </w:tc>
      </w:tr>
      <w:tr w:rsidR="00B65A3B" w:rsidRPr="00EC6E05" w:rsidTr="00B65A3B">
        <w:trPr>
          <w:cantSplit/>
        </w:trPr>
        <w:tc>
          <w:tcPr>
            <w:tcW w:w="924" w:type="pct"/>
            <w:shd w:val="clear" w:color="auto" w:fill="auto"/>
            <w:vAlign w:val="center"/>
          </w:tcPr>
          <w:p w:rsidR="00B65A3B" w:rsidRPr="00EC6E05" w:rsidRDefault="00B65A3B" w:rsidP="00B65A3B">
            <w:pPr>
              <w:pStyle w:val="TableText0"/>
            </w:pPr>
            <w:r w:rsidRPr="00EC6E05">
              <w:t xml:space="preserve">Comparator </w:t>
            </w:r>
            <w:r w:rsidRPr="00EC6E05">
              <w:rPr>
                <w:vertAlign w:val="superscript"/>
              </w:rPr>
              <w:t>a</w:t>
            </w:r>
          </w:p>
        </w:tc>
        <w:tc>
          <w:tcPr>
            <w:tcW w:w="4076" w:type="pct"/>
            <w:shd w:val="clear" w:color="auto" w:fill="auto"/>
            <w:vAlign w:val="center"/>
          </w:tcPr>
          <w:p w:rsidR="00B65A3B" w:rsidRPr="00EC6E05" w:rsidRDefault="00B65A3B" w:rsidP="00465978">
            <w:pPr>
              <w:pStyle w:val="TableText0"/>
            </w:pPr>
            <w:proofErr w:type="spellStart"/>
            <w:r w:rsidRPr="00EC6E05">
              <w:t>Nivolumab</w:t>
            </w:r>
            <w:proofErr w:type="spellEnd"/>
            <w:r w:rsidRPr="00EC6E05">
              <w:t xml:space="preserve"> + </w:t>
            </w:r>
            <w:proofErr w:type="spellStart"/>
            <w:r w:rsidRPr="00EC6E05">
              <w:t>ipilimumab</w:t>
            </w:r>
            <w:proofErr w:type="spellEnd"/>
            <w:r w:rsidRPr="00EC6E05">
              <w:t xml:space="preserve"> </w:t>
            </w:r>
          </w:p>
        </w:tc>
      </w:tr>
      <w:tr w:rsidR="00B65A3B" w:rsidRPr="00EC6E05" w:rsidTr="00B65A3B">
        <w:trPr>
          <w:cantSplit/>
        </w:trPr>
        <w:tc>
          <w:tcPr>
            <w:tcW w:w="924" w:type="pct"/>
            <w:shd w:val="clear" w:color="auto" w:fill="auto"/>
            <w:vAlign w:val="center"/>
          </w:tcPr>
          <w:p w:rsidR="00B65A3B" w:rsidRPr="00EC6E05" w:rsidRDefault="00B65A3B" w:rsidP="00B65A3B">
            <w:pPr>
              <w:pStyle w:val="TableText0"/>
            </w:pPr>
            <w:r w:rsidRPr="00EC6E05">
              <w:t>Outcomes</w:t>
            </w:r>
          </w:p>
        </w:tc>
        <w:tc>
          <w:tcPr>
            <w:tcW w:w="4076" w:type="pct"/>
            <w:shd w:val="clear" w:color="auto" w:fill="auto"/>
            <w:vAlign w:val="center"/>
          </w:tcPr>
          <w:p w:rsidR="00B65A3B" w:rsidRPr="00EC6E05" w:rsidRDefault="00B65A3B" w:rsidP="00B65A3B">
            <w:pPr>
              <w:pStyle w:val="TableText0"/>
              <w:rPr>
                <w:rFonts w:eastAsia="Times New Roman" w:cs="Arial"/>
                <w:bCs w:val="0"/>
                <w:snapToGrid w:val="0"/>
                <w:color w:val="0066FF"/>
                <w:szCs w:val="20"/>
              </w:rPr>
            </w:pPr>
            <w:r w:rsidRPr="00EC6E05">
              <w:t>PFS, OS and ORR</w:t>
            </w:r>
          </w:p>
        </w:tc>
      </w:tr>
      <w:tr w:rsidR="00B65A3B" w:rsidRPr="00EC6E05" w:rsidTr="00B65A3B">
        <w:trPr>
          <w:cantSplit/>
        </w:trPr>
        <w:tc>
          <w:tcPr>
            <w:tcW w:w="924" w:type="pct"/>
            <w:shd w:val="clear" w:color="auto" w:fill="auto"/>
            <w:vAlign w:val="center"/>
          </w:tcPr>
          <w:p w:rsidR="00B65A3B" w:rsidRPr="00EC6E05" w:rsidRDefault="00B65A3B" w:rsidP="00B65A3B">
            <w:pPr>
              <w:pStyle w:val="TableText0"/>
            </w:pPr>
            <w:r w:rsidRPr="00EC6E05">
              <w:t>Clinical claim</w:t>
            </w:r>
          </w:p>
        </w:tc>
        <w:tc>
          <w:tcPr>
            <w:tcW w:w="4076" w:type="pct"/>
            <w:shd w:val="clear" w:color="auto" w:fill="auto"/>
            <w:vAlign w:val="center"/>
          </w:tcPr>
          <w:p w:rsidR="00B65A3B" w:rsidRPr="00EC6E05" w:rsidRDefault="00384691" w:rsidP="00384691">
            <w:pPr>
              <w:pStyle w:val="TableText0"/>
              <w:rPr>
                <w:rFonts w:eastAsia="Times New Roman" w:cs="Arial"/>
                <w:bCs w:val="0"/>
                <w:snapToGrid w:val="0"/>
                <w:color w:val="0066FF"/>
                <w:szCs w:val="20"/>
              </w:rPr>
            </w:pPr>
            <w:proofErr w:type="spellStart"/>
            <w:r>
              <w:t>A</w:t>
            </w:r>
            <w:r w:rsidRPr="00EC6E05">
              <w:t>velumab</w:t>
            </w:r>
            <w:proofErr w:type="spellEnd"/>
            <w:r w:rsidRPr="00EC6E05">
              <w:t xml:space="preserve"> + </w:t>
            </w:r>
            <w:proofErr w:type="spellStart"/>
            <w:r w:rsidRPr="00EC6E05">
              <w:t>axitinib</w:t>
            </w:r>
            <w:proofErr w:type="spellEnd"/>
            <w:r w:rsidRPr="00EC6E05">
              <w:t xml:space="preserve"> </w:t>
            </w:r>
            <w:r>
              <w:t>has n</w:t>
            </w:r>
            <w:r w:rsidR="00B65A3B" w:rsidRPr="00EC6E05">
              <w:t xml:space="preserve">on-inferior efficacy versus </w:t>
            </w:r>
            <w:proofErr w:type="spellStart"/>
            <w:r w:rsidR="00B65A3B" w:rsidRPr="00EC6E05">
              <w:t>nivolumab</w:t>
            </w:r>
            <w:proofErr w:type="spellEnd"/>
            <w:r w:rsidR="00B65A3B" w:rsidRPr="00EC6E05">
              <w:t xml:space="preserve"> + </w:t>
            </w:r>
            <w:proofErr w:type="spellStart"/>
            <w:r w:rsidR="00B65A3B" w:rsidRPr="00EC6E05">
              <w:t>ipilimumab</w:t>
            </w:r>
            <w:proofErr w:type="spellEnd"/>
            <w:r w:rsidR="00B65A3B" w:rsidRPr="00EC6E05">
              <w:t xml:space="preserve">, with a different but non-inferior safety profile compared with </w:t>
            </w:r>
            <w:proofErr w:type="spellStart"/>
            <w:r w:rsidR="00B65A3B" w:rsidRPr="00EC6E05">
              <w:t>nivolumab</w:t>
            </w:r>
            <w:proofErr w:type="spellEnd"/>
            <w:r w:rsidR="00B65A3B" w:rsidRPr="00EC6E05">
              <w:t xml:space="preserve"> + </w:t>
            </w:r>
            <w:proofErr w:type="spellStart"/>
            <w:r w:rsidR="00B65A3B" w:rsidRPr="00EC6E05">
              <w:t>ipilimumab</w:t>
            </w:r>
            <w:proofErr w:type="spellEnd"/>
            <w:r w:rsidR="00B65A3B" w:rsidRPr="00EC6E05">
              <w:t xml:space="preserve">. </w:t>
            </w:r>
          </w:p>
        </w:tc>
      </w:tr>
    </w:tbl>
    <w:p w:rsidR="00B65A3B" w:rsidRPr="00EC6E05" w:rsidRDefault="00B65A3B" w:rsidP="00B65A3B">
      <w:pPr>
        <w:pStyle w:val="TableFigureFooter"/>
      </w:pPr>
      <w:r w:rsidRPr="00EC6E05">
        <w:t>Source: Table 1.1-2, p17 of the Submission.</w:t>
      </w:r>
    </w:p>
    <w:p w:rsidR="00B65A3B" w:rsidRPr="00EC6E05" w:rsidRDefault="00B65A3B" w:rsidP="00B65A3B">
      <w:pPr>
        <w:pStyle w:val="TableFigureFooter"/>
      </w:pPr>
      <w:r w:rsidRPr="00EC6E05">
        <w:t>Abbreviations: IMDC = International Metastatic Renal Cell Carcinoma Database Consortium; IV = intravenous; ORR = objective response rate; OS = overall survival; PFS = progression free survival</w:t>
      </w:r>
    </w:p>
    <w:p w:rsidR="00B65A3B" w:rsidRPr="00EC6E05" w:rsidRDefault="00B65A3B" w:rsidP="00B65A3B">
      <w:pPr>
        <w:pStyle w:val="TableFigureFooter"/>
        <w:rPr>
          <w:sz w:val="20"/>
        </w:rPr>
      </w:pPr>
      <w:proofErr w:type="spellStart"/>
      <w:proofErr w:type="gramStart"/>
      <w:r w:rsidRPr="00EC6E05">
        <w:rPr>
          <w:vertAlign w:val="superscript"/>
        </w:rPr>
        <w:t>a</w:t>
      </w:r>
      <w:proofErr w:type="spellEnd"/>
      <w:proofErr w:type="gramEnd"/>
      <w:r w:rsidRPr="00EC6E05">
        <w:t xml:space="preserve"> </w:t>
      </w:r>
      <w:r w:rsidR="00F771E0" w:rsidRPr="00EC6E05">
        <w:t xml:space="preserve">The submission also presented </w:t>
      </w:r>
      <w:proofErr w:type="spellStart"/>
      <w:r w:rsidR="00F771E0" w:rsidRPr="00EC6E05">
        <w:rPr>
          <w:iCs/>
        </w:rPr>
        <w:t>pembrolizumab</w:t>
      </w:r>
      <w:proofErr w:type="spellEnd"/>
      <w:r w:rsidR="00F771E0" w:rsidRPr="00EC6E05">
        <w:rPr>
          <w:iCs/>
        </w:rPr>
        <w:t> + </w:t>
      </w:r>
      <w:proofErr w:type="spellStart"/>
      <w:r w:rsidR="00F771E0" w:rsidRPr="00EC6E05">
        <w:rPr>
          <w:iCs/>
        </w:rPr>
        <w:t>axitinib</w:t>
      </w:r>
      <w:proofErr w:type="spellEnd"/>
      <w:r w:rsidR="00F771E0" w:rsidRPr="00EC6E05">
        <w:rPr>
          <w:iCs/>
        </w:rPr>
        <w:t xml:space="preserve"> as a p</w:t>
      </w:r>
      <w:r w:rsidRPr="00EC6E05">
        <w:rPr>
          <w:iCs/>
        </w:rPr>
        <w:t>otential near market comparator.</w:t>
      </w:r>
    </w:p>
    <w:p w:rsidR="00B65A3B" w:rsidRPr="00EC6E05" w:rsidRDefault="00B65A3B" w:rsidP="00B65A3B">
      <w:pPr>
        <w:pStyle w:val="2-SectionHeading"/>
        <w:numPr>
          <w:ilvl w:val="0"/>
          <w:numId w:val="1"/>
        </w:numPr>
      </w:pPr>
      <w:bookmarkStart w:id="12" w:name="_Toc30600748"/>
      <w:r w:rsidRPr="00EC6E05">
        <w:lastRenderedPageBreak/>
        <w:t>Background</w:t>
      </w:r>
      <w:bookmarkEnd w:id="12"/>
    </w:p>
    <w:p w:rsidR="00B65A3B" w:rsidRPr="00EC6E05" w:rsidRDefault="00B65A3B" w:rsidP="00AB780E">
      <w:pPr>
        <w:pStyle w:val="4-SubsectionHeading"/>
      </w:pPr>
      <w:bookmarkStart w:id="13" w:name="_Toc22897638"/>
      <w:bookmarkStart w:id="14" w:name="_Toc30600749"/>
      <w:r w:rsidRPr="00EC6E05">
        <w:t>Registration status</w:t>
      </w:r>
      <w:bookmarkEnd w:id="13"/>
      <w:bookmarkEnd w:id="14"/>
    </w:p>
    <w:p w:rsidR="009D00D9" w:rsidRDefault="00205C7B" w:rsidP="00D2042F">
      <w:pPr>
        <w:pStyle w:val="3-BodyText"/>
      </w:pPr>
      <w:r w:rsidRPr="000B41A0">
        <w:rPr>
          <w:rFonts w:ascii="Calibri" w:eastAsia="Calibri" w:hAnsi="Calibri"/>
          <w:b/>
          <w:szCs w:val="22"/>
        </w:rPr>
        <w:t>TGA status</w:t>
      </w:r>
      <w:r w:rsidRPr="000B41A0">
        <w:rPr>
          <w:rFonts w:ascii="Calibri" w:eastAsia="Calibri" w:hAnsi="Calibri"/>
          <w:szCs w:val="22"/>
        </w:rPr>
        <w:t xml:space="preserve">: </w:t>
      </w:r>
      <w:r w:rsidR="00AB780E" w:rsidRPr="000B41A0">
        <w:t>The</w:t>
      </w:r>
      <w:r w:rsidR="00AB780E" w:rsidRPr="00EC6E05">
        <w:t xml:space="preserve"> submission </w:t>
      </w:r>
      <w:proofErr w:type="gramStart"/>
      <w:r w:rsidR="00AB780E" w:rsidRPr="00EC6E05">
        <w:t>was made</w:t>
      </w:r>
      <w:proofErr w:type="gramEnd"/>
      <w:r w:rsidR="00AB780E" w:rsidRPr="00EC6E05">
        <w:t xml:space="preserve"> under the TGA/PBAC Parallel Process. </w:t>
      </w:r>
      <w:r w:rsidR="00891BC0" w:rsidRPr="00891BC0">
        <w:t xml:space="preserve">At the time of evaluation of the submission, the TGA Clinical Evaluation Report was available. </w:t>
      </w:r>
      <w:r w:rsidR="00AB780E" w:rsidRPr="00EC6E05">
        <w:t xml:space="preserve">At the time of </w:t>
      </w:r>
      <w:r w:rsidR="000B41A0">
        <w:t>PBAC consideration</w:t>
      </w:r>
      <w:r w:rsidR="00AB780E" w:rsidRPr="00EC6E05">
        <w:t xml:space="preserve">, the TGA </w:t>
      </w:r>
      <w:r w:rsidR="000B41A0">
        <w:t>Delegate’s Overview</w:t>
      </w:r>
      <w:r w:rsidR="00AB780E" w:rsidRPr="00EC6E05">
        <w:t xml:space="preserve"> was available. </w:t>
      </w:r>
    </w:p>
    <w:p w:rsidR="00384691" w:rsidRDefault="00AB780E" w:rsidP="00D2042F">
      <w:pPr>
        <w:pStyle w:val="3-BodyText"/>
      </w:pPr>
      <w:r w:rsidRPr="00EC6E05">
        <w:t>The requested</w:t>
      </w:r>
      <w:r w:rsidR="009D00D9">
        <w:t xml:space="preserve"> TGA</w:t>
      </w:r>
      <w:r w:rsidRPr="00EC6E05">
        <w:t xml:space="preserve"> indication </w:t>
      </w:r>
      <w:proofErr w:type="gramStart"/>
      <w:r w:rsidRPr="00EC6E05">
        <w:t>was:</w:t>
      </w:r>
      <w:proofErr w:type="gramEnd"/>
      <w:r w:rsidRPr="00EC6E05">
        <w:t xml:space="preserve"> ‘</w:t>
      </w:r>
      <w:proofErr w:type="spellStart"/>
      <w:r w:rsidRPr="00EC6E05">
        <w:t>Avelumab</w:t>
      </w:r>
      <w:proofErr w:type="spellEnd"/>
      <w:r w:rsidRPr="00EC6E05">
        <w:t xml:space="preserve"> in combination with </w:t>
      </w:r>
      <w:proofErr w:type="spellStart"/>
      <w:r w:rsidRPr="00EC6E05">
        <w:t>axitinib</w:t>
      </w:r>
      <w:proofErr w:type="spellEnd"/>
      <w:r w:rsidRPr="00EC6E05">
        <w:t xml:space="preserve"> is indicated for the treatment of patients with advanced RCC’. </w:t>
      </w:r>
      <w:r w:rsidR="00891BC0">
        <w:t>The Delegate</w:t>
      </w:r>
      <w:r w:rsidR="00D2042F">
        <w:t xml:space="preserve">  </w:t>
      </w:r>
      <w:r w:rsidR="00891BC0" w:rsidRPr="00891BC0">
        <w:t xml:space="preserve">recommended that the proposed indication be approved, providing the indication is </w:t>
      </w:r>
      <w:r w:rsidR="00D2042F">
        <w:t>amended to be used in patients ‘</w:t>
      </w:r>
      <w:r w:rsidR="00891BC0" w:rsidRPr="00891BC0">
        <w:t>in the first-line setting</w:t>
      </w:r>
      <w:r w:rsidR="00D2042F">
        <w:t>’ (</w:t>
      </w:r>
      <w:r w:rsidR="00D2042F" w:rsidRPr="00D2042F">
        <w:t xml:space="preserve">and subject to the concerns identified regarding product information documents for </w:t>
      </w:r>
      <w:proofErr w:type="spellStart"/>
      <w:r w:rsidR="00D2042F" w:rsidRPr="00D2042F">
        <w:t>avelumab</w:t>
      </w:r>
      <w:proofErr w:type="spellEnd"/>
      <w:r w:rsidR="00D2042F" w:rsidRPr="00D2042F">
        <w:t xml:space="preserve"> being addressed satisfactorily and completion of recommendations of the R</w:t>
      </w:r>
      <w:r w:rsidR="00D2042F">
        <w:t xml:space="preserve">isk </w:t>
      </w:r>
      <w:r w:rsidR="00D2042F" w:rsidRPr="00D2042F">
        <w:t>M</w:t>
      </w:r>
      <w:r w:rsidR="00D2042F">
        <w:t xml:space="preserve">anagement </w:t>
      </w:r>
      <w:r w:rsidR="00D2042F" w:rsidRPr="00D2042F">
        <w:t>P</w:t>
      </w:r>
      <w:r w:rsidR="00D2042F">
        <w:t>lan</w:t>
      </w:r>
      <w:r w:rsidR="00D2042F" w:rsidRPr="00D2042F">
        <w:t xml:space="preserve"> report</w:t>
      </w:r>
      <w:r w:rsidR="00D2042F">
        <w:t>).</w:t>
      </w:r>
    </w:p>
    <w:p w:rsidR="008D2128" w:rsidRDefault="008D2128" w:rsidP="00D2042F">
      <w:pPr>
        <w:pStyle w:val="3-BodyText"/>
      </w:pPr>
      <w:r w:rsidRPr="008D2128">
        <w:t>The Delegate</w:t>
      </w:r>
      <w:r w:rsidR="00190EBF">
        <w:t>’s Overview raised the following issues:</w:t>
      </w:r>
    </w:p>
    <w:p w:rsidR="00190EBF" w:rsidRDefault="008278FF" w:rsidP="0016200A">
      <w:pPr>
        <w:pStyle w:val="3-BodyText"/>
        <w:numPr>
          <w:ilvl w:val="0"/>
          <w:numId w:val="25"/>
        </w:numPr>
        <w:spacing w:after="0"/>
        <w:ind w:left="1077" w:hanging="357"/>
      </w:pPr>
      <w:r>
        <w:t xml:space="preserve">The </w:t>
      </w:r>
      <w:r w:rsidR="00190EBF">
        <w:t>‘</w:t>
      </w:r>
      <w:r w:rsidR="00190EBF" w:rsidRPr="00190EBF">
        <w:t>failure to demonstrate a statistically significant improvement in overall survival</w:t>
      </w:r>
      <w:r w:rsidR="00FD46E0">
        <w:t xml:space="preserve"> (versus </w:t>
      </w:r>
      <w:proofErr w:type="spellStart"/>
      <w:r w:rsidR="00FD46E0">
        <w:t>sunitinib</w:t>
      </w:r>
      <w:proofErr w:type="spellEnd"/>
      <w:r w:rsidR="00FD46E0">
        <w:t>)</w:t>
      </w:r>
      <w:r w:rsidR="00190EBF" w:rsidRPr="00190EBF">
        <w:t xml:space="preserve"> at present may be of some concern</w:t>
      </w:r>
      <w:r w:rsidR="00190EBF">
        <w:t>’</w:t>
      </w:r>
      <w:r w:rsidR="00FD46E0">
        <w:t xml:space="preserve"> </w:t>
      </w:r>
      <w:r>
        <w:t xml:space="preserve">; </w:t>
      </w:r>
    </w:p>
    <w:p w:rsidR="00190EBF" w:rsidRDefault="00190EBF" w:rsidP="0016200A">
      <w:pPr>
        <w:pStyle w:val="3-BodyText"/>
        <w:numPr>
          <w:ilvl w:val="0"/>
          <w:numId w:val="25"/>
        </w:numPr>
        <w:spacing w:after="0"/>
        <w:ind w:left="1077" w:hanging="357"/>
      </w:pPr>
      <w:r>
        <w:t>‘</w:t>
      </w:r>
      <w:r w:rsidRPr="00190EBF">
        <w:t xml:space="preserve">Patient reported outcomes suggests a poorer quality of life for the patients receiving </w:t>
      </w:r>
      <w:r w:rsidR="008278FF">
        <w:t>AVE + AXI</w:t>
      </w:r>
      <w:r w:rsidR="00FD46E0">
        <w:t xml:space="preserve"> (versus </w:t>
      </w:r>
      <w:proofErr w:type="spellStart"/>
      <w:r w:rsidR="00FD46E0">
        <w:t>sunitinib</w:t>
      </w:r>
      <w:proofErr w:type="spellEnd"/>
      <w:r w:rsidR="00FD46E0">
        <w:t>)</w:t>
      </w:r>
      <w:r w:rsidRPr="00190EBF">
        <w:t xml:space="preserve">, despite improved disease control rates, with higher discontinuation rates due to </w:t>
      </w:r>
      <w:r w:rsidR="008278FF">
        <w:t>adverse events</w:t>
      </w:r>
      <w:r w:rsidRPr="00190EBF">
        <w:t xml:space="preserve"> in this group</w:t>
      </w:r>
      <w:r>
        <w:t>’</w:t>
      </w:r>
      <w:r w:rsidR="008278FF">
        <w:t xml:space="preserve"> ;</w:t>
      </w:r>
    </w:p>
    <w:p w:rsidR="00190EBF" w:rsidRDefault="00D859C1" w:rsidP="0016200A">
      <w:pPr>
        <w:pStyle w:val="3-BodyText"/>
        <w:numPr>
          <w:ilvl w:val="0"/>
          <w:numId w:val="25"/>
        </w:numPr>
        <w:spacing w:after="0"/>
        <w:ind w:left="1077" w:hanging="357"/>
      </w:pPr>
      <w:r w:rsidRPr="00D859C1">
        <w:t xml:space="preserve">Serious </w:t>
      </w:r>
      <w:r w:rsidR="008278FF">
        <w:t>adverse events</w:t>
      </w:r>
      <w:r w:rsidRPr="00D859C1">
        <w:t xml:space="preserve"> were more common in the </w:t>
      </w:r>
      <w:r w:rsidR="008278FF">
        <w:t>AVE + AXI</w:t>
      </w:r>
      <w:r w:rsidRPr="00D859C1">
        <w:t xml:space="preserve"> arm </w:t>
      </w:r>
      <w:r w:rsidR="00FD46E0">
        <w:t xml:space="preserve">(than the </w:t>
      </w:r>
      <w:proofErr w:type="spellStart"/>
      <w:r w:rsidR="00FD46E0">
        <w:t>sunitinib</w:t>
      </w:r>
      <w:proofErr w:type="spellEnd"/>
      <w:r w:rsidR="00FD46E0">
        <w:t xml:space="preserve"> arm) </w:t>
      </w:r>
      <w:r w:rsidRPr="00D859C1">
        <w:t>with an increased risk of cardiac events, gastrointestinal toxicity, hepatotoxicity and infusion-related reactions</w:t>
      </w:r>
      <w:r>
        <w:t xml:space="preserve"> </w:t>
      </w:r>
      <w:r w:rsidR="008278FF">
        <w:t>;</w:t>
      </w:r>
    </w:p>
    <w:p w:rsidR="00190EBF" w:rsidRDefault="008278FF" w:rsidP="00FD7258">
      <w:pPr>
        <w:pStyle w:val="3-BodyText"/>
        <w:numPr>
          <w:ilvl w:val="0"/>
          <w:numId w:val="25"/>
        </w:numPr>
      </w:pPr>
      <w:r>
        <w:t>‘</w:t>
      </w:r>
      <w:proofErr w:type="gramStart"/>
      <w:r w:rsidR="00190EBF">
        <w:t>the</w:t>
      </w:r>
      <w:proofErr w:type="gramEnd"/>
      <w:r w:rsidR="00190EBF">
        <w:t xml:space="preserve"> current recommended standard first line treatment for this patient population is </w:t>
      </w:r>
      <w:proofErr w:type="spellStart"/>
      <w:r w:rsidR="00190EBF">
        <w:t>pembrolizumab</w:t>
      </w:r>
      <w:proofErr w:type="spellEnd"/>
      <w:r w:rsidR="00190EBF">
        <w:t xml:space="preserve"> plus </w:t>
      </w:r>
      <w:proofErr w:type="spellStart"/>
      <w:r w:rsidR="00190EBF">
        <w:t>axitinib</w:t>
      </w:r>
      <w:proofErr w:type="spellEnd"/>
      <w:r w:rsidR="00190EBF">
        <w:t xml:space="preserve"> (or, alternatively</w:t>
      </w:r>
      <w:r>
        <w:t xml:space="preserve"> NIVO + IPI</w:t>
      </w:r>
      <w:r w:rsidR="00190EBF">
        <w:t xml:space="preserve"> in patients with intermediate or poor risk disease). This change in algorithm raises uncertainty of the role of first line </w:t>
      </w:r>
      <w:r>
        <w:t>AVE + AXI</w:t>
      </w:r>
      <w:r w:rsidR="00190EBF">
        <w:t xml:space="preserve"> in view of the new standard of care; longer follow up for mature overall survival data will be informative</w:t>
      </w:r>
      <w:r>
        <w:t>’ .</w:t>
      </w:r>
    </w:p>
    <w:p w:rsidR="00FB1A0E" w:rsidRPr="00EC6E05" w:rsidRDefault="00AB780E" w:rsidP="00190EBF">
      <w:pPr>
        <w:pStyle w:val="3-BodyText"/>
      </w:pPr>
      <w:proofErr w:type="spellStart"/>
      <w:r w:rsidRPr="00EC6E05">
        <w:t>Avelumab</w:t>
      </w:r>
      <w:proofErr w:type="spellEnd"/>
      <w:r w:rsidRPr="00EC6E05">
        <w:t xml:space="preserve"> is currently TGA registered for </w:t>
      </w:r>
      <w:r w:rsidR="0015177B" w:rsidRPr="00EC6E05">
        <w:t xml:space="preserve">the </w:t>
      </w:r>
      <w:r w:rsidRPr="00EC6E05">
        <w:t>treatment of adults and paediatric patients 12 years and older with metastatic Merkel Cell Carcinoma.</w:t>
      </w:r>
    </w:p>
    <w:p w:rsidR="00B65A3B" w:rsidRPr="00EC6E05" w:rsidRDefault="006826A7" w:rsidP="00BF2EA7">
      <w:pPr>
        <w:pStyle w:val="3-BodyText"/>
      </w:pPr>
      <w:proofErr w:type="spellStart"/>
      <w:r w:rsidRPr="00EC6E05">
        <w:t>Axitinib</w:t>
      </w:r>
      <w:proofErr w:type="spellEnd"/>
      <w:r w:rsidRPr="00EC6E05">
        <w:t xml:space="preserve">, which </w:t>
      </w:r>
      <w:proofErr w:type="gramStart"/>
      <w:r w:rsidRPr="00EC6E05">
        <w:t>is sponsored</w:t>
      </w:r>
      <w:proofErr w:type="gramEnd"/>
      <w:r w:rsidRPr="00EC6E05">
        <w:t xml:space="preserve"> by Pfizer, </w:t>
      </w:r>
      <w:r w:rsidR="007E52B0" w:rsidRPr="00EC6E05">
        <w:t xml:space="preserve">is </w:t>
      </w:r>
      <w:r w:rsidR="00B65A3B" w:rsidRPr="00EC6E05">
        <w:t xml:space="preserve">TGA registered for the treatment of advanced RCC after failure of one prior systemic therapy. </w:t>
      </w:r>
      <w:r w:rsidRPr="00EC6E05">
        <w:t xml:space="preserve">There is no TGA application for </w:t>
      </w:r>
      <w:proofErr w:type="spellStart"/>
      <w:r w:rsidRPr="00EC6E05">
        <w:t>axitinib</w:t>
      </w:r>
      <w:proofErr w:type="spellEnd"/>
      <w:r w:rsidRPr="00EC6E05">
        <w:t xml:space="preserve"> in </w:t>
      </w:r>
      <w:r w:rsidR="00467E0B" w:rsidRPr="00EC6E05">
        <w:t>the first-line setting</w:t>
      </w:r>
      <w:r w:rsidR="007E52B0" w:rsidRPr="00EC6E05">
        <w:t>, the indication sought for AVE + AXI</w:t>
      </w:r>
      <w:r w:rsidR="00B65A3B" w:rsidRPr="00EC6E05">
        <w:t xml:space="preserve">. </w:t>
      </w:r>
      <w:r w:rsidR="00467E0B" w:rsidRPr="00EC6E05">
        <w:t>T</w:t>
      </w:r>
      <w:r w:rsidR="007E52B0" w:rsidRPr="00EC6E05">
        <w:t>he submission</w:t>
      </w:r>
      <w:r w:rsidR="00304979" w:rsidRPr="00EC6E05">
        <w:t xml:space="preserve"> </w:t>
      </w:r>
      <w:r w:rsidR="00B65A3B" w:rsidRPr="00EC6E05">
        <w:t xml:space="preserve">for AVE + AXI </w:t>
      </w:r>
      <w:r w:rsidR="007E52B0" w:rsidRPr="00EC6E05">
        <w:t>relies</w:t>
      </w:r>
      <w:r w:rsidR="00B65A3B" w:rsidRPr="00EC6E05">
        <w:t xml:space="preserve"> solely on the TGA indication and Product Information</w:t>
      </w:r>
      <w:r w:rsidR="006F3F74" w:rsidRPr="00EC6E05">
        <w:t xml:space="preserve"> (PI)</w:t>
      </w:r>
      <w:r w:rsidR="00B65A3B" w:rsidRPr="00EC6E05">
        <w:t xml:space="preserve"> for </w:t>
      </w:r>
      <w:proofErr w:type="spellStart"/>
      <w:r w:rsidR="00B65A3B" w:rsidRPr="00EC6E05">
        <w:t>avelumab</w:t>
      </w:r>
      <w:proofErr w:type="spellEnd"/>
      <w:r w:rsidR="00B65A3B" w:rsidRPr="00EC6E05">
        <w:t xml:space="preserve">, which includes the </w:t>
      </w:r>
      <w:proofErr w:type="spellStart"/>
      <w:r w:rsidR="00B65A3B" w:rsidRPr="00EC6E05">
        <w:t>axitinib</w:t>
      </w:r>
      <w:proofErr w:type="spellEnd"/>
      <w:r w:rsidR="00B65A3B" w:rsidRPr="00EC6E05">
        <w:t xml:space="preserve"> data in this setting.</w:t>
      </w:r>
    </w:p>
    <w:p w:rsidR="008F055B" w:rsidRPr="00EC6E05" w:rsidRDefault="008F055B" w:rsidP="00BF2EA7">
      <w:pPr>
        <w:pStyle w:val="3-BodyText"/>
      </w:pPr>
      <w:r w:rsidRPr="00EC6E05">
        <w:t>The evaluation raised t</w:t>
      </w:r>
      <w:r w:rsidR="00B65A3B" w:rsidRPr="00EC6E05">
        <w:t xml:space="preserve">wo </w:t>
      </w:r>
      <w:r w:rsidRPr="00EC6E05">
        <w:t>issues</w:t>
      </w:r>
      <w:r w:rsidR="001C747C" w:rsidRPr="00EC6E05">
        <w:t xml:space="preserve"> </w:t>
      </w:r>
      <w:r w:rsidR="008416D7" w:rsidRPr="00EC6E05">
        <w:t xml:space="preserve">regarding the </w:t>
      </w:r>
      <w:r w:rsidR="008D7B2A" w:rsidRPr="00EC6E05">
        <w:t>PI</w:t>
      </w:r>
      <w:r w:rsidR="006F3F74" w:rsidRPr="00EC6E05">
        <w:t>s</w:t>
      </w:r>
      <w:r w:rsidR="008416D7" w:rsidRPr="00EC6E05">
        <w:t xml:space="preserve"> for </w:t>
      </w:r>
      <w:proofErr w:type="spellStart"/>
      <w:r w:rsidR="008416D7" w:rsidRPr="00EC6E05">
        <w:t>avelumab</w:t>
      </w:r>
      <w:proofErr w:type="spellEnd"/>
      <w:r w:rsidR="008416D7" w:rsidRPr="00EC6E05">
        <w:t xml:space="preserve"> and </w:t>
      </w:r>
      <w:proofErr w:type="spellStart"/>
      <w:r w:rsidR="008416D7" w:rsidRPr="00EC6E05">
        <w:t>axitinib</w:t>
      </w:r>
      <w:proofErr w:type="spellEnd"/>
      <w:r w:rsidR="008416D7" w:rsidRPr="00EC6E05">
        <w:t>. Firstly</w:t>
      </w:r>
      <w:r w:rsidR="00CC4A87" w:rsidRPr="00EC6E05">
        <w:t>,</w:t>
      </w:r>
      <w:r w:rsidR="008416D7" w:rsidRPr="00EC6E05">
        <w:t xml:space="preserve"> </w:t>
      </w:r>
      <w:r w:rsidR="00B65A3B" w:rsidRPr="00EC6E05">
        <w:t xml:space="preserve">the clinical information for </w:t>
      </w:r>
      <w:r w:rsidR="008278FF">
        <w:t>AVE + AXI</w:t>
      </w:r>
      <w:r w:rsidR="00B65A3B" w:rsidRPr="00EC6E05">
        <w:t xml:space="preserve"> </w:t>
      </w:r>
      <w:proofErr w:type="gramStart"/>
      <w:r w:rsidR="00B65A3B" w:rsidRPr="00EC6E05">
        <w:t>would not be reflected</w:t>
      </w:r>
      <w:proofErr w:type="gramEnd"/>
      <w:r w:rsidR="00B65A3B" w:rsidRPr="00EC6E05">
        <w:t xml:space="preserve"> in the </w:t>
      </w:r>
      <w:proofErr w:type="spellStart"/>
      <w:r w:rsidR="00B65A3B" w:rsidRPr="00EC6E05">
        <w:t>axitinib</w:t>
      </w:r>
      <w:proofErr w:type="spellEnd"/>
      <w:r w:rsidR="00B65A3B" w:rsidRPr="00EC6E05">
        <w:t xml:space="preserve"> PI, which could </w:t>
      </w:r>
      <w:r w:rsidR="00B65A3B" w:rsidRPr="00B42AF8">
        <w:t>increase safety</w:t>
      </w:r>
      <w:r w:rsidR="00F85C7D" w:rsidRPr="00B42AF8">
        <w:t xml:space="preserve"> risks</w:t>
      </w:r>
      <w:r w:rsidR="00B65A3B" w:rsidRPr="00B42AF8">
        <w:t xml:space="preserve"> for patients and clinicians. This concern </w:t>
      </w:r>
      <w:proofErr w:type="gramStart"/>
      <w:r w:rsidR="00B65A3B" w:rsidRPr="00B42AF8">
        <w:t>was also raised</w:t>
      </w:r>
      <w:proofErr w:type="gramEnd"/>
      <w:r w:rsidR="00B65A3B" w:rsidRPr="00B42AF8">
        <w:t xml:space="preserve"> in the</w:t>
      </w:r>
      <w:r w:rsidR="00D05AF0">
        <w:t xml:space="preserve"> TGA Clinical Evaluation Report</w:t>
      </w:r>
      <w:r w:rsidR="00B65A3B" w:rsidRPr="00B42AF8">
        <w:t>.</w:t>
      </w:r>
      <w:r w:rsidR="00B65A3B" w:rsidRPr="00EC6E05">
        <w:t xml:space="preserve"> Secondly, the dose escalation/reduction recommendations for </w:t>
      </w:r>
      <w:proofErr w:type="spellStart"/>
      <w:r w:rsidR="00B65A3B" w:rsidRPr="00EC6E05">
        <w:t>axitinib</w:t>
      </w:r>
      <w:proofErr w:type="spellEnd"/>
      <w:r w:rsidR="00B65A3B" w:rsidRPr="00EC6E05">
        <w:t xml:space="preserve"> </w:t>
      </w:r>
      <w:proofErr w:type="gramStart"/>
      <w:r w:rsidR="00B65A3B" w:rsidRPr="00EC6E05">
        <w:t>were not reflected</w:t>
      </w:r>
      <w:proofErr w:type="gramEnd"/>
      <w:r w:rsidR="00B65A3B" w:rsidRPr="00EC6E05">
        <w:t xml:space="preserve"> in the proposed draft </w:t>
      </w:r>
      <w:proofErr w:type="spellStart"/>
      <w:r w:rsidR="00B65A3B" w:rsidRPr="00EC6E05">
        <w:t>avelumab</w:t>
      </w:r>
      <w:proofErr w:type="spellEnd"/>
      <w:r w:rsidR="00B65A3B" w:rsidRPr="00EC6E05">
        <w:t xml:space="preserve"> PI. The dose escalations/reduction recommendations </w:t>
      </w:r>
      <w:proofErr w:type="gramStart"/>
      <w:r w:rsidR="00B65A3B" w:rsidRPr="00EC6E05">
        <w:t>are based</w:t>
      </w:r>
      <w:proofErr w:type="gramEnd"/>
      <w:r w:rsidR="00B65A3B" w:rsidRPr="00EC6E05">
        <w:t xml:space="preserve"> on individual tolerability, and are consistent </w:t>
      </w:r>
      <w:r w:rsidR="00C552EE" w:rsidRPr="00EC6E05">
        <w:t xml:space="preserve">between </w:t>
      </w:r>
      <w:r w:rsidR="00B65A3B" w:rsidRPr="00EC6E05">
        <w:t xml:space="preserve">the </w:t>
      </w:r>
      <w:r w:rsidR="00C461AF" w:rsidRPr="00EC6E05">
        <w:t xml:space="preserve">currently published </w:t>
      </w:r>
      <w:proofErr w:type="spellStart"/>
      <w:r w:rsidR="00B65A3B" w:rsidRPr="00EC6E05">
        <w:t>axitinib</w:t>
      </w:r>
      <w:proofErr w:type="spellEnd"/>
      <w:r w:rsidR="00B65A3B" w:rsidRPr="00EC6E05">
        <w:t xml:space="preserve"> PI and the clinical trial </w:t>
      </w:r>
      <w:r w:rsidR="00B65A3B" w:rsidRPr="00EC6E05">
        <w:lastRenderedPageBreak/>
        <w:t>from which the submission drew its key evidence</w:t>
      </w:r>
      <w:r w:rsidR="00C552EE" w:rsidRPr="00EC6E05">
        <w:t xml:space="preserve"> (</w:t>
      </w:r>
      <w:r w:rsidR="00B65A3B" w:rsidRPr="00EC6E05">
        <w:t>JAVELIN Renal 101, hereafter referred to as JAVELIN)</w:t>
      </w:r>
      <w:r w:rsidR="00304979" w:rsidRPr="00EC6E05">
        <w:rPr>
          <w:iCs/>
        </w:rPr>
        <w:t>.</w:t>
      </w:r>
    </w:p>
    <w:p w:rsidR="00B65A3B" w:rsidRPr="00EC6E05" w:rsidRDefault="0095339A" w:rsidP="00BF2EA7">
      <w:pPr>
        <w:pStyle w:val="3-BodyText"/>
      </w:pPr>
      <w:r w:rsidRPr="00EC6E05">
        <w:t xml:space="preserve">The </w:t>
      </w:r>
      <w:proofErr w:type="gramStart"/>
      <w:r w:rsidRPr="00EC6E05">
        <w:t xml:space="preserve">PSCR  </w:t>
      </w:r>
      <w:r w:rsidR="008F055B" w:rsidRPr="00EC6E05">
        <w:t>stated</w:t>
      </w:r>
      <w:proofErr w:type="gramEnd"/>
      <w:r w:rsidRPr="00EC6E05">
        <w:t xml:space="preserve"> that the </w:t>
      </w:r>
      <w:r w:rsidR="008F055B" w:rsidRPr="00EC6E05">
        <w:t xml:space="preserve">draft PI for </w:t>
      </w:r>
      <w:proofErr w:type="spellStart"/>
      <w:r w:rsidR="008F055B" w:rsidRPr="00EC6E05">
        <w:t>avelumab</w:t>
      </w:r>
      <w:proofErr w:type="spellEnd"/>
      <w:r w:rsidR="008F055B" w:rsidRPr="00EC6E05">
        <w:t xml:space="preserve"> includes </w:t>
      </w:r>
      <w:proofErr w:type="spellStart"/>
      <w:r w:rsidR="008F055B" w:rsidRPr="00EC6E05">
        <w:t>axitinib</w:t>
      </w:r>
      <w:proofErr w:type="spellEnd"/>
      <w:r w:rsidR="008F055B" w:rsidRPr="00EC6E05">
        <w:t xml:space="preserve"> data in this setting.</w:t>
      </w:r>
      <w:r w:rsidRPr="00EC6E05">
        <w:t xml:space="preserve"> </w:t>
      </w:r>
      <w:r w:rsidR="00A911B8" w:rsidRPr="00EC6E05">
        <w:t xml:space="preserve">However, the ESC considered that the </w:t>
      </w:r>
      <w:r w:rsidR="00AA73F7" w:rsidRPr="00EC6E05">
        <w:t xml:space="preserve">lack of relevant dosing and clinical information in the </w:t>
      </w:r>
      <w:proofErr w:type="spellStart"/>
      <w:r w:rsidR="00AA73F7" w:rsidRPr="00EC6E05">
        <w:t>axitinib</w:t>
      </w:r>
      <w:proofErr w:type="spellEnd"/>
      <w:r w:rsidR="00AA73F7" w:rsidRPr="00EC6E05">
        <w:t xml:space="preserve"> PI raised quality use of medicines issues.</w:t>
      </w:r>
    </w:p>
    <w:p w:rsidR="008D7B30" w:rsidRPr="00EC6E05" w:rsidRDefault="008D7B30" w:rsidP="00484B6B">
      <w:pPr>
        <w:pStyle w:val="3-BodyText"/>
        <w:numPr>
          <w:ilvl w:val="0"/>
          <w:numId w:val="0"/>
        </w:numPr>
        <w:ind w:firstLine="720"/>
        <w:rPr>
          <w:i/>
        </w:rPr>
      </w:pPr>
      <w:r w:rsidRPr="00EC6E05">
        <w:rPr>
          <w:i/>
        </w:rPr>
        <w:t>For more detail on PBAC’s view, see section 7 PBAC outcome.</w:t>
      </w:r>
    </w:p>
    <w:p w:rsidR="00B65A3B" w:rsidRPr="00EC6E05" w:rsidRDefault="00B65A3B" w:rsidP="00B65A3B">
      <w:pPr>
        <w:pStyle w:val="2-SectionHeading"/>
        <w:numPr>
          <w:ilvl w:val="0"/>
          <w:numId w:val="1"/>
        </w:numPr>
      </w:pPr>
      <w:bookmarkStart w:id="15" w:name="_Toc30600750"/>
      <w:r w:rsidRPr="00EC6E05">
        <w:t>Requested listing</w:t>
      </w:r>
      <w:bookmarkEnd w:id="15"/>
    </w:p>
    <w:p w:rsidR="00B65A3B" w:rsidRPr="00EC6E05" w:rsidRDefault="00B65A3B" w:rsidP="00BF2EA7">
      <w:pPr>
        <w:pStyle w:val="3-BodyText"/>
      </w:pPr>
      <w:r w:rsidRPr="00EC6E05">
        <w:t xml:space="preserve">The target population for the submission is patients with stage IV clear cell variant RCC who are treatment-naïve and have a WHO performance status of two or less. The submission </w:t>
      </w:r>
      <w:r w:rsidR="00AA73F7" w:rsidRPr="00EC6E05">
        <w:t xml:space="preserve">formally </w:t>
      </w:r>
      <w:r w:rsidRPr="00EC6E05">
        <w:t>requested listing for patients meeting intermediate or poor IMDC prognostic risk, however, requested that the PBAC</w:t>
      </w:r>
      <w:r w:rsidR="00BD1539">
        <w:t xml:space="preserve"> also</w:t>
      </w:r>
      <w:r w:rsidRPr="00EC6E05">
        <w:t xml:space="preserve"> consider a listing agnostic to prognostic risk classification.</w:t>
      </w:r>
    </w:p>
    <w:p w:rsidR="00B65A3B" w:rsidRPr="00EC6E05" w:rsidRDefault="00FD7258" w:rsidP="00FD7258">
      <w:pPr>
        <w:pStyle w:val="3-BodyText"/>
      </w:pPr>
      <w:r>
        <w:t xml:space="preserve">The restrictions requested in the submission </w:t>
      </w:r>
      <w:proofErr w:type="gramStart"/>
      <w:r>
        <w:t>are presented</w:t>
      </w:r>
      <w:proofErr w:type="gramEnd"/>
      <w:r>
        <w:t xml:space="preserve"> below. </w:t>
      </w:r>
      <w:r w:rsidRPr="00FD7258">
        <w:t xml:space="preserve">Suggestions and additions proposed by the Secretariat </w:t>
      </w:r>
      <w:proofErr w:type="gramStart"/>
      <w:r w:rsidRPr="00FD7258">
        <w:t>are added</w:t>
      </w:r>
      <w:proofErr w:type="gramEnd"/>
      <w:r w:rsidRPr="00FD7258">
        <w:t xml:space="preserve"> in italics and suggested deletions are crossed out with strikethrough</w:t>
      </w:r>
      <w:r>
        <w:t xml:space="preserve">. </w:t>
      </w:r>
      <w:r w:rsidR="00B65A3B" w:rsidRPr="00EC6E05">
        <w:t xml:space="preserve">The submission </w:t>
      </w:r>
      <w:r w:rsidR="00BD1539">
        <w:t>requested listing in</w:t>
      </w:r>
      <w:r w:rsidR="00B65A3B" w:rsidRPr="00EC6E05">
        <w:t xml:space="preserve"> grandfathered </w:t>
      </w:r>
      <w:proofErr w:type="gramStart"/>
      <w:r w:rsidR="00B65A3B" w:rsidRPr="00EC6E05">
        <w:t>patients</w:t>
      </w:r>
      <w:r>
        <w:t>,</w:t>
      </w:r>
      <w:proofErr w:type="gramEnd"/>
      <w:r>
        <w:t xml:space="preserve"> however t</w:t>
      </w:r>
      <w:r w:rsidR="00B65A3B" w:rsidRPr="00EC6E05">
        <w:t xml:space="preserve">he </w:t>
      </w:r>
      <w:r>
        <w:t>requeste</w:t>
      </w:r>
      <w:r w:rsidR="00B65A3B" w:rsidRPr="00EC6E05">
        <w:t xml:space="preserve">d </w:t>
      </w:r>
      <w:r w:rsidR="00BD1539">
        <w:t xml:space="preserve">grandfathered </w:t>
      </w:r>
      <w:r w:rsidR="00B65A3B" w:rsidRPr="00EC6E05">
        <w:t xml:space="preserve">restrictions </w:t>
      </w:r>
      <w:r w:rsidR="00BD1539">
        <w:t>are not included below</w:t>
      </w:r>
      <w:r w:rsidR="00B65A3B" w:rsidRPr="00EC6E05">
        <w:t xml:space="preserve"> for brevity.</w:t>
      </w:r>
    </w:p>
    <w:p w:rsidR="00B65A3B" w:rsidRPr="00EC6E05" w:rsidRDefault="00B65A3B" w:rsidP="00F85C7D">
      <w:pPr>
        <w:keepNext/>
        <w:keepLines/>
        <w:rPr>
          <w:b/>
          <w:bCs/>
        </w:rPr>
      </w:pPr>
      <w:proofErr w:type="spellStart"/>
      <w:r w:rsidRPr="00EC6E05">
        <w:rPr>
          <w:b/>
          <w:bCs/>
        </w:rPr>
        <w:lastRenderedPageBreak/>
        <w:t>Avelumab</w:t>
      </w:r>
      <w:proofErr w:type="spellEnd"/>
      <w:r w:rsidRPr="00EC6E05">
        <w:rPr>
          <w:b/>
          <w:bCs/>
        </w:rPr>
        <w:t xml:space="preserve"> </w:t>
      </w:r>
    </w:p>
    <w:tbl>
      <w:tblPr>
        <w:tblW w:w="4977" w:type="pct"/>
        <w:tblInd w:w="28" w:type="dxa"/>
        <w:tblCellMar>
          <w:left w:w="28" w:type="dxa"/>
          <w:right w:w="28" w:type="dxa"/>
        </w:tblCellMar>
        <w:tblLook w:val="0000" w:firstRow="0" w:lastRow="0" w:firstColumn="0" w:lastColumn="0" w:noHBand="0" w:noVBand="0"/>
      </w:tblPr>
      <w:tblGrid>
        <w:gridCol w:w="2055"/>
        <w:gridCol w:w="933"/>
        <w:gridCol w:w="893"/>
        <w:gridCol w:w="1619"/>
        <w:gridCol w:w="1560"/>
        <w:gridCol w:w="1924"/>
      </w:tblGrid>
      <w:tr w:rsidR="00B65A3B" w:rsidRPr="00EC6E05" w:rsidTr="00B65A3B">
        <w:trPr>
          <w:cantSplit/>
          <w:trHeight w:val="463"/>
        </w:trPr>
        <w:tc>
          <w:tcPr>
            <w:tcW w:w="1663" w:type="pct"/>
            <w:gridSpan w:val="2"/>
            <w:tcBorders>
              <w:top w:val="single" w:sz="4" w:space="0" w:color="auto"/>
              <w:bottom w:val="single" w:sz="4" w:space="0" w:color="auto"/>
            </w:tcBorders>
            <w:vAlign w:val="center"/>
          </w:tcPr>
          <w:p w:rsidR="00B65A3B" w:rsidRPr="00EC6E05" w:rsidRDefault="00B65A3B" w:rsidP="00F85C7D">
            <w:pPr>
              <w:keepNext/>
              <w:keepLines/>
              <w:jc w:val="left"/>
              <w:rPr>
                <w:rFonts w:ascii="Arial Narrow" w:hAnsi="Arial Narrow"/>
                <w:b/>
                <w:sz w:val="20"/>
              </w:rPr>
            </w:pPr>
            <w:r w:rsidRPr="00EC6E05">
              <w:rPr>
                <w:rFonts w:ascii="Arial Narrow" w:hAnsi="Arial Narrow"/>
                <w:b/>
                <w:sz w:val="20"/>
              </w:rPr>
              <w:t>Name, Restriction,</w:t>
            </w:r>
          </w:p>
          <w:p w:rsidR="00B65A3B" w:rsidRPr="00EC6E05" w:rsidRDefault="00B65A3B" w:rsidP="00F85C7D">
            <w:pPr>
              <w:keepNext/>
              <w:keepLines/>
              <w:jc w:val="left"/>
              <w:rPr>
                <w:rFonts w:ascii="Arial Narrow" w:hAnsi="Arial Narrow"/>
                <w:b/>
                <w:sz w:val="20"/>
              </w:rPr>
            </w:pPr>
            <w:r w:rsidRPr="00EC6E05">
              <w:rPr>
                <w:rFonts w:ascii="Arial Narrow" w:hAnsi="Arial Narrow"/>
                <w:b/>
                <w:sz w:val="20"/>
              </w:rPr>
              <w:t>Manner of administration and form</w:t>
            </w:r>
          </w:p>
        </w:tc>
        <w:tc>
          <w:tcPr>
            <w:tcW w:w="497" w:type="pct"/>
            <w:tcBorders>
              <w:top w:val="single" w:sz="4" w:space="0" w:color="auto"/>
              <w:bottom w:val="single" w:sz="4" w:space="0" w:color="auto"/>
            </w:tcBorders>
            <w:vAlign w:val="center"/>
          </w:tcPr>
          <w:p w:rsidR="00B65A3B" w:rsidRPr="00EC6E05" w:rsidRDefault="00B65A3B" w:rsidP="00EC6E05">
            <w:pPr>
              <w:keepNext/>
              <w:keepLines/>
              <w:jc w:val="center"/>
              <w:rPr>
                <w:rFonts w:ascii="Arial Narrow" w:hAnsi="Arial Narrow"/>
                <w:b/>
                <w:sz w:val="20"/>
              </w:rPr>
            </w:pPr>
            <w:r w:rsidRPr="00EC6E05">
              <w:rPr>
                <w:rFonts w:ascii="Arial Narrow" w:hAnsi="Arial Narrow"/>
                <w:b/>
                <w:sz w:val="20"/>
              </w:rPr>
              <w:t xml:space="preserve">Max </w:t>
            </w:r>
            <w:proofErr w:type="spellStart"/>
            <w:r w:rsidRPr="00EC6E05">
              <w:rPr>
                <w:rFonts w:ascii="Arial Narrow" w:hAnsi="Arial Narrow"/>
                <w:b/>
                <w:sz w:val="20"/>
              </w:rPr>
              <w:t>A</w:t>
            </w:r>
            <w:r w:rsidR="00EC6E05" w:rsidRPr="00EC6E05">
              <w:rPr>
                <w:rFonts w:ascii="Arial Narrow" w:hAnsi="Arial Narrow"/>
                <w:b/>
                <w:sz w:val="20"/>
              </w:rPr>
              <w:t>mt</w:t>
            </w:r>
            <w:proofErr w:type="spellEnd"/>
            <w:r w:rsidRPr="00EC6E05">
              <w:rPr>
                <w:rFonts w:ascii="Arial Narrow" w:hAnsi="Arial Narrow"/>
                <w:b/>
                <w:sz w:val="20"/>
              </w:rPr>
              <w:t xml:space="preserve"> (mg)</w:t>
            </w:r>
          </w:p>
        </w:tc>
        <w:tc>
          <w:tcPr>
            <w:tcW w:w="901" w:type="pct"/>
            <w:tcBorders>
              <w:top w:val="single" w:sz="4" w:space="0" w:color="auto"/>
              <w:bottom w:val="single" w:sz="4" w:space="0" w:color="auto"/>
            </w:tcBorders>
            <w:vAlign w:val="center"/>
          </w:tcPr>
          <w:p w:rsidR="00B65A3B" w:rsidRPr="00EC6E05" w:rsidRDefault="00B65A3B" w:rsidP="00F85C7D">
            <w:pPr>
              <w:keepNext/>
              <w:keepLines/>
              <w:jc w:val="center"/>
              <w:rPr>
                <w:rFonts w:ascii="Arial Narrow" w:hAnsi="Arial Narrow"/>
                <w:b/>
                <w:sz w:val="20"/>
              </w:rPr>
            </w:pPr>
            <w:r w:rsidRPr="00EC6E05">
              <w:rPr>
                <w:rFonts w:ascii="Arial Narrow" w:hAnsi="Arial Narrow" w:cs="Times New Roman"/>
                <w:b/>
                <w:sz w:val="20"/>
              </w:rPr>
              <w:t>№</w:t>
            </w:r>
            <w:r w:rsidRPr="00EC6E05">
              <w:rPr>
                <w:rFonts w:ascii="Arial Narrow" w:hAnsi="Arial Narrow"/>
                <w:b/>
                <w:sz w:val="20"/>
              </w:rPr>
              <w:t>.of</w:t>
            </w:r>
          </w:p>
          <w:p w:rsidR="00B65A3B" w:rsidRPr="00EC6E05" w:rsidRDefault="00B65A3B" w:rsidP="00F85C7D">
            <w:pPr>
              <w:keepNext/>
              <w:keepLines/>
              <w:jc w:val="center"/>
              <w:rPr>
                <w:rFonts w:ascii="Arial Narrow" w:hAnsi="Arial Narrow"/>
                <w:b/>
                <w:sz w:val="20"/>
              </w:rPr>
            </w:pPr>
            <w:proofErr w:type="spellStart"/>
            <w:r w:rsidRPr="00EC6E05">
              <w:rPr>
                <w:rFonts w:ascii="Arial Narrow" w:hAnsi="Arial Narrow"/>
                <w:b/>
                <w:sz w:val="20"/>
              </w:rPr>
              <w:t>Rpts</w:t>
            </w:r>
            <w:proofErr w:type="spellEnd"/>
          </w:p>
        </w:tc>
        <w:tc>
          <w:tcPr>
            <w:tcW w:w="868" w:type="pct"/>
            <w:tcBorders>
              <w:top w:val="single" w:sz="4" w:space="0" w:color="auto"/>
              <w:bottom w:val="single" w:sz="4" w:space="0" w:color="auto"/>
            </w:tcBorders>
            <w:vAlign w:val="center"/>
          </w:tcPr>
          <w:p w:rsidR="00B65A3B" w:rsidRPr="00EC6E05" w:rsidRDefault="00B65A3B" w:rsidP="00F85C7D">
            <w:pPr>
              <w:keepNext/>
              <w:keepLines/>
              <w:jc w:val="center"/>
              <w:rPr>
                <w:rFonts w:ascii="Arial Narrow" w:hAnsi="Arial Narrow"/>
                <w:b/>
                <w:sz w:val="20"/>
              </w:rPr>
            </w:pPr>
            <w:r w:rsidRPr="00EC6E05">
              <w:rPr>
                <w:rFonts w:ascii="Arial Narrow" w:hAnsi="Arial Narrow"/>
                <w:b/>
                <w:sz w:val="20"/>
              </w:rPr>
              <w:t xml:space="preserve">Dispensed Price Max </w:t>
            </w:r>
            <w:proofErr w:type="spellStart"/>
            <w:r w:rsidRPr="00EC6E05">
              <w:rPr>
                <w:rFonts w:ascii="Arial Narrow" w:hAnsi="Arial Narrow"/>
                <w:b/>
                <w:sz w:val="20"/>
              </w:rPr>
              <w:t>Amt</w:t>
            </w:r>
            <w:proofErr w:type="spellEnd"/>
          </w:p>
        </w:tc>
        <w:tc>
          <w:tcPr>
            <w:tcW w:w="1071" w:type="pct"/>
            <w:tcBorders>
              <w:top w:val="single" w:sz="4" w:space="0" w:color="auto"/>
              <w:bottom w:val="single" w:sz="4" w:space="0" w:color="auto"/>
            </w:tcBorders>
            <w:vAlign w:val="center"/>
          </w:tcPr>
          <w:p w:rsidR="00B65A3B" w:rsidRPr="00EC6E05" w:rsidRDefault="00B65A3B" w:rsidP="00F85C7D">
            <w:pPr>
              <w:keepNext/>
              <w:keepLines/>
              <w:jc w:val="center"/>
              <w:rPr>
                <w:rFonts w:ascii="Arial Narrow" w:hAnsi="Arial Narrow"/>
                <w:b/>
                <w:sz w:val="20"/>
              </w:rPr>
            </w:pPr>
            <w:r w:rsidRPr="00EC6E05">
              <w:rPr>
                <w:rFonts w:ascii="Arial Narrow" w:hAnsi="Arial Narrow"/>
                <w:b/>
                <w:sz w:val="20"/>
              </w:rPr>
              <w:t>Proprietary Name and Manufacturer</w:t>
            </w:r>
          </w:p>
        </w:tc>
      </w:tr>
      <w:tr w:rsidR="00B65A3B" w:rsidRPr="00EC6E05" w:rsidTr="00B65A3B">
        <w:trPr>
          <w:cantSplit/>
          <w:trHeight w:val="567"/>
        </w:trPr>
        <w:tc>
          <w:tcPr>
            <w:tcW w:w="1663" w:type="pct"/>
            <w:gridSpan w:val="2"/>
            <w:vAlign w:val="center"/>
          </w:tcPr>
          <w:p w:rsidR="00B65A3B" w:rsidRPr="00EC6E05" w:rsidRDefault="00B65A3B" w:rsidP="00F85C7D">
            <w:pPr>
              <w:keepNext/>
              <w:keepLines/>
              <w:jc w:val="left"/>
              <w:rPr>
                <w:rFonts w:ascii="Arial Narrow" w:hAnsi="Arial Narrow"/>
                <w:sz w:val="20"/>
                <w:szCs w:val="20"/>
              </w:rPr>
            </w:pPr>
            <w:proofErr w:type="spellStart"/>
            <w:r w:rsidRPr="00EC6E05">
              <w:rPr>
                <w:rFonts w:ascii="Arial Narrow" w:hAnsi="Arial Narrow"/>
                <w:sz w:val="20"/>
                <w:szCs w:val="20"/>
              </w:rPr>
              <w:t>Avelumab</w:t>
            </w:r>
            <w:proofErr w:type="spellEnd"/>
            <w:r w:rsidRPr="00EC6E05">
              <w:rPr>
                <w:rFonts w:ascii="Arial Narrow" w:hAnsi="Arial Narrow"/>
                <w:sz w:val="20"/>
                <w:szCs w:val="20"/>
              </w:rPr>
              <w:t>, infusion, 200 mg/10 mL vial</w:t>
            </w:r>
          </w:p>
        </w:tc>
        <w:tc>
          <w:tcPr>
            <w:tcW w:w="497" w:type="pct"/>
            <w:vAlign w:val="center"/>
          </w:tcPr>
          <w:p w:rsidR="00B65A3B" w:rsidRPr="00EC6E05" w:rsidRDefault="00B65A3B" w:rsidP="00F85C7D">
            <w:pPr>
              <w:keepNext/>
              <w:keepLines/>
              <w:jc w:val="center"/>
              <w:rPr>
                <w:rFonts w:ascii="Arial Narrow" w:hAnsi="Arial Narrow"/>
                <w:sz w:val="20"/>
                <w:szCs w:val="20"/>
              </w:rPr>
            </w:pPr>
            <w:r w:rsidRPr="00EC6E05">
              <w:rPr>
                <w:rFonts w:ascii="Arial Narrow" w:hAnsi="Arial Narrow"/>
                <w:sz w:val="20"/>
                <w:szCs w:val="20"/>
              </w:rPr>
              <w:t>800</w:t>
            </w:r>
          </w:p>
        </w:tc>
        <w:tc>
          <w:tcPr>
            <w:tcW w:w="901" w:type="pct"/>
            <w:vAlign w:val="center"/>
          </w:tcPr>
          <w:p w:rsidR="00B65A3B" w:rsidRPr="00EC6E05" w:rsidRDefault="00B65A3B" w:rsidP="00F85C7D">
            <w:pPr>
              <w:keepNext/>
              <w:keepLines/>
              <w:jc w:val="center"/>
              <w:rPr>
                <w:rFonts w:ascii="Arial Narrow" w:hAnsi="Arial Narrow"/>
                <w:sz w:val="20"/>
                <w:szCs w:val="20"/>
              </w:rPr>
            </w:pPr>
            <w:r w:rsidRPr="00EC6E05">
              <w:rPr>
                <w:rFonts w:ascii="Arial Narrow" w:hAnsi="Arial Narrow"/>
                <w:sz w:val="20"/>
                <w:szCs w:val="20"/>
              </w:rPr>
              <w:t>5 (initial)</w:t>
            </w:r>
          </w:p>
          <w:p w:rsidR="00B65A3B" w:rsidRPr="00EC6E05" w:rsidRDefault="00B65A3B" w:rsidP="00F85C7D">
            <w:pPr>
              <w:keepNext/>
              <w:keepLines/>
              <w:jc w:val="center"/>
              <w:rPr>
                <w:rFonts w:ascii="Arial Narrow" w:hAnsi="Arial Narrow"/>
                <w:sz w:val="20"/>
                <w:szCs w:val="20"/>
              </w:rPr>
            </w:pPr>
            <w:r w:rsidRPr="00EC6E05">
              <w:rPr>
                <w:rFonts w:ascii="Arial Narrow" w:hAnsi="Arial Narrow"/>
                <w:sz w:val="20"/>
                <w:szCs w:val="20"/>
              </w:rPr>
              <w:t>11 (continuing)</w:t>
            </w:r>
          </w:p>
          <w:p w:rsidR="00B65A3B" w:rsidRPr="00EC6E05" w:rsidRDefault="00B65A3B" w:rsidP="00F85C7D">
            <w:pPr>
              <w:keepNext/>
              <w:keepLines/>
              <w:jc w:val="center"/>
              <w:rPr>
                <w:rFonts w:ascii="Arial Narrow" w:hAnsi="Arial Narrow"/>
                <w:sz w:val="20"/>
                <w:szCs w:val="20"/>
              </w:rPr>
            </w:pPr>
            <w:r w:rsidRPr="00EC6E05">
              <w:rPr>
                <w:rFonts w:ascii="Arial Narrow" w:hAnsi="Arial Narrow"/>
                <w:sz w:val="20"/>
                <w:szCs w:val="20"/>
              </w:rPr>
              <w:t>5 (grandfathering)</w:t>
            </w:r>
          </w:p>
        </w:tc>
        <w:tc>
          <w:tcPr>
            <w:tcW w:w="868" w:type="pct"/>
            <w:vAlign w:val="center"/>
          </w:tcPr>
          <w:p w:rsidR="00B65A3B" w:rsidRPr="00323C3C" w:rsidRDefault="00B65A3B" w:rsidP="00F85C7D">
            <w:pPr>
              <w:pStyle w:val="Tablecentre"/>
              <w:keepNext/>
              <w:keepLines/>
              <w:rPr>
                <w:rFonts w:ascii="Arial Narrow" w:hAnsi="Arial Narrow"/>
              </w:rPr>
            </w:pPr>
            <w:r w:rsidRPr="00014E7F">
              <w:rPr>
                <w:rFonts w:ascii="Arial Narrow" w:hAnsi="Arial Narrow"/>
              </w:rPr>
              <w:t>Public: $</w:t>
            </w:r>
            <w:r w:rsidR="006A083B">
              <w:rPr>
                <w:rFonts w:ascii="Arial Narrow" w:hAnsi="Arial Narrow"/>
                <w:noProof/>
                <w:color w:val="000000"/>
                <w:highlight w:val="black"/>
              </w:rPr>
              <w:t>'''''''''''''''''''</w:t>
            </w:r>
          </w:p>
          <w:p w:rsidR="00B65A3B" w:rsidRPr="00EC6E05" w:rsidRDefault="00B65A3B" w:rsidP="00F85C7D">
            <w:pPr>
              <w:keepNext/>
              <w:keepLines/>
              <w:jc w:val="center"/>
              <w:rPr>
                <w:rFonts w:ascii="Arial Narrow" w:hAnsi="Arial Narrow"/>
                <w:sz w:val="20"/>
                <w:szCs w:val="20"/>
              </w:rPr>
            </w:pPr>
            <w:r w:rsidRPr="00323C3C">
              <w:rPr>
                <w:rFonts w:ascii="Arial Narrow" w:hAnsi="Arial Narrow"/>
                <w:sz w:val="20"/>
                <w:szCs w:val="20"/>
              </w:rPr>
              <w:t>Private: $</w:t>
            </w:r>
            <w:r w:rsidR="006A083B">
              <w:rPr>
                <w:rFonts w:ascii="Arial Narrow" w:hAnsi="Arial Narrow"/>
                <w:noProof/>
                <w:color w:val="000000"/>
                <w:sz w:val="20"/>
                <w:szCs w:val="20"/>
                <w:highlight w:val="black"/>
              </w:rPr>
              <w:t>'''''''''''''''''''''''</w:t>
            </w:r>
          </w:p>
        </w:tc>
        <w:tc>
          <w:tcPr>
            <w:tcW w:w="1071" w:type="pct"/>
            <w:vAlign w:val="center"/>
          </w:tcPr>
          <w:p w:rsidR="00B65A3B" w:rsidRPr="00EC6E05" w:rsidRDefault="00B65A3B" w:rsidP="00F85C7D">
            <w:pPr>
              <w:keepNext/>
              <w:keepLines/>
              <w:jc w:val="center"/>
              <w:rPr>
                <w:rFonts w:ascii="Arial Narrow" w:hAnsi="Arial Narrow"/>
                <w:sz w:val="20"/>
                <w:szCs w:val="20"/>
              </w:rPr>
            </w:pPr>
            <w:r w:rsidRPr="00EC6E05">
              <w:rPr>
                <w:rFonts w:ascii="Arial Narrow" w:hAnsi="Arial Narrow"/>
                <w:sz w:val="20"/>
                <w:szCs w:val="20"/>
              </w:rPr>
              <w:t xml:space="preserve">BAVENCIO®, </w:t>
            </w:r>
          </w:p>
          <w:p w:rsidR="00B65A3B" w:rsidRPr="00EC6E05" w:rsidRDefault="00B65A3B" w:rsidP="00F85C7D">
            <w:pPr>
              <w:keepNext/>
              <w:keepLines/>
              <w:jc w:val="center"/>
              <w:rPr>
                <w:rFonts w:ascii="Arial Narrow" w:hAnsi="Arial Narrow"/>
                <w:sz w:val="20"/>
                <w:szCs w:val="20"/>
              </w:rPr>
            </w:pPr>
            <w:r w:rsidRPr="00EC6E05">
              <w:rPr>
                <w:rFonts w:ascii="Arial Narrow" w:hAnsi="Arial Narrow"/>
                <w:sz w:val="20"/>
                <w:szCs w:val="20"/>
              </w:rPr>
              <w:t>Merck Healthcare Pty Ltd</w:t>
            </w:r>
          </w:p>
        </w:tc>
      </w:tr>
      <w:tr w:rsidR="00B65A3B" w:rsidRPr="00EC6E05" w:rsidTr="00B65A3B">
        <w:trPr>
          <w:cantSplit/>
          <w:trHeight w:val="567"/>
        </w:trPr>
        <w:tc>
          <w:tcPr>
            <w:tcW w:w="1663" w:type="pct"/>
            <w:gridSpan w:val="2"/>
            <w:vAlign w:val="center"/>
          </w:tcPr>
          <w:p w:rsidR="00B65A3B" w:rsidRPr="00EC6E05" w:rsidRDefault="00B65A3B" w:rsidP="00F85C7D">
            <w:pPr>
              <w:keepNext/>
              <w:keepLines/>
              <w:rPr>
                <w:b/>
                <w:bCs/>
              </w:rPr>
            </w:pPr>
            <w:proofErr w:type="spellStart"/>
            <w:r w:rsidRPr="00EC6E05">
              <w:rPr>
                <w:b/>
                <w:bCs/>
              </w:rPr>
              <w:t>Avelumab</w:t>
            </w:r>
            <w:proofErr w:type="spellEnd"/>
            <w:r w:rsidRPr="00EC6E05">
              <w:rPr>
                <w:b/>
                <w:bCs/>
              </w:rPr>
              <w:t xml:space="preserve"> (Initial treatment)</w:t>
            </w:r>
          </w:p>
        </w:tc>
        <w:tc>
          <w:tcPr>
            <w:tcW w:w="497" w:type="pct"/>
            <w:vAlign w:val="center"/>
          </w:tcPr>
          <w:p w:rsidR="00B65A3B" w:rsidRPr="00EC6E05" w:rsidRDefault="00B65A3B" w:rsidP="00F85C7D">
            <w:pPr>
              <w:keepNext/>
              <w:keepLines/>
              <w:jc w:val="center"/>
              <w:rPr>
                <w:rFonts w:ascii="Arial Narrow" w:hAnsi="Arial Narrow"/>
                <w:sz w:val="20"/>
                <w:szCs w:val="20"/>
              </w:rPr>
            </w:pPr>
          </w:p>
        </w:tc>
        <w:tc>
          <w:tcPr>
            <w:tcW w:w="901" w:type="pct"/>
            <w:vAlign w:val="center"/>
          </w:tcPr>
          <w:p w:rsidR="00B65A3B" w:rsidRPr="00EC6E05" w:rsidRDefault="00B65A3B" w:rsidP="00F85C7D">
            <w:pPr>
              <w:keepNext/>
              <w:keepLines/>
              <w:jc w:val="center"/>
              <w:rPr>
                <w:rFonts w:ascii="Arial Narrow" w:hAnsi="Arial Narrow"/>
                <w:sz w:val="20"/>
                <w:szCs w:val="20"/>
              </w:rPr>
            </w:pPr>
          </w:p>
        </w:tc>
        <w:tc>
          <w:tcPr>
            <w:tcW w:w="868" w:type="pct"/>
            <w:vAlign w:val="center"/>
          </w:tcPr>
          <w:p w:rsidR="00B65A3B" w:rsidRPr="00EC6E05" w:rsidRDefault="00B65A3B" w:rsidP="00F85C7D">
            <w:pPr>
              <w:pStyle w:val="Tablecentre"/>
              <w:keepNext/>
              <w:keepLines/>
              <w:rPr>
                <w:rFonts w:ascii="Arial Narrow" w:hAnsi="Arial Narrow"/>
              </w:rPr>
            </w:pPr>
          </w:p>
        </w:tc>
        <w:tc>
          <w:tcPr>
            <w:tcW w:w="1071" w:type="pct"/>
          </w:tcPr>
          <w:p w:rsidR="00B65A3B" w:rsidRPr="00EC6E05" w:rsidRDefault="00B65A3B" w:rsidP="00F85C7D">
            <w:pPr>
              <w:keepNext/>
              <w:keepLines/>
              <w:jc w:val="center"/>
              <w:rPr>
                <w:rFonts w:ascii="Arial Narrow" w:hAnsi="Arial Narrow"/>
                <w:sz w:val="20"/>
                <w:szCs w:val="20"/>
              </w:rPr>
            </w:pPr>
          </w:p>
        </w:tc>
      </w:tr>
      <w:tr w:rsidR="00B65A3B" w:rsidRPr="00EC6E05" w:rsidTr="00B65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44" w:type="pct"/>
            <w:tcBorders>
              <w:top w:val="single" w:sz="4" w:space="0" w:color="auto"/>
              <w:left w:val="single" w:sz="4" w:space="0" w:color="auto"/>
              <w:bottom w:val="single" w:sz="4" w:space="0" w:color="auto"/>
              <w:right w:val="single" w:sz="4" w:space="0" w:color="auto"/>
            </w:tcBorders>
            <w:hideMark/>
          </w:tcPr>
          <w:p w:rsidR="00B65A3B" w:rsidRPr="00EC6E05" w:rsidRDefault="00B65A3B" w:rsidP="00F85C7D">
            <w:pPr>
              <w:pStyle w:val="Tabletext"/>
              <w:keepNext/>
              <w:keepLines/>
            </w:pPr>
            <w:r w:rsidRPr="00EC6E05">
              <w:t>Category/Program:</w:t>
            </w:r>
          </w:p>
        </w:tc>
        <w:tc>
          <w:tcPr>
            <w:tcW w:w="3856" w:type="pct"/>
            <w:gridSpan w:val="5"/>
            <w:tcBorders>
              <w:top w:val="single" w:sz="4" w:space="0" w:color="auto"/>
              <w:left w:val="single" w:sz="4" w:space="0" w:color="auto"/>
              <w:bottom w:val="single" w:sz="4" w:space="0" w:color="auto"/>
              <w:right w:val="single" w:sz="4" w:space="0" w:color="auto"/>
            </w:tcBorders>
          </w:tcPr>
          <w:p w:rsidR="00B65A3B" w:rsidRPr="00EC6E05" w:rsidRDefault="00B65A3B" w:rsidP="00F85C7D">
            <w:pPr>
              <w:pStyle w:val="Tabletext"/>
              <w:keepNext/>
              <w:keepLines/>
            </w:pPr>
            <w:r w:rsidRPr="00EC6E05">
              <w:rPr>
                <w:rFonts w:cs="Arial"/>
                <w:szCs w:val="20"/>
              </w:rPr>
              <w:t>Section 100 – Efficient funding of Chemotherapy</w:t>
            </w:r>
          </w:p>
        </w:tc>
      </w:tr>
      <w:tr w:rsidR="00253AC1" w:rsidRPr="00EC6E05" w:rsidTr="00B65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44" w:type="pct"/>
            <w:tcBorders>
              <w:top w:val="single" w:sz="4" w:space="0" w:color="auto"/>
              <w:left w:val="single" w:sz="4" w:space="0" w:color="auto"/>
              <w:bottom w:val="single" w:sz="4" w:space="0" w:color="auto"/>
              <w:right w:val="single" w:sz="4" w:space="0" w:color="auto"/>
            </w:tcBorders>
          </w:tcPr>
          <w:p w:rsidR="00253AC1" w:rsidRPr="00EC6E05" w:rsidRDefault="00253AC1" w:rsidP="00253AC1">
            <w:pPr>
              <w:pStyle w:val="Tabletext"/>
              <w:keepNext/>
              <w:keepLines/>
            </w:pPr>
            <w:r w:rsidRPr="00253AC1">
              <w:t>Prescriber type:</w:t>
            </w:r>
          </w:p>
        </w:tc>
        <w:tc>
          <w:tcPr>
            <w:tcW w:w="3856" w:type="pct"/>
            <w:gridSpan w:val="5"/>
            <w:tcBorders>
              <w:top w:val="single" w:sz="4" w:space="0" w:color="auto"/>
              <w:left w:val="single" w:sz="4" w:space="0" w:color="auto"/>
              <w:bottom w:val="single" w:sz="4" w:space="0" w:color="auto"/>
              <w:right w:val="single" w:sz="4" w:space="0" w:color="auto"/>
            </w:tcBorders>
          </w:tcPr>
          <w:p w:rsidR="00253AC1" w:rsidRPr="00EC6E05" w:rsidRDefault="00253AC1" w:rsidP="00253AC1">
            <w:pPr>
              <w:keepNext/>
              <w:widowControl w:val="0"/>
              <w:snapToGrid w:val="0"/>
              <w:rPr>
                <w:szCs w:val="20"/>
              </w:rPr>
            </w:pPr>
            <w:r w:rsidRPr="002975C4">
              <w:rPr>
                <w:rFonts w:ascii="Arial Narrow" w:hAnsi="Arial Narrow"/>
                <w:sz w:val="20"/>
                <w:szCs w:val="20"/>
              </w:rPr>
              <w:fldChar w:fldCharType="begin">
                <w:ffData>
                  <w:name w:val=""/>
                  <w:enabled/>
                  <w:calcOnExit w:val="0"/>
                  <w:checkBox>
                    <w:sizeAuto/>
                    <w:default w:val="1"/>
                  </w:checkBox>
                </w:ffData>
              </w:fldChar>
            </w:r>
            <w:r w:rsidRPr="002975C4">
              <w:rPr>
                <w:rFonts w:ascii="Arial Narrow" w:hAnsi="Arial Narrow"/>
                <w:sz w:val="20"/>
                <w:szCs w:val="20"/>
              </w:rPr>
              <w:instrText xml:space="preserve"> FORMCHECKBOX </w:instrText>
            </w:r>
            <w:r w:rsidR="008C7082">
              <w:rPr>
                <w:rFonts w:ascii="Arial Narrow" w:hAnsi="Arial Narrow"/>
                <w:sz w:val="20"/>
                <w:szCs w:val="20"/>
              </w:rPr>
            </w:r>
            <w:r w:rsidR="008C7082">
              <w:rPr>
                <w:rFonts w:ascii="Arial Narrow" w:hAnsi="Arial Narrow"/>
                <w:sz w:val="20"/>
                <w:szCs w:val="20"/>
              </w:rPr>
              <w:fldChar w:fldCharType="separate"/>
            </w:r>
            <w:r w:rsidRPr="002975C4">
              <w:rPr>
                <w:rFonts w:ascii="Arial Narrow" w:hAnsi="Arial Narrow"/>
                <w:sz w:val="20"/>
                <w:szCs w:val="20"/>
              </w:rPr>
              <w:fldChar w:fldCharType="end"/>
            </w:r>
            <w:r w:rsidRPr="002975C4">
              <w:rPr>
                <w:rFonts w:ascii="Arial Narrow" w:hAnsi="Arial Narrow"/>
                <w:sz w:val="20"/>
                <w:szCs w:val="20"/>
              </w:rPr>
              <w:t xml:space="preserve">Medical Practitioners </w:t>
            </w:r>
          </w:p>
        </w:tc>
      </w:tr>
      <w:tr w:rsidR="00B65A3B" w:rsidRPr="00EC6E05" w:rsidTr="00B65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44" w:type="pct"/>
            <w:tcBorders>
              <w:top w:val="single" w:sz="4" w:space="0" w:color="auto"/>
              <w:left w:val="single" w:sz="4" w:space="0" w:color="auto"/>
              <w:bottom w:val="single" w:sz="4" w:space="0" w:color="auto"/>
              <w:right w:val="single" w:sz="4" w:space="0" w:color="auto"/>
            </w:tcBorders>
            <w:hideMark/>
          </w:tcPr>
          <w:p w:rsidR="00B65A3B" w:rsidRPr="00EC6E05" w:rsidRDefault="00B65A3B" w:rsidP="00F85C7D">
            <w:pPr>
              <w:pStyle w:val="Tabletext"/>
              <w:keepNext/>
              <w:keepLines/>
            </w:pPr>
            <w:r w:rsidRPr="00EC6E05">
              <w:t>PBS indication:</w:t>
            </w:r>
          </w:p>
        </w:tc>
        <w:tc>
          <w:tcPr>
            <w:tcW w:w="3856" w:type="pct"/>
            <w:gridSpan w:val="5"/>
            <w:tcBorders>
              <w:top w:val="single" w:sz="4" w:space="0" w:color="auto"/>
              <w:left w:val="single" w:sz="4" w:space="0" w:color="auto"/>
              <w:bottom w:val="single" w:sz="4" w:space="0" w:color="auto"/>
              <w:right w:val="single" w:sz="4" w:space="0" w:color="auto"/>
            </w:tcBorders>
          </w:tcPr>
          <w:p w:rsidR="00B65A3B" w:rsidRPr="00EC6E05" w:rsidRDefault="00B65A3B" w:rsidP="00F85C7D">
            <w:pPr>
              <w:pStyle w:val="Tabletext"/>
              <w:keepNext/>
              <w:keepLines/>
            </w:pPr>
            <w:r w:rsidRPr="00EC6E05">
              <w:rPr>
                <w:rFonts w:cs="Arial"/>
                <w:szCs w:val="20"/>
              </w:rPr>
              <w:t>Stage IV clear cell variant renal cell carcinoma (RCC)</w:t>
            </w:r>
          </w:p>
        </w:tc>
      </w:tr>
      <w:tr w:rsidR="00B65A3B" w:rsidRPr="00EC6E05" w:rsidTr="00B65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44" w:type="pct"/>
            <w:tcBorders>
              <w:top w:val="single" w:sz="4" w:space="0" w:color="auto"/>
              <w:left w:val="single" w:sz="4" w:space="0" w:color="auto"/>
              <w:bottom w:val="single" w:sz="4" w:space="0" w:color="auto"/>
              <w:right w:val="single" w:sz="4" w:space="0" w:color="auto"/>
            </w:tcBorders>
            <w:hideMark/>
          </w:tcPr>
          <w:p w:rsidR="00B65A3B" w:rsidRPr="00EC6E05" w:rsidRDefault="00B65A3B" w:rsidP="00F85C7D">
            <w:pPr>
              <w:pStyle w:val="Tabletext"/>
              <w:keepNext/>
              <w:keepLines/>
            </w:pPr>
            <w:r w:rsidRPr="00EC6E05">
              <w:t>Treatment phase:</w:t>
            </w:r>
          </w:p>
        </w:tc>
        <w:tc>
          <w:tcPr>
            <w:tcW w:w="3856" w:type="pct"/>
            <w:gridSpan w:val="5"/>
            <w:tcBorders>
              <w:top w:val="single" w:sz="4" w:space="0" w:color="auto"/>
              <w:left w:val="single" w:sz="4" w:space="0" w:color="auto"/>
              <w:bottom w:val="single" w:sz="4" w:space="0" w:color="auto"/>
              <w:right w:val="single" w:sz="4" w:space="0" w:color="auto"/>
            </w:tcBorders>
          </w:tcPr>
          <w:p w:rsidR="00B65A3B" w:rsidRPr="00EC6E05" w:rsidRDefault="00B65A3B" w:rsidP="00F85C7D">
            <w:pPr>
              <w:pStyle w:val="Tabletext"/>
              <w:keepNext/>
              <w:keepLines/>
            </w:pPr>
            <w:r w:rsidRPr="00EC6E05">
              <w:rPr>
                <w:rFonts w:cs="Arial"/>
                <w:szCs w:val="20"/>
              </w:rPr>
              <w:t xml:space="preserve">Initial treatment </w:t>
            </w:r>
          </w:p>
        </w:tc>
      </w:tr>
      <w:tr w:rsidR="00B65A3B" w:rsidRPr="00EC6E05" w:rsidTr="00B65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44" w:type="pct"/>
            <w:tcBorders>
              <w:top w:val="single" w:sz="4" w:space="0" w:color="auto"/>
              <w:left w:val="single" w:sz="4" w:space="0" w:color="auto"/>
              <w:bottom w:val="single" w:sz="4" w:space="0" w:color="auto"/>
              <w:right w:val="single" w:sz="4" w:space="0" w:color="auto"/>
            </w:tcBorders>
            <w:hideMark/>
          </w:tcPr>
          <w:p w:rsidR="00B65A3B" w:rsidRPr="00EC6E05" w:rsidRDefault="00B65A3B" w:rsidP="00F85C7D">
            <w:pPr>
              <w:pStyle w:val="Tabletext"/>
              <w:keepNext/>
              <w:keepLines/>
            </w:pPr>
            <w:r w:rsidRPr="00EC6E05">
              <w:t>Restriction:</w:t>
            </w:r>
          </w:p>
        </w:tc>
        <w:tc>
          <w:tcPr>
            <w:tcW w:w="3856" w:type="pct"/>
            <w:gridSpan w:val="5"/>
            <w:tcBorders>
              <w:top w:val="single" w:sz="4" w:space="0" w:color="auto"/>
              <w:left w:val="single" w:sz="4" w:space="0" w:color="auto"/>
              <w:bottom w:val="single" w:sz="4" w:space="0" w:color="auto"/>
              <w:right w:val="single" w:sz="4" w:space="0" w:color="auto"/>
            </w:tcBorders>
          </w:tcPr>
          <w:p w:rsidR="00B65A3B" w:rsidRPr="00EC6E05" w:rsidRDefault="00B65A3B" w:rsidP="00F85C7D">
            <w:pPr>
              <w:pStyle w:val="Tabletext"/>
              <w:keepNext/>
              <w:keepLines/>
            </w:pPr>
            <w:r w:rsidRPr="00EC6E05">
              <w:rPr>
                <w:rFonts w:cs="Arial"/>
                <w:szCs w:val="20"/>
              </w:rPr>
              <w:t>Authority Streamlined</w:t>
            </w:r>
          </w:p>
        </w:tc>
      </w:tr>
      <w:tr w:rsidR="00B65A3B" w:rsidRPr="00EC6E05" w:rsidTr="00B65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44" w:type="pct"/>
            <w:tcBorders>
              <w:top w:val="single" w:sz="4" w:space="0" w:color="auto"/>
              <w:left w:val="single" w:sz="4" w:space="0" w:color="auto"/>
              <w:bottom w:val="single" w:sz="4" w:space="0" w:color="auto"/>
              <w:right w:val="single" w:sz="4" w:space="0" w:color="auto"/>
            </w:tcBorders>
            <w:hideMark/>
          </w:tcPr>
          <w:p w:rsidR="00B65A3B" w:rsidRPr="00EC6E05" w:rsidRDefault="00B65A3B" w:rsidP="00F85C7D">
            <w:pPr>
              <w:pStyle w:val="Tabletext"/>
              <w:keepNext/>
              <w:keepLines/>
            </w:pPr>
            <w:r w:rsidRPr="00EC6E05">
              <w:t>Clinical criteria:</w:t>
            </w:r>
          </w:p>
        </w:tc>
        <w:tc>
          <w:tcPr>
            <w:tcW w:w="3856" w:type="pct"/>
            <w:gridSpan w:val="5"/>
            <w:tcBorders>
              <w:top w:val="single" w:sz="4" w:space="0" w:color="auto"/>
              <w:left w:val="single" w:sz="4" w:space="0" w:color="auto"/>
              <w:bottom w:val="single" w:sz="4" w:space="0" w:color="auto"/>
              <w:right w:val="single" w:sz="4" w:space="0" w:color="auto"/>
            </w:tcBorders>
          </w:tcPr>
          <w:p w:rsidR="00253AC1" w:rsidRPr="002975C4" w:rsidRDefault="00253AC1" w:rsidP="00253AC1">
            <w:pPr>
              <w:pStyle w:val="Tabletext"/>
              <w:rPr>
                <w:i/>
                <w:szCs w:val="20"/>
              </w:rPr>
            </w:pPr>
            <w:r w:rsidRPr="002975C4">
              <w:rPr>
                <w:i/>
                <w:szCs w:val="20"/>
              </w:rPr>
              <w:t>The condition must be classified as intermediate to poor risk according to the International Metastatic Renal Cell Carcinoma Database Consortium (IMDC)</w:t>
            </w:r>
          </w:p>
          <w:p w:rsidR="00253AC1" w:rsidRPr="00800794" w:rsidRDefault="00253AC1" w:rsidP="00253AC1">
            <w:pPr>
              <w:pStyle w:val="Tabletext"/>
              <w:rPr>
                <w:i/>
                <w:szCs w:val="20"/>
              </w:rPr>
            </w:pPr>
            <w:r>
              <w:rPr>
                <w:i/>
                <w:szCs w:val="20"/>
              </w:rPr>
              <w:t>AND</w:t>
            </w:r>
          </w:p>
          <w:p w:rsidR="00B65A3B" w:rsidRPr="00EC6E05" w:rsidRDefault="00B65A3B" w:rsidP="00F85C7D">
            <w:pPr>
              <w:pStyle w:val="Tabletext"/>
              <w:keepNext/>
              <w:keepLines/>
            </w:pPr>
            <w:r w:rsidRPr="00EC6E05">
              <w:t>The condition must not have previously been treated</w:t>
            </w:r>
          </w:p>
          <w:p w:rsidR="00B65A3B" w:rsidRPr="00EC6E05" w:rsidRDefault="00B65A3B" w:rsidP="00F85C7D">
            <w:pPr>
              <w:pStyle w:val="Tabletext"/>
              <w:keepNext/>
              <w:keepLines/>
            </w:pPr>
            <w:r w:rsidRPr="00EC6E05">
              <w:t>AND</w:t>
            </w:r>
          </w:p>
          <w:p w:rsidR="00B65A3B" w:rsidRPr="00EC6E05" w:rsidRDefault="00B65A3B" w:rsidP="00F85C7D">
            <w:pPr>
              <w:pStyle w:val="Tabletext"/>
              <w:keepNext/>
              <w:keepLines/>
            </w:pPr>
            <w:r w:rsidRPr="00EC6E05">
              <w:t xml:space="preserve">Patient must have a WHO performance status of 2 or less </w:t>
            </w:r>
          </w:p>
          <w:p w:rsidR="00B65A3B" w:rsidRPr="00EC6E05" w:rsidRDefault="00B65A3B" w:rsidP="00F85C7D">
            <w:pPr>
              <w:pStyle w:val="Tabletext"/>
              <w:keepNext/>
              <w:keepLines/>
            </w:pPr>
            <w:r w:rsidRPr="00EC6E05">
              <w:t xml:space="preserve">AND </w:t>
            </w:r>
          </w:p>
          <w:p w:rsidR="00B65A3B" w:rsidRPr="00EC6E05" w:rsidRDefault="00B65A3B" w:rsidP="00F85C7D">
            <w:pPr>
              <w:pStyle w:val="Tabletext"/>
              <w:keepNext/>
              <w:keepLines/>
            </w:pPr>
            <w:r w:rsidRPr="00EC6E05">
              <w:t xml:space="preserve">The treatment must be in combination with PBS-subsidised treatment with </w:t>
            </w:r>
            <w:proofErr w:type="spellStart"/>
            <w:r w:rsidRPr="00EC6E05">
              <w:t>axitinib</w:t>
            </w:r>
            <w:proofErr w:type="spellEnd"/>
            <w:r w:rsidRPr="00EC6E05">
              <w:t xml:space="preserve"> for this condition</w:t>
            </w:r>
          </w:p>
        </w:tc>
      </w:tr>
      <w:tr w:rsidR="00253AC1" w:rsidRPr="00EC6E05" w:rsidTr="00B65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44" w:type="pct"/>
            <w:tcBorders>
              <w:top w:val="single" w:sz="4" w:space="0" w:color="auto"/>
              <w:left w:val="single" w:sz="4" w:space="0" w:color="auto"/>
              <w:bottom w:val="single" w:sz="4" w:space="0" w:color="auto"/>
              <w:right w:val="single" w:sz="4" w:space="0" w:color="auto"/>
            </w:tcBorders>
          </w:tcPr>
          <w:p w:rsidR="00253AC1" w:rsidRPr="00EC6E05" w:rsidRDefault="00253AC1" w:rsidP="00253AC1">
            <w:pPr>
              <w:pStyle w:val="Tabletext"/>
              <w:keepNext/>
              <w:keepLines/>
            </w:pPr>
            <w:r w:rsidRPr="00253AC1">
              <w:t>Caution</w:t>
            </w:r>
          </w:p>
        </w:tc>
        <w:tc>
          <w:tcPr>
            <w:tcW w:w="3856" w:type="pct"/>
            <w:gridSpan w:val="5"/>
            <w:tcBorders>
              <w:top w:val="single" w:sz="4" w:space="0" w:color="auto"/>
              <w:left w:val="single" w:sz="4" w:space="0" w:color="auto"/>
              <w:bottom w:val="single" w:sz="4" w:space="0" w:color="auto"/>
              <w:right w:val="single" w:sz="4" w:space="0" w:color="auto"/>
            </w:tcBorders>
          </w:tcPr>
          <w:p w:rsidR="00253AC1" w:rsidRPr="002975C4" w:rsidRDefault="00253AC1" w:rsidP="00253AC1">
            <w:pPr>
              <w:pStyle w:val="Tabletext"/>
              <w:rPr>
                <w:i/>
                <w:szCs w:val="20"/>
              </w:rPr>
            </w:pPr>
            <w:r>
              <w:rPr>
                <w:i/>
                <w:szCs w:val="20"/>
              </w:rPr>
              <w:t>T</w:t>
            </w:r>
            <w:r w:rsidRPr="002975C4">
              <w:rPr>
                <w:i/>
                <w:szCs w:val="20"/>
              </w:rPr>
              <w:t xml:space="preserve">reatment with </w:t>
            </w:r>
            <w:proofErr w:type="spellStart"/>
            <w:r w:rsidRPr="002975C4">
              <w:rPr>
                <w:i/>
                <w:szCs w:val="20"/>
              </w:rPr>
              <w:t>avelumab</w:t>
            </w:r>
            <w:proofErr w:type="spellEnd"/>
            <w:r w:rsidRPr="002975C4">
              <w:rPr>
                <w:i/>
                <w:szCs w:val="20"/>
              </w:rPr>
              <w:t xml:space="preserve"> and </w:t>
            </w:r>
            <w:proofErr w:type="spellStart"/>
            <w:r w:rsidRPr="002975C4">
              <w:rPr>
                <w:i/>
                <w:szCs w:val="20"/>
              </w:rPr>
              <w:t>axitinib</w:t>
            </w:r>
            <w:proofErr w:type="spellEnd"/>
            <w:r w:rsidRPr="002975C4">
              <w:rPr>
                <w:i/>
                <w:szCs w:val="20"/>
              </w:rPr>
              <w:t xml:space="preserve"> is associated with immune-related adverse reactions. Monitoring at least prior to each dose </w:t>
            </w:r>
            <w:proofErr w:type="gramStart"/>
            <w:r w:rsidRPr="002975C4">
              <w:rPr>
                <w:i/>
                <w:szCs w:val="20"/>
              </w:rPr>
              <w:t>is recommended</w:t>
            </w:r>
            <w:proofErr w:type="gramEnd"/>
            <w:r w:rsidRPr="002975C4">
              <w:rPr>
                <w:i/>
                <w:szCs w:val="20"/>
              </w:rPr>
              <w:t>.</w:t>
            </w:r>
          </w:p>
        </w:tc>
      </w:tr>
      <w:tr w:rsidR="00253AC1" w:rsidRPr="00EC6E05" w:rsidTr="00B65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44" w:type="pct"/>
            <w:tcBorders>
              <w:top w:val="single" w:sz="4" w:space="0" w:color="auto"/>
              <w:left w:val="single" w:sz="4" w:space="0" w:color="auto"/>
              <w:bottom w:val="single" w:sz="4" w:space="0" w:color="auto"/>
              <w:right w:val="single" w:sz="4" w:space="0" w:color="auto"/>
            </w:tcBorders>
          </w:tcPr>
          <w:p w:rsidR="00253AC1" w:rsidRPr="00EC6E05" w:rsidRDefault="00253AC1" w:rsidP="00253AC1">
            <w:pPr>
              <w:pStyle w:val="Tabletext"/>
              <w:keepNext/>
              <w:keepLines/>
            </w:pPr>
            <w:r w:rsidRPr="00253AC1">
              <w:t>Administrative advice:</w:t>
            </w:r>
          </w:p>
        </w:tc>
        <w:tc>
          <w:tcPr>
            <w:tcW w:w="3856" w:type="pct"/>
            <w:gridSpan w:val="5"/>
            <w:tcBorders>
              <w:top w:val="single" w:sz="4" w:space="0" w:color="auto"/>
              <w:left w:val="single" w:sz="4" w:space="0" w:color="auto"/>
              <w:bottom w:val="single" w:sz="4" w:space="0" w:color="auto"/>
              <w:right w:val="single" w:sz="4" w:space="0" w:color="auto"/>
            </w:tcBorders>
          </w:tcPr>
          <w:p w:rsidR="00253AC1" w:rsidRPr="002975C4" w:rsidRDefault="00253AC1" w:rsidP="00253AC1">
            <w:pPr>
              <w:pStyle w:val="Tabletext"/>
              <w:rPr>
                <w:i/>
                <w:szCs w:val="20"/>
              </w:rPr>
            </w:pPr>
            <w:r w:rsidRPr="002975C4">
              <w:rPr>
                <w:i/>
                <w:szCs w:val="20"/>
              </w:rPr>
              <w:t xml:space="preserve">In the first few months after start of immunotherapy, some patients can have a transient tumour flare with subsequent disease response. When progression </w:t>
            </w:r>
            <w:proofErr w:type="gramStart"/>
            <w:r w:rsidRPr="002975C4">
              <w:rPr>
                <w:i/>
                <w:szCs w:val="20"/>
              </w:rPr>
              <w:t>is suspected</w:t>
            </w:r>
            <w:proofErr w:type="gramEnd"/>
            <w:r w:rsidRPr="002975C4">
              <w:rPr>
                <w:i/>
                <w:szCs w:val="20"/>
              </w:rPr>
              <w:t>, this should be confirmed through a confirmatory scan, taken at least 4 weeks later.</w:t>
            </w:r>
          </w:p>
          <w:p w:rsidR="00253AC1" w:rsidRPr="002975C4" w:rsidRDefault="00253AC1" w:rsidP="00253AC1">
            <w:pPr>
              <w:pStyle w:val="Tabletext"/>
              <w:rPr>
                <w:i/>
                <w:szCs w:val="20"/>
              </w:rPr>
            </w:pPr>
          </w:p>
          <w:p w:rsidR="00253AC1" w:rsidRDefault="00253AC1" w:rsidP="00253AC1">
            <w:pPr>
              <w:rPr>
                <w:rFonts w:ascii="Arial Narrow" w:hAnsi="Arial Narrow"/>
                <w:i/>
                <w:snapToGrid w:val="0"/>
                <w:color w:val="000000"/>
                <w:sz w:val="20"/>
                <w:szCs w:val="20"/>
              </w:rPr>
            </w:pPr>
            <w:r w:rsidRPr="002952B3">
              <w:rPr>
                <w:rFonts w:ascii="Arial Narrow" w:hAnsi="Arial Narrow"/>
                <w:i/>
                <w:snapToGrid w:val="0"/>
                <w:color w:val="000000"/>
                <w:sz w:val="20"/>
                <w:szCs w:val="20"/>
              </w:rPr>
              <w:t>No increase in the maximum quantity or number of units may be authorised</w:t>
            </w:r>
          </w:p>
          <w:p w:rsidR="00253AC1" w:rsidRDefault="00253AC1" w:rsidP="00253AC1">
            <w:pPr>
              <w:rPr>
                <w:rFonts w:ascii="Arial Narrow" w:hAnsi="Arial Narrow"/>
                <w:i/>
                <w:snapToGrid w:val="0"/>
                <w:color w:val="000000"/>
                <w:sz w:val="20"/>
                <w:szCs w:val="20"/>
              </w:rPr>
            </w:pPr>
          </w:p>
          <w:p w:rsidR="00253AC1" w:rsidRPr="002975C4" w:rsidRDefault="00253AC1" w:rsidP="00253AC1">
            <w:pPr>
              <w:pStyle w:val="Tabletext"/>
              <w:rPr>
                <w:i/>
                <w:szCs w:val="20"/>
              </w:rPr>
            </w:pPr>
            <w:r w:rsidRPr="008B2C16">
              <w:rPr>
                <w:i/>
                <w:color w:val="000000"/>
                <w:szCs w:val="20"/>
              </w:rPr>
              <w:t>No increase in the maximum numbe</w:t>
            </w:r>
            <w:r>
              <w:rPr>
                <w:i/>
                <w:color w:val="000000"/>
                <w:szCs w:val="20"/>
              </w:rPr>
              <w:t>r of repeats may be authorised</w:t>
            </w:r>
          </w:p>
        </w:tc>
      </w:tr>
    </w:tbl>
    <w:p w:rsidR="00B65A3B" w:rsidRPr="00EC6E05" w:rsidRDefault="00B65A3B" w:rsidP="00B65A3B">
      <w:pPr>
        <w:pStyle w:val="TableFooter"/>
      </w:pPr>
    </w:p>
    <w:p w:rsidR="00B65A3B" w:rsidRPr="00EC6E05" w:rsidRDefault="00B65A3B" w:rsidP="00B65A3B">
      <w:proofErr w:type="spellStart"/>
      <w:r w:rsidRPr="00EC6E05">
        <w:rPr>
          <w:b/>
          <w:bCs/>
        </w:rPr>
        <w:t>Avelumab</w:t>
      </w:r>
      <w:proofErr w:type="spellEnd"/>
      <w:r w:rsidRPr="00EC6E05">
        <w:rPr>
          <w:b/>
          <w:bCs/>
        </w:rPr>
        <w:t xml:space="preserve"> (Continuing treatment)</w:t>
      </w:r>
    </w:p>
    <w:tbl>
      <w:tblPr>
        <w:tblW w:w="4977"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53"/>
        <w:gridCol w:w="6922"/>
      </w:tblGrid>
      <w:tr w:rsidR="00B65A3B" w:rsidRPr="00EC6E05" w:rsidTr="00B65A3B">
        <w:trPr>
          <w:trHeight w:val="20"/>
        </w:trPr>
        <w:tc>
          <w:tcPr>
            <w:tcW w:w="1144" w:type="pct"/>
            <w:hideMark/>
          </w:tcPr>
          <w:p w:rsidR="00B65A3B" w:rsidRPr="00EC6E05" w:rsidRDefault="00B65A3B" w:rsidP="00B65A3B">
            <w:pPr>
              <w:pStyle w:val="Tabletext"/>
            </w:pPr>
            <w:r w:rsidRPr="00EC6E05">
              <w:t>Category/Program:</w:t>
            </w:r>
          </w:p>
        </w:tc>
        <w:tc>
          <w:tcPr>
            <w:tcW w:w="3856" w:type="pct"/>
          </w:tcPr>
          <w:p w:rsidR="00B65A3B" w:rsidRPr="00EC6E05" w:rsidRDefault="00B65A3B" w:rsidP="00B65A3B">
            <w:pPr>
              <w:pStyle w:val="Tabletext"/>
            </w:pPr>
            <w:r w:rsidRPr="00EC6E05">
              <w:rPr>
                <w:rFonts w:cs="Arial"/>
                <w:szCs w:val="20"/>
              </w:rPr>
              <w:t>Section 100 – Efficient funding of Chemotherapy</w:t>
            </w:r>
          </w:p>
        </w:tc>
      </w:tr>
      <w:tr w:rsidR="00FB521E" w:rsidRPr="00EC6E05" w:rsidTr="00B65A3B">
        <w:trPr>
          <w:trHeight w:val="20"/>
        </w:trPr>
        <w:tc>
          <w:tcPr>
            <w:tcW w:w="1144" w:type="pct"/>
          </w:tcPr>
          <w:p w:rsidR="00FB521E" w:rsidRPr="00EC6E05" w:rsidRDefault="00FB521E" w:rsidP="00FB521E">
            <w:pPr>
              <w:pStyle w:val="Tabletext"/>
            </w:pPr>
            <w:r w:rsidRPr="00253AC1">
              <w:t>Prescriber type:</w:t>
            </w:r>
          </w:p>
        </w:tc>
        <w:tc>
          <w:tcPr>
            <w:tcW w:w="3856" w:type="pct"/>
          </w:tcPr>
          <w:p w:rsidR="00FB521E" w:rsidRPr="00EC6E05" w:rsidRDefault="00FB521E" w:rsidP="00FB521E">
            <w:pPr>
              <w:pStyle w:val="Tabletext"/>
              <w:rPr>
                <w:rFonts w:cs="Arial"/>
                <w:szCs w:val="20"/>
              </w:rPr>
            </w:pPr>
            <w:r w:rsidRPr="002975C4">
              <w:rPr>
                <w:szCs w:val="20"/>
              </w:rPr>
              <w:fldChar w:fldCharType="begin">
                <w:ffData>
                  <w:name w:val=""/>
                  <w:enabled/>
                  <w:calcOnExit w:val="0"/>
                  <w:checkBox>
                    <w:sizeAuto/>
                    <w:default w:val="1"/>
                  </w:checkBox>
                </w:ffData>
              </w:fldChar>
            </w:r>
            <w:r w:rsidRPr="002975C4">
              <w:rPr>
                <w:szCs w:val="20"/>
              </w:rPr>
              <w:instrText xml:space="preserve"> FORMCHECKBOX </w:instrText>
            </w:r>
            <w:r w:rsidR="008C7082">
              <w:rPr>
                <w:szCs w:val="20"/>
              </w:rPr>
            </w:r>
            <w:r w:rsidR="008C7082">
              <w:rPr>
                <w:szCs w:val="20"/>
              </w:rPr>
              <w:fldChar w:fldCharType="separate"/>
            </w:r>
            <w:r w:rsidRPr="002975C4">
              <w:rPr>
                <w:szCs w:val="20"/>
              </w:rPr>
              <w:fldChar w:fldCharType="end"/>
            </w:r>
            <w:r w:rsidRPr="002975C4">
              <w:rPr>
                <w:szCs w:val="20"/>
              </w:rPr>
              <w:t xml:space="preserve">Medical Practitioners </w:t>
            </w:r>
          </w:p>
        </w:tc>
      </w:tr>
      <w:tr w:rsidR="00B65A3B" w:rsidRPr="00EC6E05" w:rsidTr="00B65A3B">
        <w:trPr>
          <w:trHeight w:val="20"/>
        </w:trPr>
        <w:tc>
          <w:tcPr>
            <w:tcW w:w="1144" w:type="pct"/>
            <w:hideMark/>
          </w:tcPr>
          <w:p w:rsidR="00B65A3B" w:rsidRPr="00EC6E05" w:rsidRDefault="00B65A3B" w:rsidP="00B65A3B">
            <w:pPr>
              <w:pStyle w:val="Tabletext"/>
            </w:pPr>
            <w:r w:rsidRPr="00EC6E05">
              <w:t>PBS indication:</w:t>
            </w:r>
          </w:p>
        </w:tc>
        <w:tc>
          <w:tcPr>
            <w:tcW w:w="3856" w:type="pct"/>
          </w:tcPr>
          <w:p w:rsidR="00B65A3B" w:rsidRPr="00EC6E05" w:rsidRDefault="00B65A3B" w:rsidP="00B65A3B">
            <w:pPr>
              <w:pStyle w:val="Tabletext"/>
            </w:pPr>
            <w:r w:rsidRPr="00EC6E05">
              <w:rPr>
                <w:rFonts w:cs="Arial"/>
                <w:szCs w:val="20"/>
              </w:rPr>
              <w:t>Stage IV clear cell variant renal cell carcinoma (RCC)</w:t>
            </w:r>
          </w:p>
        </w:tc>
      </w:tr>
      <w:tr w:rsidR="00B65A3B" w:rsidRPr="00EC6E05" w:rsidTr="00B65A3B">
        <w:trPr>
          <w:trHeight w:val="20"/>
        </w:trPr>
        <w:tc>
          <w:tcPr>
            <w:tcW w:w="1144" w:type="pct"/>
            <w:hideMark/>
          </w:tcPr>
          <w:p w:rsidR="00B65A3B" w:rsidRPr="00EC6E05" w:rsidRDefault="00B65A3B" w:rsidP="00B65A3B">
            <w:pPr>
              <w:pStyle w:val="Tabletext"/>
            </w:pPr>
            <w:r w:rsidRPr="00EC6E05">
              <w:t>Treatment phase:</w:t>
            </w:r>
          </w:p>
        </w:tc>
        <w:tc>
          <w:tcPr>
            <w:tcW w:w="3856" w:type="pct"/>
          </w:tcPr>
          <w:p w:rsidR="00B65A3B" w:rsidRPr="00EC6E05" w:rsidRDefault="00B65A3B" w:rsidP="00B65A3B">
            <w:pPr>
              <w:pStyle w:val="Tabletext"/>
            </w:pPr>
            <w:r w:rsidRPr="00EC6E05">
              <w:rPr>
                <w:rFonts w:cs="Arial"/>
                <w:szCs w:val="20"/>
              </w:rPr>
              <w:t>Continuation</w:t>
            </w:r>
          </w:p>
        </w:tc>
      </w:tr>
      <w:tr w:rsidR="00B65A3B" w:rsidRPr="00EC6E05" w:rsidTr="00B65A3B">
        <w:trPr>
          <w:trHeight w:val="20"/>
        </w:trPr>
        <w:tc>
          <w:tcPr>
            <w:tcW w:w="1144" w:type="pct"/>
            <w:hideMark/>
          </w:tcPr>
          <w:p w:rsidR="00B65A3B" w:rsidRPr="00EC6E05" w:rsidRDefault="00B65A3B" w:rsidP="00B65A3B">
            <w:pPr>
              <w:pStyle w:val="Tabletext"/>
            </w:pPr>
            <w:r w:rsidRPr="00EC6E05">
              <w:t>Restriction:</w:t>
            </w:r>
          </w:p>
        </w:tc>
        <w:tc>
          <w:tcPr>
            <w:tcW w:w="3856" w:type="pct"/>
          </w:tcPr>
          <w:p w:rsidR="00B65A3B" w:rsidRPr="00EC6E05" w:rsidRDefault="00B65A3B" w:rsidP="00B65A3B">
            <w:pPr>
              <w:pStyle w:val="Tabletext"/>
            </w:pPr>
            <w:r w:rsidRPr="00EC6E05">
              <w:rPr>
                <w:rFonts w:cs="Arial"/>
                <w:szCs w:val="20"/>
              </w:rPr>
              <w:t>Authority Streamlined</w:t>
            </w:r>
          </w:p>
        </w:tc>
      </w:tr>
      <w:tr w:rsidR="00B65A3B" w:rsidRPr="00EC6E05" w:rsidTr="00B65A3B">
        <w:trPr>
          <w:trHeight w:val="20"/>
        </w:trPr>
        <w:tc>
          <w:tcPr>
            <w:tcW w:w="1144" w:type="pct"/>
            <w:hideMark/>
          </w:tcPr>
          <w:p w:rsidR="00B65A3B" w:rsidRPr="00EC6E05" w:rsidRDefault="00B65A3B" w:rsidP="00B65A3B">
            <w:pPr>
              <w:pStyle w:val="Tabletext"/>
            </w:pPr>
            <w:r w:rsidRPr="00EC6E05">
              <w:t>Clinical criteria:</w:t>
            </w:r>
          </w:p>
        </w:tc>
        <w:tc>
          <w:tcPr>
            <w:tcW w:w="3856" w:type="pct"/>
          </w:tcPr>
          <w:p w:rsidR="00B65A3B" w:rsidRPr="00EC6E05" w:rsidRDefault="00B65A3B" w:rsidP="00B65A3B">
            <w:pPr>
              <w:pStyle w:val="Tablebullet"/>
              <w:numPr>
                <w:ilvl w:val="0"/>
                <w:numId w:val="0"/>
              </w:numPr>
              <w:rPr>
                <w:rFonts w:ascii="Arial Narrow" w:hAnsi="Arial Narrow"/>
              </w:rPr>
            </w:pPr>
            <w:r w:rsidRPr="00EC6E05">
              <w:rPr>
                <w:rFonts w:ascii="Arial Narrow" w:hAnsi="Arial Narrow"/>
              </w:rPr>
              <w:t xml:space="preserve">Patient must have previously received PBS-subsidised treatment with this drug for this condition, </w:t>
            </w:r>
          </w:p>
          <w:p w:rsidR="00B65A3B" w:rsidRPr="00EC6E05" w:rsidRDefault="00B65A3B" w:rsidP="00B65A3B">
            <w:pPr>
              <w:pStyle w:val="Tablebullet"/>
              <w:numPr>
                <w:ilvl w:val="0"/>
                <w:numId w:val="0"/>
              </w:numPr>
              <w:rPr>
                <w:rFonts w:ascii="Arial Narrow" w:hAnsi="Arial Narrow"/>
              </w:rPr>
            </w:pPr>
            <w:r w:rsidRPr="00EC6E05">
              <w:rPr>
                <w:rFonts w:ascii="Arial Narrow" w:hAnsi="Arial Narrow"/>
              </w:rPr>
              <w:t xml:space="preserve">AND </w:t>
            </w:r>
          </w:p>
          <w:p w:rsidR="00B65A3B" w:rsidRPr="00EC6E05" w:rsidRDefault="00B65A3B" w:rsidP="00B65A3B">
            <w:pPr>
              <w:pStyle w:val="Tablebullet"/>
              <w:numPr>
                <w:ilvl w:val="0"/>
                <w:numId w:val="0"/>
              </w:numPr>
              <w:rPr>
                <w:rFonts w:ascii="Arial Narrow" w:hAnsi="Arial Narrow"/>
              </w:rPr>
            </w:pPr>
            <w:r w:rsidRPr="00EC6E05">
              <w:rPr>
                <w:rFonts w:ascii="Arial Narrow" w:hAnsi="Arial Narrow"/>
              </w:rPr>
              <w:t>Patient must not have developed disease progression while being treated with this drug for this condition</w:t>
            </w:r>
          </w:p>
          <w:p w:rsidR="00B65A3B" w:rsidRPr="00EC6E05" w:rsidRDefault="00B65A3B" w:rsidP="00B65A3B">
            <w:pPr>
              <w:pStyle w:val="Tablebullet"/>
              <w:numPr>
                <w:ilvl w:val="0"/>
                <w:numId w:val="0"/>
              </w:numPr>
              <w:rPr>
                <w:rFonts w:ascii="Arial Narrow" w:hAnsi="Arial Narrow"/>
              </w:rPr>
            </w:pPr>
            <w:r w:rsidRPr="00EC6E05">
              <w:rPr>
                <w:rFonts w:ascii="Arial Narrow" w:hAnsi="Arial Narrow"/>
              </w:rPr>
              <w:t xml:space="preserve">AND </w:t>
            </w:r>
          </w:p>
          <w:p w:rsidR="00B65A3B" w:rsidRPr="00EC6E05" w:rsidRDefault="00B65A3B" w:rsidP="00B65A3B">
            <w:pPr>
              <w:pStyle w:val="Tabletext"/>
            </w:pPr>
            <w:r w:rsidRPr="00EC6E05">
              <w:t xml:space="preserve">The treatment must be </w:t>
            </w:r>
            <w:proofErr w:type="gramStart"/>
            <w:r w:rsidRPr="00EC6E05">
              <w:t xml:space="preserve">in combination with PBS-subsidised treatment with </w:t>
            </w:r>
            <w:proofErr w:type="spellStart"/>
            <w:r w:rsidRPr="00EC6E05">
              <w:t>axitinib</w:t>
            </w:r>
            <w:proofErr w:type="spellEnd"/>
            <w:r w:rsidRPr="00EC6E05">
              <w:t xml:space="preserve"> for this condition</w:t>
            </w:r>
            <w:proofErr w:type="gramEnd"/>
            <w:r w:rsidRPr="00EC6E05">
              <w:t>.</w:t>
            </w:r>
          </w:p>
        </w:tc>
      </w:tr>
      <w:tr w:rsidR="00FB521E" w:rsidRPr="00EC6E05" w:rsidTr="00B65A3B">
        <w:trPr>
          <w:trHeight w:val="20"/>
        </w:trPr>
        <w:tc>
          <w:tcPr>
            <w:tcW w:w="1144" w:type="pct"/>
          </w:tcPr>
          <w:p w:rsidR="00FB521E" w:rsidRPr="00EC6E05" w:rsidRDefault="00FB521E" w:rsidP="00FB521E">
            <w:pPr>
              <w:pStyle w:val="Tabletext"/>
            </w:pPr>
            <w:r w:rsidRPr="00FB521E">
              <w:t>Caution</w:t>
            </w:r>
          </w:p>
        </w:tc>
        <w:tc>
          <w:tcPr>
            <w:tcW w:w="3856" w:type="pct"/>
          </w:tcPr>
          <w:p w:rsidR="00FB521E" w:rsidRPr="00EC6E05" w:rsidRDefault="00FB521E" w:rsidP="00FB521E">
            <w:pPr>
              <w:pStyle w:val="Tablebullet"/>
              <w:numPr>
                <w:ilvl w:val="0"/>
                <w:numId w:val="0"/>
              </w:numPr>
              <w:rPr>
                <w:rFonts w:ascii="Arial Narrow" w:hAnsi="Arial Narrow"/>
              </w:rPr>
            </w:pPr>
            <w:r>
              <w:rPr>
                <w:rFonts w:ascii="Arial Narrow" w:hAnsi="Arial Narrow"/>
                <w:i/>
              </w:rPr>
              <w:t>T</w:t>
            </w:r>
            <w:r w:rsidRPr="008B2C16">
              <w:rPr>
                <w:rFonts w:ascii="Arial Narrow" w:hAnsi="Arial Narrow"/>
                <w:i/>
              </w:rPr>
              <w:t xml:space="preserve">reatment with </w:t>
            </w:r>
            <w:proofErr w:type="spellStart"/>
            <w:r w:rsidRPr="008B2C16">
              <w:rPr>
                <w:rFonts w:ascii="Arial Narrow" w:hAnsi="Arial Narrow"/>
                <w:i/>
              </w:rPr>
              <w:t>avelumab</w:t>
            </w:r>
            <w:proofErr w:type="spellEnd"/>
            <w:r w:rsidRPr="008B2C16">
              <w:rPr>
                <w:rFonts w:ascii="Arial Narrow" w:hAnsi="Arial Narrow"/>
                <w:i/>
              </w:rPr>
              <w:t xml:space="preserve"> and </w:t>
            </w:r>
            <w:proofErr w:type="spellStart"/>
            <w:r w:rsidRPr="008B2C16">
              <w:rPr>
                <w:rFonts w:ascii="Arial Narrow" w:hAnsi="Arial Narrow"/>
                <w:i/>
              </w:rPr>
              <w:t>axitinib</w:t>
            </w:r>
            <w:proofErr w:type="spellEnd"/>
            <w:r w:rsidRPr="008B2C16">
              <w:rPr>
                <w:rFonts w:ascii="Arial Narrow" w:hAnsi="Arial Narrow"/>
                <w:i/>
              </w:rPr>
              <w:t xml:space="preserve"> is associated with immune-related adverse reactions. Monitoring at least prior to each dose </w:t>
            </w:r>
            <w:proofErr w:type="gramStart"/>
            <w:r w:rsidRPr="008B2C16">
              <w:rPr>
                <w:rFonts w:ascii="Arial Narrow" w:hAnsi="Arial Narrow"/>
                <w:i/>
              </w:rPr>
              <w:t>is recommended</w:t>
            </w:r>
            <w:proofErr w:type="gramEnd"/>
            <w:r w:rsidRPr="008B2C16">
              <w:rPr>
                <w:rFonts w:ascii="Arial Narrow" w:hAnsi="Arial Narrow"/>
                <w:i/>
              </w:rPr>
              <w:t>.</w:t>
            </w:r>
          </w:p>
        </w:tc>
      </w:tr>
      <w:tr w:rsidR="00FB521E" w:rsidRPr="00EC6E05" w:rsidTr="00B65A3B">
        <w:trPr>
          <w:trHeight w:val="20"/>
        </w:trPr>
        <w:tc>
          <w:tcPr>
            <w:tcW w:w="1144" w:type="pct"/>
          </w:tcPr>
          <w:p w:rsidR="00FB521E" w:rsidRPr="00EC6E05" w:rsidRDefault="00FB521E" w:rsidP="00FB521E">
            <w:pPr>
              <w:pStyle w:val="Tabletext"/>
            </w:pPr>
            <w:r w:rsidRPr="00FB521E">
              <w:t>Administrative advice:</w:t>
            </w:r>
          </w:p>
        </w:tc>
        <w:tc>
          <w:tcPr>
            <w:tcW w:w="3856" w:type="pct"/>
          </w:tcPr>
          <w:p w:rsidR="00FB521E" w:rsidRDefault="00FB521E" w:rsidP="00FB521E">
            <w:pPr>
              <w:rPr>
                <w:rFonts w:ascii="Arial Narrow" w:hAnsi="Arial Narrow"/>
                <w:i/>
                <w:snapToGrid w:val="0"/>
                <w:color w:val="000000"/>
                <w:sz w:val="20"/>
                <w:szCs w:val="20"/>
              </w:rPr>
            </w:pPr>
            <w:r w:rsidRPr="002952B3">
              <w:rPr>
                <w:rFonts w:ascii="Arial Narrow" w:hAnsi="Arial Narrow"/>
                <w:i/>
                <w:snapToGrid w:val="0"/>
                <w:color w:val="000000"/>
                <w:sz w:val="20"/>
                <w:szCs w:val="20"/>
              </w:rPr>
              <w:t>No increase in the maximum quantity or number of units may be authorised</w:t>
            </w:r>
          </w:p>
          <w:p w:rsidR="00FB521E" w:rsidRDefault="00FB521E" w:rsidP="00FB521E">
            <w:pPr>
              <w:rPr>
                <w:rFonts w:ascii="Arial Narrow" w:hAnsi="Arial Narrow"/>
                <w:i/>
                <w:snapToGrid w:val="0"/>
                <w:color w:val="000000"/>
                <w:sz w:val="20"/>
                <w:szCs w:val="20"/>
              </w:rPr>
            </w:pPr>
          </w:p>
          <w:p w:rsidR="00FB521E" w:rsidRPr="00EC6E05" w:rsidRDefault="00FB521E" w:rsidP="00FB521E">
            <w:pPr>
              <w:pStyle w:val="Tablebullet"/>
              <w:numPr>
                <w:ilvl w:val="0"/>
                <w:numId w:val="0"/>
              </w:numPr>
              <w:rPr>
                <w:rFonts w:ascii="Arial Narrow" w:hAnsi="Arial Narrow"/>
              </w:rPr>
            </w:pPr>
            <w:r w:rsidRPr="008B2C16">
              <w:rPr>
                <w:rFonts w:ascii="Arial Narrow" w:hAnsi="Arial Narrow"/>
                <w:i/>
                <w:snapToGrid w:val="0"/>
                <w:color w:val="000000"/>
              </w:rPr>
              <w:t>No increase in the maximum numbe</w:t>
            </w:r>
            <w:r>
              <w:rPr>
                <w:rFonts w:ascii="Arial Narrow" w:hAnsi="Arial Narrow"/>
                <w:i/>
                <w:snapToGrid w:val="0"/>
                <w:color w:val="000000"/>
              </w:rPr>
              <w:t>r of repeats may be authorised</w:t>
            </w:r>
          </w:p>
        </w:tc>
      </w:tr>
    </w:tbl>
    <w:p w:rsidR="00B65A3B" w:rsidRPr="00EC6E05" w:rsidRDefault="00B65A3B" w:rsidP="00B65A3B"/>
    <w:p w:rsidR="00B65A3B" w:rsidRPr="00EC6E05" w:rsidRDefault="00B65A3B" w:rsidP="00484B6B">
      <w:pPr>
        <w:keepNext/>
        <w:rPr>
          <w:b/>
          <w:bCs/>
        </w:rPr>
      </w:pPr>
      <w:proofErr w:type="spellStart"/>
      <w:r w:rsidRPr="00EC6E05">
        <w:rPr>
          <w:b/>
          <w:bCs/>
        </w:rPr>
        <w:lastRenderedPageBreak/>
        <w:t>Axitinib</w:t>
      </w:r>
      <w:proofErr w:type="spellEnd"/>
    </w:p>
    <w:tbl>
      <w:tblPr>
        <w:tblW w:w="4977" w:type="pct"/>
        <w:tblInd w:w="28" w:type="dxa"/>
        <w:tblCellMar>
          <w:left w:w="28" w:type="dxa"/>
          <w:right w:w="28" w:type="dxa"/>
        </w:tblCellMar>
        <w:tblLook w:val="0000" w:firstRow="0" w:lastRow="0" w:firstColumn="0" w:lastColumn="0" w:noHBand="0" w:noVBand="0"/>
      </w:tblPr>
      <w:tblGrid>
        <w:gridCol w:w="2055"/>
        <w:gridCol w:w="933"/>
        <w:gridCol w:w="893"/>
        <w:gridCol w:w="1619"/>
        <w:gridCol w:w="1560"/>
        <w:gridCol w:w="1924"/>
      </w:tblGrid>
      <w:tr w:rsidR="00B65A3B" w:rsidRPr="00EC6E05" w:rsidTr="00B65A3B">
        <w:trPr>
          <w:cantSplit/>
          <w:trHeight w:val="463"/>
        </w:trPr>
        <w:tc>
          <w:tcPr>
            <w:tcW w:w="1663" w:type="pct"/>
            <w:gridSpan w:val="2"/>
            <w:tcBorders>
              <w:top w:val="single" w:sz="4" w:space="0" w:color="auto"/>
              <w:bottom w:val="single" w:sz="4" w:space="0" w:color="auto"/>
            </w:tcBorders>
            <w:vAlign w:val="center"/>
          </w:tcPr>
          <w:p w:rsidR="00B65A3B" w:rsidRPr="00EC6E05" w:rsidRDefault="00B65A3B" w:rsidP="00484B6B">
            <w:pPr>
              <w:keepNext/>
              <w:jc w:val="left"/>
              <w:rPr>
                <w:rFonts w:ascii="Arial Narrow" w:hAnsi="Arial Narrow"/>
                <w:b/>
                <w:sz w:val="20"/>
                <w:szCs w:val="20"/>
              </w:rPr>
            </w:pPr>
            <w:r w:rsidRPr="00EC6E05">
              <w:rPr>
                <w:rFonts w:ascii="Arial Narrow" w:hAnsi="Arial Narrow"/>
                <w:b/>
                <w:sz w:val="20"/>
                <w:szCs w:val="20"/>
              </w:rPr>
              <w:t>Name, Restriction,</w:t>
            </w:r>
          </w:p>
          <w:p w:rsidR="00B65A3B" w:rsidRPr="00EC6E05" w:rsidRDefault="00B65A3B" w:rsidP="00484B6B">
            <w:pPr>
              <w:keepNext/>
              <w:jc w:val="left"/>
              <w:rPr>
                <w:rFonts w:ascii="Arial Narrow" w:hAnsi="Arial Narrow"/>
                <w:b/>
                <w:sz w:val="20"/>
                <w:szCs w:val="20"/>
              </w:rPr>
            </w:pPr>
            <w:r w:rsidRPr="00EC6E05">
              <w:rPr>
                <w:rFonts w:ascii="Arial Narrow" w:hAnsi="Arial Narrow"/>
                <w:b/>
                <w:sz w:val="20"/>
                <w:szCs w:val="20"/>
              </w:rPr>
              <w:t>Manner of administration and form</w:t>
            </w:r>
          </w:p>
        </w:tc>
        <w:tc>
          <w:tcPr>
            <w:tcW w:w="497" w:type="pct"/>
            <w:tcBorders>
              <w:top w:val="single" w:sz="4" w:space="0" w:color="auto"/>
              <w:bottom w:val="single" w:sz="4" w:space="0" w:color="auto"/>
            </w:tcBorders>
            <w:vAlign w:val="center"/>
          </w:tcPr>
          <w:p w:rsidR="00B65A3B" w:rsidRPr="00EC6E05" w:rsidRDefault="00B65A3B" w:rsidP="00484B6B">
            <w:pPr>
              <w:keepNext/>
              <w:jc w:val="center"/>
              <w:rPr>
                <w:rFonts w:ascii="Arial Narrow" w:hAnsi="Arial Narrow"/>
                <w:b/>
                <w:sz w:val="20"/>
                <w:szCs w:val="20"/>
              </w:rPr>
            </w:pPr>
            <w:r w:rsidRPr="00EC6E05">
              <w:rPr>
                <w:rFonts w:ascii="Arial Narrow" w:hAnsi="Arial Narrow"/>
                <w:b/>
                <w:sz w:val="20"/>
                <w:szCs w:val="20"/>
              </w:rPr>
              <w:t>Max Qty (pack)</w:t>
            </w:r>
          </w:p>
        </w:tc>
        <w:tc>
          <w:tcPr>
            <w:tcW w:w="901" w:type="pct"/>
            <w:tcBorders>
              <w:top w:val="single" w:sz="4" w:space="0" w:color="auto"/>
              <w:bottom w:val="single" w:sz="4" w:space="0" w:color="auto"/>
            </w:tcBorders>
            <w:vAlign w:val="center"/>
          </w:tcPr>
          <w:p w:rsidR="00B65A3B" w:rsidRPr="00EC6E05" w:rsidRDefault="00B65A3B" w:rsidP="00484B6B">
            <w:pPr>
              <w:keepNext/>
              <w:jc w:val="center"/>
              <w:rPr>
                <w:rFonts w:ascii="Arial Narrow" w:hAnsi="Arial Narrow"/>
                <w:b/>
                <w:sz w:val="20"/>
                <w:szCs w:val="20"/>
              </w:rPr>
            </w:pPr>
            <w:r w:rsidRPr="00EC6E05">
              <w:rPr>
                <w:rFonts w:ascii="Arial Narrow" w:hAnsi="Arial Narrow" w:cs="Times New Roman"/>
                <w:b/>
                <w:sz w:val="20"/>
                <w:szCs w:val="20"/>
              </w:rPr>
              <w:t>№</w:t>
            </w:r>
            <w:r w:rsidRPr="00EC6E05">
              <w:rPr>
                <w:rFonts w:ascii="Arial Narrow" w:hAnsi="Arial Narrow"/>
                <w:b/>
                <w:sz w:val="20"/>
                <w:szCs w:val="20"/>
              </w:rPr>
              <w:t>.of</w:t>
            </w:r>
          </w:p>
          <w:p w:rsidR="00B65A3B" w:rsidRPr="00EC6E05" w:rsidRDefault="00B65A3B" w:rsidP="00484B6B">
            <w:pPr>
              <w:keepNext/>
              <w:jc w:val="center"/>
              <w:rPr>
                <w:rFonts w:ascii="Arial Narrow" w:hAnsi="Arial Narrow"/>
                <w:b/>
                <w:sz w:val="20"/>
                <w:szCs w:val="20"/>
              </w:rPr>
            </w:pPr>
            <w:proofErr w:type="spellStart"/>
            <w:r w:rsidRPr="00EC6E05">
              <w:rPr>
                <w:rFonts w:ascii="Arial Narrow" w:hAnsi="Arial Narrow"/>
                <w:b/>
                <w:sz w:val="20"/>
                <w:szCs w:val="20"/>
              </w:rPr>
              <w:t>Rpts</w:t>
            </w:r>
            <w:proofErr w:type="spellEnd"/>
          </w:p>
        </w:tc>
        <w:tc>
          <w:tcPr>
            <w:tcW w:w="868" w:type="pct"/>
            <w:tcBorders>
              <w:top w:val="single" w:sz="4" w:space="0" w:color="auto"/>
              <w:bottom w:val="single" w:sz="4" w:space="0" w:color="auto"/>
            </w:tcBorders>
            <w:vAlign w:val="center"/>
          </w:tcPr>
          <w:p w:rsidR="00B65A3B" w:rsidRPr="00EC6E05" w:rsidRDefault="00B65A3B" w:rsidP="00484B6B">
            <w:pPr>
              <w:keepNext/>
              <w:jc w:val="center"/>
              <w:rPr>
                <w:rFonts w:ascii="Arial Narrow" w:hAnsi="Arial Narrow"/>
                <w:b/>
                <w:sz w:val="20"/>
                <w:szCs w:val="20"/>
              </w:rPr>
            </w:pPr>
            <w:r w:rsidRPr="00EC6E05">
              <w:rPr>
                <w:rFonts w:ascii="Arial Narrow" w:hAnsi="Arial Narrow"/>
                <w:b/>
                <w:sz w:val="20"/>
                <w:szCs w:val="20"/>
              </w:rPr>
              <w:t>Dispensed Price for Max. Qty</w:t>
            </w:r>
          </w:p>
        </w:tc>
        <w:tc>
          <w:tcPr>
            <w:tcW w:w="1071" w:type="pct"/>
            <w:tcBorders>
              <w:top w:val="single" w:sz="4" w:space="0" w:color="auto"/>
              <w:bottom w:val="single" w:sz="4" w:space="0" w:color="auto"/>
            </w:tcBorders>
            <w:vAlign w:val="center"/>
          </w:tcPr>
          <w:p w:rsidR="00B65A3B" w:rsidRPr="00EC6E05" w:rsidRDefault="00B65A3B" w:rsidP="00484B6B">
            <w:pPr>
              <w:keepNext/>
              <w:jc w:val="center"/>
              <w:rPr>
                <w:rFonts w:ascii="Arial Narrow" w:hAnsi="Arial Narrow"/>
                <w:b/>
                <w:sz w:val="20"/>
                <w:szCs w:val="20"/>
              </w:rPr>
            </w:pPr>
            <w:r w:rsidRPr="00EC6E05">
              <w:rPr>
                <w:rFonts w:ascii="Arial Narrow" w:hAnsi="Arial Narrow"/>
                <w:b/>
                <w:sz w:val="20"/>
                <w:szCs w:val="20"/>
              </w:rPr>
              <w:t>Proprietary Name and Manufacturer</w:t>
            </w:r>
          </w:p>
        </w:tc>
      </w:tr>
      <w:tr w:rsidR="00B65A3B" w:rsidRPr="00EC6E05" w:rsidTr="00B65A3B">
        <w:trPr>
          <w:cantSplit/>
          <w:trHeight w:val="567"/>
        </w:trPr>
        <w:tc>
          <w:tcPr>
            <w:tcW w:w="1663" w:type="pct"/>
            <w:gridSpan w:val="2"/>
            <w:vAlign w:val="center"/>
          </w:tcPr>
          <w:p w:rsidR="00B65A3B" w:rsidRPr="00EC6E05" w:rsidRDefault="00B65A3B" w:rsidP="00B65A3B">
            <w:pPr>
              <w:keepNext/>
              <w:jc w:val="left"/>
              <w:rPr>
                <w:rFonts w:ascii="Arial Narrow" w:hAnsi="Arial Narrow"/>
                <w:sz w:val="20"/>
                <w:szCs w:val="20"/>
              </w:rPr>
            </w:pPr>
            <w:proofErr w:type="spellStart"/>
            <w:r w:rsidRPr="00EC6E05">
              <w:rPr>
                <w:rFonts w:ascii="Arial Narrow" w:hAnsi="Arial Narrow"/>
                <w:sz w:val="20"/>
                <w:szCs w:val="20"/>
              </w:rPr>
              <w:t>Axitinib</w:t>
            </w:r>
            <w:proofErr w:type="spellEnd"/>
            <w:r w:rsidRPr="00EC6E05">
              <w:rPr>
                <w:rFonts w:ascii="Arial Narrow" w:hAnsi="Arial Narrow"/>
                <w:sz w:val="20"/>
                <w:szCs w:val="20"/>
              </w:rPr>
              <w:t xml:space="preserve"> 1 mg tablet, 28</w:t>
            </w:r>
          </w:p>
        </w:tc>
        <w:tc>
          <w:tcPr>
            <w:tcW w:w="497" w:type="pct"/>
            <w:vAlign w:val="center"/>
          </w:tcPr>
          <w:p w:rsidR="00B65A3B" w:rsidRPr="00EC6E05" w:rsidRDefault="00FB521E" w:rsidP="00BB4C40">
            <w:pPr>
              <w:keepNext/>
              <w:jc w:val="center"/>
              <w:rPr>
                <w:rFonts w:ascii="Arial Narrow" w:hAnsi="Arial Narrow"/>
                <w:sz w:val="20"/>
                <w:szCs w:val="20"/>
                <w:vertAlign w:val="superscript"/>
              </w:rPr>
            </w:pPr>
            <w:r w:rsidRPr="00FB521E">
              <w:rPr>
                <w:rFonts w:ascii="Arial Narrow" w:hAnsi="Arial Narrow"/>
                <w:strike/>
                <w:sz w:val="20"/>
                <w:szCs w:val="20"/>
              </w:rPr>
              <w:t>1</w:t>
            </w:r>
            <w:r>
              <w:rPr>
                <w:rFonts w:ascii="Arial Narrow" w:hAnsi="Arial Narrow"/>
                <w:i/>
                <w:sz w:val="20"/>
                <w:szCs w:val="20"/>
              </w:rPr>
              <w:t xml:space="preserve"> </w:t>
            </w:r>
            <w:r w:rsidRPr="00FB521E">
              <w:rPr>
                <w:rFonts w:ascii="Arial Narrow" w:hAnsi="Arial Narrow"/>
                <w:i/>
                <w:sz w:val="20"/>
                <w:szCs w:val="20"/>
              </w:rPr>
              <w:t>2</w:t>
            </w:r>
            <w:r w:rsidR="00BB4C40">
              <w:rPr>
                <w:rFonts w:ascii="Arial Narrow" w:hAnsi="Arial Narrow"/>
                <w:i/>
                <w:sz w:val="20"/>
                <w:szCs w:val="20"/>
              </w:rPr>
              <w:t xml:space="preserve"> </w:t>
            </w:r>
            <w:r w:rsidR="00BB4C40">
              <w:rPr>
                <w:rFonts w:ascii="Arial Narrow" w:hAnsi="Arial Narrow"/>
                <w:i/>
                <w:sz w:val="20"/>
                <w:szCs w:val="20"/>
                <w:vertAlign w:val="superscript"/>
              </w:rPr>
              <w:t>a</w:t>
            </w:r>
          </w:p>
        </w:tc>
        <w:tc>
          <w:tcPr>
            <w:tcW w:w="901" w:type="pct"/>
            <w:vAlign w:val="center"/>
          </w:tcPr>
          <w:p w:rsidR="00B65A3B" w:rsidRPr="00EC6E05" w:rsidRDefault="00FB521E" w:rsidP="00B65A3B">
            <w:pPr>
              <w:keepNext/>
              <w:jc w:val="center"/>
              <w:rPr>
                <w:rFonts w:ascii="Arial Narrow" w:hAnsi="Arial Narrow"/>
                <w:sz w:val="20"/>
                <w:szCs w:val="20"/>
              </w:rPr>
            </w:pPr>
            <w:r w:rsidRPr="00EC6E05">
              <w:rPr>
                <w:rFonts w:ascii="Arial Narrow" w:hAnsi="Arial Narrow"/>
                <w:sz w:val="20"/>
                <w:szCs w:val="20"/>
              </w:rPr>
              <w:t>2</w:t>
            </w:r>
            <w:r>
              <w:rPr>
                <w:rFonts w:ascii="Arial Narrow" w:hAnsi="Arial Narrow"/>
                <w:sz w:val="20"/>
                <w:szCs w:val="20"/>
              </w:rPr>
              <w:t xml:space="preserve"> </w:t>
            </w:r>
            <w:r w:rsidR="00B65A3B" w:rsidRPr="00EC6E05">
              <w:rPr>
                <w:rFonts w:ascii="Arial Narrow" w:hAnsi="Arial Narrow"/>
                <w:sz w:val="20"/>
                <w:szCs w:val="20"/>
              </w:rPr>
              <w:t>(initial)</w:t>
            </w:r>
          </w:p>
          <w:p w:rsidR="00B65A3B" w:rsidRPr="00EC6E05" w:rsidRDefault="00FB521E" w:rsidP="00B65A3B">
            <w:pPr>
              <w:keepNext/>
              <w:jc w:val="center"/>
              <w:rPr>
                <w:rFonts w:ascii="Arial Narrow" w:hAnsi="Arial Narrow"/>
                <w:sz w:val="20"/>
                <w:szCs w:val="20"/>
              </w:rPr>
            </w:pPr>
            <w:r w:rsidRPr="00FB521E">
              <w:rPr>
                <w:rFonts w:ascii="Arial Narrow" w:hAnsi="Arial Narrow"/>
                <w:strike/>
                <w:sz w:val="20"/>
                <w:szCs w:val="20"/>
              </w:rPr>
              <w:t>2</w:t>
            </w:r>
            <w:r w:rsidRPr="00EC6E05">
              <w:rPr>
                <w:rFonts w:ascii="Arial Narrow" w:hAnsi="Arial Narrow"/>
                <w:sz w:val="20"/>
                <w:szCs w:val="20"/>
              </w:rPr>
              <w:t xml:space="preserve"> </w:t>
            </w:r>
            <w:r>
              <w:rPr>
                <w:rFonts w:ascii="Arial Narrow" w:hAnsi="Arial Narrow"/>
                <w:i/>
                <w:sz w:val="20"/>
                <w:szCs w:val="20"/>
              </w:rPr>
              <w:t>5</w:t>
            </w:r>
            <w:r w:rsidR="00BB4C40">
              <w:rPr>
                <w:rFonts w:ascii="Arial Narrow" w:hAnsi="Arial Narrow"/>
                <w:i/>
                <w:sz w:val="20"/>
                <w:szCs w:val="20"/>
              </w:rPr>
              <w:t xml:space="preserve"> </w:t>
            </w:r>
            <w:r w:rsidR="00BB4C40">
              <w:rPr>
                <w:rFonts w:ascii="Arial Narrow" w:hAnsi="Arial Narrow"/>
                <w:i/>
                <w:sz w:val="20"/>
                <w:szCs w:val="20"/>
                <w:vertAlign w:val="superscript"/>
              </w:rPr>
              <w:t>b</w:t>
            </w:r>
            <w:r>
              <w:rPr>
                <w:rFonts w:ascii="Arial Narrow" w:hAnsi="Arial Narrow"/>
                <w:sz w:val="20"/>
                <w:szCs w:val="20"/>
              </w:rPr>
              <w:t xml:space="preserve"> </w:t>
            </w:r>
            <w:r w:rsidR="00B65A3B" w:rsidRPr="00EC6E05">
              <w:rPr>
                <w:rFonts w:ascii="Arial Narrow" w:hAnsi="Arial Narrow"/>
                <w:sz w:val="20"/>
                <w:szCs w:val="20"/>
              </w:rPr>
              <w:t>(continuing)</w:t>
            </w:r>
          </w:p>
          <w:p w:rsidR="00B65A3B" w:rsidRPr="00EC6E05" w:rsidRDefault="00FB521E" w:rsidP="00B65A3B">
            <w:pPr>
              <w:keepNext/>
              <w:jc w:val="center"/>
              <w:rPr>
                <w:rFonts w:ascii="Arial Narrow" w:hAnsi="Arial Narrow"/>
                <w:sz w:val="20"/>
                <w:szCs w:val="20"/>
              </w:rPr>
            </w:pPr>
            <w:r w:rsidRPr="00FB521E">
              <w:rPr>
                <w:rFonts w:ascii="Arial Narrow" w:hAnsi="Arial Narrow"/>
                <w:strike/>
                <w:sz w:val="20"/>
                <w:szCs w:val="20"/>
              </w:rPr>
              <w:t>2</w:t>
            </w:r>
            <w:r w:rsidRPr="00EC6E05">
              <w:rPr>
                <w:rFonts w:ascii="Arial Narrow" w:hAnsi="Arial Narrow"/>
                <w:sz w:val="20"/>
                <w:szCs w:val="20"/>
              </w:rPr>
              <w:t xml:space="preserve"> </w:t>
            </w:r>
            <w:r>
              <w:rPr>
                <w:rFonts w:ascii="Arial Narrow" w:hAnsi="Arial Narrow"/>
                <w:i/>
                <w:sz w:val="20"/>
                <w:szCs w:val="20"/>
              </w:rPr>
              <w:t>5</w:t>
            </w:r>
            <w:r>
              <w:rPr>
                <w:rFonts w:ascii="Arial Narrow" w:hAnsi="Arial Narrow"/>
                <w:sz w:val="20"/>
                <w:szCs w:val="20"/>
              </w:rPr>
              <w:t xml:space="preserve"> </w:t>
            </w:r>
            <w:r w:rsidR="00BB4C40">
              <w:rPr>
                <w:rFonts w:ascii="Arial Narrow" w:hAnsi="Arial Narrow"/>
                <w:i/>
                <w:sz w:val="20"/>
                <w:szCs w:val="20"/>
                <w:vertAlign w:val="superscript"/>
              </w:rPr>
              <w:t>b</w:t>
            </w:r>
            <w:r w:rsidR="00B65A3B" w:rsidRPr="00EC6E05">
              <w:rPr>
                <w:rFonts w:ascii="Arial Narrow" w:hAnsi="Arial Narrow"/>
                <w:sz w:val="20"/>
                <w:szCs w:val="20"/>
              </w:rPr>
              <w:t xml:space="preserve"> (grandfathering)</w:t>
            </w:r>
          </w:p>
        </w:tc>
        <w:tc>
          <w:tcPr>
            <w:tcW w:w="868" w:type="pct"/>
            <w:vAlign w:val="center"/>
          </w:tcPr>
          <w:p w:rsidR="00B65A3B" w:rsidRPr="00177701" w:rsidRDefault="00B65A3B" w:rsidP="00B65A3B">
            <w:pPr>
              <w:keepNext/>
              <w:jc w:val="center"/>
              <w:rPr>
                <w:rFonts w:ascii="Arial Narrow" w:hAnsi="Arial Narrow"/>
                <w:sz w:val="20"/>
                <w:szCs w:val="20"/>
              </w:rPr>
            </w:pPr>
            <w:r w:rsidRPr="00177701">
              <w:rPr>
                <w:rFonts w:ascii="Arial Narrow" w:hAnsi="Arial Narrow"/>
                <w:sz w:val="20"/>
                <w:szCs w:val="20"/>
              </w:rPr>
              <w:t>$</w:t>
            </w:r>
            <w:r w:rsidR="006A083B">
              <w:rPr>
                <w:rFonts w:ascii="Arial Narrow" w:hAnsi="Arial Narrow"/>
                <w:noProof/>
                <w:color w:val="000000"/>
                <w:sz w:val="20"/>
                <w:szCs w:val="20"/>
                <w:highlight w:val="black"/>
              </w:rPr>
              <w:t>''''''''''''''''</w:t>
            </w:r>
          </w:p>
        </w:tc>
        <w:tc>
          <w:tcPr>
            <w:tcW w:w="1071" w:type="pct"/>
          </w:tcPr>
          <w:p w:rsidR="00B65A3B" w:rsidRPr="00EC6E05" w:rsidRDefault="00B65A3B" w:rsidP="00B65A3B">
            <w:pPr>
              <w:keepNext/>
              <w:jc w:val="center"/>
              <w:rPr>
                <w:rFonts w:ascii="Arial Narrow" w:hAnsi="Arial Narrow"/>
                <w:sz w:val="20"/>
                <w:szCs w:val="20"/>
              </w:rPr>
            </w:pPr>
            <w:r w:rsidRPr="00EC6E05">
              <w:rPr>
                <w:rFonts w:ascii="Arial Narrow" w:hAnsi="Arial Narrow"/>
                <w:sz w:val="20"/>
                <w:szCs w:val="20"/>
              </w:rPr>
              <w:t>INLYTA®, Pfizer Australia Pty Ltd</w:t>
            </w:r>
          </w:p>
        </w:tc>
      </w:tr>
      <w:tr w:rsidR="00B65A3B" w:rsidRPr="00EC6E05" w:rsidTr="00B65A3B">
        <w:trPr>
          <w:cantSplit/>
          <w:trHeight w:val="567"/>
        </w:trPr>
        <w:tc>
          <w:tcPr>
            <w:tcW w:w="1663" w:type="pct"/>
            <w:gridSpan w:val="2"/>
            <w:vAlign w:val="center"/>
          </w:tcPr>
          <w:p w:rsidR="00B65A3B" w:rsidRPr="00EC6E05" w:rsidRDefault="00B65A3B" w:rsidP="00B65A3B">
            <w:pPr>
              <w:keepNext/>
              <w:jc w:val="left"/>
              <w:rPr>
                <w:rFonts w:ascii="Arial Narrow" w:hAnsi="Arial Narrow"/>
                <w:sz w:val="20"/>
                <w:szCs w:val="20"/>
              </w:rPr>
            </w:pPr>
            <w:proofErr w:type="spellStart"/>
            <w:r w:rsidRPr="00EC6E05">
              <w:rPr>
                <w:rFonts w:ascii="Arial Narrow" w:hAnsi="Arial Narrow"/>
                <w:sz w:val="20"/>
                <w:szCs w:val="20"/>
              </w:rPr>
              <w:t>Axitinib</w:t>
            </w:r>
            <w:proofErr w:type="spellEnd"/>
            <w:r w:rsidRPr="00EC6E05">
              <w:rPr>
                <w:rFonts w:ascii="Arial Narrow" w:hAnsi="Arial Narrow"/>
                <w:sz w:val="20"/>
                <w:szCs w:val="20"/>
              </w:rPr>
              <w:t xml:space="preserve"> 5 mg tablet, 28</w:t>
            </w:r>
          </w:p>
        </w:tc>
        <w:tc>
          <w:tcPr>
            <w:tcW w:w="497" w:type="pct"/>
            <w:vAlign w:val="center"/>
          </w:tcPr>
          <w:p w:rsidR="00B65A3B" w:rsidRPr="00EC6E05" w:rsidRDefault="00B65A3B" w:rsidP="00B65A3B">
            <w:pPr>
              <w:keepNext/>
              <w:jc w:val="center"/>
              <w:rPr>
                <w:rFonts w:ascii="Arial Narrow" w:hAnsi="Arial Narrow"/>
                <w:sz w:val="20"/>
                <w:szCs w:val="20"/>
              </w:rPr>
            </w:pPr>
            <w:r w:rsidRPr="00EC6E05">
              <w:rPr>
                <w:rFonts w:ascii="Arial Narrow" w:hAnsi="Arial Narrow"/>
                <w:sz w:val="20"/>
                <w:szCs w:val="20"/>
              </w:rPr>
              <w:t>2</w:t>
            </w:r>
          </w:p>
        </w:tc>
        <w:tc>
          <w:tcPr>
            <w:tcW w:w="901" w:type="pct"/>
            <w:vAlign w:val="center"/>
          </w:tcPr>
          <w:p w:rsidR="00BB4C40" w:rsidRDefault="00BB4C40" w:rsidP="00B65A3B">
            <w:pPr>
              <w:keepNext/>
              <w:jc w:val="center"/>
              <w:rPr>
                <w:rFonts w:ascii="Arial Narrow" w:hAnsi="Arial Narrow"/>
                <w:sz w:val="20"/>
                <w:szCs w:val="20"/>
              </w:rPr>
            </w:pPr>
          </w:p>
          <w:p w:rsidR="00B65A3B" w:rsidRPr="00EC6E05" w:rsidRDefault="00B65A3B" w:rsidP="00B65A3B">
            <w:pPr>
              <w:keepNext/>
              <w:jc w:val="center"/>
              <w:rPr>
                <w:rFonts w:ascii="Arial Narrow" w:hAnsi="Arial Narrow"/>
                <w:sz w:val="20"/>
                <w:szCs w:val="20"/>
              </w:rPr>
            </w:pPr>
            <w:r w:rsidRPr="00EC6E05">
              <w:rPr>
                <w:rFonts w:ascii="Arial Narrow" w:hAnsi="Arial Narrow"/>
                <w:sz w:val="20"/>
                <w:szCs w:val="20"/>
              </w:rPr>
              <w:t>2 (initial)</w:t>
            </w:r>
          </w:p>
          <w:p w:rsidR="00B65A3B" w:rsidRPr="00EC6E05" w:rsidRDefault="00B65A3B" w:rsidP="00B65A3B">
            <w:pPr>
              <w:keepNext/>
              <w:jc w:val="center"/>
              <w:rPr>
                <w:rFonts w:ascii="Arial Narrow" w:hAnsi="Arial Narrow"/>
                <w:sz w:val="20"/>
                <w:szCs w:val="20"/>
              </w:rPr>
            </w:pPr>
            <w:r w:rsidRPr="00EC6E05">
              <w:rPr>
                <w:rFonts w:ascii="Arial Narrow" w:hAnsi="Arial Narrow"/>
                <w:sz w:val="20"/>
                <w:szCs w:val="20"/>
              </w:rPr>
              <w:t>5 (continuing)</w:t>
            </w:r>
          </w:p>
          <w:p w:rsidR="00B65A3B" w:rsidRPr="00EC6E05" w:rsidRDefault="00FB521E" w:rsidP="00FB521E">
            <w:pPr>
              <w:keepNext/>
              <w:jc w:val="center"/>
              <w:rPr>
                <w:rFonts w:ascii="Arial Narrow" w:hAnsi="Arial Narrow"/>
                <w:sz w:val="20"/>
                <w:szCs w:val="20"/>
              </w:rPr>
            </w:pPr>
            <w:r w:rsidRPr="00FB521E">
              <w:rPr>
                <w:rFonts w:ascii="Arial Narrow" w:hAnsi="Arial Narrow"/>
                <w:strike/>
                <w:sz w:val="20"/>
                <w:szCs w:val="20"/>
              </w:rPr>
              <w:t>2</w:t>
            </w:r>
            <w:r w:rsidRPr="00EC6E05">
              <w:rPr>
                <w:rFonts w:ascii="Arial Narrow" w:hAnsi="Arial Narrow"/>
                <w:sz w:val="20"/>
                <w:szCs w:val="20"/>
              </w:rPr>
              <w:t xml:space="preserve"> </w:t>
            </w:r>
            <w:r>
              <w:rPr>
                <w:rFonts w:ascii="Arial Narrow" w:hAnsi="Arial Narrow"/>
                <w:i/>
                <w:sz w:val="20"/>
                <w:szCs w:val="20"/>
              </w:rPr>
              <w:t>5</w:t>
            </w:r>
            <w:r>
              <w:rPr>
                <w:rFonts w:ascii="Arial Narrow" w:hAnsi="Arial Narrow"/>
                <w:sz w:val="20"/>
                <w:szCs w:val="20"/>
              </w:rPr>
              <w:t xml:space="preserve"> </w:t>
            </w:r>
            <w:r w:rsidR="00BB4C40">
              <w:rPr>
                <w:rFonts w:ascii="Arial Narrow" w:hAnsi="Arial Narrow"/>
                <w:i/>
                <w:sz w:val="20"/>
                <w:szCs w:val="20"/>
                <w:vertAlign w:val="superscript"/>
              </w:rPr>
              <w:t>b</w:t>
            </w:r>
            <w:r w:rsidR="00BB4C40" w:rsidRPr="00EC6E05">
              <w:rPr>
                <w:rFonts w:ascii="Arial Narrow" w:hAnsi="Arial Narrow"/>
                <w:sz w:val="20"/>
                <w:szCs w:val="20"/>
              </w:rPr>
              <w:t xml:space="preserve"> </w:t>
            </w:r>
            <w:r w:rsidR="00B65A3B" w:rsidRPr="00EC6E05">
              <w:rPr>
                <w:rFonts w:ascii="Arial Narrow" w:hAnsi="Arial Narrow"/>
                <w:sz w:val="20"/>
                <w:szCs w:val="20"/>
              </w:rPr>
              <w:t>(grandfathering)</w:t>
            </w:r>
          </w:p>
        </w:tc>
        <w:tc>
          <w:tcPr>
            <w:tcW w:w="868" w:type="pct"/>
            <w:vAlign w:val="center"/>
          </w:tcPr>
          <w:p w:rsidR="00B65A3B" w:rsidRPr="00177701" w:rsidRDefault="00B65A3B" w:rsidP="00B65A3B">
            <w:pPr>
              <w:pStyle w:val="Tablecentre"/>
              <w:keepNext/>
              <w:rPr>
                <w:rFonts w:ascii="Arial Narrow" w:hAnsi="Arial Narrow"/>
              </w:rPr>
            </w:pPr>
            <w:r w:rsidRPr="00177701">
              <w:rPr>
                <w:rFonts w:ascii="Arial Narrow" w:hAnsi="Arial Narrow"/>
              </w:rPr>
              <w:t>$</w:t>
            </w:r>
            <w:r w:rsidR="006A083B">
              <w:rPr>
                <w:rFonts w:ascii="Arial Narrow" w:hAnsi="Arial Narrow"/>
                <w:noProof/>
                <w:color w:val="000000"/>
                <w:highlight w:val="black"/>
              </w:rPr>
              <w:t>'''''''''''''''''''''</w:t>
            </w:r>
          </w:p>
        </w:tc>
        <w:tc>
          <w:tcPr>
            <w:tcW w:w="1071" w:type="pct"/>
            <w:vAlign w:val="center"/>
          </w:tcPr>
          <w:p w:rsidR="00B65A3B" w:rsidRPr="00EC6E05" w:rsidRDefault="00B65A3B" w:rsidP="00B65A3B">
            <w:pPr>
              <w:keepNext/>
              <w:jc w:val="center"/>
              <w:rPr>
                <w:rFonts w:ascii="Arial Narrow" w:hAnsi="Arial Narrow"/>
                <w:sz w:val="20"/>
                <w:szCs w:val="20"/>
              </w:rPr>
            </w:pPr>
            <w:r w:rsidRPr="00EC6E05">
              <w:rPr>
                <w:rFonts w:ascii="Arial Narrow" w:hAnsi="Arial Narrow"/>
                <w:sz w:val="20"/>
                <w:szCs w:val="20"/>
              </w:rPr>
              <w:t>INLYTA®, Pfizer Australia Pty Ltd</w:t>
            </w:r>
          </w:p>
        </w:tc>
      </w:tr>
      <w:tr w:rsidR="00B65A3B" w:rsidRPr="00EC6E05" w:rsidTr="00B65A3B">
        <w:trPr>
          <w:cantSplit/>
          <w:trHeight w:val="279"/>
        </w:trPr>
        <w:tc>
          <w:tcPr>
            <w:tcW w:w="5000" w:type="pct"/>
            <w:gridSpan w:val="6"/>
            <w:vAlign w:val="center"/>
          </w:tcPr>
          <w:p w:rsidR="00B65A3B" w:rsidRPr="00EC6E05" w:rsidRDefault="00B65A3B" w:rsidP="00B65A3B">
            <w:pPr>
              <w:keepNext/>
              <w:jc w:val="left"/>
              <w:rPr>
                <w:rFonts w:ascii="Arial Narrow" w:hAnsi="Arial Narrow"/>
                <w:sz w:val="20"/>
                <w:szCs w:val="20"/>
              </w:rPr>
            </w:pPr>
            <w:proofErr w:type="spellStart"/>
            <w:r w:rsidRPr="00EC6E05">
              <w:rPr>
                <w:b/>
                <w:bCs/>
              </w:rPr>
              <w:t>Axitinib</w:t>
            </w:r>
            <w:proofErr w:type="spellEnd"/>
            <w:r w:rsidRPr="00EC6E05">
              <w:rPr>
                <w:b/>
                <w:bCs/>
              </w:rPr>
              <w:t xml:space="preserve"> (Initial treatment)</w:t>
            </w:r>
          </w:p>
        </w:tc>
      </w:tr>
      <w:tr w:rsidR="00B65A3B" w:rsidRPr="00EC6E05" w:rsidTr="00B65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44" w:type="pct"/>
            <w:tcBorders>
              <w:top w:val="single" w:sz="4" w:space="0" w:color="auto"/>
              <w:left w:val="single" w:sz="4" w:space="0" w:color="auto"/>
              <w:bottom w:val="single" w:sz="4" w:space="0" w:color="auto"/>
              <w:right w:val="single" w:sz="4" w:space="0" w:color="auto"/>
            </w:tcBorders>
            <w:hideMark/>
          </w:tcPr>
          <w:p w:rsidR="00B65A3B" w:rsidRPr="00EC6E05" w:rsidRDefault="00B65A3B" w:rsidP="00B65A3B">
            <w:pPr>
              <w:pStyle w:val="Tabletext"/>
            </w:pPr>
            <w:r w:rsidRPr="00EC6E05">
              <w:t>Category/Program:</w:t>
            </w:r>
          </w:p>
        </w:tc>
        <w:tc>
          <w:tcPr>
            <w:tcW w:w="3856" w:type="pct"/>
            <w:gridSpan w:val="5"/>
            <w:tcBorders>
              <w:top w:val="single" w:sz="4" w:space="0" w:color="auto"/>
              <w:left w:val="single" w:sz="4" w:space="0" w:color="auto"/>
              <w:bottom w:val="single" w:sz="4" w:space="0" w:color="auto"/>
              <w:right w:val="single" w:sz="4" w:space="0" w:color="auto"/>
            </w:tcBorders>
          </w:tcPr>
          <w:p w:rsidR="00B65A3B" w:rsidRPr="00EC6E05" w:rsidRDefault="00B65A3B" w:rsidP="00B65A3B">
            <w:pPr>
              <w:pStyle w:val="Tabletext"/>
            </w:pPr>
            <w:r w:rsidRPr="00EC6E05">
              <w:rPr>
                <w:rFonts w:cs="Arial"/>
                <w:szCs w:val="20"/>
              </w:rPr>
              <w:t>GENERAL – General Schedule (Code GE)</w:t>
            </w:r>
          </w:p>
        </w:tc>
      </w:tr>
      <w:tr w:rsidR="00B65A3B" w:rsidRPr="00EC6E05" w:rsidTr="00B65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44" w:type="pct"/>
            <w:tcBorders>
              <w:top w:val="single" w:sz="4" w:space="0" w:color="auto"/>
              <w:left w:val="single" w:sz="4" w:space="0" w:color="auto"/>
              <w:bottom w:val="single" w:sz="4" w:space="0" w:color="auto"/>
              <w:right w:val="single" w:sz="4" w:space="0" w:color="auto"/>
            </w:tcBorders>
            <w:hideMark/>
          </w:tcPr>
          <w:p w:rsidR="00B65A3B" w:rsidRPr="00EC6E05" w:rsidRDefault="00B65A3B" w:rsidP="00B65A3B">
            <w:pPr>
              <w:pStyle w:val="Tabletext"/>
            </w:pPr>
            <w:r w:rsidRPr="00EC6E05">
              <w:t>PBS indication:</w:t>
            </w:r>
          </w:p>
        </w:tc>
        <w:tc>
          <w:tcPr>
            <w:tcW w:w="3856" w:type="pct"/>
            <w:gridSpan w:val="5"/>
            <w:tcBorders>
              <w:top w:val="single" w:sz="4" w:space="0" w:color="auto"/>
              <w:left w:val="single" w:sz="4" w:space="0" w:color="auto"/>
              <w:bottom w:val="single" w:sz="4" w:space="0" w:color="auto"/>
              <w:right w:val="single" w:sz="4" w:space="0" w:color="auto"/>
            </w:tcBorders>
          </w:tcPr>
          <w:p w:rsidR="00B65A3B" w:rsidRPr="00EC6E05" w:rsidRDefault="00B65A3B" w:rsidP="00B65A3B">
            <w:pPr>
              <w:pStyle w:val="Tabletext"/>
            </w:pPr>
            <w:r w:rsidRPr="00EC6E05">
              <w:rPr>
                <w:rFonts w:cs="Arial"/>
                <w:szCs w:val="20"/>
              </w:rPr>
              <w:t>Stage IV clear cell variant renal cell carcinoma (RCC)</w:t>
            </w:r>
          </w:p>
        </w:tc>
      </w:tr>
      <w:tr w:rsidR="00B65A3B" w:rsidRPr="00EC6E05" w:rsidTr="00B65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44" w:type="pct"/>
            <w:tcBorders>
              <w:top w:val="single" w:sz="4" w:space="0" w:color="auto"/>
              <w:left w:val="single" w:sz="4" w:space="0" w:color="auto"/>
              <w:bottom w:val="single" w:sz="4" w:space="0" w:color="auto"/>
              <w:right w:val="single" w:sz="4" w:space="0" w:color="auto"/>
            </w:tcBorders>
            <w:hideMark/>
          </w:tcPr>
          <w:p w:rsidR="00B65A3B" w:rsidRPr="00EC6E05" w:rsidRDefault="00B65A3B" w:rsidP="00B65A3B">
            <w:pPr>
              <w:pStyle w:val="Tabletext"/>
            </w:pPr>
            <w:r w:rsidRPr="00EC6E05">
              <w:t>Treatment phase:</w:t>
            </w:r>
          </w:p>
        </w:tc>
        <w:tc>
          <w:tcPr>
            <w:tcW w:w="3856" w:type="pct"/>
            <w:gridSpan w:val="5"/>
            <w:tcBorders>
              <w:top w:val="single" w:sz="4" w:space="0" w:color="auto"/>
              <w:left w:val="single" w:sz="4" w:space="0" w:color="auto"/>
              <w:bottom w:val="single" w:sz="4" w:space="0" w:color="auto"/>
              <w:right w:val="single" w:sz="4" w:space="0" w:color="auto"/>
            </w:tcBorders>
          </w:tcPr>
          <w:p w:rsidR="00B65A3B" w:rsidRPr="00EC6E05" w:rsidRDefault="00B65A3B" w:rsidP="00B65A3B">
            <w:pPr>
              <w:pStyle w:val="Tabletext"/>
            </w:pPr>
            <w:r w:rsidRPr="00EC6E05">
              <w:rPr>
                <w:rFonts w:cs="Arial"/>
                <w:szCs w:val="20"/>
              </w:rPr>
              <w:t xml:space="preserve">Initial treatment </w:t>
            </w:r>
          </w:p>
        </w:tc>
      </w:tr>
      <w:tr w:rsidR="00B65A3B" w:rsidRPr="00EC6E05" w:rsidTr="00B65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44" w:type="pct"/>
            <w:tcBorders>
              <w:top w:val="single" w:sz="4" w:space="0" w:color="auto"/>
              <w:left w:val="single" w:sz="4" w:space="0" w:color="auto"/>
              <w:bottom w:val="single" w:sz="4" w:space="0" w:color="auto"/>
              <w:right w:val="single" w:sz="4" w:space="0" w:color="auto"/>
            </w:tcBorders>
            <w:hideMark/>
          </w:tcPr>
          <w:p w:rsidR="00B65A3B" w:rsidRPr="00EC6E05" w:rsidRDefault="00B65A3B" w:rsidP="00B65A3B">
            <w:pPr>
              <w:pStyle w:val="Tabletext"/>
            </w:pPr>
            <w:r w:rsidRPr="00EC6E05">
              <w:t>Restriction:</w:t>
            </w:r>
          </w:p>
        </w:tc>
        <w:tc>
          <w:tcPr>
            <w:tcW w:w="3856" w:type="pct"/>
            <w:gridSpan w:val="5"/>
            <w:tcBorders>
              <w:top w:val="single" w:sz="4" w:space="0" w:color="auto"/>
              <w:left w:val="single" w:sz="4" w:space="0" w:color="auto"/>
              <w:bottom w:val="single" w:sz="4" w:space="0" w:color="auto"/>
              <w:right w:val="single" w:sz="4" w:space="0" w:color="auto"/>
            </w:tcBorders>
          </w:tcPr>
          <w:p w:rsidR="00B65A3B" w:rsidRPr="00EC6E05" w:rsidRDefault="00B65A3B" w:rsidP="00B65A3B">
            <w:pPr>
              <w:pStyle w:val="Tabletext"/>
            </w:pPr>
            <w:r w:rsidRPr="00EC6E05">
              <w:rPr>
                <w:rFonts w:cs="Arial"/>
                <w:szCs w:val="20"/>
              </w:rPr>
              <w:t>Authority Streamlined</w:t>
            </w:r>
          </w:p>
        </w:tc>
      </w:tr>
      <w:tr w:rsidR="00B65A3B" w:rsidRPr="00EC6E05" w:rsidTr="00B65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44" w:type="pct"/>
            <w:tcBorders>
              <w:top w:val="single" w:sz="4" w:space="0" w:color="auto"/>
              <w:left w:val="single" w:sz="4" w:space="0" w:color="auto"/>
              <w:bottom w:val="single" w:sz="4" w:space="0" w:color="auto"/>
              <w:right w:val="single" w:sz="4" w:space="0" w:color="auto"/>
            </w:tcBorders>
            <w:hideMark/>
          </w:tcPr>
          <w:p w:rsidR="00B65A3B" w:rsidRPr="00EC6E05" w:rsidRDefault="00B65A3B" w:rsidP="00B65A3B">
            <w:pPr>
              <w:pStyle w:val="Tabletext"/>
            </w:pPr>
            <w:r w:rsidRPr="00EC6E05">
              <w:t>Clinical criteria:</w:t>
            </w:r>
          </w:p>
        </w:tc>
        <w:tc>
          <w:tcPr>
            <w:tcW w:w="3856" w:type="pct"/>
            <w:gridSpan w:val="5"/>
            <w:tcBorders>
              <w:top w:val="single" w:sz="4" w:space="0" w:color="auto"/>
              <w:left w:val="single" w:sz="4" w:space="0" w:color="auto"/>
              <w:bottom w:val="single" w:sz="4" w:space="0" w:color="auto"/>
              <w:right w:val="single" w:sz="4" w:space="0" w:color="auto"/>
            </w:tcBorders>
          </w:tcPr>
          <w:p w:rsidR="00B65A3B" w:rsidRPr="00EC6E05" w:rsidRDefault="00B65A3B" w:rsidP="00B65A3B">
            <w:pPr>
              <w:pStyle w:val="Tablebullet"/>
              <w:numPr>
                <w:ilvl w:val="0"/>
                <w:numId w:val="0"/>
              </w:numPr>
              <w:ind w:left="360" w:hanging="360"/>
              <w:rPr>
                <w:rFonts w:ascii="Arial Narrow" w:hAnsi="Arial Narrow"/>
              </w:rPr>
            </w:pPr>
            <w:r w:rsidRPr="00EC6E05">
              <w:rPr>
                <w:rFonts w:ascii="Arial Narrow" w:hAnsi="Arial Narrow"/>
              </w:rPr>
              <w:t>The condition must not have previously been treated</w:t>
            </w:r>
          </w:p>
          <w:p w:rsidR="00B65A3B" w:rsidRPr="00EC6E05" w:rsidRDefault="00B65A3B" w:rsidP="00B65A3B">
            <w:pPr>
              <w:pStyle w:val="Tablebullet"/>
              <w:numPr>
                <w:ilvl w:val="0"/>
                <w:numId w:val="0"/>
              </w:numPr>
              <w:ind w:left="360" w:hanging="360"/>
              <w:rPr>
                <w:rFonts w:ascii="Arial Narrow" w:hAnsi="Arial Narrow"/>
              </w:rPr>
            </w:pPr>
            <w:r w:rsidRPr="00EC6E05">
              <w:rPr>
                <w:rFonts w:ascii="Arial Narrow" w:hAnsi="Arial Narrow"/>
              </w:rPr>
              <w:t xml:space="preserve">AND </w:t>
            </w:r>
          </w:p>
          <w:p w:rsidR="00B65A3B" w:rsidRPr="00EC6E05" w:rsidRDefault="00B65A3B" w:rsidP="00B65A3B">
            <w:pPr>
              <w:pStyle w:val="Tablebullet"/>
              <w:numPr>
                <w:ilvl w:val="0"/>
                <w:numId w:val="0"/>
              </w:numPr>
              <w:ind w:left="360" w:hanging="360"/>
              <w:rPr>
                <w:rFonts w:ascii="Arial Narrow" w:hAnsi="Arial Narrow"/>
              </w:rPr>
            </w:pPr>
            <w:r w:rsidRPr="00EC6E05">
              <w:rPr>
                <w:rFonts w:ascii="Arial Narrow" w:hAnsi="Arial Narrow"/>
              </w:rPr>
              <w:t xml:space="preserve">Patient must have a WHO performance status of 2 or less, </w:t>
            </w:r>
          </w:p>
          <w:p w:rsidR="00B65A3B" w:rsidRPr="00EC6E05" w:rsidRDefault="00B65A3B" w:rsidP="00B65A3B">
            <w:pPr>
              <w:pStyle w:val="Tablebullet"/>
              <w:numPr>
                <w:ilvl w:val="0"/>
                <w:numId w:val="0"/>
              </w:numPr>
              <w:rPr>
                <w:rFonts w:ascii="Arial Narrow" w:hAnsi="Arial Narrow"/>
              </w:rPr>
            </w:pPr>
            <w:r w:rsidRPr="00EC6E05">
              <w:rPr>
                <w:rFonts w:ascii="Arial Narrow" w:hAnsi="Arial Narrow"/>
              </w:rPr>
              <w:t xml:space="preserve">AND </w:t>
            </w:r>
          </w:p>
          <w:p w:rsidR="00B65A3B" w:rsidRPr="00EC6E05" w:rsidRDefault="00B65A3B" w:rsidP="00B65A3B">
            <w:pPr>
              <w:pStyle w:val="Tabletext"/>
            </w:pPr>
            <w:r w:rsidRPr="00EC6E05">
              <w:t xml:space="preserve">The treatment must be </w:t>
            </w:r>
            <w:proofErr w:type="gramStart"/>
            <w:r w:rsidRPr="00EC6E05">
              <w:t xml:space="preserve">in combination with PBS-subsidised treatment with </w:t>
            </w:r>
            <w:proofErr w:type="spellStart"/>
            <w:r w:rsidRPr="00EC6E05">
              <w:t>avelumab</w:t>
            </w:r>
            <w:proofErr w:type="spellEnd"/>
            <w:r w:rsidRPr="00EC6E05">
              <w:t xml:space="preserve"> for this condition</w:t>
            </w:r>
            <w:proofErr w:type="gramEnd"/>
            <w:r w:rsidRPr="00EC6E05">
              <w:t>.</w:t>
            </w:r>
          </w:p>
        </w:tc>
      </w:tr>
      <w:tr w:rsidR="00FB521E" w:rsidRPr="00EC6E05" w:rsidTr="00B65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44" w:type="pct"/>
            <w:tcBorders>
              <w:top w:val="single" w:sz="4" w:space="0" w:color="auto"/>
              <w:left w:val="single" w:sz="4" w:space="0" w:color="auto"/>
              <w:bottom w:val="single" w:sz="4" w:space="0" w:color="auto"/>
              <w:right w:val="single" w:sz="4" w:space="0" w:color="auto"/>
            </w:tcBorders>
          </w:tcPr>
          <w:p w:rsidR="00FB521E" w:rsidRPr="00EC6E05" w:rsidRDefault="00FB521E" w:rsidP="00FB521E">
            <w:pPr>
              <w:pStyle w:val="Tabletext"/>
            </w:pPr>
            <w:r w:rsidRPr="00FB521E">
              <w:t>Prescriber Instructions:</w:t>
            </w:r>
          </w:p>
        </w:tc>
        <w:tc>
          <w:tcPr>
            <w:tcW w:w="3856" w:type="pct"/>
            <w:gridSpan w:val="5"/>
            <w:tcBorders>
              <w:top w:val="single" w:sz="4" w:space="0" w:color="auto"/>
              <w:left w:val="single" w:sz="4" w:space="0" w:color="auto"/>
              <w:bottom w:val="single" w:sz="4" w:space="0" w:color="auto"/>
              <w:right w:val="single" w:sz="4" w:space="0" w:color="auto"/>
            </w:tcBorders>
          </w:tcPr>
          <w:p w:rsidR="00FB521E" w:rsidRPr="00FB521E" w:rsidRDefault="00FB521E" w:rsidP="00FB521E">
            <w:pPr>
              <w:pStyle w:val="Tablebullet"/>
              <w:numPr>
                <w:ilvl w:val="0"/>
                <w:numId w:val="0"/>
              </w:numPr>
              <w:tabs>
                <w:tab w:val="clear" w:pos="416"/>
              </w:tabs>
              <w:rPr>
                <w:rFonts w:ascii="Arial Narrow" w:hAnsi="Arial Narrow"/>
                <w:i/>
                <w:u w:val="single"/>
              </w:rPr>
            </w:pPr>
            <w:r w:rsidRPr="00FB521E">
              <w:rPr>
                <w:rFonts w:ascii="Arial Narrow" w:hAnsi="Arial Narrow"/>
                <w:i/>
                <w:u w:val="single"/>
              </w:rPr>
              <w:t>1 mg strength only</w:t>
            </w:r>
          </w:p>
          <w:p w:rsidR="00FB521E" w:rsidRDefault="00FB521E" w:rsidP="00FB521E">
            <w:pPr>
              <w:pStyle w:val="Tablebullet"/>
              <w:numPr>
                <w:ilvl w:val="0"/>
                <w:numId w:val="0"/>
              </w:numPr>
              <w:tabs>
                <w:tab w:val="clear" w:pos="416"/>
              </w:tabs>
              <w:rPr>
                <w:rFonts w:ascii="Arial Narrow" w:hAnsi="Arial Narrow"/>
                <w:i/>
              </w:rPr>
            </w:pPr>
            <w:r w:rsidRPr="0088043E">
              <w:rPr>
                <w:rFonts w:ascii="Arial Narrow" w:hAnsi="Arial Narrow"/>
                <w:i/>
              </w:rPr>
              <w:t>Prescribers may request an increased maximum quantity sufficient to provide up to one month's supply for patients who require dose adjustment</w:t>
            </w:r>
          </w:p>
          <w:p w:rsidR="00FB521E" w:rsidRDefault="00FB521E" w:rsidP="00FB521E">
            <w:pPr>
              <w:pStyle w:val="Tablebullet"/>
              <w:numPr>
                <w:ilvl w:val="0"/>
                <w:numId w:val="0"/>
              </w:numPr>
              <w:tabs>
                <w:tab w:val="clear" w:pos="416"/>
              </w:tabs>
              <w:rPr>
                <w:rFonts w:ascii="Arial Narrow" w:hAnsi="Arial Narrow"/>
                <w:i/>
              </w:rPr>
            </w:pPr>
          </w:p>
          <w:p w:rsidR="00FB521E" w:rsidRPr="00FB521E" w:rsidRDefault="00FB521E" w:rsidP="00FB521E">
            <w:pPr>
              <w:pStyle w:val="Tablebullet"/>
              <w:numPr>
                <w:ilvl w:val="0"/>
                <w:numId w:val="0"/>
              </w:numPr>
              <w:tabs>
                <w:tab w:val="clear" w:pos="416"/>
              </w:tabs>
              <w:rPr>
                <w:rFonts w:ascii="Arial Narrow" w:hAnsi="Arial Narrow"/>
                <w:i/>
                <w:u w:val="single"/>
              </w:rPr>
            </w:pPr>
            <w:r w:rsidRPr="00FB521E">
              <w:rPr>
                <w:rFonts w:ascii="Arial Narrow" w:hAnsi="Arial Narrow"/>
                <w:i/>
                <w:u w:val="single"/>
              </w:rPr>
              <w:t>5 mg strength only</w:t>
            </w:r>
          </w:p>
          <w:p w:rsidR="00FB521E" w:rsidRPr="00FB521E" w:rsidRDefault="00FB521E" w:rsidP="00FB521E">
            <w:pPr>
              <w:pStyle w:val="Tablebullet"/>
              <w:numPr>
                <w:ilvl w:val="0"/>
                <w:numId w:val="0"/>
              </w:numPr>
              <w:ind w:left="360" w:hanging="360"/>
              <w:rPr>
                <w:rFonts w:ascii="Arial Narrow" w:hAnsi="Arial Narrow"/>
                <w:i/>
              </w:rPr>
            </w:pPr>
            <w:r w:rsidRPr="00FB521E">
              <w:rPr>
                <w:rFonts w:ascii="Arial Narrow" w:hAnsi="Arial Narrow"/>
                <w:i/>
              </w:rPr>
              <w:t>No increase in the maximum quantity or number of units may be authorised.</w:t>
            </w:r>
          </w:p>
          <w:p w:rsidR="00FB521E" w:rsidRPr="00EC6E05" w:rsidRDefault="00FB521E" w:rsidP="00FB521E">
            <w:pPr>
              <w:pStyle w:val="Tablebullet"/>
              <w:numPr>
                <w:ilvl w:val="0"/>
                <w:numId w:val="0"/>
              </w:numPr>
              <w:tabs>
                <w:tab w:val="clear" w:pos="416"/>
              </w:tabs>
              <w:rPr>
                <w:rFonts w:ascii="Arial Narrow" w:hAnsi="Arial Narrow"/>
              </w:rPr>
            </w:pPr>
            <w:r w:rsidRPr="00FB521E">
              <w:rPr>
                <w:rFonts w:ascii="Arial Narrow" w:hAnsi="Arial Narrow"/>
                <w:i/>
              </w:rPr>
              <w:t>No increase in the maximum number of repeats may be authorised.</w:t>
            </w:r>
          </w:p>
        </w:tc>
      </w:tr>
      <w:tr w:rsidR="00FB521E" w:rsidRPr="00EC6E05" w:rsidTr="00B65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44" w:type="pct"/>
            <w:tcBorders>
              <w:top w:val="single" w:sz="4" w:space="0" w:color="auto"/>
              <w:left w:val="single" w:sz="4" w:space="0" w:color="auto"/>
              <w:bottom w:val="single" w:sz="4" w:space="0" w:color="auto"/>
              <w:right w:val="single" w:sz="4" w:space="0" w:color="auto"/>
            </w:tcBorders>
          </w:tcPr>
          <w:p w:rsidR="00FB521E" w:rsidRPr="00EC6E05" w:rsidRDefault="00FB521E" w:rsidP="00FB521E">
            <w:pPr>
              <w:pStyle w:val="Tabletext"/>
            </w:pPr>
            <w:r w:rsidRPr="00FB521E">
              <w:t>Caution</w:t>
            </w:r>
          </w:p>
        </w:tc>
        <w:tc>
          <w:tcPr>
            <w:tcW w:w="3856" w:type="pct"/>
            <w:gridSpan w:val="5"/>
            <w:tcBorders>
              <w:top w:val="single" w:sz="4" w:space="0" w:color="auto"/>
              <w:left w:val="single" w:sz="4" w:space="0" w:color="auto"/>
              <w:bottom w:val="single" w:sz="4" w:space="0" w:color="auto"/>
              <w:right w:val="single" w:sz="4" w:space="0" w:color="auto"/>
            </w:tcBorders>
          </w:tcPr>
          <w:p w:rsidR="00FB521E" w:rsidRPr="00EC6E05" w:rsidRDefault="00FB521E" w:rsidP="00FB521E">
            <w:pPr>
              <w:pStyle w:val="Tablebullet"/>
              <w:numPr>
                <w:ilvl w:val="0"/>
                <w:numId w:val="0"/>
              </w:numPr>
              <w:tabs>
                <w:tab w:val="clear" w:pos="416"/>
              </w:tabs>
              <w:rPr>
                <w:rFonts w:ascii="Arial Narrow" w:hAnsi="Arial Narrow"/>
              </w:rPr>
            </w:pPr>
            <w:r w:rsidRPr="008B2C16">
              <w:rPr>
                <w:rFonts w:ascii="Arial Narrow" w:hAnsi="Arial Narrow"/>
                <w:i/>
              </w:rPr>
              <w:t xml:space="preserve">Combination treatment with </w:t>
            </w:r>
            <w:proofErr w:type="spellStart"/>
            <w:r w:rsidRPr="008B2C16">
              <w:rPr>
                <w:rFonts w:ascii="Arial Narrow" w:hAnsi="Arial Narrow"/>
                <w:i/>
              </w:rPr>
              <w:t>avelumab</w:t>
            </w:r>
            <w:proofErr w:type="spellEnd"/>
            <w:r w:rsidRPr="008B2C16">
              <w:rPr>
                <w:rFonts w:ascii="Arial Narrow" w:hAnsi="Arial Narrow"/>
                <w:i/>
              </w:rPr>
              <w:t xml:space="preserve"> and </w:t>
            </w:r>
            <w:proofErr w:type="spellStart"/>
            <w:r w:rsidRPr="008B2C16">
              <w:rPr>
                <w:rFonts w:ascii="Arial Narrow" w:hAnsi="Arial Narrow"/>
                <w:i/>
              </w:rPr>
              <w:t>axitinib</w:t>
            </w:r>
            <w:proofErr w:type="spellEnd"/>
            <w:r w:rsidRPr="008B2C16">
              <w:rPr>
                <w:rFonts w:ascii="Arial Narrow" w:hAnsi="Arial Narrow"/>
                <w:i/>
              </w:rPr>
              <w:t xml:space="preserve"> is associated with an increase incidence and severity of immune-related adverse reactions compared with monotherapy with these agents. Monitoring at least prior to each dose </w:t>
            </w:r>
            <w:proofErr w:type="gramStart"/>
            <w:r w:rsidRPr="008B2C16">
              <w:rPr>
                <w:rFonts w:ascii="Arial Narrow" w:hAnsi="Arial Narrow"/>
                <w:i/>
              </w:rPr>
              <w:t>is recommended</w:t>
            </w:r>
            <w:proofErr w:type="gramEnd"/>
            <w:r w:rsidRPr="008B2C16">
              <w:rPr>
                <w:rFonts w:ascii="Arial Narrow" w:hAnsi="Arial Narrow"/>
                <w:i/>
              </w:rPr>
              <w:t>.</w:t>
            </w:r>
          </w:p>
        </w:tc>
      </w:tr>
    </w:tbl>
    <w:p w:rsidR="00853793" w:rsidRDefault="00853793" w:rsidP="00B65A3B">
      <w:pPr>
        <w:pStyle w:val="TableFooter"/>
        <w:rPr>
          <w:i/>
        </w:rPr>
      </w:pPr>
      <w:proofErr w:type="spellStart"/>
      <w:proofErr w:type="gramStart"/>
      <w:r w:rsidRPr="00EC6E05">
        <w:rPr>
          <w:vertAlign w:val="superscript"/>
        </w:rPr>
        <w:t>a</w:t>
      </w:r>
      <w:proofErr w:type="spellEnd"/>
      <w:proofErr w:type="gramEnd"/>
      <w:r w:rsidRPr="00EC6E05">
        <w:t xml:space="preserve"> </w:t>
      </w:r>
      <w:r w:rsidRPr="00EC6E05">
        <w:rPr>
          <w:i/>
        </w:rPr>
        <w:t xml:space="preserve">The maximum quantity (in all settings) for </w:t>
      </w:r>
      <w:proofErr w:type="spellStart"/>
      <w:r w:rsidRPr="00EC6E05">
        <w:rPr>
          <w:i/>
        </w:rPr>
        <w:t>axitinib</w:t>
      </w:r>
      <w:proofErr w:type="spellEnd"/>
      <w:r w:rsidRPr="00EC6E05">
        <w:rPr>
          <w:i/>
        </w:rPr>
        <w:t xml:space="preserve"> 1 mg was updated in the PSCR to be consistent with the current listing of </w:t>
      </w:r>
      <w:proofErr w:type="spellStart"/>
      <w:r w:rsidRPr="00EC6E05">
        <w:rPr>
          <w:i/>
        </w:rPr>
        <w:t>axitinib</w:t>
      </w:r>
      <w:proofErr w:type="spellEnd"/>
      <w:r w:rsidRPr="00EC6E05">
        <w:rPr>
          <w:i/>
        </w:rPr>
        <w:t xml:space="preserve"> (in the later-line setting)</w:t>
      </w:r>
    </w:p>
    <w:p w:rsidR="007B0B4F" w:rsidRPr="00BB4C40" w:rsidRDefault="007B0B4F" w:rsidP="007B0B4F">
      <w:pPr>
        <w:rPr>
          <w:rFonts w:ascii="Arial Narrow" w:hAnsi="Arial Narrow"/>
          <w:i/>
          <w:sz w:val="18"/>
        </w:rPr>
      </w:pPr>
      <w:proofErr w:type="gramStart"/>
      <w:r w:rsidRPr="00BB4C40">
        <w:rPr>
          <w:rFonts w:ascii="Arial Narrow" w:hAnsi="Arial Narrow"/>
          <w:i/>
          <w:sz w:val="18"/>
          <w:vertAlign w:val="superscript"/>
        </w:rPr>
        <w:t>b</w:t>
      </w:r>
      <w:proofErr w:type="gramEnd"/>
      <w:r w:rsidRPr="00BB4C40">
        <w:rPr>
          <w:rFonts w:ascii="Arial Narrow" w:hAnsi="Arial Narrow"/>
          <w:i/>
          <w:sz w:val="18"/>
        </w:rPr>
        <w:t xml:space="preserve"> The m</w:t>
      </w:r>
      <w:r>
        <w:rPr>
          <w:rFonts w:ascii="Arial Narrow" w:hAnsi="Arial Narrow"/>
          <w:i/>
          <w:sz w:val="18"/>
        </w:rPr>
        <w:t>aximum number of repeats (in the continuing setting) was updated to provide sufficient supply for six months of treatment.</w:t>
      </w:r>
    </w:p>
    <w:p w:rsidR="00B65A3B" w:rsidRPr="00EC6E05" w:rsidRDefault="00B65A3B" w:rsidP="00B65A3B"/>
    <w:p w:rsidR="00B65A3B" w:rsidRPr="00EC6E05" w:rsidRDefault="00B65A3B" w:rsidP="00B65A3B">
      <w:proofErr w:type="spellStart"/>
      <w:r w:rsidRPr="00EC6E05">
        <w:rPr>
          <w:b/>
          <w:bCs/>
        </w:rPr>
        <w:t>Axitinib</w:t>
      </w:r>
      <w:proofErr w:type="spellEnd"/>
      <w:r w:rsidRPr="00EC6E05">
        <w:rPr>
          <w:b/>
          <w:bCs/>
        </w:rPr>
        <w:t xml:space="preserve"> (Continuing treatment)</w:t>
      </w:r>
    </w:p>
    <w:tbl>
      <w:tblPr>
        <w:tblW w:w="4977"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53"/>
        <w:gridCol w:w="6922"/>
      </w:tblGrid>
      <w:tr w:rsidR="00B65A3B" w:rsidRPr="00EC6E05" w:rsidTr="00B65A3B">
        <w:trPr>
          <w:trHeight w:val="20"/>
        </w:trPr>
        <w:tc>
          <w:tcPr>
            <w:tcW w:w="1144" w:type="pct"/>
            <w:hideMark/>
          </w:tcPr>
          <w:p w:rsidR="00B65A3B" w:rsidRPr="00EC6E05" w:rsidRDefault="00B65A3B" w:rsidP="00B65A3B">
            <w:pPr>
              <w:pStyle w:val="Tabletext"/>
            </w:pPr>
            <w:r w:rsidRPr="00EC6E05">
              <w:t>Category/Program:</w:t>
            </w:r>
          </w:p>
        </w:tc>
        <w:tc>
          <w:tcPr>
            <w:tcW w:w="3856" w:type="pct"/>
          </w:tcPr>
          <w:p w:rsidR="00B65A3B" w:rsidRPr="00EC6E05" w:rsidRDefault="00B65A3B" w:rsidP="00B65A3B">
            <w:pPr>
              <w:pStyle w:val="Tabletext"/>
            </w:pPr>
            <w:r w:rsidRPr="00EC6E05">
              <w:rPr>
                <w:rFonts w:cs="Arial"/>
                <w:szCs w:val="20"/>
              </w:rPr>
              <w:t>GENERAL – General Schedule (Code GE)</w:t>
            </w:r>
          </w:p>
        </w:tc>
      </w:tr>
      <w:tr w:rsidR="00B65A3B" w:rsidRPr="00EC6E05" w:rsidTr="00B65A3B">
        <w:trPr>
          <w:trHeight w:val="20"/>
        </w:trPr>
        <w:tc>
          <w:tcPr>
            <w:tcW w:w="1144" w:type="pct"/>
            <w:hideMark/>
          </w:tcPr>
          <w:p w:rsidR="00B65A3B" w:rsidRPr="00EC6E05" w:rsidRDefault="00B65A3B" w:rsidP="00B65A3B">
            <w:pPr>
              <w:pStyle w:val="Tabletext"/>
            </w:pPr>
            <w:r w:rsidRPr="00EC6E05">
              <w:t>PBS indication:</w:t>
            </w:r>
          </w:p>
        </w:tc>
        <w:tc>
          <w:tcPr>
            <w:tcW w:w="3856" w:type="pct"/>
          </w:tcPr>
          <w:p w:rsidR="00B65A3B" w:rsidRPr="00EC6E05" w:rsidRDefault="00B65A3B" w:rsidP="00B65A3B">
            <w:pPr>
              <w:pStyle w:val="Tabletext"/>
            </w:pPr>
            <w:r w:rsidRPr="00EC6E05">
              <w:rPr>
                <w:rFonts w:cs="Arial"/>
                <w:szCs w:val="20"/>
              </w:rPr>
              <w:t>Stage IV clear cell variant renal cell carcinoma (RCC)</w:t>
            </w:r>
          </w:p>
        </w:tc>
      </w:tr>
      <w:tr w:rsidR="00B65A3B" w:rsidRPr="00EC6E05" w:rsidTr="00B65A3B">
        <w:trPr>
          <w:trHeight w:val="20"/>
        </w:trPr>
        <w:tc>
          <w:tcPr>
            <w:tcW w:w="1144" w:type="pct"/>
            <w:hideMark/>
          </w:tcPr>
          <w:p w:rsidR="00B65A3B" w:rsidRPr="00EC6E05" w:rsidRDefault="00B65A3B" w:rsidP="00B65A3B">
            <w:pPr>
              <w:pStyle w:val="Tabletext"/>
            </w:pPr>
            <w:r w:rsidRPr="00EC6E05">
              <w:t>Treatment phase:</w:t>
            </w:r>
          </w:p>
        </w:tc>
        <w:tc>
          <w:tcPr>
            <w:tcW w:w="3856" w:type="pct"/>
          </w:tcPr>
          <w:p w:rsidR="00B65A3B" w:rsidRPr="00EC6E05" w:rsidRDefault="00B65A3B" w:rsidP="00B65A3B">
            <w:pPr>
              <w:pStyle w:val="Tabletext"/>
            </w:pPr>
            <w:r w:rsidRPr="00EC6E05">
              <w:rPr>
                <w:rFonts w:cs="Arial"/>
                <w:szCs w:val="20"/>
              </w:rPr>
              <w:t>Continuation</w:t>
            </w:r>
          </w:p>
        </w:tc>
      </w:tr>
      <w:tr w:rsidR="00B65A3B" w:rsidRPr="00EC6E05" w:rsidTr="00B65A3B">
        <w:trPr>
          <w:trHeight w:val="20"/>
        </w:trPr>
        <w:tc>
          <w:tcPr>
            <w:tcW w:w="1144" w:type="pct"/>
            <w:hideMark/>
          </w:tcPr>
          <w:p w:rsidR="00B65A3B" w:rsidRPr="00EC6E05" w:rsidRDefault="00B65A3B" w:rsidP="00B65A3B">
            <w:pPr>
              <w:pStyle w:val="Tabletext"/>
            </w:pPr>
            <w:r w:rsidRPr="00EC6E05">
              <w:t>Restriction:</w:t>
            </w:r>
          </w:p>
        </w:tc>
        <w:tc>
          <w:tcPr>
            <w:tcW w:w="3856" w:type="pct"/>
          </w:tcPr>
          <w:p w:rsidR="00B65A3B" w:rsidRPr="00EC6E05" w:rsidRDefault="00B65A3B" w:rsidP="00B65A3B">
            <w:pPr>
              <w:pStyle w:val="Tabletext"/>
            </w:pPr>
            <w:r w:rsidRPr="00EC6E05">
              <w:rPr>
                <w:rFonts w:cs="Arial"/>
                <w:szCs w:val="20"/>
              </w:rPr>
              <w:t>Authority Streamlined</w:t>
            </w:r>
          </w:p>
        </w:tc>
      </w:tr>
      <w:tr w:rsidR="00B65A3B" w:rsidRPr="00EC6E05" w:rsidTr="00B65A3B">
        <w:trPr>
          <w:trHeight w:val="20"/>
        </w:trPr>
        <w:tc>
          <w:tcPr>
            <w:tcW w:w="1144" w:type="pct"/>
            <w:hideMark/>
          </w:tcPr>
          <w:p w:rsidR="00B65A3B" w:rsidRPr="00EC6E05" w:rsidRDefault="00B65A3B" w:rsidP="00B65A3B">
            <w:pPr>
              <w:pStyle w:val="Tabletext"/>
            </w:pPr>
            <w:r w:rsidRPr="00EC6E05">
              <w:t>Clinical criteria:</w:t>
            </w:r>
          </w:p>
        </w:tc>
        <w:tc>
          <w:tcPr>
            <w:tcW w:w="3856" w:type="pct"/>
          </w:tcPr>
          <w:p w:rsidR="002A12C5" w:rsidRPr="002A12C5" w:rsidRDefault="002A12C5" w:rsidP="002A12C5">
            <w:pPr>
              <w:pStyle w:val="Tablebullet"/>
              <w:numPr>
                <w:ilvl w:val="0"/>
                <w:numId w:val="0"/>
              </w:numPr>
              <w:ind w:left="360" w:hanging="360"/>
              <w:rPr>
                <w:rFonts w:ascii="Arial Narrow" w:hAnsi="Arial Narrow"/>
                <w:strike/>
              </w:rPr>
            </w:pPr>
            <w:r w:rsidRPr="002A12C5">
              <w:rPr>
                <w:rFonts w:ascii="Arial Narrow" w:hAnsi="Arial Narrow"/>
                <w:strike/>
              </w:rPr>
              <w:t>Patient must have received an initial authority prescription for this drug for this condition</w:t>
            </w:r>
          </w:p>
          <w:p w:rsidR="002A12C5" w:rsidRPr="002A12C5" w:rsidRDefault="002A12C5" w:rsidP="002A12C5">
            <w:pPr>
              <w:pStyle w:val="Tablebullet"/>
              <w:numPr>
                <w:ilvl w:val="0"/>
                <w:numId w:val="0"/>
              </w:numPr>
              <w:rPr>
                <w:rFonts w:ascii="Arial Narrow" w:hAnsi="Arial Narrow"/>
                <w:i/>
              </w:rPr>
            </w:pPr>
            <w:r w:rsidRPr="002A12C5">
              <w:rPr>
                <w:rFonts w:ascii="Arial Narrow" w:hAnsi="Arial Narrow"/>
                <w:i/>
              </w:rPr>
              <w:t>Patient must have previously received PBS-subsidised treatment with this drug for this condition</w:t>
            </w:r>
          </w:p>
          <w:p w:rsidR="00B65A3B" w:rsidRPr="00EC6E05" w:rsidRDefault="00B65A3B" w:rsidP="00B65A3B">
            <w:pPr>
              <w:pStyle w:val="Tablebullet"/>
              <w:numPr>
                <w:ilvl w:val="0"/>
                <w:numId w:val="0"/>
              </w:numPr>
              <w:rPr>
                <w:rFonts w:ascii="Arial Narrow" w:hAnsi="Arial Narrow"/>
              </w:rPr>
            </w:pPr>
            <w:r w:rsidRPr="00EC6E05">
              <w:rPr>
                <w:rFonts w:ascii="Arial Narrow" w:hAnsi="Arial Narrow"/>
              </w:rPr>
              <w:t xml:space="preserve">AND </w:t>
            </w:r>
          </w:p>
          <w:p w:rsidR="00B65A3B" w:rsidRPr="00EC6E05" w:rsidRDefault="00B65A3B" w:rsidP="00B65A3B">
            <w:pPr>
              <w:pStyle w:val="Tablebullet"/>
              <w:numPr>
                <w:ilvl w:val="0"/>
                <w:numId w:val="0"/>
              </w:numPr>
              <w:rPr>
                <w:rFonts w:ascii="Arial Narrow" w:hAnsi="Arial Narrow"/>
              </w:rPr>
            </w:pPr>
            <w:r w:rsidRPr="00EC6E05">
              <w:rPr>
                <w:rFonts w:ascii="Arial Narrow" w:hAnsi="Arial Narrow"/>
              </w:rPr>
              <w:t>Patient must not have developed disease progression while being treated with this drug for this condition</w:t>
            </w:r>
          </w:p>
          <w:p w:rsidR="00B65A3B" w:rsidRPr="00EC6E05" w:rsidRDefault="00B65A3B" w:rsidP="00B65A3B">
            <w:pPr>
              <w:pStyle w:val="Tablebullet"/>
              <w:numPr>
                <w:ilvl w:val="0"/>
                <w:numId w:val="0"/>
              </w:numPr>
              <w:rPr>
                <w:rFonts w:ascii="Arial Narrow" w:hAnsi="Arial Narrow"/>
              </w:rPr>
            </w:pPr>
            <w:r w:rsidRPr="00EC6E05">
              <w:rPr>
                <w:rFonts w:ascii="Arial Narrow" w:hAnsi="Arial Narrow"/>
              </w:rPr>
              <w:t xml:space="preserve">AND </w:t>
            </w:r>
          </w:p>
          <w:p w:rsidR="00B65A3B" w:rsidRPr="00EC6E05" w:rsidRDefault="00B65A3B" w:rsidP="00B65A3B">
            <w:pPr>
              <w:pStyle w:val="Tabletext"/>
            </w:pPr>
            <w:r w:rsidRPr="00EC6E05">
              <w:t xml:space="preserve">The treatment must be </w:t>
            </w:r>
            <w:proofErr w:type="gramStart"/>
            <w:r w:rsidRPr="00EC6E05">
              <w:t xml:space="preserve">in combination with PBS-subsidised treatment with </w:t>
            </w:r>
            <w:proofErr w:type="spellStart"/>
            <w:r w:rsidRPr="00EC6E05">
              <w:t>avelumab</w:t>
            </w:r>
            <w:proofErr w:type="spellEnd"/>
            <w:r w:rsidRPr="00EC6E05">
              <w:t xml:space="preserve"> for this condition</w:t>
            </w:r>
            <w:proofErr w:type="gramEnd"/>
            <w:r w:rsidRPr="00EC6E05">
              <w:t xml:space="preserve">. </w:t>
            </w:r>
          </w:p>
        </w:tc>
      </w:tr>
      <w:tr w:rsidR="002A12C5" w:rsidRPr="00EC6E05" w:rsidTr="00B65A3B">
        <w:trPr>
          <w:trHeight w:val="20"/>
        </w:trPr>
        <w:tc>
          <w:tcPr>
            <w:tcW w:w="1144" w:type="pct"/>
          </w:tcPr>
          <w:p w:rsidR="002A12C5" w:rsidRPr="00EC6E05" w:rsidRDefault="002A12C5" w:rsidP="002A12C5">
            <w:pPr>
              <w:pStyle w:val="Tabletext"/>
            </w:pPr>
            <w:r w:rsidRPr="002A12C5">
              <w:t>Administrative advice:</w:t>
            </w:r>
          </w:p>
        </w:tc>
        <w:tc>
          <w:tcPr>
            <w:tcW w:w="3856" w:type="pct"/>
          </w:tcPr>
          <w:p w:rsidR="002A12C5" w:rsidRPr="00FB521E" w:rsidRDefault="002A12C5" w:rsidP="002A12C5">
            <w:pPr>
              <w:pStyle w:val="Tablebullet"/>
              <w:numPr>
                <w:ilvl w:val="0"/>
                <w:numId w:val="0"/>
              </w:numPr>
              <w:tabs>
                <w:tab w:val="clear" w:pos="416"/>
              </w:tabs>
              <w:rPr>
                <w:rFonts w:ascii="Arial Narrow" w:hAnsi="Arial Narrow"/>
                <w:i/>
                <w:u w:val="single"/>
              </w:rPr>
            </w:pPr>
            <w:r w:rsidRPr="00FB521E">
              <w:rPr>
                <w:rFonts w:ascii="Arial Narrow" w:hAnsi="Arial Narrow"/>
                <w:i/>
                <w:u w:val="single"/>
              </w:rPr>
              <w:t>1 mg strength only</w:t>
            </w:r>
          </w:p>
          <w:p w:rsidR="002A12C5" w:rsidRDefault="002A12C5" w:rsidP="002A12C5">
            <w:pPr>
              <w:pStyle w:val="Tablebullet"/>
              <w:numPr>
                <w:ilvl w:val="0"/>
                <w:numId w:val="0"/>
              </w:numPr>
              <w:tabs>
                <w:tab w:val="clear" w:pos="416"/>
              </w:tabs>
              <w:rPr>
                <w:rFonts w:ascii="Arial Narrow" w:hAnsi="Arial Narrow"/>
                <w:i/>
              </w:rPr>
            </w:pPr>
            <w:r w:rsidRPr="0088043E">
              <w:rPr>
                <w:rFonts w:ascii="Arial Narrow" w:hAnsi="Arial Narrow"/>
                <w:i/>
              </w:rPr>
              <w:t>Prescribers may request an increased maximum quantity sufficient to provide up to one month's supply for patients who require dose adjustment</w:t>
            </w:r>
          </w:p>
          <w:p w:rsidR="002A12C5" w:rsidRDefault="002A12C5" w:rsidP="002A12C5">
            <w:pPr>
              <w:pStyle w:val="Tablebullet"/>
              <w:numPr>
                <w:ilvl w:val="0"/>
                <w:numId w:val="0"/>
              </w:numPr>
              <w:tabs>
                <w:tab w:val="clear" w:pos="416"/>
              </w:tabs>
              <w:rPr>
                <w:rFonts w:ascii="Arial Narrow" w:hAnsi="Arial Narrow"/>
                <w:i/>
              </w:rPr>
            </w:pPr>
          </w:p>
          <w:p w:rsidR="002A12C5" w:rsidRPr="00FB521E" w:rsidRDefault="002A12C5" w:rsidP="002A12C5">
            <w:pPr>
              <w:pStyle w:val="Tablebullet"/>
              <w:numPr>
                <w:ilvl w:val="0"/>
                <w:numId w:val="0"/>
              </w:numPr>
              <w:tabs>
                <w:tab w:val="clear" w:pos="416"/>
              </w:tabs>
              <w:rPr>
                <w:rFonts w:ascii="Arial Narrow" w:hAnsi="Arial Narrow"/>
                <w:i/>
                <w:u w:val="single"/>
              </w:rPr>
            </w:pPr>
            <w:r w:rsidRPr="00FB521E">
              <w:rPr>
                <w:rFonts w:ascii="Arial Narrow" w:hAnsi="Arial Narrow"/>
                <w:i/>
                <w:u w:val="single"/>
              </w:rPr>
              <w:t>5 mg strength only</w:t>
            </w:r>
          </w:p>
          <w:p w:rsidR="002A12C5" w:rsidRPr="00FB521E" w:rsidRDefault="002A12C5" w:rsidP="002A12C5">
            <w:pPr>
              <w:pStyle w:val="Tablebullet"/>
              <w:numPr>
                <w:ilvl w:val="0"/>
                <w:numId w:val="0"/>
              </w:numPr>
              <w:ind w:left="360" w:hanging="360"/>
              <w:rPr>
                <w:rFonts w:ascii="Arial Narrow" w:hAnsi="Arial Narrow"/>
                <w:i/>
              </w:rPr>
            </w:pPr>
            <w:r w:rsidRPr="00FB521E">
              <w:rPr>
                <w:rFonts w:ascii="Arial Narrow" w:hAnsi="Arial Narrow"/>
                <w:i/>
              </w:rPr>
              <w:t>No increase in the maximum quantity or number of units may be authorised.</w:t>
            </w:r>
          </w:p>
          <w:p w:rsidR="002A12C5" w:rsidRPr="002A12C5" w:rsidRDefault="002A12C5" w:rsidP="002A12C5">
            <w:pPr>
              <w:pStyle w:val="Tablebullet"/>
              <w:numPr>
                <w:ilvl w:val="0"/>
                <w:numId w:val="0"/>
              </w:numPr>
              <w:ind w:left="360" w:hanging="360"/>
              <w:rPr>
                <w:rFonts w:ascii="Arial Narrow" w:hAnsi="Arial Narrow"/>
                <w:strike/>
              </w:rPr>
            </w:pPr>
            <w:r w:rsidRPr="00FB521E">
              <w:rPr>
                <w:rFonts w:ascii="Arial Narrow" w:hAnsi="Arial Narrow"/>
                <w:i/>
              </w:rPr>
              <w:lastRenderedPageBreak/>
              <w:t>No increase in the maximum number of repeats may be authorised.</w:t>
            </w:r>
          </w:p>
        </w:tc>
      </w:tr>
      <w:tr w:rsidR="002A12C5" w:rsidRPr="00EC6E05" w:rsidTr="00B65A3B">
        <w:trPr>
          <w:trHeight w:val="20"/>
        </w:trPr>
        <w:tc>
          <w:tcPr>
            <w:tcW w:w="1144" w:type="pct"/>
          </w:tcPr>
          <w:p w:rsidR="002A12C5" w:rsidRPr="00EC6E05" w:rsidRDefault="002A12C5" w:rsidP="002A12C5">
            <w:pPr>
              <w:pStyle w:val="Tabletext"/>
            </w:pPr>
            <w:r w:rsidRPr="002A12C5">
              <w:lastRenderedPageBreak/>
              <w:t>Caution</w:t>
            </w:r>
          </w:p>
        </w:tc>
        <w:tc>
          <w:tcPr>
            <w:tcW w:w="3856" w:type="pct"/>
          </w:tcPr>
          <w:p w:rsidR="002A12C5" w:rsidRPr="002A12C5" w:rsidRDefault="002A12C5" w:rsidP="002A12C5">
            <w:pPr>
              <w:pStyle w:val="Tablebullet"/>
              <w:numPr>
                <w:ilvl w:val="0"/>
                <w:numId w:val="0"/>
              </w:numPr>
              <w:tabs>
                <w:tab w:val="clear" w:pos="416"/>
                <w:tab w:val="left" w:pos="0"/>
              </w:tabs>
              <w:ind w:left="13" w:hanging="13"/>
              <w:rPr>
                <w:rFonts w:ascii="Arial Narrow" w:hAnsi="Arial Narrow"/>
                <w:strike/>
              </w:rPr>
            </w:pPr>
            <w:r w:rsidRPr="008B2C16">
              <w:rPr>
                <w:rFonts w:ascii="Arial Narrow" w:hAnsi="Arial Narrow"/>
                <w:i/>
              </w:rPr>
              <w:t xml:space="preserve">Combination treatment with </w:t>
            </w:r>
            <w:proofErr w:type="spellStart"/>
            <w:r w:rsidRPr="008B2C16">
              <w:rPr>
                <w:rFonts w:ascii="Arial Narrow" w:hAnsi="Arial Narrow"/>
                <w:i/>
              </w:rPr>
              <w:t>avelumab</w:t>
            </w:r>
            <w:proofErr w:type="spellEnd"/>
            <w:r w:rsidRPr="008B2C16">
              <w:rPr>
                <w:rFonts w:ascii="Arial Narrow" w:hAnsi="Arial Narrow"/>
                <w:i/>
              </w:rPr>
              <w:t xml:space="preserve"> and </w:t>
            </w:r>
            <w:proofErr w:type="spellStart"/>
            <w:r w:rsidRPr="008B2C16">
              <w:rPr>
                <w:rFonts w:ascii="Arial Narrow" w:hAnsi="Arial Narrow"/>
                <w:i/>
              </w:rPr>
              <w:t>axitinib</w:t>
            </w:r>
            <w:proofErr w:type="spellEnd"/>
            <w:r w:rsidRPr="008B2C16">
              <w:rPr>
                <w:rFonts w:ascii="Arial Narrow" w:hAnsi="Arial Narrow"/>
                <w:i/>
              </w:rPr>
              <w:t xml:space="preserve"> is associated with an increase incidence and severity of immune-related adverse reactions compared with monotherapy with these agents. Monitoring at least prior to each dose </w:t>
            </w:r>
            <w:proofErr w:type="gramStart"/>
            <w:r w:rsidRPr="008B2C16">
              <w:rPr>
                <w:rFonts w:ascii="Arial Narrow" w:hAnsi="Arial Narrow"/>
                <w:i/>
              </w:rPr>
              <w:t>is recommended</w:t>
            </w:r>
            <w:proofErr w:type="gramEnd"/>
            <w:r w:rsidRPr="008B2C16">
              <w:rPr>
                <w:rFonts w:ascii="Arial Narrow" w:hAnsi="Arial Narrow"/>
                <w:i/>
              </w:rPr>
              <w:t>.</w:t>
            </w:r>
          </w:p>
        </w:tc>
      </w:tr>
    </w:tbl>
    <w:p w:rsidR="00BB4C40" w:rsidRPr="00EC6E05" w:rsidRDefault="00BB4C40" w:rsidP="00B65A3B"/>
    <w:p w:rsidR="00D64CEE" w:rsidRDefault="00B65A3B" w:rsidP="00D64CEE">
      <w:pPr>
        <w:pStyle w:val="3-BodyText"/>
      </w:pPr>
      <w:r w:rsidRPr="00EC6E05">
        <w:t xml:space="preserve">The submission noted that special pricing arrangements </w:t>
      </w:r>
      <w:r w:rsidR="00CC4A87" w:rsidRPr="00EC6E05">
        <w:t>(SPA</w:t>
      </w:r>
      <w:r w:rsidR="00AA73F7" w:rsidRPr="00EC6E05">
        <w:t>s</w:t>
      </w:r>
      <w:r w:rsidR="00CC4A87" w:rsidRPr="00EC6E05">
        <w:t xml:space="preserve">) </w:t>
      </w:r>
      <w:r w:rsidRPr="00EC6E05">
        <w:t xml:space="preserve">apply to </w:t>
      </w:r>
      <w:proofErr w:type="spellStart"/>
      <w:r w:rsidRPr="00EC6E05">
        <w:t>nivolumab</w:t>
      </w:r>
      <w:proofErr w:type="spellEnd"/>
      <w:r w:rsidRPr="00EC6E05">
        <w:t xml:space="preserve"> and </w:t>
      </w:r>
      <w:proofErr w:type="spellStart"/>
      <w:r w:rsidRPr="00EC6E05">
        <w:t>ipilimumab</w:t>
      </w:r>
      <w:proofErr w:type="spellEnd"/>
      <w:r w:rsidR="00CC5C8B" w:rsidRPr="00EC6E05">
        <w:t xml:space="preserve">. </w:t>
      </w:r>
      <w:proofErr w:type="spellStart"/>
      <w:r w:rsidR="00CC5C8B" w:rsidRPr="00EC6E05">
        <w:t>Avelumab</w:t>
      </w:r>
      <w:proofErr w:type="spellEnd"/>
      <w:r w:rsidR="00CC5C8B" w:rsidRPr="00EC6E05">
        <w:t xml:space="preserve"> and </w:t>
      </w:r>
      <w:proofErr w:type="spellStart"/>
      <w:r w:rsidR="00CC5C8B" w:rsidRPr="00EC6E05">
        <w:t>axitinib</w:t>
      </w:r>
      <w:proofErr w:type="spellEnd"/>
      <w:r w:rsidR="00CC5C8B" w:rsidRPr="00EC6E05">
        <w:t xml:space="preserve"> are currently PBS listed with </w:t>
      </w:r>
      <w:r w:rsidR="00AA73F7" w:rsidRPr="00EC6E05">
        <w:t>SPA</w:t>
      </w:r>
      <w:r w:rsidR="00CC5C8B" w:rsidRPr="00EC6E05">
        <w:t>s</w:t>
      </w:r>
      <w:r w:rsidR="00AA73F7" w:rsidRPr="00EC6E05">
        <w:t xml:space="preserve">, and the </w:t>
      </w:r>
      <w:proofErr w:type="gramStart"/>
      <w:r w:rsidR="00AA73F7" w:rsidRPr="00EC6E05">
        <w:t>PSCR  stated</w:t>
      </w:r>
      <w:proofErr w:type="gramEnd"/>
      <w:r w:rsidR="00AA73F7" w:rsidRPr="00EC6E05">
        <w:t xml:space="preserve"> that the sponsor will seek a SPA for </w:t>
      </w:r>
      <w:proofErr w:type="spellStart"/>
      <w:r w:rsidR="00AA73F7" w:rsidRPr="00EC6E05">
        <w:t>avelumab</w:t>
      </w:r>
      <w:proofErr w:type="spellEnd"/>
      <w:r w:rsidR="00AA73F7" w:rsidRPr="00EC6E05">
        <w:t xml:space="preserve"> in this indication</w:t>
      </w:r>
      <w:r w:rsidR="008025DC" w:rsidRPr="00EC6E05">
        <w:t>.</w:t>
      </w:r>
      <w:r w:rsidRPr="00EC6E05">
        <w:t xml:space="preserve"> The price of </w:t>
      </w:r>
      <w:proofErr w:type="spellStart"/>
      <w:r w:rsidRPr="00EC6E05">
        <w:t>avelumab</w:t>
      </w:r>
      <w:proofErr w:type="spellEnd"/>
      <w:r w:rsidRPr="00EC6E05">
        <w:t xml:space="preserve"> used in the submission was </w:t>
      </w:r>
      <w:r w:rsidR="006A083B">
        <w:rPr>
          <w:noProof/>
          <w:color w:val="000000"/>
          <w:highlight w:val="black"/>
        </w:rPr>
        <w:t>''''''' '''''''''''''''''' ''''''''''''' ''''''' ''''''' ''''' '''''' '''''''' '''''''''' '''''''''''''''''''' '''' ''''''''''''' '''''' ''''''''''''''''''''' ''''''''''''''' '''''''''''''''''''</w:t>
      </w:r>
      <w:r w:rsidR="006A083B">
        <w:rPr>
          <w:rStyle w:val="CommentReference"/>
          <w:rFonts w:cs="Times New Roman"/>
          <w:noProof/>
          <w:snapToGrid/>
          <w:color w:val="000000"/>
          <w:highlight w:val="black"/>
        </w:rPr>
        <w:t xml:space="preserve"> </w:t>
      </w:r>
      <w:r w:rsidR="006A083B">
        <w:rPr>
          <w:noProof/>
          <w:color w:val="000000"/>
          <w:highlight w:val="black"/>
        </w:rPr>
        <w:t>''''''' '''''''''''''''''''' '''''''''''' ''''''' '''''''''''''' '''''' ''''''' '''' '''''''''''''''''''' ''''''''''''' '''''''''''''''''' '''''''''' ''''''' ''''''''''''''''''' '''''''''' ''''''''' '''' ''''''' ''''''''''''' '''''''''' '''''''' ''' '''''' ''''''''''''' ''''''''''''''</w:t>
      </w:r>
      <w:r w:rsidRPr="00EC6E05">
        <w:t>.</w:t>
      </w:r>
    </w:p>
    <w:p w:rsidR="00B26EB4" w:rsidRDefault="00B65A3B" w:rsidP="00D64CEE">
      <w:pPr>
        <w:pStyle w:val="3-BodyText"/>
      </w:pPr>
      <w:r w:rsidRPr="00EC6E05">
        <w:t>The proposed restriction for AVE + AXI</w:t>
      </w:r>
      <w:r w:rsidR="00D64CEE">
        <w:t xml:space="preserve"> </w:t>
      </w:r>
      <w:r w:rsidR="00D64CEE" w:rsidRPr="00EC6E05">
        <w:t xml:space="preserve">specifies that </w:t>
      </w:r>
      <w:proofErr w:type="spellStart"/>
      <w:r w:rsidR="00D64CEE" w:rsidRPr="00EC6E05">
        <w:t>avelumab</w:t>
      </w:r>
      <w:proofErr w:type="spellEnd"/>
      <w:r w:rsidR="00D64CEE" w:rsidRPr="00EC6E05">
        <w:t xml:space="preserve"> </w:t>
      </w:r>
      <w:proofErr w:type="gramStart"/>
      <w:r w:rsidR="00D64CEE" w:rsidRPr="00EC6E05">
        <w:t>must be used</w:t>
      </w:r>
      <w:proofErr w:type="gramEnd"/>
      <w:r w:rsidR="00D64CEE" w:rsidRPr="00EC6E05">
        <w:t xml:space="preserve"> in combination with </w:t>
      </w:r>
      <w:proofErr w:type="spellStart"/>
      <w:r w:rsidR="00D64CEE" w:rsidRPr="00EC6E05">
        <w:t>axitinib</w:t>
      </w:r>
      <w:proofErr w:type="spellEnd"/>
      <w:r w:rsidR="00D64CEE">
        <w:t>, and</w:t>
      </w:r>
      <w:r w:rsidRPr="00EC6E05">
        <w:t xml:space="preserve"> does not allow for monotherapy</w:t>
      </w:r>
      <w:r w:rsidR="001B5751" w:rsidRPr="00EC6E05">
        <w:t xml:space="preserve"> </w:t>
      </w:r>
      <w:r w:rsidR="002A12C5">
        <w:t xml:space="preserve">with </w:t>
      </w:r>
      <w:r w:rsidR="001B5751" w:rsidRPr="00EC6E05">
        <w:t>either drug</w:t>
      </w:r>
      <w:r w:rsidR="00FC647D">
        <w:t>, w</w:t>
      </w:r>
      <w:r w:rsidR="00F21BA4">
        <w:t>hile</w:t>
      </w:r>
      <w:r w:rsidR="00CC4A87" w:rsidRPr="00EC6E05">
        <w:t xml:space="preserve"> patients in the</w:t>
      </w:r>
      <w:r w:rsidRPr="00EC6E05">
        <w:t xml:space="preserve"> JAVELIN</w:t>
      </w:r>
      <w:r w:rsidR="00CC4A87" w:rsidRPr="00EC6E05">
        <w:t xml:space="preserve"> trial were</w:t>
      </w:r>
      <w:r w:rsidRPr="00EC6E05">
        <w:t xml:space="preserve"> allowed to discontinue </w:t>
      </w:r>
      <w:proofErr w:type="spellStart"/>
      <w:r w:rsidRPr="00EC6E05">
        <w:t>avelumab</w:t>
      </w:r>
      <w:proofErr w:type="spellEnd"/>
      <w:r w:rsidRPr="00EC6E05">
        <w:t xml:space="preserve"> or </w:t>
      </w:r>
      <w:proofErr w:type="spellStart"/>
      <w:r w:rsidRPr="00EC6E05">
        <w:t>axitinib</w:t>
      </w:r>
      <w:proofErr w:type="spellEnd"/>
      <w:r w:rsidRPr="00EC6E05">
        <w:t xml:space="preserve"> independently from each other</w:t>
      </w:r>
      <w:r w:rsidR="00FC647D">
        <w:t>. T</w:t>
      </w:r>
      <w:r w:rsidR="00F21BA4">
        <w:t xml:space="preserve">he </w:t>
      </w:r>
      <w:r w:rsidR="00FC647D">
        <w:t xml:space="preserve">PBAC considered that the </w:t>
      </w:r>
      <w:r w:rsidR="00F21BA4">
        <w:t xml:space="preserve">requirement for concomitant use </w:t>
      </w:r>
      <w:r w:rsidR="00FC647D">
        <w:t xml:space="preserve">was appropriate, </w:t>
      </w:r>
      <w:r w:rsidR="00F21BA4">
        <w:t xml:space="preserve">consistent with the proposed TGA </w:t>
      </w:r>
      <w:r w:rsidR="001C3FC6">
        <w:t>indication</w:t>
      </w:r>
      <w:r w:rsidR="00F21BA4">
        <w:t>.</w:t>
      </w:r>
    </w:p>
    <w:p w:rsidR="00B65A3B" w:rsidRPr="00EC6E05" w:rsidRDefault="00B65A3B" w:rsidP="00BF2EA7">
      <w:pPr>
        <w:pStyle w:val="3-BodyText"/>
        <w:rPr>
          <w:color w:val="0066FF"/>
        </w:rPr>
      </w:pPr>
      <w:r w:rsidRPr="00EC6E05">
        <w:t xml:space="preserve">The current PBS listing for </w:t>
      </w:r>
      <w:proofErr w:type="spellStart"/>
      <w:r w:rsidRPr="00EC6E05">
        <w:t>axitinib</w:t>
      </w:r>
      <w:proofErr w:type="spellEnd"/>
      <w:r w:rsidRPr="00EC6E05">
        <w:t xml:space="preserve"> </w:t>
      </w:r>
      <w:r w:rsidR="00E3438A" w:rsidRPr="00EC6E05">
        <w:t>(</w:t>
      </w:r>
      <w:r w:rsidRPr="00EC6E05">
        <w:t>in progressive disease following prior TKI treatment</w:t>
      </w:r>
      <w:r w:rsidR="00E3438A" w:rsidRPr="00EC6E05">
        <w:t>)</w:t>
      </w:r>
      <w:r w:rsidRPr="00EC6E05">
        <w:t xml:space="preserve"> is </w:t>
      </w:r>
      <w:r w:rsidR="00E3438A" w:rsidRPr="00EC6E05">
        <w:t xml:space="preserve">an </w:t>
      </w:r>
      <w:r w:rsidRPr="00EC6E05">
        <w:t xml:space="preserve">Authority </w:t>
      </w:r>
      <w:proofErr w:type="gramStart"/>
      <w:r w:rsidRPr="00EC6E05">
        <w:t>Required</w:t>
      </w:r>
      <w:proofErr w:type="gramEnd"/>
      <w:r w:rsidR="00E3438A" w:rsidRPr="00EC6E05">
        <w:t xml:space="preserve"> listing for initiation of treatment</w:t>
      </w:r>
      <w:r w:rsidRPr="00EC6E05">
        <w:t xml:space="preserve">. However, the </w:t>
      </w:r>
      <w:r w:rsidR="009E5115" w:rsidRPr="00EC6E05">
        <w:t xml:space="preserve">proposed </w:t>
      </w:r>
      <w:r w:rsidR="00E3438A" w:rsidRPr="00EC6E05">
        <w:t xml:space="preserve">initiation </w:t>
      </w:r>
      <w:r w:rsidRPr="00EC6E05">
        <w:t>re</w:t>
      </w:r>
      <w:r w:rsidR="00E3438A" w:rsidRPr="00EC6E05">
        <w:t>striction is for</w:t>
      </w:r>
      <w:r w:rsidRPr="00EC6E05">
        <w:t xml:space="preserve"> a </w:t>
      </w:r>
      <w:r w:rsidR="00E3438A" w:rsidRPr="00EC6E05">
        <w:t>S</w:t>
      </w:r>
      <w:r w:rsidRPr="00EC6E05">
        <w:t>treamlined</w:t>
      </w:r>
      <w:r w:rsidR="00E3438A" w:rsidRPr="00EC6E05">
        <w:t xml:space="preserve"> Authority listing</w:t>
      </w:r>
      <w:r w:rsidR="00E3394D" w:rsidRPr="00EC6E05">
        <w:t>, consistent with the listing of NIVO + IPI</w:t>
      </w:r>
      <w:r w:rsidRPr="00EC6E05">
        <w:t xml:space="preserve">. </w:t>
      </w:r>
      <w:r w:rsidR="00264EBC">
        <w:t>D</w:t>
      </w:r>
      <w:r w:rsidR="00384D5F" w:rsidRPr="00EC6E05">
        <w:t xml:space="preserve">ifferent </w:t>
      </w:r>
      <w:r w:rsidR="00264EBC">
        <w:t xml:space="preserve">Authority approval methods </w:t>
      </w:r>
      <w:r w:rsidR="002A12C5">
        <w:t xml:space="preserve">for </w:t>
      </w:r>
      <w:proofErr w:type="spellStart"/>
      <w:r w:rsidR="002A12C5">
        <w:t>axitinib</w:t>
      </w:r>
      <w:proofErr w:type="spellEnd"/>
      <w:r w:rsidR="002A12C5">
        <w:t xml:space="preserve"> </w:t>
      </w:r>
      <w:r w:rsidR="00384D5F">
        <w:t>in different</w:t>
      </w:r>
      <w:r w:rsidR="00384D5F" w:rsidRPr="00EC6E05">
        <w:t xml:space="preserve"> line</w:t>
      </w:r>
      <w:r w:rsidR="00384D5F">
        <w:t>s</w:t>
      </w:r>
      <w:r w:rsidR="00384D5F" w:rsidRPr="00EC6E05">
        <w:t xml:space="preserve"> of therapy in RCC</w:t>
      </w:r>
      <w:r w:rsidR="007C3F22">
        <w:t xml:space="preserve"> could</w:t>
      </w:r>
      <w:r w:rsidR="00384D5F" w:rsidRPr="00EC6E05">
        <w:t xml:space="preserve"> </w:t>
      </w:r>
      <w:r w:rsidR="002A12C5">
        <w:t xml:space="preserve">lead to </w:t>
      </w:r>
      <w:r w:rsidR="00384D5F">
        <w:t>confusion</w:t>
      </w:r>
      <w:r w:rsidR="00264EBC">
        <w:t xml:space="preserve"> </w:t>
      </w:r>
      <w:r w:rsidR="005F3B53">
        <w:t>for</w:t>
      </w:r>
      <w:r w:rsidR="00264EBC">
        <w:t xml:space="preserve"> prescribers and impracticalities</w:t>
      </w:r>
      <w:r w:rsidRPr="00EC6E05">
        <w:t xml:space="preserve">. </w:t>
      </w:r>
      <w:r w:rsidR="00304979" w:rsidRPr="00EC6E05">
        <w:t xml:space="preserve">The authority </w:t>
      </w:r>
      <w:r w:rsidR="00264EBC">
        <w:t xml:space="preserve">approval methods </w:t>
      </w:r>
      <w:r w:rsidR="00E3438A" w:rsidRPr="00EC6E05">
        <w:t>for continuation therapy are consistent between</w:t>
      </w:r>
      <w:r w:rsidR="00304979" w:rsidRPr="00EC6E05">
        <w:t xml:space="preserve"> </w:t>
      </w:r>
      <w:r w:rsidRPr="00EC6E05">
        <w:t>the current and proposed PBS listing</w:t>
      </w:r>
      <w:r w:rsidR="00304979" w:rsidRPr="00EC6E05">
        <w:t>s</w:t>
      </w:r>
      <w:r w:rsidRPr="00EC6E05">
        <w:t xml:space="preserve"> (</w:t>
      </w:r>
      <w:r w:rsidR="00E3438A" w:rsidRPr="00EC6E05">
        <w:t>both are Streamlined Authorities</w:t>
      </w:r>
      <w:r w:rsidRPr="00EC6E05">
        <w:t xml:space="preserve">). </w:t>
      </w:r>
    </w:p>
    <w:p w:rsidR="00712869" w:rsidRPr="00EC6E05" w:rsidRDefault="00712869" w:rsidP="00384D5F">
      <w:pPr>
        <w:pStyle w:val="3-BodyText"/>
      </w:pPr>
      <w:r w:rsidRPr="00EC6E05">
        <w:t xml:space="preserve">The requested listing for </w:t>
      </w:r>
      <w:proofErr w:type="spellStart"/>
      <w:r w:rsidRPr="00EC6E05">
        <w:t>avelumab</w:t>
      </w:r>
      <w:proofErr w:type="spellEnd"/>
      <w:r w:rsidRPr="00EC6E05">
        <w:t xml:space="preserve"> correlates with a flat dose of 800 mg every two weeks, which aligns with the draft PI. </w:t>
      </w:r>
      <w:r w:rsidR="00F21BA4">
        <w:t xml:space="preserve">While </w:t>
      </w:r>
      <w:r w:rsidRPr="00EC6E05">
        <w:t>the key trial (JAVELIN) used weight-based dosing of 10</w:t>
      </w:r>
      <w:r w:rsidR="00264EBC">
        <w:t xml:space="preserve"> </w:t>
      </w:r>
      <w:r w:rsidRPr="00EC6E05">
        <w:t>mg/kg every two weeks</w:t>
      </w:r>
      <w:r w:rsidR="00F21BA4">
        <w:t xml:space="preserve">, the TGA Delegate’s Overview stated that the </w:t>
      </w:r>
      <w:r w:rsidR="00384D5F">
        <w:t xml:space="preserve">recommended dose of </w:t>
      </w:r>
      <w:proofErr w:type="spellStart"/>
      <w:r w:rsidR="00384D5F">
        <w:t>avelumab</w:t>
      </w:r>
      <w:proofErr w:type="spellEnd"/>
      <w:r w:rsidR="00384D5F">
        <w:t xml:space="preserve"> in combination with </w:t>
      </w:r>
      <w:proofErr w:type="spellStart"/>
      <w:r w:rsidR="00384D5F">
        <w:t>axitinib</w:t>
      </w:r>
      <w:proofErr w:type="spellEnd"/>
      <w:r w:rsidR="00384D5F">
        <w:t xml:space="preserve"> is 800 mg every two weeks</w:t>
      </w:r>
      <w:r w:rsidRPr="00EC6E05">
        <w:t xml:space="preserve">. </w:t>
      </w:r>
    </w:p>
    <w:p w:rsidR="00D230D5" w:rsidRPr="00D230D5" w:rsidRDefault="00D230D5" w:rsidP="00D230D5">
      <w:pPr>
        <w:pStyle w:val="3-BodyText"/>
      </w:pPr>
      <w:r w:rsidRPr="00D230D5">
        <w:t xml:space="preserve">The </w:t>
      </w:r>
      <w:r>
        <w:t xml:space="preserve">requested restriction would allow use of </w:t>
      </w:r>
      <w:proofErr w:type="spellStart"/>
      <w:r>
        <w:t>avelumab</w:t>
      </w:r>
      <w:proofErr w:type="spellEnd"/>
      <w:r>
        <w:t xml:space="preserve"> irrespective of </w:t>
      </w:r>
      <w:r w:rsidRPr="00D230D5">
        <w:t xml:space="preserve">PD-L1 </w:t>
      </w:r>
      <w:r>
        <w:t>expression, which was consistent with the TGA indication</w:t>
      </w:r>
      <w:r w:rsidR="00FD46E0">
        <w:t xml:space="preserve"> recommended by the Delegate</w:t>
      </w:r>
      <w:r w:rsidRPr="00D230D5">
        <w:t xml:space="preserve">. </w:t>
      </w:r>
    </w:p>
    <w:p w:rsidR="00151A2A" w:rsidRPr="00EC6E05" w:rsidRDefault="00450EF1" w:rsidP="00BF2EA7">
      <w:pPr>
        <w:pStyle w:val="3-BodyText"/>
      </w:pPr>
      <w:r w:rsidRPr="00EC6E05">
        <w:t xml:space="preserve">The PSCR  </w:t>
      </w:r>
      <w:r w:rsidR="00886339" w:rsidRPr="00EC6E05">
        <w:t xml:space="preserve">accepted </w:t>
      </w:r>
      <w:r w:rsidRPr="00EC6E05">
        <w:t xml:space="preserve">the Secretariat’s </w:t>
      </w:r>
      <w:r w:rsidR="00151A2A" w:rsidRPr="00EC6E05">
        <w:t>changes to the proposed restrictions:</w:t>
      </w:r>
    </w:p>
    <w:p w:rsidR="009A6897" w:rsidRPr="00EC6E05" w:rsidRDefault="009A6897" w:rsidP="00484B6B">
      <w:pPr>
        <w:pStyle w:val="3-BodyText"/>
        <w:numPr>
          <w:ilvl w:val="0"/>
          <w:numId w:val="15"/>
        </w:numPr>
        <w:ind w:left="1077" w:hanging="357"/>
      </w:pPr>
      <w:r w:rsidRPr="00EC6E05">
        <w:t xml:space="preserve">The addition of IMDC risk criterion if the PBAC recommend </w:t>
      </w:r>
      <w:r w:rsidR="001B5751" w:rsidRPr="00EC6E05">
        <w:t xml:space="preserve">listing in </w:t>
      </w:r>
      <w:r w:rsidRPr="00EC6E05">
        <w:t xml:space="preserve">the intermediate or poor IMDC prognostic risk population; </w:t>
      </w:r>
    </w:p>
    <w:p w:rsidR="00151A2A" w:rsidRPr="00EC6E05" w:rsidRDefault="00151A2A" w:rsidP="00484B6B">
      <w:pPr>
        <w:pStyle w:val="3-BodyText"/>
        <w:numPr>
          <w:ilvl w:val="0"/>
          <w:numId w:val="15"/>
        </w:numPr>
        <w:ind w:left="1077" w:hanging="357"/>
      </w:pPr>
      <w:r w:rsidRPr="00EC6E05">
        <w:t xml:space="preserve">Inclusion of requirements </w:t>
      </w:r>
      <w:r w:rsidR="00450EF1" w:rsidRPr="00EC6E05">
        <w:t>for monitoring of immune-related adverse events for consiste</w:t>
      </w:r>
      <w:r w:rsidR="00F960D2" w:rsidRPr="00EC6E05">
        <w:t xml:space="preserve">ncy with the NIVO + IPI listing. However, </w:t>
      </w:r>
      <w:r w:rsidR="00C93DFF" w:rsidRPr="00EC6E05">
        <w:t xml:space="preserve">the PSCR noted that the criterion in the NIVO + IPI restriction states </w:t>
      </w:r>
      <w:r w:rsidR="00A717B7" w:rsidRPr="00EC6E05">
        <w:t>‘</w:t>
      </w:r>
      <w:r w:rsidR="00C93DFF" w:rsidRPr="00EC6E05">
        <w:rPr>
          <w:shd w:val="clear" w:color="auto" w:fill="FFFFFF"/>
        </w:rPr>
        <w:t xml:space="preserve">Combination treatment with </w:t>
      </w:r>
      <w:proofErr w:type="spellStart"/>
      <w:r w:rsidR="00C93DFF" w:rsidRPr="00EC6E05">
        <w:rPr>
          <w:shd w:val="clear" w:color="auto" w:fill="FFFFFF"/>
        </w:rPr>
        <w:t>ipilimumab</w:t>
      </w:r>
      <w:proofErr w:type="spellEnd"/>
      <w:r w:rsidR="00C93DFF" w:rsidRPr="00EC6E05">
        <w:rPr>
          <w:shd w:val="clear" w:color="auto" w:fill="FFFFFF"/>
        </w:rPr>
        <w:t xml:space="preserve"> and </w:t>
      </w:r>
      <w:proofErr w:type="spellStart"/>
      <w:r w:rsidR="00C93DFF" w:rsidRPr="00EC6E05">
        <w:rPr>
          <w:shd w:val="clear" w:color="auto" w:fill="FFFFFF"/>
        </w:rPr>
        <w:t>nivolumab</w:t>
      </w:r>
      <w:proofErr w:type="spellEnd"/>
      <w:r w:rsidR="00C93DFF" w:rsidRPr="00EC6E05">
        <w:rPr>
          <w:shd w:val="clear" w:color="auto" w:fill="FFFFFF"/>
        </w:rPr>
        <w:t xml:space="preserve"> is associated with an increase</w:t>
      </w:r>
      <w:r w:rsidR="00112A58">
        <w:rPr>
          <w:shd w:val="clear" w:color="auto" w:fill="FFFFFF"/>
        </w:rPr>
        <w:t>d</w:t>
      </w:r>
      <w:r w:rsidR="00C93DFF" w:rsidRPr="00EC6E05">
        <w:rPr>
          <w:shd w:val="clear" w:color="auto" w:fill="FFFFFF"/>
        </w:rPr>
        <w:t xml:space="preserve"> incidence and severity of immune-related adverse reactions compared with monotherapy with these agents</w:t>
      </w:r>
      <w:r w:rsidR="00A717B7" w:rsidRPr="00EC6E05">
        <w:rPr>
          <w:shd w:val="clear" w:color="auto" w:fill="FFFFFF"/>
        </w:rPr>
        <w:t>’</w:t>
      </w:r>
      <w:r w:rsidR="00C93DFF" w:rsidRPr="00EC6E05">
        <w:rPr>
          <w:shd w:val="clear" w:color="auto" w:fill="FFFFFF"/>
        </w:rPr>
        <w:t>. The PSCR argued</w:t>
      </w:r>
      <w:r w:rsidR="001B5751" w:rsidRPr="00EC6E05">
        <w:rPr>
          <w:shd w:val="clear" w:color="auto" w:fill="FFFFFF"/>
        </w:rPr>
        <w:t xml:space="preserve"> that</w:t>
      </w:r>
      <w:r w:rsidR="00C93DFF" w:rsidRPr="00EC6E05">
        <w:rPr>
          <w:shd w:val="clear" w:color="auto" w:fill="FFFFFF"/>
        </w:rPr>
        <w:t xml:space="preserve"> the wording would need to </w:t>
      </w:r>
      <w:proofErr w:type="gramStart"/>
      <w:r w:rsidR="00C93DFF" w:rsidRPr="00EC6E05">
        <w:rPr>
          <w:shd w:val="clear" w:color="auto" w:fill="FFFFFF"/>
        </w:rPr>
        <w:t>be amended</w:t>
      </w:r>
      <w:proofErr w:type="gramEnd"/>
      <w:r w:rsidR="00C93DFF" w:rsidRPr="00EC6E05">
        <w:rPr>
          <w:shd w:val="clear" w:color="auto" w:fill="FFFFFF"/>
        </w:rPr>
        <w:t xml:space="preserve"> given that AVE + AXI is </w:t>
      </w:r>
      <w:r w:rsidR="00C93DFF" w:rsidRPr="00EC6E05">
        <w:rPr>
          <w:shd w:val="clear" w:color="auto" w:fill="FFFFFF"/>
        </w:rPr>
        <w:lastRenderedPageBreak/>
        <w:t xml:space="preserve">unlikely to increase the incidence and severity of immune-related adverse events versus </w:t>
      </w:r>
      <w:proofErr w:type="spellStart"/>
      <w:r w:rsidR="00C93DFF" w:rsidRPr="00EC6E05">
        <w:rPr>
          <w:shd w:val="clear" w:color="auto" w:fill="FFFFFF"/>
        </w:rPr>
        <w:t>avelumab</w:t>
      </w:r>
      <w:proofErr w:type="spellEnd"/>
      <w:r w:rsidR="00C93DFF" w:rsidRPr="00EC6E05">
        <w:rPr>
          <w:shd w:val="clear" w:color="auto" w:fill="FFFFFF"/>
        </w:rPr>
        <w:t xml:space="preserve"> monotherapy (since this regimen is not combination immunotherapy). </w:t>
      </w:r>
      <w:r w:rsidR="00C93DFF" w:rsidRPr="00EC6E05">
        <w:t xml:space="preserve">Further, </w:t>
      </w:r>
      <w:r w:rsidR="00E3438A" w:rsidRPr="00EC6E05">
        <w:t xml:space="preserve">the PSCR stated </w:t>
      </w:r>
      <w:r w:rsidR="00F960D2" w:rsidRPr="00EC6E05">
        <w:t>t</w:t>
      </w:r>
      <w:r w:rsidR="00E85353" w:rsidRPr="00EC6E05">
        <w:t xml:space="preserve">his should </w:t>
      </w:r>
      <w:r w:rsidR="00450EF1" w:rsidRPr="00EC6E05">
        <w:t>only</w:t>
      </w:r>
      <w:r w:rsidR="00D87958" w:rsidRPr="00EC6E05">
        <w:t xml:space="preserve"> be</w:t>
      </w:r>
      <w:r w:rsidR="00450EF1" w:rsidRPr="00EC6E05">
        <w:t xml:space="preserve"> included in the restrictio</w:t>
      </w:r>
      <w:r w:rsidR="001B5751" w:rsidRPr="00EC6E05">
        <w:t>n</w:t>
      </w:r>
      <w:r w:rsidR="00450EF1" w:rsidRPr="00EC6E05">
        <w:t xml:space="preserve"> </w:t>
      </w:r>
      <w:r w:rsidR="00CC4D62" w:rsidRPr="00EC6E05">
        <w:t xml:space="preserve">for </w:t>
      </w:r>
      <w:proofErr w:type="spellStart"/>
      <w:r w:rsidR="00CC4D62" w:rsidRPr="00EC6E05">
        <w:t>avelumab</w:t>
      </w:r>
      <w:proofErr w:type="spellEnd"/>
      <w:r w:rsidR="009F3361" w:rsidRPr="00EC6E05">
        <w:t xml:space="preserve"> </w:t>
      </w:r>
      <w:r w:rsidR="00674F10" w:rsidRPr="00EC6E05">
        <w:t xml:space="preserve">(i.e. not in </w:t>
      </w:r>
      <w:r w:rsidR="00E3438A" w:rsidRPr="00EC6E05">
        <w:t xml:space="preserve">the </w:t>
      </w:r>
      <w:proofErr w:type="spellStart"/>
      <w:r w:rsidR="005C1AFE" w:rsidRPr="00EC6E05">
        <w:t>axitinib</w:t>
      </w:r>
      <w:proofErr w:type="spellEnd"/>
      <w:r w:rsidR="00E3438A" w:rsidRPr="00EC6E05">
        <w:t xml:space="preserve"> restriction</w:t>
      </w:r>
      <w:r w:rsidR="00674F10" w:rsidRPr="00EC6E05">
        <w:t>)</w:t>
      </w:r>
      <w:r w:rsidR="007B0B4F">
        <w:t xml:space="preserve"> as it is not an immunotherapy. The Delegate’s </w:t>
      </w:r>
      <w:proofErr w:type="gramStart"/>
      <w:r w:rsidR="007B0B4F">
        <w:t>Overview  stated</w:t>
      </w:r>
      <w:proofErr w:type="gramEnd"/>
      <w:r w:rsidR="007B0B4F">
        <w:t xml:space="preserve"> that ‘t</w:t>
      </w:r>
      <w:r w:rsidR="007B0B4F" w:rsidRPr="007B0B4F">
        <w:t>here was a higher than would be expected rate of adverse events than for either agent as monotherapy, as consistent with a combination treatment</w:t>
      </w:r>
      <w:r w:rsidR="007B0B4F">
        <w:t>’.</w:t>
      </w:r>
    </w:p>
    <w:p w:rsidR="00D30536" w:rsidRPr="00EC6E05" w:rsidRDefault="00D30536" w:rsidP="00484B6B">
      <w:pPr>
        <w:pStyle w:val="3-BodyText"/>
        <w:numPr>
          <w:ilvl w:val="0"/>
          <w:numId w:val="15"/>
        </w:numPr>
        <w:ind w:left="1077" w:hanging="357"/>
      </w:pPr>
      <w:r w:rsidRPr="00EC6E05">
        <w:t>Inclusion of wording regarding pseudo-progression</w:t>
      </w:r>
      <w:r w:rsidR="00674F10" w:rsidRPr="00EC6E05">
        <w:t xml:space="preserve"> to be consistent with</w:t>
      </w:r>
      <w:r w:rsidR="004C2B92" w:rsidRPr="00EC6E05">
        <w:t xml:space="preserve"> </w:t>
      </w:r>
      <w:r w:rsidR="002E124D">
        <w:t>NIVO + IPI</w:t>
      </w:r>
      <w:r w:rsidR="006E0730" w:rsidRPr="00EC6E05">
        <w:t xml:space="preserve"> listing</w:t>
      </w:r>
      <w:r w:rsidRPr="00EC6E05">
        <w:t>.</w:t>
      </w:r>
    </w:p>
    <w:p w:rsidR="000765E3" w:rsidRDefault="000765E3" w:rsidP="001C3FC6">
      <w:pPr>
        <w:pStyle w:val="3-BodyText"/>
      </w:pPr>
      <w:r w:rsidRPr="000765E3">
        <w:t xml:space="preserve">The </w:t>
      </w:r>
      <w:r w:rsidR="002C3A17">
        <w:t>proposed</w:t>
      </w:r>
      <w:r w:rsidRPr="000765E3">
        <w:t xml:space="preserve"> restriction is considered </w:t>
      </w:r>
      <w:proofErr w:type="gramStart"/>
      <w:r w:rsidRPr="000765E3">
        <w:t>to be complex</w:t>
      </w:r>
      <w:proofErr w:type="gramEnd"/>
      <w:r w:rsidRPr="000765E3">
        <w:t xml:space="preserve"> as it will have restriction flow-on effects to other listings</w:t>
      </w:r>
      <w:r w:rsidR="001C3FC6">
        <w:t xml:space="preserve">. The existing </w:t>
      </w:r>
      <w:proofErr w:type="spellStart"/>
      <w:r w:rsidR="001C3FC6">
        <w:t>axitinib</w:t>
      </w:r>
      <w:proofErr w:type="spellEnd"/>
      <w:r w:rsidR="001C3FC6">
        <w:t xml:space="preserve"> restriction would </w:t>
      </w:r>
      <w:r w:rsidR="00BD1539">
        <w:t>require amendment</w:t>
      </w:r>
      <w:r w:rsidR="001C3FC6">
        <w:t xml:space="preserve"> to clarify that patients </w:t>
      </w:r>
      <w:proofErr w:type="gramStart"/>
      <w:r w:rsidR="001C3FC6">
        <w:t>cannot be re-treated</w:t>
      </w:r>
      <w:proofErr w:type="gramEnd"/>
      <w:r w:rsidR="001C3FC6">
        <w:t xml:space="preserve"> with </w:t>
      </w:r>
      <w:proofErr w:type="spellStart"/>
      <w:r w:rsidR="001C3FC6">
        <w:t>axitinib</w:t>
      </w:r>
      <w:proofErr w:type="spellEnd"/>
      <w:r w:rsidR="001C3FC6">
        <w:t xml:space="preserve"> following progression on AVE + AXI. Further, the restrictions for </w:t>
      </w:r>
      <w:proofErr w:type="spellStart"/>
      <w:r w:rsidRPr="000765E3">
        <w:t>cabozantinib</w:t>
      </w:r>
      <w:proofErr w:type="spellEnd"/>
      <w:r w:rsidRPr="000765E3">
        <w:t xml:space="preserve">, </w:t>
      </w:r>
      <w:proofErr w:type="spellStart"/>
      <w:r w:rsidRPr="000765E3">
        <w:t>everolimus</w:t>
      </w:r>
      <w:proofErr w:type="spellEnd"/>
      <w:r w:rsidRPr="000765E3">
        <w:t xml:space="preserve"> and </w:t>
      </w:r>
      <w:proofErr w:type="spellStart"/>
      <w:r w:rsidRPr="000765E3">
        <w:t>sorafenib</w:t>
      </w:r>
      <w:proofErr w:type="spellEnd"/>
      <w:r w:rsidRPr="000765E3">
        <w:t xml:space="preserve"> (which </w:t>
      </w:r>
      <w:proofErr w:type="gramStart"/>
      <w:r w:rsidRPr="000765E3">
        <w:t xml:space="preserve">are </w:t>
      </w:r>
      <w:r w:rsidR="001C3FC6">
        <w:t xml:space="preserve">currently </w:t>
      </w:r>
      <w:r w:rsidRPr="000765E3">
        <w:t>listed</w:t>
      </w:r>
      <w:proofErr w:type="gramEnd"/>
      <w:r w:rsidRPr="000765E3">
        <w:t xml:space="preserve"> for use </w:t>
      </w:r>
      <w:r w:rsidR="001C3FC6">
        <w:t xml:space="preserve">in patients who have progressive disease </w:t>
      </w:r>
      <w:r w:rsidR="001C3FC6" w:rsidRPr="000765E3">
        <w:t>following prior treatment with a tyrosine kinase inhibitor</w:t>
      </w:r>
      <w:r w:rsidRPr="000765E3">
        <w:t xml:space="preserve">) </w:t>
      </w:r>
      <w:r w:rsidR="001C3FC6">
        <w:t>may require amendment to ensure th</w:t>
      </w:r>
      <w:r w:rsidR="00BD1539">
        <w:t xml:space="preserve">at PBS usage </w:t>
      </w:r>
      <w:r w:rsidR="001C3FC6">
        <w:t>is consistent with the inten</w:t>
      </w:r>
      <w:r w:rsidR="00BD1539">
        <w:t>ded</w:t>
      </w:r>
      <w:r w:rsidR="001C3FC6">
        <w:t xml:space="preserve"> </w:t>
      </w:r>
      <w:r w:rsidR="00BD1539">
        <w:t>place in therapy</w:t>
      </w:r>
      <w:r w:rsidR="001C3FC6">
        <w:t xml:space="preserve">. </w:t>
      </w:r>
    </w:p>
    <w:p w:rsidR="008D7B30" w:rsidRPr="00EC6E05" w:rsidRDefault="008D7B30" w:rsidP="00484B6B">
      <w:pPr>
        <w:pStyle w:val="3-BodyText"/>
        <w:numPr>
          <w:ilvl w:val="0"/>
          <w:numId w:val="0"/>
        </w:numPr>
        <w:ind w:firstLine="720"/>
        <w:rPr>
          <w:i/>
        </w:rPr>
      </w:pPr>
      <w:r w:rsidRPr="00EC6E05">
        <w:rPr>
          <w:i/>
        </w:rPr>
        <w:t>For more detail on PBAC’s view, see section 7 PBAC outcome.</w:t>
      </w:r>
    </w:p>
    <w:p w:rsidR="00B65A3B" w:rsidRPr="00EC6E05" w:rsidRDefault="00B65A3B" w:rsidP="00B65A3B">
      <w:pPr>
        <w:pStyle w:val="2-SectionHeading"/>
        <w:numPr>
          <w:ilvl w:val="0"/>
          <w:numId w:val="1"/>
        </w:numPr>
      </w:pPr>
      <w:bookmarkStart w:id="16" w:name="_Toc30600751"/>
      <w:r w:rsidRPr="00EC6E05">
        <w:t>Population and disease</w:t>
      </w:r>
      <w:bookmarkEnd w:id="16"/>
    </w:p>
    <w:p w:rsidR="00B65A3B" w:rsidRPr="00EC6E05" w:rsidRDefault="00B65A3B" w:rsidP="00BF2EA7">
      <w:pPr>
        <w:pStyle w:val="3-BodyText"/>
        <w:rPr>
          <w:rFonts w:cstheme="minorHAnsi"/>
          <w:color w:val="0066FF"/>
        </w:rPr>
      </w:pPr>
      <w:r w:rsidRPr="00EC6E05">
        <w:t xml:space="preserve">RCC is the most common form of kidney cancer and arises from the cells of the renal tubules, accounting for up to 90% of primary renal neoplasms. Clear cell variant RCC is the most common subtype and accounts for 70-80% of all RCC cases (paragraph 4.1, NIVO + IPI, </w:t>
      </w:r>
      <w:r w:rsidR="00FD44E5" w:rsidRPr="00EC6E05">
        <w:t>Public Summary Document (</w:t>
      </w:r>
      <w:r w:rsidRPr="00EC6E05">
        <w:t>PSD</w:t>
      </w:r>
      <w:r w:rsidR="00FD44E5" w:rsidRPr="00EC6E05">
        <w:t>)</w:t>
      </w:r>
      <w:r w:rsidRPr="00EC6E05">
        <w:t xml:space="preserve">, July 2018 PBAC meeting). As more than 50% of patients with RCC are asymptomatic, diagnosis occurs incidentally and </w:t>
      </w:r>
      <w:proofErr w:type="gramStart"/>
      <w:r w:rsidRPr="00EC6E05">
        <w:t>approximately 25-30% of newly diagnosed RCC are advanced or have metastasised</w:t>
      </w:r>
      <w:proofErr w:type="gramEnd"/>
      <w:r w:rsidRPr="00EC6E05">
        <w:t xml:space="preserve">. An additional 30% of patients who </w:t>
      </w:r>
      <w:proofErr w:type="gramStart"/>
      <w:r w:rsidRPr="00EC6E05">
        <w:t>had been treated</w:t>
      </w:r>
      <w:proofErr w:type="gramEnd"/>
      <w:r w:rsidRPr="00EC6E05">
        <w:t xml:space="preserve"> with curative intent will develop metastases that are detected </w:t>
      </w:r>
      <w:r w:rsidRPr="00EC6E05">
        <w:rPr>
          <w:rFonts w:cstheme="minorHAnsi"/>
        </w:rPr>
        <w:t>during follow-up.</w:t>
      </w:r>
    </w:p>
    <w:p w:rsidR="00B65A3B" w:rsidRPr="00EC6E05" w:rsidRDefault="00B65A3B" w:rsidP="00BF2EA7">
      <w:pPr>
        <w:pStyle w:val="3-BodyText"/>
        <w:rPr>
          <w:color w:val="0066FF"/>
        </w:rPr>
      </w:pPr>
      <w:proofErr w:type="spellStart"/>
      <w:r w:rsidRPr="00EC6E05">
        <w:t>Avelumab</w:t>
      </w:r>
      <w:proofErr w:type="spellEnd"/>
      <w:r w:rsidRPr="00EC6E05">
        <w:t xml:space="preserve"> is a programmed death ligand-1 (PD-L1) inhibitor and </w:t>
      </w:r>
      <w:proofErr w:type="spellStart"/>
      <w:r w:rsidRPr="00EC6E05">
        <w:t>axitinib</w:t>
      </w:r>
      <w:proofErr w:type="spellEnd"/>
      <w:r w:rsidRPr="00EC6E05">
        <w:t xml:space="preserve"> is an oral, second-generation TKI that is </w:t>
      </w:r>
      <w:r w:rsidRPr="00EC6E05">
        <w:rPr>
          <w:rFonts w:cstheme="minorHAnsi"/>
        </w:rPr>
        <w:t>selective for vascular epidermal growth factor</w:t>
      </w:r>
      <w:r w:rsidRPr="00EC6E05">
        <w:t xml:space="preserve"> (VEGFR). The submission’s proposed place in therapy </w:t>
      </w:r>
      <w:r w:rsidR="00A723C2" w:rsidRPr="00EC6E05">
        <w:t xml:space="preserve">for </w:t>
      </w:r>
      <w:r w:rsidRPr="00EC6E05">
        <w:t xml:space="preserve">the combined use of AVE + AXI for advanced RCC </w:t>
      </w:r>
      <w:proofErr w:type="gramStart"/>
      <w:r w:rsidRPr="00EC6E05">
        <w:t>is presented</w:t>
      </w:r>
      <w:proofErr w:type="gramEnd"/>
      <w:r w:rsidRPr="00EC6E05">
        <w:t xml:space="preserve"> in Figure 1.</w:t>
      </w:r>
    </w:p>
    <w:p w:rsidR="00B65A3B" w:rsidRPr="00C61209" w:rsidRDefault="00B65A3B" w:rsidP="00C61209">
      <w:pPr>
        <w:pStyle w:val="TableFigureHeading"/>
        <w:rPr>
          <w:rStyle w:val="CommentReference"/>
          <w:szCs w:val="20"/>
        </w:rPr>
      </w:pPr>
      <w:r w:rsidRPr="00C61209">
        <w:lastRenderedPageBreak/>
        <w:t xml:space="preserve">Figure 1: </w:t>
      </w:r>
      <w:r w:rsidRPr="00C61209">
        <w:rPr>
          <w:rStyle w:val="CommentReference"/>
          <w:b/>
          <w:szCs w:val="20"/>
        </w:rPr>
        <w:t>Proposed clinical management algorithm</w:t>
      </w:r>
    </w:p>
    <w:p w:rsidR="00B65A3B" w:rsidRPr="00EC6E05" w:rsidRDefault="00B65A3B" w:rsidP="00BF2EA7">
      <w:pPr>
        <w:pStyle w:val="3-BodyText"/>
        <w:numPr>
          <w:ilvl w:val="0"/>
          <w:numId w:val="0"/>
        </w:numPr>
        <w:rPr>
          <w:rFonts w:ascii="Arial Narrow" w:hAnsi="Arial Narrow"/>
          <w:color w:val="0066FF"/>
          <w:sz w:val="20"/>
          <w:szCs w:val="20"/>
        </w:rPr>
      </w:pPr>
      <w:r w:rsidRPr="00EC6E05">
        <w:rPr>
          <w:noProof/>
        </w:rPr>
        <w:drawing>
          <wp:inline distT="0" distB="0" distL="0" distR="0" wp14:anchorId="7261EAA9" wp14:editId="317442DE">
            <wp:extent cx="4635610" cy="3346000"/>
            <wp:effectExtent l="0" t="0" r="0" b="6985"/>
            <wp:docPr id="194" name="Picture 194" title="Figure 1: Proposed clinical manage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55310" cy="3360220"/>
                    </a:xfrm>
                    <a:prstGeom prst="rect">
                      <a:avLst/>
                    </a:prstGeom>
                  </pic:spPr>
                </pic:pic>
              </a:graphicData>
            </a:graphic>
          </wp:inline>
        </w:drawing>
      </w:r>
    </w:p>
    <w:p w:rsidR="00B65A3B" w:rsidRPr="00EC6E05" w:rsidRDefault="00B65A3B" w:rsidP="00B65A3B">
      <w:pPr>
        <w:pStyle w:val="Source"/>
        <w:keepNext/>
        <w:rPr>
          <w:rFonts w:ascii="Arial Narrow" w:hAnsi="Arial Narrow"/>
        </w:rPr>
      </w:pPr>
      <w:r w:rsidRPr="00EC6E05">
        <w:rPr>
          <w:rFonts w:ascii="Arial Narrow" w:hAnsi="Arial Narrow"/>
        </w:rPr>
        <w:t>Source: Figure 1.2-2, p29 of the Submission</w:t>
      </w:r>
    </w:p>
    <w:p w:rsidR="00B65A3B" w:rsidRPr="00EC6E05" w:rsidRDefault="00B65A3B" w:rsidP="00B65A3B">
      <w:pPr>
        <w:pStyle w:val="Source"/>
        <w:keepNext/>
        <w:rPr>
          <w:rFonts w:ascii="Arial Narrow" w:hAnsi="Arial Narrow"/>
        </w:rPr>
      </w:pPr>
      <w:r w:rsidRPr="00EC6E05">
        <w:rPr>
          <w:rFonts w:ascii="Arial Narrow" w:hAnsi="Arial Narrow"/>
        </w:rPr>
        <w:t xml:space="preserve">Abbreviations: </w:t>
      </w:r>
      <w:proofErr w:type="spellStart"/>
      <w:r w:rsidRPr="00EC6E05">
        <w:rPr>
          <w:rFonts w:ascii="Arial Narrow" w:hAnsi="Arial Narrow"/>
        </w:rPr>
        <w:t>aRCC</w:t>
      </w:r>
      <w:proofErr w:type="spellEnd"/>
      <w:r w:rsidRPr="00EC6E05">
        <w:rPr>
          <w:rFonts w:ascii="Arial Narrow" w:hAnsi="Arial Narrow"/>
        </w:rPr>
        <w:t xml:space="preserve"> = advanced clear cell renal cell carcinoma; TKI = tyrosine kinase inhibitor</w:t>
      </w:r>
    </w:p>
    <w:p w:rsidR="00453D86" w:rsidRPr="00EC6E05" w:rsidRDefault="00453D86" w:rsidP="00B65A3B">
      <w:pPr>
        <w:pStyle w:val="Source"/>
        <w:keepNext/>
        <w:rPr>
          <w:rFonts w:ascii="Arial Narrow" w:hAnsi="Arial Narrow"/>
        </w:rPr>
      </w:pPr>
      <w:proofErr w:type="spellStart"/>
      <w:r w:rsidRPr="00EC6E05">
        <w:rPr>
          <w:rFonts w:ascii="Arial Narrow" w:hAnsi="Arial Narrow"/>
        </w:rPr>
        <w:t>Avelumab</w:t>
      </w:r>
      <w:proofErr w:type="spellEnd"/>
      <w:r w:rsidRPr="00EC6E05">
        <w:rPr>
          <w:rFonts w:ascii="Arial Narrow" w:hAnsi="Arial Narrow"/>
        </w:rPr>
        <w:t xml:space="preserve"> + </w:t>
      </w:r>
      <w:proofErr w:type="spellStart"/>
      <w:r w:rsidRPr="00EC6E05">
        <w:rPr>
          <w:rFonts w:ascii="Arial Narrow" w:hAnsi="Arial Narrow"/>
        </w:rPr>
        <w:t>axitinib</w:t>
      </w:r>
      <w:proofErr w:type="spellEnd"/>
      <w:r w:rsidRPr="00EC6E05">
        <w:rPr>
          <w:rFonts w:ascii="Arial Narrow" w:hAnsi="Arial Narrow"/>
        </w:rPr>
        <w:t xml:space="preserve"> denoted in red indicates first-line treatment of advanced (stage IV) clear cell variant RCC in patients classified as having intermediate to poor prognostic risk according to the IMDC prognostic risk criteria.</w:t>
      </w:r>
    </w:p>
    <w:p w:rsidR="00453D86" w:rsidRPr="00EC6E05" w:rsidRDefault="00453D86" w:rsidP="00B65A3B">
      <w:pPr>
        <w:pStyle w:val="Source"/>
        <w:keepNext/>
        <w:rPr>
          <w:rFonts w:ascii="Arial Narrow" w:hAnsi="Arial Narrow"/>
        </w:rPr>
      </w:pPr>
      <w:r w:rsidRPr="00EC6E05">
        <w:rPr>
          <w:rFonts w:ascii="Arial Narrow" w:hAnsi="Arial Narrow"/>
        </w:rPr>
        <w:t>* The submission also requested the PBAC consider a listing agnostic to prognostic risk classification</w:t>
      </w:r>
      <w:r w:rsidR="00B271EB" w:rsidRPr="00EC6E05">
        <w:rPr>
          <w:rFonts w:ascii="Arial Narrow" w:hAnsi="Arial Narrow"/>
        </w:rPr>
        <w:t>, though the PSCR stated this was not a formal request</w:t>
      </w:r>
      <w:r w:rsidRPr="00EC6E05">
        <w:rPr>
          <w:rFonts w:ascii="Arial Narrow" w:hAnsi="Arial Narrow"/>
        </w:rPr>
        <w:t xml:space="preserve"> </w:t>
      </w:r>
    </w:p>
    <w:p w:rsidR="00B65A3B" w:rsidRPr="00EC6E05" w:rsidRDefault="00B65A3B" w:rsidP="00B65A3B">
      <w:pPr>
        <w:pStyle w:val="Source"/>
        <w:keepNext/>
        <w:rPr>
          <w:rFonts w:ascii="Arial Narrow" w:hAnsi="Arial Narrow"/>
        </w:rPr>
      </w:pPr>
      <w:r w:rsidRPr="00EC6E05">
        <w:rPr>
          <w:rFonts w:ascii="Arial Narrow" w:hAnsi="Arial Narrow"/>
          <w:vertAlign w:val="superscript"/>
        </w:rPr>
        <w:t>1</w:t>
      </w:r>
      <w:r w:rsidRPr="00EC6E05">
        <w:rPr>
          <w:rFonts w:ascii="Arial Narrow" w:hAnsi="Arial Narrow"/>
        </w:rPr>
        <w:t xml:space="preserve"> For patients who have progressive disease with a prior TKI or intolerance to a TKI necessitating permanent treatment withdrawal and patient must not have received treatment with a PD-1 or PD-L1 inhibitor for this condition</w:t>
      </w:r>
    </w:p>
    <w:p w:rsidR="008D7B30" w:rsidRPr="00EC6E05" w:rsidRDefault="008D7B30" w:rsidP="00B65A3B">
      <w:pPr>
        <w:pStyle w:val="Source"/>
        <w:keepNext/>
        <w:rPr>
          <w:rFonts w:ascii="Arial Narrow" w:hAnsi="Arial Narrow"/>
          <w:szCs w:val="18"/>
        </w:rPr>
      </w:pPr>
    </w:p>
    <w:p w:rsidR="008D7B30" w:rsidRPr="00EC6E05" w:rsidRDefault="008D7B30" w:rsidP="00484B6B">
      <w:pPr>
        <w:pStyle w:val="ListParagraph"/>
        <w:ind w:left="0" w:firstLine="720"/>
        <w:jc w:val="both"/>
        <w:rPr>
          <w:rFonts w:cs="Times New Roman"/>
          <w:i/>
        </w:rPr>
      </w:pPr>
      <w:r w:rsidRPr="00EC6E05">
        <w:rPr>
          <w:i/>
        </w:rPr>
        <w:t>For more detail on PBAC’s view, see section 7 PBAC outcome.</w:t>
      </w:r>
    </w:p>
    <w:p w:rsidR="00B65A3B" w:rsidRPr="00EC6E05" w:rsidRDefault="00B65A3B" w:rsidP="00B65A3B">
      <w:pPr>
        <w:pStyle w:val="2-SectionHeading"/>
        <w:numPr>
          <w:ilvl w:val="0"/>
          <w:numId w:val="1"/>
        </w:numPr>
      </w:pPr>
      <w:bookmarkStart w:id="17" w:name="_Toc30600752"/>
      <w:r w:rsidRPr="00EC6E05">
        <w:t>Comparator</w:t>
      </w:r>
      <w:bookmarkEnd w:id="17"/>
    </w:p>
    <w:p w:rsidR="00C835E3" w:rsidRPr="00EC6E05" w:rsidRDefault="00B65A3B" w:rsidP="00BF2EA7">
      <w:pPr>
        <w:pStyle w:val="3-BodyText"/>
        <w:rPr>
          <w:snapToGrid/>
        </w:rPr>
      </w:pPr>
      <w:r w:rsidRPr="00EC6E05">
        <w:t>The submission nominated combination therapy with NIVO + IPI as the main comparator</w:t>
      </w:r>
      <w:r w:rsidR="006A55C5">
        <w:t>,</w:t>
      </w:r>
      <w:r w:rsidRPr="00EC6E05">
        <w:t xml:space="preserve"> and combination treatment with </w:t>
      </w:r>
      <w:proofErr w:type="spellStart"/>
      <w:r w:rsidRPr="00EC6E05">
        <w:t>pembrolizumab</w:t>
      </w:r>
      <w:proofErr w:type="spellEnd"/>
      <w:r w:rsidRPr="00EC6E05">
        <w:t xml:space="preserve"> and </w:t>
      </w:r>
      <w:proofErr w:type="spellStart"/>
      <w:r w:rsidRPr="00EC6E05">
        <w:t>axitinib</w:t>
      </w:r>
      <w:proofErr w:type="spellEnd"/>
      <w:r w:rsidRPr="00EC6E05">
        <w:t xml:space="preserve"> (PEM + AXI) as a near market comparator. </w:t>
      </w:r>
      <w:r w:rsidRPr="00EC6E05">
        <w:rPr>
          <w:iCs/>
        </w:rPr>
        <w:t xml:space="preserve">The justification and choice of NIVO + IPI as the comparator for patients with intermediate to poor risk disease was appropriate. </w:t>
      </w:r>
    </w:p>
    <w:p w:rsidR="00B65A3B" w:rsidRPr="00EC6E05" w:rsidRDefault="00C835E3" w:rsidP="00BF2EA7">
      <w:pPr>
        <w:pStyle w:val="3-BodyText"/>
        <w:rPr>
          <w:snapToGrid/>
        </w:rPr>
      </w:pPr>
      <w:r w:rsidRPr="00EC6E05">
        <w:t xml:space="preserve">With regard to the request for consideration of listing in favourable risk disease, </w:t>
      </w:r>
      <w:r w:rsidR="00B65A3B" w:rsidRPr="00EC6E05">
        <w:t xml:space="preserve">NIVO + IPI is not TGA approved/PBS listed for </w:t>
      </w:r>
      <w:r w:rsidRPr="00EC6E05">
        <w:t>this indication</w:t>
      </w:r>
      <w:r w:rsidR="00B65A3B" w:rsidRPr="00EC6E05">
        <w:t xml:space="preserve">. The submission did not nominate any comparators for use in favourable risk disease. Both </w:t>
      </w:r>
      <w:proofErr w:type="spellStart"/>
      <w:r w:rsidR="00B65A3B" w:rsidRPr="00EC6E05">
        <w:t>sunitinib</w:t>
      </w:r>
      <w:proofErr w:type="spellEnd"/>
      <w:r w:rsidR="00B65A3B" w:rsidRPr="00EC6E05">
        <w:t xml:space="preserve"> and </w:t>
      </w:r>
      <w:proofErr w:type="spellStart"/>
      <w:r w:rsidR="00B65A3B" w:rsidRPr="00EC6E05">
        <w:t>pazopanib</w:t>
      </w:r>
      <w:proofErr w:type="spellEnd"/>
      <w:r w:rsidR="00B65A3B" w:rsidRPr="00EC6E05">
        <w:t xml:space="preserve"> </w:t>
      </w:r>
      <w:proofErr w:type="gramStart"/>
      <w:r w:rsidR="00B65A3B" w:rsidRPr="00EC6E05">
        <w:t>may be considered</w:t>
      </w:r>
      <w:proofErr w:type="gramEnd"/>
      <w:r w:rsidR="00B65A3B" w:rsidRPr="00EC6E05">
        <w:t xml:space="preserve"> alternative therapies to AVE + AXI for patients with favourable risk disease. </w:t>
      </w:r>
    </w:p>
    <w:p w:rsidR="005E78BD" w:rsidRPr="005E78BD" w:rsidRDefault="00B65A3B" w:rsidP="00BF2EA7">
      <w:pPr>
        <w:pStyle w:val="3-BodyText"/>
        <w:rPr>
          <w:snapToGrid/>
          <w:color w:val="0066FF"/>
        </w:rPr>
      </w:pPr>
      <w:r w:rsidRPr="00EC6E05">
        <w:t xml:space="preserve">PEM + AXI is not currently TGA approved </w:t>
      </w:r>
      <w:r w:rsidR="00232FDB">
        <w:t xml:space="preserve">or PBS listed </w:t>
      </w:r>
      <w:r w:rsidRPr="00EC6E05">
        <w:t>for use in the first-line treatment of patients with stage IV RCC. The submission provided a clinical comparison of these treatments</w:t>
      </w:r>
      <w:r w:rsidR="008D7B30" w:rsidRPr="00EC6E05">
        <w:t>.</w:t>
      </w:r>
      <w:r w:rsidR="00232FDB">
        <w:t xml:space="preserve"> </w:t>
      </w:r>
    </w:p>
    <w:p w:rsidR="00B65A3B" w:rsidRPr="00EC6E05" w:rsidRDefault="00232FDB" w:rsidP="00BF2EA7">
      <w:pPr>
        <w:pStyle w:val="3-BodyText"/>
        <w:rPr>
          <w:snapToGrid/>
          <w:color w:val="0066FF"/>
        </w:rPr>
      </w:pPr>
      <w:r>
        <w:lastRenderedPageBreak/>
        <w:t xml:space="preserve">The PBAC noted that, while PEM + AXI was not </w:t>
      </w:r>
      <w:r w:rsidR="00883C66">
        <w:t>an</w:t>
      </w:r>
      <w:r>
        <w:t xml:space="preserve"> appropriate comparator</w:t>
      </w:r>
      <w:r w:rsidR="00883C66">
        <w:t xml:space="preserve"> in this submission</w:t>
      </w:r>
      <w:r>
        <w:t>, the National Comprehensive Cancer Network (NCCN) Guidelines version 2.2020</w:t>
      </w:r>
      <w:r w:rsidR="005E78BD">
        <w:t xml:space="preserve"> list NIVO + IPI or </w:t>
      </w:r>
      <w:r w:rsidR="005E78BD" w:rsidRPr="00EC6E05">
        <w:t>PEM + AXI</w:t>
      </w:r>
      <w:r w:rsidR="005E78BD">
        <w:t xml:space="preserve"> as preferred immunotherapy regimens in </w:t>
      </w:r>
      <w:r w:rsidR="005E78BD" w:rsidRPr="00EC6E05">
        <w:rPr>
          <w:iCs/>
        </w:rPr>
        <w:t>intermediate to poor risk</w:t>
      </w:r>
      <w:r w:rsidR="005E78BD">
        <w:rPr>
          <w:iCs/>
        </w:rPr>
        <w:t xml:space="preserve"> patients, while AVE + AXI </w:t>
      </w:r>
      <w:r w:rsidR="007625C3">
        <w:rPr>
          <w:iCs/>
        </w:rPr>
        <w:t>is listed as</w:t>
      </w:r>
      <w:r w:rsidR="005E78BD">
        <w:rPr>
          <w:iCs/>
        </w:rPr>
        <w:t xml:space="preserve"> an ‘other recommended regimen’.</w:t>
      </w:r>
      <w:r w:rsidR="005E78BD">
        <w:rPr>
          <w:rStyle w:val="FootnoteReference"/>
          <w:iCs/>
        </w:rPr>
        <w:footnoteReference w:id="1"/>
      </w:r>
    </w:p>
    <w:p w:rsidR="008D7B30" w:rsidRPr="00EC6E05" w:rsidRDefault="008D7B30" w:rsidP="00484B6B">
      <w:pPr>
        <w:pStyle w:val="ListParagraph"/>
        <w:ind w:left="0" w:firstLine="720"/>
        <w:jc w:val="both"/>
        <w:rPr>
          <w:rFonts w:cs="Times New Roman"/>
          <w:i/>
        </w:rPr>
      </w:pPr>
      <w:r w:rsidRPr="00EC6E05">
        <w:rPr>
          <w:i/>
        </w:rPr>
        <w:t>For more detail on PBAC’s view, see section 7 PBAC outcome.</w:t>
      </w:r>
    </w:p>
    <w:p w:rsidR="00B65A3B" w:rsidRPr="00EC6E05" w:rsidRDefault="00B65A3B" w:rsidP="00B65A3B">
      <w:pPr>
        <w:pStyle w:val="2-SectionHeading"/>
        <w:numPr>
          <w:ilvl w:val="0"/>
          <w:numId w:val="1"/>
        </w:numPr>
      </w:pPr>
      <w:bookmarkStart w:id="18" w:name="_Toc30600753"/>
      <w:bookmarkStart w:id="19" w:name="_Toc22897640"/>
      <w:r w:rsidRPr="00EC6E05">
        <w:t>Consideration of the evidence</w:t>
      </w:r>
      <w:bookmarkEnd w:id="18"/>
    </w:p>
    <w:p w:rsidR="008E1AD5" w:rsidRPr="00EC6E05" w:rsidRDefault="008E1AD5" w:rsidP="00B65A3B">
      <w:pPr>
        <w:pStyle w:val="4-SubsectionHeading"/>
      </w:pPr>
      <w:bookmarkStart w:id="20" w:name="_Toc30600754"/>
      <w:r w:rsidRPr="00EC6E05">
        <w:t>Sponsor hearing</w:t>
      </w:r>
    </w:p>
    <w:p w:rsidR="008E1AD5" w:rsidRPr="00EC6E05" w:rsidRDefault="00D53FFB" w:rsidP="008E1AD5">
      <w:pPr>
        <w:pStyle w:val="3-BodyText"/>
      </w:pPr>
      <w:r w:rsidRPr="00EC6E05">
        <w:rPr>
          <w:rFonts w:cs="Arial"/>
        </w:rPr>
        <w:t>There was no hearing for this item</w:t>
      </w:r>
    </w:p>
    <w:p w:rsidR="008E1AD5" w:rsidRPr="00EC6E05" w:rsidRDefault="008E1AD5" w:rsidP="00B65A3B">
      <w:pPr>
        <w:pStyle w:val="4-SubsectionHeading"/>
      </w:pPr>
      <w:r w:rsidRPr="00EC6E05">
        <w:t>Consumer comments</w:t>
      </w:r>
    </w:p>
    <w:p w:rsidR="008E1AD5" w:rsidRPr="00EC6E05" w:rsidRDefault="00BD1539" w:rsidP="00BD1539">
      <w:pPr>
        <w:pStyle w:val="3-BodyText"/>
      </w:pPr>
      <w:r w:rsidRPr="00BD1539">
        <w:t xml:space="preserve">The PBAC noted and welcomed the input from </w:t>
      </w:r>
      <w:r>
        <w:t>organisations (2</w:t>
      </w:r>
      <w:r w:rsidRPr="00BD1539">
        <w:t xml:space="preserve">) via the Consumer Comments facility on the PBS website. </w:t>
      </w:r>
      <w:r w:rsidR="00C96E91" w:rsidRPr="00EC6E05">
        <w:t xml:space="preserve">The PBAC noted the advice received from Rare Cancers Australia </w:t>
      </w:r>
      <w:r w:rsidR="007625C3">
        <w:t>outlining that</w:t>
      </w:r>
      <w:r w:rsidR="00C96E91" w:rsidRPr="00EC6E05">
        <w:t xml:space="preserve"> </w:t>
      </w:r>
      <w:r w:rsidR="002E124D">
        <w:t>AVE + AXI</w:t>
      </w:r>
      <w:r w:rsidR="003C498E" w:rsidRPr="00EC6E05">
        <w:t xml:space="preserve"> </w:t>
      </w:r>
      <w:r w:rsidR="00C96E91" w:rsidRPr="00EC6E05">
        <w:t xml:space="preserve">would </w:t>
      </w:r>
      <w:r w:rsidR="00C96E91" w:rsidRPr="00EC6E05">
        <w:rPr>
          <w:rFonts w:cs="Arial"/>
        </w:rPr>
        <w:t xml:space="preserve">provide an alternative treatment option for patients with advanced disease, and that </w:t>
      </w:r>
      <w:r w:rsidR="00266EB3">
        <w:rPr>
          <w:rFonts w:cs="Arial"/>
        </w:rPr>
        <w:t>AVE + AXI is</w:t>
      </w:r>
      <w:r w:rsidR="00C96E91" w:rsidRPr="00EC6E05">
        <w:rPr>
          <w:rFonts w:cs="Arial"/>
        </w:rPr>
        <w:t xml:space="preserve"> expected to provide synergistic benefits greater than </w:t>
      </w:r>
      <w:r w:rsidR="00266EB3">
        <w:rPr>
          <w:rFonts w:cs="Arial"/>
        </w:rPr>
        <w:t xml:space="preserve">either agent </w:t>
      </w:r>
      <w:proofErr w:type="gramStart"/>
      <w:r w:rsidR="00266EB3">
        <w:rPr>
          <w:rFonts w:cs="Arial"/>
        </w:rPr>
        <w:t>alone</w:t>
      </w:r>
      <w:proofErr w:type="gramEnd"/>
      <w:r w:rsidR="00C96E91" w:rsidRPr="00EC6E05">
        <w:rPr>
          <w:rFonts w:cs="Arial"/>
        </w:rPr>
        <w:t>.</w:t>
      </w:r>
      <w:r w:rsidR="00C96E91" w:rsidRPr="00EC6E05">
        <w:t xml:space="preserve"> The </w:t>
      </w:r>
      <w:r w:rsidR="003C498E" w:rsidRPr="00EC6E05">
        <w:t>PBAC noted that this advice was</w:t>
      </w:r>
      <w:r w:rsidR="00C96E91" w:rsidRPr="00EC6E05">
        <w:t xml:space="preserve"> supportive of the evidence provided in the submission.</w:t>
      </w:r>
    </w:p>
    <w:p w:rsidR="003C498E" w:rsidRPr="00EC6E05" w:rsidRDefault="003C498E" w:rsidP="003C498E">
      <w:pPr>
        <w:pStyle w:val="3-BodyText"/>
      </w:pPr>
      <w:r w:rsidRPr="00EC6E05">
        <w:t xml:space="preserve">The Medical Oncology Group of Australia (MOGA) also expressed its support for the </w:t>
      </w:r>
      <w:r w:rsidR="002E124D">
        <w:t>AVE + AXI</w:t>
      </w:r>
      <w:r w:rsidRPr="00EC6E05">
        <w:t xml:space="preserve"> submission, categorising it as </w:t>
      </w:r>
      <w:r w:rsidR="00266EB3">
        <w:t xml:space="preserve">a </w:t>
      </w:r>
      <w:r w:rsidRPr="00EC6E05">
        <w:t>“</w:t>
      </w:r>
      <w:r w:rsidR="00266EB3">
        <w:t>supported application</w:t>
      </w:r>
      <w:r w:rsidRPr="00EC6E05">
        <w:t xml:space="preserve">” </w:t>
      </w:r>
      <w:proofErr w:type="gramStart"/>
      <w:r w:rsidRPr="00EC6E05">
        <w:t>on the basis of</w:t>
      </w:r>
      <w:proofErr w:type="gramEnd"/>
      <w:r w:rsidRPr="00EC6E05">
        <w:t xml:space="preserve"> the JAVELIN trial. The PBAC noted that the MOGA presented a European Society for Medical Oncology Magnitude of Clinical Benefit Scale (ESMO-MCBS) for </w:t>
      </w:r>
      <w:r w:rsidR="002E124D">
        <w:t>AVE + AXI</w:t>
      </w:r>
      <w:r w:rsidRPr="00EC6E05">
        <w:t>, which was limited to 3 (out of a maximum of 5, where 5 and 4 represent the grades with substantial improvement)</w:t>
      </w:r>
      <w:r w:rsidRPr="00EC6E05">
        <w:rPr>
          <w:rStyle w:val="FootnoteReference"/>
        </w:rPr>
        <w:footnoteReference w:id="2"/>
      </w:r>
      <w:r w:rsidRPr="00EC6E05">
        <w:t xml:space="preserve">, based on a comparison with </w:t>
      </w:r>
      <w:proofErr w:type="spellStart"/>
      <w:r w:rsidRPr="00EC6E05">
        <w:t>sunitinib</w:t>
      </w:r>
      <w:proofErr w:type="spellEnd"/>
      <w:r w:rsidRPr="00EC6E05">
        <w:t>.</w:t>
      </w:r>
      <w:r w:rsidR="00266EB3">
        <w:t xml:space="preserve"> MOGA noted that the OS data were immature.</w:t>
      </w:r>
    </w:p>
    <w:p w:rsidR="00B65A3B" w:rsidRPr="00EC6E05" w:rsidRDefault="00B65A3B" w:rsidP="00B65A3B">
      <w:pPr>
        <w:pStyle w:val="4-SubsectionHeading"/>
      </w:pPr>
      <w:r w:rsidRPr="00EC6E05">
        <w:t>Clinical trials</w:t>
      </w:r>
      <w:bookmarkEnd w:id="19"/>
      <w:bookmarkEnd w:id="20"/>
    </w:p>
    <w:p w:rsidR="00B65A3B" w:rsidRPr="00EC6E05" w:rsidRDefault="00B65A3B" w:rsidP="00BF2EA7">
      <w:pPr>
        <w:pStyle w:val="3-BodyText"/>
        <w:rPr>
          <w:color w:val="0066FF"/>
        </w:rPr>
      </w:pPr>
      <w:r w:rsidRPr="00EC6E05">
        <w:t>The</w:t>
      </w:r>
      <w:r w:rsidRPr="00EC6E05">
        <w:rPr>
          <w:color w:val="0066FF"/>
        </w:rPr>
        <w:t xml:space="preserve"> </w:t>
      </w:r>
      <w:r w:rsidRPr="00EC6E05">
        <w:t xml:space="preserve">submission </w:t>
      </w:r>
      <w:r w:rsidR="00266EB3">
        <w:t>sta</w:t>
      </w:r>
      <w:r w:rsidRPr="00EC6E05">
        <w:t xml:space="preserve">ted that there were no direct head-to-head trials of AVE + AXI compared to NIVO + IPI or the near market comparator PEM + AXI for the first-line treatment of advanced RCC. Accordingly, the submission presented an indirect treatment comparison (ITC) based on two phase 3, open label, randomised control trials: JAVELIN (N=886) which compared AVE + AXI with </w:t>
      </w:r>
      <w:proofErr w:type="spellStart"/>
      <w:r w:rsidRPr="00EC6E05">
        <w:t>sunitinib</w:t>
      </w:r>
      <w:proofErr w:type="spellEnd"/>
      <w:r w:rsidRPr="00EC6E05">
        <w:t xml:space="preserve"> in previously untreated patients with advanced RCC; and </w:t>
      </w:r>
      <w:proofErr w:type="spellStart"/>
      <w:r w:rsidRPr="00EC6E05">
        <w:t>CheckMate</w:t>
      </w:r>
      <w:proofErr w:type="spellEnd"/>
      <w:r w:rsidRPr="00EC6E05">
        <w:t xml:space="preserve"> 214 (N=1,096) which compared NIVO + IPI with </w:t>
      </w:r>
      <w:proofErr w:type="spellStart"/>
      <w:r w:rsidRPr="00EC6E05">
        <w:t>sunitinib</w:t>
      </w:r>
      <w:proofErr w:type="spellEnd"/>
      <w:r w:rsidRPr="00EC6E05">
        <w:t xml:space="preserve"> in previously untreated advanced RCC. </w:t>
      </w:r>
      <w:r w:rsidR="00757F4F" w:rsidRPr="00EC6E05">
        <w:t xml:space="preserve">An </w:t>
      </w:r>
      <w:r w:rsidRPr="00EC6E05">
        <w:t xml:space="preserve">ITC with </w:t>
      </w:r>
      <w:r w:rsidRPr="00EC6E05">
        <w:lastRenderedPageBreak/>
        <w:t>PEM + AXI</w:t>
      </w:r>
      <w:r w:rsidR="00757F4F" w:rsidRPr="00EC6E05">
        <w:t xml:space="preserve"> was also presented and</w:t>
      </w:r>
      <w:r w:rsidRPr="00EC6E05">
        <w:t xml:space="preserve"> was based on JAVELIN and Keynote-426 (N=861) which compared PEM + AXI with </w:t>
      </w:r>
      <w:proofErr w:type="spellStart"/>
      <w:r w:rsidRPr="00EC6E05">
        <w:t>sunitinib</w:t>
      </w:r>
      <w:proofErr w:type="spellEnd"/>
      <w:r w:rsidRPr="00EC6E05">
        <w:t xml:space="preserve"> in previously untreated advanced RCC</w:t>
      </w:r>
      <w:r w:rsidR="00BF74D2" w:rsidRPr="00EC6E05">
        <w:t xml:space="preserve">. </w:t>
      </w:r>
    </w:p>
    <w:p w:rsidR="00B65A3B" w:rsidRPr="00EC6E05" w:rsidRDefault="00EC6E05" w:rsidP="00BF2EA7">
      <w:pPr>
        <w:pStyle w:val="3-BodyText"/>
        <w:rPr>
          <w:rFonts w:ascii="Arial Narrow" w:hAnsi="Arial Narrow"/>
          <w:b/>
          <w:sz w:val="20"/>
        </w:rPr>
      </w:pPr>
      <w:r w:rsidRPr="00EC6E05">
        <w:t>De</w:t>
      </w:r>
      <w:r w:rsidR="00B65A3B" w:rsidRPr="00EC6E05">
        <w:rPr>
          <w:snapToGrid/>
        </w:rPr>
        <w:t xml:space="preserve">tails of the trials presented in the submission </w:t>
      </w:r>
      <w:proofErr w:type="gramStart"/>
      <w:r w:rsidR="00B65A3B" w:rsidRPr="00EC6E05">
        <w:rPr>
          <w:snapToGrid/>
        </w:rPr>
        <w:t>are provided</w:t>
      </w:r>
      <w:proofErr w:type="gramEnd"/>
      <w:r w:rsidR="00B65A3B" w:rsidRPr="00EC6E05">
        <w:rPr>
          <w:snapToGrid/>
        </w:rPr>
        <w:t xml:space="preserve"> in Table 2. </w:t>
      </w:r>
    </w:p>
    <w:p w:rsidR="00B65A3B" w:rsidRPr="00EC6E05" w:rsidRDefault="00B65A3B" w:rsidP="00BF2EA7">
      <w:pPr>
        <w:pStyle w:val="TableFigureHeading"/>
        <w:rPr>
          <w:rStyle w:val="CommentReference"/>
          <w:b/>
          <w:szCs w:val="24"/>
        </w:rPr>
      </w:pPr>
      <w:r w:rsidRPr="00EC6E05">
        <w:rPr>
          <w:rStyle w:val="CommentReference"/>
          <w:b/>
          <w:szCs w:val="24"/>
        </w:rPr>
        <w:t>Table 2: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4"/>
        <w:gridCol w:w="5054"/>
        <w:gridCol w:w="2528"/>
      </w:tblGrid>
      <w:tr w:rsidR="00B65A3B" w:rsidRPr="00EC6E05" w:rsidTr="00B65A3B">
        <w:tc>
          <w:tcPr>
            <w:tcW w:w="795" w:type="pct"/>
            <w:tcBorders>
              <w:bottom w:val="single" w:sz="4" w:space="0" w:color="auto"/>
            </w:tcBorders>
          </w:tcPr>
          <w:p w:rsidR="00B65A3B" w:rsidRPr="00EC6E05" w:rsidRDefault="00B65A3B" w:rsidP="00B65A3B">
            <w:pPr>
              <w:pStyle w:val="In-tableHeading"/>
              <w:jc w:val="center"/>
              <w:rPr>
                <w:lang w:val="en-AU"/>
              </w:rPr>
            </w:pPr>
            <w:r w:rsidRPr="00EC6E05">
              <w:rPr>
                <w:lang w:val="en-AU"/>
              </w:rPr>
              <w:t>Trial ID</w:t>
            </w:r>
          </w:p>
        </w:tc>
        <w:tc>
          <w:tcPr>
            <w:tcW w:w="2803" w:type="pct"/>
            <w:tcBorders>
              <w:bottom w:val="single" w:sz="4" w:space="0" w:color="auto"/>
            </w:tcBorders>
          </w:tcPr>
          <w:p w:rsidR="00B65A3B" w:rsidRPr="00EC6E05" w:rsidRDefault="00B65A3B" w:rsidP="00B65A3B">
            <w:pPr>
              <w:pStyle w:val="In-tableHeading"/>
              <w:rPr>
                <w:lang w:val="en-AU"/>
              </w:rPr>
            </w:pPr>
            <w:r w:rsidRPr="00EC6E05">
              <w:rPr>
                <w:lang w:val="en-AU"/>
              </w:rPr>
              <w:t>Protocol title/ Publication title</w:t>
            </w:r>
          </w:p>
        </w:tc>
        <w:tc>
          <w:tcPr>
            <w:tcW w:w="1402" w:type="pct"/>
            <w:tcBorders>
              <w:bottom w:val="single" w:sz="4" w:space="0" w:color="auto"/>
            </w:tcBorders>
          </w:tcPr>
          <w:p w:rsidR="00B65A3B" w:rsidRPr="00EC6E05" w:rsidRDefault="00B65A3B" w:rsidP="00B65A3B">
            <w:pPr>
              <w:pStyle w:val="In-tableHeading"/>
              <w:rPr>
                <w:lang w:val="en-AU"/>
              </w:rPr>
            </w:pPr>
            <w:r w:rsidRPr="00EC6E05">
              <w:rPr>
                <w:lang w:val="en-AU"/>
              </w:rPr>
              <w:t>Publication citation</w:t>
            </w:r>
          </w:p>
        </w:tc>
      </w:tr>
      <w:tr w:rsidR="00B65A3B" w:rsidRPr="00EC6E05" w:rsidTr="00B65A3B">
        <w:tc>
          <w:tcPr>
            <w:tcW w:w="795" w:type="pct"/>
            <w:vMerge w:val="restart"/>
            <w:tcBorders>
              <w:top w:val="single" w:sz="4" w:space="0" w:color="auto"/>
              <w:left w:val="single" w:sz="4" w:space="0" w:color="auto"/>
              <w:bottom w:val="single" w:sz="4" w:space="0" w:color="auto"/>
              <w:right w:val="single" w:sz="4" w:space="0" w:color="auto"/>
            </w:tcBorders>
          </w:tcPr>
          <w:p w:rsidR="00B65A3B" w:rsidRPr="00EC6E05" w:rsidRDefault="00B65A3B" w:rsidP="00B65A3B">
            <w:pPr>
              <w:pStyle w:val="TableText0"/>
              <w:jc w:val="center"/>
              <w:rPr>
                <w:rFonts w:ascii="Times" w:hAnsi="Times"/>
              </w:rPr>
            </w:pPr>
            <w:r w:rsidRPr="00EC6E05">
              <w:t>JAVELIN</w:t>
            </w:r>
          </w:p>
        </w:tc>
        <w:tc>
          <w:tcPr>
            <w:tcW w:w="2803" w:type="pct"/>
            <w:tcBorders>
              <w:top w:val="single" w:sz="4" w:space="0" w:color="auto"/>
              <w:left w:val="single" w:sz="4" w:space="0" w:color="auto"/>
              <w:bottom w:val="single" w:sz="4" w:space="0" w:color="auto"/>
              <w:right w:val="single" w:sz="4" w:space="0" w:color="auto"/>
            </w:tcBorders>
          </w:tcPr>
          <w:p w:rsidR="00B65A3B" w:rsidRPr="00EC6E05" w:rsidRDefault="00B65A3B" w:rsidP="00B65A3B">
            <w:pPr>
              <w:pStyle w:val="TableText0"/>
            </w:pPr>
            <w:r w:rsidRPr="00EC6E05">
              <w:rPr>
                <w:rFonts w:eastAsia="TimesNewRoman,Bold"/>
              </w:rPr>
              <w:t xml:space="preserve">A phase 3, multinational, randomized, open-label, parallel arm study of </w:t>
            </w:r>
            <w:proofErr w:type="spellStart"/>
            <w:r w:rsidRPr="00EC6E05">
              <w:rPr>
                <w:rFonts w:eastAsia="TimesNewRoman,Bold"/>
              </w:rPr>
              <w:t>avelumab</w:t>
            </w:r>
            <w:proofErr w:type="spellEnd"/>
            <w:r w:rsidRPr="00EC6E05">
              <w:rPr>
                <w:rFonts w:eastAsia="TimesNewRoman,Bold"/>
              </w:rPr>
              <w:t xml:space="preserve"> (MSB0010718C) in combination with </w:t>
            </w:r>
            <w:proofErr w:type="spellStart"/>
            <w:r w:rsidRPr="00EC6E05">
              <w:rPr>
                <w:rFonts w:eastAsia="TimesNewRoman,Bold"/>
              </w:rPr>
              <w:t>axitinib</w:t>
            </w:r>
            <w:proofErr w:type="spellEnd"/>
            <w:r w:rsidRPr="00EC6E05">
              <w:rPr>
                <w:rFonts w:eastAsia="TimesNewRoman,Bold"/>
              </w:rPr>
              <w:t xml:space="preserve"> (</w:t>
            </w:r>
            <w:proofErr w:type="spellStart"/>
            <w:r w:rsidRPr="00EC6E05">
              <w:rPr>
                <w:rFonts w:eastAsia="TimesNewRoman,Bold"/>
              </w:rPr>
              <w:t>Inlyta</w:t>
            </w:r>
            <w:proofErr w:type="spellEnd"/>
            <w:r w:rsidRPr="00EC6E05">
              <w:rPr>
                <w:rFonts w:eastAsia="TimesNewRoman,Bold"/>
                <w:sz w:val="16"/>
                <w:szCs w:val="16"/>
              </w:rPr>
              <w:t>®</w:t>
            </w:r>
            <w:r w:rsidRPr="00EC6E05">
              <w:rPr>
                <w:rFonts w:eastAsia="TimesNewRoman,Bold"/>
              </w:rPr>
              <w:t xml:space="preserve">) versus </w:t>
            </w:r>
            <w:proofErr w:type="spellStart"/>
            <w:r w:rsidRPr="00EC6E05">
              <w:rPr>
                <w:rFonts w:eastAsia="TimesNewRoman,Bold"/>
              </w:rPr>
              <w:t>sunitinib</w:t>
            </w:r>
            <w:proofErr w:type="spellEnd"/>
            <w:r w:rsidRPr="00EC6E05">
              <w:rPr>
                <w:rFonts w:eastAsia="TimesNewRoman,Bold"/>
              </w:rPr>
              <w:t xml:space="preserve"> (</w:t>
            </w:r>
            <w:proofErr w:type="spellStart"/>
            <w:r w:rsidRPr="00EC6E05">
              <w:rPr>
                <w:rFonts w:eastAsia="TimesNewRoman,Bold"/>
              </w:rPr>
              <w:t>Sutent</w:t>
            </w:r>
            <w:proofErr w:type="spellEnd"/>
            <w:r w:rsidRPr="00EC6E05">
              <w:rPr>
                <w:rFonts w:eastAsia="TimesNewRoman,Bold"/>
                <w:sz w:val="16"/>
                <w:szCs w:val="16"/>
              </w:rPr>
              <w:t>®</w:t>
            </w:r>
            <w:r w:rsidRPr="00EC6E05">
              <w:rPr>
                <w:rFonts w:eastAsia="TimesNewRoman,Bold"/>
              </w:rPr>
              <w:t>) monotherapy in the first-line treatment of patients with advanced renal cell carcinoma</w:t>
            </w:r>
          </w:p>
        </w:tc>
        <w:tc>
          <w:tcPr>
            <w:tcW w:w="1402" w:type="pct"/>
            <w:tcBorders>
              <w:top w:val="single" w:sz="4" w:space="0" w:color="auto"/>
              <w:left w:val="single" w:sz="4" w:space="0" w:color="auto"/>
              <w:bottom w:val="single" w:sz="4" w:space="0" w:color="auto"/>
              <w:right w:val="single" w:sz="4" w:space="0" w:color="auto"/>
            </w:tcBorders>
          </w:tcPr>
          <w:p w:rsidR="00B65A3B" w:rsidRPr="00EC6E05" w:rsidRDefault="00B65A3B" w:rsidP="00B65A3B">
            <w:pPr>
              <w:pStyle w:val="TableText0"/>
              <w:rPr>
                <w:rFonts w:ascii="Times" w:hAnsi="Times"/>
              </w:rPr>
            </w:pPr>
            <w:r w:rsidRPr="00EC6E05">
              <w:t>June 2015</w:t>
            </w:r>
          </w:p>
        </w:tc>
      </w:tr>
      <w:tr w:rsidR="00B65A3B" w:rsidRPr="00EC6E05" w:rsidTr="00B65A3B">
        <w:tc>
          <w:tcPr>
            <w:tcW w:w="795" w:type="pct"/>
            <w:vMerge/>
            <w:tcBorders>
              <w:top w:val="single" w:sz="4" w:space="0" w:color="auto"/>
              <w:left w:val="single" w:sz="4" w:space="0" w:color="auto"/>
              <w:bottom w:val="single" w:sz="4" w:space="0" w:color="auto"/>
              <w:right w:val="single" w:sz="4" w:space="0" w:color="auto"/>
            </w:tcBorders>
          </w:tcPr>
          <w:p w:rsidR="00B65A3B" w:rsidRPr="00EC6E05" w:rsidRDefault="00B65A3B" w:rsidP="00B65A3B">
            <w:pPr>
              <w:pStyle w:val="TableText0"/>
              <w:jc w:val="center"/>
            </w:pPr>
          </w:p>
        </w:tc>
        <w:tc>
          <w:tcPr>
            <w:tcW w:w="2803" w:type="pct"/>
            <w:tcBorders>
              <w:top w:val="single" w:sz="4" w:space="0" w:color="auto"/>
              <w:left w:val="single" w:sz="4" w:space="0" w:color="auto"/>
              <w:bottom w:val="single" w:sz="4" w:space="0" w:color="auto"/>
              <w:right w:val="single" w:sz="4" w:space="0" w:color="auto"/>
            </w:tcBorders>
          </w:tcPr>
          <w:p w:rsidR="00B65A3B" w:rsidRPr="00EC6E05" w:rsidRDefault="00B65A3B" w:rsidP="00B65A3B">
            <w:pPr>
              <w:pStyle w:val="TableText0"/>
            </w:pPr>
            <w:r w:rsidRPr="00EC6E05">
              <w:t xml:space="preserve">Motzer et al (2019). </w:t>
            </w:r>
            <w:proofErr w:type="spellStart"/>
            <w:r w:rsidRPr="00EC6E05">
              <w:rPr>
                <w:rFonts w:eastAsia="OTNEJMQuadraat"/>
              </w:rPr>
              <w:t>Avelumab</w:t>
            </w:r>
            <w:proofErr w:type="spellEnd"/>
            <w:r w:rsidRPr="00EC6E05">
              <w:rPr>
                <w:rFonts w:eastAsia="OTNEJMQuadraat"/>
              </w:rPr>
              <w:t xml:space="preserve"> plus </w:t>
            </w:r>
            <w:proofErr w:type="spellStart"/>
            <w:r w:rsidRPr="00EC6E05">
              <w:rPr>
                <w:rFonts w:eastAsia="OTNEJMQuadraat"/>
              </w:rPr>
              <w:t>Axitinib</w:t>
            </w:r>
            <w:proofErr w:type="spellEnd"/>
            <w:r w:rsidRPr="00EC6E05">
              <w:rPr>
                <w:rFonts w:eastAsia="OTNEJMQuadraat"/>
              </w:rPr>
              <w:t xml:space="preserve"> versus </w:t>
            </w:r>
            <w:proofErr w:type="spellStart"/>
            <w:r w:rsidRPr="00EC6E05">
              <w:rPr>
                <w:rFonts w:eastAsia="OTNEJMQuadraat"/>
              </w:rPr>
              <w:t>Sunitinib</w:t>
            </w:r>
            <w:proofErr w:type="spellEnd"/>
            <w:r w:rsidRPr="00EC6E05">
              <w:rPr>
                <w:rFonts w:eastAsia="OTNEJMQuadraat"/>
              </w:rPr>
              <w:t xml:space="preserve"> for Advanced Renal-Cell Carcinoma.</w:t>
            </w:r>
          </w:p>
        </w:tc>
        <w:tc>
          <w:tcPr>
            <w:tcW w:w="1402" w:type="pct"/>
            <w:tcBorders>
              <w:top w:val="single" w:sz="4" w:space="0" w:color="auto"/>
              <w:left w:val="single" w:sz="4" w:space="0" w:color="auto"/>
              <w:bottom w:val="single" w:sz="4" w:space="0" w:color="auto"/>
              <w:right w:val="single" w:sz="4" w:space="0" w:color="auto"/>
            </w:tcBorders>
          </w:tcPr>
          <w:p w:rsidR="00B65A3B" w:rsidRPr="00EC6E05" w:rsidRDefault="00B65A3B" w:rsidP="00B65A3B">
            <w:pPr>
              <w:pStyle w:val="TableText0"/>
            </w:pPr>
            <w:r w:rsidRPr="00EC6E05">
              <w:rPr>
                <w:rFonts w:eastAsia="OTNEJMQuadraat"/>
              </w:rPr>
              <w:t xml:space="preserve">New </w:t>
            </w:r>
            <w:proofErr w:type="spellStart"/>
            <w:r w:rsidRPr="00EC6E05">
              <w:rPr>
                <w:rFonts w:eastAsia="OTNEJMQuadraat"/>
              </w:rPr>
              <w:t>Engl</w:t>
            </w:r>
            <w:proofErr w:type="spellEnd"/>
            <w:r w:rsidRPr="00EC6E05">
              <w:rPr>
                <w:rFonts w:eastAsia="OTNEJMQuadraat"/>
              </w:rPr>
              <w:t xml:space="preserve"> J Med 2019; 380:1103-1115</w:t>
            </w:r>
          </w:p>
        </w:tc>
      </w:tr>
      <w:tr w:rsidR="00B65A3B" w:rsidRPr="00EC6E05" w:rsidTr="00B65A3B">
        <w:tc>
          <w:tcPr>
            <w:tcW w:w="795" w:type="pct"/>
            <w:vMerge w:val="restart"/>
            <w:tcBorders>
              <w:top w:val="single" w:sz="4" w:space="0" w:color="auto"/>
            </w:tcBorders>
          </w:tcPr>
          <w:p w:rsidR="00B65A3B" w:rsidRPr="00EC6E05" w:rsidRDefault="00B65A3B" w:rsidP="00B65A3B">
            <w:pPr>
              <w:pStyle w:val="TableText0"/>
              <w:jc w:val="center"/>
              <w:rPr>
                <w:rFonts w:ascii="Times" w:hAnsi="Times"/>
              </w:rPr>
            </w:pPr>
            <w:proofErr w:type="spellStart"/>
            <w:r w:rsidRPr="00EC6E05">
              <w:t>CheckMate</w:t>
            </w:r>
            <w:proofErr w:type="spellEnd"/>
            <w:r w:rsidRPr="00EC6E05">
              <w:t xml:space="preserve"> 214</w:t>
            </w:r>
          </w:p>
        </w:tc>
        <w:tc>
          <w:tcPr>
            <w:tcW w:w="2803" w:type="pct"/>
            <w:tcBorders>
              <w:top w:val="single" w:sz="4" w:space="0" w:color="auto"/>
              <w:bottom w:val="single" w:sz="4" w:space="0" w:color="auto"/>
            </w:tcBorders>
          </w:tcPr>
          <w:p w:rsidR="00B65A3B" w:rsidRPr="00EC6E05" w:rsidRDefault="00B65A3B" w:rsidP="00B65A3B">
            <w:pPr>
              <w:pStyle w:val="TableText0"/>
              <w:rPr>
                <w:rFonts w:ascii="Times" w:hAnsi="Times"/>
              </w:rPr>
            </w:pPr>
            <w:r w:rsidRPr="00EC6E05">
              <w:rPr>
                <w:rFonts w:cs="TimesNewRoman"/>
                <w:szCs w:val="20"/>
              </w:rPr>
              <w:t xml:space="preserve">A Phase 3, Randomized, Open-Label Study of </w:t>
            </w:r>
            <w:proofErr w:type="spellStart"/>
            <w:r w:rsidRPr="00EC6E05">
              <w:rPr>
                <w:rFonts w:cs="TimesNewRoman"/>
                <w:szCs w:val="20"/>
              </w:rPr>
              <w:t>Nivolumab</w:t>
            </w:r>
            <w:proofErr w:type="spellEnd"/>
            <w:r w:rsidRPr="00EC6E05">
              <w:rPr>
                <w:rFonts w:cs="TimesNewRoman"/>
                <w:szCs w:val="20"/>
              </w:rPr>
              <w:t xml:space="preserve"> Combined with Ipilimumab Versus </w:t>
            </w:r>
            <w:proofErr w:type="spellStart"/>
            <w:r w:rsidRPr="00EC6E05">
              <w:rPr>
                <w:rFonts w:cs="TimesNewRoman"/>
                <w:szCs w:val="20"/>
              </w:rPr>
              <w:t>Sunitinib</w:t>
            </w:r>
            <w:proofErr w:type="spellEnd"/>
            <w:r w:rsidRPr="00EC6E05">
              <w:rPr>
                <w:rFonts w:cs="TimesNewRoman"/>
                <w:szCs w:val="20"/>
              </w:rPr>
              <w:t xml:space="preserve"> Monotherapy in Subjects with Previously Untreated, Advanced or Metastatic Renal Cell Carcinoma</w:t>
            </w:r>
          </w:p>
        </w:tc>
        <w:tc>
          <w:tcPr>
            <w:tcW w:w="1402" w:type="pct"/>
            <w:tcBorders>
              <w:top w:val="single" w:sz="4" w:space="0" w:color="auto"/>
              <w:bottom w:val="single" w:sz="4" w:space="0" w:color="auto"/>
            </w:tcBorders>
          </w:tcPr>
          <w:p w:rsidR="00B65A3B" w:rsidRPr="00EC6E05" w:rsidRDefault="00B65A3B" w:rsidP="00B65A3B">
            <w:pPr>
              <w:pStyle w:val="TableText0"/>
            </w:pPr>
            <w:r w:rsidRPr="00EC6E05">
              <w:t>July 2014</w:t>
            </w:r>
          </w:p>
        </w:tc>
      </w:tr>
      <w:tr w:rsidR="00B65A3B" w:rsidRPr="00EC6E05" w:rsidTr="00B65A3B">
        <w:tc>
          <w:tcPr>
            <w:tcW w:w="795" w:type="pct"/>
            <w:vMerge/>
          </w:tcPr>
          <w:p w:rsidR="00B65A3B" w:rsidRPr="00EC6E05" w:rsidRDefault="00B65A3B" w:rsidP="00B65A3B">
            <w:pPr>
              <w:pStyle w:val="TableText0"/>
              <w:jc w:val="center"/>
            </w:pPr>
          </w:p>
        </w:tc>
        <w:tc>
          <w:tcPr>
            <w:tcW w:w="2803" w:type="pct"/>
            <w:tcBorders>
              <w:top w:val="single" w:sz="4" w:space="0" w:color="auto"/>
              <w:bottom w:val="single" w:sz="4" w:space="0" w:color="auto"/>
            </w:tcBorders>
          </w:tcPr>
          <w:p w:rsidR="00B65A3B" w:rsidRPr="00EC6E05" w:rsidRDefault="00B65A3B" w:rsidP="00B65A3B">
            <w:pPr>
              <w:pStyle w:val="TableText0"/>
            </w:pPr>
            <w:r w:rsidRPr="00EC6E05">
              <w:t xml:space="preserve">Motzer et al (2019). </w:t>
            </w:r>
            <w:proofErr w:type="spellStart"/>
            <w:r w:rsidRPr="00EC6E05">
              <w:rPr>
                <w:rFonts w:eastAsia="OTNEJMQuadraat"/>
              </w:rPr>
              <w:t>Nivolumab</w:t>
            </w:r>
            <w:proofErr w:type="spellEnd"/>
            <w:r w:rsidRPr="00EC6E05">
              <w:rPr>
                <w:rFonts w:eastAsia="OTNEJMQuadraat"/>
              </w:rPr>
              <w:t xml:space="preserve"> plus Ipilimumab versus </w:t>
            </w:r>
            <w:proofErr w:type="spellStart"/>
            <w:r w:rsidRPr="00EC6E05">
              <w:rPr>
                <w:rFonts w:eastAsia="OTNEJMQuadraat"/>
              </w:rPr>
              <w:t>Sunitinib</w:t>
            </w:r>
            <w:proofErr w:type="spellEnd"/>
            <w:r w:rsidRPr="00EC6E05">
              <w:rPr>
                <w:rFonts w:eastAsia="OTNEJMQuadraat"/>
              </w:rPr>
              <w:t xml:space="preserve"> in Advanced Renal-Cell Carcinoma</w:t>
            </w:r>
          </w:p>
        </w:tc>
        <w:tc>
          <w:tcPr>
            <w:tcW w:w="1402" w:type="pct"/>
            <w:tcBorders>
              <w:top w:val="single" w:sz="4" w:space="0" w:color="auto"/>
              <w:bottom w:val="single" w:sz="4" w:space="0" w:color="auto"/>
            </w:tcBorders>
          </w:tcPr>
          <w:p w:rsidR="00B65A3B" w:rsidRPr="00EC6E05" w:rsidRDefault="00B65A3B" w:rsidP="00B65A3B">
            <w:pPr>
              <w:pStyle w:val="TableText0"/>
              <w:rPr>
                <w:i/>
              </w:rPr>
            </w:pPr>
            <w:r w:rsidRPr="00EC6E05">
              <w:rPr>
                <w:rFonts w:eastAsia="OTNEJMQuadraat"/>
              </w:rPr>
              <w:t xml:space="preserve">New </w:t>
            </w:r>
            <w:proofErr w:type="spellStart"/>
            <w:r w:rsidRPr="00EC6E05">
              <w:rPr>
                <w:rFonts w:eastAsia="OTNEJMQuadraat"/>
              </w:rPr>
              <w:t>Engl</w:t>
            </w:r>
            <w:proofErr w:type="spellEnd"/>
            <w:r w:rsidRPr="00EC6E05">
              <w:rPr>
                <w:rFonts w:eastAsia="OTNEJMQuadraat"/>
              </w:rPr>
              <w:t xml:space="preserve"> J Med 2018</w:t>
            </w:r>
            <w:proofErr w:type="gramStart"/>
            <w:r w:rsidRPr="00EC6E05">
              <w:rPr>
                <w:rFonts w:eastAsia="OTNEJMQuadraat"/>
              </w:rPr>
              <w:t>;</w:t>
            </w:r>
            <w:proofErr w:type="gramEnd"/>
            <w:r w:rsidRPr="00EC6E05">
              <w:rPr>
                <w:rFonts w:eastAsia="OTNEJMQuadraat"/>
              </w:rPr>
              <w:t xml:space="preserve"> 378 (14): 1277-1290.</w:t>
            </w:r>
          </w:p>
        </w:tc>
      </w:tr>
      <w:tr w:rsidR="00B65A3B" w:rsidRPr="00EC6E05" w:rsidTr="00B65A3B">
        <w:tc>
          <w:tcPr>
            <w:tcW w:w="795" w:type="pct"/>
            <w:vMerge/>
          </w:tcPr>
          <w:p w:rsidR="00B65A3B" w:rsidRPr="00EC6E05" w:rsidRDefault="00B65A3B" w:rsidP="00B65A3B">
            <w:pPr>
              <w:pStyle w:val="TableText0"/>
              <w:jc w:val="center"/>
            </w:pPr>
          </w:p>
        </w:tc>
        <w:tc>
          <w:tcPr>
            <w:tcW w:w="2803" w:type="pct"/>
            <w:tcBorders>
              <w:top w:val="single" w:sz="4" w:space="0" w:color="auto"/>
              <w:bottom w:val="single" w:sz="4" w:space="0" w:color="auto"/>
            </w:tcBorders>
          </w:tcPr>
          <w:p w:rsidR="00B65A3B" w:rsidRPr="00EC6E05" w:rsidRDefault="00B65A3B" w:rsidP="00B65A3B">
            <w:pPr>
              <w:pStyle w:val="TableText0"/>
            </w:pPr>
            <w:proofErr w:type="spellStart"/>
            <w:r w:rsidRPr="00EC6E05">
              <w:t>Cella</w:t>
            </w:r>
            <w:proofErr w:type="spellEnd"/>
            <w:r w:rsidRPr="00EC6E05">
              <w:t xml:space="preserve"> et al. (2019). Patient-reported outcomes of patients with advanced renal cell carcinoma treated with </w:t>
            </w:r>
            <w:proofErr w:type="spellStart"/>
            <w:r w:rsidRPr="00EC6E05">
              <w:t>nivolumab</w:t>
            </w:r>
            <w:proofErr w:type="spellEnd"/>
            <w:r w:rsidRPr="00EC6E05">
              <w:t xml:space="preserve"> plus </w:t>
            </w:r>
            <w:proofErr w:type="spellStart"/>
            <w:r w:rsidRPr="00EC6E05">
              <w:t>ipilimumab</w:t>
            </w:r>
            <w:proofErr w:type="spellEnd"/>
            <w:r w:rsidRPr="00EC6E05">
              <w:t xml:space="preserve"> versus </w:t>
            </w:r>
            <w:proofErr w:type="spellStart"/>
            <w:r w:rsidRPr="00EC6E05">
              <w:t>sunitinib</w:t>
            </w:r>
            <w:proofErr w:type="spellEnd"/>
            <w:r w:rsidRPr="00EC6E05">
              <w:t xml:space="preserve"> (</w:t>
            </w:r>
            <w:proofErr w:type="spellStart"/>
            <w:r w:rsidRPr="00EC6E05">
              <w:t>CheckMate</w:t>
            </w:r>
            <w:proofErr w:type="spellEnd"/>
            <w:r w:rsidRPr="00EC6E05">
              <w:t xml:space="preserve"> 214): a randomised, phase 3 trial</w:t>
            </w:r>
          </w:p>
        </w:tc>
        <w:tc>
          <w:tcPr>
            <w:tcW w:w="1402" w:type="pct"/>
            <w:tcBorders>
              <w:top w:val="single" w:sz="4" w:space="0" w:color="auto"/>
              <w:bottom w:val="single" w:sz="4" w:space="0" w:color="auto"/>
            </w:tcBorders>
          </w:tcPr>
          <w:p w:rsidR="00B65A3B" w:rsidRPr="00EC6E05" w:rsidRDefault="00B65A3B" w:rsidP="00B65A3B">
            <w:pPr>
              <w:pStyle w:val="TableText0"/>
              <w:rPr>
                <w:rFonts w:ascii="Times" w:hAnsi="Times"/>
              </w:rPr>
            </w:pPr>
            <w:r w:rsidRPr="00EC6E05">
              <w:t xml:space="preserve">Lancet </w:t>
            </w:r>
            <w:proofErr w:type="spellStart"/>
            <w:r w:rsidRPr="00EC6E05">
              <w:t>Oncol</w:t>
            </w:r>
            <w:proofErr w:type="spellEnd"/>
            <w:r w:rsidRPr="00EC6E05">
              <w:t xml:space="preserve"> 2019; 20: 297-310.</w:t>
            </w:r>
          </w:p>
        </w:tc>
      </w:tr>
      <w:tr w:rsidR="00B65A3B" w:rsidRPr="00EC6E05" w:rsidTr="00B65A3B">
        <w:tc>
          <w:tcPr>
            <w:tcW w:w="795" w:type="pct"/>
            <w:vMerge/>
          </w:tcPr>
          <w:p w:rsidR="00B65A3B" w:rsidRPr="00EC6E05" w:rsidRDefault="00B65A3B" w:rsidP="00B65A3B">
            <w:pPr>
              <w:pStyle w:val="TableText0"/>
              <w:jc w:val="center"/>
            </w:pPr>
          </w:p>
        </w:tc>
        <w:tc>
          <w:tcPr>
            <w:tcW w:w="2803" w:type="pct"/>
            <w:tcBorders>
              <w:top w:val="single" w:sz="4" w:space="0" w:color="auto"/>
              <w:bottom w:val="single" w:sz="4" w:space="0" w:color="auto"/>
            </w:tcBorders>
          </w:tcPr>
          <w:p w:rsidR="00B65A3B" w:rsidRPr="00EC6E05" w:rsidRDefault="00B65A3B" w:rsidP="00B65A3B">
            <w:pPr>
              <w:pStyle w:val="TableText0"/>
            </w:pPr>
            <w:proofErr w:type="spellStart"/>
            <w:r w:rsidRPr="00EC6E05">
              <w:t>Tannir</w:t>
            </w:r>
            <w:proofErr w:type="spellEnd"/>
            <w:r w:rsidRPr="00EC6E05">
              <w:t xml:space="preserve"> et al. (2019). </w:t>
            </w:r>
            <w:r w:rsidRPr="00EC6E05">
              <w:rPr>
                <w:rFonts w:eastAsiaTheme="minorHAnsi"/>
              </w:rPr>
              <w:t xml:space="preserve">Thirty-month follow-up of the phase III </w:t>
            </w:r>
            <w:proofErr w:type="spellStart"/>
            <w:r w:rsidRPr="00EC6E05">
              <w:rPr>
                <w:rFonts w:eastAsiaTheme="minorHAnsi"/>
              </w:rPr>
              <w:t>CheckMate</w:t>
            </w:r>
            <w:proofErr w:type="spellEnd"/>
            <w:r w:rsidRPr="00EC6E05">
              <w:rPr>
                <w:rFonts w:eastAsiaTheme="minorHAnsi"/>
              </w:rPr>
              <w:t xml:space="preserve"> 214 trial of first-line </w:t>
            </w:r>
            <w:proofErr w:type="spellStart"/>
            <w:r w:rsidRPr="00EC6E05">
              <w:rPr>
                <w:rFonts w:eastAsiaTheme="minorHAnsi"/>
              </w:rPr>
              <w:t>nivolumab</w:t>
            </w:r>
            <w:proofErr w:type="spellEnd"/>
            <w:r w:rsidRPr="00EC6E05">
              <w:rPr>
                <w:rFonts w:eastAsiaTheme="minorHAnsi"/>
              </w:rPr>
              <w:t xml:space="preserve"> + </w:t>
            </w:r>
            <w:proofErr w:type="spellStart"/>
            <w:r w:rsidRPr="00EC6E05">
              <w:rPr>
                <w:rFonts w:eastAsiaTheme="minorHAnsi"/>
              </w:rPr>
              <w:t>ipilimumab</w:t>
            </w:r>
            <w:proofErr w:type="spellEnd"/>
            <w:r w:rsidRPr="00EC6E05">
              <w:rPr>
                <w:rFonts w:eastAsiaTheme="minorHAnsi"/>
              </w:rPr>
              <w:t xml:space="preserve"> (N+I) or </w:t>
            </w:r>
            <w:proofErr w:type="spellStart"/>
            <w:r w:rsidRPr="00EC6E05">
              <w:rPr>
                <w:rFonts w:eastAsiaTheme="minorHAnsi"/>
              </w:rPr>
              <w:t>sunitinib</w:t>
            </w:r>
            <w:proofErr w:type="spellEnd"/>
            <w:r w:rsidRPr="00EC6E05">
              <w:rPr>
                <w:rFonts w:eastAsiaTheme="minorHAnsi"/>
              </w:rPr>
              <w:t xml:space="preserve"> (S) in patients (pts) with advanced renal cell carcinoma (advanced RCC).</w:t>
            </w:r>
          </w:p>
        </w:tc>
        <w:tc>
          <w:tcPr>
            <w:tcW w:w="1402" w:type="pct"/>
            <w:tcBorders>
              <w:top w:val="single" w:sz="4" w:space="0" w:color="auto"/>
              <w:bottom w:val="single" w:sz="4" w:space="0" w:color="auto"/>
            </w:tcBorders>
          </w:tcPr>
          <w:p w:rsidR="00B65A3B" w:rsidRPr="00EC6E05" w:rsidRDefault="00B65A3B" w:rsidP="00B65A3B">
            <w:pPr>
              <w:pStyle w:val="TableText0"/>
            </w:pPr>
            <w:r w:rsidRPr="00EC6E05">
              <w:rPr>
                <w:rFonts w:eastAsiaTheme="minorHAnsi"/>
              </w:rPr>
              <w:t xml:space="preserve">J </w:t>
            </w:r>
            <w:proofErr w:type="spellStart"/>
            <w:r w:rsidRPr="00EC6E05">
              <w:rPr>
                <w:rFonts w:eastAsiaTheme="minorHAnsi"/>
              </w:rPr>
              <w:t>Clin</w:t>
            </w:r>
            <w:proofErr w:type="spellEnd"/>
            <w:r w:rsidRPr="00EC6E05">
              <w:rPr>
                <w:rFonts w:eastAsiaTheme="minorHAnsi"/>
              </w:rPr>
              <w:t xml:space="preserve"> </w:t>
            </w:r>
            <w:proofErr w:type="spellStart"/>
            <w:r w:rsidRPr="00EC6E05">
              <w:rPr>
                <w:rFonts w:eastAsiaTheme="minorHAnsi"/>
              </w:rPr>
              <w:t>Oncol</w:t>
            </w:r>
            <w:proofErr w:type="spellEnd"/>
            <w:r w:rsidRPr="00EC6E05">
              <w:rPr>
                <w:rFonts w:eastAsiaTheme="minorHAnsi"/>
              </w:rPr>
              <w:t xml:space="preserve"> 2019; 37: 547</w:t>
            </w:r>
          </w:p>
        </w:tc>
      </w:tr>
      <w:tr w:rsidR="00B65A3B" w:rsidRPr="00EC6E05" w:rsidTr="00B65A3B">
        <w:tc>
          <w:tcPr>
            <w:tcW w:w="795" w:type="pct"/>
            <w:vMerge/>
            <w:tcBorders>
              <w:bottom w:val="single" w:sz="4" w:space="0" w:color="auto"/>
            </w:tcBorders>
          </w:tcPr>
          <w:p w:rsidR="00B65A3B" w:rsidRPr="00EC6E05" w:rsidRDefault="00B65A3B" w:rsidP="00B65A3B">
            <w:pPr>
              <w:pStyle w:val="TableText0"/>
              <w:jc w:val="center"/>
            </w:pPr>
          </w:p>
        </w:tc>
        <w:tc>
          <w:tcPr>
            <w:tcW w:w="2803" w:type="pct"/>
            <w:tcBorders>
              <w:top w:val="single" w:sz="4" w:space="0" w:color="auto"/>
              <w:bottom w:val="single" w:sz="4" w:space="0" w:color="auto"/>
            </w:tcBorders>
          </w:tcPr>
          <w:p w:rsidR="00B65A3B" w:rsidRPr="00EC6E05" w:rsidRDefault="00B65A3B" w:rsidP="00B65A3B">
            <w:pPr>
              <w:pStyle w:val="TableText0"/>
            </w:pPr>
            <w:r w:rsidRPr="00EC6E05">
              <w:rPr>
                <w:rFonts w:eastAsiaTheme="minorHAnsi"/>
                <w:iCs/>
              </w:rPr>
              <w:t>Motzer et al. (2019)</w:t>
            </w:r>
            <w:r w:rsidRPr="00EC6E05">
              <w:rPr>
                <w:rFonts w:eastAsiaTheme="minorHAnsi"/>
                <w:iCs/>
                <w:vertAlign w:val="superscript"/>
              </w:rPr>
              <w:t xml:space="preserve"> </w:t>
            </w:r>
            <w:proofErr w:type="spellStart"/>
            <w:r w:rsidRPr="00EC6E05">
              <w:rPr>
                <w:rFonts w:eastAsiaTheme="minorHAnsi"/>
                <w:iCs/>
              </w:rPr>
              <w:t>Nivolumab</w:t>
            </w:r>
            <w:proofErr w:type="spellEnd"/>
            <w:r w:rsidRPr="00EC6E05">
              <w:rPr>
                <w:rFonts w:eastAsiaTheme="minorHAnsi"/>
                <w:iCs/>
              </w:rPr>
              <w:t xml:space="preserve"> plus </w:t>
            </w:r>
            <w:proofErr w:type="spellStart"/>
            <w:r w:rsidRPr="00EC6E05">
              <w:rPr>
                <w:rFonts w:eastAsiaTheme="minorHAnsi"/>
                <w:iCs/>
              </w:rPr>
              <w:t>ipilimumab</w:t>
            </w:r>
            <w:proofErr w:type="spellEnd"/>
            <w:r w:rsidRPr="00EC6E05">
              <w:rPr>
                <w:rFonts w:eastAsiaTheme="minorHAnsi"/>
                <w:iCs/>
              </w:rPr>
              <w:t xml:space="preserve"> versus </w:t>
            </w:r>
            <w:proofErr w:type="spellStart"/>
            <w:r w:rsidRPr="00EC6E05">
              <w:rPr>
                <w:rFonts w:eastAsiaTheme="minorHAnsi"/>
                <w:iCs/>
              </w:rPr>
              <w:t>sunitinib</w:t>
            </w:r>
            <w:proofErr w:type="spellEnd"/>
            <w:r w:rsidRPr="00EC6E05">
              <w:rPr>
                <w:rFonts w:eastAsiaTheme="minorHAnsi"/>
                <w:iCs/>
              </w:rPr>
              <w:t xml:space="preserve"> in first-line treatment for advanced renal cell car</w:t>
            </w:r>
            <w:r w:rsidR="00E433A2">
              <w:rPr>
                <w:rFonts w:eastAsiaTheme="minorHAnsi"/>
                <w:iCs/>
              </w:rPr>
              <w:t>c</w:t>
            </w:r>
            <w:r w:rsidRPr="00EC6E05">
              <w:rPr>
                <w:rFonts w:eastAsiaTheme="minorHAnsi"/>
                <w:iCs/>
              </w:rPr>
              <w:t>inoma: extended follow-up of efficacy and safety results from a randomised, controlled, phase 3 trial</w:t>
            </w:r>
          </w:p>
        </w:tc>
        <w:tc>
          <w:tcPr>
            <w:tcW w:w="1402" w:type="pct"/>
            <w:tcBorders>
              <w:top w:val="single" w:sz="4" w:space="0" w:color="auto"/>
              <w:bottom w:val="single" w:sz="4" w:space="0" w:color="auto"/>
            </w:tcBorders>
          </w:tcPr>
          <w:p w:rsidR="00B65A3B" w:rsidRPr="00EC6E05" w:rsidRDefault="00B65A3B" w:rsidP="00B65A3B">
            <w:pPr>
              <w:pStyle w:val="TableText0"/>
              <w:rPr>
                <w:rFonts w:eastAsiaTheme="minorHAnsi"/>
              </w:rPr>
            </w:pPr>
            <w:r w:rsidRPr="00EC6E05">
              <w:rPr>
                <w:iCs/>
              </w:rPr>
              <w:t xml:space="preserve">Lancet </w:t>
            </w:r>
            <w:proofErr w:type="spellStart"/>
            <w:r w:rsidRPr="00EC6E05">
              <w:rPr>
                <w:iCs/>
              </w:rPr>
              <w:t>Oncol</w:t>
            </w:r>
            <w:proofErr w:type="spellEnd"/>
            <w:r w:rsidRPr="00EC6E05">
              <w:rPr>
                <w:iCs/>
              </w:rPr>
              <w:t xml:space="preserve"> 2019; 20: 1370-85.</w:t>
            </w:r>
          </w:p>
        </w:tc>
      </w:tr>
      <w:tr w:rsidR="00B65A3B" w:rsidRPr="00EC6E05" w:rsidTr="00B65A3B">
        <w:tc>
          <w:tcPr>
            <w:tcW w:w="795" w:type="pct"/>
            <w:tcBorders>
              <w:bottom w:val="single" w:sz="4" w:space="0" w:color="auto"/>
            </w:tcBorders>
          </w:tcPr>
          <w:p w:rsidR="00B65A3B" w:rsidRPr="00EC6E05" w:rsidRDefault="00B65A3B" w:rsidP="00B65A3B">
            <w:pPr>
              <w:pStyle w:val="TableText0"/>
              <w:jc w:val="center"/>
            </w:pPr>
            <w:r w:rsidRPr="00EC6E05">
              <w:t>Keynote-426</w:t>
            </w:r>
          </w:p>
        </w:tc>
        <w:tc>
          <w:tcPr>
            <w:tcW w:w="2803" w:type="pct"/>
            <w:tcBorders>
              <w:top w:val="single" w:sz="4" w:space="0" w:color="auto"/>
            </w:tcBorders>
          </w:tcPr>
          <w:p w:rsidR="00B65A3B" w:rsidRPr="00EC6E05" w:rsidRDefault="00B65A3B" w:rsidP="00B65A3B">
            <w:pPr>
              <w:pStyle w:val="TableText0"/>
              <w:rPr>
                <w:rFonts w:ascii="Times" w:hAnsi="Times"/>
              </w:rPr>
            </w:pPr>
            <w:proofErr w:type="spellStart"/>
            <w:r w:rsidRPr="00EC6E05">
              <w:rPr>
                <w:szCs w:val="18"/>
              </w:rPr>
              <w:t>Rini</w:t>
            </w:r>
            <w:proofErr w:type="spellEnd"/>
            <w:r w:rsidRPr="00EC6E05">
              <w:rPr>
                <w:szCs w:val="18"/>
              </w:rPr>
              <w:t xml:space="preserve"> et al. </w:t>
            </w:r>
            <w:proofErr w:type="spellStart"/>
            <w:r w:rsidRPr="00EC6E05">
              <w:rPr>
                <w:szCs w:val="18"/>
              </w:rPr>
              <w:t>Pembrolizumab</w:t>
            </w:r>
            <w:proofErr w:type="spellEnd"/>
            <w:r w:rsidRPr="00EC6E05">
              <w:rPr>
                <w:szCs w:val="18"/>
              </w:rPr>
              <w:t xml:space="preserve"> plus </w:t>
            </w:r>
            <w:proofErr w:type="spellStart"/>
            <w:r w:rsidRPr="00EC6E05">
              <w:rPr>
                <w:szCs w:val="18"/>
              </w:rPr>
              <w:t>Axitinib</w:t>
            </w:r>
            <w:proofErr w:type="spellEnd"/>
            <w:r w:rsidRPr="00EC6E05">
              <w:rPr>
                <w:szCs w:val="18"/>
              </w:rPr>
              <w:t xml:space="preserve"> versus </w:t>
            </w:r>
            <w:proofErr w:type="spellStart"/>
            <w:r w:rsidRPr="00EC6E05">
              <w:rPr>
                <w:szCs w:val="18"/>
              </w:rPr>
              <w:t>Sunitinib</w:t>
            </w:r>
            <w:proofErr w:type="spellEnd"/>
            <w:r w:rsidRPr="00EC6E05">
              <w:rPr>
                <w:szCs w:val="18"/>
              </w:rPr>
              <w:t xml:space="preserve"> for Advanced Renal-Cell Carcinoma. </w:t>
            </w:r>
          </w:p>
        </w:tc>
        <w:tc>
          <w:tcPr>
            <w:tcW w:w="1402" w:type="pct"/>
            <w:tcBorders>
              <w:top w:val="single" w:sz="4" w:space="0" w:color="auto"/>
            </w:tcBorders>
          </w:tcPr>
          <w:p w:rsidR="00B65A3B" w:rsidRPr="00EC6E05" w:rsidRDefault="00B65A3B" w:rsidP="00B65A3B">
            <w:pPr>
              <w:pStyle w:val="TableText0"/>
              <w:rPr>
                <w:rFonts w:ascii="Times" w:hAnsi="Times"/>
              </w:rPr>
            </w:pPr>
            <w:r w:rsidRPr="00EC6E05">
              <w:rPr>
                <w:szCs w:val="18"/>
              </w:rPr>
              <w:t>NEJM 2019</w:t>
            </w:r>
            <w:proofErr w:type="gramStart"/>
            <w:r w:rsidRPr="00EC6E05">
              <w:rPr>
                <w:szCs w:val="18"/>
              </w:rPr>
              <w:t>;</w:t>
            </w:r>
            <w:proofErr w:type="gramEnd"/>
            <w:r w:rsidRPr="00EC6E05">
              <w:rPr>
                <w:szCs w:val="18"/>
              </w:rPr>
              <w:t xml:space="preserve"> 380 (12): 1116-1127.</w:t>
            </w:r>
          </w:p>
        </w:tc>
      </w:tr>
    </w:tbl>
    <w:p w:rsidR="00B65A3B" w:rsidRPr="00EC6E05" w:rsidRDefault="00B65A3B" w:rsidP="00B65A3B">
      <w:pPr>
        <w:pStyle w:val="TableFigureFooter"/>
        <w:rPr>
          <w:iCs/>
          <w:szCs w:val="18"/>
        </w:rPr>
      </w:pPr>
      <w:r w:rsidRPr="00EC6E05">
        <w:rPr>
          <w:szCs w:val="18"/>
        </w:rPr>
        <w:t>Source: Table 2.2-2 p48, Ta</w:t>
      </w:r>
      <w:r w:rsidRPr="00EC6E05">
        <w:t>ble 2(a).2-1 p8 in Appendix 2</w:t>
      </w:r>
      <w:r w:rsidRPr="00EC6E05">
        <w:rPr>
          <w:szCs w:val="18"/>
        </w:rPr>
        <w:t xml:space="preserve"> of the Submission;</w:t>
      </w:r>
      <w:r w:rsidRPr="00EC6E05">
        <w:rPr>
          <w:iCs/>
          <w:szCs w:val="18"/>
        </w:rPr>
        <w:t xml:space="preserve"> </w:t>
      </w:r>
      <w:proofErr w:type="spellStart"/>
      <w:r w:rsidRPr="00EC6E05">
        <w:rPr>
          <w:iCs/>
          <w:szCs w:val="18"/>
        </w:rPr>
        <w:t>CheckMate</w:t>
      </w:r>
      <w:proofErr w:type="spellEnd"/>
      <w:r w:rsidRPr="00EC6E05">
        <w:rPr>
          <w:iCs/>
          <w:szCs w:val="18"/>
        </w:rPr>
        <w:t xml:space="preserve"> 214, Motzer 2019. </w:t>
      </w:r>
    </w:p>
    <w:p w:rsidR="00B65A3B" w:rsidRPr="00EC6E05" w:rsidRDefault="00B65A3B" w:rsidP="00BF2EA7">
      <w:pPr>
        <w:pStyle w:val="3-BodyText"/>
        <w:rPr>
          <w:color w:val="0066FF"/>
        </w:rPr>
      </w:pPr>
      <w:r w:rsidRPr="00EC6E05">
        <w:t xml:space="preserve">The key features of the JAVELIN, </w:t>
      </w:r>
      <w:proofErr w:type="spellStart"/>
      <w:r w:rsidRPr="00EC6E05">
        <w:t>CheckMate</w:t>
      </w:r>
      <w:proofErr w:type="spellEnd"/>
      <w:r w:rsidRPr="00EC6E05">
        <w:t xml:space="preserve"> 214 and Keynote-426 are summarised in Table 3. </w:t>
      </w:r>
    </w:p>
    <w:p w:rsidR="00B65A3B" w:rsidRPr="00EC6E05" w:rsidRDefault="00B65A3B" w:rsidP="00B65A3B">
      <w:pPr>
        <w:pStyle w:val="TableFigureHeading"/>
        <w:rPr>
          <w:rStyle w:val="CommentReference"/>
          <w:b/>
          <w:szCs w:val="24"/>
        </w:rPr>
      </w:pPr>
      <w:r w:rsidRPr="00EC6E05">
        <w:rPr>
          <w:rStyle w:val="CommentReference"/>
          <w:b/>
          <w:szCs w:val="24"/>
        </w:rPr>
        <w:lastRenderedPageBreak/>
        <w:t>Table 3: Key features of the included evidence – 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88"/>
        <w:gridCol w:w="709"/>
        <w:gridCol w:w="1700"/>
        <w:gridCol w:w="851"/>
        <w:gridCol w:w="2097"/>
        <w:gridCol w:w="1021"/>
        <w:gridCol w:w="1650"/>
      </w:tblGrid>
      <w:tr w:rsidR="00B65A3B" w:rsidRPr="00EC6E05" w:rsidTr="008D2128">
        <w:trPr>
          <w:cantSplit/>
          <w:tblHeader/>
        </w:trPr>
        <w:tc>
          <w:tcPr>
            <w:tcW w:w="548" w:type="pct"/>
            <w:shd w:val="clear" w:color="auto" w:fill="auto"/>
            <w:vAlign w:val="center"/>
          </w:tcPr>
          <w:p w:rsidR="00B65A3B" w:rsidRPr="00EC6E05" w:rsidRDefault="00B65A3B" w:rsidP="00B65A3B">
            <w:pPr>
              <w:pStyle w:val="In-tableHeading"/>
              <w:rPr>
                <w:lang w:val="en-AU"/>
              </w:rPr>
            </w:pPr>
            <w:r w:rsidRPr="00EC6E05">
              <w:rPr>
                <w:lang w:val="en-AU"/>
              </w:rPr>
              <w:t>Trial</w:t>
            </w:r>
          </w:p>
        </w:tc>
        <w:tc>
          <w:tcPr>
            <w:tcW w:w="393" w:type="pct"/>
            <w:shd w:val="clear" w:color="auto" w:fill="auto"/>
            <w:vAlign w:val="center"/>
          </w:tcPr>
          <w:p w:rsidR="00B65A3B" w:rsidRPr="00EC6E05" w:rsidRDefault="00B65A3B" w:rsidP="00B65A3B">
            <w:pPr>
              <w:pStyle w:val="In-tableHeading"/>
              <w:jc w:val="center"/>
              <w:rPr>
                <w:lang w:val="en-AU"/>
              </w:rPr>
            </w:pPr>
            <w:r w:rsidRPr="00EC6E05">
              <w:rPr>
                <w:lang w:val="en-AU"/>
              </w:rPr>
              <w:t>N</w:t>
            </w:r>
          </w:p>
        </w:tc>
        <w:tc>
          <w:tcPr>
            <w:tcW w:w="943" w:type="pct"/>
            <w:shd w:val="clear" w:color="auto" w:fill="auto"/>
            <w:vAlign w:val="center"/>
          </w:tcPr>
          <w:p w:rsidR="00B65A3B" w:rsidRPr="00EC6E05" w:rsidRDefault="00B65A3B" w:rsidP="00B65A3B">
            <w:pPr>
              <w:pStyle w:val="In-tableHeading"/>
              <w:jc w:val="center"/>
              <w:rPr>
                <w:lang w:val="en-AU"/>
              </w:rPr>
            </w:pPr>
            <w:r w:rsidRPr="00EC6E05">
              <w:rPr>
                <w:lang w:val="en-AU"/>
              </w:rPr>
              <w:t>Design/ duration</w:t>
            </w:r>
          </w:p>
        </w:tc>
        <w:tc>
          <w:tcPr>
            <w:tcW w:w="472" w:type="pct"/>
            <w:shd w:val="clear" w:color="auto" w:fill="auto"/>
            <w:vAlign w:val="center"/>
          </w:tcPr>
          <w:p w:rsidR="00B65A3B" w:rsidRPr="00EC6E05" w:rsidRDefault="00B65A3B" w:rsidP="00B65A3B">
            <w:pPr>
              <w:pStyle w:val="In-tableHeading"/>
              <w:jc w:val="center"/>
              <w:rPr>
                <w:lang w:val="en-AU"/>
              </w:rPr>
            </w:pPr>
            <w:r w:rsidRPr="00EC6E05">
              <w:rPr>
                <w:lang w:val="en-AU"/>
              </w:rPr>
              <w:t>Risk of bias</w:t>
            </w:r>
          </w:p>
        </w:tc>
        <w:tc>
          <w:tcPr>
            <w:tcW w:w="1163" w:type="pct"/>
            <w:shd w:val="clear" w:color="auto" w:fill="auto"/>
            <w:vAlign w:val="center"/>
          </w:tcPr>
          <w:p w:rsidR="00B65A3B" w:rsidRPr="00EC6E05" w:rsidRDefault="00B65A3B" w:rsidP="00B65A3B">
            <w:pPr>
              <w:pStyle w:val="In-tableHeading"/>
              <w:jc w:val="center"/>
              <w:rPr>
                <w:lang w:val="en-AU"/>
              </w:rPr>
            </w:pPr>
            <w:r w:rsidRPr="00EC6E05">
              <w:rPr>
                <w:lang w:val="en-AU"/>
              </w:rPr>
              <w:t>Patient population</w:t>
            </w:r>
          </w:p>
        </w:tc>
        <w:tc>
          <w:tcPr>
            <w:tcW w:w="566" w:type="pct"/>
            <w:shd w:val="clear" w:color="auto" w:fill="auto"/>
            <w:vAlign w:val="center"/>
          </w:tcPr>
          <w:p w:rsidR="00B65A3B" w:rsidRPr="00EC6E05" w:rsidRDefault="00B65A3B" w:rsidP="00B65A3B">
            <w:pPr>
              <w:pStyle w:val="In-tableHeading"/>
              <w:jc w:val="center"/>
              <w:rPr>
                <w:lang w:val="en-AU"/>
              </w:rPr>
            </w:pPr>
            <w:r w:rsidRPr="00EC6E05">
              <w:rPr>
                <w:lang w:val="en-AU"/>
              </w:rPr>
              <w:t>Outcome(s)</w:t>
            </w:r>
          </w:p>
        </w:tc>
        <w:tc>
          <w:tcPr>
            <w:tcW w:w="915" w:type="pct"/>
            <w:shd w:val="clear" w:color="auto" w:fill="auto"/>
            <w:vAlign w:val="center"/>
          </w:tcPr>
          <w:p w:rsidR="00B65A3B" w:rsidRPr="00EC6E05" w:rsidRDefault="00B65A3B" w:rsidP="00B65A3B">
            <w:pPr>
              <w:pStyle w:val="In-tableHeading"/>
              <w:jc w:val="center"/>
              <w:rPr>
                <w:lang w:val="en-AU"/>
              </w:rPr>
            </w:pPr>
            <w:r w:rsidRPr="00EC6E05">
              <w:rPr>
                <w:lang w:val="en-AU"/>
              </w:rPr>
              <w:t>Use in modelled evaluation</w:t>
            </w:r>
          </w:p>
        </w:tc>
      </w:tr>
      <w:tr w:rsidR="00B65A3B" w:rsidRPr="00EC6E05" w:rsidTr="00B65A3B">
        <w:trPr>
          <w:cantSplit/>
        </w:trPr>
        <w:tc>
          <w:tcPr>
            <w:tcW w:w="5000" w:type="pct"/>
            <w:gridSpan w:val="7"/>
            <w:shd w:val="clear" w:color="auto" w:fill="auto"/>
            <w:vAlign w:val="center"/>
          </w:tcPr>
          <w:p w:rsidR="00B65A3B" w:rsidRPr="00EC6E05" w:rsidRDefault="00B65A3B" w:rsidP="00B65A3B">
            <w:pPr>
              <w:pStyle w:val="In-tableHeading"/>
              <w:rPr>
                <w:lang w:val="en-AU"/>
              </w:rPr>
            </w:pPr>
            <w:r w:rsidRPr="00EC6E05">
              <w:rPr>
                <w:lang w:val="en-AU"/>
              </w:rPr>
              <w:t xml:space="preserve">AVE + AXI vs </w:t>
            </w:r>
            <w:proofErr w:type="spellStart"/>
            <w:r w:rsidRPr="00EC6E05">
              <w:rPr>
                <w:lang w:val="en-AU"/>
              </w:rPr>
              <w:t>sunitinib</w:t>
            </w:r>
            <w:proofErr w:type="spellEnd"/>
          </w:p>
        </w:tc>
      </w:tr>
      <w:tr w:rsidR="00B65A3B" w:rsidRPr="00EC6E05" w:rsidTr="008D2128">
        <w:trPr>
          <w:cantSplit/>
        </w:trPr>
        <w:tc>
          <w:tcPr>
            <w:tcW w:w="548" w:type="pct"/>
            <w:shd w:val="clear" w:color="auto" w:fill="auto"/>
            <w:vAlign w:val="center"/>
          </w:tcPr>
          <w:p w:rsidR="00B65A3B" w:rsidRPr="00EC6E05" w:rsidRDefault="00B65A3B" w:rsidP="00B65A3B">
            <w:pPr>
              <w:pStyle w:val="TableText0"/>
            </w:pPr>
            <w:r w:rsidRPr="00EC6E05">
              <w:t>JAVELIN</w:t>
            </w:r>
          </w:p>
        </w:tc>
        <w:tc>
          <w:tcPr>
            <w:tcW w:w="393" w:type="pct"/>
            <w:shd w:val="clear" w:color="auto" w:fill="auto"/>
            <w:vAlign w:val="center"/>
          </w:tcPr>
          <w:p w:rsidR="00B65A3B" w:rsidRPr="00EC6E05" w:rsidRDefault="00B65A3B" w:rsidP="00B65A3B">
            <w:pPr>
              <w:pStyle w:val="TableText0"/>
              <w:jc w:val="center"/>
            </w:pPr>
            <w:r w:rsidRPr="00EC6E05">
              <w:t>886</w:t>
            </w:r>
          </w:p>
        </w:tc>
        <w:tc>
          <w:tcPr>
            <w:tcW w:w="943" w:type="pct"/>
            <w:shd w:val="clear" w:color="auto" w:fill="auto"/>
            <w:vAlign w:val="center"/>
          </w:tcPr>
          <w:p w:rsidR="00B65A3B" w:rsidRPr="00EC6E05" w:rsidRDefault="00B65A3B" w:rsidP="00B65A3B">
            <w:pPr>
              <w:pStyle w:val="TableText0"/>
              <w:jc w:val="center"/>
            </w:pPr>
            <w:r w:rsidRPr="00EC6E05">
              <w:t>MC, R, OL</w:t>
            </w:r>
          </w:p>
          <w:p w:rsidR="00B65A3B" w:rsidRDefault="00220365" w:rsidP="00B65A3B">
            <w:pPr>
              <w:pStyle w:val="TableText0"/>
              <w:jc w:val="center"/>
              <w:rPr>
                <w:vertAlign w:val="superscript"/>
              </w:rPr>
            </w:pPr>
            <w:r>
              <w:t>Min</w:t>
            </w:r>
            <w:r w:rsidR="00266EB3">
              <w:t>imum</w:t>
            </w:r>
            <w:r>
              <w:t xml:space="preserve">: </w:t>
            </w:r>
            <w:r w:rsidR="00B65A3B" w:rsidRPr="00EC6E05">
              <w:t>13 m</w:t>
            </w:r>
            <w:r w:rsidR="00967161" w:rsidRPr="00EC6E05">
              <w:t>on</w:t>
            </w:r>
            <w:r w:rsidR="00B65A3B" w:rsidRPr="00EC6E05">
              <w:t>ths </w:t>
            </w:r>
            <w:r w:rsidR="00B65A3B" w:rsidRPr="00EC6E05">
              <w:rPr>
                <w:vertAlign w:val="superscript"/>
              </w:rPr>
              <w:t>a</w:t>
            </w:r>
          </w:p>
          <w:p w:rsidR="008D2128" w:rsidRPr="008D2128" w:rsidRDefault="008D2128" w:rsidP="0079268B">
            <w:pPr>
              <w:pStyle w:val="TableText0"/>
              <w:jc w:val="center"/>
              <w:rPr>
                <w:vertAlign w:val="superscript"/>
              </w:rPr>
            </w:pPr>
            <w:r>
              <w:t xml:space="preserve">Median: 19 months </w:t>
            </w:r>
          </w:p>
        </w:tc>
        <w:tc>
          <w:tcPr>
            <w:tcW w:w="472" w:type="pct"/>
            <w:shd w:val="clear" w:color="auto" w:fill="auto"/>
            <w:vAlign w:val="center"/>
          </w:tcPr>
          <w:p w:rsidR="00B65A3B" w:rsidRPr="00EC6E05" w:rsidRDefault="00B65A3B" w:rsidP="00B65A3B">
            <w:pPr>
              <w:pStyle w:val="TableText0"/>
              <w:jc w:val="center"/>
            </w:pPr>
            <w:r w:rsidRPr="00EC6E05">
              <w:t>Low</w:t>
            </w:r>
          </w:p>
        </w:tc>
        <w:tc>
          <w:tcPr>
            <w:tcW w:w="1163" w:type="pct"/>
            <w:shd w:val="clear" w:color="auto" w:fill="auto"/>
            <w:vAlign w:val="center"/>
          </w:tcPr>
          <w:p w:rsidR="00B65A3B" w:rsidRDefault="00B65A3B" w:rsidP="00B65A3B">
            <w:pPr>
              <w:pStyle w:val="TableText0"/>
            </w:pPr>
            <w:r w:rsidRPr="00EC6E05">
              <w:rPr>
                <w:rFonts w:cs="Calibri"/>
              </w:rPr>
              <w:t xml:space="preserve">Previously untreated patients with </w:t>
            </w:r>
            <w:r w:rsidRPr="00EC6E05">
              <w:t xml:space="preserve">advanced </w:t>
            </w:r>
            <w:r w:rsidR="006E7E32">
              <w:t xml:space="preserve">clear cell </w:t>
            </w:r>
            <w:r w:rsidRPr="00EC6E05">
              <w:t>RCC</w:t>
            </w:r>
            <w:r w:rsidR="00266EB3">
              <w:t>.</w:t>
            </w:r>
          </w:p>
          <w:p w:rsidR="00746212" w:rsidRDefault="00266EB3" w:rsidP="00B65A3B">
            <w:pPr>
              <w:pStyle w:val="TableText0"/>
            </w:pPr>
            <w:r>
              <w:t xml:space="preserve">Any risk group. </w:t>
            </w:r>
          </w:p>
          <w:p w:rsidR="00266EB3" w:rsidRPr="00EC6E05" w:rsidRDefault="00746212" w:rsidP="00B65A3B">
            <w:pPr>
              <w:pStyle w:val="TableText0"/>
            </w:pPr>
            <w:r>
              <w:t xml:space="preserve">Primary endpoint: </w:t>
            </w:r>
            <w:r w:rsidR="00266EB3">
              <w:t>PD-L</w:t>
            </w:r>
            <w:r>
              <w:t>1</w:t>
            </w:r>
            <w:r w:rsidR="00266EB3">
              <w:t>(+)</w:t>
            </w:r>
          </w:p>
        </w:tc>
        <w:tc>
          <w:tcPr>
            <w:tcW w:w="566" w:type="pct"/>
            <w:shd w:val="clear" w:color="auto" w:fill="auto"/>
            <w:vAlign w:val="center"/>
          </w:tcPr>
          <w:p w:rsidR="00B65A3B" w:rsidRPr="00EC6E05" w:rsidRDefault="00B65A3B" w:rsidP="00B65A3B">
            <w:pPr>
              <w:pStyle w:val="TableText0"/>
              <w:jc w:val="center"/>
              <w:rPr>
                <w:vertAlign w:val="superscript"/>
              </w:rPr>
            </w:pPr>
            <w:r w:rsidRPr="00EC6E05">
              <w:t xml:space="preserve">PFS, OS </w:t>
            </w:r>
            <w:r w:rsidRPr="00EC6E05">
              <w:rPr>
                <w:vertAlign w:val="superscript"/>
              </w:rPr>
              <w:t>b</w:t>
            </w:r>
          </w:p>
        </w:tc>
        <w:tc>
          <w:tcPr>
            <w:tcW w:w="915" w:type="pct"/>
            <w:shd w:val="clear" w:color="auto" w:fill="auto"/>
            <w:vAlign w:val="center"/>
          </w:tcPr>
          <w:p w:rsidR="00B65A3B" w:rsidRPr="00EC6E05" w:rsidRDefault="00B65A3B" w:rsidP="00B65A3B">
            <w:pPr>
              <w:pStyle w:val="TableText0"/>
              <w:jc w:val="center"/>
            </w:pPr>
            <w:r w:rsidRPr="00EC6E05">
              <w:t>PFS</w:t>
            </w:r>
          </w:p>
        </w:tc>
      </w:tr>
      <w:tr w:rsidR="00B65A3B" w:rsidRPr="00EC6E05" w:rsidTr="00B65A3B">
        <w:trPr>
          <w:cantSplit/>
        </w:trPr>
        <w:tc>
          <w:tcPr>
            <w:tcW w:w="5000" w:type="pct"/>
            <w:gridSpan w:val="7"/>
            <w:shd w:val="clear" w:color="auto" w:fill="auto"/>
            <w:vAlign w:val="center"/>
          </w:tcPr>
          <w:p w:rsidR="00B65A3B" w:rsidRPr="00EC6E05" w:rsidRDefault="00B65A3B" w:rsidP="00B65A3B">
            <w:pPr>
              <w:pStyle w:val="TableText0"/>
              <w:rPr>
                <w:b/>
                <w:bCs w:val="0"/>
              </w:rPr>
            </w:pPr>
            <w:r w:rsidRPr="00EC6E05">
              <w:rPr>
                <w:b/>
                <w:bCs w:val="0"/>
              </w:rPr>
              <w:t xml:space="preserve">NIVO + IPI vs </w:t>
            </w:r>
            <w:proofErr w:type="spellStart"/>
            <w:r w:rsidRPr="00EC6E05">
              <w:rPr>
                <w:b/>
                <w:bCs w:val="0"/>
              </w:rPr>
              <w:t>sunitinib</w:t>
            </w:r>
            <w:proofErr w:type="spellEnd"/>
          </w:p>
        </w:tc>
      </w:tr>
      <w:tr w:rsidR="00B65A3B" w:rsidRPr="00EC6E05" w:rsidTr="008D2128">
        <w:trPr>
          <w:cantSplit/>
        </w:trPr>
        <w:tc>
          <w:tcPr>
            <w:tcW w:w="548" w:type="pct"/>
            <w:shd w:val="clear" w:color="auto" w:fill="auto"/>
            <w:vAlign w:val="center"/>
          </w:tcPr>
          <w:p w:rsidR="00B65A3B" w:rsidRPr="00EC6E05" w:rsidRDefault="00B65A3B" w:rsidP="00B65A3B">
            <w:pPr>
              <w:pStyle w:val="TableText0"/>
            </w:pPr>
            <w:proofErr w:type="spellStart"/>
            <w:r w:rsidRPr="00EC6E05">
              <w:t>CheckMate</w:t>
            </w:r>
            <w:proofErr w:type="spellEnd"/>
            <w:r w:rsidRPr="00EC6E05">
              <w:t xml:space="preserve"> 214</w:t>
            </w:r>
          </w:p>
        </w:tc>
        <w:tc>
          <w:tcPr>
            <w:tcW w:w="393" w:type="pct"/>
            <w:shd w:val="clear" w:color="auto" w:fill="auto"/>
            <w:vAlign w:val="center"/>
          </w:tcPr>
          <w:p w:rsidR="00B65A3B" w:rsidRPr="00EC6E05" w:rsidRDefault="00B65A3B" w:rsidP="00B65A3B">
            <w:pPr>
              <w:pStyle w:val="TableText0"/>
              <w:jc w:val="center"/>
            </w:pPr>
            <w:r w:rsidRPr="00EC6E05">
              <w:t>1,096</w:t>
            </w:r>
          </w:p>
        </w:tc>
        <w:tc>
          <w:tcPr>
            <w:tcW w:w="943" w:type="pct"/>
            <w:shd w:val="clear" w:color="auto" w:fill="auto"/>
            <w:vAlign w:val="center"/>
          </w:tcPr>
          <w:p w:rsidR="00B65A3B" w:rsidRPr="00EC6E05" w:rsidRDefault="00B65A3B" w:rsidP="00B65A3B">
            <w:pPr>
              <w:pStyle w:val="TableText0"/>
              <w:jc w:val="center"/>
            </w:pPr>
            <w:r w:rsidRPr="00EC6E05">
              <w:t>MC, R, OL</w:t>
            </w:r>
          </w:p>
          <w:p w:rsidR="0079268B" w:rsidRPr="0079268B" w:rsidRDefault="00220365" w:rsidP="006E7E32">
            <w:pPr>
              <w:pStyle w:val="TableText0"/>
              <w:jc w:val="center"/>
            </w:pPr>
            <w:r>
              <w:t>Min</w:t>
            </w:r>
            <w:r w:rsidR="00266EB3">
              <w:t>imum</w:t>
            </w:r>
            <w:r>
              <w:t xml:space="preserve">: </w:t>
            </w:r>
            <w:r w:rsidR="00B65A3B" w:rsidRPr="00EC6E05">
              <w:t>17.5 m</w:t>
            </w:r>
            <w:r w:rsidR="00967161" w:rsidRPr="00EC6E05">
              <w:t>on</w:t>
            </w:r>
            <w:r w:rsidR="00B65A3B" w:rsidRPr="00EC6E05">
              <w:t xml:space="preserve">ths </w:t>
            </w:r>
            <w:proofErr w:type="gramStart"/>
            <w:r w:rsidR="00B65A3B" w:rsidRPr="00EC6E05">
              <w:rPr>
                <w:vertAlign w:val="superscript"/>
              </w:rPr>
              <w:t>c</w:t>
            </w:r>
            <w:r w:rsidR="0079268B">
              <w:t xml:space="preserve"> .</w:t>
            </w:r>
            <w:proofErr w:type="gramEnd"/>
            <w:r w:rsidR="0079268B">
              <w:t xml:space="preserve"> Extended analyses conducted at 30 and 4</w:t>
            </w:r>
            <w:r w:rsidR="006E7E32">
              <w:t>2</w:t>
            </w:r>
            <w:r w:rsidR="0079268B">
              <w:t xml:space="preserve"> months.</w:t>
            </w:r>
          </w:p>
        </w:tc>
        <w:tc>
          <w:tcPr>
            <w:tcW w:w="472" w:type="pct"/>
            <w:shd w:val="clear" w:color="auto" w:fill="auto"/>
            <w:vAlign w:val="center"/>
          </w:tcPr>
          <w:p w:rsidR="00B65A3B" w:rsidRPr="00EC6E05" w:rsidRDefault="00B65A3B" w:rsidP="00B65A3B">
            <w:pPr>
              <w:pStyle w:val="TableText0"/>
              <w:jc w:val="center"/>
              <w:rPr>
                <w:vertAlign w:val="superscript"/>
              </w:rPr>
            </w:pPr>
            <w:r w:rsidRPr="00EC6E05">
              <w:t>Moderate to high</w:t>
            </w:r>
            <w:r w:rsidR="00746212">
              <w:rPr>
                <w:vertAlign w:val="superscript"/>
              </w:rPr>
              <w:t xml:space="preserve"> e</w:t>
            </w:r>
          </w:p>
        </w:tc>
        <w:tc>
          <w:tcPr>
            <w:tcW w:w="1163" w:type="pct"/>
            <w:shd w:val="clear" w:color="auto" w:fill="auto"/>
            <w:vAlign w:val="center"/>
          </w:tcPr>
          <w:p w:rsidR="00B65A3B" w:rsidRDefault="00B65A3B" w:rsidP="004B2E0D">
            <w:pPr>
              <w:pStyle w:val="TableText0"/>
            </w:pPr>
            <w:r w:rsidRPr="00EC6E05">
              <w:rPr>
                <w:rFonts w:cs="Calibri"/>
              </w:rPr>
              <w:t xml:space="preserve">Previously untreated patients with </w:t>
            </w:r>
            <w:r w:rsidRPr="00EC6E05">
              <w:t xml:space="preserve">advanced </w:t>
            </w:r>
            <w:r w:rsidR="006E7E32">
              <w:t xml:space="preserve">clear cell </w:t>
            </w:r>
            <w:r w:rsidRPr="00EC6E05">
              <w:t>RCC</w:t>
            </w:r>
          </w:p>
          <w:p w:rsidR="00266EB3" w:rsidRPr="00EC6E05" w:rsidRDefault="00266EB3" w:rsidP="00746212">
            <w:pPr>
              <w:pStyle w:val="TableText0"/>
            </w:pPr>
            <w:r>
              <w:t>Primary endpoint: int</w:t>
            </w:r>
            <w:r w:rsidR="00746212">
              <w:t xml:space="preserve">ermediate and </w:t>
            </w:r>
            <w:r>
              <w:t>poor risk</w:t>
            </w:r>
          </w:p>
        </w:tc>
        <w:tc>
          <w:tcPr>
            <w:tcW w:w="566" w:type="pct"/>
            <w:shd w:val="clear" w:color="auto" w:fill="auto"/>
            <w:vAlign w:val="center"/>
          </w:tcPr>
          <w:p w:rsidR="00B65A3B" w:rsidRPr="00EC6E05" w:rsidRDefault="00B65A3B" w:rsidP="00B65A3B">
            <w:pPr>
              <w:pStyle w:val="TableText0"/>
              <w:jc w:val="center"/>
              <w:rPr>
                <w:vertAlign w:val="superscript"/>
              </w:rPr>
            </w:pPr>
            <w:r w:rsidRPr="00EC6E05">
              <w:t xml:space="preserve">PFS, OS, ORR </w:t>
            </w:r>
            <w:r w:rsidRPr="00EC6E05">
              <w:rPr>
                <w:vertAlign w:val="superscript"/>
              </w:rPr>
              <w:t>d</w:t>
            </w:r>
          </w:p>
        </w:tc>
        <w:tc>
          <w:tcPr>
            <w:tcW w:w="915" w:type="pct"/>
            <w:shd w:val="clear" w:color="auto" w:fill="auto"/>
            <w:vAlign w:val="center"/>
          </w:tcPr>
          <w:p w:rsidR="00B65A3B" w:rsidRPr="00EC6E05" w:rsidRDefault="007442E4" w:rsidP="00B65A3B">
            <w:pPr>
              <w:pStyle w:val="TableText0"/>
              <w:jc w:val="center"/>
            </w:pPr>
            <w:r w:rsidRPr="00EC6E05">
              <w:t>Not used in base case (</w:t>
            </w:r>
            <w:r w:rsidR="00B65A3B" w:rsidRPr="00EC6E05">
              <w:t>PFS</w:t>
            </w:r>
            <w:r w:rsidRPr="00EC6E05">
              <w:t xml:space="preserve"> used in sensitivity analysis</w:t>
            </w:r>
          </w:p>
        </w:tc>
      </w:tr>
      <w:tr w:rsidR="00B65A3B" w:rsidRPr="00EC6E05" w:rsidTr="00B65A3B">
        <w:trPr>
          <w:cantSplit/>
        </w:trPr>
        <w:tc>
          <w:tcPr>
            <w:tcW w:w="5000" w:type="pct"/>
            <w:gridSpan w:val="7"/>
            <w:shd w:val="clear" w:color="auto" w:fill="auto"/>
            <w:vAlign w:val="center"/>
          </w:tcPr>
          <w:p w:rsidR="00B65A3B" w:rsidRPr="00EC6E05" w:rsidRDefault="00B65A3B" w:rsidP="00B65A3B">
            <w:pPr>
              <w:pStyle w:val="TableText0"/>
            </w:pPr>
            <w:r w:rsidRPr="00EC6E05">
              <w:rPr>
                <w:b/>
                <w:bCs w:val="0"/>
              </w:rPr>
              <w:t xml:space="preserve">Near market comparator: PEM + AXI vs </w:t>
            </w:r>
            <w:proofErr w:type="spellStart"/>
            <w:r w:rsidRPr="00EC6E05">
              <w:rPr>
                <w:b/>
                <w:bCs w:val="0"/>
              </w:rPr>
              <w:t>sunitinib</w:t>
            </w:r>
            <w:proofErr w:type="spellEnd"/>
          </w:p>
        </w:tc>
      </w:tr>
      <w:tr w:rsidR="00B65A3B" w:rsidRPr="00EC6E05" w:rsidTr="008D2128">
        <w:trPr>
          <w:cantSplit/>
        </w:trPr>
        <w:tc>
          <w:tcPr>
            <w:tcW w:w="548" w:type="pct"/>
            <w:shd w:val="clear" w:color="auto" w:fill="auto"/>
            <w:vAlign w:val="center"/>
          </w:tcPr>
          <w:p w:rsidR="00B65A3B" w:rsidRPr="00EC6E05" w:rsidRDefault="00B65A3B" w:rsidP="00B65A3B">
            <w:pPr>
              <w:pStyle w:val="TableText0"/>
            </w:pPr>
            <w:r w:rsidRPr="00EC6E05">
              <w:t>Keynote-426</w:t>
            </w:r>
          </w:p>
        </w:tc>
        <w:tc>
          <w:tcPr>
            <w:tcW w:w="393" w:type="pct"/>
            <w:shd w:val="clear" w:color="auto" w:fill="auto"/>
            <w:vAlign w:val="center"/>
          </w:tcPr>
          <w:p w:rsidR="00B65A3B" w:rsidRPr="00EC6E05" w:rsidRDefault="00B65A3B" w:rsidP="00B65A3B">
            <w:pPr>
              <w:pStyle w:val="TableText0"/>
              <w:jc w:val="center"/>
            </w:pPr>
            <w:r w:rsidRPr="00EC6E05">
              <w:t>861</w:t>
            </w:r>
          </w:p>
        </w:tc>
        <w:tc>
          <w:tcPr>
            <w:tcW w:w="943" w:type="pct"/>
            <w:shd w:val="clear" w:color="auto" w:fill="auto"/>
            <w:vAlign w:val="center"/>
          </w:tcPr>
          <w:p w:rsidR="00B65A3B" w:rsidRPr="00EC6E05" w:rsidRDefault="00B65A3B" w:rsidP="00B65A3B">
            <w:pPr>
              <w:pStyle w:val="TableText0"/>
              <w:jc w:val="center"/>
            </w:pPr>
            <w:r w:rsidRPr="00EC6E05">
              <w:t>MC, R, OL</w:t>
            </w:r>
          </w:p>
          <w:p w:rsidR="00B65A3B" w:rsidRPr="00EC6E05" w:rsidRDefault="00220365" w:rsidP="00746212">
            <w:pPr>
              <w:pStyle w:val="TableText0"/>
              <w:jc w:val="center"/>
            </w:pPr>
            <w:r>
              <w:t xml:space="preserve">Median: </w:t>
            </w:r>
            <w:r w:rsidR="00B65A3B" w:rsidRPr="00EC6E05">
              <w:t>12.8 m</w:t>
            </w:r>
            <w:r w:rsidR="00967161" w:rsidRPr="00EC6E05">
              <w:t>on</w:t>
            </w:r>
            <w:r w:rsidR="00B65A3B" w:rsidRPr="00EC6E05">
              <w:t xml:space="preserve">ths </w:t>
            </w:r>
          </w:p>
        </w:tc>
        <w:tc>
          <w:tcPr>
            <w:tcW w:w="472" w:type="pct"/>
            <w:shd w:val="clear" w:color="auto" w:fill="auto"/>
            <w:vAlign w:val="center"/>
          </w:tcPr>
          <w:p w:rsidR="00B65A3B" w:rsidRPr="00EC6E05" w:rsidRDefault="00B65A3B" w:rsidP="00B65A3B">
            <w:pPr>
              <w:pStyle w:val="TableText0"/>
              <w:jc w:val="center"/>
            </w:pPr>
            <w:r w:rsidRPr="00EC6E05">
              <w:t>Low</w:t>
            </w:r>
          </w:p>
        </w:tc>
        <w:tc>
          <w:tcPr>
            <w:tcW w:w="1163" w:type="pct"/>
            <w:shd w:val="clear" w:color="auto" w:fill="auto"/>
            <w:vAlign w:val="center"/>
          </w:tcPr>
          <w:p w:rsidR="00B65A3B" w:rsidRPr="00EC6E05" w:rsidRDefault="00B65A3B" w:rsidP="00B65A3B">
            <w:pPr>
              <w:pStyle w:val="TableText0"/>
            </w:pPr>
            <w:r w:rsidRPr="00EC6E05">
              <w:rPr>
                <w:rFonts w:cs="Calibri"/>
              </w:rPr>
              <w:t xml:space="preserve">Previously untreated patients with </w:t>
            </w:r>
            <w:r w:rsidRPr="00EC6E05">
              <w:t xml:space="preserve">advanced </w:t>
            </w:r>
            <w:r w:rsidR="006E7E32">
              <w:t xml:space="preserve">clear cell </w:t>
            </w:r>
            <w:r w:rsidRPr="00EC6E05">
              <w:t>RCC</w:t>
            </w:r>
          </w:p>
        </w:tc>
        <w:tc>
          <w:tcPr>
            <w:tcW w:w="566" w:type="pct"/>
            <w:shd w:val="clear" w:color="auto" w:fill="auto"/>
            <w:vAlign w:val="center"/>
          </w:tcPr>
          <w:p w:rsidR="00B65A3B" w:rsidRPr="00EC6E05" w:rsidRDefault="00B65A3B" w:rsidP="00B65A3B">
            <w:pPr>
              <w:pStyle w:val="TableText0"/>
              <w:jc w:val="center"/>
            </w:pPr>
            <w:r w:rsidRPr="00EC6E05">
              <w:t>OS, PFS</w:t>
            </w:r>
          </w:p>
        </w:tc>
        <w:tc>
          <w:tcPr>
            <w:tcW w:w="915" w:type="pct"/>
            <w:shd w:val="clear" w:color="auto" w:fill="auto"/>
            <w:vAlign w:val="center"/>
          </w:tcPr>
          <w:p w:rsidR="00B65A3B" w:rsidRPr="00EC6E05" w:rsidRDefault="00B65A3B" w:rsidP="00B65A3B">
            <w:pPr>
              <w:pStyle w:val="TableText0"/>
              <w:jc w:val="center"/>
            </w:pPr>
            <w:r w:rsidRPr="00EC6E05">
              <w:t>Not used</w:t>
            </w:r>
          </w:p>
        </w:tc>
      </w:tr>
    </w:tbl>
    <w:p w:rsidR="00B65A3B" w:rsidRPr="00EC6E05" w:rsidRDefault="00B65A3B" w:rsidP="00B65A3B">
      <w:pPr>
        <w:pStyle w:val="TableFigureFooter"/>
      </w:pPr>
      <w:r w:rsidRPr="00EC6E05">
        <w:t xml:space="preserve">Source: Table 2.3-1 p55 of the submission; Table 2(a).3-1 p12 of Appendix 2. </w:t>
      </w:r>
      <w:r w:rsidRPr="00EC6E05">
        <w:rPr>
          <w:rStyle w:val="CommentReference"/>
          <w:b w:val="0"/>
          <w:sz w:val="18"/>
          <w:szCs w:val="22"/>
        </w:rPr>
        <w:t>Developed during the evaluation</w:t>
      </w:r>
    </w:p>
    <w:p w:rsidR="00B65A3B" w:rsidRPr="00EC6E05" w:rsidRDefault="00B65A3B" w:rsidP="00B65A3B">
      <w:pPr>
        <w:pStyle w:val="TableFigureFooter"/>
      </w:pPr>
      <w:r w:rsidRPr="00EC6E05">
        <w:rPr>
          <w:bCs/>
          <w:szCs w:val="18"/>
        </w:rPr>
        <w:t xml:space="preserve">Abbreviations: </w:t>
      </w:r>
      <w:r w:rsidRPr="00EC6E05">
        <w:t xml:space="preserve">MC = multi-centre; </w:t>
      </w:r>
      <w:r w:rsidRPr="00EC6E05">
        <w:rPr>
          <w:bCs/>
          <w:szCs w:val="18"/>
        </w:rPr>
        <w:t xml:space="preserve">OL = open label; ORR = objective response rate: OS = overall survival; PFS = progression-free survival; R = randomised; RCC = renal cell carcinoma; </w:t>
      </w:r>
    </w:p>
    <w:p w:rsidR="00B65A3B" w:rsidRPr="00EC6E05" w:rsidRDefault="00B65A3B" w:rsidP="00B65A3B">
      <w:pPr>
        <w:pStyle w:val="TableFigureFooter"/>
      </w:pPr>
      <w:proofErr w:type="gramStart"/>
      <w:r w:rsidRPr="00EC6E05">
        <w:rPr>
          <w:vertAlign w:val="superscript"/>
        </w:rPr>
        <w:t>a</w:t>
      </w:r>
      <w:proofErr w:type="gramEnd"/>
      <w:r w:rsidRPr="00EC6E05">
        <w:t xml:space="preserve"> JAVELIN Second Interim Analysis data cut-off 28</w:t>
      </w:r>
      <w:r w:rsidR="00746212">
        <w:t xml:space="preserve"> </w:t>
      </w:r>
      <w:r w:rsidRPr="00EC6E05">
        <w:t>January 2019, minimum duration follow-up was 13 months</w:t>
      </w:r>
    </w:p>
    <w:p w:rsidR="00B65A3B" w:rsidRPr="00EC6E05" w:rsidRDefault="00B65A3B" w:rsidP="00B65A3B">
      <w:pPr>
        <w:pStyle w:val="TableFigureFooter"/>
      </w:pPr>
      <w:proofErr w:type="gramStart"/>
      <w:r w:rsidRPr="00EC6E05">
        <w:rPr>
          <w:vertAlign w:val="superscript"/>
        </w:rPr>
        <w:t>b</w:t>
      </w:r>
      <w:proofErr w:type="gramEnd"/>
      <w:r w:rsidRPr="00EC6E05">
        <w:t xml:space="preserve"> Primary outcomes were measured in PD-L1 positive tumours</w:t>
      </w:r>
    </w:p>
    <w:p w:rsidR="00B65A3B" w:rsidRPr="00EC6E05" w:rsidRDefault="00B65A3B" w:rsidP="00B65A3B">
      <w:pPr>
        <w:pStyle w:val="TableFigureFooter"/>
      </w:pPr>
      <w:proofErr w:type="gramStart"/>
      <w:r w:rsidRPr="00EC6E05">
        <w:rPr>
          <w:vertAlign w:val="superscript"/>
        </w:rPr>
        <w:t>c</w:t>
      </w:r>
      <w:proofErr w:type="gramEnd"/>
      <w:r w:rsidRPr="00EC6E05">
        <w:t xml:space="preserve"> </w:t>
      </w:r>
      <w:proofErr w:type="spellStart"/>
      <w:r w:rsidRPr="00EC6E05">
        <w:t>CheckMate</w:t>
      </w:r>
      <w:proofErr w:type="spellEnd"/>
      <w:r w:rsidRPr="00EC6E05">
        <w:t xml:space="preserve"> 214 primary analysis </w:t>
      </w:r>
      <w:r w:rsidRPr="00EC6E05">
        <w:rPr>
          <w:szCs w:val="18"/>
        </w:rPr>
        <w:t>data cut off was 7 August 2017, minimum duration of follow-up was 17.5 months</w:t>
      </w:r>
    </w:p>
    <w:p w:rsidR="00B65A3B" w:rsidRPr="00EC6E05" w:rsidRDefault="00BF74D2" w:rsidP="00B65A3B">
      <w:pPr>
        <w:pStyle w:val="TableFigureFooter"/>
      </w:pPr>
      <w:proofErr w:type="gramStart"/>
      <w:r w:rsidRPr="00EC6E05">
        <w:rPr>
          <w:vertAlign w:val="superscript"/>
        </w:rPr>
        <w:t>d</w:t>
      </w:r>
      <w:proofErr w:type="gramEnd"/>
      <w:r w:rsidR="007442E4" w:rsidRPr="00EC6E05">
        <w:t xml:space="preserve"> </w:t>
      </w:r>
      <w:r w:rsidR="00B65A3B" w:rsidRPr="00EC6E05">
        <w:t>Primary outcomes were measured in the intermediate or poor prognostic risk population</w:t>
      </w:r>
    </w:p>
    <w:p w:rsidR="00BF74D2" w:rsidRPr="00EC6E05" w:rsidRDefault="00746212" w:rsidP="00B65A3B">
      <w:pPr>
        <w:pStyle w:val="TableFigureFooter"/>
        <w:rPr>
          <w:sz w:val="20"/>
        </w:rPr>
      </w:pPr>
      <w:r>
        <w:rPr>
          <w:vertAlign w:val="superscript"/>
        </w:rPr>
        <w:t>e</w:t>
      </w:r>
      <w:r w:rsidR="00BF74D2" w:rsidRPr="00EC6E05">
        <w:t xml:space="preserve"> </w:t>
      </w:r>
      <w:r w:rsidR="008969CC" w:rsidRPr="00EC6E05">
        <w:t xml:space="preserve">The PBAC have previously considered that the overall risk of bias in </w:t>
      </w:r>
      <w:proofErr w:type="spellStart"/>
      <w:r w:rsidR="008969CC" w:rsidRPr="00EC6E05">
        <w:t>CheckMate</w:t>
      </w:r>
      <w:proofErr w:type="spellEnd"/>
      <w:r w:rsidR="008969CC" w:rsidRPr="00EC6E05">
        <w:t> 214 was high for outcomes PFS and EQ-5D; and moderate to unclear for OS (Table 3, NIVO + IPI, PSD, July 2018 PBAC meeting)</w:t>
      </w:r>
    </w:p>
    <w:p w:rsidR="00282D90" w:rsidRPr="00EC6E05" w:rsidRDefault="00B65A3B" w:rsidP="00BF2EA7">
      <w:pPr>
        <w:pStyle w:val="3-BodyText"/>
        <w:rPr>
          <w:color w:val="0066FF"/>
        </w:rPr>
      </w:pPr>
      <w:r w:rsidRPr="00EC6E05">
        <w:t xml:space="preserve">The primary </w:t>
      </w:r>
      <w:r w:rsidR="001964B4" w:rsidRPr="00EC6E05">
        <w:t xml:space="preserve">endpoints </w:t>
      </w:r>
      <w:r w:rsidRPr="00EC6E05">
        <w:t xml:space="preserve">for JAVELIN </w:t>
      </w:r>
      <w:r w:rsidR="004C5F27" w:rsidRPr="00EC6E05">
        <w:t>w</w:t>
      </w:r>
      <w:r w:rsidR="00C552EE" w:rsidRPr="00EC6E05">
        <w:t>ere</w:t>
      </w:r>
      <w:r w:rsidR="004C5F27" w:rsidRPr="00EC6E05">
        <w:t xml:space="preserve"> </w:t>
      </w:r>
      <w:r w:rsidR="001964B4" w:rsidRPr="00EC6E05">
        <w:t>PFS and OS among patients with PD-L1 positive tumours</w:t>
      </w:r>
      <w:r w:rsidR="00C552EE" w:rsidRPr="00EC6E05">
        <w:t>, irrespective of IMDC risk</w:t>
      </w:r>
      <w:r w:rsidR="001964B4" w:rsidRPr="00EC6E05">
        <w:t xml:space="preserve">. </w:t>
      </w:r>
      <w:r w:rsidR="00282D90" w:rsidRPr="00EC6E05">
        <w:t xml:space="preserve">The primary endpoints for </w:t>
      </w:r>
      <w:proofErr w:type="spellStart"/>
      <w:r w:rsidRPr="00EC6E05">
        <w:t>CheckMate</w:t>
      </w:r>
      <w:proofErr w:type="spellEnd"/>
      <w:r w:rsidRPr="00EC6E05">
        <w:t xml:space="preserve"> 214</w:t>
      </w:r>
      <w:r w:rsidR="001964B4" w:rsidRPr="00EC6E05">
        <w:t xml:space="preserve"> were OS, ORR and PFS among patients with intermediate </w:t>
      </w:r>
      <w:r w:rsidR="00282D90" w:rsidRPr="00EC6E05">
        <w:t>to</w:t>
      </w:r>
      <w:r w:rsidR="001964B4" w:rsidRPr="00EC6E05">
        <w:t xml:space="preserve"> poor prognostic risk</w:t>
      </w:r>
      <w:r w:rsidRPr="00EC6E05">
        <w:t xml:space="preserve">. The secondary endpoints in both studies included the measurement of the primary outcomes in the intent to treat </w:t>
      </w:r>
      <w:r w:rsidR="00B06943" w:rsidRPr="00EC6E05">
        <w:t xml:space="preserve">(ITT) </w:t>
      </w:r>
      <w:r w:rsidRPr="00EC6E05">
        <w:t>population</w:t>
      </w:r>
      <w:r w:rsidR="00B837E5" w:rsidRPr="00EC6E05">
        <w:t>, which included patients irrespective of IMDC risk and PD-L1 status</w:t>
      </w:r>
      <w:r w:rsidRPr="00EC6E05">
        <w:t xml:space="preserve">. </w:t>
      </w:r>
      <w:r w:rsidR="00282D90" w:rsidRPr="00EC6E05">
        <w:rPr>
          <w:iCs/>
        </w:rPr>
        <w:t>The submission appropriately presented a post-hoc analysis for JAVELIN by IMDC prognostic risk to conduct the ITC.</w:t>
      </w:r>
    </w:p>
    <w:p w:rsidR="00B837E5" w:rsidRPr="00EC6E05" w:rsidRDefault="00B837E5" w:rsidP="006E7E32">
      <w:pPr>
        <w:pStyle w:val="3-BodyText"/>
        <w:rPr>
          <w:color w:val="0066FF"/>
        </w:rPr>
      </w:pPr>
      <w:r w:rsidRPr="00EC6E05">
        <w:t xml:space="preserve">The original primary objective for JAVELIN was to show superiority of AVE + AXI over </w:t>
      </w:r>
      <w:proofErr w:type="spellStart"/>
      <w:r w:rsidRPr="00EC6E05">
        <w:t>sunitinib</w:t>
      </w:r>
      <w:proofErr w:type="spellEnd"/>
      <w:r w:rsidR="00E05411" w:rsidRPr="00EC6E05">
        <w:t xml:space="preserve"> in advanced RCC irrespective of PD-L1 expression. However, a protocol amendment </w:t>
      </w:r>
      <w:proofErr w:type="gramStart"/>
      <w:r w:rsidR="00E05411" w:rsidRPr="00EC6E05">
        <w:t>was made</w:t>
      </w:r>
      <w:proofErr w:type="gramEnd"/>
      <w:r w:rsidR="00E05411" w:rsidRPr="00EC6E05">
        <w:t xml:space="preserve"> based on clinical data showing overall benefits among patients with RCC using immune checkpoint inhibitors.</w:t>
      </w:r>
      <w:r w:rsidR="006E7E32">
        <w:t xml:space="preserve"> T</w:t>
      </w:r>
      <w:r w:rsidR="006E7E32" w:rsidRPr="006E7E32">
        <w:t xml:space="preserve">his amendment changed the primary objective of the trial to show the superiority of </w:t>
      </w:r>
      <w:r w:rsidR="006E7E32" w:rsidRPr="00EC6E05">
        <w:t xml:space="preserve">AVE + AXI </w:t>
      </w:r>
      <w:r w:rsidR="006E7E32" w:rsidRPr="006E7E32">
        <w:t xml:space="preserve">over </w:t>
      </w:r>
      <w:proofErr w:type="spellStart"/>
      <w:r w:rsidR="006E7E32" w:rsidRPr="006E7E32">
        <w:t>sunitinib</w:t>
      </w:r>
      <w:proofErr w:type="spellEnd"/>
      <w:r w:rsidR="006E7E32" w:rsidRPr="006E7E32">
        <w:t xml:space="preserve"> with respect to either </w:t>
      </w:r>
      <w:r w:rsidR="006E7E32">
        <w:t>PFS or OS</w:t>
      </w:r>
      <w:r w:rsidR="006E7E32" w:rsidRPr="006E7E32">
        <w:t xml:space="preserve"> among patients with PD-L1–positive </w:t>
      </w:r>
      <w:proofErr w:type="spellStart"/>
      <w:r w:rsidR="006E7E32" w:rsidRPr="006E7E32">
        <w:t>tumors</w:t>
      </w:r>
      <w:proofErr w:type="spellEnd"/>
      <w:r w:rsidR="006E7E32" w:rsidRPr="006E7E32">
        <w:t>.</w:t>
      </w:r>
    </w:p>
    <w:p w:rsidR="00594270" w:rsidRPr="00EC6E05" w:rsidRDefault="00B65A3B" w:rsidP="00BF2EA7">
      <w:pPr>
        <w:pStyle w:val="3-BodyText"/>
        <w:rPr>
          <w:color w:val="0066FF"/>
        </w:rPr>
      </w:pPr>
      <w:r w:rsidRPr="00EC6E05">
        <w:t>Baseline</w:t>
      </w:r>
      <w:r w:rsidRPr="00EC6E05">
        <w:rPr>
          <w:color w:val="0066FF"/>
        </w:rPr>
        <w:t xml:space="preserve"> </w:t>
      </w:r>
      <w:r w:rsidRPr="00EC6E05">
        <w:t xml:space="preserve">patient demographics were similar between the ITT populations of the studies with respect to age (median range: 61.0-62.0 years across the arms of both studies) and gender (74.5% male in JAVELIN vs. 73.7% male in </w:t>
      </w:r>
      <w:proofErr w:type="spellStart"/>
      <w:r w:rsidRPr="00EC6E05">
        <w:t>CheckMate</w:t>
      </w:r>
      <w:proofErr w:type="spellEnd"/>
      <w:r w:rsidRPr="00EC6E05">
        <w:t xml:space="preserve"> 214</w:t>
      </w:r>
      <w:r w:rsidR="00D25AD2" w:rsidRPr="00EC6E05">
        <w:t>)</w:t>
      </w:r>
      <w:r w:rsidRPr="00EC6E05">
        <w:t xml:space="preserve">. </w:t>
      </w:r>
      <w:r w:rsidR="004B2E0D" w:rsidRPr="00EC6E05">
        <w:rPr>
          <w:iCs/>
        </w:rPr>
        <w:t>Furthermore, the distribution of patients across the favourable and intermediate or poor prognostic risk categories</w:t>
      </w:r>
      <w:r w:rsidR="00594270" w:rsidRPr="00EC6E05">
        <w:rPr>
          <w:iCs/>
        </w:rPr>
        <w:t xml:space="preserve"> </w:t>
      </w:r>
      <w:r w:rsidR="004B2E0D" w:rsidRPr="00EC6E05">
        <w:rPr>
          <w:iCs/>
        </w:rPr>
        <w:t xml:space="preserve">was similar between the two trials. </w:t>
      </w:r>
      <w:r w:rsidR="00594270" w:rsidRPr="00EC6E05">
        <w:t xml:space="preserve">However, the proportion of patients who had PD-L1 positive tumours was substantially higher in </w:t>
      </w:r>
      <w:r w:rsidR="00594270" w:rsidRPr="00EC6E05">
        <w:lastRenderedPageBreak/>
        <w:t xml:space="preserve">JAVELIN compared with </w:t>
      </w:r>
      <w:proofErr w:type="spellStart"/>
      <w:r w:rsidR="00594270" w:rsidRPr="00EC6E05">
        <w:t>CheckMate</w:t>
      </w:r>
      <w:proofErr w:type="spellEnd"/>
      <w:r w:rsidR="00594270" w:rsidRPr="00EC6E05">
        <w:t xml:space="preserve"> 214 in the ITT population. </w:t>
      </w:r>
      <w:r w:rsidR="00594270" w:rsidRPr="00EC6E05">
        <w:rPr>
          <w:iCs/>
        </w:rPr>
        <w:t xml:space="preserve">The predictive and prognostic value of PD-L1 expression levels in patients with </w:t>
      </w:r>
      <w:r w:rsidR="00594270" w:rsidRPr="00746212">
        <w:rPr>
          <w:iCs/>
        </w:rPr>
        <w:t>RCC is unclear.</w:t>
      </w:r>
      <w:r w:rsidR="00594270" w:rsidRPr="00EC6E05">
        <w:rPr>
          <w:iCs/>
        </w:rPr>
        <w:t xml:space="preserve"> </w:t>
      </w:r>
    </w:p>
    <w:p w:rsidR="00B65A3B" w:rsidRPr="00746212" w:rsidRDefault="00616AAB" w:rsidP="00BF2EA7">
      <w:pPr>
        <w:pStyle w:val="3-BodyText"/>
        <w:rPr>
          <w:color w:val="0066FF"/>
        </w:rPr>
      </w:pPr>
      <w:r w:rsidRPr="00EC6E05">
        <w:t>T</w:t>
      </w:r>
      <w:r w:rsidR="00B65A3B" w:rsidRPr="00EC6E05">
        <w:t>he duration of follow-up for JAVELIN was shorter than</w:t>
      </w:r>
      <w:r w:rsidR="00E26ABE">
        <w:t xml:space="preserve"> for</w:t>
      </w:r>
      <w:r w:rsidR="00B65A3B" w:rsidRPr="00EC6E05">
        <w:t xml:space="preserve"> </w:t>
      </w:r>
      <w:proofErr w:type="spellStart"/>
      <w:r w:rsidR="00B65A3B" w:rsidRPr="00EC6E05">
        <w:t>CheckMate</w:t>
      </w:r>
      <w:proofErr w:type="spellEnd"/>
      <w:r w:rsidR="00B65A3B" w:rsidRPr="00EC6E05">
        <w:t xml:space="preserve"> 214. At the first interim analysis</w:t>
      </w:r>
      <w:r w:rsidR="00E26ABE">
        <w:t xml:space="preserve"> for </w:t>
      </w:r>
      <w:proofErr w:type="gramStart"/>
      <w:r w:rsidR="00E26ABE">
        <w:t>JAVELIN</w:t>
      </w:r>
      <w:proofErr w:type="gramEnd"/>
      <w:r w:rsidR="00B65A3B" w:rsidRPr="00EC6E05">
        <w:t xml:space="preserve"> the </w:t>
      </w:r>
      <w:r w:rsidR="00B65A3B" w:rsidRPr="00EC6E05">
        <w:rPr>
          <w:rFonts w:cstheme="minorHAnsi"/>
          <w:szCs w:val="18"/>
        </w:rPr>
        <w:t>minimum follow-up was 6 months</w:t>
      </w:r>
      <w:r w:rsidR="00B65A3B" w:rsidRPr="00EC6E05">
        <w:t xml:space="preserve"> and the second interim analysis occurred at minimum follow-up of 13 months. Whereas, for </w:t>
      </w:r>
      <w:proofErr w:type="spellStart"/>
      <w:r w:rsidR="00B65A3B" w:rsidRPr="00EC6E05">
        <w:t>CheckMate</w:t>
      </w:r>
      <w:proofErr w:type="spellEnd"/>
      <w:r w:rsidR="00B65A3B" w:rsidRPr="00EC6E05">
        <w:t xml:space="preserve"> 214, the minimum follow-up </w:t>
      </w:r>
      <w:r w:rsidR="00E26ABE">
        <w:t xml:space="preserve">for the primary analysis </w:t>
      </w:r>
      <w:r w:rsidR="00B65A3B" w:rsidRPr="00EC6E05">
        <w:t xml:space="preserve">was 17.5 months. A </w:t>
      </w:r>
      <w:proofErr w:type="gramStart"/>
      <w:r w:rsidR="00B65A3B" w:rsidRPr="00EC6E05">
        <w:t>30 month</w:t>
      </w:r>
      <w:proofErr w:type="gramEnd"/>
      <w:r w:rsidR="0079268B">
        <w:t xml:space="preserve"> (and 4</w:t>
      </w:r>
      <w:r w:rsidR="006E7E32">
        <w:t>2</w:t>
      </w:r>
      <w:r w:rsidR="0079268B">
        <w:t xml:space="preserve"> month)</w:t>
      </w:r>
      <w:r w:rsidR="00B65A3B" w:rsidRPr="00EC6E05">
        <w:t xml:space="preserve"> </w:t>
      </w:r>
      <w:r w:rsidR="00DB3C23">
        <w:t xml:space="preserve">an </w:t>
      </w:r>
      <w:r w:rsidR="00B65A3B" w:rsidRPr="00EC6E05">
        <w:t xml:space="preserve">extended follow-up phase analysis </w:t>
      </w:r>
      <w:r w:rsidR="00E26ABE">
        <w:t>was also undertaken</w:t>
      </w:r>
      <w:r w:rsidR="00B65A3B" w:rsidRPr="00EC6E05">
        <w:t xml:space="preserve"> for </w:t>
      </w:r>
      <w:proofErr w:type="spellStart"/>
      <w:r w:rsidR="00B65A3B" w:rsidRPr="00EC6E05">
        <w:t>CheckMate</w:t>
      </w:r>
      <w:proofErr w:type="spellEnd"/>
      <w:r w:rsidR="00B65A3B" w:rsidRPr="00EC6E05">
        <w:t xml:space="preserve"> 214</w:t>
      </w:r>
      <w:r w:rsidR="004578C6" w:rsidRPr="00EC6E05">
        <w:t>,</w:t>
      </w:r>
      <w:r w:rsidR="00B65A3B" w:rsidRPr="00EC6E05">
        <w:t xml:space="preserve"> however </w:t>
      </w:r>
      <w:r w:rsidR="00E26ABE">
        <w:t xml:space="preserve">the </w:t>
      </w:r>
      <w:r w:rsidR="00B65A3B" w:rsidRPr="00EC6E05">
        <w:t xml:space="preserve">efficacy results were not directly comparable with </w:t>
      </w:r>
      <w:r w:rsidR="00E26ABE">
        <w:t xml:space="preserve">those for </w:t>
      </w:r>
      <w:r w:rsidR="00B65A3B" w:rsidRPr="00EC6E05">
        <w:t>JAVELIN due to protocol amendments.</w:t>
      </w:r>
    </w:p>
    <w:p w:rsidR="00746212" w:rsidRPr="006A083B" w:rsidRDefault="00746212" w:rsidP="00956A44">
      <w:pPr>
        <w:pStyle w:val="3-BodyText"/>
      </w:pPr>
      <w:r w:rsidRPr="00746212">
        <w:t xml:space="preserve">The </w:t>
      </w:r>
      <w:r w:rsidR="00657D16">
        <w:t xml:space="preserve">PSCR included information (in a sponsor response </w:t>
      </w:r>
      <w:r w:rsidR="006043D2">
        <w:t>to the TGA Clinical Evaluator’s comments</w:t>
      </w:r>
      <w:r w:rsidR="00657D16">
        <w:t xml:space="preserve">) outlining that </w:t>
      </w:r>
      <w:r w:rsidR="006043D2">
        <w:t xml:space="preserve">next planned analysis of the JAVELIN trial </w:t>
      </w:r>
      <w:r w:rsidR="006A083B">
        <w:rPr>
          <w:noProof/>
          <w:color w:val="000000"/>
          <w:highlight w:val="black"/>
        </w:rPr>
        <w:t xml:space="preserve">'''''''' '''''''' '''''''''''''' '''''''''''''' '''''' ''''''' ''''''' ''''' '''''''''''''''''''''' ''''''''''' ''''' '''''' ''''''''' ''''''''''''' ''''''''' ''''' ''''' '''''''' ''''''''' ''''''''''' '''''''' '''''''''''''''''''''''''' ''''' ''''' ''''' ''''''''''''' '''''''''' '''''' ''''''''''''' '''''''''' ''''' '''''''''''''' ''''''''''''''' '''''''''''''''' ''''''' '''''''' ''''''''''''''' ''''' '''''' '''''' ''''' ''''''''''''''''''''' ''''''''' '''''''''''''''''''''''' '' '''''''' '''' ''''''' '''''''''''''' '''''' '''''''''''''''' '''' ''''''''''''''''' '''''''' '''''''''''''''''''''''''' ''''''''''''''''' '''''''''''''''' ''''' '''''''''' ''''''''' ''''''''' '''''''''' </w:t>
      </w:r>
    </w:p>
    <w:p w:rsidR="00B65A3B" w:rsidRPr="00EC6E05" w:rsidRDefault="00B65A3B" w:rsidP="00B65A3B">
      <w:pPr>
        <w:pStyle w:val="4-SubsectionHeading"/>
      </w:pPr>
      <w:bookmarkStart w:id="21" w:name="_Toc22897641"/>
      <w:bookmarkStart w:id="22" w:name="_Toc30600755"/>
      <w:r w:rsidRPr="00EC6E05">
        <w:t>Comparative effectiveness</w:t>
      </w:r>
      <w:bookmarkEnd w:id="21"/>
      <w:bookmarkEnd w:id="22"/>
    </w:p>
    <w:p w:rsidR="009C57AA" w:rsidRPr="00EC6E05" w:rsidRDefault="009C57AA" w:rsidP="00713B23">
      <w:pPr>
        <w:pStyle w:val="5-SubsectionSubheading"/>
      </w:pPr>
      <w:r w:rsidRPr="00746212">
        <w:t xml:space="preserve">PFS </w:t>
      </w:r>
      <w:r w:rsidR="005A2261" w:rsidRPr="00746212">
        <w:t>(ITT and PD-L1 positive patients)</w:t>
      </w:r>
    </w:p>
    <w:p w:rsidR="00B65A3B" w:rsidRPr="00EC6E05" w:rsidRDefault="00B65A3B" w:rsidP="00BF2EA7">
      <w:pPr>
        <w:pStyle w:val="3-BodyText"/>
        <w:rPr>
          <w:color w:val="0066FF"/>
        </w:rPr>
      </w:pPr>
      <w:r w:rsidRPr="00EC6E05">
        <w:t xml:space="preserve">A summary of the PFS results </w:t>
      </w:r>
      <w:proofErr w:type="gramStart"/>
      <w:r w:rsidR="0079268B">
        <w:t>are</w:t>
      </w:r>
      <w:r w:rsidR="00A723C2" w:rsidRPr="00EC6E05">
        <w:t xml:space="preserve"> </w:t>
      </w:r>
      <w:r w:rsidRPr="00EC6E05">
        <w:t>provided</w:t>
      </w:r>
      <w:proofErr w:type="gramEnd"/>
      <w:r w:rsidRPr="00EC6E05">
        <w:t xml:space="preserve"> in Table 4. The difference in PFS between the two arms of JAVELIN (ITT) is greater compared to the two arms of </w:t>
      </w:r>
      <w:proofErr w:type="spellStart"/>
      <w:r w:rsidRPr="00EC6E05">
        <w:t>CheckMate</w:t>
      </w:r>
      <w:proofErr w:type="spellEnd"/>
      <w:r w:rsidRPr="00EC6E05">
        <w:t xml:space="preserve"> 214 (ITT)</w:t>
      </w:r>
      <w:r w:rsidR="009240CD" w:rsidRPr="00EC6E05">
        <w:t>. The</w:t>
      </w:r>
      <w:r w:rsidRPr="00EC6E05">
        <w:t xml:space="preserve"> median PFS </w:t>
      </w:r>
      <w:r w:rsidR="0079268B">
        <w:t>in</w:t>
      </w:r>
      <w:r w:rsidRPr="00EC6E05">
        <w:t xml:space="preserve"> the </w:t>
      </w:r>
      <w:proofErr w:type="spellStart"/>
      <w:r w:rsidRPr="00EC6E05">
        <w:t>sunitinib</w:t>
      </w:r>
      <w:proofErr w:type="spellEnd"/>
      <w:r w:rsidRPr="00EC6E05">
        <w:t xml:space="preserve"> arm of </w:t>
      </w:r>
      <w:proofErr w:type="spellStart"/>
      <w:r w:rsidRPr="00EC6E05">
        <w:t>CheckMate</w:t>
      </w:r>
      <w:proofErr w:type="spellEnd"/>
      <w:r w:rsidRPr="00EC6E05">
        <w:t xml:space="preserve"> 214 is higher (12.3 months) </w:t>
      </w:r>
      <w:r w:rsidR="0079268B">
        <w:t>th</w:t>
      </w:r>
      <w:r w:rsidR="006E7E32">
        <w:t>a</w:t>
      </w:r>
      <w:r w:rsidR="0079268B">
        <w:t>n</w:t>
      </w:r>
      <w:r w:rsidRPr="00EC6E05">
        <w:t xml:space="preserve"> </w:t>
      </w:r>
      <w:r w:rsidR="0079268B">
        <w:t>in</w:t>
      </w:r>
      <w:r w:rsidRPr="00EC6E05">
        <w:t xml:space="preserve"> JAVELIN (ITT, 8.0 months)</w:t>
      </w:r>
      <w:r w:rsidR="00C552EE" w:rsidRPr="00EC6E05">
        <w:t xml:space="preserve"> which may suggest patients in </w:t>
      </w:r>
      <w:proofErr w:type="spellStart"/>
      <w:r w:rsidR="00C552EE" w:rsidRPr="00EC6E05">
        <w:t>CheckMate</w:t>
      </w:r>
      <w:proofErr w:type="spellEnd"/>
      <w:r w:rsidR="00C552EE" w:rsidRPr="00EC6E05">
        <w:t xml:space="preserve"> 214 had a better underlying </w:t>
      </w:r>
      <w:r w:rsidR="00AD19AA" w:rsidRPr="00EC6E05">
        <w:t xml:space="preserve">prognosis </w:t>
      </w:r>
      <w:r w:rsidR="00C552EE" w:rsidRPr="00EC6E05">
        <w:t xml:space="preserve">for a response to </w:t>
      </w:r>
      <w:proofErr w:type="spellStart"/>
      <w:r w:rsidR="00C552EE" w:rsidRPr="00EC6E05">
        <w:t>sunitinib</w:t>
      </w:r>
      <w:proofErr w:type="spellEnd"/>
      <w:r w:rsidRPr="00EC6E05">
        <w:t>.</w:t>
      </w:r>
    </w:p>
    <w:p w:rsidR="00B65A3B" w:rsidRPr="00EC6E05" w:rsidRDefault="00B65A3B" w:rsidP="00B65A3B">
      <w:pPr>
        <w:pStyle w:val="TableFigureHeading"/>
      </w:pPr>
      <w:bookmarkStart w:id="23" w:name="_Hlk30409088"/>
      <w:r w:rsidRPr="00EC6E05">
        <w:t>Table 4: Results of progression free survival</w:t>
      </w:r>
      <w:r w:rsidR="0079268B">
        <w:t>:</w:t>
      </w:r>
      <w:r w:rsidRPr="00EC6E05">
        <w:t xml:space="preserve"> JAVELIN and </w:t>
      </w:r>
      <w:proofErr w:type="spellStart"/>
      <w:r w:rsidRPr="00EC6E05">
        <w:t>CheckMate</w:t>
      </w:r>
      <w:proofErr w:type="spellEnd"/>
      <w:r w:rsidRPr="00EC6E05">
        <w:t xml:space="preserve"> 214 </w:t>
      </w:r>
      <w:r w:rsidR="00AD19AA" w:rsidRPr="00EC6E05">
        <w:t>(favourable, intermediate, poor risk patients)</w:t>
      </w:r>
    </w:p>
    <w:tbl>
      <w:tblPr>
        <w:tblStyle w:val="TableGrid"/>
        <w:tblW w:w="5000" w:type="pct"/>
        <w:tblLook w:val="04A0" w:firstRow="1" w:lastRow="0" w:firstColumn="1" w:lastColumn="0" w:noHBand="0" w:noVBand="1"/>
        <w:tblCaption w:val="Table 4: Results of progression free survival: JAVELIN and CheckMate 214 (favourable, intermediate, poor risk patients)"/>
      </w:tblPr>
      <w:tblGrid>
        <w:gridCol w:w="1887"/>
        <w:gridCol w:w="1170"/>
        <w:gridCol w:w="1170"/>
        <w:gridCol w:w="1170"/>
        <w:gridCol w:w="1170"/>
        <w:gridCol w:w="1226"/>
        <w:gridCol w:w="1223"/>
      </w:tblGrid>
      <w:tr w:rsidR="00B65A3B" w:rsidRPr="00EC6E05" w:rsidTr="00B65A3B">
        <w:trPr>
          <w:trHeight w:val="244"/>
          <w:tblHeader/>
        </w:trPr>
        <w:tc>
          <w:tcPr>
            <w:tcW w:w="1046" w:type="pct"/>
            <w:vMerge w:val="restart"/>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B65A3B">
            <w:pPr>
              <w:pStyle w:val="Tableheading0"/>
              <w:rPr>
                <w:rFonts w:ascii="Arial Narrow" w:hAnsi="Arial Narrow"/>
              </w:rPr>
            </w:pPr>
            <w:r w:rsidRPr="00EC6E05">
              <w:rPr>
                <w:rFonts w:ascii="Arial Narrow" w:hAnsi="Arial Narrow"/>
              </w:rPr>
              <w:t>PFS</w:t>
            </w:r>
          </w:p>
        </w:tc>
        <w:tc>
          <w:tcPr>
            <w:tcW w:w="2595" w:type="pct"/>
            <w:gridSpan w:val="4"/>
            <w:tcBorders>
              <w:top w:val="single" w:sz="4" w:space="0" w:color="auto"/>
              <w:left w:val="single" w:sz="4" w:space="0" w:color="auto"/>
              <w:bottom w:val="single" w:sz="4" w:space="0" w:color="auto"/>
              <w:right w:val="single" w:sz="4" w:space="0" w:color="auto"/>
            </w:tcBorders>
            <w:vAlign w:val="center"/>
            <w:hideMark/>
          </w:tcPr>
          <w:p w:rsidR="00AD19AA" w:rsidRPr="00EC6E05" w:rsidRDefault="00B65A3B" w:rsidP="00AD19AA">
            <w:pPr>
              <w:pStyle w:val="Tableheading0"/>
              <w:rPr>
                <w:rFonts w:ascii="Arial Narrow" w:hAnsi="Arial Narrow"/>
                <w:vertAlign w:val="superscript"/>
              </w:rPr>
            </w:pPr>
            <w:r w:rsidRPr="00EC6E05">
              <w:rPr>
                <w:rFonts w:ascii="Arial Narrow" w:hAnsi="Arial Narrow"/>
              </w:rPr>
              <w:t xml:space="preserve">JAVELIN IA2 </w:t>
            </w:r>
            <w:r w:rsidRPr="00EC6E05">
              <w:rPr>
                <w:rFonts w:ascii="Arial Narrow" w:hAnsi="Arial Narrow"/>
                <w:vertAlign w:val="superscript"/>
              </w:rPr>
              <w:t>a</w:t>
            </w:r>
          </w:p>
        </w:tc>
        <w:tc>
          <w:tcPr>
            <w:tcW w:w="1359" w:type="pct"/>
            <w:gridSpan w:val="2"/>
            <w:tcBorders>
              <w:top w:val="single" w:sz="4" w:space="0" w:color="auto"/>
              <w:left w:val="single" w:sz="4" w:space="0" w:color="auto"/>
              <w:bottom w:val="single" w:sz="4" w:space="0" w:color="auto"/>
              <w:right w:val="single" w:sz="4" w:space="0" w:color="auto"/>
            </w:tcBorders>
            <w:vAlign w:val="center"/>
            <w:hideMark/>
          </w:tcPr>
          <w:p w:rsidR="00AD19AA" w:rsidRPr="00EC6E05" w:rsidRDefault="00B65A3B" w:rsidP="00AD19AA">
            <w:pPr>
              <w:pStyle w:val="Tableheading0"/>
              <w:rPr>
                <w:rFonts w:ascii="Arial Narrow" w:hAnsi="Arial Narrow"/>
                <w:vertAlign w:val="superscript"/>
              </w:rPr>
            </w:pPr>
            <w:proofErr w:type="spellStart"/>
            <w:r w:rsidRPr="00EC6E05">
              <w:rPr>
                <w:rFonts w:ascii="Arial Narrow" w:hAnsi="Arial Narrow"/>
              </w:rPr>
              <w:t>CheckMate</w:t>
            </w:r>
            <w:proofErr w:type="spellEnd"/>
            <w:r w:rsidRPr="00EC6E05">
              <w:rPr>
                <w:rFonts w:ascii="Arial Narrow" w:hAnsi="Arial Narrow"/>
              </w:rPr>
              <w:t xml:space="preserve"> 214 </w:t>
            </w:r>
            <w:proofErr w:type="spellStart"/>
            <w:r w:rsidRPr="00EC6E05">
              <w:rPr>
                <w:rFonts w:ascii="Arial Narrow" w:hAnsi="Arial Narrow"/>
                <w:vertAlign w:val="superscript"/>
              </w:rPr>
              <w:t>b,c</w:t>
            </w:r>
            <w:proofErr w:type="spellEnd"/>
          </w:p>
        </w:tc>
      </w:tr>
      <w:tr w:rsidR="00B65A3B" w:rsidRPr="00EC6E05" w:rsidTr="00B65A3B">
        <w:trPr>
          <w:trHeight w:val="244"/>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B65A3B">
            <w:pPr>
              <w:jc w:val="left"/>
              <w:rPr>
                <w:rFonts w:ascii="Arial Narrow" w:eastAsiaTheme="minorHAnsi" w:hAnsi="Arial Narrow" w:cstheme="minorBidi"/>
                <w:b/>
                <w:sz w:val="20"/>
                <w:szCs w:val="20"/>
                <w:lang w:eastAsia="en-US"/>
              </w:rPr>
            </w:pPr>
          </w:p>
        </w:tc>
        <w:tc>
          <w:tcPr>
            <w:tcW w:w="1298" w:type="pct"/>
            <w:gridSpan w:val="2"/>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B65A3B">
            <w:pPr>
              <w:pStyle w:val="Tableheading0"/>
              <w:rPr>
                <w:rFonts w:ascii="Arial Narrow" w:hAnsi="Arial Narrow"/>
              </w:rPr>
            </w:pPr>
            <w:r w:rsidRPr="00EC6E05">
              <w:rPr>
                <w:rFonts w:ascii="Arial Narrow" w:hAnsi="Arial Narrow"/>
              </w:rPr>
              <w:t xml:space="preserve">PD-L1 positive </w:t>
            </w:r>
          </w:p>
        </w:tc>
        <w:tc>
          <w:tcPr>
            <w:tcW w:w="1298" w:type="pct"/>
            <w:gridSpan w:val="2"/>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B65A3B">
            <w:pPr>
              <w:pStyle w:val="Tableheading0"/>
              <w:rPr>
                <w:rFonts w:ascii="Arial Narrow" w:hAnsi="Arial Narrow"/>
              </w:rPr>
            </w:pPr>
            <w:r w:rsidRPr="00EC6E05">
              <w:rPr>
                <w:rFonts w:ascii="Arial Narrow" w:hAnsi="Arial Narrow"/>
              </w:rPr>
              <w:t>ITT</w:t>
            </w:r>
          </w:p>
        </w:tc>
        <w:tc>
          <w:tcPr>
            <w:tcW w:w="1359" w:type="pct"/>
            <w:gridSpan w:val="2"/>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B65A3B">
            <w:pPr>
              <w:pStyle w:val="Tableheading0"/>
              <w:rPr>
                <w:rFonts w:ascii="Arial Narrow" w:hAnsi="Arial Narrow"/>
              </w:rPr>
            </w:pPr>
            <w:r w:rsidRPr="00EC6E05">
              <w:rPr>
                <w:rFonts w:ascii="Arial Narrow" w:hAnsi="Arial Narrow"/>
              </w:rPr>
              <w:t>ITT</w:t>
            </w:r>
          </w:p>
        </w:tc>
      </w:tr>
      <w:tr w:rsidR="00B65A3B" w:rsidRPr="00EC6E05" w:rsidTr="00B65A3B">
        <w:trPr>
          <w:trHeight w:val="244"/>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B65A3B">
            <w:pPr>
              <w:jc w:val="left"/>
              <w:rPr>
                <w:rFonts w:ascii="Arial Narrow" w:eastAsiaTheme="minorHAnsi" w:hAnsi="Arial Narrow" w:cstheme="minorBidi"/>
                <w:b/>
                <w:sz w:val="20"/>
                <w:szCs w:val="20"/>
                <w:lang w:eastAsia="en-US"/>
              </w:rPr>
            </w:pPr>
          </w:p>
        </w:tc>
        <w:tc>
          <w:tcPr>
            <w:tcW w:w="649" w:type="pct"/>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B65A3B">
            <w:pPr>
              <w:pStyle w:val="Tableheading0"/>
              <w:rPr>
                <w:rFonts w:ascii="Arial Narrow" w:hAnsi="Arial Narrow"/>
              </w:rPr>
            </w:pPr>
            <w:r w:rsidRPr="00EC6E05">
              <w:rPr>
                <w:rFonts w:ascii="Arial Narrow" w:hAnsi="Arial Narrow"/>
              </w:rPr>
              <w:t>AVE + AXI</w:t>
            </w:r>
          </w:p>
          <w:p w:rsidR="00B65A3B" w:rsidRPr="00EC6E05" w:rsidRDefault="00B65A3B" w:rsidP="00B65A3B">
            <w:pPr>
              <w:pStyle w:val="Tableheading0"/>
              <w:rPr>
                <w:rFonts w:ascii="Arial Narrow" w:hAnsi="Arial Narrow"/>
              </w:rPr>
            </w:pPr>
            <w:r w:rsidRPr="00EC6E05">
              <w:rPr>
                <w:rFonts w:ascii="Arial Narrow" w:hAnsi="Arial Narrow"/>
              </w:rPr>
              <w:t>N = 270</w:t>
            </w:r>
          </w:p>
        </w:tc>
        <w:tc>
          <w:tcPr>
            <w:tcW w:w="649" w:type="pct"/>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B65A3B">
            <w:pPr>
              <w:pStyle w:val="Tableheading0"/>
              <w:rPr>
                <w:rFonts w:ascii="Arial Narrow" w:hAnsi="Arial Narrow"/>
              </w:rPr>
            </w:pPr>
            <w:r w:rsidRPr="00EC6E05">
              <w:rPr>
                <w:rFonts w:ascii="Arial Narrow" w:hAnsi="Arial Narrow"/>
              </w:rPr>
              <w:t>SUN</w:t>
            </w:r>
          </w:p>
          <w:p w:rsidR="00B65A3B" w:rsidRPr="00EC6E05" w:rsidRDefault="00B65A3B" w:rsidP="00B65A3B">
            <w:pPr>
              <w:pStyle w:val="Tableheading0"/>
              <w:rPr>
                <w:rFonts w:ascii="Arial Narrow" w:hAnsi="Arial Narrow"/>
              </w:rPr>
            </w:pPr>
            <w:r w:rsidRPr="00EC6E05">
              <w:rPr>
                <w:rFonts w:ascii="Arial Narrow" w:hAnsi="Arial Narrow"/>
              </w:rPr>
              <w:t>N = 290</w:t>
            </w:r>
          </w:p>
        </w:tc>
        <w:tc>
          <w:tcPr>
            <w:tcW w:w="649" w:type="pct"/>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B65A3B">
            <w:pPr>
              <w:pStyle w:val="Tableheading0"/>
              <w:rPr>
                <w:rFonts w:ascii="Arial Narrow" w:hAnsi="Arial Narrow"/>
              </w:rPr>
            </w:pPr>
            <w:r w:rsidRPr="00EC6E05">
              <w:rPr>
                <w:rFonts w:ascii="Arial Narrow" w:hAnsi="Arial Narrow"/>
              </w:rPr>
              <w:t>AVE + AXI</w:t>
            </w:r>
          </w:p>
          <w:p w:rsidR="00B65A3B" w:rsidRPr="00EC6E05" w:rsidRDefault="00B65A3B" w:rsidP="00B65A3B">
            <w:pPr>
              <w:pStyle w:val="Tableheading0"/>
              <w:rPr>
                <w:rFonts w:ascii="Arial Narrow" w:hAnsi="Arial Narrow"/>
              </w:rPr>
            </w:pPr>
            <w:r w:rsidRPr="00EC6E05">
              <w:rPr>
                <w:rFonts w:ascii="Arial Narrow" w:hAnsi="Arial Narrow"/>
              </w:rPr>
              <w:t>N = 442</w:t>
            </w:r>
          </w:p>
        </w:tc>
        <w:tc>
          <w:tcPr>
            <w:tcW w:w="649" w:type="pct"/>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B65A3B">
            <w:pPr>
              <w:pStyle w:val="Tableheading0"/>
              <w:rPr>
                <w:rFonts w:ascii="Arial Narrow" w:hAnsi="Arial Narrow"/>
              </w:rPr>
            </w:pPr>
            <w:r w:rsidRPr="00EC6E05">
              <w:rPr>
                <w:rFonts w:ascii="Arial Narrow" w:hAnsi="Arial Narrow"/>
              </w:rPr>
              <w:t>SUN</w:t>
            </w:r>
          </w:p>
          <w:p w:rsidR="00B65A3B" w:rsidRPr="00EC6E05" w:rsidRDefault="00B65A3B" w:rsidP="00B65A3B">
            <w:pPr>
              <w:pStyle w:val="Tableheading0"/>
              <w:rPr>
                <w:rFonts w:ascii="Arial Narrow" w:hAnsi="Arial Narrow"/>
              </w:rPr>
            </w:pPr>
            <w:r w:rsidRPr="00EC6E05">
              <w:rPr>
                <w:rFonts w:ascii="Arial Narrow" w:hAnsi="Arial Narrow"/>
              </w:rPr>
              <w:t>N = 444</w:t>
            </w:r>
          </w:p>
        </w:tc>
        <w:tc>
          <w:tcPr>
            <w:tcW w:w="680" w:type="pct"/>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B65A3B">
            <w:pPr>
              <w:pStyle w:val="Tableheading0"/>
              <w:rPr>
                <w:rFonts w:ascii="Arial Narrow" w:hAnsi="Arial Narrow"/>
              </w:rPr>
            </w:pPr>
            <w:r w:rsidRPr="00EC6E05">
              <w:rPr>
                <w:rFonts w:ascii="Arial Narrow" w:hAnsi="Arial Narrow"/>
              </w:rPr>
              <w:t>NIVO + IPI</w:t>
            </w:r>
          </w:p>
          <w:p w:rsidR="00B65A3B" w:rsidRPr="00EC6E05" w:rsidRDefault="00B65A3B" w:rsidP="00B65A3B">
            <w:pPr>
              <w:pStyle w:val="Tableheading0"/>
              <w:rPr>
                <w:rFonts w:ascii="Arial Narrow" w:hAnsi="Arial Narrow"/>
              </w:rPr>
            </w:pPr>
            <w:r w:rsidRPr="00EC6E05">
              <w:rPr>
                <w:rFonts w:ascii="Arial Narrow" w:hAnsi="Arial Narrow"/>
              </w:rPr>
              <w:t>N = 550</w:t>
            </w:r>
          </w:p>
        </w:tc>
        <w:tc>
          <w:tcPr>
            <w:tcW w:w="679" w:type="pct"/>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B65A3B">
            <w:pPr>
              <w:pStyle w:val="Tableheading0"/>
              <w:rPr>
                <w:rFonts w:ascii="Arial Narrow" w:hAnsi="Arial Narrow"/>
              </w:rPr>
            </w:pPr>
            <w:r w:rsidRPr="00EC6E05">
              <w:rPr>
                <w:rFonts w:ascii="Arial Narrow" w:hAnsi="Arial Narrow"/>
              </w:rPr>
              <w:t>SUN</w:t>
            </w:r>
          </w:p>
          <w:p w:rsidR="00B65A3B" w:rsidRPr="00EC6E05" w:rsidRDefault="00B65A3B" w:rsidP="00B65A3B">
            <w:pPr>
              <w:pStyle w:val="Tableheading0"/>
              <w:rPr>
                <w:rFonts w:ascii="Arial Narrow" w:hAnsi="Arial Narrow"/>
              </w:rPr>
            </w:pPr>
            <w:r w:rsidRPr="00EC6E05">
              <w:rPr>
                <w:rFonts w:ascii="Arial Narrow" w:hAnsi="Arial Narrow"/>
              </w:rPr>
              <w:t>N = 546</w:t>
            </w:r>
          </w:p>
        </w:tc>
      </w:tr>
      <w:tr w:rsidR="00B65A3B" w:rsidRPr="00EC6E05" w:rsidTr="00B65A3B">
        <w:trPr>
          <w:trHeight w:val="244"/>
        </w:trPr>
        <w:tc>
          <w:tcPr>
            <w:tcW w:w="1046" w:type="pct"/>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B65A3B">
            <w:pPr>
              <w:pStyle w:val="Tabletext"/>
              <w:rPr>
                <w:szCs w:val="20"/>
              </w:rPr>
            </w:pPr>
            <w:r w:rsidRPr="00EC6E05">
              <w:rPr>
                <w:szCs w:val="20"/>
              </w:rPr>
              <w:t>Events, n (%)</w:t>
            </w:r>
          </w:p>
        </w:tc>
        <w:tc>
          <w:tcPr>
            <w:tcW w:w="649" w:type="pct"/>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B65A3B">
            <w:pPr>
              <w:pStyle w:val="Tablecentre"/>
              <w:rPr>
                <w:rFonts w:ascii="Arial Narrow" w:hAnsi="Arial Narrow"/>
              </w:rPr>
            </w:pPr>
            <w:r w:rsidRPr="00EC6E05">
              <w:rPr>
                <w:rFonts w:ascii="Arial Narrow" w:hAnsi="Arial Narrow"/>
              </w:rPr>
              <w:t>138 (51.1)</w:t>
            </w:r>
          </w:p>
        </w:tc>
        <w:tc>
          <w:tcPr>
            <w:tcW w:w="649" w:type="pct"/>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B65A3B">
            <w:pPr>
              <w:pStyle w:val="Tablecentre"/>
              <w:rPr>
                <w:rFonts w:ascii="Arial Narrow" w:hAnsi="Arial Narrow"/>
              </w:rPr>
            </w:pPr>
            <w:r w:rsidRPr="00EC6E05">
              <w:rPr>
                <w:rFonts w:ascii="Arial Narrow" w:hAnsi="Arial Narrow"/>
              </w:rPr>
              <w:t>171 (59.0)</w:t>
            </w:r>
          </w:p>
        </w:tc>
        <w:tc>
          <w:tcPr>
            <w:tcW w:w="649" w:type="pct"/>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B65A3B">
            <w:pPr>
              <w:pStyle w:val="Tablecentre"/>
              <w:rPr>
                <w:rFonts w:ascii="Arial Narrow" w:hAnsi="Arial Narrow"/>
              </w:rPr>
            </w:pPr>
            <w:r w:rsidRPr="00EC6E05">
              <w:rPr>
                <w:rFonts w:ascii="Arial Narrow" w:hAnsi="Arial Narrow"/>
              </w:rPr>
              <w:t>229 (51.8)</w:t>
            </w:r>
          </w:p>
        </w:tc>
        <w:tc>
          <w:tcPr>
            <w:tcW w:w="649" w:type="pct"/>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B65A3B">
            <w:pPr>
              <w:pStyle w:val="Tablecentre"/>
              <w:rPr>
                <w:rFonts w:ascii="Arial Narrow" w:hAnsi="Arial Narrow"/>
              </w:rPr>
            </w:pPr>
            <w:r w:rsidRPr="00EC6E05">
              <w:rPr>
                <w:rFonts w:ascii="Arial Narrow" w:hAnsi="Arial Narrow"/>
              </w:rPr>
              <w:t>258 (58.1)</w:t>
            </w:r>
          </w:p>
        </w:tc>
        <w:tc>
          <w:tcPr>
            <w:tcW w:w="680" w:type="pct"/>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B65A3B">
            <w:pPr>
              <w:pStyle w:val="Tablecentre"/>
              <w:rPr>
                <w:rFonts w:ascii="Arial Narrow" w:hAnsi="Arial Narrow"/>
                <w:iCs/>
              </w:rPr>
            </w:pPr>
            <w:r w:rsidRPr="00EC6E05">
              <w:rPr>
                <w:rFonts w:ascii="Arial Narrow" w:hAnsi="Arial Narrow"/>
                <w:iCs/>
              </w:rPr>
              <w:t>296 (53.8)</w:t>
            </w:r>
          </w:p>
        </w:tc>
        <w:tc>
          <w:tcPr>
            <w:tcW w:w="679" w:type="pct"/>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B65A3B">
            <w:pPr>
              <w:pStyle w:val="Tablecentre"/>
              <w:rPr>
                <w:rFonts w:ascii="Arial Narrow" w:hAnsi="Arial Narrow"/>
                <w:iCs/>
              </w:rPr>
            </w:pPr>
            <w:r w:rsidRPr="00EC6E05">
              <w:rPr>
                <w:rFonts w:ascii="Arial Narrow" w:hAnsi="Arial Narrow"/>
                <w:iCs/>
              </w:rPr>
              <w:t>271 (49.6)</w:t>
            </w:r>
          </w:p>
        </w:tc>
      </w:tr>
      <w:tr w:rsidR="00B65A3B" w:rsidRPr="00EC6E05" w:rsidTr="00B65A3B">
        <w:trPr>
          <w:trHeight w:val="244"/>
        </w:trPr>
        <w:tc>
          <w:tcPr>
            <w:tcW w:w="1046" w:type="pct"/>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B65A3B">
            <w:pPr>
              <w:pStyle w:val="Tabletext"/>
              <w:rPr>
                <w:szCs w:val="20"/>
              </w:rPr>
            </w:pPr>
            <w:r w:rsidRPr="00EC6E05">
              <w:rPr>
                <w:szCs w:val="20"/>
              </w:rPr>
              <w:t>Median (95% CI), months</w:t>
            </w:r>
          </w:p>
        </w:tc>
        <w:tc>
          <w:tcPr>
            <w:tcW w:w="649" w:type="pct"/>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B65A3B">
            <w:pPr>
              <w:pStyle w:val="Tablecentre"/>
              <w:rPr>
                <w:rFonts w:ascii="Arial Narrow" w:hAnsi="Arial Narrow"/>
              </w:rPr>
            </w:pPr>
            <w:r w:rsidRPr="00EC6E05">
              <w:rPr>
                <w:rFonts w:ascii="Arial Narrow" w:hAnsi="Arial Narrow"/>
              </w:rPr>
              <w:t xml:space="preserve">13.8 </w:t>
            </w:r>
          </w:p>
          <w:p w:rsidR="00B65A3B" w:rsidRPr="00EC6E05" w:rsidRDefault="00B65A3B" w:rsidP="00B65A3B">
            <w:pPr>
              <w:pStyle w:val="Tablecentre"/>
              <w:rPr>
                <w:rFonts w:ascii="Arial Narrow" w:hAnsi="Arial Narrow"/>
              </w:rPr>
            </w:pPr>
            <w:r w:rsidRPr="00EC6E05">
              <w:rPr>
                <w:rFonts w:ascii="Arial Narrow" w:hAnsi="Arial Narrow"/>
              </w:rPr>
              <w:t>(10.1, 20.7)</w:t>
            </w:r>
          </w:p>
        </w:tc>
        <w:tc>
          <w:tcPr>
            <w:tcW w:w="649" w:type="pct"/>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B65A3B">
            <w:pPr>
              <w:pStyle w:val="Tablecentre"/>
              <w:rPr>
                <w:rFonts w:ascii="Arial Narrow" w:hAnsi="Arial Narrow"/>
              </w:rPr>
            </w:pPr>
            <w:r w:rsidRPr="00EC6E05">
              <w:rPr>
                <w:rFonts w:ascii="Arial Narrow" w:hAnsi="Arial Narrow"/>
              </w:rPr>
              <w:t xml:space="preserve">7.0 </w:t>
            </w:r>
          </w:p>
          <w:p w:rsidR="00B65A3B" w:rsidRPr="00EC6E05" w:rsidRDefault="00B65A3B" w:rsidP="00B65A3B">
            <w:pPr>
              <w:pStyle w:val="Tablecentre"/>
              <w:rPr>
                <w:rFonts w:ascii="Arial Narrow" w:hAnsi="Arial Narrow"/>
              </w:rPr>
            </w:pPr>
            <w:r w:rsidRPr="00EC6E05">
              <w:rPr>
                <w:rFonts w:ascii="Arial Narrow" w:hAnsi="Arial Narrow"/>
              </w:rPr>
              <w:t>(5.7, 9.6)</w:t>
            </w:r>
          </w:p>
        </w:tc>
        <w:tc>
          <w:tcPr>
            <w:tcW w:w="649" w:type="pct"/>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B65A3B">
            <w:pPr>
              <w:jc w:val="center"/>
              <w:rPr>
                <w:rFonts w:ascii="Arial Narrow" w:hAnsi="Arial Narrow"/>
                <w:sz w:val="20"/>
                <w:szCs w:val="20"/>
              </w:rPr>
            </w:pPr>
            <w:r w:rsidRPr="00EC6E05">
              <w:rPr>
                <w:rFonts w:ascii="Arial Narrow" w:hAnsi="Arial Narrow"/>
                <w:sz w:val="20"/>
                <w:szCs w:val="20"/>
              </w:rPr>
              <w:t xml:space="preserve">13.3 </w:t>
            </w:r>
          </w:p>
          <w:p w:rsidR="00B65A3B" w:rsidRPr="00EC6E05" w:rsidRDefault="00B65A3B" w:rsidP="00B65A3B">
            <w:pPr>
              <w:jc w:val="center"/>
              <w:rPr>
                <w:rFonts w:ascii="Arial Narrow" w:hAnsi="Arial Narrow"/>
                <w:sz w:val="20"/>
                <w:szCs w:val="20"/>
              </w:rPr>
            </w:pPr>
            <w:r w:rsidRPr="00EC6E05">
              <w:rPr>
                <w:rFonts w:ascii="Arial Narrow" w:hAnsi="Arial Narrow"/>
                <w:sz w:val="20"/>
                <w:szCs w:val="20"/>
              </w:rPr>
              <w:t>(11.1, 15.3)</w:t>
            </w:r>
          </w:p>
        </w:tc>
        <w:tc>
          <w:tcPr>
            <w:tcW w:w="649" w:type="pct"/>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B65A3B">
            <w:pPr>
              <w:jc w:val="center"/>
              <w:rPr>
                <w:rFonts w:ascii="Arial Narrow" w:hAnsi="Arial Narrow"/>
                <w:sz w:val="20"/>
                <w:szCs w:val="20"/>
              </w:rPr>
            </w:pPr>
            <w:r w:rsidRPr="00EC6E05">
              <w:rPr>
                <w:rFonts w:ascii="Arial Narrow" w:hAnsi="Arial Narrow"/>
                <w:sz w:val="20"/>
                <w:szCs w:val="20"/>
              </w:rPr>
              <w:t xml:space="preserve">8.0 </w:t>
            </w:r>
          </w:p>
          <w:p w:rsidR="00B65A3B" w:rsidRPr="00EC6E05" w:rsidRDefault="00B65A3B" w:rsidP="00B65A3B">
            <w:pPr>
              <w:jc w:val="center"/>
              <w:rPr>
                <w:rFonts w:ascii="Arial Narrow" w:hAnsi="Arial Narrow"/>
                <w:sz w:val="20"/>
                <w:szCs w:val="20"/>
              </w:rPr>
            </w:pPr>
            <w:r w:rsidRPr="00EC6E05">
              <w:rPr>
                <w:rFonts w:ascii="Arial Narrow" w:hAnsi="Arial Narrow"/>
                <w:sz w:val="20"/>
                <w:szCs w:val="20"/>
              </w:rPr>
              <w:t>(6.7, 9.8)</w:t>
            </w:r>
          </w:p>
        </w:tc>
        <w:tc>
          <w:tcPr>
            <w:tcW w:w="680" w:type="pct"/>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B65A3B">
            <w:pPr>
              <w:jc w:val="center"/>
              <w:rPr>
                <w:rFonts w:ascii="Arial Narrow" w:hAnsi="Arial Narrow"/>
                <w:sz w:val="20"/>
                <w:szCs w:val="20"/>
              </w:rPr>
            </w:pPr>
            <w:r w:rsidRPr="00EC6E05">
              <w:rPr>
                <w:rFonts w:ascii="Arial Narrow" w:hAnsi="Arial Narrow"/>
                <w:sz w:val="20"/>
                <w:szCs w:val="20"/>
              </w:rPr>
              <w:t xml:space="preserve">12.4 </w:t>
            </w:r>
          </w:p>
          <w:p w:rsidR="00B65A3B" w:rsidRPr="00EC6E05" w:rsidRDefault="00B65A3B" w:rsidP="00B65A3B">
            <w:pPr>
              <w:jc w:val="center"/>
              <w:rPr>
                <w:rFonts w:ascii="Arial Narrow" w:hAnsi="Arial Narrow"/>
                <w:sz w:val="20"/>
                <w:szCs w:val="20"/>
              </w:rPr>
            </w:pPr>
            <w:r w:rsidRPr="00EC6E05">
              <w:rPr>
                <w:rFonts w:ascii="Arial Narrow" w:hAnsi="Arial Narrow"/>
                <w:sz w:val="20"/>
                <w:szCs w:val="20"/>
              </w:rPr>
              <w:t>(9.9, 16.5)</w:t>
            </w:r>
          </w:p>
        </w:tc>
        <w:tc>
          <w:tcPr>
            <w:tcW w:w="679" w:type="pct"/>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B65A3B">
            <w:pPr>
              <w:jc w:val="center"/>
              <w:rPr>
                <w:rFonts w:ascii="Arial Narrow" w:hAnsi="Arial Narrow"/>
                <w:sz w:val="20"/>
                <w:szCs w:val="20"/>
              </w:rPr>
            </w:pPr>
            <w:r w:rsidRPr="00EC6E05">
              <w:rPr>
                <w:rFonts w:ascii="Arial Narrow" w:hAnsi="Arial Narrow"/>
                <w:sz w:val="20"/>
                <w:szCs w:val="20"/>
              </w:rPr>
              <w:t xml:space="preserve">12.3 </w:t>
            </w:r>
          </w:p>
          <w:p w:rsidR="00B65A3B" w:rsidRPr="00EC6E05" w:rsidRDefault="00B65A3B" w:rsidP="00B65A3B">
            <w:pPr>
              <w:jc w:val="center"/>
              <w:rPr>
                <w:rFonts w:ascii="Arial Narrow" w:hAnsi="Arial Narrow"/>
                <w:sz w:val="20"/>
                <w:szCs w:val="20"/>
              </w:rPr>
            </w:pPr>
            <w:r w:rsidRPr="00EC6E05">
              <w:rPr>
                <w:rFonts w:ascii="Arial Narrow" w:hAnsi="Arial Narrow"/>
                <w:sz w:val="20"/>
                <w:szCs w:val="20"/>
              </w:rPr>
              <w:t>(9.8, 15.2)</w:t>
            </w:r>
          </w:p>
        </w:tc>
      </w:tr>
      <w:tr w:rsidR="00B65A3B" w:rsidRPr="00EC6E05" w:rsidTr="00B65A3B">
        <w:trPr>
          <w:trHeight w:val="244"/>
        </w:trPr>
        <w:tc>
          <w:tcPr>
            <w:tcW w:w="1046" w:type="pct"/>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B65A3B">
            <w:pPr>
              <w:pStyle w:val="Tabletext"/>
              <w:ind w:right="-92"/>
              <w:rPr>
                <w:szCs w:val="20"/>
              </w:rPr>
            </w:pPr>
            <w:r w:rsidRPr="00EC6E05">
              <w:rPr>
                <w:szCs w:val="20"/>
              </w:rPr>
              <w:t>Difference in median PFS, months</w:t>
            </w:r>
          </w:p>
        </w:tc>
        <w:tc>
          <w:tcPr>
            <w:tcW w:w="1298" w:type="pct"/>
            <w:gridSpan w:val="2"/>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B65A3B">
            <w:pPr>
              <w:pStyle w:val="Tablecentre"/>
              <w:rPr>
                <w:rFonts w:ascii="Arial Narrow" w:hAnsi="Arial Narrow"/>
              </w:rPr>
            </w:pPr>
            <w:r w:rsidRPr="00EC6E05">
              <w:rPr>
                <w:rFonts w:ascii="Arial Narrow" w:hAnsi="Arial Narrow"/>
              </w:rPr>
              <w:t>6.8</w:t>
            </w:r>
          </w:p>
        </w:tc>
        <w:tc>
          <w:tcPr>
            <w:tcW w:w="1298" w:type="pct"/>
            <w:gridSpan w:val="2"/>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B65A3B">
            <w:pPr>
              <w:jc w:val="center"/>
              <w:rPr>
                <w:rFonts w:ascii="Arial Narrow" w:hAnsi="Arial Narrow"/>
                <w:sz w:val="20"/>
                <w:szCs w:val="20"/>
              </w:rPr>
            </w:pPr>
            <w:r w:rsidRPr="00EC6E05">
              <w:rPr>
                <w:rFonts w:ascii="Arial Narrow" w:hAnsi="Arial Narrow"/>
                <w:sz w:val="20"/>
                <w:szCs w:val="20"/>
              </w:rPr>
              <w:t>5.3</w:t>
            </w:r>
          </w:p>
        </w:tc>
        <w:tc>
          <w:tcPr>
            <w:tcW w:w="1359" w:type="pct"/>
            <w:gridSpan w:val="2"/>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B65A3B">
            <w:pPr>
              <w:jc w:val="center"/>
              <w:rPr>
                <w:rFonts w:ascii="Arial Narrow" w:hAnsi="Arial Narrow"/>
                <w:sz w:val="20"/>
                <w:szCs w:val="20"/>
              </w:rPr>
            </w:pPr>
            <w:r w:rsidRPr="00EC6E05">
              <w:rPr>
                <w:rFonts w:ascii="Arial Narrow" w:hAnsi="Arial Narrow"/>
                <w:sz w:val="20"/>
                <w:szCs w:val="20"/>
              </w:rPr>
              <w:t>0.1</w:t>
            </w:r>
          </w:p>
        </w:tc>
      </w:tr>
      <w:tr w:rsidR="00B65A3B" w:rsidRPr="00EC6E05" w:rsidTr="00B65A3B">
        <w:trPr>
          <w:trHeight w:val="244"/>
        </w:trPr>
        <w:tc>
          <w:tcPr>
            <w:tcW w:w="1046" w:type="pct"/>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594270">
            <w:pPr>
              <w:pStyle w:val="Tableheading0"/>
              <w:jc w:val="left"/>
              <w:rPr>
                <w:rFonts w:ascii="Arial Narrow" w:hAnsi="Arial Narrow"/>
                <w:b w:val="0"/>
                <w:bCs/>
              </w:rPr>
            </w:pPr>
            <w:r w:rsidRPr="00EC6E05">
              <w:rPr>
                <w:rFonts w:ascii="Arial Narrow" w:hAnsi="Arial Narrow"/>
                <w:b w:val="0"/>
                <w:bCs/>
              </w:rPr>
              <w:t xml:space="preserve">HR (95% CI) </w:t>
            </w:r>
          </w:p>
        </w:tc>
        <w:tc>
          <w:tcPr>
            <w:tcW w:w="1298" w:type="pct"/>
            <w:gridSpan w:val="2"/>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B65A3B">
            <w:pPr>
              <w:pStyle w:val="Tablecentre"/>
              <w:rPr>
                <w:rFonts w:ascii="Arial Narrow" w:hAnsi="Arial Narrow"/>
                <w:b/>
              </w:rPr>
            </w:pPr>
            <w:r w:rsidRPr="00EC6E05">
              <w:rPr>
                <w:rFonts w:ascii="Arial Narrow" w:hAnsi="Arial Narrow"/>
                <w:b/>
              </w:rPr>
              <w:t xml:space="preserve">0.62 </w:t>
            </w:r>
          </w:p>
          <w:p w:rsidR="00B65A3B" w:rsidRPr="00EC6E05" w:rsidRDefault="00B65A3B" w:rsidP="00B65A3B">
            <w:pPr>
              <w:pStyle w:val="Tablecentre"/>
              <w:rPr>
                <w:rFonts w:ascii="Arial Narrow" w:hAnsi="Arial Narrow"/>
                <w:b/>
              </w:rPr>
            </w:pPr>
            <w:r w:rsidRPr="00EC6E05">
              <w:rPr>
                <w:rFonts w:ascii="Arial Narrow" w:hAnsi="Arial Narrow"/>
                <w:b/>
              </w:rPr>
              <w:t>(0.490, 0.777)</w:t>
            </w:r>
          </w:p>
        </w:tc>
        <w:tc>
          <w:tcPr>
            <w:tcW w:w="1298" w:type="pct"/>
            <w:gridSpan w:val="2"/>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B65A3B">
            <w:pPr>
              <w:jc w:val="center"/>
              <w:rPr>
                <w:rFonts w:ascii="Arial Narrow" w:hAnsi="Arial Narrow"/>
                <w:b/>
                <w:sz w:val="20"/>
                <w:szCs w:val="20"/>
              </w:rPr>
            </w:pPr>
            <w:r w:rsidRPr="00EC6E05">
              <w:rPr>
                <w:rFonts w:ascii="Arial Narrow" w:hAnsi="Arial Narrow"/>
                <w:b/>
                <w:sz w:val="20"/>
                <w:szCs w:val="20"/>
              </w:rPr>
              <w:t xml:space="preserve">0.69 </w:t>
            </w:r>
          </w:p>
          <w:p w:rsidR="00B65A3B" w:rsidRPr="00EC6E05" w:rsidRDefault="00B65A3B" w:rsidP="00B65A3B">
            <w:pPr>
              <w:jc w:val="center"/>
              <w:rPr>
                <w:rFonts w:ascii="Arial Narrow" w:hAnsi="Arial Narrow"/>
                <w:b/>
                <w:sz w:val="20"/>
                <w:szCs w:val="20"/>
              </w:rPr>
            </w:pPr>
            <w:r w:rsidRPr="00EC6E05">
              <w:rPr>
                <w:rFonts w:ascii="Arial Narrow" w:hAnsi="Arial Narrow"/>
                <w:b/>
                <w:sz w:val="20"/>
                <w:szCs w:val="20"/>
              </w:rPr>
              <w:t>(0.574, 0.825)</w:t>
            </w:r>
          </w:p>
        </w:tc>
        <w:tc>
          <w:tcPr>
            <w:tcW w:w="1359" w:type="pct"/>
            <w:gridSpan w:val="2"/>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B65A3B">
            <w:pPr>
              <w:jc w:val="center"/>
              <w:rPr>
                <w:rFonts w:ascii="Arial Narrow" w:hAnsi="Arial Narrow"/>
                <w:sz w:val="20"/>
                <w:szCs w:val="20"/>
              </w:rPr>
            </w:pPr>
            <w:r w:rsidRPr="00EC6E05">
              <w:rPr>
                <w:rFonts w:ascii="Arial Narrow" w:hAnsi="Arial Narrow"/>
                <w:sz w:val="20"/>
                <w:szCs w:val="20"/>
              </w:rPr>
              <w:t xml:space="preserve">0.98 </w:t>
            </w:r>
          </w:p>
          <w:p w:rsidR="00B65A3B" w:rsidRPr="00EC6E05" w:rsidRDefault="00B65A3B" w:rsidP="00B65A3B">
            <w:pPr>
              <w:jc w:val="center"/>
              <w:rPr>
                <w:rFonts w:ascii="Arial Narrow" w:hAnsi="Arial Narrow"/>
                <w:sz w:val="20"/>
                <w:szCs w:val="20"/>
                <w:vertAlign w:val="superscript"/>
              </w:rPr>
            </w:pPr>
            <w:r w:rsidRPr="00EC6E05">
              <w:rPr>
                <w:rFonts w:ascii="Arial Narrow" w:hAnsi="Arial Narrow"/>
                <w:sz w:val="20"/>
                <w:szCs w:val="20"/>
              </w:rPr>
              <w:t>(0.79, 1.23)</w:t>
            </w:r>
            <w:r w:rsidRPr="00EC6E05">
              <w:rPr>
                <w:rFonts w:ascii="Arial Narrow" w:hAnsi="Arial Narrow"/>
                <w:sz w:val="20"/>
                <w:szCs w:val="20"/>
                <w:vertAlign w:val="superscript"/>
              </w:rPr>
              <w:t xml:space="preserve"> </w:t>
            </w:r>
            <w:r w:rsidR="00594270" w:rsidRPr="00EC6E05">
              <w:rPr>
                <w:rFonts w:ascii="Arial Narrow" w:hAnsi="Arial Narrow"/>
                <w:bCs/>
                <w:vertAlign w:val="superscript"/>
              </w:rPr>
              <w:t>d</w:t>
            </w:r>
          </w:p>
        </w:tc>
      </w:tr>
      <w:tr w:rsidR="00B65A3B" w:rsidRPr="00EC6E05" w:rsidTr="00B65A3B">
        <w:trPr>
          <w:trHeight w:val="244"/>
        </w:trPr>
        <w:tc>
          <w:tcPr>
            <w:tcW w:w="1046" w:type="pct"/>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B65A3B">
            <w:pPr>
              <w:pStyle w:val="Tableheading0"/>
              <w:jc w:val="left"/>
              <w:rPr>
                <w:rFonts w:ascii="Arial Narrow" w:hAnsi="Arial Narrow"/>
                <w:b w:val="0"/>
                <w:bCs/>
              </w:rPr>
            </w:pPr>
            <w:r w:rsidRPr="00EC6E05">
              <w:rPr>
                <w:rFonts w:ascii="Arial Narrow" w:hAnsi="Arial Narrow"/>
                <w:b w:val="0"/>
                <w:bCs/>
              </w:rPr>
              <w:t>p-value</w:t>
            </w:r>
          </w:p>
        </w:tc>
        <w:tc>
          <w:tcPr>
            <w:tcW w:w="1298" w:type="pct"/>
            <w:gridSpan w:val="2"/>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B65A3B">
            <w:pPr>
              <w:pStyle w:val="Tablecentre"/>
              <w:rPr>
                <w:rFonts w:ascii="Arial Narrow" w:hAnsi="Arial Narrow"/>
              </w:rPr>
            </w:pPr>
            <w:r w:rsidRPr="00EC6E05">
              <w:rPr>
                <w:rFonts w:ascii="Arial Narrow" w:hAnsi="Arial Narrow"/>
              </w:rPr>
              <w:t>&lt; 0.0001</w:t>
            </w:r>
          </w:p>
        </w:tc>
        <w:tc>
          <w:tcPr>
            <w:tcW w:w="1298" w:type="pct"/>
            <w:gridSpan w:val="2"/>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B65A3B">
            <w:pPr>
              <w:jc w:val="center"/>
              <w:rPr>
                <w:rFonts w:ascii="Arial Narrow" w:hAnsi="Arial Narrow"/>
                <w:sz w:val="20"/>
                <w:szCs w:val="20"/>
              </w:rPr>
            </w:pPr>
            <w:r w:rsidRPr="00EC6E05">
              <w:rPr>
                <w:rFonts w:ascii="Arial Narrow" w:hAnsi="Arial Narrow"/>
                <w:sz w:val="20"/>
                <w:szCs w:val="20"/>
              </w:rPr>
              <w:t>&lt; 0.0001</w:t>
            </w:r>
          </w:p>
        </w:tc>
        <w:tc>
          <w:tcPr>
            <w:tcW w:w="1359" w:type="pct"/>
            <w:gridSpan w:val="2"/>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B65A3B">
            <w:pPr>
              <w:jc w:val="center"/>
              <w:rPr>
                <w:rFonts w:ascii="Arial Narrow" w:hAnsi="Arial Narrow"/>
                <w:sz w:val="20"/>
                <w:szCs w:val="20"/>
              </w:rPr>
            </w:pPr>
            <w:r w:rsidRPr="00EC6E05">
              <w:rPr>
                <w:rFonts w:ascii="Arial Narrow" w:hAnsi="Arial Narrow"/>
                <w:sz w:val="20"/>
                <w:szCs w:val="20"/>
              </w:rPr>
              <w:t>0.85</w:t>
            </w:r>
          </w:p>
        </w:tc>
      </w:tr>
    </w:tbl>
    <w:p w:rsidR="00B65A3B" w:rsidRPr="00EC6E05" w:rsidRDefault="00B65A3B" w:rsidP="00B65A3B">
      <w:pPr>
        <w:pStyle w:val="Source"/>
        <w:keepNext/>
        <w:rPr>
          <w:rFonts w:ascii="Arial Narrow" w:hAnsi="Arial Narrow"/>
        </w:rPr>
      </w:pPr>
      <w:r w:rsidRPr="00EC6E05">
        <w:rPr>
          <w:rFonts w:ascii="Arial Narrow" w:hAnsi="Arial Narrow"/>
        </w:rPr>
        <w:t xml:space="preserve">Source: Compiled during evaluation; Table 2.5-1 p68 and Table 2.5-6 p79 of the Submission; p1376, </w:t>
      </w:r>
      <w:proofErr w:type="spellStart"/>
      <w:r w:rsidRPr="00EC6E05">
        <w:rPr>
          <w:rFonts w:ascii="Arial Narrow" w:hAnsi="Arial Narrow"/>
        </w:rPr>
        <w:t>CheckMate</w:t>
      </w:r>
      <w:proofErr w:type="spellEnd"/>
      <w:r w:rsidRPr="00EC6E05">
        <w:rPr>
          <w:rFonts w:ascii="Arial Narrow" w:hAnsi="Arial Narrow"/>
        </w:rPr>
        <w:t xml:space="preserve"> 214 Motzer 2019, Table 5 NIVO + IPI, PSD, July 2018 PBAC meeting.</w:t>
      </w:r>
      <w:r w:rsidRPr="00EC6E05">
        <w:rPr>
          <w:rFonts w:ascii="Arial Narrow" w:hAnsi="Arial Narrow"/>
          <w:iCs/>
        </w:rPr>
        <w:t xml:space="preserve"> </w:t>
      </w:r>
    </w:p>
    <w:p w:rsidR="00B65A3B" w:rsidRPr="00EC6E05" w:rsidRDefault="00B65A3B" w:rsidP="00B65A3B">
      <w:pPr>
        <w:pStyle w:val="Source"/>
        <w:keepNext/>
        <w:rPr>
          <w:rFonts w:ascii="Arial Narrow" w:hAnsi="Arial Narrow"/>
          <w:szCs w:val="18"/>
        </w:rPr>
      </w:pPr>
      <w:r w:rsidRPr="00EC6E05">
        <w:rPr>
          <w:rFonts w:ascii="Arial Narrow" w:hAnsi="Arial Narrow"/>
        </w:rPr>
        <w:t xml:space="preserve">Abbreviations: </w:t>
      </w:r>
      <w:r w:rsidR="002E124D">
        <w:rPr>
          <w:rFonts w:ascii="Arial Narrow" w:hAnsi="Arial Narrow"/>
        </w:rPr>
        <w:t>AVE + AXI</w:t>
      </w:r>
      <w:r w:rsidRPr="00EC6E05">
        <w:rPr>
          <w:rFonts w:ascii="Arial Narrow" w:hAnsi="Arial Narrow"/>
        </w:rPr>
        <w:t xml:space="preserve"> = </w:t>
      </w:r>
      <w:proofErr w:type="spellStart"/>
      <w:r w:rsidRPr="00EC6E05">
        <w:rPr>
          <w:rFonts w:ascii="Arial Narrow" w:hAnsi="Arial Narrow"/>
        </w:rPr>
        <w:t>avelumab</w:t>
      </w:r>
      <w:proofErr w:type="spellEnd"/>
      <w:r w:rsidRPr="00EC6E05">
        <w:rPr>
          <w:rFonts w:ascii="Arial Narrow" w:hAnsi="Arial Narrow"/>
        </w:rPr>
        <w:t xml:space="preserve"> + </w:t>
      </w:r>
      <w:proofErr w:type="spellStart"/>
      <w:r w:rsidRPr="00EC6E05">
        <w:rPr>
          <w:rFonts w:ascii="Arial Narrow" w:hAnsi="Arial Narrow"/>
        </w:rPr>
        <w:t>axitinib</w:t>
      </w:r>
      <w:proofErr w:type="spellEnd"/>
      <w:r w:rsidRPr="00EC6E05">
        <w:rPr>
          <w:rFonts w:ascii="Arial Narrow" w:hAnsi="Arial Narrow"/>
        </w:rPr>
        <w:t xml:space="preserve">; CI = confidence interval; HR = hazard ratio; IA2 = second interim analysis; ITT = intention-to-treat; </w:t>
      </w:r>
      <w:r w:rsidR="002E124D">
        <w:rPr>
          <w:rFonts w:ascii="Arial Narrow" w:hAnsi="Arial Narrow"/>
        </w:rPr>
        <w:t>NIVO + IPI</w:t>
      </w:r>
      <w:r w:rsidRPr="00EC6E05">
        <w:rPr>
          <w:rFonts w:ascii="Arial Narrow" w:hAnsi="Arial Narrow"/>
        </w:rPr>
        <w:t xml:space="preserve"> = </w:t>
      </w:r>
      <w:proofErr w:type="spellStart"/>
      <w:r w:rsidRPr="00EC6E05">
        <w:rPr>
          <w:rFonts w:ascii="Arial Narrow" w:hAnsi="Arial Narrow"/>
        </w:rPr>
        <w:t>nivolumab</w:t>
      </w:r>
      <w:proofErr w:type="spellEnd"/>
      <w:r w:rsidRPr="00EC6E05">
        <w:rPr>
          <w:rFonts w:ascii="Arial Narrow" w:hAnsi="Arial Narrow"/>
        </w:rPr>
        <w:t xml:space="preserve"> + </w:t>
      </w:r>
      <w:proofErr w:type="spellStart"/>
      <w:r w:rsidRPr="00EC6E05">
        <w:rPr>
          <w:rFonts w:ascii="Arial Narrow" w:hAnsi="Arial Narrow"/>
        </w:rPr>
        <w:t>ipilimumab</w:t>
      </w:r>
      <w:proofErr w:type="spellEnd"/>
      <w:r w:rsidRPr="00EC6E05">
        <w:rPr>
          <w:rFonts w:ascii="Arial Narrow" w:hAnsi="Arial Narrow"/>
        </w:rPr>
        <w:t xml:space="preserve">; PD-L1 = programmed death ligand 1; PFS = </w:t>
      </w:r>
      <w:r w:rsidRPr="00EC6E05">
        <w:rPr>
          <w:rFonts w:ascii="Arial Narrow" w:hAnsi="Arial Narrow"/>
          <w:szCs w:val="18"/>
        </w:rPr>
        <w:t xml:space="preserve">progression free survival; SUN = </w:t>
      </w:r>
      <w:proofErr w:type="spellStart"/>
      <w:r w:rsidRPr="00EC6E05">
        <w:rPr>
          <w:rFonts w:ascii="Arial Narrow" w:hAnsi="Arial Narrow"/>
          <w:szCs w:val="18"/>
        </w:rPr>
        <w:t>sunitinib</w:t>
      </w:r>
      <w:proofErr w:type="spellEnd"/>
      <w:r w:rsidRPr="00EC6E05">
        <w:rPr>
          <w:rFonts w:ascii="Arial Narrow" w:hAnsi="Arial Narrow"/>
          <w:szCs w:val="18"/>
        </w:rPr>
        <w:t xml:space="preserve"> </w:t>
      </w:r>
    </w:p>
    <w:p w:rsidR="00B65A3B" w:rsidRPr="00EC6E05" w:rsidRDefault="00B65A3B" w:rsidP="00B65A3B">
      <w:pPr>
        <w:rPr>
          <w:rFonts w:ascii="Arial Narrow" w:hAnsi="Arial Narrow"/>
          <w:sz w:val="18"/>
          <w:szCs w:val="18"/>
        </w:rPr>
      </w:pPr>
      <w:proofErr w:type="gramStart"/>
      <w:r w:rsidRPr="00EC6E05">
        <w:rPr>
          <w:rFonts w:ascii="Arial Narrow" w:hAnsi="Arial Narrow"/>
          <w:sz w:val="18"/>
          <w:szCs w:val="18"/>
          <w:vertAlign w:val="superscript"/>
        </w:rPr>
        <w:t>a</w:t>
      </w:r>
      <w:proofErr w:type="gramEnd"/>
      <w:r w:rsidRPr="00EC6E05">
        <w:rPr>
          <w:rFonts w:ascii="Arial Narrow" w:hAnsi="Arial Narrow"/>
          <w:sz w:val="18"/>
          <w:szCs w:val="18"/>
        </w:rPr>
        <w:t xml:space="preserve"> Data cut off for IA2 was 28 January 2019, minimum duration of follow-up was 13 months, PFS was assessed by </w:t>
      </w:r>
      <w:r w:rsidR="00B27A72" w:rsidRPr="00EC6E05">
        <w:rPr>
          <w:rFonts w:ascii="Arial Narrow" w:hAnsi="Arial Narrow"/>
          <w:sz w:val="18"/>
          <w:szCs w:val="18"/>
        </w:rPr>
        <w:t>blinded independent central review (</w:t>
      </w:r>
      <w:r w:rsidRPr="00EC6E05">
        <w:rPr>
          <w:rFonts w:ascii="Arial Narrow" w:hAnsi="Arial Narrow"/>
          <w:sz w:val="18"/>
          <w:szCs w:val="18"/>
        </w:rPr>
        <w:t>BICR</w:t>
      </w:r>
      <w:r w:rsidR="00B27A72" w:rsidRPr="00EC6E05">
        <w:rPr>
          <w:rFonts w:ascii="Arial Narrow" w:hAnsi="Arial Narrow"/>
          <w:sz w:val="18"/>
          <w:szCs w:val="18"/>
        </w:rPr>
        <w:t>)</w:t>
      </w:r>
      <w:r w:rsidRPr="00EC6E05">
        <w:rPr>
          <w:rFonts w:ascii="Arial Narrow" w:hAnsi="Arial Narrow"/>
          <w:sz w:val="18"/>
          <w:szCs w:val="18"/>
        </w:rPr>
        <w:t xml:space="preserve">. </w:t>
      </w:r>
    </w:p>
    <w:p w:rsidR="00B65A3B" w:rsidRPr="00EC6E05" w:rsidRDefault="00B65A3B" w:rsidP="00B65A3B">
      <w:pPr>
        <w:rPr>
          <w:rFonts w:ascii="Arial Narrow" w:hAnsi="Arial Narrow"/>
          <w:sz w:val="18"/>
          <w:szCs w:val="18"/>
        </w:rPr>
      </w:pPr>
      <w:proofErr w:type="gramStart"/>
      <w:r w:rsidRPr="00EC6E05">
        <w:rPr>
          <w:rFonts w:ascii="Arial Narrow" w:hAnsi="Arial Narrow"/>
          <w:sz w:val="18"/>
          <w:szCs w:val="18"/>
          <w:vertAlign w:val="superscript"/>
        </w:rPr>
        <w:t>b</w:t>
      </w:r>
      <w:proofErr w:type="gramEnd"/>
      <w:r w:rsidRPr="00EC6E05">
        <w:rPr>
          <w:rFonts w:ascii="Arial Narrow" w:hAnsi="Arial Narrow"/>
          <w:sz w:val="18"/>
          <w:szCs w:val="18"/>
        </w:rPr>
        <w:t xml:space="preserve"> Data cut off was 7 August 2017, minimum duration of follow-up was 17.5 months. </w:t>
      </w:r>
      <w:proofErr w:type="gramStart"/>
      <w:r w:rsidRPr="00EC6E05">
        <w:rPr>
          <w:rFonts w:ascii="Arial Narrow" w:hAnsi="Arial Narrow"/>
          <w:sz w:val="18"/>
          <w:szCs w:val="18"/>
        </w:rPr>
        <w:t xml:space="preserve">PFS was assessed by </w:t>
      </w:r>
      <w:r w:rsidR="00B27A72" w:rsidRPr="00EC6E05">
        <w:rPr>
          <w:rFonts w:ascii="Arial Narrow" w:hAnsi="Arial Narrow"/>
          <w:sz w:val="18"/>
          <w:szCs w:val="18"/>
        </w:rPr>
        <w:t>independent radiology review committee</w:t>
      </w:r>
      <w:proofErr w:type="gramEnd"/>
      <w:r w:rsidR="00B27A72" w:rsidRPr="00EC6E05">
        <w:rPr>
          <w:rFonts w:ascii="Arial Narrow" w:hAnsi="Arial Narrow"/>
          <w:sz w:val="18"/>
          <w:szCs w:val="18"/>
        </w:rPr>
        <w:t xml:space="preserve"> (</w:t>
      </w:r>
      <w:r w:rsidRPr="00EC6E05">
        <w:rPr>
          <w:rFonts w:ascii="Arial Narrow" w:hAnsi="Arial Narrow"/>
          <w:sz w:val="18"/>
          <w:szCs w:val="18"/>
        </w:rPr>
        <w:t>IRRC</w:t>
      </w:r>
      <w:r w:rsidR="00B27A72" w:rsidRPr="00EC6E05">
        <w:rPr>
          <w:rFonts w:ascii="Arial Narrow" w:hAnsi="Arial Narrow"/>
          <w:sz w:val="18"/>
          <w:szCs w:val="18"/>
        </w:rPr>
        <w:t>)</w:t>
      </w:r>
      <w:r w:rsidRPr="00EC6E05">
        <w:rPr>
          <w:rFonts w:ascii="Arial Narrow" w:hAnsi="Arial Narrow"/>
          <w:sz w:val="18"/>
          <w:szCs w:val="18"/>
        </w:rPr>
        <w:t xml:space="preserve">. </w:t>
      </w:r>
    </w:p>
    <w:p w:rsidR="00B65A3B" w:rsidRPr="00EC6E05" w:rsidRDefault="0012027A" w:rsidP="00B65A3B">
      <w:pPr>
        <w:pStyle w:val="Caption"/>
        <w:spacing w:after="0"/>
        <w:rPr>
          <w:rFonts w:ascii="Arial Narrow" w:hAnsi="Arial Narrow"/>
          <w:b w:val="0"/>
          <w:bCs w:val="0"/>
          <w:color w:val="auto"/>
        </w:rPr>
      </w:pPr>
      <w:proofErr w:type="gramStart"/>
      <w:r w:rsidRPr="00EC6E05">
        <w:rPr>
          <w:rFonts w:ascii="Arial Narrow" w:hAnsi="Arial Narrow"/>
          <w:b w:val="0"/>
          <w:bCs w:val="0"/>
          <w:color w:val="auto"/>
          <w:vertAlign w:val="superscript"/>
        </w:rPr>
        <w:t>c</w:t>
      </w:r>
      <w:proofErr w:type="gramEnd"/>
      <w:r w:rsidR="00B65A3B" w:rsidRPr="00EC6E05">
        <w:rPr>
          <w:rFonts w:ascii="Arial Narrow" w:hAnsi="Arial Narrow"/>
          <w:color w:val="auto"/>
        </w:rPr>
        <w:t xml:space="preserve"> </w:t>
      </w:r>
      <w:r w:rsidR="00B65A3B" w:rsidRPr="00EC6E05">
        <w:rPr>
          <w:rFonts w:ascii="Arial Narrow" w:hAnsi="Arial Narrow"/>
          <w:b w:val="0"/>
          <w:bCs w:val="0"/>
          <w:color w:val="auto"/>
        </w:rPr>
        <w:t xml:space="preserve">PD-L1 stratified PFS outcomes were not reported in </w:t>
      </w:r>
      <w:proofErr w:type="spellStart"/>
      <w:r w:rsidR="00B65A3B" w:rsidRPr="00EC6E05">
        <w:rPr>
          <w:rFonts w:ascii="Arial Narrow" w:hAnsi="Arial Narrow"/>
          <w:b w:val="0"/>
          <w:bCs w:val="0"/>
          <w:color w:val="auto"/>
        </w:rPr>
        <w:t>CheckMate</w:t>
      </w:r>
      <w:proofErr w:type="spellEnd"/>
      <w:r w:rsidR="00B65A3B" w:rsidRPr="00EC6E05">
        <w:rPr>
          <w:rFonts w:ascii="Arial Narrow" w:hAnsi="Arial Narrow"/>
          <w:b w:val="0"/>
          <w:bCs w:val="0"/>
          <w:color w:val="auto"/>
        </w:rPr>
        <w:t xml:space="preserve"> 214</w:t>
      </w:r>
    </w:p>
    <w:p w:rsidR="00B65A3B" w:rsidRPr="00EC6E05" w:rsidRDefault="0012027A" w:rsidP="00B65A3B">
      <w:pPr>
        <w:rPr>
          <w:rFonts w:ascii="Arial Narrow" w:hAnsi="Arial Narrow"/>
          <w:sz w:val="18"/>
          <w:szCs w:val="18"/>
        </w:rPr>
      </w:pPr>
      <w:proofErr w:type="gramStart"/>
      <w:r w:rsidRPr="00EC6E05">
        <w:rPr>
          <w:rFonts w:ascii="Arial Narrow" w:hAnsi="Arial Narrow"/>
          <w:sz w:val="18"/>
          <w:szCs w:val="18"/>
          <w:vertAlign w:val="superscript"/>
        </w:rPr>
        <w:lastRenderedPageBreak/>
        <w:t>d</w:t>
      </w:r>
      <w:proofErr w:type="gramEnd"/>
      <w:r w:rsidR="00B65A3B" w:rsidRPr="00EC6E05">
        <w:rPr>
          <w:rFonts w:ascii="Arial Narrow" w:hAnsi="Arial Narrow"/>
          <w:sz w:val="18"/>
          <w:szCs w:val="18"/>
        </w:rPr>
        <w:t xml:space="preserve"> </w:t>
      </w:r>
      <w:proofErr w:type="spellStart"/>
      <w:r w:rsidR="00B65A3B" w:rsidRPr="00EC6E05">
        <w:rPr>
          <w:rFonts w:ascii="Arial Narrow" w:hAnsi="Arial Narrow"/>
          <w:sz w:val="18"/>
          <w:szCs w:val="18"/>
        </w:rPr>
        <w:t>CheckMate</w:t>
      </w:r>
      <w:proofErr w:type="spellEnd"/>
      <w:r w:rsidR="00B65A3B" w:rsidRPr="00EC6E05">
        <w:rPr>
          <w:rFonts w:ascii="Arial Narrow" w:hAnsi="Arial Narrow"/>
          <w:sz w:val="18"/>
          <w:szCs w:val="18"/>
        </w:rPr>
        <w:t xml:space="preserve"> 214 presented the HR 99.1%CI at primary analysis. </w:t>
      </w:r>
    </w:p>
    <w:p w:rsidR="00EC0F10" w:rsidRPr="00EC6E05" w:rsidRDefault="00EC0F10" w:rsidP="00B65A3B">
      <w:pPr>
        <w:rPr>
          <w:rFonts w:ascii="Arial Narrow" w:hAnsi="Arial Narrow"/>
          <w:sz w:val="18"/>
          <w:szCs w:val="18"/>
        </w:rPr>
      </w:pPr>
      <w:r w:rsidRPr="00EC6E05">
        <w:rPr>
          <w:rFonts w:ascii="Arial Narrow" w:hAnsi="Arial Narrow"/>
          <w:sz w:val="18"/>
          <w:szCs w:val="18"/>
        </w:rPr>
        <w:t>Bold indicates statistical significance.</w:t>
      </w:r>
    </w:p>
    <w:bookmarkEnd w:id="23"/>
    <w:p w:rsidR="00B65A3B" w:rsidRPr="00EC6E05" w:rsidRDefault="00B65A3B" w:rsidP="00B65A3B"/>
    <w:p w:rsidR="00B65A3B" w:rsidRPr="00EC6E05" w:rsidRDefault="00B65A3B" w:rsidP="00BF2EA7">
      <w:pPr>
        <w:pStyle w:val="3-BodyText"/>
        <w:rPr>
          <w:color w:val="0066FF"/>
        </w:rPr>
      </w:pPr>
      <w:r w:rsidRPr="00EC6E05">
        <w:t>The Kaplan-Meier estimate</w:t>
      </w:r>
      <w:r w:rsidR="00DD0F95">
        <w:t>s</w:t>
      </w:r>
      <w:r w:rsidRPr="00EC6E05">
        <w:t xml:space="preserve"> for PFS in the ITT population </w:t>
      </w:r>
      <w:r w:rsidR="00DD0F95">
        <w:t>of</w:t>
      </w:r>
      <w:r w:rsidR="00DD0F95" w:rsidRPr="00EC6E05">
        <w:t xml:space="preserve"> </w:t>
      </w:r>
      <w:r w:rsidRPr="00EC6E05">
        <w:t xml:space="preserve">JAVELIN </w:t>
      </w:r>
      <w:proofErr w:type="gramStart"/>
      <w:r w:rsidRPr="00EC6E05">
        <w:t xml:space="preserve">is </w:t>
      </w:r>
      <w:r w:rsidRPr="00EC6E05">
        <w:rPr>
          <w:rFonts w:cstheme="minorHAnsi"/>
        </w:rPr>
        <w:t>presented</w:t>
      </w:r>
      <w:proofErr w:type="gramEnd"/>
      <w:r w:rsidRPr="00EC6E05">
        <w:rPr>
          <w:rFonts w:cstheme="minorHAnsi"/>
        </w:rPr>
        <w:t xml:space="preserve"> in Figure 2.</w:t>
      </w:r>
      <w:r w:rsidRPr="00EC6E05">
        <w:t xml:space="preserve"> Early separation of the Kaplan-Meier curves </w:t>
      </w:r>
      <w:proofErr w:type="gramStart"/>
      <w:r w:rsidRPr="00EC6E05">
        <w:t>was observed</w:t>
      </w:r>
      <w:proofErr w:type="gramEnd"/>
      <w:r w:rsidRPr="00EC6E05">
        <w:t xml:space="preserve"> between the AVE + AXI and </w:t>
      </w:r>
      <w:proofErr w:type="spellStart"/>
      <w:r w:rsidRPr="00EC6E05">
        <w:t>sunitinib</w:t>
      </w:r>
      <w:proofErr w:type="spellEnd"/>
      <w:r w:rsidRPr="00EC6E05">
        <w:t xml:space="preserve"> treatment arms for both patient populations. </w:t>
      </w:r>
      <w:r w:rsidR="001310D8" w:rsidRPr="00EC6E05">
        <w:t xml:space="preserve">Kaplan Meier estimates for the ITT population of </w:t>
      </w:r>
      <w:proofErr w:type="spellStart"/>
      <w:r w:rsidRPr="00EC6E05">
        <w:t>CheckMate</w:t>
      </w:r>
      <w:proofErr w:type="spellEnd"/>
      <w:r w:rsidRPr="00EC6E05">
        <w:t xml:space="preserve"> 214</w:t>
      </w:r>
      <w:r w:rsidR="001310D8" w:rsidRPr="00EC6E05">
        <w:t xml:space="preserve"> </w:t>
      </w:r>
      <w:proofErr w:type="gramStart"/>
      <w:r w:rsidR="001310D8" w:rsidRPr="00EC6E05">
        <w:t>were not reported</w:t>
      </w:r>
      <w:proofErr w:type="gramEnd"/>
      <w:r w:rsidR="001310D8" w:rsidRPr="00EC6E05">
        <w:t xml:space="preserve"> in the publication</w:t>
      </w:r>
      <w:r w:rsidRPr="00EC6E05">
        <w:t xml:space="preserve">. </w:t>
      </w:r>
    </w:p>
    <w:p w:rsidR="00B65A3B" w:rsidRPr="00EC6E05" w:rsidRDefault="00B65A3B" w:rsidP="00B65A3B">
      <w:pPr>
        <w:pStyle w:val="TableFigureHeading"/>
      </w:pPr>
      <w:r w:rsidRPr="00EC6E05">
        <w:t xml:space="preserve">Figure 2: JAVELIN Kaplan-Meier estimates of PFS in the ITT population treated with AVE + AXI versus </w:t>
      </w:r>
      <w:proofErr w:type="spellStart"/>
      <w:r w:rsidRPr="00EC6E05">
        <w:t>sunitinib</w:t>
      </w:r>
      <w:proofErr w:type="spellEnd"/>
    </w:p>
    <w:tbl>
      <w:tblPr>
        <w:tblStyle w:val="TableGrid"/>
        <w:tblW w:w="0" w:type="auto"/>
        <w:tblLook w:val="04A0" w:firstRow="1" w:lastRow="0" w:firstColumn="1" w:lastColumn="0" w:noHBand="0" w:noVBand="1"/>
        <w:tblCaption w:val="Figure 2: JAVELIN Kaplan-Meier estimates of PFS in the ITT population treated with AVE + AXI versus sunitinib"/>
      </w:tblPr>
      <w:tblGrid>
        <w:gridCol w:w="9016"/>
      </w:tblGrid>
      <w:tr w:rsidR="00B65A3B" w:rsidRPr="00EC6E05" w:rsidTr="007D4C7D">
        <w:trPr>
          <w:tblHeader/>
        </w:trPr>
        <w:tc>
          <w:tcPr>
            <w:tcW w:w="9017" w:type="dxa"/>
            <w:tcBorders>
              <w:top w:val="single" w:sz="4" w:space="0" w:color="auto"/>
              <w:left w:val="single" w:sz="4" w:space="0" w:color="auto"/>
              <w:bottom w:val="single" w:sz="4" w:space="0" w:color="auto"/>
              <w:right w:val="single" w:sz="4" w:space="0" w:color="auto"/>
            </w:tcBorders>
            <w:hideMark/>
          </w:tcPr>
          <w:p w:rsidR="00B65A3B" w:rsidRPr="00EC6E05" w:rsidRDefault="00B65A3B" w:rsidP="00B65A3B">
            <w:pPr>
              <w:keepNext/>
              <w:rPr>
                <w:rFonts w:ascii="Arial Narrow" w:hAnsi="Arial Narrow"/>
                <w:b/>
                <w:bCs/>
                <w:sz w:val="20"/>
                <w:szCs w:val="20"/>
              </w:rPr>
            </w:pPr>
          </w:p>
          <w:p w:rsidR="00B65A3B" w:rsidRPr="00EC6E05" w:rsidRDefault="00B65A3B" w:rsidP="00B65A3B">
            <w:pPr>
              <w:pStyle w:val="In-tableHeading"/>
              <w:keepNext w:val="0"/>
              <w:rPr>
                <w:lang w:val="en-AU"/>
              </w:rPr>
            </w:pPr>
            <w:r w:rsidRPr="00EC6E05">
              <w:rPr>
                <w:noProof/>
                <w:lang w:val="en-AU"/>
              </w:rPr>
              <w:drawing>
                <wp:inline distT="0" distB="0" distL="0" distR="0" wp14:anchorId="543600A9" wp14:editId="36C42E35">
                  <wp:extent cx="5009515" cy="3117215"/>
                  <wp:effectExtent l="0" t="0" r="635" b="6985"/>
                  <wp:docPr id="195" name="Picture 195" title="Figure 2: JAVELIN Kaplan-Meier estimates of PFS in the ITT population treated with AVE + AXI versus sunitini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9515" cy="3117215"/>
                          </a:xfrm>
                          <a:prstGeom prst="rect">
                            <a:avLst/>
                          </a:prstGeom>
                          <a:noFill/>
                          <a:ln>
                            <a:noFill/>
                          </a:ln>
                        </pic:spPr>
                      </pic:pic>
                    </a:graphicData>
                  </a:graphic>
                </wp:inline>
              </w:drawing>
            </w:r>
          </w:p>
        </w:tc>
      </w:tr>
    </w:tbl>
    <w:p w:rsidR="00B65A3B" w:rsidRPr="00EC6E05" w:rsidRDefault="00B65A3B" w:rsidP="00B65A3B">
      <w:pPr>
        <w:pStyle w:val="Source"/>
        <w:rPr>
          <w:rFonts w:ascii="Arial Narrow" w:hAnsi="Arial Narrow"/>
        </w:rPr>
      </w:pPr>
      <w:r w:rsidRPr="00EC6E05">
        <w:rPr>
          <w:rFonts w:ascii="Arial Narrow" w:hAnsi="Arial Narrow"/>
        </w:rPr>
        <w:t>Source: Figure 2.5-1 p69 of the Submission</w:t>
      </w:r>
    </w:p>
    <w:p w:rsidR="00B65A3B" w:rsidRPr="00EC6E05" w:rsidRDefault="00B65A3B" w:rsidP="007442E4">
      <w:pPr>
        <w:pStyle w:val="Source"/>
        <w:spacing w:after="240"/>
        <w:rPr>
          <w:rFonts w:ascii="Arial Narrow" w:hAnsi="Arial Narrow"/>
        </w:rPr>
      </w:pPr>
      <w:r w:rsidRPr="00EC6E05">
        <w:rPr>
          <w:rFonts w:ascii="Arial Narrow" w:hAnsi="Arial Narrow"/>
        </w:rPr>
        <w:t xml:space="preserve">Abbreviations: AVE + AXI = </w:t>
      </w:r>
      <w:proofErr w:type="spellStart"/>
      <w:r w:rsidRPr="00EC6E05">
        <w:rPr>
          <w:rFonts w:ascii="Arial Narrow" w:hAnsi="Arial Narrow"/>
        </w:rPr>
        <w:t>avelumab</w:t>
      </w:r>
      <w:proofErr w:type="spellEnd"/>
      <w:r w:rsidRPr="00EC6E05">
        <w:rPr>
          <w:rFonts w:ascii="Arial Narrow" w:hAnsi="Arial Narrow"/>
        </w:rPr>
        <w:t xml:space="preserve"> + </w:t>
      </w:r>
      <w:proofErr w:type="spellStart"/>
      <w:r w:rsidRPr="00EC6E05">
        <w:rPr>
          <w:rFonts w:ascii="Arial Narrow" w:hAnsi="Arial Narrow"/>
        </w:rPr>
        <w:t>axitinib</w:t>
      </w:r>
      <w:proofErr w:type="spellEnd"/>
      <w:r w:rsidRPr="00EC6E05">
        <w:rPr>
          <w:rFonts w:ascii="Arial Narrow" w:hAnsi="Arial Narrow"/>
        </w:rPr>
        <w:t>; CI = confidence interval; HR = hazard ratio; ITT = intention-to-treat; NE = not estimable; PD-L1 = programmed death ligand 1; PFS = progression free survival.</w:t>
      </w:r>
    </w:p>
    <w:p w:rsidR="006F1FAB" w:rsidRPr="00EC6E05" w:rsidRDefault="006F1FAB" w:rsidP="00713B23">
      <w:pPr>
        <w:pStyle w:val="5-SubsectionSubheading"/>
      </w:pPr>
      <w:r w:rsidRPr="00EC6E05">
        <w:t xml:space="preserve">OS </w:t>
      </w:r>
      <w:r w:rsidR="005A2261" w:rsidRPr="00EC6E05">
        <w:t>(ITT and PD-L1 positive patients)</w:t>
      </w:r>
    </w:p>
    <w:p w:rsidR="00B65A3B" w:rsidRPr="00EC6E05" w:rsidRDefault="0079268B" w:rsidP="00BF2EA7">
      <w:pPr>
        <w:pStyle w:val="3-BodyText"/>
        <w:rPr>
          <w:color w:val="0066FF"/>
        </w:rPr>
      </w:pPr>
      <w:r>
        <w:t xml:space="preserve">A summary of the OS results </w:t>
      </w:r>
      <w:proofErr w:type="gramStart"/>
      <w:r>
        <w:t>are</w:t>
      </w:r>
      <w:r w:rsidR="00B65A3B" w:rsidRPr="00EC6E05">
        <w:t xml:space="preserve"> provided</w:t>
      </w:r>
      <w:proofErr w:type="gramEnd"/>
      <w:r w:rsidR="00B65A3B" w:rsidRPr="00EC6E05">
        <w:t xml:space="preserve"> in Table 5. At the time of </w:t>
      </w:r>
      <w:r w:rsidR="00A723C2" w:rsidRPr="00EC6E05">
        <w:t xml:space="preserve">the </w:t>
      </w:r>
      <w:r w:rsidR="00B65A3B" w:rsidRPr="00EC6E05">
        <w:t xml:space="preserve">JAVELIN </w:t>
      </w:r>
      <w:r w:rsidR="0012027A" w:rsidRPr="00EC6E05">
        <w:t xml:space="preserve">second interim analysis </w:t>
      </w:r>
      <w:r w:rsidR="00B65A3B" w:rsidRPr="00EC6E05">
        <w:t xml:space="preserve">data cut-off (minimum follow up 13 months), the median follow-up for OS in the ITT population was 19.3 months (IQR: 18.6, 20.0) for patients in the AVE + AXI arm and 19.2 months (IQR: 18.3, 19.8) in the </w:t>
      </w:r>
      <w:proofErr w:type="spellStart"/>
      <w:r w:rsidR="00B65A3B" w:rsidRPr="00EC6E05">
        <w:t>sunitinib</w:t>
      </w:r>
      <w:proofErr w:type="spellEnd"/>
      <w:r w:rsidR="00B65A3B" w:rsidRPr="00EC6E05">
        <w:t xml:space="preserve"> arm. </w:t>
      </w:r>
      <w:r w:rsidR="00A723C2" w:rsidRPr="00EC6E05">
        <w:t xml:space="preserve">The Kaplan-Meier estimates for OS in the ITT population for JAVELIN are </w:t>
      </w:r>
      <w:r w:rsidR="00A723C2" w:rsidRPr="00EC6E05">
        <w:rPr>
          <w:rFonts w:cstheme="minorHAnsi"/>
        </w:rPr>
        <w:t xml:space="preserve">presented in Figure </w:t>
      </w:r>
      <w:r w:rsidR="00295251" w:rsidRPr="00EC6E05">
        <w:rPr>
          <w:rFonts w:cstheme="minorHAnsi"/>
        </w:rPr>
        <w:t>3</w:t>
      </w:r>
      <w:r w:rsidR="001310D8" w:rsidRPr="00EC6E05">
        <w:rPr>
          <w:rFonts w:cstheme="minorHAnsi"/>
        </w:rPr>
        <w:t xml:space="preserve"> (</w:t>
      </w:r>
      <w:r w:rsidR="001310D8" w:rsidRPr="00EC6E05">
        <w:t>Kaplan-Meier estimates</w:t>
      </w:r>
      <w:r w:rsidR="001310D8" w:rsidRPr="00EC6E05">
        <w:rPr>
          <w:rFonts w:cstheme="minorHAnsi"/>
        </w:rPr>
        <w:t xml:space="preserve"> were not available for the ITT population of </w:t>
      </w:r>
      <w:proofErr w:type="spellStart"/>
      <w:r w:rsidR="001310D8" w:rsidRPr="00EC6E05">
        <w:t>CheckMate</w:t>
      </w:r>
      <w:proofErr w:type="spellEnd"/>
      <w:r w:rsidR="001310D8" w:rsidRPr="00EC6E05">
        <w:t xml:space="preserve"> 214</w:t>
      </w:r>
      <w:r w:rsidR="00295251" w:rsidRPr="00EC6E05">
        <w:t>)</w:t>
      </w:r>
      <w:r w:rsidR="00A723C2" w:rsidRPr="00EC6E05">
        <w:t xml:space="preserve">. </w:t>
      </w:r>
      <w:r w:rsidR="00B65A3B" w:rsidRPr="00EC6E05">
        <w:rPr>
          <w:iCs/>
        </w:rPr>
        <w:t xml:space="preserve">The OS data for both studies were relatively immature in that neither had achieved the point of median OS for their respective intervention groups and </w:t>
      </w:r>
      <w:r w:rsidR="00A723C2" w:rsidRPr="00EC6E05">
        <w:rPr>
          <w:iCs/>
        </w:rPr>
        <w:t xml:space="preserve">OS </w:t>
      </w:r>
      <w:r w:rsidR="00B65A3B" w:rsidRPr="00EC6E05">
        <w:rPr>
          <w:iCs/>
        </w:rPr>
        <w:t>w</w:t>
      </w:r>
      <w:r w:rsidR="00A723C2" w:rsidRPr="00EC6E05">
        <w:rPr>
          <w:iCs/>
        </w:rPr>
        <w:t>as</w:t>
      </w:r>
      <w:r w:rsidR="00B65A3B" w:rsidRPr="00EC6E05">
        <w:rPr>
          <w:iCs/>
        </w:rPr>
        <w:t xml:space="preserve"> subjective to heavy censoring. </w:t>
      </w:r>
    </w:p>
    <w:p w:rsidR="00B65A3B" w:rsidRPr="00EC6E05" w:rsidRDefault="00B65A3B" w:rsidP="00713B23">
      <w:pPr>
        <w:pStyle w:val="TableFigureHeading"/>
      </w:pPr>
      <w:r w:rsidRPr="00EC6E05">
        <w:lastRenderedPageBreak/>
        <w:t>Table 5: Results of overall survival</w:t>
      </w:r>
      <w:proofErr w:type="gramStart"/>
      <w:r w:rsidRPr="00EC6E05">
        <w:t>;</w:t>
      </w:r>
      <w:proofErr w:type="gramEnd"/>
      <w:r w:rsidRPr="00EC6E05">
        <w:t xml:space="preserve"> JAVELIN and </w:t>
      </w:r>
      <w:proofErr w:type="spellStart"/>
      <w:r w:rsidRPr="00EC6E05">
        <w:t>CheckMate</w:t>
      </w:r>
      <w:proofErr w:type="spellEnd"/>
      <w:r w:rsidRPr="00EC6E05">
        <w:t xml:space="preserve"> 214</w:t>
      </w:r>
      <w:r w:rsidR="00AD19AA" w:rsidRPr="00EC6E05">
        <w:t xml:space="preserve"> (favourable, intermediate, poor risk)</w:t>
      </w:r>
    </w:p>
    <w:tbl>
      <w:tblPr>
        <w:tblStyle w:val="TableGrid"/>
        <w:tblW w:w="5000" w:type="pct"/>
        <w:tblLook w:val="04A0" w:firstRow="1" w:lastRow="0" w:firstColumn="1" w:lastColumn="0" w:noHBand="0" w:noVBand="1"/>
        <w:tblCaption w:val="Table 5: Results of overall survival; JAVELIN and CheckMate 214 (favourable, intermediate, poor risk)"/>
      </w:tblPr>
      <w:tblGrid>
        <w:gridCol w:w="1235"/>
        <w:gridCol w:w="1295"/>
        <w:gridCol w:w="1298"/>
        <w:gridCol w:w="1295"/>
        <w:gridCol w:w="1298"/>
        <w:gridCol w:w="1298"/>
        <w:gridCol w:w="1297"/>
      </w:tblGrid>
      <w:tr w:rsidR="00B65A3B" w:rsidRPr="00EC6E05" w:rsidTr="00B65A3B">
        <w:trPr>
          <w:trHeight w:val="244"/>
          <w:tblHeader/>
        </w:trPr>
        <w:tc>
          <w:tcPr>
            <w:tcW w:w="685" w:type="pct"/>
            <w:vMerge w:val="restart"/>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1310D8">
            <w:pPr>
              <w:pStyle w:val="Tableheading0"/>
              <w:keepNext/>
              <w:keepLines/>
              <w:rPr>
                <w:rFonts w:ascii="Arial Narrow" w:hAnsi="Arial Narrow"/>
              </w:rPr>
            </w:pPr>
            <w:r w:rsidRPr="00EC6E05">
              <w:rPr>
                <w:rFonts w:ascii="Arial Narrow" w:hAnsi="Arial Narrow"/>
              </w:rPr>
              <w:t>OS</w:t>
            </w:r>
          </w:p>
        </w:tc>
        <w:tc>
          <w:tcPr>
            <w:tcW w:w="2876" w:type="pct"/>
            <w:gridSpan w:val="4"/>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1310D8">
            <w:pPr>
              <w:pStyle w:val="Tableheading0"/>
              <w:keepNext/>
              <w:keepLines/>
              <w:rPr>
                <w:rFonts w:ascii="Arial Narrow" w:hAnsi="Arial Narrow"/>
                <w:vertAlign w:val="superscript"/>
              </w:rPr>
            </w:pPr>
            <w:r w:rsidRPr="00EC6E05">
              <w:rPr>
                <w:rFonts w:ascii="Arial Narrow" w:hAnsi="Arial Narrow"/>
              </w:rPr>
              <w:t xml:space="preserve">JAVELIN IA2 </w:t>
            </w:r>
            <w:r w:rsidRPr="00EC6E05">
              <w:rPr>
                <w:rFonts w:ascii="Arial Narrow" w:hAnsi="Arial Narrow"/>
                <w:vertAlign w:val="superscript"/>
              </w:rPr>
              <w:t>a</w:t>
            </w:r>
          </w:p>
        </w:tc>
        <w:tc>
          <w:tcPr>
            <w:tcW w:w="1439" w:type="pct"/>
            <w:gridSpan w:val="2"/>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1310D8">
            <w:pPr>
              <w:pStyle w:val="Tableheading0"/>
              <w:keepNext/>
              <w:keepLines/>
              <w:rPr>
                <w:rFonts w:ascii="Arial Narrow" w:hAnsi="Arial Narrow"/>
                <w:vertAlign w:val="superscript"/>
              </w:rPr>
            </w:pPr>
            <w:proofErr w:type="spellStart"/>
            <w:r w:rsidRPr="00EC6E05">
              <w:rPr>
                <w:rFonts w:ascii="Arial Narrow" w:hAnsi="Arial Narrow"/>
              </w:rPr>
              <w:t>CheckMate</w:t>
            </w:r>
            <w:proofErr w:type="spellEnd"/>
            <w:r w:rsidRPr="00EC6E05">
              <w:rPr>
                <w:rFonts w:ascii="Arial Narrow" w:hAnsi="Arial Narrow"/>
              </w:rPr>
              <w:t xml:space="preserve"> 214 </w:t>
            </w:r>
            <w:proofErr w:type="spellStart"/>
            <w:r w:rsidRPr="00EC6E05">
              <w:rPr>
                <w:rFonts w:ascii="Arial Narrow" w:hAnsi="Arial Narrow"/>
                <w:vertAlign w:val="superscript"/>
              </w:rPr>
              <w:t>b,c</w:t>
            </w:r>
            <w:proofErr w:type="spellEnd"/>
          </w:p>
        </w:tc>
      </w:tr>
      <w:tr w:rsidR="00B65A3B" w:rsidRPr="00EC6E05" w:rsidTr="00B65A3B">
        <w:trPr>
          <w:trHeight w:val="244"/>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1310D8">
            <w:pPr>
              <w:keepNext/>
              <w:keepLines/>
              <w:jc w:val="left"/>
              <w:rPr>
                <w:rFonts w:ascii="Arial Narrow" w:eastAsiaTheme="minorHAnsi" w:hAnsi="Arial Narrow" w:cstheme="minorBidi"/>
                <w:b/>
                <w:sz w:val="20"/>
                <w:szCs w:val="20"/>
                <w:lang w:eastAsia="en-US"/>
              </w:rPr>
            </w:pPr>
          </w:p>
        </w:tc>
        <w:tc>
          <w:tcPr>
            <w:tcW w:w="1438" w:type="pct"/>
            <w:gridSpan w:val="2"/>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1310D8">
            <w:pPr>
              <w:pStyle w:val="Tableheading0"/>
              <w:keepNext/>
              <w:keepLines/>
              <w:rPr>
                <w:rFonts w:ascii="Arial Narrow" w:hAnsi="Arial Narrow"/>
              </w:rPr>
            </w:pPr>
            <w:r w:rsidRPr="00EC6E05">
              <w:rPr>
                <w:rFonts w:ascii="Arial Narrow" w:hAnsi="Arial Narrow"/>
              </w:rPr>
              <w:t>PD-L1 positive patients</w:t>
            </w:r>
          </w:p>
        </w:tc>
        <w:tc>
          <w:tcPr>
            <w:tcW w:w="1438" w:type="pct"/>
            <w:gridSpan w:val="2"/>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1310D8">
            <w:pPr>
              <w:pStyle w:val="Tableheading0"/>
              <w:keepNext/>
              <w:keepLines/>
              <w:rPr>
                <w:rFonts w:ascii="Arial Narrow" w:hAnsi="Arial Narrow"/>
              </w:rPr>
            </w:pPr>
            <w:r w:rsidRPr="00EC6E05">
              <w:rPr>
                <w:rFonts w:ascii="Arial Narrow" w:hAnsi="Arial Narrow"/>
              </w:rPr>
              <w:t>ITT</w:t>
            </w:r>
          </w:p>
        </w:tc>
        <w:tc>
          <w:tcPr>
            <w:tcW w:w="1439" w:type="pct"/>
            <w:gridSpan w:val="2"/>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1310D8">
            <w:pPr>
              <w:pStyle w:val="Tableheading0"/>
              <w:keepNext/>
              <w:keepLines/>
              <w:rPr>
                <w:rFonts w:ascii="Arial Narrow" w:hAnsi="Arial Narrow"/>
              </w:rPr>
            </w:pPr>
            <w:r w:rsidRPr="00EC6E05">
              <w:rPr>
                <w:rFonts w:ascii="Arial Narrow" w:hAnsi="Arial Narrow"/>
              </w:rPr>
              <w:t>ITT</w:t>
            </w:r>
          </w:p>
        </w:tc>
      </w:tr>
      <w:tr w:rsidR="00B65A3B" w:rsidRPr="00EC6E05" w:rsidTr="00B65A3B">
        <w:trPr>
          <w:trHeight w:val="244"/>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1310D8">
            <w:pPr>
              <w:keepNext/>
              <w:keepLines/>
              <w:jc w:val="left"/>
              <w:rPr>
                <w:rFonts w:ascii="Arial Narrow" w:eastAsiaTheme="minorHAnsi" w:hAnsi="Arial Narrow" w:cstheme="minorBidi"/>
                <w:b/>
                <w:sz w:val="20"/>
                <w:szCs w:val="20"/>
                <w:lang w:eastAsia="en-US"/>
              </w:rPr>
            </w:pPr>
          </w:p>
        </w:tc>
        <w:tc>
          <w:tcPr>
            <w:tcW w:w="718" w:type="pct"/>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1310D8">
            <w:pPr>
              <w:pStyle w:val="Tableheading0"/>
              <w:keepNext/>
              <w:keepLines/>
              <w:rPr>
                <w:rFonts w:ascii="Arial Narrow" w:hAnsi="Arial Narrow"/>
              </w:rPr>
            </w:pPr>
            <w:r w:rsidRPr="00EC6E05">
              <w:rPr>
                <w:rFonts w:ascii="Arial Narrow" w:hAnsi="Arial Narrow"/>
              </w:rPr>
              <w:t>AVE + AXI</w:t>
            </w:r>
          </w:p>
          <w:p w:rsidR="00B65A3B" w:rsidRPr="00EC6E05" w:rsidRDefault="00B65A3B" w:rsidP="001310D8">
            <w:pPr>
              <w:pStyle w:val="Tableheading0"/>
              <w:keepNext/>
              <w:keepLines/>
              <w:rPr>
                <w:rFonts w:ascii="Arial Narrow" w:hAnsi="Arial Narrow"/>
              </w:rPr>
            </w:pPr>
            <w:r w:rsidRPr="00EC6E05">
              <w:rPr>
                <w:rFonts w:ascii="Arial Narrow" w:hAnsi="Arial Narrow"/>
              </w:rPr>
              <w:t>N = 270</w:t>
            </w:r>
          </w:p>
        </w:tc>
        <w:tc>
          <w:tcPr>
            <w:tcW w:w="720" w:type="pct"/>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1310D8">
            <w:pPr>
              <w:pStyle w:val="Tableheading0"/>
              <w:keepNext/>
              <w:keepLines/>
              <w:rPr>
                <w:rFonts w:ascii="Arial Narrow" w:hAnsi="Arial Narrow"/>
              </w:rPr>
            </w:pPr>
            <w:r w:rsidRPr="00EC6E05">
              <w:rPr>
                <w:rFonts w:ascii="Arial Narrow" w:hAnsi="Arial Narrow"/>
              </w:rPr>
              <w:t>SUN</w:t>
            </w:r>
          </w:p>
          <w:p w:rsidR="00B65A3B" w:rsidRPr="00EC6E05" w:rsidRDefault="00B65A3B" w:rsidP="001310D8">
            <w:pPr>
              <w:pStyle w:val="Tableheading0"/>
              <w:keepNext/>
              <w:keepLines/>
              <w:rPr>
                <w:rFonts w:ascii="Arial Narrow" w:hAnsi="Arial Narrow"/>
              </w:rPr>
            </w:pPr>
            <w:r w:rsidRPr="00EC6E05">
              <w:rPr>
                <w:rFonts w:ascii="Arial Narrow" w:hAnsi="Arial Narrow"/>
              </w:rPr>
              <w:t>N = 290</w:t>
            </w:r>
          </w:p>
        </w:tc>
        <w:tc>
          <w:tcPr>
            <w:tcW w:w="718" w:type="pct"/>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1310D8">
            <w:pPr>
              <w:pStyle w:val="Tableheading0"/>
              <w:keepNext/>
              <w:keepLines/>
              <w:rPr>
                <w:rFonts w:ascii="Arial Narrow" w:hAnsi="Arial Narrow"/>
              </w:rPr>
            </w:pPr>
            <w:r w:rsidRPr="00EC6E05">
              <w:rPr>
                <w:rFonts w:ascii="Arial Narrow" w:hAnsi="Arial Narrow"/>
              </w:rPr>
              <w:t>AVE + AXI</w:t>
            </w:r>
          </w:p>
          <w:p w:rsidR="00B65A3B" w:rsidRPr="00EC6E05" w:rsidRDefault="00B65A3B" w:rsidP="001310D8">
            <w:pPr>
              <w:pStyle w:val="Tableheading0"/>
              <w:keepNext/>
              <w:keepLines/>
              <w:rPr>
                <w:rFonts w:ascii="Arial Narrow" w:hAnsi="Arial Narrow"/>
              </w:rPr>
            </w:pPr>
            <w:r w:rsidRPr="00EC6E05">
              <w:rPr>
                <w:rFonts w:ascii="Arial Narrow" w:hAnsi="Arial Narrow"/>
              </w:rPr>
              <w:t>N = 442</w:t>
            </w:r>
          </w:p>
        </w:tc>
        <w:tc>
          <w:tcPr>
            <w:tcW w:w="720" w:type="pct"/>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1310D8">
            <w:pPr>
              <w:pStyle w:val="Tableheading0"/>
              <w:keepNext/>
              <w:keepLines/>
              <w:rPr>
                <w:rFonts w:ascii="Arial Narrow" w:hAnsi="Arial Narrow"/>
              </w:rPr>
            </w:pPr>
            <w:r w:rsidRPr="00EC6E05">
              <w:rPr>
                <w:rFonts w:ascii="Arial Narrow" w:hAnsi="Arial Narrow"/>
              </w:rPr>
              <w:t>SUN</w:t>
            </w:r>
          </w:p>
          <w:p w:rsidR="00B65A3B" w:rsidRPr="00EC6E05" w:rsidRDefault="00B65A3B" w:rsidP="001310D8">
            <w:pPr>
              <w:pStyle w:val="Tableheading0"/>
              <w:keepNext/>
              <w:keepLines/>
              <w:rPr>
                <w:rFonts w:ascii="Arial Narrow" w:hAnsi="Arial Narrow"/>
              </w:rPr>
            </w:pPr>
            <w:r w:rsidRPr="00EC6E05">
              <w:rPr>
                <w:rFonts w:ascii="Arial Narrow" w:hAnsi="Arial Narrow"/>
              </w:rPr>
              <w:t>N = 444</w:t>
            </w:r>
          </w:p>
        </w:tc>
        <w:tc>
          <w:tcPr>
            <w:tcW w:w="720" w:type="pct"/>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1310D8">
            <w:pPr>
              <w:pStyle w:val="Tableheading0"/>
              <w:keepNext/>
              <w:keepLines/>
              <w:rPr>
                <w:rFonts w:ascii="Arial Narrow" w:hAnsi="Arial Narrow"/>
              </w:rPr>
            </w:pPr>
            <w:r w:rsidRPr="00EC6E05">
              <w:rPr>
                <w:rFonts w:ascii="Arial Narrow" w:hAnsi="Arial Narrow"/>
              </w:rPr>
              <w:t>NIVO + IPI</w:t>
            </w:r>
          </w:p>
          <w:p w:rsidR="00B65A3B" w:rsidRPr="00EC6E05" w:rsidRDefault="00B65A3B" w:rsidP="001310D8">
            <w:pPr>
              <w:pStyle w:val="Tableheading0"/>
              <w:keepNext/>
              <w:keepLines/>
              <w:rPr>
                <w:rFonts w:ascii="Arial Narrow" w:hAnsi="Arial Narrow"/>
              </w:rPr>
            </w:pPr>
            <w:r w:rsidRPr="00EC6E05">
              <w:rPr>
                <w:rFonts w:ascii="Arial Narrow" w:hAnsi="Arial Narrow"/>
              </w:rPr>
              <w:t>N = 550</w:t>
            </w:r>
          </w:p>
        </w:tc>
        <w:tc>
          <w:tcPr>
            <w:tcW w:w="719" w:type="pct"/>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1310D8">
            <w:pPr>
              <w:pStyle w:val="Tableheading0"/>
              <w:keepNext/>
              <w:keepLines/>
              <w:rPr>
                <w:rFonts w:ascii="Arial Narrow" w:hAnsi="Arial Narrow"/>
              </w:rPr>
            </w:pPr>
            <w:r w:rsidRPr="00EC6E05">
              <w:rPr>
                <w:rFonts w:ascii="Arial Narrow" w:hAnsi="Arial Narrow"/>
              </w:rPr>
              <w:t>SUN</w:t>
            </w:r>
          </w:p>
          <w:p w:rsidR="00B65A3B" w:rsidRPr="00EC6E05" w:rsidRDefault="00B65A3B" w:rsidP="001310D8">
            <w:pPr>
              <w:pStyle w:val="Tableheading0"/>
              <w:keepNext/>
              <w:keepLines/>
              <w:rPr>
                <w:rFonts w:ascii="Arial Narrow" w:hAnsi="Arial Narrow"/>
              </w:rPr>
            </w:pPr>
            <w:r w:rsidRPr="00EC6E05">
              <w:rPr>
                <w:rFonts w:ascii="Arial Narrow" w:hAnsi="Arial Narrow"/>
              </w:rPr>
              <w:t>N = 546</w:t>
            </w:r>
          </w:p>
        </w:tc>
      </w:tr>
      <w:tr w:rsidR="00B65A3B" w:rsidRPr="00EC6E05" w:rsidTr="00B65A3B">
        <w:trPr>
          <w:trHeight w:val="244"/>
        </w:trPr>
        <w:tc>
          <w:tcPr>
            <w:tcW w:w="685" w:type="pct"/>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1310D8">
            <w:pPr>
              <w:pStyle w:val="Tabletext"/>
              <w:keepNext/>
              <w:keepLines/>
              <w:rPr>
                <w:szCs w:val="20"/>
              </w:rPr>
            </w:pPr>
            <w:r w:rsidRPr="00EC6E05">
              <w:rPr>
                <w:szCs w:val="20"/>
              </w:rPr>
              <w:t>Events, n (%)</w:t>
            </w:r>
          </w:p>
        </w:tc>
        <w:tc>
          <w:tcPr>
            <w:tcW w:w="718" w:type="pct"/>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1310D8">
            <w:pPr>
              <w:pStyle w:val="Tablecentre"/>
              <w:keepNext/>
              <w:keepLines/>
              <w:rPr>
                <w:rFonts w:ascii="Arial Narrow" w:hAnsi="Arial Narrow"/>
              </w:rPr>
            </w:pPr>
            <w:r w:rsidRPr="00EC6E05">
              <w:rPr>
                <w:rFonts w:ascii="Arial Narrow" w:hAnsi="Arial Narrow"/>
              </w:rPr>
              <w:t>66 (24.4)</w:t>
            </w:r>
          </w:p>
        </w:tc>
        <w:tc>
          <w:tcPr>
            <w:tcW w:w="720" w:type="pct"/>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1310D8">
            <w:pPr>
              <w:pStyle w:val="Tablecentre"/>
              <w:keepNext/>
              <w:keepLines/>
              <w:rPr>
                <w:rFonts w:ascii="Arial Narrow" w:hAnsi="Arial Narrow"/>
              </w:rPr>
            </w:pPr>
            <w:r w:rsidRPr="00EC6E05">
              <w:rPr>
                <w:rFonts w:ascii="Arial Narrow" w:hAnsi="Arial Narrow"/>
              </w:rPr>
              <w:t>79 (27.2)</w:t>
            </w:r>
          </w:p>
        </w:tc>
        <w:tc>
          <w:tcPr>
            <w:tcW w:w="718" w:type="pct"/>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1310D8">
            <w:pPr>
              <w:pStyle w:val="Tablecentre"/>
              <w:keepNext/>
              <w:keepLines/>
              <w:rPr>
                <w:rFonts w:ascii="Arial Narrow" w:hAnsi="Arial Narrow"/>
              </w:rPr>
            </w:pPr>
            <w:r w:rsidRPr="00EC6E05">
              <w:rPr>
                <w:rFonts w:ascii="Arial Narrow" w:hAnsi="Arial Narrow"/>
              </w:rPr>
              <w:t>109 (24.7)</w:t>
            </w:r>
          </w:p>
        </w:tc>
        <w:tc>
          <w:tcPr>
            <w:tcW w:w="720" w:type="pct"/>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1310D8">
            <w:pPr>
              <w:pStyle w:val="Tablecentre"/>
              <w:keepNext/>
              <w:keepLines/>
              <w:rPr>
                <w:rFonts w:ascii="Arial Narrow" w:hAnsi="Arial Narrow"/>
              </w:rPr>
            </w:pPr>
            <w:r w:rsidRPr="00EC6E05">
              <w:rPr>
                <w:rFonts w:ascii="Arial Narrow" w:hAnsi="Arial Narrow"/>
              </w:rPr>
              <w:t>129 (29.1)</w:t>
            </w:r>
          </w:p>
        </w:tc>
        <w:tc>
          <w:tcPr>
            <w:tcW w:w="720" w:type="pct"/>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1310D8">
            <w:pPr>
              <w:pStyle w:val="Tablecentre"/>
              <w:keepNext/>
              <w:keepLines/>
              <w:rPr>
                <w:rFonts w:ascii="Arial Narrow" w:hAnsi="Arial Narrow"/>
              </w:rPr>
            </w:pPr>
            <w:r w:rsidRPr="00EC6E05">
              <w:rPr>
                <w:rFonts w:ascii="Arial Narrow" w:hAnsi="Arial Narrow"/>
              </w:rPr>
              <w:t xml:space="preserve">161 </w:t>
            </w:r>
            <w:r w:rsidRPr="00EC6E05">
              <w:rPr>
                <w:rFonts w:ascii="Arial Narrow" w:hAnsi="Arial Narrow"/>
                <w:vertAlign w:val="superscript"/>
              </w:rPr>
              <w:t>d</w:t>
            </w:r>
            <w:r w:rsidRPr="00EC6E05">
              <w:rPr>
                <w:rFonts w:ascii="Arial Narrow" w:hAnsi="Arial Narrow"/>
              </w:rPr>
              <w:t xml:space="preserve"> (29.3)</w:t>
            </w:r>
          </w:p>
        </w:tc>
        <w:tc>
          <w:tcPr>
            <w:tcW w:w="719" w:type="pct"/>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1310D8">
            <w:pPr>
              <w:pStyle w:val="Tablecentre"/>
              <w:keepNext/>
              <w:keepLines/>
              <w:rPr>
                <w:rFonts w:ascii="Arial Narrow" w:hAnsi="Arial Narrow"/>
              </w:rPr>
            </w:pPr>
            <w:r w:rsidRPr="00EC6E05">
              <w:rPr>
                <w:rFonts w:ascii="Arial Narrow" w:hAnsi="Arial Narrow"/>
              </w:rPr>
              <w:t xml:space="preserve">204 </w:t>
            </w:r>
            <w:r w:rsidRPr="00EC6E05">
              <w:rPr>
                <w:rFonts w:ascii="Arial Narrow" w:hAnsi="Arial Narrow"/>
                <w:vertAlign w:val="superscript"/>
              </w:rPr>
              <w:t>d</w:t>
            </w:r>
            <w:r w:rsidRPr="00EC6E05">
              <w:rPr>
                <w:rFonts w:ascii="Arial Narrow" w:hAnsi="Arial Narrow"/>
              </w:rPr>
              <w:t xml:space="preserve"> (37.4)</w:t>
            </w:r>
          </w:p>
        </w:tc>
      </w:tr>
      <w:tr w:rsidR="00B65A3B" w:rsidRPr="00EC6E05" w:rsidTr="00B65A3B">
        <w:trPr>
          <w:trHeight w:val="244"/>
        </w:trPr>
        <w:tc>
          <w:tcPr>
            <w:tcW w:w="685" w:type="pct"/>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1310D8">
            <w:pPr>
              <w:pStyle w:val="Tabletext"/>
              <w:keepNext/>
              <w:keepLines/>
              <w:rPr>
                <w:szCs w:val="20"/>
              </w:rPr>
            </w:pPr>
            <w:r w:rsidRPr="00EC6E05">
              <w:rPr>
                <w:szCs w:val="20"/>
              </w:rPr>
              <w:t>Median (95% CI), months</w:t>
            </w:r>
          </w:p>
        </w:tc>
        <w:tc>
          <w:tcPr>
            <w:tcW w:w="718" w:type="pct"/>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1310D8">
            <w:pPr>
              <w:pStyle w:val="Tablecentre"/>
              <w:keepNext/>
              <w:keepLines/>
              <w:rPr>
                <w:rFonts w:ascii="Arial Narrow" w:hAnsi="Arial Narrow"/>
              </w:rPr>
            </w:pPr>
            <w:r w:rsidRPr="00EC6E05">
              <w:rPr>
                <w:rFonts w:ascii="Arial Narrow" w:hAnsi="Arial Narrow"/>
              </w:rPr>
              <w:t xml:space="preserve">NE </w:t>
            </w:r>
          </w:p>
          <w:p w:rsidR="00B65A3B" w:rsidRPr="00EC6E05" w:rsidRDefault="00B65A3B" w:rsidP="001310D8">
            <w:pPr>
              <w:pStyle w:val="Tablecentre"/>
              <w:keepNext/>
              <w:keepLines/>
              <w:rPr>
                <w:rFonts w:ascii="Arial Narrow" w:hAnsi="Arial Narrow"/>
              </w:rPr>
            </w:pPr>
            <w:r w:rsidRPr="00EC6E05">
              <w:rPr>
                <w:rFonts w:ascii="Arial Narrow" w:hAnsi="Arial Narrow"/>
              </w:rPr>
              <w:t>(NE, NE)</w:t>
            </w:r>
          </w:p>
        </w:tc>
        <w:tc>
          <w:tcPr>
            <w:tcW w:w="720" w:type="pct"/>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1310D8">
            <w:pPr>
              <w:pStyle w:val="Tablecentre"/>
              <w:keepNext/>
              <w:keepLines/>
              <w:rPr>
                <w:rFonts w:ascii="Arial Narrow" w:hAnsi="Arial Narrow"/>
              </w:rPr>
            </w:pPr>
            <w:r w:rsidRPr="00EC6E05">
              <w:rPr>
                <w:rFonts w:ascii="Arial Narrow" w:hAnsi="Arial Narrow"/>
              </w:rPr>
              <w:t>28.6 (27.4, NE)</w:t>
            </w:r>
          </w:p>
        </w:tc>
        <w:tc>
          <w:tcPr>
            <w:tcW w:w="718" w:type="pct"/>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1310D8">
            <w:pPr>
              <w:keepNext/>
              <w:keepLines/>
              <w:jc w:val="center"/>
              <w:rPr>
                <w:rFonts w:ascii="Arial Narrow" w:hAnsi="Arial Narrow"/>
                <w:sz w:val="20"/>
                <w:szCs w:val="20"/>
              </w:rPr>
            </w:pPr>
            <w:r w:rsidRPr="00EC6E05">
              <w:rPr>
                <w:rFonts w:ascii="Arial Narrow" w:hAnsi="Arial Narrow"/>
                <w:sz w:val="20"/>
                <w:szCs w:val="20"/>
              </w:rPr>
              <w:t xml:space="preserve">NE </w:t>
            </w:r>
          </w:p>
          <w:p w:rsidR="00B65A3B" w:rsidRPr="00EC6E05" w:rsidRDefault="00B65A3B" w:rsidP="001310D8">
            <w:pPr>
              <w:keepNext/>
              <w:keepLines/>
              <w:jc w:val="center"/>
              <w:rPr>
                <w:rFonts w:ascii="Arial Narrow" w:hAnsi="Arial Narrow"/>
                <w:sz w:val="20"/>
                <w:szCs w:val="20"/>
              </w:rPr>
            </w:pPr>
            <w:r w:rsidRPr="00EC6E05">
              <w:rPr>
                <w:rFonts w:ascii="Arial Narrow" w:hAnsi="Arial Narrow"/>
                <w:sz w:val="20"/>
                <w:szCs w:val="20"/>
              </w:rPr>
              <w:t>(30.0, NE)</w:t>
            </w:r>
          </w:p>
        </w:tc>
        <w:tc>
          <w:tcPr>
            <w:tcW w:w="720" w:type="pct"/>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1310D8">
            <w:pPr>
              <w:keepNext/>
              <w:keepLines/>
              <w:jc w:val="center"/>
              <w:rPr>
                <w:rFonts w:ascii="Arial Narrow" w:hAnsi="Arial Narrow"/>
                <w:sz w:val="20"/>
                <w:szCs w:val="20"/>
              </w:rPr>
            </w:pPr>
            <w:r w:rsidRPr="00EC6E05">
              <w:rPr>
                <w:rFonts w:ascii="Arial Narrow" w:hAnsi="Arial Narrow"/>
                <w:sz w:val="20"/>
                <w:szCs w:val="20"/>
              </w:rPr>
              <w:t xml:space="preserve">NE </w:t>
            </w:r>
          </w:p>
          <w:p w:rsidR="00B65A3B" w:rsidRPr="00EC6E05" w:rsidRDefault="00B65A3B" w:rsidP="001310D8">
            <w:pPr>
              <w:keepNext/>
              <w:keepLines/>
              <w:jc w:val="center"/>
              <w:rPr>
                <w:rFonts w:ascii="Arial Narrow" w:hAnsi="Arial Narrow"/>
                <w:sz w:val="20"/>
                <w:szCs w:val="20"/>
              </w:rPr>
            </w:pPr>
            <w:r w:rsidRPr="00EC6E05">
              <w:rPr>
                <w:rFonts w:ascii="Arial Narrow" w:hAnsi="Arial Narrow"/>
                <w:sz w:val="20"/>
                <w:szCs w:val="20"/>
              </w:rPr>
              <w:t>(27.4, NE)</w:t>
            </w:r>
          </w:p>
        </w:tc>
        <w:tc>
          <w:tcPr>
            <w:tcW w:w="720" w:type="pct"/>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1310D8">
            <w:pPr>
              <w:keepNext/>
              <w:keepLines/>
              <w:jc w:val="center"/>
              <w:rPr>
                <w:rFonts w:ascii="Arial Narrow" w:hAnsi="Arial Narrow"/>
                <w:sz w:val="20"/>
                <w:szCs w:val="20"/>
              </w:rPr>
            </w:pPr>
            <w:r w:rsidRPr="00EC6E05">
              <w:rPr>
                <w:rFonts w:ascii="Arial Narrow" w:hAnsi="Arial Narrow"/>
                <w:sz w:val="20"/>
                <w:szCs w:val="20"/>
              </w:rPr>
              <w:t>NE</w:t>
            </w:r>
          </w:p>
        </w:tc>
        <w:tc>
          <w:tcPr>
            <w:tcW w:w="719" w:type="pct"/>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1310D8">
            <w:pPr>
              <w:keepNext/>
              <w:keepLines/>
              <w:jc w:val="center"/>
              <w:rPr>
                <w:rFonts w:ascii="Arial Narrow" w:hAnsi="Arial Narrow"/>
                <w:sz w:val="20"/>
                <w:szCs w:val="20"/>
              </w:rPr>
            </w:pPr>
            <w:r w:rsidRPr="00EC6E05">
              <w:rPr>
                <w:rFonts w:ascii="Arial Narrow" w:hAnsi="Arial Narrow"/>
                <w:sz w:val="20"/>
                <w:szCs w:val="20"/>
              </w:rPr>
              <w:t>32.9</w:t>
            </w:r>
          </w:p>
        </w:tc>
      </w:tr>
      <w:tr w:rsidR="00B65A3B" w:rsidRPr="00EC6E05" w:rsidTr="00B65A3B">
        <w:trPr>
          <w:trHeight w:val="244"/>
        </w:trPr>
        <w:tc>
          <w:tcPr>
            <w:tcW w:w="685" w:type="pct"/>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1310D8">
            <w:pPr>
              <w:pStyle w:val="Tableheading0"/>
              <w:keepNext/>
              <w:keepLines/>
              <w:jc w:val="left"/>
              <w:rPr>
                <w:rFonts w:ascii="Arial Narrow" w:hAnsi="Arial Narrow"/>
                <w:b w:val="0"/>
                <w:bCs/>
              </w:rPr>
            </w:pPr>
            <w:r w:rsidRPr="00EC6E05">
              <w:rPr>
                <w:rFonts w:ascii="Arial Narrow" w:hAnsi="Arial Narrow"/>
                <w:bCs/>
              </w:rPr>
              <w:t xml:space="preserve">HR </w:t>
            </w:r>
            <w:r w:rsidRPr="00EC6E05">
              <w:rPr>
                <w:rFonts w:ascii="Arial Narrow" w:hAnsi="Arial Narrow"/>
                <w:bCs/>
                <w:vertAlign w:val="superscript"/>
              </w:rPr>
              <w:t>e</w:t>
            </w:r>
          </w:p>
        </w:tc>
        <w:tc>
          <w:tcPr>
            <w:tcW w:w="1438" w:type="pct"/>
            <w:gridSpan w:val="2"/>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1310D8">
            <w:pPr>
              <w:pStyle w:val="Tablecentre"/>
              <w:keepNext/>
              <w:keepLines/>
              <w:rPr>
                <w:rFonts w:ascii="Arial Narrow" w:hAnsi="Arial Narrow"/>
              </w:rPr>
            </w:pPr>
            <w:r w:rsidRPr="00EC6E05">
              <w:rPr>
                <w:rFonts w:ascii="Arial Narrow" w:hAnsi="Arial Narrow"/>
              </w:rPr>
              <w:t xml:space="preserve">0.83 </w:t>
            </w:r>
          </w:p>
          <w:p w:rsidR="00B65A3B" w:rsidRPr="00EC6E05" w:rsidRDefault="00B65A3B" w:rsidP="001310D8">
            <w:pPr>
              <w:pStyle w:val="Tablecentre"/>
              <w:keepNext/>
              <w:keepLines/>
              <w:rPr>
                <w:rFonts w:ascii="Arial Narrow" w:hAnsi="Arial Narrow"/>
              </w:rPr>
            </w:pPr>
            <w:r w:rsidRPr="00EC6E05">
              <w:rPr>
                <w:rFonts w:ascii="Arial Narrow" w:hAnsi="Arial Narrow"/>
              </w:rPr>
              <w:t>(95% CI: 0.596, 1.151)</w:t>
            </w:r>
          </w:p>
        </w:tc>
        <w:tc>
          <w:tcPr>
            <w:tcW w:w="1438" w:type="pct"/>
            <w:gridSpan w:val="2"/>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1310D8">
            <w:pPr>
              <w:keepNext/>
              <w:keepLines/>
              <w:jc w:val="center"/>
              <w:rPr>
                <w:rFonts w:ascii="Arial Narrow" w:hAnsi="Arial Narrow"/>
                <w:bCs/>
                <w:sz w:val="20"/>
                <w:szCs w:val="20"/>
              </w:rPr>
            </w:pPr>
            <w:r w:rsidRPr="00EC6E05">
              <w:rPr>
                <w:rFonts w:ascii="Arial Narrow" w:hAnsi="Arial Narrow"/>
                <w:bCs/>
                <w:sz w:val="20"/>
                <w:szCs w:val="20"/>
              </w:rPr>
              <w:t xml:space="preserve">0.80 </w:t>
            </w:r>
          </w:p>
          <w:p w:rsidR="00B65A3B" w:rsidRPr="00EC6E05" w:rsidRDefault="00B65A3B" w:rsidP="001310D8">
            <w:pPr>
              <w:keepNext/>
              <w:keepLines/>
              <w:jc w:val="center"/>
              <w:rPr>
                <w:rFonts w:ascii="Arial Narrow" w:hAnsi="Arial Narrow"/>
                <w:sz w:val="20"/>
                <w:szCs w:val="20"/>
              </w:rPr>
            </w:pPr>
            <w:r w:rsidRPr="00EC6E05">
              <w:rPr>
                <w:rFonts w:ascii="Arial Narrow" w:hAnsi="Arial Narrow"/>
                <w:bCs/>
                <w:sz w:val="20"/>
                <w:szCs w:val="20"/>
              </w:rPr>
              <w:t>(95% CI: 0.616, 1.027)</w:t>
            </w:r>
          </w:p>
        </w:tc>
        <w:tc>
          <w:tcPr>
            <w:tcW w:w="1439" w:type="pct"/>
            <w:gridSpan w:val="2"/>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1310D8">
            <w:pPr>
              <w:keepNext/>
              <w:keepLines/>
              <w:jc w:val="center"/>
              <w:rPr>
                <w:rFonts w:ascii="Arial Narrow" w:hAnsi="Arial Narrow"/>
                <w:b/>
                <w:sz w:val="20"/>
                <w:szCs w:val="20"/>
              </w:rPr>
            </w:pPr>
            <w:r w:rsidRPr="00EC6E05">
              <w:rPr>
                <w:rFonts w:ascii="Arial Narrow" w:hAnsi="Arial Narrow"/>
                <w:b/>
                <w:sz w:val="20"/>
                <w:szCs w:val="20"/>
              </w:rPr>
              <w:t>0.68</w:t>
            </w:r>
          </w:p>
          <w:p w:rsidR="00B65A3B" w:rsidRPr="00EC6E05" w:rsidRDefault="00B65A3B" w:rsidP="001310D8">
            <w:pPr>
              <w:keepNext/>
              <w:keepLines/>
              <w:jc w:val="center"/>
              <w:rPr>
                <w:rFonts w:ascii="Arial Narrow" w:hAnsi="Arial Narrow"/>
                <w:sz w:val="20"/>
                <w:szCs w:val="20"/>
                <w:vertAlign w:val="superscript"/>
              </w:rPr>
            </w:pPr>
            <w:r w:rsidRPr="00EC6E05">
              <w:rPr>
                <w:rFonts w:ascii="Arial Narrow" w:hAnsi="Arial Narrow"/>
                <w:b/>
                <w:sz w:val="20"/>
                <w:szCs w:val="20"/>
              </w:rPr>
              <w:t>(99.8% CI: 0.49, 0.95)</w:t>
            </w:r>
            <w:r w:rsidRPr="00EC6E05">
              <w:rPr>
                <w:rFonts w:ascii="Arial Narrow" w:hAnsi="Arial Narrow"/>
                <w:sz w:val="20"/>
                <w:szCs w:val="20"/>
              </w:rPr>
              <w:t xml:space="preserve"> </w:t>
            </w:r>
            <w:r w:rsidRPr="00EC6E05">
              <w:rPr>
                <w:rFonts w:ascii="Arial Narrow" w:hAnsi="Arial Narrow"/>
                <w:sz w:val="20"/>
                <w:szCs w:val="20"/>
                <w:vertAlign w:val="superscript"/>
              </w:rPr>
              <w:t>e</w:t>
            </w:r>
          </w:p>
        </w:tc>
      </w:tr>
      <w:tr w:rsidR="00B65A3B" w:rsidRPr="00EC6E05" w:rsidTr="00B65A3B">
        <w:trPr>
          <w:trHeight w:val="244"/>
        </w:trPr>
        <w:tc>
          <w:tcPr>
            <w:tcW w:w="685" w:type="pct"/>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1310D8">
            <w:pPr>
              <w:pStyle w:val="Tableheading0"/>
              <w:keepNext/>
              <w:keepLines/>
              <w:jc w:val="left"/>
              <w:rPr>
                <w:rFonts w:ascii="Arial Narrow" w:hAnsi="Arial Narrow"/>
                <w:b w:val="0"/>
                <w:bCs/>
              </w:rPr>
            </w:pPr>
            <w:r w:rsidRPr="00EC6E05">
              <w:rPr>
                <w:rFonts w:ascii="Arial Narrow" w:hAnsi="Arial Narrow"/>
                <w:bCs/>
              </w:rPr>
              <w:t>p-value </w:t>
            </w:r>
            <w:r w:rsidRPr="00EC6E05">
              <w:rPr>
                <w:rFonts w:ascii="Arial Narrow" w:hAnsi="Arial Narrow"/>
                <w:bCs/>
                <w:vertAlign w:val="superscript"/>
              </w:rPr>
              <w:t>f</w:t>
            </w:r>
          </w:p>
        </w:tc>
        <w:tc>
          <w:tcPr>
            <w:tcW w:w="1438" w:type="pct"/>
            <w:gridSpan w:val="2"/>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1310D8">
            <w:pPr>
              <w:pStyle w:val="Tablecentre"/>
              <w:keepNext/>
              <w:keepLines/>
              <w:rPr>
                <w:rFonts w:ascii="Arial Narrow" w:hAnsi="Arial Narrow"/>
              </w:rPr>
            </w:pPr>
            <w:r w:rsidRPr="00EC6E05">
              <w:rPr>
                <w:rFonts w:ascii="Arial Narrow" w:hAnsi="Arial Narrow"/>
              </w:rPr>
              <w:t>0.1301</w:t>
            </w:r>
          </w:p>
        </w:tc>
        <w:tc>
          <w:tcPr>
            <w:tcW w:w="1438" w:type="pct"/>
            <w:gridSpan w:val="2"/>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1310D8">
            <w:pPr>
              <w:keepNext/>
              <w:keepLines/>
              <w:jc w:val="center"/>
              <w:rPr>
                <w:rFonts w:ascii="Arial Narrow" w:hAnsi="Arial Narrow"/>
                <w:sz w:val="20"/>
                <w:szCs w:val="20"/>
              </w:rPr>
            </w:pPr>
            <w:r w:rsidRPr="00EC6E05">
              <w:rPr>
                <w:rFonts w:ascii="Arial Narrow" w:hAnsi="Arial Narrow"/>
                <w:sz w:val="20"/>
                <w:szCs w:val="20"/>
              </w:rPr>
              <w:t>0.0392</w:t>
            </w:r>
          </w:p>
        </w:tc>
        <w:tc>
          <w:tcPr>
            <w:tcW w:w="1439" w:type="pct"/>
            <w:gridSpan w:val="2"/>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1310D8">
            <w:pPr>
              <w:keepNext/>
              <w:keepLines/>
              <w:jc w:val="center"/>
              <w:rPr>
                <w:rFonts w:ascii="Arial Narrow" w:hAnsi="Arial Narrow"/>
                <w:sz w:val="20"/>
                <w:szCs w:val="20"/>
              </w:rPr>
            </w:pPr>
            <w:r w:rsidRPr="00EC6E05">
              <w:rPr>
                <w:rFonts w:ascii="Arial Narrow" w:hAnsi="Arial Narrow"/>
                <w:sz w:val="20"/>
                <w:szCs w:val="20"/>
              </w:rPr>
              <w:t>&lt; 0.001</w:t>
            </w:r>
          </w:p>
        </w:tc>
      </w:tr>
    </w:tbl>
    <w:p w:rsidR="00B65A3B" w:rsidRPr="00EC6E05" w:rsidRDefault="00B65A3B" w:rsidP="001310D8">
      <w:pPr>
        <w:pStyle w:val="Source"/>
        <w:keepNext/>
        <w:keepLines/>
        <w:rPr>
          <w:rFonts w:ascii="Arial Narrow" w:hAnsi="Arial Narrow"/>
          <w:iCs/>
          <w:szCs w:val="18"/>
        </w:rPr>
      </w:pPr>
      <w:r w:rsidRPr="00EC6E05">
        <w:rPr>
          <w:rFonts w:ascii="Arial Narrow" w:hAnsi="Arial Narrow"/>
          <w:szCs w:val="18"/>
        </w:rPr>
        <w:t>Source: Compiled during the evaluation</w:t>
      </w:r>
      <w:proofErr w:type="gramStart"/>
      <w:r w:rsidRPr="00EC6E05">
        <w:rPr>
          <w:rFonts w:ascii="Arial Narrow" w:hAnsi="Arial Narrow"/>
          <w:szCs w:val="18"/>
        </w:rPr>
        <w:t>;</w:t>
      </w:r>
      <w:proofErr w:type="gramEnd"/>
      <w:r w:rsidRPr="00EC6E05">
        <w:rPr>
          <w:rFonts w:ascii="Arial Narrow" w:hAnsi="Arial Narrow"/>
          <w:szCs w:val="18"/>
        </w:rPr>
        <w:t xml:space="preserve"> Table 2.5-2 p71 and Table 2.5-7 p81 of the Submission</w:t>
      </w:r>
      <w:r w:rsidRPr="00EC6E05">
        <w:rPr>
          <w:rFonts w:ascii="Arial Narrow" w:hAnsi="Arial Narrow"/>
          <w:iCs/>
          <w:szCs w:val="18"/>
        </w:rPr>
        <w:t xml:space="preserve">. </w:t>
      </w:r>
    </w:p>
    <w:p w:rsidR="00B65A3B" w:rsidRPr="00EC6E05" w:rsidRDefault="00B65A3B" w:rsidP="001310D8">
      <w:pPr>
        <w:keepNext/>
        <w:keepLines/>
        <w:rPr>
          <w:sz w:val="18"/>
          <w:szCs w:val="18"/>
        </w:rPr>
      </w:pPr>
      <w:r w:rsidRPr="00EC6E05">
        <w:rPr>
          <w:rFonts w:ascii="Arial Narrow" w:hAnsi="Arial Narrow"/>
          <w:sz w:val="18"/>
          <w:szCs w:val="18"/>
        </w:rPr>
        <w:t xml:space="preserve">Abbreviations: </w:t>
      </w:r>
      <w:r w:rsidR="002E124D">
        <w:rPr>
          <w:rFonts w:ascii="Arial Narrow" w:hAnsi="Arial Narrow"/>
          <w:sz w:val="18"/>
          <w:szCs w:val="18"/>
        </w:rPr>
        <w:t>AVE + AXI</w:t>
      </w:r>
      <w:r w:rsidRPr="00EC6E05">
        <w:rPr>
          <w:rFonts w:ascii="Arial Narrow" w:hAnsi="Arial Narrow"/>
          <w:sz w:val="18"/>
          <w:szCs w:val="18"/>
        </w:rPr>
        <w:t xml:space="preserve"> = </w:t>
      </w:r>
      <w:proofErr w:type="spellStart"/>
      <w:r w:rsidRPr="00EC6E05">
        <w:rPr>
          <w:rFonts w:ascii="Arial Narrow" w:hAnsi="Arial Narrow"/>
          <w:sz w:val="18"/>
          <w:szCs w:val="18"/>
        </w:rPr>
        <w:t>avelumab</w:t>
      </w:r>
      <w:proofErr w:type="spellEnd"/>
      <w:r w:rsidRPr="00EC6E05">
        <w:rPr>
          <w:rFonts w:ascii="Arial Narrow" w:hAnsi="Arial Narrow"/>
          <w:sz w:val="18"/>
          <w:szCs w:val="18"/>
        </w:rPr>
        <w:t xml:space="preserve"> + </w:t>
      </w:r>
      <w:proofErr w:type="spellStart"/>
      <w:r w:rsidRPr="00EC6E05">
        <w:rPr>
          <w:rFonts w:ascii="Arial Narrow" w:hAnsi="Arial Narrow"/>
          <w:sz w:val="18"/>
          <w:szCs w:val="18"/>
        </w:rPr>
        <w:t>axitinib</w:t>
      </w:r>
      <w:proofErr w:type="spellEnd"/>
      <w:r w:rsidRPr="00EC6E05">
        <w:rPr>
          <w:rFonts w:ascii="Arial Narrow" w:hAnsi="Arial Narrow"/>
          <w:sz w:val="18"/>
          <w:szCs w:val="18"/>
        </w:rPr>
        <w:t xml:space="preserve">; CI = confidence interval; HR = hazard ratio; IA2 = second interim analysis; IMDC = International Metastatic Renal Cell Carcinoma Database Consortium; ITT = intention-to-treat; NE = not established; </w:t>
      </w:r>
      <w:r w:rsidR="002E124D">
        <w:rPr>
          <w:rFonts w:ascii="Arial Narrow" w:hAnsi="Arial Narrow"/>
          <w:sz w:val="18"/>
          <w:szCs w:val="18"/>
        </w:rPr>
        <w:t>NIVO + IPI</w:t>
      </w:r>
      <w:r w:rsidRPr="00EC6E05">
        <w:rPr>
          <w:rFonts w:ascii="Arial Narrow" w:hAnsi="Arial Narrow"/>
          <w:sz w:val="18"/>
          <w:szCs w:val="18"/>
        </w:rPr>
        <w:t> = </w:t>
      </w:r>
      <w:proofErr w:type="spellStart"/>
      <w:r w:rsidRPr="00EC6E05">
        <w:rPr>
          <w:rFonts w:ascii="Arial Narrow" w:hAnsi="Arial Narrow"/>
          <w:sz w:val="18"/>
          <w:szCs w:val="18"/>
        </w:rPr>
        <w:t>nivolumab</w:t>
      </w:r>
      <w:proofErr w:type="spellEnd"/>
      <w:r w:rsidRPr="00EC6E05">
        <w:rPr>
          <w:rFonts w:ascii="Arial Narrow" w:hAnsi="Arial Narrow"/>
          <w:sz w:val="18"/>
          <w:szCs w:val="18"/>
        </w:rPr>
        <w:t xml:space="preserve"> + </w:t>
      </w:r>
      <w:proofErr w:type="spellStart"/>
      <w:r w:rsidRPr="00EC6E05">
        <w:rPr>
          <w:rFonts w:ascii="Arial Narrow" w:hAnsi="Arial Narrow"/>
          <w:sz w:val="18"/>
          <w:szCs w:val="18"/>
        </w:rPr>
        <w:t>ipilimumab</w:t>
      </w:r>
      <w:proofErr w:type="spellEnd"/>
      <w:r w:rsidRPr="00EC6E05">
        <w:rPr>
          <w:rFonts w:ascii="Arial Narrow" w:hAnsi="Arial Narrow"/>
          <w:sz w:val="18"/>
          <w:szCs w:val="18"/>
        </w:rPr>
        <w:t>; OS = overall survival; PD-L1 = programmed death ligand 1; SUN = </w:t>
      </w:r>
      <w:proofErr w:type="spellStart"/>
      <w:r w:rsidRPr="00EC6E05">
        <w:rPr>
          <w:rFonts w:ascii="Arial Narrow" w:hAnsi="Arial Narrow"/>
          <w:sz w:val="18"/>
          <w:szCs w:val="18"/>
        </w:rPr>
        <w:t>sunitinib</w:t>
      </w:r>
      <w:proofErr w:type="spellEnd"/>
      <w:r w:rsidRPr="00EC6E05">
        <w:rPr>
          <w:rFonts w:ascii="Arial Narrow" w:hAnsi="Arial Narrow"/>
          <w:sz w:val="18"/>
          <w:szCs w:val="18"/>
        </w:rPr>
        <w:t xml:space="preserve"> </w:t>
      </w:r>
    </w:p>
    <w:p w:rsidR="00B65A3B" w:rsidRPr="00EC6E05" w:rsidRDefault="00B65A3B" w:rsidP="001310D8">
      <w:pPr>
        <w:keepNext/>
        <w:keepLines/>
        <w:rPr>
          <w:rFonts w:ascii="Arial Narrow" w:hAnsi="Arial Narrow"/>
          <w:sz w:val="18"/>
          <w:szCs w:val="18"/>
        </w:rPr>
      </w:pPr>
      <w:proofErr w:type="gramStart"/>
      <w:r w:rsidRPr="00D62BF4">
        <w:rPr>
          <w:rFonts w:ascii="Arial Narrow" w:hAnsi="Arial Narrow"/>
          <w:sz w:val="18"/>
          <w:szCs w:val="18"/>
          <w:vertAlign w:val="superscript"/>
        </w:rPr>
        <w:t>a</w:t>
      </w:r>
      <w:proofErr w:type="gramEnd"/>
      <w:r w:rsidRPr="00EC6E05">
        <w:rPr>
          <w:rFonts w:ascii="Arial Narrow" w:hAnsi="Arial Narrow"/>
          <w:sz w:val="18"/>
          <w:szCs w:val="18"/>
        </w:rPr>
        <w:t xml:space="preserve"> Data cut off for IA2 was 28 January 2019, minimum duration of follow-up was 13 months. </w:t>
      </w:r>
    </w:p>
    <w:p w:rsidR="00B65A3B" w:rsidRPr="00EC6E05" w:rsidRDefault="00B65A3B" w:rsidP="001310D8">
      <w:pPr>
        <w:keepNext/>
        <w:keepLines/>
        <w:rPr>
          <w:rFonts w:ascii="Arial Narrow" w:hAnsi="Arial Narrow"/>
          <w:sz w:val="18"/>
          <w:szCs w:val="18"/>
        </w:rPr>
      </w:pPr>
      <w:proofErr w:type="gramStart"/>
      <w:r w:rsidRPr="00D62BF4">
        <w:rPr>
          <w:rFonts w:ascii="Arial Narrow" w:hAnsi="Arial Narrow"/>
          <w:sz w:val="18"/>
          <w:szCs w:val="18"/>
          <w:vertAlign w:val="superscript"/>
        </w:rPr>
        <w:t>b</w:t>
      </w:r>
      <w:proofErr w:type="gramEnd"/>
      <w:r w:rsidRPr="00EC6E05">
        <w:rPr>
          <w:rFonts w:ascii="Arial Narrow" w:hAnsi="Arial Narrow"/>
          <w:sz w:val="18"/>
          <w:szCs w:val="18"/>
        </w:rPr>
        <w:t xml:space="preserve"> Data cut off was 7 August 2017, minimum duration of follow-up was 17.5 months. </w:t>
      </w:r>
    </w:p>
    <w:p w:rsidR="00B65A3B" w:rsidRPr="00EC6E05" w:rsidRDefault="00B65A3B" w:rsidP="001310D8">
      <w:pPr>
        <w:keepNext/>
        <w:keepLines/>
        <w:rPr>
          <w:rFonts w:ascii="Arial Narrow" w:hAnsi="Arial Narrow"/>
          <w:sz w:val="18"/>
          <w:szCs w:val="18"/>
        </w:rPr>
      </w:pPr>
      <w:proofErr w:type="gramStart"/>
      <w:r w:rsidRPr="00D62BF4">
        <w:rPr>
          <w:rFonts w:ascii="Arial Narrow" w:hAnsi="Arial Narrow"/>
          <w:sz w:val="18"/>
          <w:szCs w:val="18"/>
          <w:vertAlign w:val="superscript"/>
        </w:rPr>
        <w:t>c</w:t>
      </w:r>
      <w:proofErr w:type="gramEnd"/>
      <w:r w:rsidRPr="00EC6E05">
        <w:rPr>
          <w:rFonts w:ascii="Arial Narrow" w:hAnsi="Arial Narrow"/>
          <w:sz w:val="18"/>
          <w:szCs w:val="18"/>
        </w:rPr>
        <w:t xml:space="preserve"> OS by PD-L1 subgroup were not reported in </w:t>
      </w:r>
      <w:proofErr w:type="spellStart"/>
      <w:r w:rsidRPr="00EC6E05">
        <w:rPr>
          <w:rFonts w:ascii="Arial Narrow" w:hAnsi="Arial Narrow"/>
          <w:sz w:val="18"/>
          <w:szCs w:val="18"/>
        </w:rPr>
        <w:t>CheckMate</w:t>
      </w:r>
      <w:proofErr w:type="spellEnd"/>
      <w:r w:rsidRPr="00EC6E05">
        <w:rPr>
          <w:rFonts w:ascii="Arial Narrow" w:hAnsi="Arial Narrow"/>
          <w:sz w:val="18"/>
          <w:szCs w:val="18"/>
        </w:rPr>
        <w:t xml:space="preserve"> 214</w:t>
      </w:r>
    </w:p>
    <w:p w:rsidR="00B65A3B" w:rsidRPr="00EC6E05" w:rsidRDefault="00B65A3B" w:rsidP="001310D8">
      <w:pPr>
        <w:keepNext/>
        <w:keepLines/>
        <w:rPr>
          <w:rFonts w:ascii="Arial Narrow" w:hAnsi="Arial Narrow"/>
          <w:b/>
          <w:bCs/>
          <w:sz w:val="18"/>
          <w:szCs w:val="18"/>
        </w:rPr>
      </w:pPr>
      <w:proofErr w:type="gramStart"/>
      <w:r w:rsidRPr="00D62BF4">
        <w:rPr>
          <w:rFonts w:ascii="Arial Narrow" w:hAnsi="Arial Narrow"/>
          <w:sz w:val="18"/>
          <w:szCs w:val="18"/>
          <w:vertAlign w:val="superscript"/>
        </w:rPr>
        <w:t>d</w:t>
      </w:r>
      <w:proofErr w:type="gramEnd"/>
      <w:r w:rsidRPr="00EC6E05">
        <w:rPr>
          <w:rFonts w:ascii="Arial Narrow" w:hAnsi="Arial Narrow"/>
          <w:sz w:val="18"/>
          <w:szCs w:val="18"/>
        </w:rPr>
        <w:t xml:space="preserve"> Submission calculation: obtained by adding the number of patient deaths in the favourable and the intermediate to poor IMDC risk groups. </w:t>
      </w:r>
    </w:p>
    <w:p w:rsidR="00B65A3B" w:rsidRPr="00EC6E05" w:rsidRDefault="00B65A3B" w:rsidP="001310D8">
      <w:pPr>
        <w:pStyle w:val="Caption"/>
        <w:keepNext/>
        <w:keepLines/>
        <w:spacing w:after="0"/>
        <w:rPr>
          <w:rFonts w:ascii="Arial Narrow" w:hAnsi="Arial Narrow"/>
          <w:b w:val="0"/>
          <w:bCs w:val="0"/>
          <w:color w:val="auto"/>
        </w:rPr>
      </w:pPr>
      <w:proofErr w:type="gramStart"/>
      <w:r w:rsidRPr="00D62BF4">
        <w:rPr>
          <w:rFonts w:ascii="Arial Narrow" w:hAnsi="Arial Narrow"/>
          <w:b w:val="0"/>
          <w:bCs w:val="0"/>
          <w:color w:val="auto"/>
          <w:vertAlign w:val="superscript"/>
        </w:rPr>
        <w:t>e</w:t>
      </w:r>
      <w:proofErr w:type="gramEnd"/>
      <w:r w:rsidRPr="00EC6E05">
        <w:rPr>
          <w:rFonts w:ascii="Arial Narrow" w:hAnsi="Arial Narrow"/>
          <w:b w:val="0"/>
          <w:bCs w:val="0"/>
          <w:color w:val="auto"/>
        </w:rPr>
        <w:t xml:space="preserve"> </w:t>
      </w:r>
      <w:proofErr w:type="spellStart"/>
      <w:r w:rsidRPr="00EC6E05">
        <w:rPr>
          <w:rFonts w:ascii="Arial Narrow" w:hAnsi="Arial Narrow"/>
          <w:b w:val="0"/>
          <w:bCs w:val="0"/>
          <w:color w:val="auto"/>
        </w:rPr>
        <w:t>CheckMate</w:t>
      </w:r>
      <w:proofErr w:type="spellEnd"/>
      <w:r w:rsidRPr="00EC6E05">
        <w:rPr>
          <w:rFonts w:ascii="Arial Narrow" w:hAnsi="Arial Narrow"/>
          <w:b w:val="0"/>
          <w:bCs w:val="0"/>
          <w:color w:val="auto"/>
        </w:rPr>
        <w:t xml:space="preserve"> 214 presented the HR 99.8% CI </w:t>
      </w:r>
    </w:p>
    <w:p w:rsidR="00B65A3B" w:rsidRPr="00EC6E05" w:rsidRDefault="00B65A3B" w:rsidP="001310D8">
      <w:pPr>
        <w:keepNext/>
        <w:keepLines/>
        <w:rPr>
          <w:rFonts w:ascii="Arial Narrow" w:hAnsi="Arial Narrow"/>
          <w:sz w:val="18"/>
          <w:szCs w:val="18"/>
        </w:rPr>
      </w:pPr>
      <w:proofErr w:type="gramStart"/>
      <w:r w:rsidRPr="00D62BF4">
        <w:rPr>
          <w:rFonts w:ascii="Arial Narrow" w:hAnsi="Arial Narrow"/>
          <w:sz w:val="18"/>
          <w:szCs w:val="18"/>
          <w:vertAlign w:val="superscript"/>
        </w:rPr>
        <w:t>f</w:t>
      </w:r>
      <w:proofErr w:type="gramEnd"/>
      <w:r w:rsidRPr="00EC6E05">
        <w:rPr>
          <w:rFonts w:ascii="Arial Narrow" w:hAnsi="Arial Narrow"/>
          <w:sz w:val="18"/>
          <w:szCs w:val="18"/>
        </w:rPr>
        <w:t xml:space="preserve"> The p-value is based on a one-sided test</w:t>
      </w:r>
    </w:p>
    <w:p w:rsidR="00EC0F10" w:rsidRPr="00EC6E05" w:rsidRDefault="00EC0F10" w:rsidP="001310D8">
      <w:pPr>
        <w:keepNext/>
        <w:keepLines/>
        <w:rPr>
          <w:rFonts w:ascii="Arial Narrow" w:hAnsi="Arial Narrow"/>
          <w:sz w:val="18"/>
          <w:szCs w:val="18"/>
        </w:rPr>
      </w:pPr>
      <w:r w:rsidRPr="00EC6E05">
        <w:rPr>
          <w:rFonts w:ascii="Arial Narrow" w:hAnsi="Arial Narrow"/>
          <w:sz w:val="18"/>
          <w:szCs w:val="18"/>
        </w:rPr>
        <w:t>Bold indicates statistical significance.</w:t>
      </w:r>
    </w:p>
    <w:p w:rsidR="00B65A3B" w:rsidRPr="00EC6E05" w:rsidRDefault="00B65A3B" w:rsidP="00B65A3B">
      <w:pPr>
        <w:jc w:val="left"/>
        <w:rPr>
          <w:rFonts w:ascii="Times New Roman" w:hAnsi="Times New Roman" w:cs="Times New Roman"/>
        </w:rPr>
      </w:pPr>
    </w:p>
    <w:p w:rsidR="00B65A3B" w:rsidRPr="00EC6E05" w:rsidRDefault="00B65A3B" w:rsidP="00B65A3B">
      <w:pPr>
        <w:pStyle w:val="TableFigureHeading"/>
      </w:pPr>
      <w:r w:rsidRPr="00EC6E05">
        <w:t xml:space="preserve">Figure </w:t>
      </w:r>
      <w:r w:rsidR="00295251" w:rsidRPr="00EC6E05">
        <w:t>3</w:t>
      </w:r>
      <w:r w:rsidRPr="00EC6E05">
        <w:t xml:space="preserve">: JAVELIN Kaplan-Meier estimates of OS in the ITT population </w:t>
      </w:r>
    </w:p>
    <w:tbl>
      <w:tblPr>
        <w:tblStyle w:val="TableGrid"/>
        <w:tblW w:w="0" w:type="auto"/>
        <w:tblLook w:val="04A0" w:firstRow="1" w:lastRow="0" w:firstColumn="1" w:lastColumn="0" w:noHBand="0" w:noVBand="1"/>
        <w:tblCaption w:val="Figure 3: JAVELIN Kaplan-Meier estimates of OS in the ITT population"/>
      </w:tblPr>
      <w:tblGrid>
        <w:gridCol w:w="7104"/>
      </w:tblGrid>
      <w:tr w:rsidR="00B65A3B" w:rsidRPr="00EC6E05" w:rsidTr="007D4C7D">
        <w:trPr>
          <w:trHeight w:val="3551"/>
          <w:tblHeader/>
        </w:trPr>
        <w:tc>
          <w:tcPr>
            <w:tcW w:w="7104" w:type="dxa"/>
            <w:tcBorders>
              <w:top w:val="single" w:sz="4" w:space="0" w:color="auto"/>
              <w:left w:val="single" w:sz="4" w:space="0" w:color="auto"/>
              <w:bottom w:val="single" w:sz="4" w:space="0" w:color="auto"/>
              <w:right w:val="single" w:sz="4" w:space="0" w:color="auto"/>
            </w:tcBorders>
            <w:hideMark/>
          </w:tcPr>
          <w:p w:rsidR="00B65A3B" w:rsidRPr="00EC6E05" w:rsidRDefault="00B65A3B" w:rsidP="00B65A3B">
            <w:pPr>
              <w:keepNext/>
            </w:pPr>
            <w:r w:rsidRPr="00EC6E05">
              <w:rPr>
                <w:noProof/>
              </w:rPr>
              <w:drawing>
                <wp:inline distT="0" distB="0" distL="0" distR="0" wp14:anchorId="6EAD1068" wp14:editId="142DCAF3">
                  <wp:extent cx="3684905" cy="2492829"/>
                  <wp:effectExtent l="0" t="0" r="0" b="3175"/>
                  <wp:docPr id="197" name="Picture 197" title="Figure 3: JAVELIN Kaplan-Meier estimates of OS in the ITT popul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06964" cy="2507752"/>
                          </a:xfrm>
                          <a:prstGeom prst="rect">
                            <a:avLst/>
                          </a:prstGeom>
                          <a:noFill/>
                          <a:ln>
                            <a:noFill/>
                          </a:ln>
                        </pic:spPr>
                      </pic:pic>
                    </a:graphicData>
                  </a:graphic>
                </wp:inline>
              </w:drawing>
            </w:r>
          </w:p>
        </w:tc>
      </w:tr>
    </w:tbl>
    <w:p w:rsidR="00B65A3B" w:rsidRPr="00EC6E05" w:rsidRDefault="00B65A3B" w:rsidP="00B65A3B">
      <w:pPr>
        <w:pStyle w:val="Source"/>
        <w:rPr>
          <w:rFonts w:ascii="Arial Narrow" w:hAnsi="Arial Narrow"/>
        </w:rPr>
      </w:pPr>
      <w:r w:rsidRPr="00EC6E05">
        <w:rPr>
          <w:rFonts w:ascii="Arial Narrow" w:hAnsi="Arial Narrow"/>
        </w:rPr>
        <w:t xml:space="preserve">Source: Figure 2.5-3 p72 of the Submission. </w:t>
      </w:r>
    </w:p>
    <w:p w:rsidR="00B65A3B" w:rsidRPr="00EC6E05" w:rsidRDefault="00B65A3B" w:rsidP="006D44E1">
      <w:pPr>
        <w:spacing w:after="240"/>
      </w:pPr>
      <w:r w:rsidRPr="00EC6E05">
        <w:rPr>
          <w:rFonts w:ascii="Arial Narrow" w:eastAsiaTheme="minorHAnsi" w:hAnsi="Arial Narrow" w:cstheme="minorBidi"/>
          <w:sz w:val="18"/>
          <w:szCs w:val="22"/>
          <w:lang w:eastAsia="en-US"/>
        </w:rPr>
        <w:t>Abbreviations: CI = confidence interval; HR = hazard ratio; ITT = intention-to-treat; NE = not estimable; OS = overall survival; PD-L1 = programmed death ligand 1.</w:t>
      </w:r>
    </w:p>
    <w:p w:rsidR="003527F4" w:rsidRPr="00EC6E05" w:rsidRDefault="003527F4" w:rsidP="00E84A65">
      <w:pPr>
        <w:pStyle w:val="5-SubsectionSubheading"/>
      </w:pPr>
      <w:r w:rsidRPr="00EC6E05">
        <w:t>Patient</w:t>
      </w:r>
      <w:r w:rsidR="00050AE1" w:rsidRPr="00EC6E05">
        <w:t>-</w:t>
      </w:r>
      <w:r w:rsidRPr="00EC6E05">
        <w:t>reported outcomes</w:t>
      </w:r>
    </w:p>
    <w:p w:rsidR="00883C66" w:rsidRDefault="00B65A3B" w:rsidP="00BF2EA7">
      <w:pPr>
        <w:pStyle w:val="3-BodyText"/>
      </w:pPr>
      <w:r w:rsidRPr="00EC6E05">
        <w:rPr>
          <w:snapToGrid/>
        </w:rPr>
        <w:t xml:space="preserve">Both studies used </w:t>
      </w:r>
      <w:r w:rsidRPr="00EC6E05">
        <w:t xml:space="preserve">the </w:t>
      </w:r>
      <w:r w:rsidRPr="00EC6E05">
        <w:rPr>
          <w:szCs w:val="18"/>
        </w:rPr>
        <w:t xml:space="preserve">Functional Assessment of Cancer Therapy-Kidney Symptom Index-19 (FKSI-19) and </w:t>
      </w:r>
      <w:proofErr w:type="spellStart"/>
      <w:r w:rsidRPr="00EC6E05">
        <w:rPr>
          <w:szCs w:val="18"/>
        </w:rPr>
        <w:t>EuroQol</w:t>
      </w:r>
      <w:proofErr w:type="spellEnd"/>
      <w:r w:rsidRPr="00EC6E05">
        <w:rPr>
          <w:szCs w:val="18"/>
        </w:rPr>
        <w:t xml:space="preserve"> five dimensions</w:t>
      </w:r>
      <w:r w:rsidR="001310D8" w:rsidRPr="00EC6E05">
        <w:rPr>
          <w:szCs w:val="18"/>
        </w:rPr>
        <w:t xml:space="preserve"> </w:t>
      </w:r>
      <w:r w:rsidRPr="00EC6E05">
        <w:t xml:space="preserve">(EQ-5D) to estimate patient reported outcomes for quality of life. In addition to these, </w:t>
      </w:r>
      <w:proofErr w:type="spellStart"/>
      <w:r w:rsidRPr="00EC6E05">
        <w:t>CheckMate</w:t>
      </w:r>
      <w:proofErr w:type="spellEnd"/>
      <w:r w:rsidRPr="00EC6E05">
        <w:t xml:space="preserve"> 214 </w:t>
      </w:r>
      <w:r w:rsidR="00DD0F95">
        <w:t>included</w:t>
      </w:r>
      <w:r w:rsidR="00DD0F95" w:rsidRPr="00EC6E05">
        <w:t xml:space="preserve"> </w:t>
      </w:r>
      <w:r w:rsidR="00A723C2" w:rsidRPr="00EC6E05">
        <w:t xml:space="preserve">the </w:t>
      </w:r>
      <w:r w:rsidRPr="00EC6E05">
        <w:rPr>
          <w:szCs w:val="18"/>
        </w:rPr>
        <w:t>Functional Assessment of Cancer Therapy General (FACT-G)</w:t>
      </w:r>
      <w:r w:rsidR="00DD0F95">
        <w:rPr>
          <w:szCs w:val="18"/>
        </w:rPr>
        <w:t xml:space="preserve"> instrument</w:t>
      </w:r>
      <w:r w:rsidRPr="00EC6E05">
        <w:t xml:space="preserve">. </w:t>
      </w:r>
    </w:p>
    <w:p w:rsidR="00883C66" w:rsidRDefault="00B65A3B" w:rsidP="00BF2EA7">
      <w:pPr>
        <w:pStyle w:val="3-BodyText"/>
      </w:pPr>
      <w:r w:rsidRPr="00EC6E05">
        <w:t xml:space="preserve">The </w:t>
      </w:r>
      <w:r w:rsidRPr="00EC6E05">
        <w:rPr>
          <w:snapToGrid/>
        </w:rPr>
        <w:t xml:space="preserve">estimated mean changes </w:t>
      </w:r>
      <w:r w:rsidRPr="00EC6E05">
        <w:t xml:space="preserve">in JAVELIN over 18 cycles were not statistically </w:t>
      </w:r>
      <w:r w:rsidR="00883C66">
        <w:t xml:space="preserve">different between the two arms with an </w:t>
      </w:r>
      <w:r w:rsidRPr="00EC6E05">
        <w:t>estimated mean difference</w:t>
      </w:r>
      <w:r w:rsidR="00883C66">
        <w:t xml:space="preserve"> in</w:t>
      </w:r>
      <w:r w:rsidRPr="00EC6E05">
        <w:t xml:space="preserve"> </w:t>
      </w:r>
      <w:r w:rsidR="00883C66">
        <w:t>FKSI-19 of</w:t>
      </w:r>
      <w:r w:rsidRPr="00EC6E05">
        <w:t xml:space="preserve"> </w:t>
      </w:r>
      <w:r w:rsidR="006A083B">
        <w:rPr>
          <w:noProof/>
          <w:color w:val="000000"/>
          <w:highlight w:val="black"/>
        </w:rPr>
        <w:t xml:space="preserve">'''''' '''''''''' ''''' </w:t>
      </w:r>
      <w:r w:rsidR="006A083B">
        <w:rPr>
          <w:noProof/>
          <w:color w:val="000000"/>
          <w:highlight w:val="black"/>
        </w:rPr>
        <w:lastRenderedPageBreak/>
        <w:t>'''''''' ''''''' ''' ''' ''''''''''''''''</w:t>
      </w:r>
      <w:r w:rsidR="00883C66">
        <w:t xml:space="preserve"> and</w:t>
      </w:r>
      <w:r w:rsidRPr="00EC6E05">
        <w:t xml:space="preserve"> mean difference </w:t>
      </w:r>
      <w:r w:rsidR="00883C66">
        <w:t xml:space="preserve">in </w:t>
      </w:r>
      <w:r w:rsidRPr="00EC6E05">
        <w:t>EQ-5D-5L</w:t>
      </w:r>
      <w:r w:rsidR="00883C66">
        <w:t xml:space="preserve"> of</w:t>
      </w:r>
      <w:r w:rsidRPr="00EC6E05">
        <w:t xml:space="preserve"> </w:t>
      </w:r>
      <w:r w:rsidR="006A083B">
        <w:rPr>
          <w:noProof/>
          <w:color w:val="000000"/>
          <w:highlight w:val="black"/>
        </w:rPr>
        <w:t>''''''''''' ''''''''' ''''' '''''''''''' ''''''''''' ''' '' ''''''''''''''</w:t>
      </w:r>
      <w:r w:rsidRPr="00EC6E05">
        <w:t xml:space="preserve">. </w:t>
      </w:r>
    </w:p>
    <w:p w:rsidR="00B65A3B" w:rsidRPr="00EC6E05" w:rsidDel="00135758" w:rsidRDefault="004447D7" w:rsidP="000C1774">
      <w:pPr>
        <w:pStyle w:val="3-BodyText"/>
      </w:pPr>
      <w:r>
        <w:t>In</w:t>
      </w:r>
      <w:r w:rsidR="00B65A3B" w:rsidRPr="00EC6E05">
        <w:t xml:space="preserve"> </w:t>
      </w:r>
      <w:proofErr w:type="spellStart"/>
      <w:r w:rsidR="00B65A3B" w:rsidRPr="00EC6E05">
        <w:t>CheckMate</w:t>
      </w:r>
      <w:proofErr w:type="spellEnd"/>
      <w:r w:rsidR="00B65A3B" w:rsidRPr="00EC6E05">
        <w:t xml:space="preserve"> 214</w:t>
      </w:r>
      <w:r>
        <w:t>,</w:t>
      </w:r>
      <w:r w:rsidR="00B65A3B" w:rsidRPr="00EC6E05">
        <w:t xml:space="preserve"> the </w:t>
      </w:r>
      <w:r>
        <w:t>improvement</w:t>
      </w:r>
      <w:r w:rsidR="00B65A3B" w:rsidRPr="00EC6E05">
        <w:t xml:space="preserve"> in FKSI-19 from baseline to week 103 was </w:t>
      </w:r>
      <w:r>
        <w:t xml:space="preserve">significantly </w:t>
      </w:r>
      <w:r w:rsidR="00B65A3B" w:rsidRPr="00EC6E05">
        <w:t xml:space="preserve">greater </w:t>
      </w:r>
      <w:r>
        <w:t>with</w:t>
      </w:r>
      <w:r w:rsidR="00B65A3B" w:rsidRPr="00EC6E05">
        <w:t xml:space="preserve"> NIVO + IPI </w:t>
      </w:r>
      <w:r>
        <w:t xml:space="preserve">compared with </w:t>
      </w:r>
      <w:proofErr w:type="spellStart"/>
      <w:r w:rsidR="00BC4A5E" w:rsidRPr="00EC6E05">
        <w:t>sunitinib</w:t>
      </w:r>
      <w:proofErr w:type="spellEnd"/>
      <w:r w:rsidR="000C1774">
        <w:t xml:space="preserve">. </w:t>
      </w:r>
      <w:r w:rsidR="000C1774" w:rsidRPr="000C1774">
        <w:t xml:space="preserve">In patients </w:t>
      </w:r>
      <w:r w:rsidR="000C1774">
        <w:t xml:space="preserve">with intermediate or poor IMDC </w:t>
      </w:r>
      <w:r w:rsidR="000C1774" w:rsidRPr="000C1774">
        <w:t>risk, the change from baseline to Week 103 in FACT-G total score was 4.77 (95% CI: 1.73, 7.82) for NIVO + IPI and 4.32 (95% CI: 8.54, 0.11) for SUNI (p = 0.0005</w:t>
      </w:r>
      <w:r w:rsidR="000C1774">
        <w:t>)</w:t>
      </w:r>
      <w:r w:rsidR="00B65A3B" w:rsidRPr="00EC6E05">
        <w:t xml:space="preserve">. However, the difference in mean EQ-5D-3L visual analogue rating scale scores was not statistically significant between </w:t>
      </w:r>
      <w:r w:rsidR="000C1774">
        <w:t>treatment arms</w:t>
      </w:r>
      <w:r w:rsidR="00B65A3B" w:rsidRPr="00EC6E05">
        <w:t xml:space="preserve">. </w:t>
      </w:r>
      <w:r w:rsidR="00B65A3B" w:rsidRPr="00EC6E05" w:rsidDel="00135758">
        <w:rPr>
          <w:rFonts w:eastAsia="ScalaLancetPro" w:cstheme="minorHAnsi"/>
          <w:iCs/>
        </w:rPr>
        <w:t xml:space="preserve">The overall completion rates were higher in JAVELIN than in </w:t>
      </w:r>
      <w:proofErr w:type="spellStart"/>
      <w:r w:rsidR="00B65A3B" w:rsidRPr="00EC6E05" w:rsidDel="00135758">
        <w:rPr>
          <w:rFonts w:eastAsia="ScalaLancetPro" w:cstheme="minorHAnsi"/>
          <w:iCs/>
        </w:rPr>
        <w:t>CheckMate</w:t>
      </w:r>
      <w:proofErr w:type="spellEnd"/>
      <w:r w:rsidR="00B65A3B" w:rsidRPr="00EC6E05" w:rsidDel="00135758">
        <w:rPr>
          <w:rFonts w:eastAsia="ScalaLancetPro" w:cstheme="minorHAnsi"/>
          <w:iCs/>
        </w:rPr>
        <w:t xml:space="preserve"> 214; the effects and reasons for non-compliance are unclear.</w:t>
      </w:r>
    </w:p>
    <w:p w:rsidR="00050AE1" w:rsidRPr="00EC6E05" w:rsidRDefault="00102B9A" w:rsidP="00E84A65">
      <w:pPr>
        <w:pStyle w:val="5-SubsectionSubheading"/>
      </w:pPr>
      <w:r>
        <w:t>PFS r</w:t>
      </w:r>
      <w:r w:rsidR="00535B22" w:rsidRPr="00EC6E05">
        <w:t>esults by IMDC prognostic risk group</w:t>
      </w:r>
    </w:p>
    <w:p w:rsidR="00B65A3B" w:rsidRPr="00EC6E05" w:rsidRDefault="00B65A3B" w:rsidP="00BF2EA7">
      <w:pPr>
        <w:pStyle w:val="3-BodyText"/>
        <w:rPr>
          <w:iCs/>
        </w:rPr>
      </w:pPr>
      <w:r w:rsidRPr="00EC6E05">
        <w:t xml:space="preserve">Subgroup </w:t>
      </w:r>
      <w:r w:rsidR="0085462C">
        <w:t>analyses</w:t>
      </w:r>
      <w:r w:rsidRPr="00EC6E05">
        <w:t xml:space="preserve"> for PFS, OS and ORR for </w:t>
      </w:r>
      <w:r w:rsidR="0085462C">
        <w:t xml:space="preserve">the </w:t>
      </w:r>
      <w:r w:rsidRPr="00EC6E05">
        <w:t>JAVELIN</w:t>
      </w:r>
      <w:r w:rsidR="0085462C">
        <w:t xml:space="preserve"> ITT population</w:t>
      </w:r>
      <w:r w:rsidRPr="00EC6E05">
        <w:t xml:space="preserve"> by IMDC prognostic risk criteria and PD-L1 expression status </w:t>
      </w:r>
      <w:proofErr w:type="gramStart"/>
      <w:r w:rsidRPr="00EC6E05">
        <w:t>were presented</w:t>
      </w:r>
      <w:proofErr w:type="gramEnd"/>
      <w:r w:rsidR="0085462C">
        <w:t xml:space="preserve"> in the submission</w:t>
      </w:r>
      <w:r w:rsidRPr="00EC6E05">
        <w:t xml:space="preserve"> to determine if </w:t>
      </w:r>
      <w:r w:rsidR="0085462C">
        <w:t>differences in these parameters were likely to affect the efficacy estimates</w:t>
      </w:r>
      <w:r w:rsidRPr="00EC6E05">
        <w:t>. The submission claimed no treatment effect modification</w:t>
      </w:r>
      <w:r w:rsidR="0085462C">
        <w:t xml:space="preserve"> by</w:t>
      </w:r>
      <w:r w:rsidRPr="00EC6E05">
        <w:t xml:space="preserve"> either risk criteria or PD-L1 status </w:t>
      </w:r>
      <w:r w:rsidR="0085462C">
        <w:t>for</w:t>
      </w:r>
      <w:r w:rsidRPr="00EC6E05">
        <w:t xml:space="preserve"> PFS </w:t>
      </w:r>
      <w:r w:rsidR="006A083B">
        <w:rPr>
          <w:noProof/>
          <w:color w:val="000000"/>
          <w:highlight w:val="black"/>
        </w:rPr>
        <w:t xml:space="preserve">''''''''''' ''''''' ''''''''''''' ''''''''''''''''''' '''''''''' '''''''''''''''''''''' ''''''''''' ''''''''''''''''''' ''''' ''''' ''''''''''' '''''''' '''''''''''''' ''''''''''''''''''''' '''''''''''' ''''''''''''''''''' ''''''''''' '''''''''''''''''''''' </w:t>
      </w:r>
      <w:r w:rsidR="008A68BA">
        <w:t>Although</w:t>
      </w:r>
      <w:r w:rsidRPr="00EC6E05">
        <w:t xml:space="preserve"> not statistically significant, </w:t>
      </w:r>
      <w:r w:rsidR="008A68BA">
        <w:t>the study was not powered to test for treatment effect variation across subgroups</w:t>
      </w:r>
      <w:r w:rsidR="002E124D">
        <w:t>.</w:t>
      </w:r>
    </w:p>
    <w:p w:rsidR="00B65A3B" w:rsidRPr="00EC6E05" w:rsidRDefault="00B65A3B" w:rsidP="00BF2EA7">
      <w:pPr>
        <w:pStyle w:val="3-BodyText"/>
      </w:pPr>
      <w:r w:rsidRPr="00EC6E05">
        <w:t xml:space="preserve">The JAVELIN post-hoc Kaplan-Meier estimates </w:t>
      </w:r>
      <w:r w:rsidR="00D573BB" w:rsidRPr="00EC6E05">
        <w:t>are presented in Figure</w:t>
      </w:r>
      <w:r w:rsidR="0064004E" w:rsidRPr="00EC6E05">
        <w:t>s</w:t>
      </w:r>
      <w:r w:rsidR="00D573BB" w:rsidRPr="00EC6E05">
        <w:t xml:space="preserve"> </w:t>
      </w:r>
      <w:r w:rsidR="00295251" w:rsidRPr="00EC6E05">
        <w:t>4</w:t>
      </w:r>
      <w:r w:rsidR="00D573BB" w:rsidRPr="00EC6E05">
        <w:t xml:space="preserve"> </w:t>
      </w:r>
      <w:r w:rsidR="0064004E" w:rsidRPr="00EC6E05">
        <w:t xml:space="preserve">(PFS) </w:t>
      </w:r>
      <w:r w:rsidR="00D573BB" w:rsidRPr="00EC6E05">
        <w:t xml:space="preserve">and </w:t>
      </w:r>
      <w:proofErr w:type="gramStart"/>
      <w:r w:rsidR="00295251" w:rsidRPr="00EC6E05">
        <w:t>6</w:t>
      </w:r>
      <w:proofErr w:type="gramEnd"/>
      <w:r w:rsidR="00D573BB" w:rsidRPr="00EC6E05">
        <w:t xml:space="preserve"> </w:t>
      </w:r>
      <w:r w:rsidR="0064004E" w:rsidRPr="00EC6E05">
        <w:t xml:space="preserve">(OS) </w:t>
      </w:r>
      <w:r w:rsidR="00D573BB" w:rsidRPr="00EC6E05">
        <w:t xml:space="preserve">respectively for </w:t>
      </w:r>
      <w:r w:rsidRPr="00EC6E05">
        <w:t>patients with intermediate or poor</w:t>
      </w:r>
      <w:r w:rsidR="001F3499" w:rsidRPr="00EC6E05">
        <w:t>,</w:t>
      </w:r>
      <w:r w:rsidRPr="00EC6E05">
        <w:t xml:space="preserve"> and favourable IMDC prognostic risk. </w:t>
      </w:r>
    </w:p>
    <w:p w:rsidR="00D573BB" w:rsidRPr="00EC6E05" w:rsidRDefault="00D573BB" w:rsidP="00BF2EA7">
      <w:pPr>
        <w:pStyle w:val="3-BodyText"/>
      </w:pPr>
      <w:r w:rsidRPr="00EC6E05">
        <w:t xml:space="preserve">Comparison of PFS by risk subgroup shows a consistency across the studies in terms of the absolute and relative treatment effect observed in intermediate/poor risk patients. However, there is a clear difference in effect with respect to favourable risk patients; AVE + AXI demonstrates a gain in PFS relative to </w:t>
      </w:r>
      <w:proofErr w:type="spellStart"/>
      <w:r w:rsidR="0064004E" w:rsidRPr="00EC6E05">
        <w:t>sunitinib</w:t>
      </w:r>
      <w:proofErr w:type="spellEnd"/>
      <w:r w:rsidRPr="00EC6E05">
        <w:t xml:space="preserve">, while </w:t>
      </w:r>
      <w:proofErr w:type="spellStart"/>
      <w:r w:rsidR="0064004E" w:rsidRPr="00EC6E05">
        <w:t>sunitinib</w:t>
      </w:r>
      <w:proofErr w:type="spellEnd"/>
      <w:r w:rsidRPr="00EC6E05">
        <w:t xml:space="preserve"> demonstrates a gain in PFS relative to NIVO + IPI (see Table </w:t>
      </w:r>
      <w:r w:rsidR="00291A90">
        <w:t>6</w:t>
      </w:r>
      <w:r w:rsidRPr="00EC6E05">
        <w:t>).</w:t>
      </w:r>
    </w:p>
    <w:p w:rsidR="00D573BB" w:rsidRPr="00EC6E05" w:rsidRDefault="00D573BB" w:rsidP="00D573BB">
      <w:pPr>
        <w:keepNext/>
        <w:rPr>
          <w:rFonts w:ascii="Arial Narrow" w:hAnsi="Arial Narrow"/>
          <w:b/>
          <w:bCs/>
          <w:sz w:val="20"/>
          <w:szCs w:val="20"/>
        </w:rPr>
      </w:pPr>
      <w:r w:rsidRPr="00EC6E05">
        <w:rPr>
          <w:rFonts w:ascii="Arial Narrow" w:hAnsi="Arial Narrow"/>
          <w:b/>
          <w:bCs/>
          <w:sz w:val="20"/>
          <w:szCs w:val="20"/>
        </w:rPr>
        <w:lastRenderedPageBreak/>
        <w:t xml:space="preserve">Table </w:t>
      </w:r>
      <w:r w:rsidR="00291A90">
        <w:rPr>
          <w:rFonts w:ascii="Arial Narrow" w:hAnsi="Arial Narrow"/>
          <w:b/>
          <w:bCs/>
          <w:sz w:val="20"/>
          <w:szCs w:val="20"/>
        </w:rPr>
        <w:t>6</w:t>
      </w:r>
      <w:r w:rsidRPr="00EC6E05">
        <w:rPr>
          <w:rFonts w:ascii="Arial Narrow" w:hAnsi="Arial Narrow"/>
          <w:b/>
          <w:bCs/>
          <w:sz w:val="20"/>
          <w:szCs w:val="20"/>
        </w:rPr>
        <w:t xml:space="preserve">: Results of progression free survival across JAVELIN and </w:t>
      </w:r>
      <w:proofErr w:type="spellStart"/>
      <w:r w:rsidRPr="00EC6E05">
        <w:rPr>
          <w:rFonts w:ascii="Arial Narrow" w:hAnsi="Arial Narrow"/>
          <w:b/>
          <w:bCs/>
          <w:sz w:val="20"/>
          <w:szCs w:val="20"/>
        </w:rPr>
        <w:t>CheckMate</w:t>
      </w:r>
      <w:proofErr w:type="spellEnd"/>
      <w:r w:rsidRPr="00EC6E05">
        <w:rPr>
          <w:rFonts w:ascii="Arial Narrow" w:hAnsi="Arial Narrow"/>
          <w:b/>
          <w:bCs/>
          <w:sz w:val="20"/>
          <w:szCs w:val="20"/>
        </w:rPr>
        <w:t xml:space="preserve"> 214 by IMDC prognostic risk</w:t>
      </w:r>
    </w:p>
    <w:tbl>
      <w:tblPr>
        <w:tblStyle w:val="TableGrid"/>
        <w:tblW w:w="5000" w:type="pct"/>
        <w:tblLook w:val="04A0" w:firstRow="1" w:lastRow="0" w:firstColumn="1" w:lastColumn="0" w:noHBand="0" w:noVBand="1"/>
        <w:tblCaption w:val="Table 6: Results of progression free survival across JAVELIN and CheckMate 214 by IMDC prognostic risk"/>
      </w:tblPr>
      <w:tblGrid>
        <w:gridCol w:w="699"/>
        <w:gridCol w:w="739"/>
        <w:gridCol w:w="652"/>
        <w:gridCol w:w="739"/>
        <w:gridCol w:w="652"/>
        <w:gridCol w:w="739"/>
        <w:gridCol w:w="653"/>
        <w:gridCol w:w="731"/>
        <w:gridCol w:w="653"/>
        <w:gridCol w:w="731"/>
        <w:gridCol w:w="653"/>
        <w:gridCol w:w="731"/>
        <w:gridCol w:w="644"/>
      </w:tblGrid>
      <w:tr w:rsidR="00D573BB" w:rsidRPr="00EC6E05" w:rsidTr="00B14524">
        <w:trPr>
          <w:trHeight w:val="244"/>
          <w:tblHeader/>
        </w:trPr>
        <w:tc>
          <w:tcPr>
            <w:tcW w:w="388" w:type="pct"/>
            <w:vMerge w:val="restart"/>
            <w:tcBorders>
              <w:top w:val="single" w:sz="4" w:space="0" w:color="auto"/>
              <w:left w:val="single" w:sz="4" w:space="0" w:color="auto"/>
              <w:bottom w:val="single" w:sz="4" w:space="0" w:color="auto"/>
              <w:right w:val="single" w:sz="4" w:space="0" w:color="auto"/>
            </w:tcBorders>
            <w:hideMark/>
          </w:tcPr>
          <w:p w:rsidR="00D573BB" w:rsidRPr="00EC6E05" w:rsidRDefault="00D573BB" w:rsidP="00B14524">
            <w:pPr>
              <w:pStyle w:val="Tableheading0"/>
              <w:keepNext/>
              <w:ind w:left="-62" w:right="-91"/>
              <w:jc w:val="left"/>
              <w:rPr>
                <w:rFonts w:ascii="Arial Narrow" w:hAnsi="Arial Narrow"/>
                <w:sz w:val="19"/>
                <w:szCs w:val="19"/>
              </w:rPr>
            </w:pPr>
            <w:r w:rsidRPr="00EC6E05">
              <w:rPr>
                <w:rFonts w:ascii="Arial Narrow" w:hAnsi="Arial Narrow"/>
                <w:sz w:val="19"/>
                <w:szCs w:val="19"/>
              </w:rPr>
              <w:t>PFS</w:t>
            </w:r>
          </w:p>
        </w:tc>
        <w:tc>
          <w:tcPr>
            <w:tcW w:w="2315" w:type="pct"/>
            <w:gridSpan w:val="6"/>
            <w:tcBorders>
              <w:top w:val="single" w:sz="4" w:space="0" w:color="auto"/>
              <w:left w:val="single" w:sz="4" w:space="0" w:color="auto"/>
              <w:bottom w:val="single" w:sz="4" w:space="0" w:color="auto"/>
              <w:right w:val="single" w:sz="4" w:space="0" w:color="auto"/>
            </w:tcBorders>
            <w:hideMark/>
          </w:tcPr>
          <w:p w:rsidR="00D573BB" w:rsidRPr="00EC6E05" w:rsidRDefault="00D573BB" w:rsidP="00B14524">
            <w:pPr>
              <w:pStyle w:val="Tableheading0"/>
              <w:keepNext/>
              <w:rPr>
                <w:rFonts w:ascii="Arial Narrow" w:hAnsi="Arial Narrow"/>
                <w:sz w:val="19"/>
                <w:szCs w:val="19"/>
              </w:rPr>
            </w:pPr>
            <w:r w:rsidRPr="00EC6E05">
              <w:rPr>
                <w:rFonts w:ascii="Arial Narrow" w:hAnsi="Arial Narrow"/>
                <w:sz w:val="19"/>
                <w:szCs w:val="19"/>
              </w:rPr>
              <w:t xml:space="preserve">JAVELIN IA2 </w:t>
            </w:r>
            <w:r w:rsidRPr="00EC6E05">
              <w:rPr>
                <w:rFonts w:ascii="Arial Narrow" w:hAnsi="Arial Narrow"/>
                <w:sz w:val="19"/>
                <w:szCs w:val="19"/>
                <w:vertAlign w:val="superscript"/>
              </w:rPr>
              <w:t>a</w:t>
            </w:r>
          </w:p>
        </w:tc>
        <w:tc>
          <w:tcPr>
            <w:tcW w:w="2298" w:type="pct"/>
            <w:gridSpan w:val="6"/>
            <w:tcBorders>
              <w:top w:val="single" w:sz="4" w:space="0" w:color="auto"/>
              <w:left w:val="single" w:sz="4" w:space="0" w:color="auto"/>
              <w:bottom w:val="single" w:sz="4" w:space="0" w:color="auto"/>
              <w:right w:val="single" w:sz="4" w:space="0" w:color="auto"/>
            </w:tcBorders>
            <w:hideMark/>
          </w:tcPr>
          <w:p w:rsidR="00D573BB" w:rsidRPr="00EC6E05" w:rsidRDefault="00D573BB" w:rsidP="00B14524">
            <w:pPr>
              <w:pStyle w:val="Tableheading0"/>
              <w:keepNext/>
              <w:rPr>
                <w:rFonts w:ascii="Arial Narrow" w:hAnsi="Arial Narrow"/>
                <w:sz w:val="19"/>
                <w:szCs w:val="19"/>
              </w:rPr>
            </w:pPr>
            <w:proofErr w:type="spellStart"/>
            <w:r w:rsidRPr="00EC6E05">
              <w:rPr>
                <w:rFonts w:ascii="Arial Narrow" w:hAnsi="Arial Narrow"/>
                <w:sz w:val="19"/>
                <w:szCs w:val="19"/>
              </w:rPr>
              <w:t>CheckMate</w:t>
            </w:r>
            <w:proofErr w:type="spellEnd"/>
            <w:r w:rsidRPr="00EC6E05">
              <w:rPr>
                <w:rFonts w:ascii="Arial Narrow" w:hAnsi="Arial Narrow"/>
                <w:sz w:val="19"/>
                <w:szCs w:val="19"/>
              </w:rPr>
              <w:t xml:space="preserve"> 214 </w:t>
            </w:r>
            <w:r w:rsidRPr="00EC6E05">
              <w:rPr>
                <w:rFonts w:ascii="Arial Narrow" w:hAnsi="Arial Narrow"/>
                <w:sz w:val="19"/>
                <w:szCs w:val="19"/>
                <w:vertAlign w:val="superscript"/>
              </w:rPr>
              <w:t>b</w:t>
            </w:r>
          </w:p>
        </w:tc>
      </w:tr>
      <w:tr w:rsidR="00F73A92" w:rsidRPr="00EC6E05" w:rsidTr="00B14524">
        <w:trPr>
          <w:trHeight w:val="244"/>
          <w:tblHeader/>
        </w:trPr>
        <w:tc>
          <w:tcPr>
            <w:tcW w:w="0" w:type="auto"/>
            <w:vMerge/>
            <w:tcBorders>
              <w:top w:val="single" w:sz="4" w:space="0" w:color="auto"/>
              <w:left w:val="single" w:sz="4" w:space="0" w:color="auto"/>
              <w:bottom w:val="single" w:sz="4" w:space="0" w:color="auto"/>
              <w:right w:val="single" w:sz="4" w:space="0" w:color="auto"/>
            </w:tcBorders>
            <w:hideMark/>
          </w:tcPr>
          <w:p w:rsidR="00D573BB" w:rsidRPr="00EC6E05" w:rsidRDefault="00D573BB" w:rsidP="00B14524">
            <w:pPr>
              <w:jc w:val="left"/>
              <w:rPr>
                <w:rFonts w:ascii="Arial Narrow" w:eastAsiaTheme="minorHAnsi" w:hAnsi="Arial Narrow" w:cstheme="minorBidi"/>
                <w:b/>
                <w:sz w:val="19"/>
                <w:szCs w:val="19"/>
                <w:lang w:eastAsia="en-US"/>
              </w:rPr>
            </w:pPr>
          </w:p>
        </w:tc>
        <w:tc>
          <w:tcPr>
            <w:tcW w:w="771" w:type="pct"/>
            <w:gridSpan w:val="2"/>
            <w:tcBorders>
              <w:top w:val="single" w:sz="4" w:space="0" w:color="auto"/>
              <w:left w:val="single" w:sz="4" w:space="0" w:color="auto"/>
              <w:bottom w:val="single" w:sz="4" w:space="0" w:color="auto"/>
              <w:right w:val="single" w:sz="4" w:space="0" w:color="auto"/>
            </w:tcBorders>
            <w:hideMark/>
          </w:tcPr>
          <w:p w:rsidR="00D573BB" w:rsidRPr="00EC6E05" w:rsidRDefault="00D573BB" w:rsidP="00B14524">
            <w:pPr>
              <w:pStyle w:val="Tableheading0"/>
              <w:keepNext/>
              <w:rPr>
                <w:rFonts w:ascii="Arial Narrow" w:hAnsi="Arial Narrow"/>
                <w:sz w:val="19"/>
                <w:szCs w:val="19"/>
              </w:rPr>
            </w:pPr>
            <w:r w:rsidRPr="00EC6E05">
              <w:rPr>
                <w:rFonts w:ascii="Arial Narrow" w:hAnsi="Arial Narrow"/>
                <w:sz w:val="19"/>
                <w:szCs w:val="19"/>
              </w:rPr>
              <w:t>ITT</w:t>
            </w:r>
          </w:p>
        </w:tc>
        <w:tc>
          <w:tcPr>
            <w:tcW w:w="771" w:type="pct"/>
            <w:gridSpan w:val="2"/>
            <w:tcBorders>
              <w:top w:val="single" w:sz="4" w:space="0" w:color="auto"/>
              <w:left w:val="single" w:sz="4" w:space="0" w:color="auto"/>
              <w:bottom w:val="single" w:sz="4" w:space="0" w:color="auto"/>
              <w:right w:val="single" w:sz="4" w:space="0" w:color="auto"/>
            </w:tcBorders>
            <w:hideMark/>
          </w:tcPr>
          <w:p w:rsidR="00D573BB" w:rsidRPr="00EC6E05" w:rsidRDefault="00D573BB" w:rsidP="00B14524">
            <w:pPr>
              <w:pStyle w:val="Tableheading0"/>
              <w:keepNext/>
              <w:rPr>
                <w:rFonts w:ascii="Arial Narrow" w:hAnsi="Arial Narrow"/>
                <w:sz w:val="19"/>
                <w:szCs w:val="19"/>
              </w:rPr>
            </w:pPr>
            <w:proofErr w:type="spellStart"/>
            <w:r w:rsidRPr="00EC6E05">
              <w:rPr>
                <w:rFonts w:ascii="Arial Narrow" w:hAnsi="Arial Narrow"/>
                <w:sz w:val="19"/>
                <w:szCs w:val="19"/>
              </w:rPr>
              <w:t>Intermed</w:t>
            </w:r>
            <w:proofErr w:type="spellEnd"/>
            <w:r w:rsidRPr="00EC6E05">
              <w:rPr>
                <w:rFonts w:ascii="Arial Narrow" w:hAnsi="Arial Narrow"/>
                <w:sz w:val="19"/>
                <w:szCs w:val="19"/>
              </w:rPr>
              <w:t xml:space="preserve">/poor </w:t>
            </w:r>
          </w:p>
        </w:tc>
        <w:tc>
          <w:tcPr>
            <w:tcW w:w="772" w:type="pct"/>
            <w:gridSpan w:val="2"/>
            <w:tcBorders>
              <w:top w:val="single" w:sz="4" w:space="0" w:color="auto"/>
              <w:left w:val="single" w:sz="4" w:space="0" w:color="auto"/>
              <w:bottom w:val="single" w:sz="4" w:space="0" w:color="auto"/>
              <w:right w:val="single" w:sz="4" w:space="0" w:color="auto"/>
            </w:tcBorders>
            <w:hideMark/>
          </w:tcPr>
          <w:p w:rsidR="00D573BB" w:rsidRPr="00EC6E05" w:rsidRDefault="00D573BB" w:rsidP="00B14524">
            <w:pPr>
              <w:pStyle w:val="Tableheading0"/>
              <w:keepNext/>
              <w:rPr>
                <w:rFonts w:ascii="Arial Narrow" w:hAnsi="Arial Narrow"/>
                <w:sz w:val="19"/>
                <w:szCs w:val="19"/>
              </w:rPr>
            </w:pPr>
            <w:r w:rsidRPr="00EC6E05">
              <w:rPr>
                <w:rFonts w:ascii="Arial Narrow" w:hAnsi="Arial Narrow"/>
                <w:sz w:val="19"/>
                <w:szCs w:val="19"/>
              </w:rPr>
              <w:t xml:space="preserve">Favourable </w:t>
            </w:r>
          </w:p>
        </w:tc>
        <w:tc>
          <w:tcPr>
            <w:tcW w:w="767" w:type="pct"/>
            <w:gridSpan w:val="2"/>
            <w:tcBorders>
              <w:top w:val="single" w:sz="4" w:space="0" w:color="auto"/>
              <w:left w:val="single" w:sz="4" w:space="0" w:color="auto"/>
              <w:bottom w:val="single" w:sz="4" w:space="0" w:color="auto"/>
              <w:right w:val="single" w:sz="4" w:space="0" w:color="auto"/>
            </w:tcBorders>
            <w:hideMark/>
          </w:tcPr>
          <w:p w:rsidR="00D573BB" w:rsidRPr="00EC6E05" w:rsidRDefault="00D573BB" w:rsidP="00B14524">
            <w:pPr>
              <w:pStyle w:val="Tableheading0"/>
              <w:keepNext/>
              <w:rPr>
                <w:rFonts w:ascii="Arial Narrow" w:hAnsi="Arial Narrow"/>
                <w:sz w:val="19"/>
                <w:szCs w:val="19"/>
              </w:rPr>
            </w:pPr>
            <w:r w:rsidRPr="00EC6E05">
              <w:rPr>
                <w:rFonts w:ascii="Arial Narrow" w:hAnsi="Arial Narrow"/>
                <w:sz w:val="19"/>
                <w:szCs w:val="19"/>
              </w:rPr>
              <w:t>ITT</w:t>
            </w:r>
          </w:p>
        </w:tc>
        <w:tc>
          <w:tcPr>
            <w:tcW w:w="767" w:type="pct"/>
            <w:gridSpan w:val="2"/>
            <w:tcBorders>
              <w:top w:val="single" w:sz="4" w:space="0" w:color="auto"/>
              <w:left w:val="single" w:sz="4" w:space="0" w:color="auto"/>
              <w:bottom w:val="single" w:sz="4" w:space="0" w:color="auto"/>
              <w:right w:val="single" w:sz="4" w:space="0" w:color="auto"/>
            </w:tcBorders>
            <w:hideMark/>
          </w:tcPr>
          <w:p w:rsidR="00D573BB" w:rsidRPr="00EC6E05" w:rsidRDefault="00D573BB" w:rsidP="00B14524">
            <w:pPr>
              <w:pStyle w:val="Tableheading0"/>
              <w:keepNext/>
              <w:rPr>
                <w:rFonts w:ascii="Arial Narrow" w:hAnsi="Arial Narrow"/>
                <w:sz w:val="19"/>
                <w:szCs w:val="19"/>
              </w:rPr>
            </w:pPr>
            <w:proofErr w:type="spellStart"/>
            <w:r w:rsidRPr="00EC6E05">
              <w:rPr>
                <w:rFonts w:ascii="Arial Narrow" w:hAnsi="Arial Narrow"/>
                <w:sz w:val="19"/>
                <w:szCs w:val="19"/>
              </w:rPr>
              <w:t>Intermed</w:t>
            </w:r>
            <w:proofErr w:type="spellEnd"/>
            <w:r w:rsidRPr="00EC6E05">
              <w:rPr>
                <w:rFonts w:ascii="Arial Narrow" w:hAnsi="Arial Narrow"/>
                <w:sz w:val="19"/>
                <w:szCs w:val="19"/>
              </w:rPr>
              <w:t xml:space="preserve">/poor </w:t>
            </w:r>
          </w:p>
        </w:tc>
        <w:tc>
          <w:tcPr>
            <w:tcW w:w="763" w:type="pct"/>
            <w:gridSpan w:val="2"/>
            <w:tcBorders>
              <w:top w:val="single" w:sz="4" w:space="0" w:color="auto"/>
              <w:left w:val="single" w:sz="4" w:space="0" w:color="auto"/>
              <w:bottom w:val="single" w:sz="4" w:space="0" w:color="auto"/>
              <w:right w:val="single" w:sz="4" w:space="0" w:color="auto"/>
            </w:tcBorders>
            <w:hideMark/>
          </w:tcPr>
          <w:p w:rsidR="00D573BB" w:rsidRPr="00EC6E05" w:rsidRDefault="00D573BB" w:rsidP="00B14524">
            <w:pPr>
              <w:pStyle w:val="Tableheading0"/>
              <w:keepNext/>
              <w:rPr>
                <w:rFonts w:ascii="Arial Narrow" w:hAnsi="Arial Narrow"/>
                <w:sz w:val="19"/>
                <w:szCs w:val="19"/>
              </w:rPr>
            </w:pPr>
            <w:r w:rsidRPr="00EC6E05">
              <w:rPr>
                <w:rFonts w:ascii="Arial Narrow" w:hAnsi="Arial Narrow"/>
                <w:sz w:val="19"/>
                <w:szCs w:val="19"/>
              </w:rPr>
              <w:t>Favourable</w:t>
            </w:r>
          </w:p>
        </w:tc>
      </w:tr>
      <w:tr w:rsidR="00F73A92" w:rsidRPr="00EC6E05" w:rsidTr="00B14524">
        <w:trPr>
          <w:trHeight w:val="244"/>
          <w:tblHeader/>
        </w:trPr>
        <w:tc>
          <w:tcPr>
            <w:tcW w:w="0" w:type="auto"/>
            <w:vMerge/>
            <w:tcBorders>
              <w:top w:val="single" w:sz="4" w:space="0" w:color="auto"/>
              <w:left w:val="single" w:sz="4" w:space="0" w:color="auto"/>
              <w:bottom w:val="single" w:sz="4" w:space="0" w:color="auto"/>
              <w:right w:val="single" w:sz="4" w:space="0" w:color="auto"/>
            </w:tcBorders>
            <w:hideMark/>
          </w:tcPr>
          <w:p w:rsidR="00D573BB" w:rsidRPr="00EC6E05" w:rsidRDefault="00D573BB" w:rsidP="00B14524">
            <w:pPr>
              <w:jc w:val="left"/>
              <w:rPr>
                <w:rFonts w:ascii="Arial Narrow" w:eastAsiaTheme="minorHAnsi" w:hAnsi="Arial Narrow" w:cstheme="minorBidi"/>
                <w:b/>
                <w:sz w:val="19"/>
                <w:szCs w:val="19"/>
                <w:lang w:eastAsia="en-US"/>
              </w:rPr>
            </w:pPr>
          </w:p>
        </w:tc>
        <w:tc>
          <w:tcPr>
            <w:tcW w:w="410" w:type="pct"/>
            <w:tcBorders>
              <w:top w:val="single" w:sz="4" w:space="0" w:color="auto"/>
              <w:left w:val="single" w:sz="4" w:space="0" w:color="auto"/>
              <w:bottom w:val="single" w:sz="4" w:space="0" w:color="auto"/>
              <w:right w:val="single" w:sz="4" w:space="0" w:color="auto"/>
            </w:tcBorders>
            <w:hideMark/>
          </w:tcPr>
          <w:p w:rsidR="00D573BB" w:rsidRPr="00EC6E05" w:rsidRDefault="00D573BB" w:rsidP="00B14524">
            <w:pPr>
              <w:pStyle w:val="Tableheading0"/>
              <w:keepNext/>
              <w:ind w:left="-148" w:right="-96"/>
              <w:rPr>
                <w:rFonts w:ascii="Arial Narrow" w:hAnsi="Arial Narrow"/>
                <w:sz w:val="19"/>
                <w:szCs w:val="19"/>
              </w:rPr>
            </w:pPr>
            <w:r w:rsidRPr="00EC6E05">
              <w:rPr>
                <w:rFonts w:ascii="Arial Narrow" w:hAnsi="Arial Narrow"/>
                <w:sz w:val="19"/>
                <w:szCs w:val="19"/>
              </w:rPr>
              <w:t>AVE+AXI</w:t>
            </w:r>
          </w:p>
          <w:p w:rsidR="00D573BB" w:rsidRPr="00EC6E05" w:rsidRDefault="00D573BB" w:rsidP="00B14524">
            <w:pPr>
              <w:pStyle w:val="Tableheading0"/>
              <w:keepNext/>
              <w:ind w:left="-148" w:right="-96"/>
              <w:rPr>
                <w:rFonts w:ascii="Arial Narrow" w:hAnsi="Arial Narrow"/>
                <w:sz w:val="19"/>
                <w:szCs w:val="19"/>
              </w:rPr>
            </w:pPr>
            <w:r w:rsidRPr="00EC6E05">
              <w:rPr>
                <w:rFonts w:ascii="Arial Narrow" w:hAnsi="Arial Narrow"/>
                <w:sz w:val="19"/>
                <w:szCs w:val="19"/>
              </w:rPr>
              <w:t>N = 442</w:t>
            </w:r>
          </w:p>
        </w:tc>
        <w:tc>
          <w:tcPr>
            <w:tcW w:w="362" w:type="pct"/>
            <w:tcBorders>
              <w:top w:val="single" w:sz="4" w:space="0" w:color="auto"/>
              <w:left w:val="single" w:sz="4" w:space="0" w:color="auto"/>
              <w:bottom w:val="single" w:sz="4" w:space="0" w:color="auto"/>
              <w:right w:val="single" w:sz="4" w:space="0" w:color="auto"/>
            </w:tcBorders>
            <w:hideMark/>
          </w:tcPr>
          <w:p w:rsidR="00D573BB" w:rsidRPr="00EC6E05" w:rsidRDefault="00D573BB" w:rsidP="00B14524">
            <w:pPr>
              <w:pStyle w:val="Tableheading0"/>
              <w:keepNext/>
              <w:ind w:left="-148" w:right="-96"/>
              <w:rPr>
                <w:rFonts w:ascii="Arial Narrow" w:hAnsi="Arial Narrow"/>
                <w:sz w:val="19"/>
                <w:szCs w:val="19"/>
              </w:rPr>
            </w:pPr>
            <w:r w:rsidRPr="00EC6E05">
              <w:rPr>
                <w:rFonts w:ascii="Arial Narrow" w:hAnsi="Arial Narrow"/>
                <w:sz w:val="19"/>
                <w:szCs w:val="19"/>
              </w:rPr>
              <w:t>SUN</w:t>
            </w:r>
          </w:p>
          <w:p w:rsidR="00D573BB" w:rsidRPr="00EC6E05" w:rsidRDefault="00D573BB" w:rsidP="00B14524">
            <w:pPr>
              <w:pStyle w:val="Tableheading0"/>
              <w:keepNext/>
              <w:ind w:left="-148" w:right="-96"/>
              <w:rPr>
                <w:rFonts w:ascii="Arial Narrow" w:hAnsi="Arial Narrow"/>
                <w:sz w:val="19"/>
                <w:szCs w:val="19"/>
              </w:rPr>
            </w:pPr>
            <w:r w:rsidRPr="00EC6E05">
              <w:rPr>
                <w:rFonts w:ascii="Arial Narrow" w:hAnsi="Arial Narrow"/>
                <w:sz w:val="19"/>
                <w:szCs w:val="19"/>
              </w:rPr>
              <w:t>N = 444</w:t>
            </w:r>
          </w:p>
        </w:tc>
        <w:tc>
          <w:tcPr>
            <w:tcW w:w="410" w:type="pct"/>
            <w:tcBorders>
              <w:top w:val="single" w:sz="4" w:space="0" w:color="auto"/>
              <w:left w:val="single" w:sz="4" w:space="0" w:color="auto"/>
              <w:bottom w:val="single" w:sz="4" w:space="0" w:color="auto"/>
              <w:right w:val="single" w:sz="4" w:space="0" w:color="auto"/>
            </w:tcBorders>
            <w:hideMark/>
          </w:tcPr>
          <w:p w:rsidR="00D573BB" w:rsidRPr="0035164C" w:rsidRDefault="00D573BB" w:rsidP="00B14524">
            <w:pPr>
              <w:pStyle w:val="Tableheading0"/>
              <w:keepNext/>
              <w:ind w:left="-148" w:right="-96"/>
              <w:rPr>
                <w:rFonts w:ascii="Arial Narrow" w:hAnsi="Arial Narrow"/>
                <w:sz w:val="19"/>
                <w:szCs w:val="19"/>
              </w:rPr>
            </w:pPr>
            <w:r w:rsidRPr="0035164C">
              <w:rPr>
                <w:rFonts w:ascii="Arial Narrow" w:hAnsi="Arial Narrow"/>
                <w:sz w:val="19"/>
                <w:szCs w:val="19"/>
              </w:rPr>
              <w:t>AVE+AXI</w:t>
            </w:r>
          </w:p>
          <w:p w:rsidR="00D573BB" w:rsidRPr="0035164C" w:rsidRDefault="00D573BB" w:rsidP="00B14524">
            <w:pPr>
              <w:pStyle w:val="Tableheading0"/>
              <w:keepNext/>
              <w:ind w:left="-148" w:right="-96"/>
              <w:rPr>
                <w:rFonts w:ascii="Arial Narrow" w:hAnsi="Arial Narrow"/>
                <w:sz w:val="19"/>
                <w:szCs w:val="19"/>
              </w:rPr>
            </w:pPr>
            <w:r w:rsidRPr="0035164C">
              <w:rPr>
                <w:rFonts w:ascii="Arial Narrow" w:hAnsi="Arial Narrow"/>
                <w:sz w:val="19"/>
                <w:szCs w:val="19"/>
              </w:rPr>
              <w:t xml:space="preserve">N = </w:t>
            </w:r>
            <w:r w:rsidR="006A083B">
              <w:rPr>
                <w:rFonts w:ascii="Arial Narrow" w:hAnsi="Arial Narrow"/>
                <w:noProof/>
                <w:color w:val="000000"/>
                <w:sz w:val="19"/>
                <w:szCs w:val="19"/>
                <w:highlight w:val="black"/>
              </w:rPr>
              <w:t>''''''''</w:t>
            </w:r>
          </w:p>
        </w:tc>
        <w:tc>
          <w:tcPr>
            <w:tcW w:w="362" w:type="pct"/>
            <w:tcBorders>
              <w:top w:val="single" w:sz="4" w:space="0" w:color="auto"/>
              <w:left w:val="single" w:sz="4" w:space="0" w:color="auto"/>
              <w:bottom w:val="single" w:sz="4" w:space="0" w:color="auto"/>
              <w:right w:val="single" w:sz="4" w:space="0" w:color="auto"/>
            </w:tcBorders>
            <w:hideMark/>
          </w:tcPr>
          <w:p w:rsidR="00D573BB" w:rsidRPr="0035164C" w:rsidRDefault="00D573BB" w:rsidP="00B14524">
            <w:pPr>
              <w:pStyle w:val="Tableheading0"/>
              <w:keepNext/>
              <w:ind w:left="-148" w:right="-96"/>
              <w:rPr>
                <w:rFonts w:ascii="Arial Narrow" w:hAnsi="Arial Narrow"/>
                <w:sz w:val="19"/>
                <w:szCs w:val="19"/>
              </w:rPr>
            </w:pPr>
            <w:r w:rsidRPr="0035164C">
              <w:rPr>
                <w:rFonts w:ascii="Arial Narrow" w:hAnsi="Arial Narrow"/>
                <w:sz w:val="19"/>
                <w:szCs w:val="19"/>
              </w:rPr>
              <w:t>SUN</w:t>
            </w:r>
          </w:p>
          <w:p w:rsidR="00D573BB" w:rsidRPr="0035164C" w:rsidRDefault="00D573BB" w:rsidP="00B14524">
            <w:pPr>
              <w:pStyle w:val="Tableheading0"/>
              <w:keepNext/>
              <w:ind w:left="-148" w:right="-96"/>
              <w:rPr>
                <w:rFonts w:ascii="Arial Narrow" w:hAnsi="Arial Narrow"/>
                <w:sz w:val="19"/>
                <w:szCs w:val="19"/>
              </w:rPr>
            </w:pPr>
            <w:r w:rsidRPr="0035164C">
              <w:rPr>
                <w:rFonts w:ascii="Arial Narrow" w:hAnsi="Arial Narrow"/>
                <w:sz w:val="19"/>
                <w:szCs w:val="19"/>
              </w:rPr>
              <w:t xml:space="preserve">N = </w:t>
            </w:r>
            <w:r w:rsidR="006A083B">
              <w:rPr>
                <w:rFonts w:ascii="Arial Narrow" w:hAnsi="Arial Narrow"/>
                <w:noProof/>
                <w:color w:val="000000"/>
                <w:sz w:val="19"/>
                <w:szCs w:val="19"/>
                <w:highlight w:val="black"/>
              </w:rPr>
              <w:t>''''''''</w:t>
            </w:r>
          </w:p>
        </w:tc>
        <w:tc>
          <w:tcPr>
            <w:tcW w:w="410" w:type="pct"/>
            <w:tcBorders>
              <w:top w:val="single" w:sz="4" w:space="0" w:color="auto"/>
              <w:left w:val="single" w:sz="4" w:space="0" w:color="auto"/>
              <w:bottom w:val="single" w:sz="4" w:space="0" w:color="auto"/>
              <w:right w:val="single" w:sz="4" w:space="0" w:color="auto"/>
            </w:tcBorders>
            <w:hideMark/>
          </w:tcPr>
          <w:p w:rsidR="00D573BB" w:rsidRPr="00EC6E05" w:rsidRDefault="00D573BB" w:rsidP="00B14524">
            <w:pPr>
              <w:pStyle w:val="Tableheading0"/>
              <w:keepNext/>
              <w:ind w:left="-148" w:right="-96"/>
              <w:rPr>
                <w:rFonts w:ascii="Arial Narrow" w:hAnsi="Arial Narrow"/>
                <w:sz w:val="19"/>
                <w:szCs w:val="19"/>
              </w:rPr>
            </w:pPr>
            <w:r w:rsidRPr="00EC6E05">
              <w:rPr>
                <w:rFonts w:ascii="Arial Narrow" w:hAnsi="Arial Narrow"/>
                <w:sz w:val="19"/>
                <w:szCs w:val="19"/>
              </w:rPr>
              <w:t>AVE+AXI</w:t>
            </w:r>
          </w:p>
          <w:p w:rsidR="00D573BB" w:rsidRPr="00EC6E05" w:rsidRDefault="00D573BB" w:rsidP="00B14524">
            <w:pPr>
              <w:pStyle w:val="Tableheading0"/>
              <w:keepNext/>
              <w:ind w:left="-148" w:right="-96"/>
              <w:rPr>
                <w:rFonts w:ascii="Arial Narrow" w:hAnsi="Arial Narrow"/>
                <w:sz w:val="19"/>
                <w:szCs w:val="19"/>
              </w:rPr>
            </w:pPr>
            <w:r w:rsidRPr="00EC6E05">
              <w:rPr>
                <w:rFonts w:ascii="Arial Narrow" w:hAnsi="Arial Narrow"/>
                <w:sz w:val="19"/>
                <w:szCs w:val="19"/>
              </w:rPr>
              <w:t>N = 94</w:t>
            </w:r>
          </w:p>
        </w:tc>
        <w:tc>
          <w:tcPr>
            <w:tcW w:w="362" w:type="pct"/>
            <w:tcBorders>
              <w:top w:val="single" w:sz="4" w:space="0" w:color="auto"/>
              <w:left w:val="single" w:sz="4" w:space="0" w:color="auto"/>
              <w:bottom w:val="single" w:sz="4" w:space="0" w:color="auto"/>
              <w:right w:val="single" w:sz="4" w:space="0" w:color="auto"/>
            </w:tcBorders>
            <w:hideMark/>
          </w:tcPr>
          <w:p w:rsidR="00D573BB" w:rsidRPr="00EC6E05" w:rsidRDefault="00D573BB" w:rsidP="00B14524">
            <w:pPr>
              <w:pStyle w:val="Tableheading0"/>
              <w:keepNext/>
              <w:ind w:left="-148" w:right="-96"/>
              <w:rPr>
                <w:rFonts w:ascii="Arial Narrow" w:hAnsi="Arial Narrow"/>
                <w:sz w:val="19"/>
                <w:szCs w:val="19"/>
              </w:rPr>
            </w:pPr>
            <w:r w:rsidRPr="00EC6E05">
              <w:rPr>
                <w:rFonts w:ascii="Arial Narrow" w:hAnsi="Arial Narrow"/>
                <w:sz w:val="19"/>
                <w:szCs w:val="19"/>
              </w:rPr>
              <w:t>SUN</w:t>
            </w:r>
          </w:p>
          <w:p w:rsidR="00D573BB" w:rsidRPr="00EC6E05" w:rsidRDefault="00D573BB" w:rsidP="00B14524">
            <w:pPr>
              <w:pStyle w:val="Tableheading0"/>
              <w:keepNext/>
              <w:ind w:left="-148" w:right="-96"/>
              <w:rPr>
                <w:rFonts w:ascii="Arial Narrow" w:hAnsi="Arial Narrow"/>
                <w:sz w:val="19"/>
                <w:szCs w:val="19"/>
              </w:rPr>
            </w:pPr>
            <w:r w:rsidRPr="00EC6E05">
              <w:rPr>
                <w:rFonts w:ascii="Arial Narrow" w:hAnsi="Arial Narrow"/>
                <w:sz w:val="19"/>
                <w:szCs w:val="19"/>
              </w:rPr>
              <w:t xml:space="preserve">N = 96 </w:t>
            </w:r>
          </w:p>
        </w:tc>
        <w:tc>
          <w:tcPr>
            <w:tcW w:w="405" w:type="pct"/>
            <w:tcBorders>
              <w:top w:val="single" w:sz="4" w:space="0" w:color="auto"/>
              <w:left w:val="single" w:sz="4" w:space="0" w:color="auto"/>
              <w:bottom w:val="single" w:sz="4" w:space="0" w:color="auto"/>
              <w:right w:val="single" w:sz="4" w:space="0" w:color="auto"/>
            </w:tcBorders>
            <w:hideMark/>
          </w:tcPr>
          <w:p w:rsidR="00D573BB" w:rsidRPr="00EC6E05" w:rsidRDefault="00D573BB" w:rsidP="00B14524">
            <w:pPr>
              <w:pStyle w:val="Tableheading0"/>
              <w:keepNext/>
              <w:ind w:left="-148" w:right="-96"/>
              <w:rPr>
                <w:rFonts w:ascii="Arial Narrow" w:hAnsi="Arial Narrow"/>
                <w:sz w:val="19"/>
                <w:szCs w:val="19"/>
              </w:rPr>
            </w:pPr>
            <w:r w:rsidRPr="00EC6E05">
              <w:rPr>
                <w:rFonts w:ascii="Arial Narrow" w:hAnsi="Arial Narrow"/>
                <w:sz w:val="19"/>
                <w:szCs w:val="19"/>
              </w:rPr>
              <w:t>NIVO+IPI</w:t>
            </w:r>
          </w:p>
          <w:p w:rsidR="00D573BB" w:rsidRPr="00EC6E05" w:rsidRDefault="00D573BB" w:rsidP="00B14524">
            <w:pPr>
              <w:pStyle w:val="Tableheading0"/>
              <w:keepNext/>
              <w:ind w:left="-148" w:right="-96"/>
              <w:rPr>
                <w:rFonts w:ascii="Arial Narrow" w:hAnsi="Arial Narrow"/>
                <w:sz w:val="19"/>
                <w:szCs w:val="19"/>
              </w:rPr>
            </w:pPr>
            <w:r w:rsidRPr="00EC6E05">
              <w:rPr>
                <w:rFonts w:ascii="Arial Narrow" w:hAnsi="Arial Narrow"/>
                <w:sz w:val="19"/>
                <w:szCs w:val="19"/>
              </w:rPr>
              <w:t>N = 550</w:t>
            </w:r>
          </w:p>
        </w:tc>
        <w:tc>
          <w:tcPr>
            <w:tcW w:w="362" w:type="pct"/>
            <w:tcBorders>
              <w:top w:val="single" w:sz="4" w:space="0" w:color="auto"/>
              <w:left w:val="single" w:sz="4" w:space="0" w:color="auto"/>
              <w:bottom w:val="single" w:sz="4" w:space="0" w:color="auto"/>
              <w:right w:val="single" w:sz="4" w:space="0" w:color="auto"/>
            </w:tcBorders>
            <w:hideMark/>
          </w:tcPr>
          <w:p w:rsidR="00D573BB" w:rsidRPr="00EC6E05" w:rsidRDefault="00D573BB" w:rsidP="00B14524">
            <w:pPr>
              <w:pStyle w:val="Tableheading0"/>
              <w:keepNext/>
              <w:ind w:left="-148" w:right="-96"/>
              <w:rPr>
                <w:rFonts w:ascii="Arial Narrow" w:hAnsi="Arial Narrow"/>
                <w:sz w:val="19"/>
                <w:szCs w:val="19"/>
              </w:rPr>
            </w:pPr>
            <w:r w:rsidRPr="00EC6E05">
              <w:rPr>
                <w:rFonts w:ascii="Arial Narrow" w:hAnsi="Arial Narrow"/>
                <w:sz w:val="19"/>
                <w:szCs w:val="19"/>
              </w:rPr>
              <w:t>SUN</w:t>
            </w:r>
          </w:p>
          <w:p w:rsidR="00D573BB" w:rsidRPr="00EC6E05" w:rsidRDefault="00D573BB" w:rsidP="00B14524">
            <w:pPr>
              <w:pStyle w:val="Tableheading0"/>
              <w:keepNext/>
              <w:ind w:left="-148" w:right="-96"/>
              <w:rPr>
                <w:rFonts w:ascii="Arial Narrow" w:hAnsi="Arial Narrow"/>
                <w:sz w:val="19"/>
                <w:szCs w:val="19"/>
              </w:rPr>
            </w:pPr>
            <w:r w:rsidRPr="00EC6E05">
              <w:rPr>
                <w:rFonts w:ascii="Arial Narrow" w:hAnsi="Arial Narrow"/>
                <w:sz w:val="19"/>
                <w:szCs w:val="19"/>
              </w:rPr>
              <w:t>N = 546</w:t>
            </w:r>
          </w:p>
        </w:tc>
        <w:tc>
          <w:tcPr>
            <w:tcW w:w="405" w:type="pct"/>
            <w:tcBorders>
              <w:top w:val="single" w:sz="4" w:space="0" w:color="auto"/>
              <w:left w:val="single" w:sz="4" w:space="0" w:color="auto"/>
              <w:bottom w:val="single" w:sz="4" w:space="0" w:color="auto"/>
              <w:right w:val="single" w:sz="4" w:space="0" w:color="auto"/>
            </w:tcBorders>
            <w:hideMark/>
          </w:tcPr>
          <w:p w:rsidR="00D573BB" w:rsidRPr="00EC6E05" w:rsidRDefault="00D573BB" w:rsidP="00B14524">
            <w:pPr>
              <w:pStyle w:val="Tableheading0"/>
              <w:keepNext/>
              <w:ind w:left="-148" w:right="-96"/>
              <w:rPr>
                <w:rFonts w:ascii="Arial Narrow" w:hAnsi="Arial Narrow"/>
                <w:sz w:val="19"/>
                <w:szCs w:val="19"/>
              </w:rPr>
            </w:pPr>
            <w:r w:rsidRPr="00EC6E05">
              <w:rPr>
                <w:rFonts w:ascii="Arial Narrow" w:hAnsi="Arial Narrow"/>
                <w:sz w:val="19"/>
                <w:szCs w:val="19"/>
              </w:rPr>
              <w:t>NIVO+IPI</w:t>
            </w:r>
          </w:p>
          <w:p w:rsidR="00D573BB" w:rsidRPr="00EC6E05" w:rsidRDefault="00D573BB" w:rsidP="00B14524">
            <w:pPr>
              <w:pStyle w:val="Tableheading0"/>
              <w:keepNext/>
              <w:ind w:left="-148" w:right="-96"/>
              <w:rPr>
                <w:rFonts w:ascii="Arial Narrow" w:hAnsi="Arial Narrow"/>
                <w:sz w:val="19"/>
                <w:szCs w:val="19"/>
              </w:rPr>
            </w:pPr>
            <w:r w:rsidRPr="00EC6E05">
              <w:rPr>
                <w:rFonts w:ascii="Arial Narrow" w:hAnsi="Arial Narrow"/>
                <w:sz w:val="19"/>
                <w:szCs w:val="19"/>
              </w:rPr>
              <w:t>N = 425</w:t>
            </w:r>
          </w:p>
        </w:tc>
        <w:tc>
          <w:tcPr>
            <w:tcW w:w="362" w:type="pct"/>
            <w:tcBorders>
              <w:top w:val="single" w:sz="4" w:space="0" w:color="auto"/>
              <w:left w:val="single" w:sz="4" w:space="0" w:color="auto"/>
              <w:bottom w:val="single" w:sz="4" w:space="0" w:color="auto"/>
              <w:right w:val="single" w:sz="4" w:space="0" w:color="auto"/>
            </w:tcBorders>
            <w:hideMark/>
          </w:tcPr>
          <w:p w:rsidR="00D573BB" w:rsidRPr="00EC6E05" w:rsidRDefault="00D573BB" w:rsidP="00B14524">
            <w:pPr>
              <w:pStyle w:val="Tableheading0"/>
              <w:keepNext/>
              <w:ind w:left="-148" w:right="-96"/>
              <w:rPr>
                <w:rFonts w:ascii="Arial Narrow" w:hAnsi="Arial Narrow"/>
                <w:sz w:val="19"/>
                <w:szCs w:val="19"/>
              </w:rPr>
            </w:pPr>
            <w:r w:rsidRPr="00EC6E05">
              <w:rPr>
                <w:rFonts w:ascii="Arial Narrow" w:hAnsi="Arial Narrow"/>
                <w:sz w:val="19"/>
                <w:szCs w:val="19"/>
              </w:rPr>
              <w:t>SUN</w:t>
            </w:r>
          </w:p>
          <w:p w:rsidR="00D573BB" w:rsidRPr="00EC6E05" w:rsidRDefault="00D573BB" w:rsidP="00B14524">
            <w:pPr>
              <w:pStyle w:val="Tableheading0"/>
              <w:keepNext/>
              <w:ind w:left="-148" w:right="-96"/>
              <w:rPr>
                <w:rFonts w:ascii="Arial Narrow" w:hAnsi="Arial Narrow"/>
                <w:sz w:val="19"/>
                <w:szCs w:val="19"/>
              </w:rPr>
            </w:pPr>
            <w:r w:rsidRPr="00EC6E05">
              <w:rPr>
                <w:rFonts w:ascii="Arial Narrow" w:hAnsi="Arial Narrow"/>
                <w:sz w:val="19"/>
                <w:szCs w:val="19"/>
              </w:rPr>
              <w:t>N = 422</w:t>
            </w:r>
          </w:p>
        </w:tc>
        <w:tc>
          <w:tcPr>
            <w:tcW w:w="405" w:type="pct"/>
            <w:tcBorders>
              <w:top w:val="single" w:sz="4" w:space="0" w:color="auto"/>
              <w:left w:val="single" w:sz="4" w:space="0" w:color="auto"/>
              <w:bottom w:val="single" w:sz="4" w:space="0" w:color="auto"/>
              <w:right w:val="single" w:sz="4" w:space="0" w:color="auto"/>
            </w:tcBorders>
            <w:hideMark/>
          </w:tcPr>
          <w:p w:rsidR="00D573BB" w:rsidRPr="00EC6E05" w:rsidRDefault="00D573BB" w:rsidP="00B14524">
            <w:pPr>
              <w:pStyle w:val="Tableheading0"/>
              <w:keepNext/>
              <w:ind w:left="-148" w:right="-96"/>
              <w:rPr>
                <w:rFonts w:ascii="Arial Narrow" w:hAnsi="Arial Narrow"/>
                <w:sz w:val="19"/>
                <w:szCs w:val="19"/>
              </w:rPr>
            </w:pPr>
            <w:r w:rsidRPr="00EC6E05">
              <w:rPr>
                <w:rFonts w:ascii="Arial Narrow" w:hAnsi="Arial Narrow"/>
                <w:sz w:val="19"/>
                <w:szCs w:val="19"/>
              </w:rPr>
              <w:t>NIVO+IPI</w:t>
            </w:r>
          </w:p>
          <w:p w:rsidR="00D573BB" w:rsidRPr="00EC6E05" w:rsidRDefault="00D573BB" w:rsidP="00B14524">
            <w:pPr>
              <w:pStyle w:val="Tableheading0"/>
              <w:keepNext/>
              <w:ind w:left="-148" w:right="-96"/>
              <w:rPr>
                <w:rFonts w:ascii="Arial Narrow" w:hAnsi="Arial Narrow"/>
                <w:sz w:val="19"/>
                <w:szCs w:val="19"/>
              </w:rPr>
            </w:pPr>
            <w:r w:rsidRPr="00EC6E05">
              <w:rPr>
                <w:rFonts w:ascii="Arial Narrow" w:hAnsi="Arial Narrow"/>
                <w:sz w:val="19"/>
                <w:szCs w:val="19"/>
              </w:rPr>
              <w:t>N = 125</w:t>
            </w:r>
          </w:p>
        </w:tc>
        <w:tc>
          <w:tcPr>
            <w:tcW w:w="358" w:type="pct"/>
            <w:tcBorders>
              <w:top w:val="single" w:sz="4" w:space="0" w:color="auto"/>
              <w:left w:val="single" w:sz="4" w:space="0" w:color="auto"/>
              <w:bottom w:val="single" w:sz="4" w:space="0" w:color="auto"/>
              <w:right w:val="single" w:sz="4" w:space="0" w:color="auto"/>
            </w:tcBorders>
            <w:hideMark/>
          </w:tcPr>
          <w:p w:rsidR="00D573BB" w:rsidRPr="00EC6E05" w:rsidRDefault="00D573BB" w:rsidP="00B14524">
            <w:pPr>
              <w:pStyle w:val="Tableheading0"/>
              <w:keepNext/>
              <w:ind w:left="-148" w:right="-96"/>
              <w:rPr>
                <w:rFonts w:ascii="Arial Narrow" w:hAnsi="Arial Narrow"/>
                <w:sz w:val="19"/>
                <w:szCs w:val="19"/>
              </w:rPr>
            </w:pPr>
            <w:r w:rsidRPr="00EC6E05">
              <w:rPr>
                <w:rFonts w:ascii="Arial Narrow" w:hAnsi="Arial Narrow"/>
                <w:sz w:val="19"/>
                <w:szCs w:val="19"/>
              </w:rPr>
              <w:t>SUN</w:t>
            </w:r>
          </w:p>
          <w:p w:rsidR="00D573BB" w:rsidRPr="00EC6E05" w:rsidRDefault="00D573BB" w:rsidP="00B14524">
            <w:pPr>
              <w:pStyle w:val="Tableheading0"/>
              <w:keepNext/>
              <w:ind w:left="-148" w:right="-96"/>
              <w:rPr>
                <w:rFonts w:ascii="Arial Narrow" w:hAnsi="Arial Narrow"/>
                <w:sz w:val="19"/>
                <w:szCs w:val="19"/>
              </w:rPr>
            </w:pPr>
            <w:r w:rsidRPr="00EC6E05">
              <w:rPr>
                <w:rFonts w:ascii="Arial Narrow" w:hAnsi="Arial Narrow"/>
                <w:sz w:val="19"/>
                <w:szCs w:val="19"/>
              </w:rPr>
              <w:t>N = 124</w:t>
            </w:r>
          </w:p>
        </w:tc>
      </w:tr>
      <w:tr w:rsidR="00F73A92" w:rsidRPr="00EC6E05" w:rsidTr="00B14524">
        <w:trPr>
          <w:trHeight w:val="244"/>
          <w:tblHeader/>
        </w:trPr>
        <w:tc>
          <w:tcPr>
            <w:tcW w:w="388" w:type="pct"/>
            <w:tcBorders>
              <w:top w:val="single" w:sz="4" w:space="0" w:color="auto"/>
              <w:left w:val="single" w:sz="4" w:space="0" w:color="auto"/>
              <w:bottom w:val="single" w:sz="4" w:space="0" w:color="auto"/>
              <w:right w:val="single" w:sz="4" w:space="0" w:color="auto"/>
            </w:tcBorders>
            <w:hideMark/>
          </w:tcPr>
          <w:p w:rsidR="00D573BB" w:rsidRPr="00EC6E05" w:rsidRDefault="00D573BB" w:rsidP="00B14524">
            <w:pPr>
              <w:pStyle w:val="Tabletext"/>
              <w:keepNext/>
              <w:ind w:left="-62" w:right="-91"/>
              <w:rPr>
                <w:sz w:val="19"/>
                <w:szCs w:val="19"/>
              </w:rPr>
            </w:pPr>
            <w:r w:rsidRPr="00EC6E05">
              <w:rPr>
                <w:sz w:val="19"/>
                <w:szCs w:val="19"/>
              </w:rPr>
              <w:t>Events, n (%)</w:t>
            </w:r>
          </w:p>
        </w:tc>
        <w:tc>
          <w:tcPr>
            <w:tcW w:w="410" w:type="pct"/>
            <w:tcBorders>
              <w:top w:val="single" w:sz="4" w:space="0" w:color="auto"/>
              <w:left w:val="single" w:sz="4" w:space="0" w:color="auto"/>
              <w:bottom w:val="single" w:sz="4" w:space="0" w:color="auto"/>
              <w:right w:val="single" w:sz="4" w:space="0" w:color="auto"/>
            </w:tcBorders>
            <w:hideMark/>
          </w:tcPr>
          <w:p w:rsidR="00D573BB" w:rsidRPr="00EC6E05" w:rsidRDefault="00D573BB" w:rsidP="00B14524">
            <w:pPr>
              <w:pStyle w:val="Tablecentre"/>
              <w:keepNext/>
              <w:rPr>
                <w:rFonts w:ascii="Arial Narrow" w:hAnsi="Arial Narrow"/>
                <w:sz w:val="19"/>
                <w:szCs w:val="19"/>
              </w:rPr>
            </w:pPr>
            <w:r w:rsidRPr="00EC6E05">
              <w:rPr>
                <w:rFonts w:ascii="Arial Narrow" w:hAnsi="Arial Narrow"/>
                <w:sz w:val="19"/>
                <w:szCs w:val="19"/>
              </w:rPr>
              <w:t>229 (51.8)</w:t>
            </w:r>
          </w:p>
        </w:tc>
        <w:tc>
          <w:tcPr>
            <w:tcW w:w="362" w:type="pct"/>
            <w:tcBorders>
              <w:top w:val="single" w:sz="4" w:space="0" w:color="auto"/>
              <w:left w:val="single" w:sz="4" w:space="0" w:color="auto"/>
              <w:bottom w:val="single" w:sz="4" w:space="0" w:color="auto"/>
              <w:right w:val="single" w:sz="4" w:space="0" w:color="auto"/>
            </w:tcBorders>
            <w:hideMark/>
          </w:tcPr>
          <w:p w:rsidR="00D573BB" w:rsidRPr="00EC6E05" w:rsidRDefault="00D573BB" w:rsidP="00B14524">
            <w:pPr>
              <w:pStyle w:val="Tablecentre"/>
              <w:keepNext/>
              <w:rPr>
                <w:rFonts w:ascii="Arial Narrow" w:hAnsi="Arial Narrow"/>
                <w:sz w:val="19"/>
                <w:szCs w:val="19"/>
              </w:rPr>
            </w:pPr>
            <w:r w:rsidRPr="00EC6E05">
              <w:rPr>
                <w:rFonts w:ascii="Arial Narrow" w:hAnsi="Arial Narrow"/>
                <w:sz w:val="19"/>
                <w:szCs w:val="19"/>
              </w:rPr>
              <w:t>258 (58.1)</w:t>
            </w:r>
          </w:p>
        </w:tc>
        <w:tc>
          <w:tcPr>
            <w:tcW w:w="410" w:type="pct"/>
            <w:tcBorders>
              <w:top w:val="single" w:sz="4" w:space="0" w:color="auto"/>
              <w:left w:val="single" w:sz="4" w:space="0" w:color="auto"/>
              <w:bottom w:val="single" w:sz="4" w:space="0" w:color="auto"/>
              <w:right w:val="single" w:sz="4" w:space="0" w:color="auto"/>
            </w:tcBorders>
            <w:hideMark/>
          </w:tcPr>
          <w:p w:rsidR="00D573BB" w:rsidRPr="006A083B" w:rsidRDefault="006A083B" w:rsidP="00B14524">
            <w:pPr>
              <w:pStyle w:val="Tablecentre"/>
              <w:keepNext/>
              <w:rPr>
                <w:rFonts w:ascii="Arial Narrow" w:hAnsi="Arial Narrow"/>
                <w:sz w:val="19"/>
                <w:szCs w:val="19"/>
                <w:highlight w:val="black"/>
              </w:rPr>
            </w:pPr>
            <w:r>
              <w:rPr>
                <w:rFonts w:ascii="Arial Narrow" w:hAnsi="Arial Narrow"/>
                <w:noProof/>
                <w:color w:val="000000"/>
                <w:sz w:val="19"/>
                <w:szCs w:val="19"/>
                <w:highlight w:val="black"/>
              </w:rPr>
              <w:t>''''''''' '''''''''''''''</w:t>
            </w:r>
          </w:p>
        </w:tc>
        <w:tc>
          <w:tcPr>
            <w:tcW w:w="362" w:type="pct"/>
            <w:tcBorders>
              <w:top w:val="single" w:sz="4" w:space="0" w:color="auto"/>
              <w:left w:val="single" w:sz="4" w:space="0" w:color="auto"/>
              <w:bottom w:val="single" w:sz="4" w:space="0" w:color="auto"/>
              <w:right w:val="single" w:sz="4" w:space="0" w:color="auto"/>
            </w:tcBorders>
            <w:hideMark/>
          </w:tcPr>
          <w:p w:rsidR="00D573BB" w:rsidRPr="006A083B" w:rsidRDefault="006A083B" w:rsidP="00B14524">
            <w:pPr>
              <w:pStyle w:val="Tablecentre"/>
              <w:keepNext/>
              <w:rPr>
                <w:rFonts w:ascii="Arial Narrow" w:hAnsi="Arial Narrow"/>
                <w:sz w:val="19"/>
                <w:szCs w:val="19"/>
                <w:highlight w:val="black"/>
              </w:rPr>
            </w:pPr>
            <w:r>
              <w:rPr>
                <w:rFonts w:ascii="Arial Narrow" w:hAnsi="Arial Narrow"/>
                <w:noProof/>
                <w:color w:val="000000"/>
                <w:sz w:val="19"/>
                <w:szCs w:val="19"/>
                <w:highlight w:val="black"/>
              </w:rPr>
              <w:t>''''''''' '''''''''''''</w:t>
            </w:r>
          </w:p>
        </w:tc>
        <w:tc>
          <w:tcPr>
            <w:tcW w:w="410" w:type="pct"/>
            <w:tcBorders>
              <w:top w:val="single" w:sz="4" w:space="0" w:color="auto"/>
              <w:left w:val="single" w:sz="4" w:space="0" w:color="auto"/>
              <w:bottom w:val="single" w:sz="4" w:space="0" w:color="auto"/>
              <w:right w:val="single" w:sz="4" w:space="0" w:color="auto"/>
            </w:tcBorders>
            <w:hideMark/>
          </w:tcPr>
          <w:p w:rsidR="00D573BB" w:rsidRPr="00EC6E05" w:rsidRDefault="00D573BB" w:rsidP="00B14524">
            <w:pPr>
              <w:pStyle w:val="Tablecentre"/>
              <w:keepNext/>
              <w:rPr>
                <w:rFonts w:ascii="Arial Narrow" w:hAnsi="Arial Narrow"/>
                <w:sz w:val="19"/>
                <w:szCs w:val="19"/>
              </w:rPr>
            </w:pPr>
            <w:r w:rsidRPr="00EC6E05">
              <w:rPr>
                <w:rFonts w:ascii="Arial Narrow" w:hAnsi="Arial Narrow"/>
                <w:sz w:val="19"/>
                <w:szCs w:val="19"/>
              </w:rPr>
              <w:t>34 (36.2)</w:t>
            </w:r>
          </w:p>
        </w:tc>
        <w:tc>
          <w:tcPr>
            <w:tcW w:w="362" w:type="pct"/>
            <w:tcBorders>
              <w:top w:val="single" w:sz="4" w:space="0" w:color="auto"/>
              <w:left w:val="single" w:sz="4" w:space="0" w:color="auto"/>
              <w:bottom w:val="single" w:sz="4" w:space="0" w:color="auto"/>
              <w:right w:val="single" w:sz="4" w:space="0" w:color="auto"/>
            </w:tcBorders>
            <w:hideMark/>
          </w:tcPr>
          <w:p w:rsidR="00D573BB" w:rsidRPr="00EC6E05" w:rsidRDefault="00D573BB" w:rsidP="00B14524">
            <w:pPr>
              <w:pStyle w:val="Tablecentre"/>
              <w:keepNext/>
              <w:rPr>
                <w:rFonts w:ascii="Arial Narrow" w:hAnsi="Arial Narrow"/>
                <w:sz w:val="19"/>
                <w:szCs w:val="19"/>
              </w:rPr>
            </w:pPr>
            <w:r w:rsidRPr="00EC6E05">
              <w:rPr>
                <w:rFonts w:ascii="Arial Narrow" w:hAnsi="Arial Narrow"/>
                <w:sz w:val="19"/>
                <w:szCs w:val="19"/>
              </w:rPr>
              <w:t>43 (44.8)</w:t>
            </w:r>
          </w:p>
        </w:tc>
        <w:tc>
          <w:tcPr>
            <w:tcW w:w="405" w:type="pct"/>
            <w:tcBorders>
              <w:top w:val="single" w:sz="4" w:space="0" w:color="auto"/>
              <w:left w:val="single" w:sz="4" w:space="0" w:color="auto"/>
              <w:bottom w:val="single" w:sz="4" w:space="0" w:color="auto"/>
              <w:right w:val="single" w:sz="4" w:space="0" w:color="auto"/>
            </w:tcBorders>
            <w:hideMark/>
          </w:tcPr>
          <w:p w:rsidR="00D573BB" w:rsidRPr="00EC6E05" w:rsidRDefault="00F73A92" w:rsidP="006A4436">
            <w:pPr>
              <w:pStyle w:val="Tablecentre"/>
              <w:keepNext/>
              <w:rPr>
                <w:rFonts w:ascii="Arial Narrow" w:hAnsi="Arial Narrow"/>
                <w:sz w:val="19"/>
                <w:szCs w:val="19"/>
              </w:rPr>
            </w:pPr>
            <w:r w:rsidRPr="00EC6E05">
              <w:rPr>
                <w:rFonts w:ascii="Arial Narrow" w:hAnsi="Arial Narrow"/>
                <w:sz w:val="19"/>
                <w:szCs w:val="19"/>
              </w:rPr>
              <w:t>296 (53.8)</w:t>
            </w:r>
          </w:p>
        </w:tc>
        <w:tc>
          <w:tcPr>
            <w:tcW w:w="362" w:type="pct"/>
            <w:tcBorders>
              <w:top w:val="single" w:sz="4" w:space="0" w:color="auto"/>
              <w:left w:val="single" w:sz="4" w:space="0" w:color="auto"/>
              <w:bottom w:val="single" w:sz="4" w:space="0" w:color="auto"/>
              <w:right w:val="single" w:sz="4" w:space="0" w:color="auto"/>
            </w:tcBorders>
            <w:hideMark/>
          </w:tcPr>
          <w:p w:rsidR="00D573BB" w:rsidRPr="00EC6E05" w:rsidRDefault="00F73A92" w:rsidP="006A4436">
            <w:pPr>
              <w:pStyle w:val="Tablecentre"/>
              <w:keepNext/>
              <w:rPr>
                <w:rFonts w:ascii="Arial Narrow" w:hAnsi="Arial Narrow"/>
                <w:sz w:val="19"/>
                <w:szCs w:val="19"/>
              </w:rPr>
            </w:pPr>
            <w:r w:rsidRPr="00EC6E05">
              <w:rPr>
                <w:rFonts w:ascii="Arial Narrow" w:hAnsi="Arial Narrow"/>
                <w:sz w:val="19"/>
                <w:szCs w:val="19"/>
              </w:rPr>
              <w:t>271 (49.6)</w:t>
            </w:r>
          </w:p>
        </w:tc>
        <w:tc>
          <w:tcPr>
            <w:tcW w:w="405" w:type="pct"/>
            <w:tcBorders>
              <w:top w:val="single" w:sz="4" w:space="0" w:color="auto"/>
              <w:left w:val="single" w:sz="4" w:space="0" w:color="auto"/>
              <w:bottom w:val="single" w:sz="4" w:space="0" w:color="auto"/>
              <w:right w:val="single" w:sz="4" w:space="0" w:color="auto"/>
            </w:tcBorders>
            <w:hideMark/>
          </w:tcPr>
          <w:p w:rsidR="00D573BB" w:rsidRPr="00EC6E05" w:rsidRDefault="00D573BB" w:rsidP="00B14524">
            <w:pPr>
              <w:pStyle w:val="Tablecentre"/>
              <w:keepNext/>
              <w:rPr>
                <w:rFonts w:ascii="Arial Narrow" w:hAnsi="Arial Narrow"/>
                <w:sz w:val="19"/>
                <w:szCs w:val="19"/>
              </w:rPr>
            </w:pPr>
            <w:r w:rsidRPr="00EC6E05">
              <w:rPr>
                <w:rFonts w:ascii="Arial Narrow" w:hAnsi="Arial Narrow"/>
                <w:sz w:val="19"/>
                <w:szCs w:val="19"/>
              </w:rPr>
              <w:t>NR</w:t>
            </w:r>
          </w:p>
        </w:tc>
        <w:tc>
          <w:tcPr>
            <w:tcW w:w="362" w:type="pct"/>
            <w:tcBorders>
              <w:top w:val="single" w:sz="4" w:space="0" w:color="auto"/>
              <w:left w:val="single" w:sz="4" w:space="0" w:color="auto"/>
              <w:bottom w:val="single" w:sz="4" w:space="0" w:color="auto"/>
              <w:right w:val="single" w:sz="4" w:space="0" w:color="auto"/>
            </w:tcBorders>
            <w:hideMark/>
          </w:tcPr>
          <w:p w:rsidR="00D573BB" w:rsidRPr="00EC6E05" w:rsidRDefault="00D573BB" w:rsidP="00B14524">
            <w:pPr>
              <w:pStyle w:val="Tablecentre"/>
              <w:keepNext/>
              <w:rPr>
                <w:rFonts w:ascii="Arial Narrow" w:hAnsi="Arial Narrow"/>
                <w:sz w:val="19"/>
                <w:szCs w:val="19"/>
              </w:rPr>
            </w:pPr>
            <w:r w:rsidRPr="00EC6E05">
              <w:rPr>
                <w:rFonts w:ascii="Arial Narrow" w:hAnsi="Arial Narrow"/>
                <w:sz w:val="19"/>
                <w:szCs w:val="19"/>
              </w:rPr>
              <w:t>NR</w:t>
            </w:r>
          </w:p>
        </w:tc>
        <w:tc>
          <w:tcPr>
            <w:tcW w:w="405" w:type="pct"/>
            <w:tcBorders>
              <w:top w:val="single" w:sz="4" w:space="0" w:color="auto"/>
              <w:left w:val="single" w:sz="4" w:space="0" w:color="auto"/>
              <w:bottom w:val="single" w:sz="4" w:space="0" w:color="auto"/>
              <w:right w:val="single" w:sz="4" w:space="0" w:color="auto"/>
            </w:tcBorders>
            <w:hideMark/>
          </w:tcPr>
          <w:p w:rsidR="00D573BB" w:rsidRPr="00EC6E05" w:rsidRDefault="00D573BB" w:rsidP="00B14524">
            <w:pPr>
              <w:pStyle w:val="Tablecentre"/>
              <w:keepNext/>
              <w:rPr>
                <w:rFonts w:ascii="Arial Narrow" w:hAnsi="Arial Narrow"/>
                <w:sz w:val="19"/>
                <w:szCs w:val="19"/>
              </w:rPr>
            </w:pPr>
            <w:r w:rsidRPr="00EC6E05">
              <w:rPr>
                <w:rFonts w:ascii="Arial Narrow" w:hAnsi="Arial Narrow"/>
                <w:sz w:val="19"/>
                <w:szCs w:val="19"/>
              </w:rPr>
              <w:t>NR</w:t>
            </w:r>
          </w:p>
        </w:tc>
        <w:tc>
          <w:tcPr>
            <w:tcW w:w="358" w:type="pct"/>
            <w:tcBorders>
              <w:top w:val="single" w:sz="4" w:space="0" w:color="auto"/>
              <w:left w:val="single" w:sz="4" w:space="0" w:color="auto"/>
              <w:bottom w:val="single" w:sz="4" w:space="0" w:color="auto"/>
              <w:right w:val="single" w:sz="4" w:space="0" w:color="auto"/>
            </w:tcBorders>
            <w:hideMark/>
          </w:tcPr>
          <w:p w:rsidR="00D573BB" w:rsidRPr="00EC6E05" w:rsidRDefault="00D573BB" w:rsidP="00B14524">
            <w:pPr>
              <w:pStyle w:val="Tablecentre"/>
              <w:keepNext/>
              <w:rPr>
                <w:rFonts w:ascii="Arial Narrow" w:hAnsi="Arial Narrow"/>
                <w:sz w:val="19"/>
                <w:szCs w:val="19"/>
              </w:rPr>
            </w:pPr>
            <w:r w:rsidRPr="00EC6E05">
              <w:rPr>
                <w:rFonts w:ascii="Arial Narrow" w:hAnsi="Arial Narrow"/>
                <w:sz w:val="19"/>
                <w:szCs w:val="19"/>
              </w:rPr>
              <w:t>NR</w:t>
            </w:r>
          </w:p>
        </w:tc>
      </w:tr>
      <w:tr w:rsidR="00F73A92" w:rsidRPr="00EC6E05" w:rsidTr="00B14524">
        <w:trPr>
          <w:trHeight w:val="244"/>
          <w:tblHeader/>
        </w:trPr>
        <w:tc>
          <w:tcPr>
            <w:tcW w:w="388" w:type="pct"/>
            <w:tcBorders>
              <w:top w:val="single" w:sz="4" w:space="0" w:color="auto"/>
              <w:left w:val="single" w:sz="4" w:space="0" w:color="auto"/>
              <w:bottom w:val="single" w:sz="4" w:space="0" w:color="auto"/>
              <w:right w:val="single" w:sz="4" w:space="0" w:color="auto"/>
            </w:tcBorders>
            <w:hideMark/>
          </w:tcPr>
          <w:p w:rsidR="00D573BB" w:rsidRPr="00EC6E05" w:rsidRDefault="00D573BB" w:rsidP="00B14524">
            <w:pPr>
              <w:pStyle w:val="Tabletext"/>
              <w:keepNext/>
              <w:ind w:left="-62" w:right="-91"/>
              <w:rPr>
                <w:sz w:val="19"/>
                <w:szCs w:val="19"/>
              </w:rPr>
            </w:pPr>
            <w:r w:rsidRPr="00EC6E05">
              <w:rPr>
                <w:sz w:val="19"/>
                <w:szCs w:val="19"/>
              </w:rPr>
              <w:t>Median (95% CI), months</w:t>
            </w:r>
          </w:p>
        </w:tc>
        <w:tc>
          <w:tcPr>
            <w:tcW w:w="410" w:type="pct"/>
            <w:tcBorders>
              <w:top w:val="single" w:sz="4" w:space="0" w:color="auto"/>
              <w:left w:val="single" w:sz="4" w:space="0" w:color="auto"/>
              <w:bottom w:val="single" w:sz="4" w:space="0" w:color="auto"/>
              <w:right w:val="single" w:sz="4" w:space="0" w:color="auto"/>
            </w:tcBorders>
            <w:hideMark/>
          </w:tcPr>
          <w:p w:rsidR="00D573BB" w:rsidRPr="00EC6E05" w:rsidRDefault="00D573BB" w:rsidP="00B14524">
            <w:pPr>
              <w:pStyle w:val="Tablecentre"/>
              <w:keepNext/>
              <w:rPr>
                <w:rFonts w:ascii="Arial Narrow" w:hAnsi="Arial Narrow"/>
                <w:sz w:val="19"/>
                <w:szCs w:val="19"/>
              </w:rPr>
            </w:pPr>
            <w:r w:rsidRPr="00EC6E05">
              <w:rPr>
                <w:rFonts w:ascii="Arial Narrow" w:hAnsi="Arial Narrow"/>
                <w:sz w:val="19"/>
                <w:szCs w:val="19"/>
              </w:rPr>
              <w:t>13.3 (11.1, 15.3)</w:t>
            </w:r>
          </w:p>
        </w:tc>
        <w:tc>
          <w:tcPr>
            <w:tcW w:w="362" w:type="pct"/>
            <w:tcBorders>
              <w:top w:val="single" w:sz="4" w:space="0" w:color="auto"/>
              <w:left w:val="single" w:sz="4" w:space="0" w:color="auto"/>
              <w:bottom w:val="single" w:sz="4" w:space="0" w:color="auto"/>
              <w:right w:val="single" w:sz="4" w:space="0" w:color="auto"/>
            </w:tcBorders>
            <w:hideMark/>
          </w:tcPr>
          <w:p w:rsidR="00D573BB" w:rsidRPr="00EC6E05" w:rsidRDefault="00D573BB" w:rsidP="00B14524">
            <w:pPr>
              <w:pStyle w:val="Tablecentre"/>
              <w:keepNext/>
              <w:rPr>
                <w:rFonts w:ascii="Arial Narrow" w:hAnsi="Arial Narrow"/>
                <w:sz w:val="19"/>
                <w:szCs w:val="19"/>
              </w:rPr>
            </w:pPr>
            <w:r w:rsidRPr="00EC6E05">
              <w:rPr>
                <w:rFonts w:ascii="Arial Narrow" w:hAnsi="Arial Narrow"/>
                <w:sz w:val="19"/>
                <w:szCs w:val="19"/>
              </w:rPr>
              <w:t>8.0 (6.7, 9.8)</w:t>
            </w:r>
          </w:p>
        </w:tc>
        <w:tc>
          <w:tcPr>
            <w:tcW w:w="410" w:type="pct"/>
            <w:tcBorders>
              <w:top w:val="single" w:sz="4" w:space="0" w:color="auto"/>
              <w:left w:val="single" w:sz="4" w:space="0" w:color="auto"/>
              <w:bottom w:val="single" w:sz="4" w:space="0" w:color="auto"/>
              <w:right w:val="single" w:sz="4" w:space="0" w:color="auto"/>
            </w:tcBorders>
            <w:hideMark/>
          </w:tcPr>
          <w:p w:rsidR="00D573BB" w:rsidRPr="006A083B" w:rsidRDefault="006A083B" w:rsidP="00B14524">
            <w:pPr>
              <w:pStyle w:val="Tablecentre"/>
              <w:keepNext/>
              <w:rPr>
                <w:rFonts w:ascii="Arial Narrow" w:hAnsi="Arial Narrow"/>
                <w:sz w:val="19"/>
                <w:szCs w:val="19"/>
                <w:highlight w:val="black"/>
              </w:rPr>
            </w:pPr>
            <w:r>
              <w:rPr>
                <w:rFonts w:ascii="Arial Narrow" w:hAnsi="Arial Narrow"/>
                <w:noProof/>
                <w:color w:val="000000"/>
                <w:sz w:val="19"/>
                <w:szCs w:val="19"/>
                <w:highlight w:val="black"/>
              </w:rPr>
              <w:t>'''''''' '''''''''' '''''''''''</w:t>
            </w:r>
          </w:p>
        </w:tc>
        <w:tc>
          <w:tcPr>
            <w:tcW w:w="362" w:type="pct"/>
            <w:tcBorders>
              <w:top w:val="single" w:sz="4" w:space="0" w:color="auto"/>
              <w:left w:val="single" w:sz="4" w:space="0" w:color="auto"/>
              <w:bottom w:val="single" w:sz="4" w:space="0" w:color="auto"/>
              <w:right w:val="single" w:sz="4" w:space="0" w:color="auto"/>
            </w:tcBorders>
            <w:hideMark/>
          </w:tcPr>
          <w:p w:rsidR="00D573BB" w:rsidRPr="006A083B" w:rsidRDefault="006A083B" w:rsidP="00B14524">
            <w:pPr>
              <w:pStyle w:val="Tablecentre"/>
              <w:keepNext/>
              <w:rPr>
                <w:rFonts w:ascii="Arial Narrow" w:hAnsi="Arial Narrow"/>
                <w:sz w:val="19"/>
                <w:szCs w:val="19"/>
                <w:highlight w:val="black"/>
              </w:rPr>
            </w:pPr>
            <w:r>
              <w:rPr>
                <w:rFonts w:ascii="Arial Narrow" w:hAnsi="Arial Narrow"/>
                <w:noProof/>
                <w:color w:val="000000"/>
                <w:sz w:val="19"/>
                <w:szCs w:val="19"/>
                <w:highlight w:val="black"/>
              </w:rPr>
              <w:t>''''''''' '''''''''''' ''''''''''</w:t>
            </w:r>
          </w:p>
        </w:tc>
        <w:tc>
          <w:tcPr>
            <w:tcW w:w="410" w:type="pct"/>
            <w:tcBorders>
              <w:top w:val="single" w:sz="4" w:space="0" w:color="auto"/>
              <w:left w:val="single" w:sz="4" w:space="0" w:color="auto"/>
              <w:bottom w:val="single" w:sz="4" w:space="0" w:color="auto"/>
              <w:right w:val="single" w:sz="4" w:space="0" w:color="auto"/>
            </w:tcBorders>
            <w:hideMark/>
          </w:tcPr>
          <w:p w:rsidR="00D573BB" w:rsidRPr="00EC6E05" w:rsidRDefault="00D573BB" w:rsidP="00B14524">
            <w:pPr>
              <w:jc w:val="center"/>
              <w:rPr>
                <w:rFonts w:ascii="Arial Narrow" w:hAnsi="Arial Narrow"/>
                <w:sz w:val="19"/>
                <w:szCs w:val="19"/>
              </w:rPr>
            </w:pPr>
            <w:r w:rsidRPr="00EC6E05">
              <w:rPr>
                <w:rFonts w:ascii="Arial Narrow" w:hAnsi="Arial Narrow"/>
                <w:sz w:val="19"/>
                <w:szCs w:val="19"/>
              </w:rPr>
              <w:t>24.0 (20.7, NE)</w:t>
            </w:r>
          </w:p>
        </w:tc>
        <w:tc>
          <w:tcPr>
            <w:tcW w:w="362" w:type="pct"/>
            <w:tcBorders>
              <w:top w:val="single" w:sz="4" w:space="0" w:color="auto"/>
              <w:left w:val="single" w:sz="4" w:space="0" w:color="auto"/>
              <w:bottom w:val="single" w:sz="4" w:space="0" w:color="auto"/>
              <w:right w:val="single" w:sz="4" w:space="0" w:color="auto"/>
            </w:tcBorders>
            <w:hideMark/>
          </w:tcPr>
          <w:p w:rsidR="00D573BB" w:rsidRPr="00EC6E05" w:rsidRDefault="00D573BB" w:rsidP="00B14524">
            <w:pPr>
              <w:jc w:val="center"/>
              <w:rPr>
                <w:rFonts w:ascii="Arial Narrow" w:hAnsi="Arial Narrow"/>
                <w:sz w:val="19"/>
                <w:szCs w:val="19"/>
              </w:rPr>
            </w:pPr>
            <w:r w:rsidRPr="00EC6E05">
              <w:rPr>
                <w:rFonts w:ascii="Arial Narrow" w:hAnsi="Arial Narrow"/>
                <w:sz w:val="19"/>
                <w:szCs w:val="19"/>
              </w:rPr>
              <w:t>16.7 (12.6. NE)</w:t>
            </w:r>
          </w:p>
        </w:tc>
        <w:tc>
          <w:tcPr>
            <w:tcW w:w="405" w:type="pct"/>
            <w:tcBorders>
              <w:top w:val="single" w:sz="4" w:space="0" w:color="auto"/>
              <w:left w:val="single" w:sz="4" w:space="0" w:color="auto"/>
              <w:bottom w:val="single" w:sz="4" w:space="0" w:color="auto"/>
              <w:right w:val="single" w:sz="4" w:space="0" w:color="auto"/>
            </w:tcBorders>
            <w:hideMark/>
          </w:tcPr>
          <w:p w:rsidR="00D573BB" w:rsidRPr="00EC6E05" w:rsidRDefault="00D573BB" w:rsidP="00B14524">
            <w:pPr>
              <w:jc w:val="center"/>
              <w:rPr>
                <w:rFonts w:ascii="Arial Narrow" w:hAnsi="Arial Narrow"/>
                <w:sz w:val="19"/>
                <w:szCs w:val="19"/>
              </w:rPr>
            </w:pPr>
            <w:r w:rsidRPr="00EC6E05">
              <w:rPr>
                <w:rFonts w:ascii="Arial Narrow" w:hAnsi="Arial Narrow"/>
                <w:sz w:val="19"/>
                <w:szCs w:val="19"/>
              </w:rPr>
              <w:t xml:space="preserve">12.4 </w:t>
            </w:r>
          </w:p>
          <w:p w:rsidR="00D573BB" w:rsidRPr="00EC6E05" w:rsidRDefault="00D573BB" w:rsidP="00B14524">
            <w:pPr>
              <w:jc w:val="center"/>
              <w:rPr>
                <w:rFonts w:ascii="Arial Narrow" w:hAnsi="Arial Narrow"/>
                <w:sz w:val="19"/>
                <w:szCs w:val="19"/>
              </w:rPr>
            </w:pPr>
            <w:r w:rsidRPr="00EC6E05">
              <w:rPr>
                <w:rFonts w:ascii="Arial Narrow" w:hAnsi="Arial Narrow"/>
                <w:sz w:val="19"/>
                <w:szCs w:val="19"/>
              </w:rPr>
              <w:t>(9.9, 16.5)</w:t>
            </w:r>
          </w:p>
        </w:tc>
        <w:tc>
          <w:tcPr>
            <w:tcW w:w="362" w:type="pct"/>
            <w:tcBorders>
              <w:top w:val="single" w:sz="4" w:space="0" w:color="auto"/>
              <w:left w:val="single" w:sz="4" w:space="0" w:color="auto"/>
              <w:bottom w:val="single" w:sz="4" w:space="0" w:color="auto"/>
              <w:right w:val="single" w:sz="4" w:space="0" w:color="auto"/>
            </w:tcBorders>
            <w:hideMark/>
          </w:tcPr>
          <w:p w:rsidR="00D573BB" w:rsidRPr="00EC6E05" w:rsidRDefault="00D573BB" w:rsidP="00B14524">
            <w:pPr>
              <w:jc w:val="center"/>
              <w:rPr>
                <w:rFonts w:ascii="Arial Narrow" w:hAnsi="Arial Narrow"/>
                <w:sz w:val="19"/>
                <w:szCs w:val="19"/>
              </w:rPr>
            </w:pPr>
            <w:r w:rsidRPr="00EC6E05">
              <w:rPr>
                <w:rFonts w:ascii="Arial Narrow" w:hAnsi="Arial Narrow"/>
                <w:sz w:val="19"/>
                <w:szCs w:val="19"/>
              </w:rPr>
              <w:t xml:space="preserve">12.3 </w:t>
            </w:r>
          </w:p>
          <w:p w:rsidR="00D573BB" w:rsidRPr="00EC6E05" w:rsidRDefault="00D573BB" w:rsidP="00B14524">
            <w:pPr>
              <w:jc w:val="center"/>
              <w:rPr>
                <w:rFonts w:ascii="Arial Narrow" w:hAnsi="Arial Narrow"/>
                <w:sz w:val="19"/>
                <w:szCs w:val="19"/>
              </w:rPr>
            </w:pPr>
            <w:r w:rsidRPr="00EC6E05">
              <w:rPr>
                <w:rFonts w:ascii="Arial Narrow" w:hAnsi="Arial Narrow"/>
                <w:sz w:val="19"/>
                <w:szCs w:val="19"/>
              </w:rPr>
              <w:t>(9.8, 15.2)</w:t>
            </w:r>
          </w:p>
        </w:tc>
        <w:tc>
          <w:tcPr>
            <w:tcW w:w="405" w:type="pct"/>
            <w:tcBorders>
              <w:top w:val="single" w:sz="4" w:space="0" w:color="auto"/>
              <w:left w:val="single" w:sz="4" w:space="0" w:color="auto"/>
              <w:bottom w:val="single" w:sz="4" w:space="0" w:color="auto"/>
              <w:right w:val="single" w:sz="4" w:space="0" w:color="auto"/>
            </w:tcBorders>
            <w:hideMark/>
          </w:tcPr>
          <w:p w:rsidR="00D573BB" w:rsidRPr="00EC6E05" w:rsidRDefault="00D573BB" w:rsidP="00B14524">
            <w:pPr>
              <w:jc w:val="center"/>
              <w:rPr>
                <w:rFonts w:ascii="Arial Narrow" w:hAnsi="Arial Narrow"/>
                <w:sz w:val="19"/>
                <w:szCs w:val="19"/>
              </w:rPr>
            </w:pPr>
            <w:r w:rsidRPr="00EC6E05">
              <w:rPr>
                <w:rFonts w:ascii="Arial Narrow" w:hAnsi="Arial Narrow"/>
                <w:sz w:val="19"/>
                <w:szCs w:val="19"/>
              </w:rPr>
              <w:t>11.6 (8.7, 15.5)</w:t>
            </w:r>
          </w:p>
        </w:tc>
        <w:tc>
          <w:tcPr>
            <w:tcW w:w="362" w:type="pct"/>
            <w:tcBorders>
              <w:top w:val="single" w:sz="4" w:space="0" w:color="auto"/>
              <w:left w:val="single" w:sz="4" w:space="0" w:color="auto"/>
              <w:bottom w:val="single" w:sz="4" w:space="0" w:color="auto"/>
              <w:right w:val="single" w:sz="4" w:space="0" w:color="auto"/>
            </w:tcBorders>
            <w:hideMark/>
          </w:tcPr>
          <w:p w:rsidR="00D573BB" w:rsidRPr="00EC6E05" w:rsidRDefault="00D573BB" w:rsidP="00B14524">
            <w:pPr>
              <w:jc w:val="center"/>
              <w:rPr>
                <w:rFonts w:ascii="Arial Narrow" w:hAnsi="Arial Narrow"/>
                <w:sz w:val="19"/>
                <w:szCs w:val="19"/>
              </w:rPr>
            </w:pPr>
            <w:r w:rsidRPr="00EC6E05">
              <w:rPr>
                <w:rFonts w:ascii="Arial Narrow" w:hAnsi="Arial Narrow"/>
                <w:sz w:val="19"/>
                <w:szCs w:val="19"/>
              </w:rPr>
              <w:t>8.4 (7.0, 10.8)</w:t>
            </w:r>
          </w:p>
        </w:tc>
        <w:tc>
          <w:tcPr>
            <w:tcW w:w="405" w:type="pct"/>
            <w:tcBorders>
              <w:top w:val="single" w:sz="4" w:space="0" w:color="auto"/>
              <w:left w:val="single" w:sz="4" w:space="0" w:color="auto"/>
              <w:bottom w:val="single" w:sz="4" w:space="0" w:color="auto"/>
              <w:right w:val="single" w:sz="4" w:space="0" w:color="auto"/>
            </w:tcBorders>
            <w:hideMark/>
          </w:tcPr>
          <w:p w:rsidR="00D573BB" w:rsidRPr="00EC6E05" w:rsidRDefault="00D573BB" w:rsidP="00B14524">
            <w:pPr>
              <w:jc w:val="center"/>
              <w:rPr>
                <w:rFonts w:ascii="Arial Narrow" w:hAnsi="Arial Narrow"/>
                <w:sz w:val="19"/>
                <w:szCs w:val="19"/>
              </w:rPr>
            </w:pPr>
            <w:r w:rsidRPr="00EC6E05">
              <w:rPr>
                <w:rFonts w:ascii="Arial Narrow" w:hAnsi="Arial Narrow"/>
                <w:sz w:val="19"/>
                <w:szCs w:val="19"/>
              </w:rPr>
              <w:t>15.3 (9.7, 20.3)</w:t>
            </w:r>
          </w:p>
        </w:tc>
        <w:tc>
          <w:tcPr>
            <w:tcW w:w="358" w:type="pct"/>
            <w:tcBorders>
              <w:top w:val="single" w:sz="4" w:space="0" w:color="auto"/>
              <w:left w:val="single" w:sz="4" w:space="0" w:color="auto"/>
              <w:bottom w:val="single" w:sz="4" w:space="0" w:color="auto"/>
              <w:right w:val="single" w:sz="4" w:space="0" w:color="auto"/>
            </w:tcBorders>
            <w:hideMark/>
          </w:tcPr>
          <w:p w:rsidR="00D573BB" w:rsidRPr="00EC6E05" w:rsidRDefault="00D573BB" w:rsidP="00B14524">
            <w:pPr>
              <w:jc w:val="center"/>
              <w:rPr>
                <w:rFonts w:ascii="Arial Narrow" w:hAnsi="Arial Narrow"/>
                <w:sz w:val="19"/>
                <w:szCs w:val="19"/>
              </w:rPr>
            </w:pPr>
            <w:r w:rsidRPr="00EC6E05">
              <w:rPr>
                <w:rFonts w:ascii="Arial Narrow" w:hAnsi="Arial Narrow"/>
                <w:sz w:val="19"/>
                <w:szCs w:val="19"/>
              </w:rPr>
              <w:t>25.1 (20.9, NE)</w:t>
            </w:r>
          </w:p>
        </w:tc>
      </w:tr>
      <w:tr w:rsidR="00F73A92" w:rsidRPr="00EC6E05" w:rsidTr="00B14524">
        <w:trPr>
          <w:trHeight w:val="244"/>
          <w:tblHeader/>
        </w:trPr>
        <w:tc>
          <w:tcPr>
            <w:tcW w:w="388" w:type="pct"/>
            <w:tcBorders>
              <w:top w:val="single" w:sz="4" w:space="0" w:color="auto"/>
              <w:left w:val="single" w:sz="4" w:space="0" w:color="auto"/>
              <w:bottom w:val="single" w:sz="4" w:space="0" w:color="auto"/>
              <w:right w:val="single" w:sz="4" w:space="0" w:color="auto"/>
            </w:tcBorders>
            <w:hideMark/>
          </w:tcPr>
          <w:p w:rsidR="00D573BB" w:rsidRPr="00EC6E05" w:rsidRDefault="00D573BB" w:rsidP="00B14524">
            <w:pPr>
              <w:pStyle w:val="Tabletext"/>
              <w:keepNext/>
              <w:ind w:left="-62" w:right="-91"/>
              <w:rPr>
                <w:sz w:val="19"/>
                <w:szCs w:val="19"/>
              </w:rPr>
            </w:pPr>
            <w:r w:rsidRPr="00EC6E05">
              <w:rPr>
                <w:sz w:val="19"/>
                <w:szCs w:val="19"/>
              </w:rPr>
              <w:t>Median diff PFS, months</w:t>
            </w:r>
          </w:p>
        </w:tc>
        <w:tc>
          <w:tcPr>
            <w:tcW w:w="771" w:type="pct"/>
            <w:gridSpan w:val="2"/>
            <w:tcBorders>
              <w:top w:val="single" w:sz="4" w:space="0" w:color="auto"/>
              <w:left w:val="single" w:sz="4" w:space="0" w:color="auto"/>
              <w:bottom w:val="single" w:sz="4" w:space="0" w:color="auto"/>
              <w:right w:val="single" w:sz="4" w:space="0" w:color="auto"/>
            </w:tcBorders>
            <w:hideMark/>
          </w:tcPr>
          <w:p w:rsidR="00D573BB" w:rsidRPr="00EC6E05" w:rsidRDefault="00D573BB" w:rsidP="00B14524">
            <w:pPr>
              <w:pStyle w:val="Tablecentre"/>
              <w:keepNext/>
              <w:rPr>
                <w:rFonts w:ascii="Arial Narrow" w:hAnsi="Arial Narrow"/>
                <w:sz w:val="19"/>
                <w:szCs w:val="19"/>
              </w:rPr>
            </w:pPr>
            <w:r w:rsidRPr="00EC6E05">
              <w:rPr>
                <w:rFonts w:ascii="Arial Narrow" w:hAnsi="Arial Narrow"/>
                <w:sz w:val="19"/>
                <w:szCs w:val="19"/>
              </w:rPr>
              <w:t>5.3</w:t>
            </w:r>
          </w:p>
        </w:tc>
        <w:tc>
          <w:tcPr>
            <w:tcW w:w="771" w:type="pct"/>
            <w:gridSpan w:val="2"/>
            <w:tcBorders>
              <w:top w:val="single" w:sz="4" w:space="0" w:color="auto"/>
              <w:left w:val="single" w:sz="4" w:space="0" w:color="auto"/>
              <w:bottom w:val="single" w:sz="4" w:space="0" w:color="auto"/>
              <w:right w:val="single" w:sz="4" w:space="0" w:color="auto"/>
            </w:tcBorders>
            <w:hideMark/>
          </w:tcPr>
          <w:p w:rsidR="00D573BB" w:rsidRPr="006A083B" w:rsidRDefault="006A083B" w:rsidP="00B14524">
            <w:pPr>
              <w:pStyle w:val="Tablecentre"/>
              <w:keepNext/>
              <w:rPr>
                <w:rFonts w:ascii="Arial Narrow" w:hAnsi="Arial Narrow"/>
                <w:sz w:val="19"/>
                <w:szCs w:val="19"/>
                <w:highlight w:val="black"/>
              </w:rPr>
            </w:pPr>
            <w:r>
              <w:rPr>
                <w:rFonts w:ascii="Arial Narrow" w:hAnsi="Arial Narrow"/>
                <w:noProof/>
                <w:color w:val="000000"/>
                <w:sz w:val="19"/>
                <w:szCs w:val="19"/>
                <w:highlight w:val="black"/>
              </w:rPr>
              <w:t>''''''''</w:t>
            </w:r>
          </w:p>
        </w:tc>
        <w:tc>
          <w:tcPr>
            <w:tcW w:w="772" w:type="pct"/>
            <w:gridSpan w:val="2"/>
            <w:tcBorders>
              <w:top w:val="single" w:sz="4" w:space="0" w:color="auto"/>
              <w:left w:val="single" w:sz="4" w:space="0" w:color="auto"/>
              <w:bottom w:val="single" w:sz="4" w:space="0" w:color="auto"/>
              <w:right w:val="single" w:sz="4" w:space="0" w:color="auto"/>
            </w:tcBorders>
            <w:hideMark/>
          </w:tcPr>
          <w:p w:rsidR="00D573BB" w:rsidRPr="00EC6E05" w:rsidRDefault="00D573BB" w:rsidP="00B14524">
            <w:pPr>
              <w:jc w:val="center"/>
              <w:rPr>
                <w:rFonts w:ascii="Arial Narrow" w:hAnsi="Arial Narrow"/>
                <w:sz w:val="19"/>
                <w:szCs w:val="19"/>
              </w:rPr>
            </w:pPr>
            <w:r w:rsidRPr="00EC6E05">
              <w:rPr>
                <w:rFonts w:ascii="Arial Narrow" w:hAnsi="Arial Narrow"/>
                <w:sz w:val="19"/>
                <w:szCs w:val="19"/>
              </w:rPr>
              <w:t>7.3</w:t>
            </w:r>
          </w:p>
        </w:tc>
        <w:tc>
          <w:tcPr>
            <w:tcW w:w="767" w:type="pct"/>
            <w:gridSpan w:val="2"/>
            <w:tcBorders>
              <w:top w:val="single" w:sz="4" w:space="0" w:color="auto"/>
              <w:left w:val="single" w:sz="4" w:space="0" w:color="auto"/>
              <w:bottom w:val="single" w:sz="4" w:space="0" w:color="auto"/>
              <w:right w:val="single" w:sz="4" w:space="0" w:color="auto"/>
            </w:tcBorders>
            <w:hideMark/>
          </w:tcPr>
          <w:p w:rsidR="00D573BB" w:rsidRPr="00EC6E05" w:rsidRDefault="00D573BB" w:rsidP="00B14524">
            <w:pPr>
              <w:jc w:val="center"/>
              <w:rPr>
                <w:rFonts w:ascii="Arial Narrow" w:hAnsi="Arial Narrow"/>
                <w:sz w:val="19"/>
                <w:szCs w:val="19"/>
              </w:rPr>
            </w:pPr>
            <w:r w:rsidRPr="00EC6E05">
              <w:rPr>
                <w:rFonts w:ascii="Arial Narrow" w:hAnsi="Arial Narrow"/>
                <w:sz w:val="19"/>
                <w:szCs w:val="19"/>
              </w:rPr>
              <w:t>0.1</w:t>
            </w:r>
          </w:p>
        </w:tc>
        <w:tc>
          <w:tcPr>
            <w:tcW w:w="767" w:type="pct"/>
            <w:gridSpan w:val="2"/>
            <w:tcBorders>
              <w:top w:val="single" w:sz="4" w:space="0" w:color="auto"/>
              <w:left w:val="single" w:sz="4" w:space="0" w:color="auto"/>
              <w:bottom w:val="single" w:sz="4" w:space="0" w:color="auto"/>
              <w:right w:val="single" w:sz="4" w:space="0" w:color="auto"/>
            </w:tcBorders>
            <w:hideMark/>
          </w:tcPr>
          <w:p w:rsidR="00D573BB" w:rsidRPr="00EC6E05" w:rsidRDefault="00D573BB" w:rsidP="00B14524">
            <w:pPr>
              <w:jc w:val="center"/>
              <w:rPr>
                <w:rFonts w:ascii="Arial Narrow" w:hAnsi="Arial Narrow"/>
                <w:sz w:val="19"/>
                <w:szCs w:val="19"/>
              </w:rPr>
            </w:pPr>
            <w:r w:rsidRPr="00EC6E05">
              <w:rPr>
                <w:rFonts w:ascii="Arial Narrow" w:hAnsi="Arial Narrow"/>
                <w:sz w:val="19"/>
                <w:szCs w:val="19"/>
              </w:rPr>
              <w:t>3.2</w:t>
            </w:r>
          </w:p>
        </w:tc>
        <w:tc>
          <w:tcPr>
            <w:tcW w:w="763" w:type="pct"/>
            <w:gridSpan w:val="2"/>
            <w:tcBorders>
              <w:top w:val="single" w:sz="4" w:space="0" w:color="auto"/>
              <w:left w:val="single" w:sz="4" w:space="0" w:color="auto"/>
              <w:bottom w:val="single" w:sz="4" w:space="0" w:color="auto"/>
              <w:right w:val="single" w:sz="4" w:space="0" w:color="auto"/>
            </w:tcBorders>
            <w:hideMark/>
          </w:tcPr>
          <w:p w:rsidR="00D573BB" w:rsidRPr="00EC6E05" w:rsidRDefault="00D573BB" w:rsidP="00B14524">
            <w:pPr>
              <w:jc w:val="center"/>
              <w:rPr>
                <w:rFonts w:ascii="Arial Narrow" w:hAnsi="Arial Narrow"/>
                <w:sz w:val="19"/>
                <w:szCs w:val="19"/>
              </w:rPr>
            </w:pPr>
            <w:r w:rsidRPr="00EC6E05">
              <w:rPr>
                <w:rFonts w:ascii="Arial Narrow" w:hAnsi="Arial Narrow"/>
                <w:sz w:val="19"/>
                <w:szCs w:val="19"/>
              </w:rPr>
              <w:t>-9.8</w:t>
            </w:r>
          </w:p>
        </w:tc>
      </w:tr>
      <w:tr w:rsidR="00F73A92" w:rsidRPr="00EC6E05" w:rsidTr="00B14524">
        <w:trPr>
          <w:trHeight w:val="244"/>
          <w:tblHeader/>
        </w:trPr>
        <w:tc>
          <w:tcPr>
            <w:tcW w:w="388" w:type="pct"/>
            <w:tcBorders>
              <w:top w:val="single" w:sz="4" w:space="0" w:color="auto"/>
              <w:left w:val="single" w:sz="4" w:space="0" w:color="auto"/>
              <w:bottom w:val="single" w:sz="4" w:space="0" w:color="auto"/>
              <w:right w:val="single" w:sz="4" w:space="0" w:color="auto"/>
            </w:tcBorders>
            <w:hideMark/>
          </w:tcPr>
          <w:p w:rsidR="00D573BB" w:rsidRPr="00EC6E05" w:rsidRDefault="00D573BB" w:rsidP="00B14524">
            <w:pPr>
              <w:pStyle w:val="Tableheading0"/>
              <w:keepNext/>
              <w:ind w:left="-62" w:right="-91"/>
              <w:jc w:val="left"/>
              <w:rPr>
                <w:rFonts w:ascii="Arial Narrow" w:hAnsi="Arial Narrow"/>
                <w:b w:val="0"/>
                <w:bCs/>
                <w:sz w:val="19"/>
                <w:szCs w:val="19"/>
              </w:rPr>
            </w:pPr>
            <w:r w:rsidRPr="00EC6E05">
              <w:rPr>
                <w:rFonts w:ascii="Arial Narrow" w:hAnsi="Arial Narrow"/>
                <w:b w:val="0"/>
                <w:bCs/>
                <w:sz w:val="19"/>
                <w:szCs w:val="19"/>
              </w:rPr>
              <w:t xml:space="preserve">HR </w:t>
            </w:r>
          </w:p>
          <w:p w:rsidR="00D573BB" w:rsidRPr="00EC6E05" w:rsidRDefault="00D573BB" w:rsidP="00B14524">
            <w:pPr>
              <w:pStyle w:val="Tableheading0"/>
              <w:keepNext/>
              <w:ind w:left="-62" w:right="-91"/>
              <w:jc w:val="left"/>
              <w:rPr>
                <w:rFonts w:ascii="Arial Narrow" w:hAnsi="Arial Narrow"/>
                <w:b w:val="0"/>
                <w:bCs/>
                <w:sz w:val="19"/>
                <w:szCs w:val="19"/>
              </w:rPr>
            </w:pPr>
            <w:r w:rsidRPr="00EC6E05">
              <w:rPr>
                <w:rFonts w:ascii="Arial Narrow" w:hAnsi="Arial Narrow"/>
                <w:b w:val="0"/>
                <w:bCs/>
                <w:sz w:val="19"/>
                <w:szCs w:val="19"/>
              </w:rPr>
              <w:t>(95% CI)</w:t>
            </w:r>
          </w:p>
        </w:tc>
        <w:tc>
          <w:tcPr>
            <w:tcW w:w="771" w:type="pct"/>
            <w:gridSpan w:val="2"/>
            <w:tcBorders>
              <w:top w:val="single" w:sz="4" w:space="0" w:color="auto"/>
              <w:left w:val="single" w:sz="4" w:space="0" w:color="auto"/>
              <w:bottom w:val="single" w:sz="4" w:space="0" w:color="auto"/>
              <w:right w:val="single" w:sz="4" w:space="0" w:color="auto"/>
            </w:tcBorders>
            <w:hideMark/>
          </w:tcPr>
          <w:p w:rsidR="00D573BB" w:rsidRPr="00EC6E05" w:rsidRDefault="00D573BB" w:rsidP="00B14524">
            <w:pPr>
              <w:jc w:val="center"/>
              <w:rPr>
                <w:rFonts w:ascii="Arial Narrow" w:hAnsi="Arial Narrow"/>
                <w:b/>
                <w:sz w:val="19"/>
                <w:szCs w:val="19"/>
              </w:rPr>
            </w:pPr>
            <w:r w:rsidRPr="00EC6E05">
              <w:rPr>
                <w:rFonts w:ascii="Arial Narrow" w:hAnsi="Arial Narrow"/>
                <w:b/>
                <w:sz w:val="19"/>
                <w:szCs w:val="19"/>
              </w:rPr>
              <w:t xml:space="preserve">0.69 </w:t>
            </w:r>
          </w:p>
          <w:p w:rsidR="00D573BB" w:rsidRPr="00EC6E05" w:rsidRDefault="00D573BB" w:rsidP="00B14524">
            <w:pPr>
              <w:pStyle w:val="Tablecentre"/>
              <w:keepNext/>
              <w:rPr>
                <w:rFonts w:ascii="Arial Narrow" w:hAnsi="Arial Narrow"/>
                <w:sz w:val="19"/>
                <w:szCs w:val="19"/>
              </w:rPr>
            </w:pPr>
            <w:r w:rsidRPr="00EC6E05">
              <w:rPr>
                <w:rFonts w:ascii="Arial Narrow" w:hAnsi="Arial Narrow"/>
                <w:b/>
                <w:sz w:val="19"/>
                <w:szCs w:val="19"/>
              </w:rPr>
              <w:t>(0.574, 0.825)</w:t>
            </w:r>
          </w:p>
        </w:tc>
        <w:tc>
          <w:tcPr>
            <w:tcW w:w="771" w:type="pct"/>
            <w:gridSpan w:val="2"/>
            <w:tcBorders>
              <w:top w:val="single" w:sz="4" w:space="0" w:color="auto"/>
              <w:left w:val="single" w:sz="4" w:space="0" w:color="auto"/>
              <w:bottom w:val="single" w:sz="4" w:space="0" w:color="auto"/>
              <w:right w:val="single" w:sz="4" w:space="0" w:color="auto"/>
            </w:tcBorders>
            <w:hideMark/>
          </w:tcPr>
          <w:p w:rsidR="00D573BB" w:rsidRPr="006A083B" w:rsidRDefault="006A083B" w:rsidP="00B14524">
            <w:pPr>
              <w:pStyle w:val="Tablecentre"/>
              <w:keepNext/>
              <w:rPr>
                <w:rFonts w:ascii="Arial Narrow" w:hAnsi="Arial Narrow"/>
                <w:b/>
                <w:sz w:val="19"/>
                <w:szCs w:val="19"/>
                <w:highlight w:val="black"/>
              </w:rPr>
            </w:pPr>
            <w:r>
              <w:rPr>
                <w:rFonts w:ascii="Arial Narrow" w:hAnsi="Arial Narrow"/>
                <w:b/>
                <w:noProof/>
                <w:color w:val="000000"/>
                <w:sz w:val="19"/>
                <w:szCs w:val="19"/>
                <w:highlight w:val="black"/>
              </w:rPr>
              <w:t xml:space="preserve">'''''''''' </w:t>
            </w:r>
          </w:p>
          <w:p w:rsidR="00D573BB" w:rsidRPr="006A083B" w:rsidRDefault="006A083B" w:rsidP="00B14524">
            <w:pPr>
              <w:pStyle w:val="Tablecentre"/>
              <w:keepNext/>
              <w:rPr>
                <w:rFonts w:ascii="Arial Narrow" w:hAnsi="Arial Narrow"/>
                <w:color w:val="E36C0A" w:themeColor="accent6" w:themeShade="BF"/>
                <w:sz w:val="19"/>
                <w:szCs w:val="19"/>
                <w:highlight w:val="black"/>
              </w:rPr>
            </w:pPr>
            <w:r>
              <w:rPr>
                <w:rFonts w:ascii="Arial Narrow" w:hAnsi="Arial Narrow"/>
                <w:b/>
                <w:noProof/>
                <w:color w:val="000000"/>
                <w:sz w:val="19"/>
                <w:szCs w:val="19"/>
                <w:highlight w:val="black"/>
              </w:rPr>
              <w:t>'''''''''''''' ''''''''''''''</w:t>
            </w:r>
          </w:p>
        </w:tc>
        <w:tc>
          <w:tcPr>
            <w:tcW w:w="772" w:type="pct"/>
            <w:gridSpan w:val="2"/>
            <w:tcBorders>
              <w:top w:val="single" w:sz="4" w:space="0" w:color="auto"/>
              <w:left w:val="single" w:sz="4" w:space="0" w:color="auto"/>
              <w:bottom w:val="single" w:sz="4" w:space="0" w:color="auto"/>
              <w:right w:val="single" w:sz="4" w:space="0" w:color="auto"/>
            </w:tcBorders>
            <w:hideMark/>
          </w:tcPr>
          <w:p w:rsidR="00D573BB" w:rsidRPr="00EC6E05" w:rsidRDefault="00D573BB" w:rsidP="00B14524">
            <w:pPr>
              <w:pStyle w:val="Tablecentre"/>
              <w:keepNext/>
              <w:rPr>
                <w:rFonts w:ascii="Arial Narrow" w:hAnsi="Arial Narrow"/>
                <w:b/>
                <w:sz w:val="19"/>
                <w:szCs w:val="19"/>
              </w:rPr>
            </w:pPr>
            <w:r w:rsidRPr="00EC6E05">
              <w:rPr>
                <w:rFonts w:ascii="Arial Narrow" w:hAnsi="Arial Narrow"/>
                <w:b/>
                <w:sz w:val="19"/>
                <w:szCs w:val="19"/>
              </w:rPr>
              <w:t>0.626</w:t>
            </w:r>
          </w:p>
          <w:p w:rsidR="00D573BB" w:rsidRPr="00EC6E05" w:rsidRDefault="00D573BB" w:rsidP="00B14524">
            <w:pPr>
              <w:jc w:val="center"/>
              <w:rPr>
                <w:rFonts w:ascii="Arial Narrow" w:hAnsi="Arial Narrow"/>
                <w:sz w:val="19"/>
                <w:szCs w:val="19"/>
              </w:rPr>
            </w:pPr>
            <w:r w:rsidRPr="00EC6E05">
              <w:rPr>
                <w:rFonts w:ascii="Arial Narrow" w:hAnsi="Arial Narrow"/>
                <w:b/>
                <w:sz w:val="19"/>
                <w:szCs w:val="19"/>
              </w:rPr>
              <w:t>(0.397, 0.986)</w:t>
            </w:r>
          </w:p>
        </w:tc>
        <w:tc>
          <w:tcPr>
            <w:tcW w:w="767" w:type="pct"/>
            <w:gridSpan w:val="2"/>
            <w:tcBorders>
              <w:top w:val="single" w:sz="4" w:space="0" w:color="auto"/>
              <w:left w:val="single" w:sz="4" w:space="0" w:color="auto"/>
              <w:bottom w:val="single" w:sz="4" w:space="0" w:color="auto"/>
              <w:right w:val="single" w:sz="4" w:space="0" w:color="auto"/>
            </w:tcBorders>
            <w:hideMark/>
          </w:tcPr>
          <w:p w:rsidR="00D573BB" w:rsidRPr="00EC6E05" w:rsidRDefault="00D573BB" w:rsidP="00B14524">
            <w:pPr>
              <w:jc w:val="center"/>
              <w:rPr>
                <w:rFonts w:ascii="Arial Narrow" w:hAnsi="Arial Narrow"/>
                <w:sz w:val="19"/>
                <w:szCs w:val="19"/>
                <w:vertAlign w:val="superscript"/>
              </w:rPr>
            </w:pPr>
            <w:r w:rsidRPr="00EC6E05">
              <w:rPr>
                <w:rFonts w:ascii="Arial Narrow" w:hAnsi="Arial Narrow"/>
                <w:sz w:val="19"/>
                <w:szCs w:val="19"/>
              </w:rPr>
              <w:t xml:space="preserve">0.98 </w:t>
            </w:r>
            <w:r w:rsidRPr="00EC6E05">
              <w:rPr>
                <w:rFonts w:ascii="Arial Narrow" w:hAnsi="Arial Narrow"/>
                <w:sz w:val="19"/>
                <w:szCs w:val="19"/>
                <w:vertAlign w:val="superscript"/>
              </w:rPr>
              <w:t>c</w:t>
            </w:r>
          </w:p>
          <w:p w:rsidR="00D573BB" w:rsidRPr="00EC6E05" w:rsidRDefault="00D573BB" w:rsidP="00B14524">
            <w:pPr>
              <w:jc w:val="center"/>
              <w:rPr>
                <w:rFonts w:ascii="Arial Narrow" w:hAnsi="Arial Narrow"/>
                <w:sz w:val="19"/>
                <w:szCs w:val="19"/>
              </w:rPr>
            </w:pPr>
            <w:r w:rsidRPr="00EC6E05">
              <w:rPr>
                <w:rFonts w:ascii="Arial Narrow" w:hAnsi="Arial Narrow"/>
                <w:sz w:val="19"/>
                <w:szCs w:val="19"/>
              </w:rPr>
              <w:t>(0.79, 1.23)</w:t>
            </w:r>
          </w:p>
        </w:tc>
        <w:tc>
          <w:tcPr>
            <w:tcW w:w="767" w:type="pct"/>
            <w:gridSpan w:val="2"/>
            <w:tcBorders>
              <w:top w:val="single" w:sz="4" w:space="0" w:color="auto"/>
              <w:left w:val="single" w:sz="4" w:space="0" w:color="auto"/>
              <w:bottom w:val="single" w:sz="4" w:space="0" w:color="auto"/>
              <w:right w:val="single" w:sz="4" w:space="0" w:color="auto"/>
            </w:tcBorders>
            <w:hideMark/>
          </w:tcPr>
          <w:p w:rsidR="00D573BB" w:rsidRPr="00EC6E05" w:rsidRDefault="00D573BB" w:rsidP="00B14524">
            <w:pPr>
              <w:jc w:val="center"/>
              <w:rPr>
                <w:rFonts w:ascii="Arial Narrow" w:hAnsi="Arial Narrow"/>
                <w:b/>
                <w:sz w:val="19"/>
                <w:szCs w:val="19"/>
                <w:vertAlign w:val="superscript"/>
              </w:rPr>
            </w:pPr>
            <w:r w:rsidRPr="00EC6E05">
              <w:rPr>
                <w:rFonts w:ascii="Arial Narrow" w:hAnsi="Arial Narrow"/>
                <w:b/>
                <w:sz w:val="19"/>
                <w:szCs w:val="19"/>
              </w:rPr>
              <w:t xml:space="preserve">0.82 </w:t>
            </w:r>
            <w:r w:rsidRPr="00EC6E05">
              <w:rPr>
                <w:rFonts w:ascii="Arial Narrow" w:hAnsi="Arial Narrow"/>
                <w:b/>
                <w:sz w:val="19"/>
                <w:szCs w:val="19"/>
                <w:vertAlign w:val="superscript"/>
              </w:rPr>
              <w:t>c</w:t>
            </w:r>
          </w:p>
          <w:p w:rsidR="00D573BB" w:rsidRPr="00EC6E05" w:rsidRDefault="00D573BB" w:rsidP="00B14524">
            <w:pPr>
              <w:jc w:val="center"/>
              <w:rPr>
                <w:rFonts w:ascii="Arial Narrow" w:hAnsi="Arial Narrow"/>
                <w:sz w:val="19"/>
                <w:szCs w:val="19"/>
              </w:rPr>
            </w:pPr>
            <w:r w:rsidRPr="00EC6E05">
              <w:rPr>
                <w:rFonts w:ascii="Arial Narrow" w:hAnsi="Arial Narrow"/>
                <w:b/>
                <w:sz w:val="19"/>
                <w:szCs w:val="19"/>
              </w:rPr>
              <w:t>(0.64, 1.05)</w:t>
            </w:r>
          </w:p>
        </w:tc>
        <w:tc>
          <w:tcPr>
            <w:tcW w:w="763" w:type="pct"/>
            <w:gridSpan w:val="2"/>
            <w:tcBorders>
              <w:top w:val="single" w:sz="4" w:space="0" w:color="auto"/>
              <w:left w:val="single" w:sz="4" w:space="0" w:color="auto"/>
              <w:bottom w:val="single" w:sz="4" w:space="0" w:color="auto"/>
              <w:right w:val="single" w:sz="4" w:space="0" w:color="auto"/>
            </w:tcBorders>
            <w:hideMark/>
          </w:tcPr>
          <w:p w:rsidR="00D573BB" w:rsidRPr="00EC6E05" w:rsidRDefault="00D573BB" w:rsidP="00B14524">
            <w:pPr>
              <w:jc w:val="center"/>
              <w:rPr>
                <w:rFonts w:ascii="Arial Narrow" w:hAnsi="Arial Narrow"/>
                <w:b/>
                <w:sz w:val="19"/>
                <w:szCs w:val="19"/>
              </w:rPr>
            </w:pPr>
            <w:r w:rsidRPr="00EC6E05">
              <w:rPr>
                <w:rFonts w:ascii="Arial Narrow" w:hAnsi="Arial Narrow"/>
                <w:b/>
                <w:sz w:val="19"/>
                <w:szCs w:val="19"/>
              </w:rPr>
              <w:t xml:space="preserve">2.18 </w:t>
            </w:r>
            <w:r w:rsidRPr="00EC6E05">
              <w:rPr>
                <w:rFonts w:ascii="Arial Narrow" w:hAnsi="Arial Narrow"/>
                <w:b/>
                <w:sz w:val="19"/>
                <w:szCs w:val="19"/>
                <w:vertAlign w:val="superscript"/>
              </w:rPr>
              <w:t>c</w:t>
            </w:r>
          </w:p>
          <w:p w:rsidR="00D573BB" w:rsidRPr="00EC6E05" w:rsidRDefault="00D573BB" w:rsidP="00B14524">
            <w:pPr>
              <w:jc w:val="center"/>
              <w:rPr>
                <w:rFonts w:ascii="Arial Narrow" w:hAnsi="Arial Narrow"/>
                <w:sz w:val="19"/>
                <w:szCs w:val="19"/>
              </w:rPr>
            </w:pPr>
            <w:r w:rsidRPr="00EC6E05">
              <w:rPr>
                <w:rFonts w:ascii="Arial Narrow" w:hAnsi="Arial Narrow"/>
                <w:b/>
                <w:sz w:val="19"/>
                <w:szCs w:val="19"/>
              </w:rPr>
              <w:t>(1.29, 3.68)</w:t>
            </w:r>
          </w:p>
        </w:tc>
      </w:tr>
      <w:tr w:rsidR="00F73A92" w:rsidRPr="00EC6E05" w:rsidTr="00B14524">
        <w:trPr>
          <w:trHeight w:val="244"/>
          <w:tblHeader/>
        </w:trPr>
        <w:tc>
          <w:tcPr>
            <w:tcW w:w="388" w:type="pct"/>
            <w:tcBorders>
              <w:top w:val="single" w:sz="4" w:space="0" w:color="auto"/>
              <w:left w:val="single" w:sz="4" w:space="0" w:color="auto"/>
              <w:bottom w:val="single" w:sz="4" w:space="0" w:color="auto"/>
              <w:right w:val="single" w:sz="4" w:space="0" w:color="auto"/>
            </w:tcBorders>
            <w:hideMark/>
          </w:tcPr>
          <w:p w:rsidR="00D573BB" w:rsidRPr="00EC6E05" w:rsidRDefault="00D573BB" w:rsidP="00B14524">
            <w:pPr>
              <w:pStyle w:val="Tableheading0"/>
              <w:keepNext/>
              <w:ind w:left="-62" w:right="-91"/>
              <w:jc w:val="left"/>
              <w:rPr>
                <w:rFonts w:ascii="Arial Narrow" w:hAnsi="Arial Narrow"/>
                <w:b w:val="0"/>
                <w:bCs/>
                <w:sz w:val="19"/>
                <w:szCs w:val="19"/>
              </w:rPr>
            </w:pPr>
            <w:r w:rsidRPr="00EC6E05">
              <w:rPr>
                <w:rFonts w:ascii="Arial Narrow" w:hAnsi="Arial Narrow"/>
                <w:b w:val="0"/>
                <w:bCs/>
                <w:sz w:val="19"/>
                <w:szCs w:val="19"/>
              </w:rPr>
              <w:t>p-value</w:t>
            </w:r>
          </w:p>
        </w:tc>
        <w:tc>
          <w:tcPr>
            <w:tcW w:w="771" w:type="pct"/>
            <w:gridSpan w:val="2"/>
            <w:tcBorders>
              <w:top w:val="single" w:sz="4" w:space="0" w:color="auto"/>
              <w:left w:val="single" w:sz="4" w:space="0" w:color="auto"/>
              <w:bottom w:val="single" w:sz="4" w:space="0" w:color="auto"/>
              <w:right w:val="single" w:sz="4" w:space="0" w:color="auto"/>
            </w:tcBorders>
            <w:hideMark/>
          </w:tcPr>
          <w:p w:rsidR="00D573BB" w:rsidRPr="00EC6E05" w:rsidRDefault="00D573BB" w:rsidP="00B14524">
            <w:pPr>
              <w:pStyle w:val="Tablecentre"/>
              <w:keepNext/>
              <w:rPr>
                <w:rFonts w:ascii="Arial Narrow" w:hAnsi="Arial Narrow"/>
                <w:sz w:val="19"/>
                <w:szCs w:val="19"/>
              </w:rPr>
            </w:pPr>
            <w:r w:rsidRPr="00EC6E05">
              <w:rPr>
                <w:rFonts w:ascii="Arial Narrow" w:hAnsi="Arial Narrow"/>
                <w:sz w:val="19"/>
                <w:szCs w:val="19"/>
              </w:rPr>
              <w:t>&lt; 0.0001</w:t>
            </w:r>
          </w:p>
        </w:tc>
        <w:tc>
          <w:tcPr>
            <w:tcW w:w="771" w:type="pct"/>
            <w:gridSpan w:val="2"/>
            <w:tcBorders>
              <w:top w:val="single" w:sz="4" w:space="0" w:color="auto"/>
              <w:left w:val="single" w:sz="4" w:space="0" w:color="auto"/>
              <w:bottom w:val="single" w:sz="4" w:space="0" w:color="auto"/>
              <w:right w:val="single" w:sz="4" w:space="0" w:color="auto"/>
            </w:tcBorders>
            <w:hideMark/>
          </w:tcPr>
          <w:p w:rsidR="00D573BB" w:rsidRPr="006A083B" w:rsidRDefault="006A083B" w:rsidP="00B14524">
            <w:pPr>
              <w:pStyle w:val="Tablecentre"/>
              <w:keepNext/>
              <w:rPr>
                <w:rFonts w:ascii="Arial Narrow" w:hAnsi="Arial Narrow"/>
                <w:color w:val="E36C0A" w:themeColor="accent6" w:themeShade="BF"/>
                <w:sz w:val="19"/>
                <w:szCs w:val="19"/>
                <w:highlight w:val="black"/>
              </w:rPr>
            </w:pPr>
            <w:r>
              <w:rPr>
                <w:rFonts w:ascii="Arial Narrow" w:hAnsi="Arial Narrow"/>
                <w:noProof/>
                <w:color w:val="000000"/>
                <w:sz w:val="19"/>
                <w:szCs w:val="19"/>
                <w:highlight w:val="black"/>
              </w:rPr>
              <w:t>'''' '''''''''''''''</w:t>
            </w:r>
          </w:p>
        </w:tc>
        <w:tc>
          <w:tcPr>
            <w:tcW w:w="772" w:type="pct"/>
            <w:gridSpan w:val="2"/>
            <w:tcBorders>
              <w:top w:val="single" w:sz="4" w:space="0" w:color="auto"/>
              <w:left w:val="single" w:sz="4" w:space="0" w:color="auto"/>
              <w:bottom w:val="single" w:sz="4" w:space="0" w:color="auto"/>
              <w:right w:val="single" w:sz="4" w:space="0" w:color="auto"/>
            </w:tcBorders>
            <w:hideMark/>
          </w:tcPr>
          <w:p w:rsidR="00D573BB" w:rsidRPr="00EC6E05" w:rsidRDefault="00D573BB" w:rsidP="00B14524">
            <w:pPr>
              <w:jc w:val="center"/>
              <w:rPr>
                <w:rFonts w:ascii="Arial Narrow" w:hAnsi="Arial Narrow"/>
                <w:sz w:val="19"/>
                <w:szCs w:val="19"/>
              </w:rPr>
            </w:pPr>
            <w:r w:rsidRPr="00EC6E05">
              <w:rPr>
                <w:rFonts w:ascii="Arial Narrow" w:hAnsi="Arial Narrow"/>
                <w:sz w:val="19"/>
                <w:szCs w:val="19"/>
              </w:rPr>
              <w:t>0.043</w:t>
            </w:r>
          </w:p>
        </w:tc>
        <w:tc>
          <w:tcPr>
            <w:tcW w:w="767" w:type="pct"/>
            <w:gridSpan w:val="2"/>
            <w:tcBorders>
              <w:top w:val="single" w:sz="4" w:space="0" w:color="auto"/>
              <w:left w:val="single" w:sz="4" w:space="0" w:color="auto"/>
              <w:bottom w:val="single" w:sz="4" w:space="0" w:color="auto"/>
              <w:right w:val="single" w:sz="4" w:space="0" w:color="auto"/>
            </w:tcBorders>
            <w:hideMark/>
          </w:tcPr>
          <w:p w:rsidR="00D573BB" w:rsidRPr="00EC6E05" w:rsidRDefault="00D573BB" w:rsidP="00B14524">
            <w:pPr>
              <w:jc w:val="center"/>
              <w:rPr>
                <w:rFonts w:ascii="Arial Narrow" w:hAnsi="Arial Narrow"/>
                <w:sz w:val="19"/>
                <w:szCs w:val="19"/>
              </w:rPr>
            </w:pPr>
            <w:r w:rsidRPr="00EC6E05">
              <w:rPr>
                <w:rFonts w:ascii="Arial Narrow" w:hAnsi="Arial Narrow"/>
                <w:sz w:val="19"/>
                <w:szCs w:val="19"/>
              </w:rPr>
              <w:t>0.85</w:t>
            </w:r>
          </w:p>
        </w:tc>
        <w:tc>
          <w:tcPr>
            <w:tcW w:w="767" w:type="pct"/>
            <w:gridSpan w:val="2"/>
            <w:tcBorders>
              <w:top w:val="single" w:sz="4" w:space="0" w:color="auto"/>
              <w:left w:val="single" w:sz="4" w:space="0" w:color="auto"/>
              <w:bottom w:val="single" w:sz="4" w:space="0" w:color="auto"/>
              <w:right w:val="single" w:sz="4" w:space="0" w:color="auto"/>
            </w:tcBorders>
            <w:hideMark/>
          </w:tcPr>
          <w:p w:rsidR="00D573BB" w:rsidRPr="00EC6E05" w:rsidRDefault="00D573BB" w:rsidP="00B14524">
            <w:pPr>
              <w:jc w:val="center"/>
              <w:rPr>
                <w:rFonts w:ascii="Arial Narrow" w:hAnsi="Arial Narrow"/>
                <w:sz w:val="19"/>
                <w:szCs w:val="19"/>
              </w:rPr>
            </w:pPr>
            <w:r w:rsidRPr="00EC6E05">
              <w:rPr>
                <w:rFonts w:ascii="Arial Narrow" w:hAnsi="Arial Narrow"/>
                <w:sz w:val="19"/>
                <w:szCs w:val="19"/>
              </w:rPr>
              <w:t>0.03</w:t>
            </w:r>
          </w:p>
        </w:tc>
        <w:tc>
          <w:tcPr>
            <w:tcW w:w="763" w:type="pct"/>
            <w:gridSpan w:val="2"/>
            <w:tcBorders>
              <w:top w:val="single" w:sz="4" w:space="0" w:color="auto"/>
              <w:left w:val="single" w:sz="4" w:space="0" w:color="auto"/>
              <w:bottom w:val="single" w:sz="4" w:space="0" w:color="auto"/>
              <w:right w:val="single" w:sz="4" w:space="0" w:color="auto"/>
            </w:tcBorders>
            <w:hideMark/>
          </w:tcPr>
          <w:p w:rsidR="00D573BB" w:rsidRPr="00EC6E05" w:rsidRDefault="00D573BB" w:rsidP="00B14524">
            <w:pPr>
              <w:jc w:val="center"/>
              <w:rPr>
                <w:rFonts w:ascii="Arial Narrow" w:hAnsi="Arial Narrow"/>
                <w:sz w:val="19"/>
                <w:szCs w:val="19"/>
              </w:rPr>
            </w:pPr>
            <w:r w:rsidRPr="00EC6E05">
              <w:rPr>
                <w:rFonts w:ascii="Arial Narrow" w:hAnsi="Arial Narrow"/>
                <w:sz w:val="19"/>
                <w:szCs w:val="19"/>
              </w:rPr>
              <w:t>&lt; 0.001</w:t>
            </w:r>
          </w:p>
        </w:tc>
      </w:tr>
    </w:tbl>
    <w:p w:rsidR="00D573BB" w:rsidRPr="00EC6E05" w:rsidRDefault="00D573BB" w:rsidP="00D573BB">
      <w:pPr>
        <w:pStyle w:val="Source"/>
        <w:keepNext/>
        <w:rPr>
          <w:rFonts w:ascii="Arial Narrow" w:hAnsi="Arial Narrow"/>
        </w:rPr>
      </w:pPr>
      <w:r w:rsidRPr="00EC6E05">
        <w:rPr>
          <w:rFonts w:ascii="Arial Narrow" w:hAnsi="Arial Narrow"/>
        </w:rPr>
        <w:t xml:space="preserve">Source: Compiled during the evaluation; Table 2.5-1 p68 of the Submission, Table 2.5-6 p79 of the Submission, Table 2.6-1 p101 of the Submission; pp1280,1283 Motzer 2018; p1376 </w:t>
      </w:r>
      <w:proofErr w:type="spellStart"/>
      <w:r w:rsidRPr="00EC6E05">
        <w:rPr>
          <w:rFonts w:ascii="Arial Narrow" w:hAnsi="Arial Narrow"/>
        </w:rPr>
        <w:t>CheckMate</w:t>
      </w:r>
      <w:proofErr w:type="spellEnd"/>
      <w:r w:rsidRPr="00EC6E05">
        <w:rPr>
          <w:rFonts w:ascii="Arial Narrow" w:hAnsi="Arial Narrow"/>
        </w:rPr>
        <w:t xml:space="preserve"> 214, Motzer 2019</w:t>
      </w:r>
      <w:r w:rsidR="00F73A92" w:rsidRPr="00EC6E05">
        <w:rPr>
          <w:rFonts w:ascii="Arial Narrow" w:hAnsi="Arial Narrow"/>
        </w:rPr>
        <w:t>; Table 5 NIVO + IPI, PSD, July 2018 PBAC meeting.</w:t>
      </w:r>
    </w:p>
    <w:p w:rsidR="00D573BB" w:rsidRPr="00EC6E05" w:rsidRDefault="00D573BB" w:rsidP="00D573BB">
      <w:pPr>
        <w:pStyle w:val="Source"/>
        <w:keepNext/>
        <w:rPr>
          <w:rFonts w:ascii="Arial Narrow" w:hAnsi="Arial Narrow"/>
        </w:rPr>
      </w:pPr>
      <w:r w:rsidRPr="00EC6E05">
        <w:rPr>
          <w:rFonts w:ascii="Arial Narrow" w:hAnsi="Arial Narrow"/>
        </w:rPr>
        <w:t xml:space="preserve">Abbreviations: </w:t>
      </w:r>
      <w:r w:rsidR="002E124D">
        <w:rPr>
          <w:rFonts w:ascii="Arial Narrow" w:hAnsi="Arial Narrow"/>
        </w:rPr>
        <w:t>AVE + AXI</w:t>
      </w:r>
      <w:r w:rsidRPr="00EC6E05">
        <w:rPr>
          <w:rFonts w:ascii="Arial Narrow" w:hAnsi="Arial Narrow"/>
        </w:rPr>
        <w:t xml:space="preserve"> = </w:t>
      </w:r>
      <w:proofErr w:type="spellStart"/>
      <w:r w:rsidRPr="00EC6E05">
        <w:rPr>
          <w:rFonts w:ascii="Arial Narrow" w:hAnsi="Arial Narrow"/>
        </w:rPr>
        <w:t>avelumab</w:t>
      </w:r>
      <w:proofErr w:type="spellEnd"/>
      <w:r w:rsidRPr="00EC6E05">
        <w:rPr>
          <w:rFonts w:ascii="Arial Narrow" w:hAnsi="Arial Narrow"/>
        </w:rPr>
        <w:t xml:space="preserve"> + </w:t>
      </w:r>
      <w:proofErr w:type="spellStart"/>
      <w:r w:rsidRPr="00EC6E05">
        <w:rPr>
          <w:rFonts w:ascii="Arial Narrow" w:hAnsi="Arial Narrow"/>
        </w:rPr>
        <w:t>axitinib</w:t>
      </w:r>
      <w:proofErr w:type="spellEnd"/>
      <w:r w:rsidRPr="00EC6E05">
        <w:rPr>
          <w:rFonts w:ascii="Arial Narrow" w:hAnsi="Arial Narrow"/>
        </w:rPr>
        <w:t xml:space="preserve">; BICR = blinded independent central review; CI = confidence interval; HR = hazard ratio; IA2 = second interim analysis; IRRC = independent radiology review committee; ITT = intention-to-treat; NE = not estimable; </w:t>
      </w:r>
      <w:r w:rsidR="002E124D">
        <w:rPr>
          <w:rFonts w:ascii="Arial Narrow" w:hAnsi="Arial Narrow"/>
        </w:rPr>
        <w:t>NIVO + IPI</w:t>
      </w:r>
      <w:r w:rsidRPr="00EC6E05">
        <w:rPr>
          <w:rFonts w:ascii="Arial Narrow" w:hAnsi="Arial Narrow"/>
        </w:rPr>
        <w:t xml:space="preserve"> = </w:t>
      </w:r>
      <w:proofErr w:type="spellStart"/>
      <w:r w:rsidRPr="00EC6E05">
        <w:rPr>
          <w:rFonts w:ascii="Arial Narrow" w:hAnsi="Arial Narrow"/>
        </w:rPr>
        <w:t>nivolumab</w:t>
      </w:r>
      <w:proofErr w:type="spellEnd"/>
      <w:r w:rsidRPr="00EC6E05">
        <w:rPr>
          <w:rFonts w:ascii="Arial Narrow" w:hAnsi="Arial Narrow"/>
        </w:rPr>
        <w:t xml:space="preserve"> + </w:t>
      </w:r>
      <w:proofErr w:type="spellStart"/>
      <w:r w:rsidRPr="00EC6E05">
        <w:rPr>
          <w:rFonts w:ascii="Arial Narrow" w:hAnsi="Arial Narrow"/>
        </w:rPr>
        <w:t>ipilimumab</w:t>
      </w:r>
      <w:proofErr w:type="spellEnd"/>
      <w:r w:rsidRPr="00EC6E05">
        <w:rPr>
          <w:rFonts w:ascii="Arial Narrow" w:hAnsi="Arial Narrow"/>
        </w:rPr>
        <w:t xml:space="preserve">; NR = not reported; PD-L1 = programmed death ligand 1; PFS = progression free survival; SUN = </w:t>
      </w:r>
      <w:proofErr w:type="spellStart"/>
      <w:r w:rsidRPr="00EC6E05">
        <w:rPr>
          <w:rFonts w:ascii="Arial Narrow" w:hAnsi="Arial Narrow"/>
        </w:rPr>
        <w:t>sunitinib</w:t>
      </w:r>
      <w:proofErr w:type="spellEnd"/>
    </w:p>
    <w:p w:rsidR="00D573BB" w:rsidRPr="00EC6E05" w:rsidRDefault="00D573BB" w:rsidP="00D573BB">
      <w:pPr>
        <w:rPr>
          <w:rFonts w:ascii="Arial Narrow" w:hAnsi="Arial Narrow"/>
          <w:sz w:val="18"/>
          <w:szCs w:val="18"/>
        </w:rPr>
      </w:pPr>
      <w:proofErr w:type="gramStart"/>
      <w:r w:rsidRPr="00FB0C02">
        <w:rPr>
          <w:rFonts w:ascii="Arial Narrow" w:hAnsi="Arial Narrow"/>
          <w:sz w:val="18"/>
          <w:szCs w:val="18"/>
          <w:vertAlign w:val="superscript"/>
        </w:rPr>
        <w:t>a</w:t>
      </w:r>
      <w:proofErr w:type="gramEnd"/>
      <w:r w:rsidRPr="00EC6E05">
        <w:rPr>
          <w:rFonts w:ascii="Arial Narrow" w:hAnsi="Arial Narrow"/>
          <w:sz w:val="18"/>
          <w:szCs w:val="18"/>
        </w:rPr>
        <w:t xml:space="preserve"> Data cut off for IA2 was 28 January 2019, minimum duration of follow-up was 13 months, PFS was assessed by BICR. </w:t>
      </w:r>
    </w:p>
    <w:p w:rsidR="00D573BB" w:rsidRPr="00EC6E05" w:rsidRDefault="00D573BB" w:rsidP="00D573BB">
      <w:pPr>
        <w:rPr>
          <w:rFonts w:ascii="Arial Narrow" w:hAnsi="Arial Narrow"/>
          <w:sz w:val="18"/>
          <w:szCs w:val="18"/>
        </w:rPr>
      </w:pPr>
      <w:proofErr w:type="gramStart"/>
      <w:r w:rsidRPr="00FB0C02">
        <w:rPr>
          <w:rFonts w:ascii="Arial Narrow" w:hAnsi="Arial Narrow"/>
          <w:sz w:val="18"/>
          <w:szCs w:val="18"/>
          <w:vertAlign w:val="superscript"/>
        </w:rPr>
        <w:t>b</w:t>
      </w:r>
      <w:proofErr w:type="gramEnd"/>
      <w:r w:rsidRPr="00EC6E05">
        <w:rPr>
          <w:rFonts w:ascii="Arial Narrow" w:hAnsi="Arial Narrow"/>
          <w:sz w:val="18"/>
          <w:szCs w:val="18"/>
        </w:rPr>
        <w:t xml:space="preserve"> Data cut off was 7 August 2017, minimum duration of follow-up was 17.5 months. PFS </w:t>
      </w:r>
      <w:proofErr w:type="gramStart"/>
      <w:r w:rsidRPr="00EC6E05">
        <w:rPr>
          <w:rFonts w:ascii="Arial Narrow" w:hAnsi="Arial Narrow"/>
          <w:sz w:val="18"/>
          <w:szCs w:val="18"/>
        </w:rPr>
        <w:t>was assessed</w:t>
      </w:r>
      <w:proofErr w:type="gramEnd"/>
      <w:r w:rsidRPr="00EC6E05">
        <w:rPr>
          <w:rFonts w:ascii="Arial Narrow" w:hAnsi="Arial Narrow"/>
          <w:sz w:val="18"/>
          <w:szCs w:val="18"/>
        </w:rPr>
        <w:t xml:space="preserve"> by IRRC. </w:t>
      </w:r>
    </w:p>
    <w:p w:rsidR="00D573BB" w:rsidRPr="00EC6E05" w:rsidRDefault="00D573BB" w:rsidP="00D573BB">
      <w:pPr>
        <w:rPr>
          <w:rFonts w:ascii="Arial Narrow" w:hAnsi="Arial Narrow"/>
          <w:sz w:val="18"/>
          <w:szCs w:val="18"/>
        </w:rPr>
      </w:pPr>
      <w:proofErr w:type="gramStart"/>
      <w:r w:rsidRPr="00FB0C02">
        <w:rPr>
          <w:rFonts w:ascii="Arial Narrow" w:hAnsi="Arial Narrow"/>
          <w:sz w:val="18"/>
          <w:szCs w:val="18"/>
          <w:vertAlign w:val="superscript"/>
        </w:rPr>
        <w:t>c</w:t>
      </w:r>
      <w:proofErr w:type="gramEnd"/>
      <w:r w:rsidRPr="00EC6E05">
        <w:rPr>
          <w:rFonts w:ascii="Arial Narrow" w:hAnsi="Arial Narrow"/>
          <w:sz w:val="18"/>
          <w:szCs w:val="18"/>
        </w:rPr>
        <w:t xml:space="preserve"> </w:t>
      </w:r>
      <w:proofErr w:type="spellStart"/>
      <w:r w:rsidRPr="00EC6E05">
        <w:rPr>
          <w:rFonts w:ascii="Arial Narrow" w:hAnsi="Arial Narrow"/>
          <w:sz w:val="18"/>
          <w:szCs w:val="18"/>
        </w:rPr>
        <w:t>CheckMate</w:t>
      </w:r>
      <w:proofErr w:type="spellEnd"/>
      <w:r w:rsidRPr="00EC6E05">
        <w:rPr>
          <w:rFonts w:ascii="Arial Narrow" w:hAnsi="Arial Narrow"/>
          <w:sz w:val="18"/>
          <w:szCs w:val="18"/>
        </w:rPr>
        <w:t xml:space="preserve"> 214 presented the HR 99.1%CI at primary analysis</w:t>
      </w:r>
    </w:p>
    <w:p w:rsidR="00EC0F10" w:rsidRPr="00EC6E05" w:rsidRDefault="00EC0F10" w:rsidP="00EC0F10">
      <w:pPr>
        <w:rPr>
          <w:rFonts w:ascii="Arial Narrow" w:hAnsi="Arial Narrow"/>
          <w:sz w:val="18"/>
          <w:szCs w:val="18"/>
        </w:rPr>
      </w:pPr>
      <w:r w:rsidRPr="00EC6E05">
        <w:rPr>
          <w:rFonts w:ascii="Arial Narrow" w:hAnsi="Arial Narrow"/>
          <w:sz w:val="18"/>
          <w:szCs w:val="18"/>
        </w:rPr>
        <w:t>Bold indicates statistical significance.</w:t>
      </w:r>
    </w:p>
    <w:p w:rsidR="00D573BB" w:rsidRPr="00EC6E05" w:rsidRDefault="00D573BB" w:rsidP="00BF2EA7">
      <w:pPr>
        <w:pStyle w:val="3-BodyText"/>
        <w:numPr>
          <w:ilvl w:val="0"/>
          <w:numId w:val="0"/>
        </w:numPr>
        <w:ind w:left="720"/>
      </w:pPr>
    </w:p>
    <w:p w:rsidR="00B65A3B" w:rsidRPr="00EC6E05" w:rsidRDefault="00B65A3B" w:rsidP="00B65A3B">
      <w:pPr>
        <w:pStyle w:val="Caption"/>
        <w:keepNext/>
        <w:spacing w:after="0"/>
        <w:rPr>
          <w:rFonts w:ascii="Arial Narrow" w:hAnsi="Arial Narrow"/>
          <w:color w:val="auto"/>
          <w:sz w:val="20"/>
          <w:szCs w:val="20"/>
        </w:rPr>
      </w:pPr>
      <w:r w:rsidRPr="00EC6E05">
        <w:rPr>
          <w:rFonts w:ascii="Arial Narrow" w:hAnsi="Arial Narrow"/>
          <w:color w:val="auto"/>
          <w:sz w:val="20"/>
          <w:szCs w:val="20"/>
        </w:rPr>
        <w:t xml:space="preserve">Figure </w:t>
      </w:r>
      <w:r w:rsidR="00295251" w:rsidRPr="00EC6E05">
        <w:rPr>
          <w:rFonts w:ascii="Arial Narrow" w:hAnsi="Arial Narrow"/>
          <w:color w:val="auto"/>
          <w:sz w:val="20"/>
          <w:szCs w:val="20"/>
        </w:rPr>
        <w:t>4</w:t>
      </w:r>
      <w:r w:rsidRPr="00EC6E05">
        <w:rPr>
          <w:rFonts w:ascii="Arial Narrow" w:hAnsi="Arial Narrow"/>
          <w:color w:val="auto"/>
          <w:sz w:val="20"/>
          <w:szCs w:val="20"/>
        </w:rPr>
        <w:t xml:space="preserve">: Kaplan-Meier estimates for PFS in patients with </w:t>
      </w:r>
      <w:proofErr w:type="gramStart"/>
      <w:r w:rsidRPr="00EC6E05">
        <w:rPr>
          <w:rFonts w:ascii="Arial Narrow" w:hAnsi="Arial Narrow"/>
          <w:color w:val="auto"/>
          <w:sz w:val="20"/>
          <w:szCs w:val="20"/>
        </w:rPr>
        <w:t>intermediate or poor (A) or favourable</w:t>
      </w:r>
      <w:proofErr w:type="gramEnd"/>
      <w:r w:rsidRPr="00EC6E05">
        <w:rPr>
          <w:rFonts w:ascii="Arial Narrow" w:hAnsi="Arial Narrow"/>
          <w:color w:val="auto"/>
          <w:sz w:val="20"/>
          <w:szCs w:val="20"/>
        </w:rPr>
        <w:t xml:space="preserve"> (B) IMDC prognostic risk; JAVELIN</w:t>
      </w:r>
      <w:r w:rsidR="001F3499" w:rsidRPr="00EC6E05">
        <w:rPr>
          <w:rFonts w:ascii="Arial Narrow" w:hAnsi="Arial Narrow"/>
          <w:color w:val="auto"/>
          <w:sz w:val="20"/>
          <w:szCs w:val="20"/>
        </w:rPr>
        <w:t xml:space="preserve"> (AVE + AXI)</w:t>
      </w:r>
    </w:p>
    <w:p w:rsidR="00BC4A5E" w:rsidRPr="006A083B" w:rsidRDefault="006A083B" w:rsidP="00BC4A5E">
      <w:pPr>
        <w:rPr>
          <w:highlight w:val="black"/>
        </w:rPr>
      </w:pPr>
      <w:r>
        <w:rPr>
          <w:noProof/>
        </w:rPr>
        <w:drawing>
          <wp:inline distT="0" distB="0" distL="0" distR="0">
            <wp:extent cx="2882900" cy="2058670"/>
            <wp:effectExtent l="0" t="0" r="0" b="0"/>
            <wp:docPr id="8" name="Picture 8" title="Figure 4: Kaplan-Meier estimates for PFS in patients with intermediate or poor (A) or favourable (B) IMDC prognostic risk; JAVELIN (AVE + AXI)"/>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1">
                      <a:extLst>
                        <a:ext uri="{28A0092B-C50C-407E-A947-70E740481C1C}">
                          <a14:useLocalDpi xmlns:a14="http://schemas.microsoft.com/office/drawing/2010/main" val="0"/>
                        </a:ext>
                      </a:extLst>
                    </a:blip>
                    <a:stretch>
                      <a:fillRect/>
                    </a:stretch>
                  </pic:blipFill>
                  <pic:spPr>
                    <a:xfrm>
                      <a:off x="0" y="0"/>
                      <a:ext cx="2882900" cy="2058670"/>
                    </a:xfrm>
                    <a:prstGeom prst="rect">
                      <a:avLst/>
                    </a:prstGeom>
                  </pic:spPr>
                </pic:pic>
              </a:graphicData>
            </a:graphic>
          </wp:inline>
        </w:drawing>
      </w:r>
      <w:r>
        <w:rPr>
          <w:noProof/>
        </w:rPr>
        <w:drawing>
          <wp:inline distT="0" distB="0" distL="0" distR="0">
            <wp:extent cx="2698750" cy="2054225"/>
            <wp:effectExtent l="0" t="0" r="6350" b="3175"/>
            <wp:docPr id="7" name="Picture 7" title="Figure 4: Kaplan-Meier estimates for PFS in patients with intermediate or poor (A) or favourable (B) IMDC prognostic risk; JAVELIN (AVE + AXI)"/>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1">
                      <a:extLst>
                        <a:ext uri="{28A0092B-C50C-407E-A947-70E740481C1C}">
                          <a14:useLocalDpi xmlns:a14="http://schemas.microsoft.com/office/drawing/2010/main" val="0"/>
                        </a:ext>
                      </a:extLst>
                    </a:blip>
                    <a:stretch>
                      <a:fillRect/>
                    </a:stretch>
                  </pic:blipFill>
                  <pic:spPr>
                    <a:xfrm>
                      <a:off x="0" y="0"/>
                      <a:ext cx="2698750" cy="2054225"/>
                    </a:xfrm>
                    <a:prstGeom prst="rect">
                      <a:avLst/>
                    </a:prstGeom>
                  </pic:spPr>
                </pic:pic>
              </a:graphicData>
            </a:graphic>
          </wp:inline>
        </w:drawing>
      </w:r>
    </w:p>
    <w:p w:rsidR="00B65A3B" w:rsidRPr="00EC6E05" w:rsidRDefault="00B65A3B" w:rsidP="00B65A3B">
      <w:pPr>
        <w:pStyle w:val="Source"/>
        <w:keepNext/>
        <w:rPr>
          <w:rFonts w:ascii="Arial Narrow" w:hAnsi="Arial Narrow"/>
        </w:rPr>
      </w:pPr>
      <w:r w:rsidRPr="006A083B">
        <w:rPr>
          <w:rFonts w:ascii="Arial Narrow" w:hAnsi="Arial Narrow"/>
        </w:rPr>
        <w:t>Source</w:t>
      </w:r>
      <w:r w:rsidRPr="00EC6E05">
        <w:rPr>
          <w:rFonts w:ascii="Arial Narrow" w:hAnsi="Arial Narrow"/>
        </w:rPr>
        <w:t xml:space="preserve">: Figure 2.6-1 p102 of the Submission. </w:t>
      </w:r>
    </w:p>
    <w:p w:rsidR="00B65A3B" w:rsidRPr="00EC6E05" w:rsidRDefault="00B65A3B" w:rsidP="00B65A3B">
      <w:pPr>
        <w:pStyle w:val="Source"/>
        <w:keepNext/>
        <w:rPr>
          <w:rFonts w:ascii="Arial Narrow" w:hAnsi="Arial Narrow"/>
        </w:rPr>
      </w:pPr>
      <w:r w:rsidRPr="00EC6E05">
        <w:rPr>
          <w:rFonts w:ascii="Arial Narrow" w:hAnsi="Arial Narrow"/>
        </w:rPr>
        <w:t xml:space="preserve">Abbreviations: AVE + AXI = </w:t>
      </w:r>
      <w:proofErr w:type="spellStart"/>
      <w:r w:rsidRPr="00EC6E05">
        <w:rPr>
          <w:rFonts w:ascii="Arial Narrow" w:hAnsi="Arial Narrow"/>
        </w:rPr>
        <w:t>avelumab</w:t>
      </w:r>
      <w:proofErr w:type="spellEnd"/>
      <w:r w:rsidRPr="00EC6E05">
        <w:rPr>
          <w:rFonts w:ascii="Arial Narrow" w:hAnsi="Arial Narrow"/>
        </w:rPr>
        <w:t xml:space="preserve"> + </w:t>
      </w:r>
      <w:proofErr w:type="spellStart"/>
      <w:r w:rsidRPr="00EC6E05">
        <w:rPr>
          <w:rFonts w:ascii="Arial Narrow" w:hAnsi="Arial Narrow"/>
        </w:rPr>
        <w:t>axitinib</w:t>
      </w:r>
      <w:proofErr w:type="spellEnd"/>
      <w:r w:rsidRPr="00EC6E05">
        <w:rPr>
          <w:rFonts w:ascii="Arial Narrow" w:hAnsi="Arial Narrow"/>
        </w:rPr>
        <w:t xml:space="preserve">; IMDC = International Metastatic Renal Cell Carcinoma Database Consortium; PFS = progression free survival; SUNI = </w:t>
      </w:r>
      <w:proofErr w:type="spellStart"/>
      <w:r w:rsidRPr="00EC6E05">
        <w:rPr>
          <w:rFonts w:ascii="Arial Narrow" w:hAnsi="Arial Narrow"/>
        </w:rPr>
        <w:t>sunitinib</w:t>
      </w:r>
      <w:proofErr w:type="spellEnd"/>
      <w:r w:rsidRPr="00EC6E05">
        <w:rPr>
          <w:rFonts w:ascii="Arial Narrow" w:hAnsi="Arial Narrow"/>
        </w:rPr>
        <w:t>.</w:t>
      </w:r>
    </w:p>
    <w:p w:rsidR="00B65A3B" w:rsidRPr="00EC6E05" w:rsidRDefault="00B65A3B" w:rsidP="00BF2EA7">
      <w:pPr>
        <w:pStyle w:val="3-BodyText"/>
        <w:numPr>
          <w:ilvl w:val="0"/>
          <w:numId w:val="0"/>
        </w:numPr>
      </w:pPr>
    </w:p>
    <w:p w:rsidR="00B121BF" w:rsidRPr="00EC6E05" w:rsidRDefault="00B121BF" w:rsidP="00B121BF">
      <w:pPr>
        <w:pStyle w:val="TableFigureHeading"/>
      </w:pPr>
      <w:r w:rsidRPr="00EC6E05">
        <w:lastRenderedPageBreak/>
        <w:t xml:space="preserve">Figure </w:t>
      </w:r>
      <w:r w:rsidR="00295251" w:rsidRPr="00EC6E05">
        <w:t>5</w:t>
      </w:r>
      <w:r w:rsidRPr="00EC6E05">
        <w:t xml:space="preserve">: </w:t>
      </w:r>
      <w:proofErr w:type="spellStart"/>
      <w:r w:rsidRPr="00EC6E05">
        <w:t>CheckMate</w:t>
      </w:r>
      <w:proofErr w:type="spellEnd"/>
      <w:r w:rsidRPr="00EC6E05">
        <w:t xml:space="preserve"> 214 Kaplan-Meier curves for PFS in patients with intermediate or poor IMDC risk treated with NIVO + IPI versus </w:t>
      </w:r>
      <w:proofErr w:type="spellStart"/>
      <w:r w:rsidRPr="00EC6E05">
        <w:t>sunitinib</w:t>
      </w:r>
      <w:proofErr w:type="spellEnd"/>
    </w:p>
    <w:tbl>
      <w:tblPr>
        <w:tblStyle w:val="TableGrid"/>
        <w:tblW w:w="0" w:type="auto"/>
        <w:tblLook w:val="04A0" w:firstRow="1" w:lastRow="0" w:firstColumn="1" w:lastColumn="0" w:noHBand="0" w:noVBand="1"/>
        <w:tblCaption w:val="Figure 5: CheckMate 214 Kaplan-Meier curves for PFS in patients with intermediate or poor IMDC risk treated with NIVO + IPI versus sunitinib"/>
      </w:tblPr>
      <w:tblGrid>
        <w:gridCol w:w="9016"/>
      </w:tblGrid>
      <w:tr w:rsidR="00B121BF" w:rsidRPr="00EC6E05" w:rsidTr="007D4C7D">
        <w:trPr>
          <w:tblHeader/>
        </w:trPr>
        <w:tc>
          <w:tcPr>
            <w:tcW w:w="9017" w:type="dxa"/>
            <w:tcBorders>
              <w:top w:val="single" w:sz="4" w:space="0" w:color="auto"/>
              <w:left w:val="single" w:sz="4" w:space="0" w:color="auto"/>
              <w:bottom w:val="single" w:sz="4" w:space="0" w:color="auto"/>
              <w:right w:val="single" w:sz="4" w:space="0" w:color="auto"/>
            </w:tcBorders>
            <w:hideMark/>
          </w:tcPr>
          <w:p w:rsidR="00B121BF" w:rsidRPr="00EC6E05" w:rsidRDefault="00B121BF" w:rsidP="00295251">
            <w:pPr>
              <w:pStyle w:val="Source"/>
              <w:rPr>
                <w:rFonts w:ascii="Arial Narrow" w:hAnsi="Arial Narrow"/>
                <w:b/>
                <w:bCs/>
              </w:rPr>
            </w:pPr>
            <w:r w:rsidRPr="00EC6E05">
              <w:rPr>
                <w:noProof/>
                <w:lang w:eastAsia="en-AU"/>
              </w:rPr>
              <w:drawing>
                <wp:inline distT="0" distB="0" distL="0" distR="0" wp14:anchorId="4BDE25F7" wp14:editId="3D823DF1">
                  <wp:extent cx="4235450" cy="2135107"/>
                  <wp:effectExtent l="0" t="0" r="0" b="0"/>
                  <wp:docPr id="1" name="Picture 1" title="Figure 5: CheckMate 214 Kaplan-Meier curves for PFS in patients with intermediate or poor IMDC risk treated with NIVO + IPI versus sunitini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3850" cy="2139341"/>
                          </a:xfrm>
                          <a:prstGeom prst="rect">
                            <a:avLst/>
                          </a:prstGeom>
                          <a:noFill/>
                          <a:ln>
                            <a:noFill/>
                          </a:ln>
                        </pic:spPr>
                      </pic:pic>
                    </a:graphicData>
                  </a:graphic>
                </wp:inline>
              </w:drawing>
            </w:r>
          </w:p>
        </w:tc>
      </w:tr>
    </w:tbl>
    <w:p w:rsidR="00B121BF" w:rsidRPr="00EC6E05" w:rsidRDefault="00B121BF" w:rsidP="00B121BF">
      <w:pPr>
        <w:pStyle w:val="Source"/>
        <w:rPr>
          <w:rFonts w:ascii="Arial Narrow" w:hAnsi="Arial Narrow"/>
        </w:rPr>
      </w:pPr>
      <w:r w:rsidRPr="00EC6E05">
        <w:rPr>
          <w:rFonts w:ascii="Arial Narrow" w:hAnsi="Arial Narrow"/>
        </w:rPr>
        <w:t>Source: Figure 2.5-6 p80 of the Submission</w:t>
      </w:r>
    </w:p>
    <w:p w:rsidR="00B121BF" w:rsidRPr="00EC6E05" w:rsidRDefault="00B121BF" w:rsidP="00DC5054">
      <w:pPr>
        <w:pStyle w:val="Source"/>
        <w:spacing w:after="240"/>
      </w:pPr>
      <w:r w:rsidRPr="00EC6E05">
        <w:rPr>
          <w:rFonts w:ascii="Arial Narrow" w:hAnsi="Arial Narrow"/>
        </w:rPr>
        <w:t xml:space="preserve">Abbreviations: CI = confidence interval; IMDC = International Metastatic Renal Cell Carcinoma Database Consortium; NIVO + IPI = </w:t>
      </w:r>
      <w:proofErr w:type="spellStart"/>
      <w:r w:rsidRPr="00EC6E05">
        <w:rPr>
          <w:rFonts w:ascii="Arial Narrow" w:hAnsi="Arial Narrow"/>
        </w:rPr>
        <w:t>nivolumab</w:t>
      </w:r>
      <w:proofErr w:type="spellEnd"/>
      <w:r w:rsidRPr="00EC6E05">
        <w:rPr>
          <w:rFonts w:ascii="Arial Narrow" w:hAnsi="Arial Narrow"/>
        </w:rPr>
        <w:t xml:space="preserve"> + </w:t>
      </w:r>
      <w:proofErr w:type="spellStart"/>
      <w:r w:rsidRPr="00EC6E05">
        <w:rPr>
          <w:rFonts w:ascii="Arial Narrow" w:hAnsi="Arial Narrow"/>
        </w:rPr>
        <w:t>ipilimumab</w:t>
      </w:r>
      <w:proofErr w:type="spellEnd"/>
      <w:r w:rsidRPr="00EC6E05">
        <w:rPr>
          <w:rFonts w:ascii="Arial Narrow" w:hAnsi="Arial Narrow"/>
        </w:rPr>
        <w:t xml:space="preserve">; PFS = progression free survival; SUNI = </w:t>
      </w:r>
      <w:proofErr w:type="spellStart"/>
      <w:r w:rsidRPr="00EC6E05">
        <w:rPr>
          <w:rFonts w:ascii="Arial Narrow" w:hAnsi="Arial Narrow"/>
        </w:rPr>
        <w:t>sunitinib</w:t>
      </w:r>
      <w:proofErr w:type="spellEnd"/>
    </w:p>
    <w:p w:rsidR="006D44E1" w:rsidRPr="00EC6E05" w:rsidRDefault="00102B9A" w:rsidP="00651529">
      <w:pPr>
        <w:pStyle w:val="5-SubsectionSubheading"/>
      </w:pPr>
      <w:r>
        <w:t>OS r</w:t>
      </w:r>
      <w:r w:rsidR="006D44E1" w:rsidRPr="00EC6E05">
        <w:t>esults by IMDC prognostic risk group</w:t>
      </w:r>
    </w:p>
    <w:p w:rsidR="0064004E" w:rsidRPr="00EC6E05" w:rsidRDefault="0064004E" w:rsidP="00BF2EA7">
      <w:pPr>
        <w:pStyle w:val="3-BodyText"/>
      </w:pPr>
      <w:r w:rsidRPr="00EC6E05">
        <w:t xml:space="preserve">In the favourable risk group, the HR for OS for AVE + AXI was 0.812 (95% CI 0.336, 1.96; p = 0.643). The results were immature as </w:t>
      </w:r>
      <w:r w:rsidR="006A083B">
        <w:rPr>
          <w:noProof/>
          <w:color w:val="000000"/>
          <w:highlight w:val="black"/>
        </w:rPr>
        <w:t>'''''''</w:t>
      </w:r>
      <w:r w:rsidRPr="00EC6E05">
        <w:t xml:space="preserve">% in the AVE + AXI arm and </w:t>
      </w:r>
      <w:proofErr w:type="gramStart"/>
      <w:r w:rsidR="006A083B">
        <w:rPr>
          <w:noProof/>
          <w:color w:val="000000"/>
          <w:highlight w:val="black"/>
        </w:rPr>
        <w:t>''''''''</w:t>
      </w:r>
      <w:r w:rsidRPr="00EC6E05">
        <w:t>%</w:t>
      </w:r>
      <w:proofErr w:type="gramEnd"/>
      <w:r w:rsidRPr="00EC6E05">
        <w:t xml:space="preserve"> of patients in the </w:t>
      </w:r>
      <w:proofErr w:type="spellStart"/>
      <w:r w:rsidRPr="00EC6E05">
        <w:t>sunitinib</w:t>
      </w:r>
      <w:proofErr w:type="spellEnd"/>
      <w:r w:rsidRPr="00EC6E05">
        <w:t xml:space="preserve"> arm had died at second interim analysis for JAVELIN. </w:t>
      </w:r>
    </w:p>
    <w:p w:rsidR="0064004E" w:rsidRPr="00EC6E05" w:rsidRDefault="0064004E" w:rsidP="00EA66F5">
      <w:pPr>
        <w:pStyle w:val="Caption"/>
        <w:spacing w:after="0"/>
        <w:rPr>
          <w:rFonts w:ascii="Arial Narrow" w:hAnsi="Arial Narrow"/>
          <w:color w:val="auto"/>
          <w:sz w:val="20"/>
          <w:szCs w:val="20"/>
        </w:rPr>
      </w:pPr>
    </w:p>
    <w:p w:rsidR="00B65A3B" w:rsidRPr="00EC6E05" w:rsidRDefault="00B65A3B" w:rsidP="00B65A3B">
      <w:pPr>
        <w:pStyle w:val="Caption"/>
        <w:keepNext/>
        <w:spacing w:after="0"/>
        <w:rPr>
          <w:rFonts w:ascii="Arial Narrow" w:hAnsi="Arial Narrow"/>
          <w:color w:val="auto"/>
          <w:sz w:val="20"/>
          <w:szCs w:val="20"/>
        </w:rPr>
      </w:pPr>
      <w:r w:rsidRPr="00EC6E05">
        <w:rPr>
          <w:rFonts w:ascii="Arial Narrow" w:hAnsi="Arial Narrow"/>
          <w:color w:val="auto"/>
          <w:sz w:val="20"/>
          <w:szCs w:val="20"/>
        </w:rPr>
        <w:t xml:space="preserve">Figure </w:t>
      </w:r>
      <w:r w:rsidR="00295251" w:rsidRPr="00EC6E05">
        <w:rPr>
          <w:rFonts w:ascii="Arial Narrow" w:hAnsi="Arial Narrow"/>
          <w:color w:val="auto"/>
          <w:sz w:val="20"/>
          <w:szCs w:val="20"/>
        </w:rPr>
        <w:t>6</w:t>
      </w:r>
      <w:r w:rsidRPr="00EC6E05">
        <w:rPr>
          <w:rFonts w:ascii="Arial Narrow" w:hAnsi="Arial Narrow"/>
          <w:color w:val="auto"/>
          <w:sz w:val="20"/>
          <w:szCs w:val="20"/>
        </w:rPr>
        <w:t xml:space="preserve">: Kaplan-Meier estimates for OS in patients with </w:t>
      </w:r>
      <w:proofErr w:type="gramStart"/>
      <w:r w:rsidRPr="00EC6E05">
        <w:rPr>
          <w:rFonts w:ascii="Arial Narrow" w:hAnsi="Arial Narrow"/>
          <w:color w:val="auto"/>
          <w:sz w:val="20"/>
          <w:szCs w:val="20"/>
        </w:rPr>
        <w:t>intermediate or poor (A) or favourable</w:t>
      </w:r>
      <w:proofErr w:type="gramEnd"/>
      <w:r w:rsidRPr="00EC6E05">
        <w:rPr>
          <w:rFonts w:ascii="Arial Narrow" w:hAnsi="Arial Narrow"/>
          <w:color w:val="auto"/>
          <w:sz w:val="20"/>
          <w:szCs w:val="20"/>
        </w:rPr>
        <w:t xml:space="preserve"> (B) IMDC prognostic risk; JAVELIN</w:t>
      </w:r>
    </w:p>
    <w:p w:rsidR="0064004E" w:rsidRPr="00EC6E05" w:rsidRDefault="006A083B" w:rsidP="0064004E">
      <w:r>
        <w:rPr>
          <w:noProof/>
        </w:rPr>
        <w:drawing>
          <wp:inline distT="0" distB="0" distL="0" distR="0">
            <wp:extent cx="2898140" cy="2070100"/>
            <wp:effectExtent l="0" t="0" r="0" b="6350"/>
            <wp:docPr id="6" name="Picture 6" title="Figure 6: Kaplan-Meier estimates for OS in patients with intermediate or poor (A) or favourable (B) IMDC prognostic risk; JAVELIN"/>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1">
                      <a:extLst>
                        <a:ext uri="{28A0092B-C50C-407E-A947-70E740481C1C}">
                          <a14:useLocalDpi xmlns:a14="http://schemas.microsoft.com/office/drawing/2010/main" val="0"/>
                        </a:ext>
                      </a:extLst>
                    </a:blip>
                    <a:stretch>
                      <a:fillRect/>
                    </a:stretch>
                  </pic:blipFill>
                  <pic:spPr>
                    <a:xfrm>
                      <a:off x="0" y="0"/>
                      <a:ext cx="2898140" cy="2070100"/>
                    </a:xfrm>
                    <a:prstGeom prst="rect">
                      <a:avLst/>
                    </a:prstGeom>
                  </pic:spPr>
                </pic:pic>
              </a:graphicData>
            </a:graphic>
          </wp:inline>
        </w:drawing>
      </w:r>
      <w:r w:rsidR="0064004E" w:rsidRPr="00EC6E05">
        <w:t xml:space="preserve"> </w:t>
      </w:r>
      <w:r>
        <w:rPr>
          <w:noProof/>
        </w:rPr>
        <w:drawing>
          <wp:inline distT="0" distB="0" distL="0" distR="0">
            <wp:extent cx="2762250" cy="2097405"/>
            <wp:effectExtent l="0" t="0" r="0" b="0"/>
            <wp:docPr id="5" name="Picture 5" title="Figure 6: Kaplan-Meier estimates for OS in patients with intermediate or poor (A) or favourable (B) IMDC prognostic risk; JAVELIN"/>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1">
                      <a:extLst>
                        <a:ext uri="{28A0092B-C50C-407E-A947-70E740481C1C}">
                          <a14:useLocalDpi xmlns:a14="http://schemas.microsoft.com/office/drawing/2010/main" val="0"/>
                        </a:ext>
                      </a:extLst>
                    </a:blip>
                    <a:stretch>
                      <a:fillRect/>
                    </a:stretch>
                  </pic:blipFill>
                  <pic:spPr>
                    <a:xfrm>
                      <a:off x="0" y="0"/>
                      <a:ext cx="2762250" cy="2097405"/>
                    </a:xfrm>
                    <a:prstGeom prst="rect">
                      <a:avLst/>
                    </a:prstGeom>
                  </pic:spPr>
                </pic:pic>
              </a:graphicData>
            </a:graphic>
          </wp:inline>
        </w:drawing>
      </w:r>
    </w:p>
    <w:p w:rsidR="00B65A3B" w:rsidRPr="00EC6E05" w:rsidRDefault="00B65A3B" w:rsidP="00B65A3B">
      <w:pPr>
        <w:pStyle w:val="Source"/>
        <w:keepNext/>
        <w:rPr>
          <w:rFonts w:ascii="Arial Narrow" w:hAnsi="Arial Narrow"/>
        </w:rPr>
      </w:pPr>
      <w:r w:rsidRPr="00EC6E05">
        <w:rPr>
          <w:rFonts w:ascii="Arial Narrow" w:hAnsi="Arial Narrow"/>
        </w:rPr>
        <w:lastRenderedPageBreak/>
        <w:t xml:space="preserve">Source: Figure 2.6-2 p104 of the Submission. </w:t>
      </w:r>
    </w:p>
    <w:p w:rsidR="00B65A3B" w:rsidRPr="00EC6E05" w:rsidRDefault="00B65A3B" w:rsidP="00DC5054">
      <w:pPr>
        <w:pStyle w:val="Source"/>
        <w:keepNext/>
        <w:spacing w:after="240"/>
        <w:rPr>
          <w:rFonts w:ascii="Arial Narrow" w:hAnsi="Arial Narrow"/>
        </w:rPr>
      </w:pPr>
      <w:r w:rsidRPr="00EC6E05">
        <w:rPr>
          <w:rFonts w:ascii="Arial Narrow" w:hAnsi="Arial Narrow"/>
        </w:rPr>
        <w:t xml:space="preserve">Abbreviations: AVE + AXI = </w:t>
      </w:r>
      <w:proofErr w:type="spellStart"/>
      <w:r w:rsidRPr="00EC6E05">
        <w:rPr>
          <w:rFonts w:ascii="Arial Narrow" w:hAnsi="Arial Narrow"/>
        </w:rPr>
        <w:t>avelumab</w:t>
      </w:r>
      <w:proofErr w:type="spellEnd"/>
      <w:r w:rsidRPr="00EC6E05">
        <w:rPr>
          <w:rFonts w:ascii="Arial Narrow" w:hAnsi="Arial Narrow"/>
        </w:rPr>
        <w:t xml:space="preserve"> + </w:t>
      </w:r>
      <w:proofErr w:type="spellStart"/>
      <w:r w:rsidRPr="00EC6E05">
        <w:rPr>
          <w:rFonts w:ascii="Arial Narrow" w:hAnsi="Arial Narrow"/>
        </w:rPr>
        <w:t>axitinib</w:t>
      </w:r>
      <w:proofErr w:type="spellEnd"/>
      <w:r w:rsidRPr="00EC6E05">
        <w:rPr>
          <w:rFonts w:ascii="Arial Narrow" w:hAnsi="Arial Narrow"/>
        </w:rPr>
        <w:t xml:space="preserve">; IMDC = International Metastatic Renal Cell Carcinoma Database Consortium; PFS = progression free survival; SUNI = </w:t>
      </w:r>
      <w:proofErr w:type="spellStart"/>
      <w:r w:rsidRPr="00EC6E05">
        <w:rPr>
          <w:rFonts w:ascii="Arial Narrow" w:hAnsi="Arial Narrow"/>
        </w:rPr>
        <w:t>sunitinib</w:t>
      </w:r>
      <w:proofErr w:type="spellEnd"/>
      <w:r w:rsidRPr="00EC6E05">
        <w:rPr>
          <w:rFonts w:ascii="Arial Narrow" w:hAnsi="Arial Narrow"/>
        </w:rPr>
        <w:t>.</w:t>
      </w:r>
    </w:p>
    <w:p w:rsidR="00B121BF" w:rsidRPr="00EC6E05" w:rsidRDefault="00B121BF" w:rsidP="00B121BF">
      <w:pPr>
        <w:pStyle w:val="TableFigureHeading"/>
      </w:pPr>
      <w:r w:rsidRPr="00EC6E05">
        <w:t xml:space="preserve">Figure </w:t>
      </w:r>
      <w:r w:rsidR="00295251" w:rsidRPr="00EC6E05">
        <w:t>7</w:t>
      </w:r>
      <w:r w:rsidRPr="00EC6E05">
        <w:t xml:space="preserve">: </w:t>
      </w:r>
      <w:proofErr w:type="spellStart"/>
      <w:r w:rsidRPr="00EC6E05">
        <w:t>CheckMate</w:t>
      </w:r>
      <w:proofErr w:type="spellEnd"/>
      <w:r w:rsidRPr="00EC6E05">
        <w:t xml:space="preserve"> 214 Kaplan-Meier curves for OS in patients with intermediate or poor IMDC risk treated with NIVO + IPI versus </w:t>
      </w:r>
      <w:proofErr w:type="spellStart"/>
      <w:r w:rsidRPr="00EC6E05">
        <w:t>sunitinib</w:t>
      </w:r>
      <w:proofErr w:type="spellEnd"/>
    </w:p>
    <w:tbl>
      <w:tblPr>
        <w:tblStyle w:val="TableGrid"/>
        <w:tblW w:w="0" w:type="auto"/>
        <w:tblLook w:val="04A0" w:firstRow="1" w:lastRow="0" w:firstColumn="1" w:lastColumn="0" w:noHBand="0" w:noVBand="1"/>
        <w:tblCaption w:val="Figure 7: CheckMate 214 Kaplan-Meier curves for OS in patients with intermediate or poor IMDC risk treated with NIVO + IPI versus sunitinib"/>
      </w:tblPr>
      <w:tblGrid>
        <w:gridCol w:w="7860"/>
      </w:tblGrid>
      <w:tr w:rsidR="00B121BF" w:rsidRPr="00EC6E05" w:rsidTr="007D4C7D">
        <w:trPr>
          <w:trHeight w:val="4574"/>
          <w:tblHeader/>
        </w:trPr>
        <w:tc>
          <w:tcPr>
            <w:tcW w:w="7860" w:type="dxa"/>
            <w:tcBorders>
              <w:top w:val="single" w:sz="4" w:space="0" w:color="auto"/>
              <w:left w:val="single" w:sz="4" w:space="0" w:color="auto"/>
              <w:bottom w:val="single" w:sz="4" w:space="0" w:color="auto"/>
              <w:right w:val="single" w:sz="4" w:space="0" w:color="auto"/>
            </w:tcBorders>
            <w:hideMark/>
          </w:tcPr>
          <w:p w:rsidR="00B121BF" w:rsidRPr="00EC6E05" w:rsidRDefault="00B121BF" w:rsidP="00295251">
            <w:r w:rsidRPr="00EC6E05">
              <w:rPr>
                <w:noProof/>
              </w:rPr>
              <w:drawing>
                <wp:inline distT="0" distB="0" distL="0" distR="0" wp14:anchorId="5E8B8D3B" wp14:editId="2AB5F297">
                  <wp:extent cx="4522470" cy="2800011"/>
                  <wp:effectExtent l="0" t="0" r="0" b="635"/>
                  <wp:docPr id="15" name="Picture 15" title="Figure 7: CheckMate 214 Kaplan-Meier curves for OS in patients with intermediate or poor IMDC risk treated with NIVO + IPI versus sunitini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27547" cy="2803154"/>
                          </a:xfrm>
                          <a:prstGeom prst="rect">
                            <a:avLst/>
                          </a:prstGeom>
                          <a:noFill/>
                          <a:ln>
                            <a:noFill/>
                          </a:ln>
                        </pic:spPr>
                      </pic:pic>
                    </a:graphicData>
                  </a:graphic>
                </wp:inline>
              </w:drawing>
            </w:r>
          </w:p>
        </w:tc>
      </w:tr>
    </w:tbl>
    <w:p w:rsidR="00B121BF" w:rsidRPr="00EC6E05" w:rsidRDefault="00B121BF" w:rsidP="00B121BF">
      <w:pPr>
        <w:pStyle w:val="Source"/>
        <w:rPr>
          <w:rFonts w:ascii="Arial Narrow" w:hAnsi="Arial Narrow"/>
        </w:rPr>
      </w:pPr>
      <w:r w:rsidRPr="00EC6E05">
        <w:rPr>
          <w:rFonts w:ascii="Arial Narrow" w:hAnsi="Arial Narrow"/>
        </w:rPr>
        <w:t xml:space="preserve">Source: Figure 2.5-7 p82 of the Submission. </w:t>
      </w:r>
    </w:p>
    <w:p w:rsidR="00B121BF" w:rsidRPr="00EC6E05" w:rsidRDefault="00B121BF" w:rsidP="00DC5054">
      <w:pPr>
        <w:spacing w:after="240"/>
        <w:rPr>
          <w:rFonts w:ascii="Arial Narrow" w:eastAsiaTheme="minorHAnsi" w:hAnsi="Arial Narrow" w:cstheme="minorBidi"/>
          <w:sz w:val="18"/>
          <w:szCs w:val="22"/>
          <w:lang w:eastAsia="en-US"/>
        </w:rPr>
      </w:pPr>
      <w:r w:rsidRPr="00EC6E05">
        <w:rPr>
          <w:rFonts w:ascii="Arial Narrow" w:eastAsiaTheme="minorHAnsi" w:hAnsi="Arial Narrow" w:cstheme="minorBidi"/>
          <w:sz w:val="18"/>
          <w:szCs w:val="22"/>
          <w:lang w:eastAsia="en-US"/>
        </w:rPr>
        <w:t xml:space="preserve">Abbreviations: CI = confidence interval; IMDC = International Metastatic Renal Cell Carcinoma Database Consortium; NE = not estimable; NIVO + IPI = </w:t>
      </w:r>
      <w:proofErr w:type="spellStart"/>
      <w:r w:rsidRPr="00EC6E05">
        <w:rPr>
          <w:rFonts w:ascii="Arial Narrow" w:eastAsiaTheme="minorHAnsi" w:hAnsi="Arial Narrow" w:cstheme="minorBidi"/>
          <w:sz w:val="18"/>
          <w:szCs w:val="22"/>
          <w:lang w:eastAsia="en-US"/>
        </w:rPr>
        <w:t>nivolumab</w:t>
      </w:r>
      <w:proofErr w:type="spellEnd"/>
      <w:r w:rsidRPr="00EC6E05">
        <w:rPr>
          <w:rFonts w:ascii="Arial Narrow" w:eastAsiaTheme="minorHAnsi" w:hAnsi="Arial Narrow" w:cstheme="minorBidi"/>
          <w:sz w:val="18"/>
          <w:szCs w:val="22"/>
          <w:lang w:eastAsia="en-US"/>
        </w:rPr>
        <w:t xml:space="preserve"> + </w:t>
      </w:r>
      <w:proofErr w:type="spellStart"/>
      <w:r w:rsidRPr="00EC6E05">
        <w:rPr>
          <w:rFonts w:ascii="Arial Narrow" w:eastAsiaTheme="minorHAnsi" w:hAnsi="Arial Narrow" w:cstheme="minorBidi"/>
          <w:sz w:val="18"/>
          <w:szCs w:val="22"/>
          <w:lang w:eastAsia="en-US"/>
        </w:rPr>
        <w:t>ipilimumab</w:t>
      </w:r>
      <w:proofErr w:type="spellEnd"/>
      <w:r w:rsidRPr="00EC6E05">
        <w:rPr>
          <w:rFonts w:ascii="Arial Narrow" w:eastAsiaTheme="minorHAnsi" w:hAnsi="Arial Narrow" w:cstheme="minorBidi"/>
          <w:sz w:val="18"/>
          <w:szCs w:val="22"/>
          <w:lang w:eastAsia="en-US"/>
        </w:rPr>
        <w:t xml:space="preserve">; NR = not reached; OS = overall survival; SUNI = </w:t>
      </w:r>
      <w:proofErr w:type="spellStart"/>
      <w:r w:rsidRPr="00EC6E05">
        <w:rPr>
          <w:rFonts w:ascii="Arial Narrow" w:eastAsiaTheme="minorHAnsi" w:hAnsi="Arial Narrow" w:cstheme="minorBidi"/>
          <w:sz w:val="18"/>
          <w:szCs w:val="22"/>
          <w:lang w:eastAsia="en-US"/>
        </w:rPr>
        <w:t>sunitinib</w:t>
      </w:r>
      <w:proofErr w:type="spellEnd"/>
    </w:p>
    <w:p w:rsidR="00F833AB" w:rsidRPr="00EC6E05" w:rsidRDefault="00F833AB" w:rsidP="00BF5C4E">
      <w:pPr>
        <w:pStyle w:val="5-SubsectionSubheading"/>
      </w:pPr>
      <w:r w:rsidRPr="00EC6E05">
        <w:t>Indirect trial comparison (ITC) outcomes</w:t>
      </w:r>
    </w:p>
    <w:p w:rsidR="005E594B" w:rsidRPr="00EC6E05" w:rsidRDefault="00B65A3B" w:rsidP="00BF2EA7">
      <w:pPr>
        <w:pStyle w:val="3-BodyText"/>
      </w:pPr>
      <w:r w:rsidRPr="00EC6E05">
        <w:t xml:space="preserve">The submission presented an indirect comparison of JAVELIN and </w:t>
      </w:r>
      <w:proofErr w:type="spellStart"/>
      <w:r w:rsidRPr="00EC6E05">
        <w:t>CheckMate</w:t>
      </w:r>
      <w:proofErr w:type="spellEnd"/>
      <w:r w:rsidRPr="00EC6E05">
        <w:t xml:space="preserve"> 214, using </w:t>
      </w:r>
      <w:proofErr w:type="spellStart"/>
      <w:r w:rsidRPr="00EC6E05">
        <w:t>sunitinib</w:t>
      </w:r>
      <w:proofErr w:type="spellEnd"/>
      <w:r w:rsidRPr="00EC6E05">
        <w:t xml:space="preserve"> as the common comparator. </w:t>
      </w:r>
      <w:r w:rsidR="00F833AB" w:rsidRPr="00EC6E05">
        <w:t xml:space="preserve">The key outcomes presented in the ITC were PFS, OS and ORR. The results from the ITC for PFS </w:t>
      </w:r>
      <w:proofErr w:type="gramStart"/>
      <w:r w:rsidR="00F833AB" w:rsidRPr="00EC6E05">
        <w:t>are presented</w:t>
      </w:r>
      <w:proofErr w:type="gramEnd"/>
      <w:r w:rsidR="00F833AB" w:rsidRPr="00EC6E05">
        <w:t xml:space="preserve"> in Table </w:t>
      </w:r>
      <w:r w:rsidR="00291A90">
        <w:t>7</w:t>
      </w:r>
      <w:r w:rsidR="00F833AB" w:rsidRPr="00EC6E05">
        <w:t xml:space="preserve">. </w:t>
      </w:r>
    </w:p>
    <w:p w:rsidR="005E594B" w:rsidRPr="00EC6E05" w:rsidRDefault="005E594B" w:rsidP="00BF2EA7">
      <w:pPr>
        <w:pStyle w:val="3-BodyText"/>
      </w:pPr>
      <w:r w:rsidRPr="00EC6E05">
        <w:t>The main differences between the trials that may impact on</w:t>
      </w:r>
      <w:r w:rsidR="00B65A3B" w:rsidRPr="00EC6E05">
        <w:t xml:space="preserve"> the </w:t>
      </w:r>
      <w:bookmarkStart w:id="24" w:name="_Hlk30416178"/>
      <w:r w:rsidR="00B65A3B" w:rsidRPr="00EC6E05">
        <w:t xml:space="preserve">transitivity </w:t>
      </w:r>
      <w:bookmarkEnd w:id="24"/>
      <w:r w:rsidR="00B65A3B" w:rsidRPr="00EC6E05">
        <w:t xml:space="preserve">of the trials </w:t>
      </w:r>
      <w:r w:rsidRPr="00EC6E05">
        <w:t xml:space="preserve">included: </w:t>
      </w:r>
    </w:p>
    <w:p w:rsidR="005E594B" w:rsidRPr="00EC6E05" w:rsidRDefault="00B65A3B" w:rsidP="00484B6B">
      <w:pPr>
        <w:pStyle w:val="3-BodyText"/>
        <w:numPr>
          <w:ilvl w:val="0"/>
          <w:numId w:val="11"/>
        </w:numPr>
        <w:spacing w:after="0"/>
        <w:ind w:left="1077" w:hanging="357"/>
      </w:pPr>
      <w:proofErr w:type="gramStart"/>
      <w:r w:rsidRPr="00EC6E05">
        <w:t>post-progression</w:t>
      </w:r>
      <w:proofErr w:type="gramEnd"/>
      <w:r w:rsidRPr="00EC6E05">
        <w:t xml:space="preserve"> treatment</w:t>
      </w:r>
      <w:r w:rsidR="005E594B" w:rsidRPr="00EC6E05">
        <w:t xml:space="preserve"> whereby patients in </w:t>
      </w:r>
      <w:proofErr w:type="spellStart"/>
      <w:r w:rsidR="005E594B" w:rsidRPr="00EC6E05">
        <w:t>CheckMate</w:t>
      </w:r>
      <w:proofErr w:type="spellEnd"/>
      <w:r w:rsidR="005E594B" w:rsidRPr="00EC6E05">
        <w:t xml:space="preserve"> 214 were allowed to receive subsequent anticancer therapy before </w:t>
      </w:r>
      <w:r w:rsidR="0064004E" w:rsidRPr="00EC6E05">
        <w:t>progression</w:t>
      </w:r>
      <w:r w:rsidR="005E594B" w:rsidRPr="00EC6E05">
        <w:t>; th</w:t>
      </w:r>
      <w:r w:rsidR="00D82E70" w:rsidRPr="00EC6E05">
        <w:t xml:space="preserve">e proportion of patients this affected </w:t>
      </w:r>
      <w:r w:rsidR="005E594B" w:rsidRPr="00EC6E05">
        <w:t xml:space="preserve">was not reported in the </w:t>
      </w:r>
      <w:r w:rsidR="00D82E70" w:rsidRPr="00EC6E05">
        <w:t xml:space="preserve">submission or </w:t>
      </w:r>
      <w:r w:rsidR="005E594B" w:rsidRPr="00EC6E05">
        <w:t xml:space="preserve">publications </w:t>
      </w:r>
      <w:r w:rsidR="00D82E70" w:rsidRPr="00EC6E05">
        <w:t>for</w:t>
      </w:r>
      <w:r w:rsidR="005E594B" w:rsidRPr="00EC6E05">
        <w:t xml:space="preserve"> </w:t>
      </w:r>
      <w:proofErr w:type="spellStart"/>
      <w:r w:rsidR="005E594B" w:rsidRPr="00EC6E05">
        <w:t>CheckMate</w:t>
      </w:r>
      <w:proofErr w:type="spellEnd"/>
      <w:r w:rsidR="005E594B" w:rsidRPr="00EC6E05">
        <w:t xml:space="preserve"> 214</w:t>
      </w:r>
      <w:r w:rsidR="006D44E1" w:rsidRPr="00EC6E05">
        <w:t>.</w:t>
      </w:r>
    </w:p>
    <w:p w:rsidR="00C81C97" w:rsidRPr="00EC6E05" w:rsidRDefault="005E594B" w:rsidP="00484B6B">
      <w:pPr>
        <w:pStyle w:val="3-BodyText"/>
        <w:numPr>
          <w:ilvl w:val="0"/>
          <w:numId w:val="11"/>
        </w:numPr>
        <w:spacing w:after="0"/>
        <w:ind w:left="1077" w:hanging="357"/>
      </w:pPr>
      <w:proofErr w:type="gramStart"/>
      <w:r w:rsidRPr="00EC6E05">
        <w:t>minimum</w:t>
      </w:r>
      <w:proofErr w:type="gramEnd"/>
      <w:r w:rsidRPr="00EC6E05">
        <w:t xml:space="preserve"> duration of follow-up for JAVELIN was 13 months compared to 17.4 months </w:t>
      </w:r>
      <w:r w:rsidR="00C81C97" w:rsidRPr="00EC6E05">
        <w:t xml:space="preserve">in </w:t>
      </w:r>
      <w:proofErr w:type="spellStart"/>
      <w:r w:rsidR="00C81C97" w:rsidRPr="00EC6E05">
        <w:t>CheckMate</w:t>
      </w:r>
      <w:proofErr w:type="spellEnd"/>
      <w:r w:rsidR="00C81C97" w:rsidRPr="00EC6E05">
        <w:t xml:space="preserve"> 214 at </w:t>
      </w:r>
      <w:r w:rsidR="00F03E47">
        <w:t xml:space="preserve">the </w:t>
      </w:r>
      <w:r w:rsidR="00C81C97" w:rsidRPr="00EC6E05">
        <w:t xml:space="preserve">primary analysis, thus </w:t>
      </w:r>
      <w:r w:rsidR="0064004E" w:rsidRPr="00EC6E05">
        <w:t xml:space="preserve">the JAVELIN results were less mature than those from </w:t>
      </w:r>
      <w:proofErr w:type="spellStart"/>
      <w:r w:rsidR="0064004E" w:rsidRPr="00EC6E05">
        <w:t>CheckMate</w:t>
      </w:r>
      <w:proofErr w:type="spellEnd"/>
      <w:r w:rsidR="0064004E" w:rsidRPr="00EC6E05">
        <w:t xml:space="preserve"> 214</w:t>
      </w:r>
      <w:r w:rsidR="00C81C97" w:rsidRPr="00EC6E05">
        <w:t xml:space="preserve">. </w:t>
      </w:r>
    </w:p>
    <w:p w:rsidR="00C81C97" w:rsidRPr="00EC6E05" w:rsidRDefault="00C81C97" w:rsidP="00484B6B">
      <w:pPr>
        <w:pStyle w:val="3-BodyText"/>
        <w:numPr>
          <w:ilvl w:val="0"/>
          <w:numId w:val="11"/>
        </w:numPr>
        <w:spacing w:after="0"/>
        <w:ind w:left="1077" w:hanging="357"/>
      </w:pPr>
      <w:proofErr w:type="gramStart"/>
      <w:r w:rsidRPr="00EC6E05">
        <w:t>substantially</w:t>
      </w:r>
      <w:proofErr w:type="gramEnd"/>
      <w:r w:rsidRPr="00EC6E05">
        <w:t xml:space="preserve"> more patients with positive PD-L1 expression were enrolled in JAVELIN (ITT: 65.3% </w:t>
      </w:r>
      <w:proofErr w:type="spellStart"/>
      <w:r w:rsidRPr="00EC6E05">
        <w:t>sunitinib</w:t>
      </w:r>
      <w:proofErr w:type="spellEnd"/>
      <w:r w:rsidRPr="00EC6E05">
        <w:t xml:space="preserve">) than in </w:t>
      </w:r>
      <w:proofErr w:type="spellStart"/>
      <w:r w:rsidRPr="00EC6E05">
        <w:t>CheckMate</w:t>
      </w:r>
      <w:proofErr w:type="spellEnd"/>
      <w:r w:rsidRPr="00EC6E05">
        <w:t xml:space="preserve"> 214 (ITT: 25% </w:t>
      </w:r>
      <w:proofErr w:type="spellStart"/>
      <w:r w:rsidRPr="00EC6E05">
        <w:t>sunitinib</w:t>
      </w:r>
      <w:proofErr w:type="spellEnd"/>
      <w:r w:rsidRPr="00EC6E05">
        <w:t>)</w:t>
      </w:r>
      <w:r w:rsidRPr="00EC6E05">
        <w:rPr>
          <w:iCs/>
        </w:rPr>
        <w:t>.</w:t>
      </w:r>
      <w:r w:rsidR="002E124D">
        <w:rPr>
          <w:iCs/>
        </w:rPr>
        <w:t xml:space="preserve"> </w:t>
      </w:r>
      <w:r w:rsidRPr="00EC6E05">
        <w:rPr>
          <w:iCs/>
        </w:rPr>
        <w:t xml:space="preserve">However, the predictive value of PD-L1 expression with respect to </w:t>
      </w:r>
      <w:r w:rsidR="00D82E70" w:rsidRPr="00EC6E05">
        <w:rPr>
          <w:iCs/>
        </w:rPr>
        <w:t xml:space="preserve">the </w:t>
      </w:r>
      <w:r w:rsidRPr="00EC6E05">
        <w:rPr>
          <w:iCs/>
        </w:rPr>
        <w:t xml:space="preserve">prognosis and treatment response </w:t>
      </w:r>
      <w:r w:rsidR="00D82E70" w:rsidRPr="00EC6E05">
        <w:rPr>
          <w:iCs/>
        </w:rPr>
        <w:t xml:space="preserve">of patients with RCC </w:t>
      </w:r>
      <w:r w:rsidRPr="00EC6E05">
        <w:rPr>
          <w:iCs/>
        </w:rPr>
        <w:t>remains unclear</w:t>
      </w:r>
      <w:r w:rsidR="006D44E1" w:rsidRPr="00EC6E05">
        <w:rPr>
          <w:iCs/>
        </w:rPr>
        <w:t>.</w:t>
      </w:r>
    </w:p>
    <w:p w:rsidR="00B65A3B" w:rsidRPr="00EC6E05" w:rsidRDefault="006D44E1" w:rsidP="00484B6B">
      <w:pPr>
        <w:pStyle w:val="3-BodyText"/>
        <w:numPr>
          <w:ilvl w:val="0"/>
          <w:numId w:val="11"/>
        </w:numPr>
        <w:ind w:left="1077"/>
      </w:pPr>
      <w:proofErr w:type="gramStart"/>
      <w:r w:rsidRPr="00EC6E05">
        <w:t>results</w:t>
      </w:r>
      <w:proofErr w:type="gramEnd"/>
      <w:r w:rsidR="00C81C97" w:rsidRPr="00EC6E05">
        <w:t xml:space="preserve"> in the </w:t>
      </w:r>
      <w:r w:rsidRPr="00EC6E05">
        <w:t>common comparator arm (</w:t>
      </w:r>
      <w:proofErr w:type="spellStart"/>
      <w:r w:rsidR="00C81C97" w:rsidRPr="00EC6E05">
        <w:t>sunitinib</w:t>
      </w:r>
      <w:proofErr w:type="spellEnd"/>
      <w:r w:rsidRPr="00EC6E05">
        <w:t>)</w:t>
      </w:r>
      <w:r w:rsidR="0064004E" w:rsidRPr="00EC6E05">
        <w:t>:</w:t>
      </w:r>
      <w:r w:rsidR="00C81C97" w:rsidRPr="00EC6E05">
        <w:rPr>
          <w:iCs/>
        </w:rPr>
        <w:t xml:space="preserve"> </w:t>
      </w:r>
      <w:r w:rsidR="00C81C97" w:rsidRPr="00EC6E05">
        <w:t xml:space="preserve">the median PFS in the </w:t>
      </w:r>
      <w:proofErr w:type="spellStart"/>
      <w:r w:rsidR="00C81C97" w:rsidRPr="00EC6E05">
        <w:t>sunitinib</w:t>
      </w:r>
      <w:proofErr w:type="spellEnd"/>
      <w:r w:rsidR="00C81C97" w:rsidRPr="00EC6E05">
        <w:t xml:space="preserve"> arm of JAVELIN was shorter than the </w:t>
      </w:r>
      <w:proofErr w:type="spellStart"/>
      <w:r w:rsidR="00C81C97" w:rsidRPr="00EC6E05">
        <w:t>sunitinib</w:t>
      </w:r>
      <w:proofErr w:type="spellEnd"/>
      <w:r w:rsidR="00C81C97" w:rsidRPr="00EC6E05">
        <w:t xml:space="preserve"> arm of </w:t>
      </w:r>
      <w:proofErr w:type="spellStart"/>
      <w:r w:rsidR="00C81C97" w:rsidRPr="00EC6E05">
        <w:t>CheckMate</w:t>
      </w:r>
      <w:proofErr w:type="spellEnd"/>
      <w:r w:rsidR="00C81C97" w:rsidRPr="00EC6E05">
        <w:t xml:space="preserve"> 214 (6.7 vs 8.4 </w:t>
      </w:r>
      <w:r w:rsidR="00C81C97" w:rsidRPr="00EC6E05">
        <w:lastRenderedPageBreak/>
        <w:t>months)</w:t>
      </w:r>
      <w:r w:rsidR="00D82E70" w:rsidRPr="00EC6E05">
        <w:t xml:space="preserve">, which may indicate that patients in </w:t>
      </w:r>
      <w:proofErr w:type="spellStart"/>
      <w:r w:rsidR="00D82E70" w:rsidRPr="00EC6E05">
        <w:t>CheckMate</w:t>
      </w:r>
      <w:proofErr w:type="spellEnd"/>
      <w:r w:rsidR="00D82E70" w:rsidRPr="00EC6E05">
        <w:t xml:space="preserve"> 214 had a better prognosis for a response to </w:t>
      </w:r>
      <w:proofErr w:type="spellStart"/>
      <w:r w:rsidR="00D82E70" w:rsidRPr="00EC6E05">
        <w:t>sunitinib</w:t>
      </w:r>
      <w:proofErr w:type="spellEnd"/>
      <w:r w:rsidR="00D82E70" w:rsidRPr="00EC6E05">
        <w:t xml:space="preserve"> than those in JAVELIN</w:t>
      </w:r>
      <w:r w:rsidR="00C81C97" w:rsidRPr="00EC6E05">
        <w:t xml:space="preserve">. </w:t>
      </w:r>
    </w:p>
    <w:p w:rsidR="00C81C97" w:rsidRPr="00EC6E05" w:rsidRDefault="00C81C97" w:rsidP="00BF2EA7">
      <w:pPr>
        <w:pStyle w:val="3-BodyText"/>
      </w:pPr>
      <w:r w:rsidRPr="00EC6E05">
        <w:t xml:space="preserve">The differences pertaining to study design </w:t>
      </w:r>
      <w:proofErr w:type="gramStart"/>
      <w:r w:rsidRPr="00EC6E05">
        <w:t>impact</w:t>
      </w:r>
      <w:r w:rsidR="00F03E47">
        <w:t>ing</w:t>
      </w:r>
      <w:r w:rsidRPr="00EC6E05">
        <w:t xml:space="preserve"> on</w:t>
      </w:r>
      <w:proofErr w:type="gramEnd"/>
      <w:r w:rsidRPr="00EC6E05">
        <w:t xml:space="preserve"> transitivity, as reflected by the differences in </w:t>
      </w:r>
      <w:proofErr w:type="spellStart"/>
      <w:r w:rsidRPr="00EC6E05">
        <w:t>sunitinib</w:t>
      </w:r>
      <w:proofErr w:type="spellEnd"/>
      <w:r w:rsidRPr="00EC6E05">
        <w:t xml:space="preserve"> outcomes across the trials, w</w:t>
      </w:r>
      <w:r w:rsidR="00D82E70" w:rsidRPr="00EC6E05">
        <w:t>ere</w:t>
      </w:r>
      <w:r w:rsidRPr="00EC6E05">
        <w:t xml:space="preserve"> not addressed by the submission, nor were the results of the ITC adjusted for th</w:t>
      </w:r>
      <w:r w:rsidR="00D82E70" w:rsidRPr="00EC6E05">
        <w:t xml:space="preserve">e </w:t>
      </w:r>
      <w:r w:rsidRPr="00EC6E05">
        <w:t>difference</w:t>
      </w:r>
      <w:r w:rsidR="00D82E70" w:rsidRPr="00EC6E05">
        <w:t>s in outcomes</w:t>
      </w:r>
      <w:r w:rsidRPr="00EC6E05">
        <w:t xml:space="preserve">. </w:t>
      </w:r>
    </w:p>
    <w:p w:rsidR="003D5D1A" w:rsidRPr="00EC6E05" w:rsidRDefault="003D5D1A" w:rsidP="00BF2EA7">
      <w:pPr>
        <w:pStyle w:val="3-BodyText"/>
      </w:pPr>
      <w:r w:rsidRPr="00EC6E05">
        <w:t>The submission compare</w:t>
      </w:r>
      <w:r w:rsidR="00E05411" w:rsidRPr="00EC6E05">
        <w:t>d</w:t>
      </w:r>
      <w:r w:rsidRPr="00EC6E05">
        <w:t xml:space="preserve"> the ITT population for AVE + AXI (consistent with its view that the treatment effect is agnostic of risk) with the intermediate or poor IMDC risk subgroup from the </w:t>
      </w:r>
      <w:proofErr w:type="spellStart"/>
      <w:r w:rsidRPr="00EC6E05">
        <w:t>CheckMate</w:t>
      </w:r>
      <w:proofErr w:type="spellEnd"/>
      <w:r w:rsidRPr="00EC6E05">
        <w:t xml:space="preserve"> 214 study for NIVO + IPI</w:t>
      </w:r>
      <w:r w:rsidR="00291A90">
        <w:t xml:space="preserve"> (refer to Table 7</w:t>
      </w:r>
      <w:r w:rsidR="00DC5054" w:rsidRPr="00EC6E05">
        <w:t>)</w:t>
      </w:r>
      <w:r w:rsidRPr="00EC6E05">
        <w:t xml:space="preserve">. It justified this approach on the basis that </w:t>
      </w:r>
      <w:r w:rsidRPr="00EC6E05">
        <w:rPr>
          <w:shd w:val="clear" w:color="auto" w:fill="FFFFFF" w:themeFill="background1"/>
        </w:rPr>
        <w:t xml:space="preserve">there was no treatment modification of AVE + AXI versus </w:t>
      </w:r>
      <w:proofErr w:type="spellStart"/>
      <w:r w:rsidRPr="00EC6E05">
        <w:rPr>
          <w:shd w:val="clear" w:color="auto" w:fill="FFFFFF" w:themeFill="background1"/>
        </w:rPr>
        <w:t>sunitinib</w:t>
      </w:r>
      <w:proofErr w:type="spellEnd"/>
      <w:r w:rsidRPr="00EC6E05">
        <w:rPr>
          <w:shd w:val="clear" w:color="auto" w:fill="FFFFFF" w:themeFill="background1"/>
        </w:rPr>
        <w:t xml:space="preserve"> by risk criteria for PFS, OS and ORR and hence the hazard ratios of the ITT population of JAVELIN was representative of the subgroups (i.e. the intermediate or poor IMDC risk subgroup).</w:t>
      </w:r>
    </w:p>
    <w:p w:rsidR="005D1D58" w:rsidRPr="005D1D58" w:rsidRDefault="005D1D58" w:rsidP="00BF2EA7">
      <w:pPr>
        <w:pStyle w:val="3-BodyText"/>
      </w:pPr>
      <w:r>
        <w:t>T</w:t>
      </w:r>
      <w:r w:rsidR="003D5D1A" w:rsidRPr="00EC6E05">
        <w:t>he</w:t>
      </w:r>
      <w:r w:rsidR="00B65A3B" w:rsidRPr="00EC6E05">
        <w:t xml:space="preserve"> submission used the intermediate or poor prognostic risk subgroup of JAVELIN to calculate the absolute treatment benefit (e.g. difference in median survival) as i</w:t>
      </w:r>
      <w:r w:rsidR="00B65A3B" w:rsidRPr="00EC6E05">
        <w:rPr>
          <w:rFonts w:cstheme="minorHAnsi"/>
        </w:rPr>
        <w:t xml:space="preserve">t </w:t>
      </w:r>
      <w:proofErr w:type="gramStart"/>
      <w:r w:rsidR="00B65A3B" w:rsidRPr="00EC6E05">
        <w:rPr>
          <w:rFonts w:cstheme="minorHAnsi"/>
        </w:rPr>
        <w:t>was considered</w:t>
      </w:r>
      <w:proofErr w:type="gramEnd"/>
      <w:r w:rsidR="00B65A3B" w:rsidRPr="00EC6E05">
        <w:rPr>
          <w:rFonts w:cstheme="minorHAnsi"/>
        </w:rPr>
        <w:t xml:space="preserve"> the relevant population for the comparison with NIVO + IPI.</w:t>
      </w:r>
    </w:p>
    <w:p w:rsidR="00B65A3B" w:rsidRPr="00EC6E05" w:rsidRDefault="000C1774" w:rsidP="000C1774">
      <w:pPr>
        <w:pStyle w:val="3-BodyText"/>
      </w:pPr>
      <w:r>
        <w:t xml:space="preserve">The </w:t>
      </w:r>
      <w:r w:rsidR="00EA1838">
        <w:t xml:space="preserve">indirect comparison </w:t>
      </w:r>
      <w:r>
        <w:t xml:space="preserve">of the </w:t>
      </w:r>
      <w:r w:rsidR="00B65A3B" w:rsidRPr="00EC6E05">
        <w:t xml:space="preserve">ITT populations </w:t>
      </w:r>
      <w:r>
        <w:t xml:space="preserve">found a statistically significant difference in PFS favouring AVE + AXI (HR </w:t>
      </w:r>
      <w:r w:rsidRPr="000C1774">
        <w:rPr>
          <w:rFonts w:cstheme="minorHAnsi"/>
          <w:iCs/>
        </w:rPr>
        <w:t>0.70 (</w:t>
      </w:r>
      <w:r>
        <w:rPr>
          <w:rFonts w:cstheme="minorHAnsi"/>
          <w:iCs/>
        </w:rPr>
        <w:t xml:space="preserve">95% CI: </w:t>
      </w:r>
      <w:r w:rsidRPr="000C1774">
        <w:rPr>
          <w:rFonts w:cstheme="minorHAnsi"/>
          <w:iCs/>
        </w:rPr>
        <w:t>0.55, 0.90</w:t>
      </w:r>
      <w:r w:rsidR="00EA1838">
        <w:rPr>
          <w:rFonts w:cstheme="minorHAnsi"/>
          <w:iCs/>
        </w:rPr>
        <w:t>)</w:t>
      </w:r>
      <w:r w:rsidRPr="000C1774">
        <w:rPr>
          <w:rFonts w:cstheme="minorHAnsi"/>
          <w:iCs/>
        </w:rPr>
        <w:t>)</w:t>
      </w:r>
      <w:r>
        <w:rPr>
          <w:rFonts w:cstheme="minorHAnsi"/>
          <w:iCs/>
        </w:rPr>
        <w:t xml:space="preserve">. </w:t>
      </w:r>
      <w:r w:rsidR="00B65A3B" w:rsidRPr="00EC6E05">
        <w:t xml:space="preserve">Given the ITT population in JAVELIN included ~21% of patients with a favourable IMDC prognostic risk, comparison of the </w:t>
      </w:r>
      <w:r w:rsidR="00EA1838">
        <w:t xml:space="preserve">two </w:t>
      </w:r>
      <w:r w:rsidR="00B65A3B" w:rsidRPr="00EC6E05">
        <w:t>ITT population</w:t>
      </w:r>
      <w:r w:rsidR="00EA1838">
        <w:t>s was</w:t>
      </w:r>
      <w:r w:rsidR="00B65A3B" w:rsidRPr="00EC6E05">
        <w:t xml:space="preserve"> biased against NIVO + IPI </w:t>
      </w:r>
      <w:r w:rsidR="00EA1838">
        <w:t>as</w:t>
      </w:r>
      <w:r w:rsidR="00B65A3B" w:rsidRPr="00EC6E05">
        <w:t xml:space="preserve"> NIVO + IPI has a negative PFS outcome in that risk group (and is not indicated for use in those patients). </w:t>
      </w:r>
    </w:p>
    <w:p w:rsidR="00B65A3B" w:rsidRPr="00EC6E05" w:rsidRDefault="00B65A3B" w:rsidP="00EA66F5">
      <w:pPr>
        <w:pStyle w:val="Caption"/>
        <w:keepNext/>
        <w:keepLines/>
        <w:spacing w:after="0"/>
        <w:rPr>
          <w:rFonts w:ascii="Arial Narrow" w:hAnsi="Arial Narrow"/>
          <w:color w:val="auto"/>
          <w:sz w:val="20"/>
          <w:szCs w:val="20"/>
        </w:rPr>
      </w:pPr>
      <w:r w:rsidRPr="00EC6E05">
        <w:rPr>
          <w:rFonts w:ascii="Arial Narrow" w:hAnsi="Arial Narrow"/>
          <w:bCs w:val="0"/>
          <w:color w:val="auto"/>
          <w:sz w:val="20"/>
        </w:rPr>
        <w:t>Tabl</w:t>
      </w:r>
      <w:r w:rsidRPr="00EC6E05">
        <w:rPr>
          <w:rFonts w:ascii="Arial Narrow" w:hAnsi="Arial Narrow"/>
          <w:bCs w:val="0"/>
          <w:color w:val="auto"/>
          <w:sz w:val="20"/>
          <w:szCs w:val="20"/>
        </w:rPr>
        <w:t xml:space="preserve">e </w:t>
      </w:r>
      <w:r w:rsidR="00291A90">
        <w:rPr>
          <w:rFonts w:ascii="Arial Narrow" w:hAnsi="Arial Narrow"/>
          <w:color w:val="auto"/>
          <w:sz w:val="20"/>
          <w:szCs w:val="20"/>
        </w:rPr>
        <w:t>7</w:t>
      </w:r>
      <w:r w:rsidRPr="00EC6E05">
        <w:rPr>
          <w:rFonts w:ascii="Arial Narrow" w:hAnsi="Arial Narrow"/>
          <w:color w:val="auto"/>
          <w:sz w:val="20"/>
          <w:szCs w:val="20"/>
        </w:rPr>
        <w:t xml:space="preserve">: ITC – Progression free survival </w:t>
      </w:r>
    </w:p>
    <w:tbl>
      <w:tblPr>
        <w:tblStyle w:val="Summarybox61"/>
        <w:tblW w:w="5000" w:type="pct"/>
        <w:tblLook w:val="04A0" w:firstRow="1" w:lastRow="0" w:firstColumn="1" w:lastColumn="0" w:noHBand="0" w:noVBand="1"/>
        <w:tblCaption w:val="Table 7: ITC – Progression free survival"/>
      </w:tblPr>
      <w:tblGrid>
        <w:gridCol w:w="1335"/>
        <w:gridCol w:w="1414"/>
        <w:gridCol w:w="1787"/>
        <w:gridCol w:w="1866"/>
        <w:gridCol w:w="1269"/>
        <w:gridCol w:w="1345"/>
      </w:tblGrid>
      <w:tr w:rsidR="00B65A3B" w:rsidRPr="00EC6E05" w:rsidTr="00B65A3B">
        <w:trPr>
          <w:trHeight w:val="244"/>
          <w:tblHeader/>
        </w:trPr>
        <w:tc>
          <w:tcPr>
            <w:tcW w:w="740" w:type="pct"/>
            <w:tcBorders>
              <w:top w:val="single" w:sz="4" w:space="0" w:color="auto"/>
              <w:left w:val="single" w:sz="4" w:space="0" w:color="auto"/>
              <w:bottom w:val="single" w:sz="4" w:space="0" w:color="auto"/>
              <w:right w:val="single" w:sz="4" w:space="0" w:color="auto"/>
            </w:tcBorders>
            <w:hideMark/>
          </w:tcPr>
          <w:p w:rsidR="00B65A3B" w:rsidRPr="00EC6E05" w:rsidRDefault="00B65A3B" w:rsidP="00EA66F5">
            <w:pPr>
              <w:pStyle w:val="Tableheading0"/>
              <w:keepNext/>
              <w:keepLines/>
              <w:rPr>
                <w:rFonts w:ascii="Arial Narrow" w:hAnsi="Arial Narrow"/>
              </w:rPr>
            </w:pPr>
            <w:r w:rsidRPr="00EC6E05">
              <w:rPr>
                <w:rFonts w:ascii="Arial Narrow" w:hAnsi="Arial Narrow"/>
              </w:rPr>
              <w:t>Trial ID</w:t>
            </w:r>
          </w:p>
        </w:tc>
        <w:tc>
          <w:tcPr>
            <w:tcW w:w="784" w:type="pct"/>
            <w:tcBorders>
              <w:top w:val="single" w:sz="4" w:space="0" w:color="auto"/>
              <w:left w:val="single" w:sz="4" w:space="0" w:color="auto"/>
              <w:bottom w:val="single" w:sz="4" w:space="0" w:color="auto"/>
              <w:right w:val="single" w:sz="4" w:space="0" w:color="auto"/>
            </w:tcBorders>
          </w:tcPr>
          <w:p w:rsidR="00B65A3B" w:rsidRPr="00EC6E05" w:rsidRDefault="00B65A3B" w:rsidP="00EA66F5">
            <w:pPr>
              <w:pStyle w:val="Tableheading0"/>
              <w:keepNext/>
              <w:keepLines/>
              <w:rPr>
                <w:rFonts w:ascii="Arial Narrow" w:hAnsi="Arial Narrow"/>
              </w:rPr>
            </w:pPr>
          </w:p>
        </w:tc>
        <w:tc>
          <w:tcPr>
            <w:tcW w:w="991" w:type="pct"/>
            <w:tcBorders>
              <w:top w:val="single" w:sz="4" w:space="0" w:color="auto"/>
              <w:left w:val="single" w:sz="4" w:space="0" w:color="auto"/>
              <w:bottom w:val="single" w:sz="4" w:space="0" w:color="auto"/>
              <w:right w:val="single" w:sz="4" w:space="0" w:color="auto"/>
            </w:tcBorders>
            <w:hideMark/>
          </w:tcPr>
          <w:p w:rsidR="00B65A3B" w:rsidRPr="00EC6E05" w:rsidRDefault="00B65A3B" w:rsidP="00EA66F5">
            <w:pPr>
              <w:pStyle w:val="Tableheading0"/>
              <w:keepNext/>
              <w:keepLines/>
              <w:rPr>
                <w:rFonts w:ascii="Arial Narrow" w:hAnsi="Arial Narrow"/>
              </w:rPr>
            </w:pPr>
            <w:r w:rsidRPr="00EC6E05">
              <w:rPr>
                <w:rFonts w:ascii="Arial Narrow" w:hAnsi="Arial Narrow"/>
              </w:rPr>
              <w:t>Event n/N (%)</w:t>
            </w:r>
          </w:p>
        </w:tc>
        <w:tc>
          <w:tcPr>
            <w:tcW w:w="1035" w:type="pct"/>
            <w:tcBorders>
              <w:top w:val="single" w:sz="4" w:space="0" w:color="auto"/>
              <w:left w:val="single" w:sz="4" w:space="0" w:color="auto"/>
              <w:bottom w:val="single" w:sz="4" w:space="0" w:color="auto"/>
              <w:right w:val="single" w:sz="4" w:space="0" w:color="auto"/>
            </w:tcBorders>
            <w:hideMark/>
          </w:tcPr>
          <w:p w:rsidR="00B65A3B" w:rsidRPr="00EC6E05" w:rsidRDefault="00B65A3B" w:rsidP="00EA66F5">
            <w:pPr>
              <w:pStyle w:val="Tableheading0"/>
              <w:keepNext/>
              <w:keepLines/>
              <w:rPr>
                <w:rFonts w:ascii="Arial Narrow" w:hAnsi="Arial Narrow"/>
              </w:rPr>
            </w:pPr>
            <w:r w:rsidRPr="00EC6E05">
              <w:rPr>
                <w:rFonts w:ascii="Arial Narrow" w:hAnsi="Arial Narrow"/>
              </w:rPr>
              <w:t>Median PFS (months)</w:t>
            </w:r>
          </w:p>
        </w:tc>
        <w:tc>
          <w:tcPr>
            <w:tcW w:w="704" w:type="pct"/>
            <w:tcBorders>
              <w:top w:val="single" w:sz="4" w:space="0" w:color="auto"/>
              <w:left w:val="single" w:sz="4" w:space="0" w:color="auto"/>
              <w:bottom w:val="single" w:sz="4" w:space="0" w:color="auto"/>
              <w:right w:val="single" w:sz="4" w:space="0" w:color="auto"/>
            </w:tcBorders>
            <w:hideMark/>
          </w:tcPr>
          <w:p w:rsidR="00B65A3B" w:rsidRPr="00EC6E05" w:rsidRDefault="00B65A3B" w:rsidP="00EA66F5">
            <w:pPr>
              <w:pStyle w:val="Tableheading0"/>
              <w:keepNext/>
              <w:keepLines/>
              <w:rPr>
                <w:rFonts w:ascii="Arial Narrow" w:hAnsi="Arial Narrow"/>
              </w:rPr>
            </w:pPr>
            <w:r w:rsidRPr="00EC6E05">
              <w:rPr>
                <w:rFonts w:ascii="Arial Narrow" w:hAnsi="Arial Narrow"/>
              </w:rPr>
              <w:t>HR (95% CI)</w:t>
            </w:r>
          </w:p>
        </w:tc>
        <w:tc>
          <w:tcPr>
            <w:tcW w:w="746" w:type="pct"/>
            <w:tcBorders>
              <w:top w:val="single" w:sz="4" w:space="0" w:color="auto"/>
              <w:left w:val="single" w:sz="4" w:space="0" w:color="auto"/>
              <w:bottom w:val="single" w:sz="4" w:space="0" w:color="auto"/>
              <w:right w:val="single" w:sz="4" w:space="0" w:color="auto"/>
            </w:tcBorders>
            <w:hideMark/>
          </w:tcPr>
          <w:p w:rsidR="00B65A3B" w:rsidRPr="00EC6E05" w:rsidRDefault="00B65A3B" w:rsidP="00EA66F5">
            <w:pPr>
              <w:pStyle w:val="Tableheading0"/>
              <w:keepNext/>
              <w:keepLines/>
              <w:rPr>
                <w:rFonts w:ascii="Arial Narrow" w:hAnsi="Arial Narrow"/>
              </w:rPr>
            </w:pPr>
            <w:r w:rsidRPr="00EC6E05">
              <w:rPr>
                <w:rFonts w:ascii="Arial Narrow" w:hAnsi="Arial Narrow"/>
              </w:rPr>
              <w:t>Indirect comparison HR (95% CI)</w:t>
            </w:r>
          </w:p>
        </w:tc>
      </w:tr>
      <w:tr w:rsidR="00B65A3B" w:rsidRPr="00EC6E05" w:rsidTr="00B65A3B">
        <w:trPr>
          <w:trHeight w:val="244"/>
        </w:trPr>
        <w:tc>
          <w:tcPr>
            <w:tcW w:w="5000" w:type="pct"/>
            <w:gridSpan w:val="6"/>
            <w:tcBorders>
              <w:top w:val="single" w:sz="4" w:space="0" w:color="auto"/>
              <w:left w:val="single" w:sz="4" w:space="0" w:color="auto"/>
              <w:bottom w:val="single" w:sz="4" w:space="0" w:color="auto"/>
              <w:right w:val="single" w:sz="4" w:space="0" w:color="auto"/>
            </w:tcBorders>
            <w:hideMark/>
          </w:tcPr>
          <w:p w:rsidR="00B65A3B" w:rsidRPr="00B80DCC" w:rsidRDefault="00B65A3B" w:rsidP="00EA66F5">
            <w:pPr>
              <w:pStyle w:val="Tablecentre"/>
              <w:keepNext/>
              <w:keepLines/>
              <w:jc w:val="left"/>
              <w:rPr>
                <w:rFonts w:ascii="Arial Narrow" w:hAnsi="Arial Narrow"/>
                <w:b/>
                <w:bCs/>
              </w:rPr>
            </w:pPr>
            <w:r w:rsidRPr="00B80DCC">
              <w:rPr>
                <w:rFonts w:ascii="Arial Narrow" w:hAnsi="Arial Narrow"/>
                <w:b/>
                <w:bCs/>
              </w:rPr>
              <w:t>ITT (JAVELIN) versus intermediate or poor IMDC risk (</w:t>
            </w:r>
            <w:proofErr w:type="spellStart"/>
            <w:r w:rsidRPr="00B80DCC">
              <w:rPr>
                <w:rFonts w:ascii="Arial Narrow" w:hAnsi="Arial Narrow"/>
                <w:b/>
                <w:bCs/>
              </w:rPr>
              <w:t>CheckMate</w:t>
            </w:r>
            <w:proofErr w:type="spellEnd"/>
            <w:r w:rsidRPr="00B80DCC">
              <w:rPr>
                <w:rFonts w:ascii="Arial Narrow" w:hAnsi="Arial Narrow"/>
                <w:b/>
                <w:bCs/>
              </w:rPr>
              <w:t xml:space="preserve"> 214)</w:t>
            </w:r>
          </w:p>
        </w:tc>
      </w:tr>
      <w:tr w:rsidR="00B65A3B" w:rsidRPr="00EC6E05" w:rsidTr="00B65A3B">
        <w:trPr>
          <w:trHeight w:val="244"/>
        </w:trPr>
        <w:tc>
          <w:tcPr>
            <w:tcW w:w="740" w:type="pct"/>
            <w:vMerge w:val="restart"/>
            <w:tcBorders>
              <w:top w:val="single" w:sz="4" w:space="0" w:color="auto"/>
              <w:left w:val="single" w:sz="4" w:space="0" w:color="auto"/>
              <w:bottom w:val="single" w:sz="4" w:space="0" w:color="auto"/>
              <w:right w:val="single" w:sz="4" w:space="0" w:color="auto"/>
            </w:tcBorders>
            <w:hideMark/>
          </w:tcPr>
          <w:p w:rsidR="00B65A3B" w:rsidRPr="00B80DCC" w:rsidRDefault="00B65A3B" w:rsidP="00EA66F5">
            <w:pPr>
              <w:pStyle w:val="Tabletext"/>
              <w:keepNext/>
              <w:keepLines/>
            </w:pPr>
            <w:r w:rsidRPr="00B80DCC">
              <w:t>JAVELIN</w:t>
            </w:r>
            <w:r w:rsidRPr="00B80DCC">
              <w:rPr>
                <w:b/>
                <w:bCs/>
                <w:vertAlign w:val="superscript"/>
              </w:rPr>
              <w:t xml:space="preserve"> c</w:t>
            </w:r>
          </w:p>
        </w:tc>
        <w:tc>
          <w:tcPr>
            <w:tcW w:w="784" w:type="pct"/>
            <w:tcBorders>
              <w:top w:val="single" w:sz="4" w:space="0" w:color="auto"/>
              <w:left w:val="single" w:sz="4" w:space="0" w:color="auto"/>
              <w:bottom w:val="single" w:sz="4" w:space="0" w:color="auto"/>
              <w:right w:val="single" w:sz="4" w:space="0" w:color="auto"/>
            </w:tcBorders>
            <w:hideMark/>
          </w:tcPr>
          <w:p w:rsidR="00B65A3B" w:rsidRPr="00B80DCC" w:rsidRDefault="00B65A3B" w:rsidP="00EA66F5">
            <w:pPr>
              <w:pStyle w:val="Tablecentre"/>
              <w:keepNext/>
              <w:keepLines/>
              <w:jc w:val="left"/>
              <w:rPr>
                <w:rFonts w:ascii="Arial Narrow" w:hAnsi="Arial Narrow"/>
              </w:rPr>
            </w:pPr>
            <w:r w:rsidRPr="00B80DCC">
              <w:rPr>
                <w:rFonts w:ascii="Arial Narrow" w:hAnsi="Arial Narrow"/>
              </w:rPr>
              <w:t>AVE + AXI</w:t>
            </w:r>
          </w:p>
        </w:tc>
        <w:tc>
          <w:tcPr>
            <w:tcW w:w="991" w:type="pct"/>
            <w:tcBorders>
              <w:top w:val="single" w:sz="4" w:space="0" w:color="auto"/>
              <w:left w:val="single" w:sz="4" w:space="0" w:color="auto"/>
              <w:bottom w:val="single" w:sz="4" w:space="0" w:color="auto"/>
              <w:right w:val="single" w:sz="4" w:space="0" w:color="auto"/>
            </w:tcBorders>
            <w:hideMark/>
          </w:tcPr>
          <w:p w:rsidR="00B65A3B" w:rsidRPr="00B80DCC" w:rsidRDefault="00B80DCC" w:rsidP="00EA66F5">
            <w:pPr>
              <w:pStyle w:val="Tablecentre"/>
              <w:keepNext/>
              <w:keepLines/>
              <w:rPr>
                <w:rFonts w:ascii="Arial Narrow" w:hAnsi="Arial Narrow"/>
              </w:rPr>
            </w:pPr>
            <w:r w:rsidRPr="00B80DCC">
              <w:rPr>
                <w:rFonts w:ascii="Arial Narrow" w:hAnsi="Arial Narrow"/>
              </w:rPr>
              <w:t xml:space="preserve"> </w:t>
            </w:r>
          </w:p>
        </w:tc>
        <w:tc>
          <w:tcPr>
            <w:tcW w:w="1035" w:type="pct"/>
            <w:tcBorders>
              <w:top w:val="single" w:sz="4" w:space="0" w:color="auto"/>
              <w:left w:val="single" w:sz="4" w:space="0" w:color="auto"/>
              <w:bottom w:val="single" w:sz="4" w:space="0" w:color="auto"/>
              <w:right w:val="single" w:sz="4" w:space="0" w:color="auto"/>
            </w:tcBorders>
            <w:hideMark/>
          </w:tcPr>
          <w:p w:rsidR="00B65A3B" w:rsidRPr="00B80DCC" w:rsidRDefault="00B65A3B" w:rsidP="00EA66F5">
            <w:pPr>
              <w:pStyle w:val="Tablecentre"/>
              <w:keepNext/>
              <w:keepLines/>
              <w:rPr>
                <w:rFonts w:ascii="Arial Narrow" w:hAnsi="Arial Narrow"/>
              </w:rPr>
            </w:pPr>
            <w:r w:rsidRPr="00B80DCC">
              <w:rPr>
                <w:rFonts w:ascii="Arial Narrow" w:hAnsi="Arial Narrow"/>
              </w:rPr>
              <w:t>13.3 (11.1, 15.3)</w:t>
            </w:r>
          </w:p>
        </w:tc>
        <w:tc>
          <w:tcPr>
            <w:tcW w:w="704" w:type="pct"/>
            <w:vMerge w:val="restart"/>
            <w:tcBorders>
              <w:top w:val="single" w:sz="4" w:space="0" w:color="auto"/>
              <w:left w:val="single" w:sz="4" w:space="0" w:color="auto"/>
              <w:bottom w:val="single" w:sz="4" w:space="0" w:color="auto"/>
              <w:right w:val="single" w:sz="4" w:space="0" w:color="auto"/>
            </w:tcBorders>
            <w:hideMark/>
          </w:tcPr>
          <w:p w:rsidR="00B65A3B" w:rsidRPr="006A083B" w:rsidRDefault="006A083B" w:rsidP="00EA66F5">
            <w:pPr>
              <w:pStyle w:val="Tablecentre"/>
              <w:keepNext/>
              <w:keepLines/>
              <w:rPr>
                <w:rFonts w:ascii="Arial Narrow" w:hAnsi="Arial Narrow"/>
                <w:b/>
                <w:highlight w:val="black"/>
              </w:rPr>
            </w:pPr>
            <w:r>
              <w:rPr>
                <w:rFonts w:ascii="Arial Narrow" w:hAnsi="Arial Narrow"/>
                <w:b/>
                <w:noProof/>
                <w:color w:val="000000"/>
                <w:highlight w:val="black"/>
              </w:rPr>
              <w:t>''''''''' ''''''''''''''' '''''''''''''</w:t>
            </w:r>
          </w:p>
        </w:tc>
        <w:tc>
          <w:tcPr>
            <w:tcW w:w="746" w:type="pct"/>
            <w:vMerge w:val="restart"/>
            <w:tcBorders>
              <w:top w:val="single" w:sz="4" w:space="0" w:color="auto"/>
              <w:left w:val="single" w:sz="4" w:space="0" w:color="auto"/>
              <w:bottom w:val="single" w:sz="4" w:space="0" w:color="auto"/>
              <w:right w:val="single" w:sz="4" w:space="0" w:color="auto"/>
            </w:tcBorders>
            <w:hideMark/>
          </w:tcPr>
          <w:p w:rsidR="00B65A3B" w:rsidRPr="006A083B" w:rsidRDefault="006A083B" w:rsidP="00EA66F5">
            <w:pPr>
              <w:pStyle w:val="Tablecentre"/>
              <w:keepNext/>
              <w:keepLines/>
              <w:rPr>
                <w:rFonts w:ascii="Arial Narrow" w:hAnsi="Arial Narrow"/>
                <w:highlight w:val="black"/>
              </w:rPr>
            </w:pPr>
            <w:r>
              <w:rPr>
                <w:rFonts w:ascii="Arial Narrow" w:hAnsi="Arial Narrow"/>
                <w:noProof/>
                <w:color w:val="000000"/>
                <w:highlight w:val="black"/>
              </w:rPr>
              <w:t>''''''''''' '''''''''''' '''''''''''''</w:t>
            </w:r>
          </w:p>
          <w:p w:rsidR="00B65A3B" w:rsidRPr="006A083B" w:rsidRDefault="006A083B" w:rsidP="00EA66F5">
            <w:pPr>
              <w:pStyle w:val="Tablecentre"/>
              <w:keepNext/>
              <w:keepLines/>
              <w:rPr>
                <w:rFonts w:ascii="Arial Narrow" w:hAnsi="Arial Narrow"/>
                <w:highlight w:val="black"/>
              </w:rPr>
            </w:pPr>
            <w:r>
              <w:rPr>
                <w:rFonts w:ascii="Arial Narrow" w:hAnsi="Arial Narrow"/>
                <w:noProof/>
                <w:color w:val="000000"/>
                <w:highlight w:val="black"/>
              </w:rPr>
              <w:t>'''' '''' '''''''''''''''''</w:t>
            </w:r>
          </w:p>
        </w:tc>
      </w:tr>
      <w:tr w:rsidR="00B65A3B" w:rsidRPr="00EC6E05" w:rsidTr="00B65A3B">
        <w:trPr>
          <w:trHeight w:val="2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5A3B" w:rsidRPr="00B80DCC" w:rsidRDefault="00B65A3B" w:rsidP="00EA66F5">
            <w:pPr>
              <w:keepNext/>
              <w:keepLines/>
              <w:jc w:val="left"/>
              <w:rPr>
                <w:rFonts w:ascii="Arial Narrow" w:hAnsi="Arial Narrow" w:cs="Times New Roman"/>
                <w:sz w:val="20"/>
              </w:rPr>
            </w:pPr>
          </w:p>
        </w:tc>
        <w:tc>
          <w:tcPr>
            <w:tcW w:w="784" w:type="pct"/>
            <w:tcBorders>
              <w:top w:val="single" w:sz="4" w:space="0" w:color="auto"/>
              <w:left w:val="single" w:sz="4" w:space="0" w:color="auto"/>
              <w:bottom w:val="single" w:sz="4" w:space="0" w:color="auto"/>
              <w:right w:val="single" w:sz="4" w:space="0" w:color="auto"/>
            </w:tcBorders>
            <w:hideMark/>
          </w:tcPr>
          <w:p w:rsidR="00B65A3B" w:rsidRPr="00B80DCC" w:rsidRDefault="00B65A3B" w:rsidP="00EA66F5">
            <w:pPr>
              <w:pStyle w:val="Tablecentre"/>
              <w:keepNext/>
              <w:keepLines/>
              <w:jc w:val="left"/>
              <w:rPr>
                <w:rFonts w:ascii="Arial Narrow" w:hAnsi="Arial Narrow"/>
              </w:rPr>
            </w:pPr>
            <w:r w:rsidRPr="00B80DCC">
              <w:rPr>
                <w:rFonts w:ascii="Arial Narrow" w:hAnsi="Arial Narrow"/>
              </w:rPr>
              <w:t>SUN</w:t>
            </w:r>
          </w:p>
        </w:tc>
        <w:tc>
          <w:tcPr>
            <w:tcW w:w="991" w:type="pct"/>
            <w:tcBorders>
              <w:top w:val="single" w:sz="4" w:space="0" w:color="auto"/>
              <w:left w:val="single" w:sz="4" w:space="0" w:color="auto"/>
              <w:bottom w:val="single" w:sz="4" w:space="0" w:color="auto"/>
              <w:right w:val="single" w:sz="4" w:space="0" w:color="auto"/>
            </w:tcBorders>
            <w:hideMark/>
          </w:tcPr>
          <w:p w:rsidR="00B65A3B" w:rsidRPr="00B80DCC" w:rsidRDefault="00B65A3B" w:rsidP="00EA66F5">
            <w:pPr>
              <w:pStyle w:val="Tablecentre"/>
              <w:keepNext/>
              <w:keepLines/>
              <w:rPr>
                <w:rFonts w:ascii="Arial Narrow" w:hAnsi="Arial Narrow"/>
              </w:rPr>
            </w:pPr>
            <w:r w:rsidRPr="00B80DCC">
              <w:rPr>
                <w:rFonts w:ascii="Arial Narrow" w:hAnsi="Arial Narrow"/>
              </w:rPr>
              <w:t>258/444 (58.1)</w:t>
            </w:r>
          </w:p>
        </w:tc>
        <w:tc>
          <w:tcPr>
            <w:tcW w:w="1035" w:type="pct"/>
            <w:tcBorders>
              <w:top w:val="single" w:sz="4" w:space="0" w:color="auto"/>
              <w:left w:val="single" w:sz="4" w:space="0" w:color="auto"/>
              <w:bottom w:val="single" w:sz="4" w:space="0" w:color="auto"/>
              <w:right w:val="single" w:sz="4" w:space="0" w:color="auto"/>
            </w:tcBorders>
            <w:hideMark/>
          </w:tcPr>
          <w:p w:rsidR="00B65A3B" w:rsidRPr="00B80DCC" w:rsidRDefault="00B65A3B" w:rsidP="00EA66F5">
            <w:pPr>
              <w:pStyle w:val="Tablecentre"/>
              <w:keepNext/>
              <w:keepLines/>
              <w:rPr>
                <w:rFonts w:ascii="Arial Narrow" w:hAnsi="Arial Narrow"/>
              </w:rPr>
            </w:pPr>
            <w:r w:rsidRPr="00B80DCC">
              <w:rPr>
                <w:rFonts w:ascii="Arial Narrow" w:hAnsi="Arial Narrow"/>
              </w:rPr>
              <w:t>8.0 (6.7, 9.8)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5A3B" w:rsidRPr="006A083B" w:rsidRDefault="00B65A3B" w:rsidP="00EA66F5">
            <w:pPr>
              <w:keepNext/>
              <w:keepLines/>
              <w:jc w:val="left"/>
              <w:rPr>
                <w:rFonts w:ascii="Arial Narrow" w:hAnsi="Arial Narrow" w:cstheme="minorBid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5A3B" w:rsidRPr="006A083B" w:rsidRDefault="00B65A3B" w:rsidP="00EA66F5">
            <w:pPr>
              <w:keepNext/>
              <w:keepLines/>
              <w:jc w:val="left"/>
              <w:rPr>
                <w:rFonts w:ascii="Arial Narrow" w:hAnsi="Arial Narrow" w:cstheme="minorBidi"/>
                <w:sz w:val="20"/>
                <w:szCs w:val="20"/>
              </w:rPr>
            </w:pPr>
          </w:p>
        </w:tc>
      </w:tr>
      <w:tr w:rsidR="00B65A3B" w:rsidRPr="00EC6E05" w:rsidTr="00B65A3B">
        <w:trPr>
          <w:trHeight w:val="244"/>
        </w:trPr>
        <w:tc>
          <w:tcPr>
            <w:tcW w:w="740" w:type="pct"/>
            <w:vMerge w:val="restart"/>
            <w:tcBorders>
              <w:top w:val="single" w:sz="4" w:space="0" w:color="auto"/>
              <w:left w:val="single" w:sz="4" w:space="0" w:color="auto"/>
              <w:bottom w:val="single" w:sz="4" w:space="0" w:color="auto"/>
              <w:right w:val="single" w:sz="4" w:space="0" w:color="auto"/>
            </w:tcBorders>
            <w:hideMark/>
          </w:tcPr>
          <w:p w:rsidR="00B65A3B" w:rsidRPr="00B80DCC" w:rsidRDefault="00B65A3B" w:rsidP="00EA66F5">
            <w:pPr>
              <w:pStyle w:val="Tabletext"/>
              <w:keepNext/>
              <w:keepLines/>
            </w:pPr>
            <w:proofErr w:type="spellStart"/>
            <w:r w:rsidRPr="00B80DCC">
              <w:t>CheckMate</w:t>
            </w:r>
            <w:proofErr w:type="spellEnd"/>
            <w:r w:rsidRPr="00B80DCC">
              <w:t xml:space="preserve"> 214 </w:t>
            </w:r>
            <w:r w:rsidRPr="00B80DCC">
              <w:rPr>
                <w:b/>
                <w:bCs/>
                <w:vertAlign w:val="superscript"/>
              </w:rPr>
              <w:t>d</w:t>
            </w:r>
          </w:p>
        </w:tc>
        <w:tc>
          <w:tcPr>
            <w:tcW w:w="784" w:type="pct"/>
            <w:tcBorders>
              <w:top w:val="single" w:sz="4" w:space="0" w:color="auto"/>
              <w:left w:val="single" w:sz="4" w:space="0" w:color="auto"/>
              <w:bottom w:val="single" w:sz="4" w:space="0" w:color="auto"/>
              <w:right w:val="single" w:sz="4" w:space="0" w:color="auto"/>
            </w:tcBorders>
            <w:hideMark/>
          </w:tcPr>
          <w:p w:rsidR="00B65A3B" w:rsidRPr="00B80DCC" w:rsidRDefault="00B65A3B" w:rsidP="00EA66F5">
            <w:pPr>
              <w:pStyle w:val="Tablecentre"/>
              <w:keepNext/>
              <w:keepLines/>
              <w:jc w:val="left"/>
              <w:rPr>
                <w:rFonts w:ascii="Arial Narrow" w:hAnsi="Arial Narrow"/>
              </w:rPr>
            </w:pPr>
            <w:r w:rsidRPr="00B80DCC">
              <w:rPr>
                <w:rFonts w:ascii="Arial Narrow" w:hAnsi="Arial Narrow"/>
              </w:rPr>
              <w:t>NIVO + IPI</w:t>
            </w:r>
          </w:p>
        </w:tc>
        <w:tc>
          <w:tcPr>
            <w:tcW w:w="991" w:type="pct"/>
            <w:tcBorders>
              <w:top w:val="single" w:sz="4" w:space="0" w:color="auto"/>
              <w:left w:val="single" w:sz="4" w:space="0" w:color="auto"/>
              <w:bottom w:val="single" w:sz="4" w:space="0" w:color="auto"/>
              <w:right w:val="single" w:sz="4" w:space="0" w:color="auto"/>
            </w:tcBorders>
            <w:hideMark/>
          </w:tcPr>
          <w:p w:rsidR="00B65A3B" w:rsidRPr="00B80DCC" w:rsidRDefault="00B65A3B" w:rsidP="00EA66F5">
            <w:pPr>
              <w:pStyle w:val="Tablecentre"/>
              <w:keepNext/>
              <w:keepLines/>
              <w:rPr>
                <w:rFonts w:ascii="Arial Narrow" w:hAnsi="Arial Narrow"/>
              </w:rPr>
            </w:pPr>
            <w:r w:rsidRPr="00B80DCC">
              <w:rPr>
                <w:rFonts w:ascii="Arial Narrow" w:hAnsi="Arial Narrow"/>
              </w:rPr>
              <w:t>NR/425</w:t>
            </w:r>
          </w:p>
        </w:tc>
        <w:tc>
          <w:tcPr>
            <w:tcW w:w="1035" w:type="pct"/>
            <w:tcBorders>
              <w:top w:val="single" w:sz="4" w:space="0" w:color="auto"/>
              <w:left w:val="single" w:sz="4" w:space="0" w:color="auto"/>
              <w:bottom w:val="single" w:sz="4" w:space="0" w:color="auto"/>
              <w:right w:val="single" w:sz="4" w:space="0" w:color="auto"/>
            </w:tcBorders>
            <w:hideMark/>
          </w:tcPr>
          <w:p w:rsidR="00B65A3B" w:rsidRPr="00B80DCC" w:rsidRDefault="00B65A3B" w:rsidP="00EA66F5">
            <w:pPr>
              <w:pStyle w:val="Tablecentre"/>
              <w:keepNext/>
              <w:keepLines/>
              <w:rPr>
                <w:rFonts w:ascii="Arial Narrow" w:hAnsi="Arial Narrow"/>
              </w:rPr>
            </w:pPr>
            <w:r w:rsidRPr="00B80DCC">
              <w:rPr>
                <w:rFonts w:ascii="Arial Narrow" w:hAnsi="Arial Narrow"/>
              </w:rPr>
              <w:t>11.6 (8.7, 15.5)</w:t>
            </w:r>
          </w:p>
        </w:tc>
        <w:tc>
          <w:tcPr>
            <w:tcW w:w="704" w:type="pct"/>
            <w:vMerge w:val="restart"/>
            <w:tcBorders>
              <w:top w:val="single" w:sz="4" w:space="0" w:color="auto"/>
              <w:left w:val="single" w:sz="4" w:space="0" w:color="auto"/>
              <w:bottom w:val="single" w:sz="4" w:space="0" w:color="auto"/>
              <w:right w:val="single" w:sz="4" w:space="0" w:color="auto"/>
            </w:tcBorders>
            <w:hideMark/>
          </w:tcPr>
          <w:p w:rsidR="00B65A3B" w:rsidRPr="006A083B" w:rsidRDefault="006A083B" w:rsidP="00EA66F5">
            <w:pPr>
              <w:pStyle w:val="Tablecentre"/>
              <w:keepNext/>
              <w:keepLines/>
              <w:rPr>
                <w:rFonts w:ascii="Arial Narrow" w:hAnsi="Arial Narrow"/>
              </w:rPr>
            </w:pPr>
            <w:r>
              <w:rPr>
                <w:rFonts w:ascii="Arial Narrow" w:hAnsi="Arial Narrow"/>
                <w:b/>
                <w:noProof/>
                <w:color w:val="000000"/>
                <w:highlight w:val="black"/>
              </w:rPr>
              <w:t>'''''''' ''''''''''' '''''''''''</w:t>
            </w:r>
            <w:r>
              <w:rPr>
                <w:rFonts w:ascii="Arial Narrow" w:hAnsi="Arial Narrow"/>
                <w:noProof/>
                <w:color w:val="000000"/>
                <w:highlight w:val="black"/>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5A3B" w:rsidRPr="006A083B" w:rsidRDefault="00B65A3B" w:rsidP="00EA66F5">
            <w:pPr>
              <w:keepNext/>
              <w:keepLines/>
              <w:jc w:val="left"/>
              <w:rPr>
                <w:rFonts w:ascii="Arial Narrow" w:hAnsi="Arial Narrow" w:cstheme="minorBidi"/>
                <w:sz w:val="20"/>
                <w:szCs w:val="20"/>
              </w:rPr>
            </w:pPr>
          </w:p>
        </w:tc>
      </w:tr>
      <w:tr w:rsidR="00B65A3B" w:rsidRPr="00EC6E05" w:rsidTr="00B65A3B">
        <w:trPr>
          <w:trHeight w:val="2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5A3B" w:rsidRPr="00B80DCC" w:rsidRDefault="00B65A3B" w:rsidP="00EA66F5">
            <w:pPr>
              <w:keepNext/>
              <w:keepLines/>
              <w:jc w:val="left"/>
              <w:rPr>
                <w:rFonts w:ascii="Arial Narrow" w:hAnsi="Arial Narrow" w:cs="Times New Roman"/>
                <w:sz w:val="20"/>
              </w:rPr>
            </w:pPr>
          </w:p>
        </w:tc>
        <w:tc>
          <w:tcPr>
            <w:tcW w:w="784" w:type="pct"/>
            <w:tcBorders>
              <w:top w:val="single" w:sz="4" w:space="0" w:color="auto"/>
              <w:left w:val="single" w:sz="4" w:space="0" w:color="auto"/>
              <w:bottom w:val="single" w:sz="4" w:space="0" w:color="auto"/>
              <w:right w:val="single" w:sz="4" w:space="0" w:color="auto"/>
            </w:tcBorders>
            <w:hideMark/>
          </w:tcPr>
          <w:p w:rsidR="00B65A3B" w:rsidRPr="00B80DCC" w:rsidRDefault="00B65A3B" w:rsidP="00EA66F5">
            <w:pPr>
              <w:pStyle w:val="Tablecentre"/>
              <w:keepNext/>
              <w:keepLines/>
              <w:jc w:val="left"/>
              <w:rPr>
                <w:rFonts w:ascii="Arial Narrow" w:hAnsi="Arial Narrow"/>
              </w:rPr>
            </w:pPr>
            <w:r w:rsidRPr="00B80DCC">
              <w:rPr>
                <w:rFonts w:ascii="Arial Narrow" w:hAnsi="Arial Narrow"/>
              </w:rPr>
              <w:t>SUN</w:t>
            </w:r>
          </w:p>
        </w:tc>
        <w:tc>
          <w:tcPr>
            <w:tcW w:w="991" w:type="pct"/>
            <w:tcBorders>
              <w:top w:val="single" w:sz="4" w:space="0" w:color="auto"/>
              <w:left w:val="single" w:sz="4" w:space="0" w:color="auto"/>
              <w:bottom w:val="single" w:sz="4" w:space="0" w:color="auto"/>
              <w:right w:val="single" w:sz="4" w:space="0" w:color="auto"/>
            </w:tcBorders>
            <w:hideMark/>
          </w:tcPr>
          <w:p w:rsidR="00B65A3B" w:rsidRPr="00B80DCC" w:rsidRDefault="00B65A3B" w:rsidP="00EA66F5">
            <w:pPr>
              <w:pStyle w:val="Tablecentre"/>
              <w:keepNext/>
              <w:keepLines/>
              <w:rPr>
                <w:rFonts w:ascii="Arial Narrow" w:hAnsi="Arial Narrow"/>
              </w:rPr>
            </w:pPr>
            <w:r w:rsidRPr="00B80DCC">
              <w:rPr>
                <w:rFonts w:ascii="Arial Narrow" w:hAnsi="Arial Narrow"/>
              </w:rPr>
              <w:t>NR/422</w:t>
            </w:r>
          </w:p>
        </w:tc>
        <w:tc>
          <w:tcPr>
            <w:tcW w:w="1035" w:type="pct"/>
            <w:tcBorders>
              <w:top w:val="single" w:sz="4" w:space="0" w:color="auto"/>
              <w:left w:val="single" w:sz="4" w:space="0" w:color="auto"/>
              <w:bottom w:val="single" w:sz="4" w:space="0" w:color="auto"/>
              <w:right w:val="single" w:sz="4" w:space="0" w:color="auto"/>
            </w:tcBorders>
            <w:hideMark/>
          </w:tcPr>
          <w:p w:rsidR="00B65A3B" w:rsidRPr="00B80DCC" w:rsidRDefault="00B65A3B" w:rsidP="00EA66F5">
            <w:pPr>
              <w:pStyle w:val="Tablecentre"/>
              <w:keepNext/>
              <w:keepLines/>
              <w:rPr>
                <w:rFonts w:ascii="Arial Narrow" w:hAnsi="Arial Narrow"/>
              </w:rPr>
            </w:pPr>
            <w:r w:rsidRPr="00B80DCC">
              <w:rPr>
                <w:rFonts w:ascii="Arial Narrow" w:hAnsi="Arial Narrow"/>
              </w:rPr>
              <w:t>8.4 (7.0, 10.8)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5A3B" w:rsidRPr="00B80DCC" w:rsidRDefault="00B65A3B" w:rsidP="00EA66F5">
            <w:pPr>
              <w:keepNext/>
              <w:keepLines/>
              <w:jc w:val="left"/>
              <w:rPr>
                <w:rFonts w:ascii="Arial Narrow" w:hAnsi="Arial Narrow" w:cstheme="minorBid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5A3B" w:rsidRPr="00B80DCC" w:rsidRDefault="00B65A3B" w:rsidP="00EA66F5">
            <w:pPr>
              <w:keepNext/>
              <w:keepLines/>
              <w:jc w:val="left"/>
              <w:rPr>
                <w:rFonts w:ascii="Arial Narrow" w:hAnsi="Arial Narrow" w:cstheme="minorBidi"/>
                <w:sz w:val="20"/>
                <w:szCs w:val="20"/>
              </w:rPr>
            </w:pPr>
          </w:p>
        </w:tc>
      </w:tr>
      <w:tr w:rsidR="00B65A3B" w:rsidRPr="00EC6E05" w:rsidTr="00B65A3B">
        <w:trPr>
          <w:trHeight w:val="314"/>
        </w:trPr>
        <w:tc>
          <w:tcPr>
            <w:tcW w:w="5000" w:type="pct"/>
            <w:gridSpan w:val="6"/>
            <w:tcBorders>
              <w:top w:val="single" w:sz="4" w:space="0" w:color="auto"/>
              <w:left w:val="single" w:sz="4" w:space="0" w:color="auto"/>
              <w:bottom w:val="single" w:sz="4" w:space="0" w:color="auto"/>
              <w:right w:val="single" w:sz="4" w:space="0" w:color="auto"/>
            </w:tcBorders>
            <w:hideMark/>
          </w:tcPr>
          <w:p w:rsidR="00B65A3B" w:rsidRPr="00B80DCC" w:rsidRDefault="00B65A3B" w:rsidP="00EA66F5">
            <w:pPr>
              <w:pStyle w:val="Tablecentre"/>
              <w:keepNext/>
              <w:keepLines/>
              <w:jc w:val="left"/>
              <w:rPr>
                <w:rFonts w:ascii="Arial Narrow" w:hAnsi="Arial Narrow"/>
                <w:b/>
                <w:bCs/>
              </w:rPr>
            </w:pPr>
            <w:r w:rsidRPr="00B80DCC">
              <w:rPr>
                <w:rFonts w:ascii="Arial Narrow" w:hAnsi="Arial Narrow"/>
                <w:b/>
                <w:bCs/>
              </w:rPr>
              <w:t>Intermediate or poor IMDC risk versus intermediate or poor IMDC risk</w:t>
            </w:r>
          </w:p>
        </w:tc>
      </w:tr>
      <w:tr w:rsidR="00B65A3B" w:rsidRPr="00EC6E05" w:rsidTr="00B65A3B">
        <w:trPr>
          <w:trHeight w:val="244"/>
        </w:trPr>
        <w:tc>
          <w:tcPr>
            <w:tcW w:w="740" w:type="pct"/>
            <w:vMerge w:val="restart"/>
            <w:tcBorders>
              <w:top w:val="single" w:sz="4" w:space="0" w:color="auto"/>
              <w:left w:val="single" w:sz="4" w:space="0" w:color="auto"/>
              <w:bottom w:val="single" w:sz="4" w:space="0" w:color="auto"/>
              <w:right w:val="single" w:sz="4" w:space="0" w:color="auto"/>
            </w:tcBorders>
            <w:hideMark/>
          </w:tcPr>
          <w:p w:rsidR="00B65A3B" w:rsidRPr="00B80DCC" w:rsidRDefault="00B65A3B" w:rsidP="00EA66F5">
            <w:pPr>
              <w:pStyle w:val="Tabletext"/>
              <w:keepNext/>
              <w:keepLines/>
            </w:pPr>
            <w:r w:rsidRPr="00B80DCC">
              <w:t>JAVELIN</w:t>
            </w:r>
            <w:r w:rsidRPr="00B80DCC">
              <w:rPr>
                <w:b/>
                <w:bCs/>
                <w:vertAlign w:val="superscript"/>
              </w:rPr>
              <w:t xml:space="preserve"> c</w:t>
            </w:r>
          </w:p>
        </w:tc>
        <w:tc>
          <w:tcPr>
            <w:tcW w:w="784" w:type="pct"/>
            <w:tcBorders>
              <w:top w:val="single" w:sz="4" w:space="0" w:color="auto"/>
              <w:left w:val="single" w:sz="4" w:space="0" w:color="auto"/>
              <w:bottom w:val="single" w:sz="4" w:space="0" w:color="auto"/>
              <w:right w:val="single" w:sz="4" w:space="0" w:color="auto"/>
            </w:tcBorders>
            <w:hideMark/>
          </w:tcPr>
          <w:p w:rsidR="00B65A3B" w:rsidRPr="00B80DCC" w:rsidRDefault="00B65A3B" w:rsidP="00EA66F5">
            <w:pPr>
              <w:pStyle w:val="Tablecentre"/>
              <w:keepNext/>
              <w:keepLines/>
              <w:jc w:val="left"/>
              <w:rPr>
                <w:rFonts w:ascii="Arial Narrow" w:hAnsi="Arial Narrow"/>
              </w:rPr>
            </w:pPr>
            <w:r w:rsidRPr="00B80DCC">
              <w:rPr>
                <w:rFonts w:ascii="Arial Narrow" w:hAnsi="Arial Narrow"/>
              </w:rPr>
              <w:t>AVE + AXI</w:t>
            </w:r>
          </w:p>
        </w:tc>
        <w:tc>
          <w:tcPr>
            <w:tcW w:w="991" w:type="pct"/>
            <w:tcBorders>
              <w:top w:val="single" w:sz="4" w:space="0" w:color="auto"/>
              <w:left w:val="single" w:sz="4" w:space="0" w:color="auto"/>
              <w:bottom w:val="single" w:sz="4" w:space="0" w:color="auto"/>
              <w:right w:val="single" w:sz="4" w:space="0" w:color="auto"/>
            </w:tcBorders>
            <w:hideMark/>
          </w:tcPr>
          <w:p w:rsidR="00B65A3B" w:rsidRPr="006A083B" w:rsidRDefault="006A083B" w:rsidP="00EA66F5">
            <w:pPr>
              <w:pStyle w:val="Tablecentre"/>
              <w:keepNext/>
              <w:keepLines/>
              <w:rPr>
                <w:rFonts w:ascii="Arial Narrow" w:hAnsi="Arial Narrow"/>
                <w:highlight w:val="black"/>
              </w:rPr>
            </w:pPr>
            <w:r>
              <w:rPr>
                <w:rFonts w:ascii="Arial Narrow" w:hAnsi="Arial Narrow"/>
                <w:noProof/>
                <w:color w:val="000000"/>
                <w:highlight w:val="black"/>
              </w:rPr>
              <w:t>'''''''''''''''''' ''''''''''''''</w:t>
            </w:r>
          </w:p>
        </w:tc>
        <w:tc>
          <w:tcPr>
            <w:tcW w:w="1035" w:type="pct"/>
            <w:tcBorders>
              <w:top w:val="single" w:sz="4" w:space="0" w:color="auto"/>
              <w:left w:val="single" w:sz="4" w:space="0" w:color="auto"/>
              <w:bottom w:val="single" w:sz="4" w:space="0" w:color="auto"/>
              <w:right w:val="single" w:sz="4" w:space="0" w:color="auto"/>
            </w:tcBorders>
            <w:hideMark/>
          </w:tcPr>
          <w:p w:rsidR="00B65A3B" w:rsidRPr="006A083B" w:rsidRDefault="006A083B" w:rsidP="00EA66F5">
            <w:pPr>
              <w:pStyle w:val="Tablecentre"/>
              <w:keepNext/>
              <w:keepLines/>
              <w:rPr>
                <w:rFonts w:ascii="Arial Narrow" w:hAnsi="Arial Narrow"/>
                <w:highlight w:val="black"/>
              </w:rPr>
            </w:pPr>
            <w:r>
              <w:rPr>
                <w:rFonts w:ascii="Arial Narrow" w:hAnsi="Arial Narrow"/>
                <w:noProof/>
                <w:color w:val="000000"/>
                <w:highlight w:val="black"/>
              </w:rPr>
              <w:t>''''''' '''''''''''' '''''''''''</w:t>
            </w:r>
          </w:p>
        </w:tc>
        <w:tc>
          <w:tcPr>
            <w:tcW w:w="704" w:type="pct"/>
            <w:vMerge w:val="restart"/>
            <w:tcBorders>
              <w:top w:val="single" w:sz="4" w:space="0" w:color="auto"/>
              <w:left w:val="single" w:sz="4" w:space="0" w:color="auto"/>
              <w:bottom w:val="single" w:sz="4" w:space="0" w:color="auto"/>
              <w:right w:val="single" w:sz="4" w:space="0" w:color="auto"/>
            </w:tcBorders>
            <w:hideMark/>
          </w:tcPr>
          <w:p w:rsidR="00B65A3B" w:rsidRPr="006A083B" w:rsidRDefault="006A083B" w:rsidP="00EA66F5">
            <w:pPr>
              <w:pStyle w:val="Tablecentre"/>
              <w:keepNext/>
              <w:keepLines/>
              <w:rPr>
                <w:rFonts w:ascii="Arial Narrow" w:hAnsi="Arial Narrow"/>
                <w:b/>
                <w:highlight w:val="black"/>
              </w:rPr>
            </w:pPr>
            <w:r>
              <w:rPr>
                <w:rFonts w:ascii="Arial Narrow" w:hAnsi="Arial Narrow"/>
                <w:b/>
                <w:noProof/>
                <w:color w:val="000000"/>
                <w:highlight w:val="black"/>
              </w:rPr>
              <w:t>''''''''' '''''''''' '''''''''''</w:t>
            </w:r>
          </w:p>
        </w:tc>
        <w:tc>
          <w:tcPr>
            <w:tcW w:w="746" w:type="pct"/>
            <w:vMerge w:val="restart"/>
            <w:tcBorders>
              <w:top w:val="single" w:sz="4" w:space="0" w:color="auto"/>
              <w:left w:val="single" w:sz="4" w:space="0" w:color="auto"/>
              <w:bottom w:val="single" w:sz="4" w:space="0" w:color="auto"/>
              <w:right w:val="single" w:sz="4" w:space="0" w:color="auto"/>
            </w:tcBorders>
            <w:hideMark/>
          </w:tcPr>
          <w:p w:rsidR="00B65A3B" w:rsidRPr="006A083B" w:rsidRDefault="006A083B" w:rsidP="00EA66F5">
            <w:pPr>
              <w:pStyle w:val="Tablecentre"/>
              <w:keepNext/>
              <w:keepLines/>
              <w:rPr>
                <w:rFonts w:ascii="Arial Narrow" w:hAnsi="Arial Narrow"/>
                <w:i/>
                <w:highlight w:val="black"/>
              </w:rPr>
            </w:pPr>
            <w:r>
              <w:rPr>
                <w:rFonts w:ascii="Arial Narrow" w:hAnsi="Arial Narrow"/>
                <w:i/>
                <w:noProof/>
                <w:color w:val="000000"/>
                <w:highlight w:val="black"/>
              </w:rPr>
              <w:t>'''''''''' ''''''''''''' '''''''''''''</w:t>
            </w:r>
          </w:p>
          <w:p w:rsidR="00B65A3B" w:rsidRPr="006A083B" w:rsidRDefault="006A083B" w:rsidP="00EA66F5">
            <w:pPr>
              <w:pStyle w:val="Tablecentre"/>
              <w:keepNext/>
              <w:keepLines/>
              <w:rPr>
                <w:rFonts w:ascii="Arial Narrow" w:hAnsi="Arial Narrow"/>
                <w:highlight w:val="black"/>
              </w:rPr>
            </w:pPr>
            <w:r>
              <w:rPr>
                <w:rFonts w:ascii="Arial Narrow" w:hAnsi="Arial Narrow"/>
                <w:i/>
                <w:noProof/>
                <w:color w:val="000000"/>
                <w:highlight w:val="black"/>
              </w:rPr>
              <w:t>'''' ''' '''''''''''''''''</w:t>
            </w:r>
          </w:p>
        </w:tc>
      </w:tr>
      <w:tr w:rsidR="00B65A3B" w:rsidRPr="00EC6E05" w:rsidTr="00B65A3B">
        <w:trPr>
          <w:trHeight w:val="2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5A3B" w:rsidRPr="00B80DCC" w:rsidRDefault="00B65A3B" w:rsidP="00EA66F5">
            <w:pPr>
              <w:keepNext/>
              <w:keepLines/>
              <w:jc w:val="left"/>
              <w:rPr>
                <w:rFonts w:ascii="Arial Narrow" w:hAnsi="Arial Narrow" w:cs="Times New Roman"/>
                <w:sz w:val="20"/>
              </w:rPr>
            </w:pPr>
          </w:p>
        </w:tc>
        <w:tc>
          <w:tcPr>
            <w:tcW w:w="784" w:type="pct"/>
            <w:tcBorders>
              <w:top w:val="single" w:sz="4" w:space="0" w:color="auto"/>
              <w:left w:val="single" w:sz="4" w:space="0" w:color="auto"/>
              <w:bottom w:val="single" w:sz="4" w:space="0" w:color="auto"/>
              <w:right w:val="single" w:sz="4" w:space="0" w:color="auto"/>
            </w:tcBorders>
            <w:hideMark/>
          </w:tcPr>
          <w:p w:rsidR="00B65A3B" w:rsidRPr="00B80DCC" w:rsidRDefault="00B65A3B" w:rsidP="00EA66F5">
            <w:pPr>
              <w:pStyle w:val="Tablecentre"/>
              <w:keepNext/>
              <w:keepLines/>
              <w:jc w:val="left"/>
              <w:rPr>
                <w:rFonts w:ascii="Arial Narrow" w:hAnsi="Arial Narrow"/>
              </w:rPr>
            </w:pPr>
            <w:r w:rsidRPr="00B80DCC">
              <w:rPr>
                <w:rFonts w:ascii="Arial Narrow" w:hAnsi="Arial Narrow"/>
              </w:rPr>
              <w:t>SUN</w:t>
            </w:r>
          </w:p>
        </w:tc>
        <w:tc>
          <w:tcPr>
            <w:tcW w:w="991" w:type="pct"/>
            <w:tcBorders>
              <w:top w:val="single" w:sz="4" w:space="0" w:color="auto"/>
              <w:left w:val="single" w:sz="4" w:space="0" w:color="auto"/>
              <w:bottom w:val="single" w:sz="4" w:space="0" w:color="auto"/>
              <w:right w:val="single" w:sz="4" w:space="0" w:color="auto"/>
            </w:tcBorders>
            <w:hideMark/>
          </w:tcPr>
          <w:p w:rsidR="00B65A3B" w:rsidRPr="006A083B" w:rsidRDefault="006A083B" w:rsidP="00EA66F5">
            <w:pPr>
              <w:pStyle w:val="Tablecentre"/>
              <w:keepNext/>
              <w:keepLines/>
              <w:rPr>
                <w:rFonts w:ascii="Arial Narrow" w:hAnsi="Arial Narrow"/>
                <w:highlight w:val="black"/>
              </w:rPr>
            </w:pPr>
            <w:r>
              <w:rPr>
                <w:rFonts w:ascii="Arial Narrow" w:hAnsi="Arial Narrow"/>
                <w:noProof/>
                <w:color w:val="000000"/>
                <w:highlight w:val="black"/>
              </w:rPr>
              <w:t>''''''''''''''''''' '''''''''''''''</w:t>
            </w:r>
          </w:p>
        </w:tc>
        <w:tc>
          <w:tcPr>
            <w:tcW w:w="1035" w:type="pct"/>
            <w:tcBorders>
              <w:top w:val="single" w:sz="4" w:space="0" w:color="auto"/>
              <w:left w:val="single" w:sz="4" w:space="0" w:color="auto"/>
              <w:bottom w:val="single" w:sz="4" w:space="0" w:color="auto"/>
              <w:right w:val="single" w:sz="4" w:space="0" w:color="auto"/>
            </w:tcBorders>
            <w:hideMark/>
          </w:tcPr>
          <w:p w:rsidR="00B65A3B" w:rsidRPr="006A083B" w:rsidRDefault="006A083B" w:rsidP="00EA66F5">
            <w:pPr>
              <w:pStyle w:val="Tablecentre"/>
              <w:keepNext/>
              <w:keepLines/>
              <w:rPr>
                <w:rFonts w:ascii="Arial Narrow" w:hAnsi="Arial Narrow"/>
                <w:highlight w:val="black"/>
              </w:rPr>
            </w:pPr>
            <w:r>
              <w:rPr>
                <w:rFonts w:ascii="Arial Narrow" w:hAnsi="Arial Narrow"/>
                <w:noProof/>
                <w:color w:val="000000"/>
                <w:highlight w:val="black"/>
              </w:rPr>
              <w:t>'''''''' ''''''''''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5A3B" w:rsidRPr="006A083B" w:rsidRDefault="00B65A3B" w:rsidP="00EA66F5">
            <w:pPr>
              <w:keepNext/>
              <w:keepLines/>
              <w:jc w:val="left"/>
              <w:rPr>
                <w:rFonts w:ascii="Arial Narrow" w:hAnsi="Arial Narrow" w:cstheme="minorBid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5A3B" w:rsidRPr="006A083B" w:rsidRDefault="00B65A3B" w:rsidP="00EA66F5">
            <w:pPr>
              <w:keepNext/>
              <w:keepLines/>
              <w:jc w:val="left"/>
              <w:rPr>
                <w:rFonts w:ascii="Arial Narrow" w:hAnsi="Arial Narrow" w:cstheme="minorBidi"/>
                <w:sz w:val="20"/>
                <w:szCs w:val="20"/>
              </w:rPr>
            </w:pPr>
          </w:p>
        </w:tc>
      </w:tr>
      <w:tr w:rsidR="00B65A3B" w:rsidRPr="00EC6E05" w:rsidTr="00B65A3B">
        <w:trPr>
          <w:trHeight w:val="244"/>
        </w:trPr>
        <w:tc>
          <w:tcPr>
            <w:tcW w:w="740" w:type="pct"/>
            <w:vMerge w:val="restart"/>
            <w:tcBorders>
              <w:top w:val="single" w:sz="4" w:space="0" w:color="auto"/>
              <w:left w:val="single" w:sz="4" w:space="0" w:color="auto"/>
              <w:bottom w:val="single" w:sz="4" w:space="0" w:color="auto"/>
              <w:right w:val="single" w:sz="4" w:space="0" w:color="auto"/>
            </w:tcBorders>
            <w:hideMark/>
          </w:tcPr>
          <w:p w:rsidR="00B65A3B" w:rsidRPr="00B80DCC" w:rsidRDefault="00B65A3B" w:rsidP="00EA66F5">
            <w:pPr>
              <w:pStyle w:val="Tabletext"/>
              <w:keepNext/>
              <w:keepLines/>
            </w:pPr>
            <w:proofErr w:type="spellStart"/>
            <w:r w:rsidRPr="00B80DCC">
              <w:t>CheckMate</w:t>
            </w:r>
            <w:proofErr w:type="spellEnd"/>
            <w:r w:rsidRPr="00B80DCC">
              <w:t xml:space="preserve"> 214 </w:t>
            </w:r>
            <w:r w:rsidRPr="00B80DCC">
              <w:rPr>
                <w:b/>
                <w:bCs/>
                <w:vertAlign w:val="superscript"/>
              </w:rPr>
              <w:t>d</w:t>
            </w:r>
          </w:p>
        </w:tc>
        <w:tc>
          <w:tcPr>
            <w:tcW w:w="784" w:type="pct"/>
            <w:tcBorders>
              <w:top w:val="single" w:sz="4" w:space="0" w:color="auto"/>
              <w:left w:val="single" w:sz="4" w:space="0" w:color="auto"/>
              <w:bottom w:val="single" w:sz="4" w:space="0" w:color="auto"/>
              <w:right w:val="single" w:sz="4" w:space="0" w:color="auto"/>
            </w:tcBorders>
            <w:hideMark/>
          </w:tcPr>
          <w:p w:rsidR="00B65A3B" w:rsidRPr="00B80DCC" w:rsidRDefault="00B65A3B" w:rsidP="00EA66F5">
            <w:pPr>
              <w:pStyle w:val="Tablecentre"/>
              <w:keepNext/>
              <w:keepLines/>
              <w:jc w:val="left"/>
              <w:rPr>
                <w:rFonts w:ascii="Arial Narrow" w:hAnsi="Arial Narrow"/>
              </w:rPr>
            </w:pPr>
            <w:r w:rsidRPr="00B80DCC">
              <w:rPr>
                <w:rFonts w:ascii="Arial Narrow" w:hAnsi="Arial Narrow"/>
              </w:rPr>
              <w:t>NIVO + IPI</w:t>
            </w:r>
          </w:p>
        </w:tc>
        <w:tc>
          <w:tcPr>
            <w:tcW w:w="991" w:type="pct"/>
            <w:tcBorders>
              <w:top w:val="single" w:sz="4" w:space="0" w:color="auto"/>
              <w:left w:val="single" w:sz="4" w:space="0" w:color="auto"/>
              <w:bottom w:val="single" w:sz="4" w:space="0" w:color="auto"/>
              <w:right w:val="single" w:sz="4" w:space="0" w:color="auto"/>
            </w:tcBorders>
            <w:hideMark/>
          </w:tcPr>
          <w:p w:rsidR="00B65A3B" w:rsidRPr="006A083B" w:rsidRDefault="006A083B" w:rsidP="00EA66F5">
            <w:pPr>
              <w:pStyle w:val="Tablecentre"/>
              <w:keepNext/>
              <w:keepLines/>
              <w:rPr>
                <w:rFonts w:ascii="Arial Narrow" w:hAnsi="Arial Narrow"/>
                <w:highlight w:val="black"/>
              </w:rPr>
            </w:pPr>
            <w:r>
              <w:rPr>
                <w:rFonts w:ascii="Arial Narrow" w:hAnsi="Arial Narrow"/>
                <w:noProof/>
                <w:color w:val="000000"/>
                <w:highlight w:val="black"/>
              </w:rPr>
              <w:t>'''''''''''''''''</w:t>
            </w:r>
          </w:p>
        </w:tc>
        <w:tc>
          <w:tcPr>
            <w:tcW w:w="1035" w:type="pct"/>
            <w:tcBorders>
              <w:top w:val="single" w:sz="4" w:space="0" w:color="auto"/>
              <w:left w:val="single" w:sz="4" w:space="0" w:color="auto"/>
              <w:bottom w:val="single" w:sz="4" w:space="0" w:color="auto"/>
              <w:right w:val="single" w:sz="4" w:space="0" w:color="auto"/>
            </w:tcBorders>
            <w:hideMark/>
          </w:tcPr>
          <w:p w:rsidR="00B65A3B" w:rsidRPr="006A083B" w:rsidRDefault="006A083B" w:rsidP="00EA66F5">
            <w:pPr>
              <w:pStyle w:val="Tablecentre"/>
              <w:keepNext/>
              <w:keepLines/>
              <w:rPr>
                <w:rFonts w:ascii="Arial Narrow" w:hAnsi="Arial Narrow"/>
                <w:highlight w:val="black"/>
              </w:rPr>
            </w:pPr>
            <w:r>
              <w:rPr>
                <w:rFonts w:ascii="Arial Narrow" w:hAnsi="Arial Narrow"/>
                <w:noProof/>
                <w:color w:val="000000"/>
                <w:highlight w:val="black"/>
              </w:rPr>
              <w:t>'''''''''''' ''''''''''' ''''''''''''</w:t>
            </w:r>
          </w:p>
        </w:tc>
        <w:tc>
          <w:tcPr>
            <w:tcW w:w="704" w:type="pct"/>
            <w:vMerge w:val="restart"/>
            <w:tcBorders>
              <w:top w:val="single" w:sz="4" w:space="0" w:color="auto"/>
              <w:left w:val="single" w:sz="4" w:space="0" w:color="auto"/>
              <w:bottom w:val="single" w:sz="4" w:space="0" w:color="auto"/>
              <w:right w:val="single" w:sz="4" w:space="0" w:color="auto"/>
            </w:tcBorders>
            <w:hideMark/>
          </w:tcPr>
          <w:p w:rsidR="00B65A3B" w:rsidRPr="006A083B" w:rsidRDefault="006A083B" w:rsidP="00EA66F5">
            <w:pPr>
              <w:pStyle w:val="Tablecentre"/>
              <w:keepNext/>
              <w:keepLines/>
              <w:rPr>
                <w:rFonts w:ascii="Arial Narrow" w:hAnsi="Arial Narrow"/>
              </w:rPr>
            </w:pPr>
            <w:r>
              <w:rPr>
                <w:rFonts w:ascii="Arial Narrow" w:hAnsi="Arial Narrow"/>
                <w:b/>
                <w:noProof/>
                <w:color w:val="000000"/>
                <w:highlight w:val="black"/>
              </w:rPr>
              <w:t>''''''''' '''''''''''' '''''''''''</w:t>
            </w:r>
            <w:r>
              <w:rPr>
                <w:rFonts w:ascii="Arial Narrow" w:hAnsi="Arial Narrow"/>
                <w:noProof/>
                <w:color w:val="000000"/>
                <w:highlight w:val="black"/>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5A3B" w:rsidRPr="006A083B" w:rsidRDefault="00B65A3B" w:rsidP="00EA66F5">
            <w:pPr>
              <w:keepNext/>
              <w:keepLines/>
              <w:jc w:val="left"/>
              <w:rPr>
                <w:rFonts w:ascii="Arial Narrow" w:hAnsi="Arial Narrow" w:cstheme="minorBidi"/>
                <w:sz w:val="20"/>
                <w:szCs w:val="20"/>
              </w:rPr>
            </w:pPr>
          </w:p>
        </w:tc>
      </w:tr>
      <w:tr w:rsidR="00B65A3B" w:rsidRPr="00EC6E05" w:rsidTr="00B65A3B">
        <w:trPr>
          <w:trHeight w:val="2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5A3B" w:rsidRPr="00B80DCC" w:rsidRDefault="00B65A3B" w:rsidP="00EA66F5">
            <w:pPr>
              <w:keepNext/>
              <w:keepLines/>
              <w:jc w:val="left"/>
              <w:rPr>
                <w:rFonts w:ascii="Arial Narrow" w:hAnsi="Arial Narrow" w:cs="Times New Roman"/>
                <w:sz w:val="20"/>
              </w:rPr>
            </w:pPr>
          </w:p>
        </w:tc>
        <w:tc>
          <w:tcPr>
            <w:tcW w:w="784" w:type="pct"/>
            <w:tcBorders>
              <w:top w:val="single" w:sz="4" w:space="0" w:color="auto"/>
              <w:left w:val="single" w:sz="4" w:space="0" w:color="auto"/>
              <w:bottom w:val="single" w:sz="4" w:space="0" w:color="auto"/>
              <w:right w:val="single" w:sz="4" w:space="0" w:color="auto"/>
            </w:tcBorders>
            <w:hideMark/>
          </w:tcPr>
          <w:p w:rsidR="00B65A3B" w:rsidRPr="00B80DCC" w:rsidRDefault="00B65A3B" w:rsidP="00EA66F5">
            <w:pPr>
              <w:pStyle w:val="Tablecentre"/>
              <w:keepNext/>
              <w:keepLines/>
              <w:jc w:val="left"/>
              <w:rPr>
                <w:rFonts w:ascii="Arial Narrow" w:hAnsi="Arial Narrow"/>
              </w:rPr>
            </w:pPr>
            <w:r w:rsidRPr="00B80DCC">
              <w:rPr>
                <w:rFonts w:ascii="Arial Narrow" w:hAnsi="Arial Narrow"/>
              </w:rPr>
              <w:t>SUN</w:t>
            </w:r>
          </w:p>
        </w:tc>
        <w:tc>
          <w:tcPr>
            <w:tcW w:w="991" w:type="pct"/>
            <w:tcBorders>
              <w:top w:val="single" w:sz="4" w:space="0" w:color="auto"/>
              <w:left w:val="single" w:sz="4" w:space="0" w:color="auto"/>
              <w:bottom w:val="single" w:sz="4" w:space="0" w:color="auto"/>
              <w:right w:val="single" w:sz="4" w:space="0" w:color="auto"/>
            </w:tcBorders>
            <w:hideMark/>
          </w:tcPr>
          <w:p w:rsidR="00B65A3B" w:rsidRPr="006A083B" w:rsidRDefault="006A083B" w:rsidP="00EA66F5">
            <w:pPr>
              <w:pStyle w:val="Tablecentre"/>
              <w:keepNext/>
              <w:keepLines/>
              <w:rPr>
                <w:rFonts w:ascii="Arial Narrow" w:hAnsi="Arial Narrow"/>
                <w:highlight w:val="black"/>
              </w:rPr>
            </w:pPr>
            <w:r>
              <w:rPr>
                <w:rFonts w:ascii="Arial Narrow" w:hAnsi="Arial Narrow"/>
                <w:noProof/>
                <w:color w:val="000000"/>
                <w:highlight w:val="black"/>
              </w:rPr>
              <w:t>''''''''''''''''''</w:t>
            </w:r>
          </w:p>
        </w:tc>
        <w:tc>
          <w:tcPr>
            <w:tcW w:w="1035" w:type="pct"/>
            <w:tcBorders>
              <w:top w:val="single" w:sz="4" w:space="0" w:color="auto"/>
              <w:left w:val="single" w:sz="4" w:space="0" w:color="auto"/>
              <w:bottom w:val="single" w:sz="4" w:space="0" w:color="auto"/>
              <w:right w:val="single" w:sz="4" w:space="0" w:color="auto"/>
            </w:tcBorders>
            <w:hideMark/>
          </w:tcPr>
          <w:p w:rsidR="00B65A3B" w:rsidRPr="006A083B" w:rsidRDefault="006A083B" w:rsidP="00EA66F5">
            <w:pPr>
              <w:pStyle w:val="Tablecentre"/>
              <w:keepNext/>
              <w:keepLines/>
              <w:rPr>
                <w:rFonts w:ascii="Arial Narrow" w:hAnsi="Arial Narrow"/>
                <w:highlight w:val="black"/>
              </w:rPr>
            </w:pPr>
            <w:r>
              <w:rPr>
                <w:rFonts w:ascii="Arial Narrow" w:hAnsi="Arial Narrow"/>
                <w:noProof/>
                <w:color w:val="000000"/>
                <w:highlight w:val="black"/>
              </w:rPr>
              <w:t>''''''' '''''''''''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5A3B" w:rsidRPr="006A083B" w:rsidRDefault="00B65A3B" w:rsidP="00EA66F5">
            <w:pPr>
              <w:keepNext/>
              <w:keepLines/>
              <w:jc w:val="left"/>
              <w:rPr>
                <w:rFonts w:ascii="Arial Narrow" w:hAnsi="Arial Narrow" w:cstheme="minorBid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5A3B" w:rsidRPr="006A083B" w:rsidRDefault="00B65A3B" w:rsidP="00EA66F5">
            <w:pPr>
              <w:keepNext/>
              <w:keepLines/>
              <w:jc w:val="left"/>
              <w:rPr>
                <w:rFonts w:ascii="Arial Narrow" w:hAnsi="Arial Narrow" w:cstheme="minorBidi"/>
                <w:sz w:val="20"/>
                <w:szCs w:val="20"/>
              </w:rPr>
            </w:pPr>
          </w:p>
        </w:tc>
      </w:tr>
      <w:tr w:rsidR="00B65A3B" w:rsidRPr="00EC6E05" w:rsidTr="00B65A3B">
        <w:trPr>
          <w:trHeight w:val="244"/>
        </w:trPr>
        <w:tc>
          <w:tcPr>
            <w:tcW w:w="5000" w:type="pct"/>
            <w:gridSpan w:val="6"/>
            <w:tcBorders>
              <w:top w:val="single" w:sz="4" w:space="0" w:color="auto"/>
              <w:left w:val="single" w:sz="4" w:space="0" w:color="auto"/>
              <w:bottom w:val="single" w:sz="4" w:space="0" w:color="auto"/>
              <w:right w:val="single" w:sz="4" w:space="0" w:color="auto"/>
            </w:tcBorders>
            <w:hideMark/>
          </w:tcPr>
          <w:p w:rsidR="00B65A3B" w:rsidRPr="00B80DCC" w:rsidRDefault="00B65A3B" w:rsidP="00EA66F5">
            <w:pPr>
              <w:pStyle w:val="Tablecentre"/>
              <w:keepNext/>
              <w:keepLines/>
              <w:jc w:val="left"/>
              <w:rPr>
                <w:rFonts w:ascii="Arial Narrow" w:hAnsi="Arial Narrow"/>
                <w:b/>
                <w:bCs/>
              </w:rPr>
            </w:pPr>
            <w:r w:rsidRPr="00B80DCC">
              <w:rPr>
                <w:rFonts w:ascii="Arial Narrow" w:hAnsi="Arial Narrow"/>
                <w:b/>
                <w:bCs/>
              </w:rPr>
              <w:t xml:space="preserve">ITT population versus ITT population </w:t>
            </w:r>
            <w:r w:rsidRPr="00B80DCC">
              <w:rPr>
                <w:rFonts w:ascii="Arial Narrow" w:hAnsi="Arial Narrow"/>
                <w:b/>
                <w:bCs/>
                <w:vertAlign w:val="superscript"/>
              </w:rPr>
              <w:t>b</w:t>
            </w:r>
          </w:p>
        </w:tc>
      </w:tr>
      <w:tr w:rsidR="00B65A3B" w:rsidRPr="00EC6E05" w:rsidTr="00B65A3B">
        <w:trPr>
          <w:trHeight w:val="244"/>
        </w:trPr>
        <w:tc>
          <w:tcPr>
            <w:tcW w:w="740" w:type="pct"/>
            <w:vMerge w:val="restart"/>
            <w:tcBorders>
              <w:top w:val="single" w:sz="4" w:space="0" w:color="auto"/>
              <w:left w:val="single" w:sz="4" w:space="0" w:color="auto"/>
              <w:bottom w:val="single" w:sz="4" w:space="0" w:color="auto"/>
              <w:right w:val="single" w:sz="4" w:space="0" w:color="auto"/>
            </w:tcBorders>
            <w:hideMark/>
          </w:tcPr>
          <w:p w:rsidR="00B65A3B" w:rsidRPr="00B80DCC" w:rsidRDefault="00B65A3B" w:rsidP="00EA66F5">
            <w:pPr>
              <w:pStyle w:val="Tabletext"/>
              <w:keepNext/>
              <w:keepLines/>
            </w:pPr>
            <w:r w:rsidRPr="00B80DCC">
              <w:t>JAVELIN</w:t>
            </w:r>
            <w:r w:rsidRPr="00B80DCC">
              <w:rPr>
                <w:b/>
                <w:bCs/>
                <w:vertAlign w:val="superscript"/>
              </w:rPr>
              <w:t xml:space="preserve"> c</w:t>
            </w:r>
          </w:p>
        </w:tc>
        <w:tc>
          <w:tcPr>
            <w:tcW w:w="784" w:type="pct"/>
            <w:tcBorders>
              <w:top w:val="single" w:sz="4" w:space="0" w:color="auto"/>
              <w:left w:val="single" w:sz="4" w:space="0" w:color="auto"/>
              <w:bottom w:val="single" w:sz="4" w:space="0" w:color="auto"/>
              <w:right w:val="single" w:sz="4" w:space="0" w:color="auto"/>
            </w:tcBorders>
            <w:hideMark/>
          </w:tcPr>
          <w:p w:rsidR="00B65A3B" w:rsidRPr="00B80DCC" w:rsidRDefault="00B65A3B" w:rsidP="00EA66F5">
            <w:pPr>
              <w:pStyle w:val="Tablecentre"/>
              <w:keepNext/>
              <w:keepLines/>
              <w:jc w:val="left"/>
              <w:rPr>
                <w:rFonts w:ascii="Arial Narrow" w:hAnsi="Arial Narrow"/>
              </w:rPr>
            </w:pPr>
            <w:r w:rsidRPr="00B80DCC">
              <w:rPr>
                <w:rFonts w:ascii="Arial Narrow" w:hAnsi="Arial Narrow"/>
              </w:rPr>
              <w:t>AVE + AXI</w:t>
            </w:r>
          </w:p>
        </w:tc>
        <w:tc>
          <w:tcPr>
            <w:tcW w:w="991" w:type="pct"/>
            <w:tcBorders>
              <w:top w:val="single" w:sz="4" w:space="0" w:color="auto"/>
              <w:left w:val="single" w:sz="4" w:space="0" w:color="auto"/>
              <w:bottom w:val="single" w:sz="4" w:space="0" w:color="auto"/>
              <w:right w:val="single" w:sz="4" w:space="0" w:color="auto"/>
            </w:tcBorders>
            <w:hideMark/>
          </w:tcPr>
          <w:p w:rsidR="00B65A3B" w:rsidRPr="00B80DCC" w:rsidRDefault="00B65A3B" w:rsidP="00EA66F5">
            <w:pPr>
              <w:pStyle w:val="Tablecentre"/>
              <w:keepNext/>
              <w:keepLines/>
              <w:rPr>
                <w:rFonts w:ascii="Arial Narrow" w:hAnsi="Arial Narrow"/>
              </w:rPr>
            </w:pPr>
            <w:r w:rsidRPr="00B80DCC">
              <w:rPr>
                <w:rFonts w:ascii="Arial Narrow" w:hAnsi="Arial Narrow"/>
              </w:rPr>
              <w:t>229/442 (51.8)</w:t>
            </w:r>
          </w:p>
        </w:tc>
        <w:tc>
          <w:tcPr>
            <w:tcW w:w="1035" w:type="pct"/>
            <w:tcBorders>
              <w:top w:val="single" w:sz="4" w:space="0" w:color="auto"/>
              <w:left w:val="single" w:sz="4" w:space="0" w:color="auto"/>
              <w:bottom w:val="single" w:sz="4" w:space="0" w:color="auto"/>
              <w:right w:val="single" w:sz="4" w:space="0" w:color="auto"/>
            </w:tcBorders>
            <w:hideMark/>
          </w:tcPr>
          <w:p w:rsidR="00B65A3B" w:rsidRPr="00B80DCC" w:rsidRDefault="00B65A3B" w:rsidP="00EA66F5">
            <w:pPr>
              <w:pStyle w:val="Tablecentre"/>
              <w:keepNext/>
              <w:keepLines/>
              <w:rPr>
                <w:rFonts w:ascii="Arial Narrow" w:hAnsi="Arial Narrow"/>
              </w:rPr>
            </w:pPr>
            <w:r w:rsidRPr="00B80DCC">
              <w:rPr>
                <w:rFonts w:ascii="Arial Narrow" w:hAnsi="Arial Narrow"/>
              </w:rPr>
              <w:t>13.3 (11.1, 15.3)</w:t>
            </w:r>
          </w:p>
        </w:tc>
        <w:tc>
          <w:tcPr>
            <w:tcW w:w="704" w:type="pct"/>
            <w:vMerge w:val="restart"/>
            <w:tcBorders>
              <w:top w:val="single" w:sz="4" w:space="0" w:color="auto"/>
              <w:left w:val="single" w:sz="4" w:space="0" w:color="auto"/>
              <w:bottom w:val="single" w:sz="4" w:space="0" w:color="auto"/>
              <w:right w:val="single" w:sz="4" w:space="0" w:color="auto"/>
            </w:tcBorders>
            <w:hideMark/>
          </w:tcPr>
          <w:p w:rsidR="00B65A3B" w:rsidRPr="006A083B" w:rsidRDefault="006A083B" w:rsidP="00EA66F5">
            <w:pPr>
              <w:pStyle w:val="Tablecentre"/>
              <w:keepNext/>
              <w:keepLines/>
              <w:rPr>
                <w:rFonts w:ascii="Arial Narrow" w:hAnsi="Arial Narrow"/>
                <w:b/>
                <w:highlight w:val="black"/>
              </w:rPr>
            </w:pPr>
            <w:r>
              <w:rPr>
                <w:rFonts w:ascii="Arial Narrow" w:hAnsi="Arial Narrow"/>
                <w:b/>
                <w:noProof/>
                <w:color w:val="000000"/>
                <w:highlight w:val="black"/>
              </w:rPr>
              <w:t>''''''''' '''''''''''''' ''''''''''''</w:t>
            </w:r>
          </w:p>
        </w:tc>
        <w:tc>
          <w:tcPr>
            <w:tcW w:w="746" w:type="pct"/>
            <w:vMerge w:val="restart"/>
            <w:tcBorders>
              <w:top w:val="single" w:sz="4" w:space="0" w:color="auto"/>
              <w:left w:val="single" w:sz="4" w:space="0" w:color="auto"/>
              <w:bottom w:val="single" w:sz="4" w:space="0" w:color="auto"/>
              <w:right w:val="single" w:sz="4" w:space="0" w:color="auto"/>
            </w:tcBorders>
            <w:hideMark/>
          </w:tcPr>
          <w:p w:rsidR="00B65A3B" w:rsidRPr="006A083B" w:rsidRDefault="006A083B" w:rsidP="00EA66F5">
            <w:pPr>
              <w:pStyle w:val="Tablecentre"/>
              <w:keepNext/>
              <w:keepLines/>
              <w:rPr>
                <w:rFonts w:ascii="Arial Narrow" w:hAnsi="Arial Narrow"/>
              </w:rPr>
            </w:pPr>
            <w:r>
              <w:rPr>
                <w:rFonts w:ascii="Arial Narrow" w:hAnsi="Arial Narrow"/>
                <w:b/>
                <w:noProof/>
                <w:color w:val="000000"/>
                <w:highlight w:val="black"/>
              </w:rPr>
              <w:t>'''''''' ''''''''''' ''''''''''</w:t>
            </w:r>
            <w:r>
              <w:rPr>
                <w:rFonts w:ascii="Arial Narrow" w:hAnsi="Arial Narrow"/>
                <w:noProof/>
                <w:color w:val="000000"/>
                <w:highlight w:val="black"/>
              </w:rPr>
              <w:t>''</w:t>
            </w:r>
          </w:p>
          <w:p w:rsidR="00B65A3B" w:rsidRPr="006A083B" w:rsidRDefault="006A083B" w:rsidP="00EA66F5">
            <w:pPr>
              <w:pStyle w:val="Tablecentre"/>
              <w:keepNext/>
              <w:keepLines/>
              <w:rPr>
                <w:rFonts w:ascii="Arial Narrow" w:hAnsi="Arial Narrow"/>
                <w:highlight w:val="black"/>
              </w:rPr>
            </w:pPr>
            <w:r>
              <w:rPr>
                <w:rFonts w:ascii="Arial Narrow" w:hAnsi="Arial Narrow"/>
                <w:noProof/>
                <w:color w:val="000000"/>
                <w:highlight w:val="black"/>
              </w:rPr>
              <w:t>''' ''' ''''''''''''''' '''</w:t>
            </w:r>
          </w:p>
        </w:tc>
      </w:tr>
      <w:tr w:rsidR="00B65A3B" w:rsidRPr="00EC6E05" w:rsidTr="00B65A3B">
        <w:trPr>
          <w:trHeight w:val="2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EA66F5">
            <w:pPr>
              <w:keepNext/>
              <w:keepLines/>
              <w:jc w:val="left"/>
              <w:rPr>
                <w:rFonts w:ascii="Arial Narrow" w:hAnsi="Arial Narrow" w:cs="Times New Roman"/>
                <w:sz w:val="20"/>
              </w:rPr>
            </w:pPr>
          </w:p>
        </w:tc>
        <w:tc>
          <w:tcPr>
            <w:tcW w:w="784" w:type="pct"/>
            <w:tcBorders>
              <w:top w:val="single" w:sz="4" w:space="0" w:color="auto"/>
              <w:left w:val="single" w:sz="4" w:space="0" w:color="auto"/>
              <w:bottom w:val="single" w:sz="4" w:space="0" w:color="auto"/>
              <w:right w:val="single" w:sz="4" w:space="0" w:color="auto"/>
            </w:tcBorders>
            <w:hideMark/>
          </w:tcPr>
          <w:p w:rsidR="00B65A3B" w:rsidRPr="00EC6E05" w:rsidRDefault="00B65A3B" w:rsidP="00EA66F5">
            <w:pPr>
              <w:pStyle w:val="Tablecentre"/>
              <w:keepNext/>
              <w:keepLines/>
              <w:jc w:val="left"/>
              <w:rPr>
                <w:rFonts w:ascii="Arial Narrow" w:hAnsi="Arial Narrow"/>
              </w:rPr>
            </w:pPr>
            <w:r w:rsidRPr="00EC6E05">
              <w:rPr>
                <w:rFonts w:ascii="Arial Narrow" w:hAnsi="Arial Narrow"/>
              </w:rPr>
              <w:t>SUN</w:t>
            </w:r>
          </w:p>
        </w:tc>
        <w:tc>
          <w:tcPr>
            <w:tcW w:w="991" w:type="pct"/>
            <w:tcBorders>
              <w:top w:val="single" w:sz="4" w:space="0" w:color="auto"/>
              <w:left w:val="single" w:sz="4" w:space="0" w:color="auto"/>
              <w:bottom w:val="single" w:sz="4" w:space="0" w:color="auto"/>
              <w:right w:val="single" w:sz="4" w:space="0" w:color="auto"/>
            </w:tcBorders>
            <w:hideMark/>
          </w:tcPr>
          <w:p w:rsidR="00B65A3B" w:rsidRPr="00EC6E05" w:rsidRDefault="00B65A3B" w:rsidP="00EA66F5">
            <w:pPr>
              <w:pStyle w:val="Tablecentre"/>
              <w:keepNext/>
              <w:keepLines/>
              <w:rPr>
                <w:rFonts w:ascii="Arial Narrow" w:hAnsi="Arial Narrow"/>
              </w:rPr>
            </w:pPr>
            <w:r w:rsidRPr="00EC6E05">
              <w:rPr>
                <w:rFonts w:ascii="Arial Narrow" w:hAnsi="Arial Narrow"/>
              </w:rPr>
              <w:t>258/444 (58.1)</w:t>
            </w:r>
          </w:p>
        </w:tc>
        <w:tc>
          <w:tcPr>
            <w:tcW w:w="1035" w:type="pct"/>
            <w:tcBorders>
              <w:top w:val="single" w:sz="4" w:space="0" w:color="auto"/>
              <w:left w:val="single" w:sz="4" w:space="0" w:color="auto"/>
              <w:bottom w:val="single" w:sz="4" w:space="0" w:color="auto"/>
              <w:right w:val="single" w:sz="4" w:space="0" w:color="auto"/>
            </w:tcBorders>
            <w:hideMark/>
          </w:tcPr>
          <w:p w:rsidR="00B65A3B" w:rsidRPr="00EC6E05" w:rsidRDefault="00B65A3B" w:rsidP="00EA66F5">
            <w:pPr>
              <w:pStyle w:val="Tablecentre"/>
              <w:keepNext/>
              <w:keepLines/>
              <w:rPr>
                <w:rFonts w:ascii="Arial Narrow" w:hAnsi="Arial Narrow"/>
              </w:rPr>
            </w:pPr>
            <w:r w:rsidRPr="00EC6E05">
              <w:rPr>
                <w:rFonts w:ascii="Arial Narrow" w:hAnsi="Arial Narrow"/>
              </w:rPr>
              <w:t>8.0 (6.7, 9.8)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5A3B" w:rsidRPr="006A083B" w:rsidRDefault="00B65A3B" w:rsidP="00EA66F5">
            <w:pPr>
              <w:keepNext/>
              <w:keepLines/>
              <w:jc w:val="left"/>
              <w:rPr>
                <w:rFonts w:ascii="Arial Narrow" w:hAnsi="Arial Narrow" w:cstheme="minorBidi"/>
                <w:sz w:val="20"/>
                <w:szCs w:val="20"/>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5A3B" w:rsidRPr="006A083B" w:rsidRDefault="00B65A3B" w:rsidP="00EA66F5">
            <w:pPr>
              <w:keepNext/>
              <w:keepLines/>
              <w:jc w:val="left"/>
              <w:rPr>
                <w:rFonts w:ascii="Arial Narrow" w:hAnsi="Arial Narrow" w:cstheme="minorBidi"/>
                <w:sz w:val="20"/>
                <w:szCs w:val="20"/>
              </w:rPr>
            </w:pPr>
          </w:p>
        </w:tc>
      </w:tr>
      <w:tr w:rsidR="00B65A3B" w:rsidRPr="00EC6E05" w:rsidTr="00B65A3B">
        <w:trPr>
          <w:trHeight w:val="244"/>
        </w:trPr>
        <w:tc>
          <w:tcPr>
            <w:tcW w:w="740" w:type="pct"/>
            <w:vMerge w:val="restart"/>
            <w:tcBorders>
              <w:top w:val="single" w:sz="4" w:space="0" w:color="auto"/>
              <w:left w:val="single" w:sz="4" w:space="0" w:color="auto"/>
              <w:bottom w:val="single" w:sz="4" w:space="0" w:color="auto"/>
              <w:right w:val="single" w:sz="4" w:space="0" w:color="auto"/>
            </w:tcBorders>
            <w:hideMark/>
          </w:tcPr>
          <w:p w:rsidR="00B65A3B" w:rsidRPr="00EC6E05" w:rsidRDefault="00B65A3B" w:rsidP="00EA66F5">
            <w:pPr>
              <w:pStyle w:val="Tabletext"/>
              <w:keepNext/>
              <w:keepLines/>
            </w:pPr>
            <w:proofErr w:type="spellStart"/>
            <w:r w:rsidRPr="00EC6E05">
              <w:t>CheckMate</w:t>
            </w:r>
            <w:proofErr w:type="spellEnd"/>
            <w:r w:rsidRPr="00EC6E05">
              <w:t xml:space="preserve"> 214 </w:t>
            </w:r>
            <w:r w:rsidRPr="00EC6E05">
              <w:rPr>
                <w:b/>
                <w:bCs/>
                <w:vertAlign w:val="superscript"/>
              </w:rPr>
              <w:t>d</w:t>
            </w:r>
          </w:p>
        </w:tc>
        <w:tc>
          <w:tcPr>
            <w:tcW w:w="784" w:type="pct"/>
            <w:tcBorders>
              <w:top w:val="single" w:sz="4" w:space="0" w:color="auto"/>
              <w:left w:val="single" w:sz="4" w:space="0" w:color="auto"/>
              <w:bottom w:val="single" w:sz="4" w:space="0" w:color="auto"/>
              <w:right w:val="single" w:sz="4" w:space="0" w:color="auto"/>
            </w:tcBorders>
            <w:hideMark/>
          </w:tcPr>
          <w:p w:rsidR="00B65A3B" w:rsidRPr="00EC6E05" w:rsidRDefault="00B65A3B" w:rsidP="00EA66F5">
            <w:pPr>
              <w:pStyle w:val="Tablecentre"/>
              <w:keepNext/>
              <w:keepLines/>
              <w:jc w:val="left"/>
              <w:rPr>
                <w:rFonts w:ascii="Arial Narrow" w:hAnsi="Arial Narrow"/>
              </w:rPr>
            </w:pPr>
            <w:r w:rsidRPr="00EC6E05">
              <w:rPr>
                <w:rFonts w:ascii="Arial Narrow" w:hAnsi="Arial Narrow"/>
              </w:rPr>
              <w:t>NIVO + IPI</w:t>
            </w:r>
          </w:p>
        </w:tc>
        <w:tc>
          <w:tcPr>
            <w:tcW w:w="991" w:type="pct"/>
            <w:tcBorders>
              <w:top w:val="single" w:sz="4" w:space="0" w:color="auto"/>
              <w:left w:val="single" w:sz="4" w:space="0" w:color="auto"/>
              <w:bottom w:val="single" w:sz="4" w:space="0" w:color="auto"/>
              <w:right w:val="single" w:sz="4" w:space="0" w:color="auto"/>
            </w:tcBorders>
            <w:hideMark/>
          </w:tcPr>
          <w:p w:rsidR="00B65A3B" w:rsidRPr="00EC6E05" w:rsidRDefault="00F73A92" w:rsidP="00EA66F5">
            <w:pPr>
              <w:pStyle w:val="Tablecentre"/>
              <w:keepNext/>
              <w:keepLines/>
              <w:rPr>
                <w:rFonts w:ascii="Arial Narrow" w:hAnsi="Arial Narrow"/>
                <w:iCs/>
              </w:rPr>
            </w:pPr>
            <w:r w:rsidRPr="00EC6E05">
              <w:rPr>
                <w:rFonts w:ascii="Arial Narrow" w:hAnsi="Arial Narrow"/>
                <w:iCs/>
              </w:rPr>
              <w:t>296</w:t>
            </w:r>
            <w:r w:rsidR="00B65A3B" w:rsidRPr="00EC6E05">
              <w:rPr>
                <w:rFonts w:ascii="Arial Narrow" w:hAnsi="Arial Narrow"/>
                <w:iCs/>
              </w:rPr>
              <w:t>/550</w:t>
            </w:r>
            <w:r w:rsidRPr="00EC6E05">
              <w:rPr>
                <w:rFonts w:ascii="Arial Narrow" w:hAnsi="Arial Narrow"/>
                <w:iCs/>
              </w:rPr>
              <w:t xml:space="preserve"> (53.8)</w:t>
            </w:r>
          </w:p>
        </w:tc>
        <w:tc>
          <w:tcPr>
            <w:tcW w:w="1035" w:type="pct"/>
            <w:tcBorders>
              <w:top w:val="single" w:sz="4" w:space="0" w:color="auto"/>
              <w:left w:val="single" w:sz="4" w:space="0" w:color="auto"/>
              <w:bottom w:val="single" w:sz="4" w:space="0" w:color="auto"/>
              <w:right w:val="single" w:sz="4" w:space="0" w:color="auto"/>
            </w:tcBorders>
            <w:hideMark/>
          </w:tcPr>
          <w:p w:rsidR="00B65A3B" w:rsidRPr="00EC6E05" w:rsidRDefault="00B65A3B" w:rsidP="00EA66F5">
            <w:pPr>
              <w:pStyle w:val="Tablecentre"/>
              <w:keepNext/>
              <w:keepLines/>
              <w:rPr>
                <w:rFonts w:ascii="Arial Narrow" w:hAnsi="Arial Narrow"/>
              </w:rPr>
            </w:pPr>
            <w:r w:rsidRPr="00EC6E05">
              <w:rPr>
                <w:rFonts w:ascii="Arial Narrow" w:hAnsi="Arial Narrow"/>
              </w:rPr>
              <w:t>12.4 (9.9, 16.5)</w:t>
            </w:r>
          </w:p>
        </w:tc>
        <w:tc>
          <w:tcPr>
            <w:tcW w:w="704" w:type="pct"/>
            <w:vMerge w:val="restart"/>
            <w:tcBorders>
              <w:top w:val="single" w:sz="4" w:space="0" w:color="auto"/>
              <w:left w:val="single" w:sz="4" w:space="0" w:color="auto"/>
              <w:bottom w:val="single" w:sz="4" w:space="0" w:color="auto"/>
              <w:right w:val="single" w:sz="4" w:space="0" w:color="auto"/>
            </w:tcBorders>
            <w:hideMark/>
          </w:tcPr>
          <w:p w:rsidR="00B65A3B" w:rsidRPr="006A083B" w:rsidRDefault="006A083B" w:rsidP="00EA66F5">
            <w:pPr>
              <w:pStyle w:val="Tablecentre"/>
              <w:keepNext/>
              <w:keepLines/>
              <w:rPr>
                <w:rFonts w:ascii="Arial Narrow" w:hAnsi="Arial Narrow"/>
                <w:highlight w:val="black"/>
              </w:rPr>
            </w:pPr>
            <w:r>
              <w:rPr>
                <w:rFonts w:ascii="Arial Narrow" w:hAnsi="Arial Narrow"/>
                <w:noProof/>
                <w:color w:val="000000"/>
                <w:highlight w:val="black"/>
              </w:rPr>
              <w:t>'''''''''' ''''''''''''' '''''''''''''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5A3B" w:rsidRPr="006A083B" w:rsidRDefault="00B65A3B" w:rsidP="00EA66F5">
            <w:pPr>
              <w:keepNext/>
              <w:keepLines/>
              <w:jc w:val="left"/>
              <w:rPr>
                <w:rFonts w:ascii="Arial Narrow" w:hAnsi="Arial Narrow" w:cstheme="minorBidi"/>
                <w:sz w:val="20"/>
                <w:szCs w:val="20"/>
              </w:rPr>
            </w:pPr>
          </w:p>
        </w:tc>
      </w:tr>
      <w:tr w:rsidR="00B65A3B" w:rsidRPr="00EC6E05" w:rsidTr="00B65A3B">
        <w:trPr>
          <w:trHeight w:val="2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EA66F5">
            <w:pPr>
              <w:keepNext/>
              <w:keepLines/>
              <w:jc w:val="left"/>
              <w:rPr>
                <w:rFonts w:ascii="Arial Narrow" w:hAnsi="Arial Narrow" w:cs="Times New Roman"/>
                <w:sz w:val="20"/>
              </w:rPr>
            </w:pPr>
          </w:p>
        </w:tc>
        <w:tc>
          <w:tcPr>
            <w:tcW w:w="784" w:type="pct"/>
            <w:tcBorders>
              <w:top w:val="single" w:sz="4" w:space="0" w:color="auto"/>
              <w:left w:val="single" w:sz="4" w:space="0" w:color="auto"/>
              <w:bottom w:val="single" w:sz="4" w:space="0" w:color="auto"/>
              <w:right w:val="single" w:sz="4" w:space="0" w:color="auto"/>
            </w:tcBorders>
            <w:hideMark/>
          </w:tcPr>
          <w:p w:rsidR="00B65A3B" w:rsidRPr="00EC6E05" w:rsidRDefault="00B65A3B" w:rsidP="00EA66F5">
            <w:pPr>
              <w:pStyle w:val="Tablecentre"/>
              <w:keepNext/>
              <w:keepLines/>
              <w:jc w:val="left"/>
              <w:rPr>
                <w:rFonts w:ascii="Arial Narrow" w:hAnsi="Arial Narrow"/>
              </w:rPr>
            </w:pPr>
            <w:r w:rsidRPr="00EC6E05">
              <w:rPr>
                <w:rFonts w:ascii="Arial Narrow" w:hAnsi="Arial Narrow"/>
              </w:rPr>
              <w:t>SUN</w:t>
            </w:r>
          </w:p>
        </w:tc>
        <w:tc>
          <w:tcPr>
            <w:tcW w:w="991" w:type="pct"/>
            <w:tcBorders>
              <w:top w:val="single" w:sz="4" w:space="0" w:color="auto"/>
              <w:left w:val="single" w:sz="4" w:space="0" w:color="auto"/>
              <w:bottom w:val="single" w:sz="4" w:space="0" w:color="auto"/>
              <w:right w:val="single" w:sz="4" w:space="0" w:color="auto"/>
            </w:tcBorders>
            <w:hideMark/>
          </w:tcPr>
          <w:p w:rsidR="00B65A3B" w:rsidRPr="00EC6E05" w:rsidRDefault="00F73A92" w:rsidP="00EA66F5">
            <w:pPr>
              <w:pStyle w:val="Tablecentre"/>
              <w:keepNext/>
              <w:keepLines/>
              <w:rPr>
                <w:rFonts w:ascii="Arial Narrow" w:hAnsi="Arial Narrow"/>
                <w:iCs/>
              </w:rPr>
            </w:pPr>
            <w:r w:rsidRPr="00EC6E05">
              <w:rPr>
                <w:rFonts w:ascii="Arial Narrow" w:hAnsi="Arial Narrow"/>
                <w:iCs/>
              </w:rPr>
              <w:t>271</w:t>
            </w:r>
            <w:r w:rsidR="00B65A3B" w:rsidRPr="00EC6E05">
              <w:rPr>
                <w:rFonts w:ascii="Arial Narrow" w:hAnsi="Arial Narrow"/>
                <w:iCs/>
              </w:rPr>
              <w:t>/546</w:t>
            </w:r>
            <w:r w:rsidRPr="00EC6E05">
              <w:rPr>
                <w:rFonts w:ascii="Arial Narrow" w:hAnsi="Arial Narrow"/>
                <w:iCs/>
              </w:rPr>
              <w:t xml:space="preserve"> (49.6)</w:t>
            </w:r>
          </w:p>
        </w:tc>
        <w:tc>
          <w:tcPr>
            <w:tcW w:w="1035" w:type="pct"/>
            <w:tcBorders>
              <w:top w:val="single" w:sz="4" w:space="0" w:color="auto"/>
              <w:left w:val="single" w:sz="4" w:space="0" w:color="auto"/>
              <w:bottom w:val="single" w:sz="4" w:space="0" w:color="auto"/>
              <w:right w:val="single" w:sz="4" w:space="0" w:color="auto"/>
            </w:tcBorders>
            <w:hideMark/>
          </w:tcPr>
          <w:p w:rsidR="00B65A3B" w:rsidRPr="00EC6E05" w:rsidRDefault="00B65A3B" w:rsidP="00EA66F5">
            <w:pPr>
              <w:pStyle w:val="Tablecentre"/>
              <w:keepNext/>
              <w:keepLines/>
              <w:rPr>
                <w:rFonts w:ascii="Arial Narrow" w:hAnsi="Arial Narrow"/>
              </w:rPr>
            </w:pPr>
            <w:r w:rsidRPr="00EC6E05">
              <w:rPr>
                <w:rFonts w:ascii="Arial Narrow" w:hAnsi="Arial Narrow"/>
              </w:rPr>
              <w:t>12.3 (9.8, 15.2)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EA66F5">
            <w:pPr>
              <w:keepNext/>
              <w:keepLines/>
              <w:jc w:val="left"/>
              <w:rPr>
                <w:rFonts w:ascii="Arial Narrow" w:hAnsi="Arial Narrow" w:cstheme="minorBid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EA66F5">
            <w:pPr>
              <w:keepNext/>
              <w:keepLines/>
              <w:jc w:val="left"/>
              <w:rPr>
                <w:rFonts w:ascii="Arial Narrow" w:hAnsi="Arial Narrow" w:cstheme="minorBidi"/>
                <w:sz w:val="20"/>
                <w:szCs w:val="20"/>
              </w:rPr>
            </w:pPr>
          </w:p>
        </w:tc>
      </w:tr>
    </w:tbl>
    <w:p w:rsidR="00B65A3B" w:rsidRPr="00EC6E05" w:rsidRDefault="00B65A3B" w:rsidP="00B65A3B">
      <w:pPr>
        <w:pStyle w:val="Source"/>
        <w:keepNext/>
        <w:rPr>
          <w:rFonts w:ascii="Arial Narrow" w:hAnsi="Arial Narrow"/>
        </w:rPr>
      </w:pPr>
      <w:r w:rsidRPr="00EC6E05">
        <w:rPr>
          <w:rFonts w:ascii="Arial Narrow" w:hAnsi="Arial Narrow"/>
        </w:rPr>
        <w:t>Source: Table 2.6-5 p109 of the Submission</w:t>
      </w:r>
      <w:r w:rsidR="00F73A92" w:rsidRPr="00EC6E05">
        <w:rPr>
          <w:rFonts w:ascii="Arial Narrow" w:hAnsi="Arial Narrow"/>
        </w:rPr>
        <w:t xml:space="preserve">, Table 5 NIVO + IPI, PSD, July 2018 PBAC meeting. </w:t>
      </w:r>
    </w:p>
    <w:p w:rsidR="00B65A3B" w:rsidRPr="00EC6E05" w:rsidRDefault="00B65A3B" w:rsidP="00B65A3B">
      <w:pPr>
        <w:pStyle w:val="Source"/>
        <w:keepNext/>
        <w:rPr>
          <w:rFonts w:ascii="Arial Narrow" w:hAnsi="Arial Narrow"/>
        </w:rPr>
      </w:pPr>
      <w:r w:rsidRPr="00EC6E05">
        <w:rPr>
          <w:rFonts w:ascii="Arial Narrow" w:hAnsi="Arial Narrow"/>
        </w:rPr>
        <w:t xml:space="preserve">Abbreviations: </w:t>
      </w:r>
      <w:r w:rsidR="002E124D">
        <w:rPr>
          <w:rFonts w:ascii="Arial Narrow" w:hAnsi="Arial Narrow"/>
        </w:rPr>
        <w:t>AVE + AXI</w:t>
      </w:r>
      <w:r w:rsidRPr="00EC6E05">
        <w:rPr>
          <w:rFonts w:ascii="Arial Narrow" w:hAnsi="Arial Narrow"/>
        </w:rPr>
        <w:t xml:space="preserve"> = </w:t>
      </w:r>
      <w:proofErr w:type="spellStart"/>
      <w:r w:rsidRPr="00EC6E05">
        <w:rPr>
          <w:rFonts w:ascii="Arial Narrow" w:hAnsi="Arial Narrow"/>
        </w:rPr>
        <w:t>avelumab</w:t>
      </w:r>
      <w:proofErr w:type="spellEnd"/>
      <w:r w:rsidRPr="00EC6E05">
        <w:rPr>
          <w:rFonts w:ascii="Arial Narrow" w:hAnsi="Arial Narrow"/>
        </w:rPr>
        <w:t xml:space="preserve"> + </w:t>
      </w:r>
      <w:proofErr w:type="spellStart"/>
      <w:r w:rsidRPr="00EC6E05">
        <w:rPr>
          <w:rFonts w:ascii="Arial Narrow" w:hAnsi="Arial Narrow"/>
        </w:rPr>
        <w:t>axitinib</w:t>
      </w:r>
      <w:proofErr w:type="spellEnd"/>
      <w:r w:rsidRPr="00EC6E05">
        <w:rPr>
          <w:rFonts w:ascii="Arial Narrow" w:hAnsi="Arial Narrow"/>
        </w:rPr>
        <w:t xml:space="preserve">; CI = confidence interval; HR = hazard ratio; IA2 = second interim analysis; IMDC = International Metastatic Renal Cell Carcinoma Database Consortium; ITC = indirect treatment comparison; ITT = intention-to-treat; </w:t>
      </w:r>
      <w:r w:rsidR="002E124D">
        <w:rPr>
          <w:rFonts w:ascii="Arial Narrow" w:hAnsi="Arial Narrow"/>
        </w:rPr>
        <w:t>NIVO + IPI</w:t>
      </w:r>
      <w:r w:rsidRPr="00EC6E05">
        <w:rPr>
          <w:rFonts w:ascii="Arial Narrow" w:hAnsi="Arial Narrow"/>
        </w:rPr>
        <w:t xml:space="preserve"> = </w:t>
      </w:r>
      <w:proofErr w:type="spellStart"/>
      <w:r w:rsidRPr="00EC6E05">
        <w:rPr>
          <w:rFonts w:ascii="Arial Narrow" w:hAnsi="Arial Narrow"/>
        </w:rPr>
        <w:t>nivolumab</w:t>
      </w:r>
      <w:proofErr w:type="spellEnd"/>
      <w:r w:rsidRPr="00EC6E05">
        <w:rPr>
          <w:rFonts w:ascii="Arial Narrow" w:hAnsi="Arial Narrow"/>
        </w:rPr>
        <w:t xml:space="preserve"> + </w:t>
      </w:r>
      <w:proofErr w:type="spellStart"/>
      <w:r w:rsidRPr="00EC6E05">
        <w:rPr>
          <w:rFonts w:ascii="Arial Narrow" w:hAnsi="Arial Narrow"/>
        </w:rPr>
        <w:t>ipilimumab</w:t>
      </w:r>
      <w:proofErr w:type="spellEnd"/>
      <w:r w:rsidRPr="00EC6E05">
        <w:rPr>
          <w:rFonts w:ascii="Arial Narrow" w:hAnsi="Arial Narrow"/>
        </w:rPr>
        <w:t xml:space="preserve">; NR = not reported; PFS = progression free survival; SUN = </w:t>
      </w:r>
      <w:proofErr w:type="spellStart"/>
      <w:r w:rsidRPr="00EC6E05">
        <w:rPr>
          <w:rFonts w:ascii="Arial Narrow" w:hAnsi="Arial Narrow"/>
        </w:rPr>
        <w:t>sunitinib</w:t>
      </w:r>
      <w:proofErr w:type="spellEnd"/>
    </w:p>
    <w:p w:rsidR="00B65A3B" w:rsidRPr="00EC6E05" w:rsidRDefault="00B65A3B" w:rsidP="00B65A3B">
      <w:pPr>
        <w:pStyle w:val="Source"/>
        <w:rPr>
          <w:rFonts w:ascii="Arial Narrow" w:hAnsi="Arial Narrow"/>
        </w:rPr>
      </w:pPr>
      <w:proofErr w:type="spellStart"/>
      <w:proofErr w:type="gramStart"/>
      <w:r w:rsidRPr="00FB0C02">
        <w:rPr>
          <w:rFonts w:ascii="Arial Narrow" w:hAnsi="Arial Narrow"/>
          <w:vertAlign w:val="superscript"/>
        </w:rPr>
        <w:t>a</w:t>
      </w:r>
      <w:proofErr w:type="spellEnd"/>
      <w:proofErr w:type="gramEnd"/>
      <w:r w:rsidRPr="00EC6E05">
        <w:rPr>
          <w:rFonts w:ascii="Arial Narrow" w:hAnsi="Arial Narrow"/>
        </w:rPr>
        <w:t xml:space="preserve"> The submission calculated the 95% confidence intervals using 99.1% confidence intervals from publication</w:t>
      </w:r>
    </w:p>
    <w:p w:rsidR="00B65A3B" w:rsidRPr="00EC6E05" w:rsidRDefault="00B65A3B" w:rsidP="00B65A3B">
      <w:pPr>
        <w:pStyle w:val="Source"/>
        <w:rPr>
          <w:rFonts w:ascii="Arial Narrow" w:hAnsi="Arial Narrow"/>
        </w:rPr>
      </w:pPr>
      <w:proofErr w:type="gramStart"/>
      <w:r w:rsidRPr="00FB0C02">
        <w:rPr>
          <w:rFonts w:ascii="Arial Narrow" w:hAnsi="Arial Narrow"/>
          <w:vertAlign w:val="superscript"/>
        </w:rPr>
        <w:lastRenderedPageBreak/>
        <w:t>b</w:t>
      </w:r>
      <w:proofErr w:type="gramEnd"/>
      <w:r w:rsidRPr="00EC6E05">
        <w:rPr>
          <w:rFonts w:ascii="Arial Narrow" w:hAnsi="Arial Narrow"/>
        </w:rPr>
        <w:t xml:space="preserve"> The comparison of the ITT populations is provided in the Submission for completeness but is not further discussed (p108 of the Submission).</w:t>
      </w:r>
    </w:p>
    <w:p w:rsidR="00B65A3B" w:rsidRPr="00EC6E05" w:rsidRDefault="00B65A3B" w:rsidP="00B65A3B">
      <w:pPr>
        <w:pStyle w:val="Source"/>
        <w:rPr>
          <w:rFonts w:ascii="Arial Narrow" w:hAnsi="Arial Narrow"/>
          <w:szCs w:val="18"/>
        </w:rPr>
      </w:pPr>
      <w:proofErr w:type="gramStart"/>
      <w:r w:rsidRPr="00FB0C02">
        <w:rPr>
          <w:rFonts w:ascii="Arial Narrow" w:hAnsi="Arial Narrow"/>
          <w:vertAlign w:val="superscript"/>
        </w:rPr>
        <w:t>c</w:t>
      </w:r>
      <w:proofErr w:type="gramEnd"/>
      <w:r w:rsidRPr="00EC6E05">
        <w:rPr>
          <w:rFonts w:ascii="Arial Narrow" w:hAnsi="Arial Narrow"/>
        </w:rPr>
        <w:t xml:space="preserve"> JAVELIN, data-cut off: IA2, </w:t>
      </w:r>
      <w:r w:rsidRPr="00EC6E05">
        <w:rPr>
          <w:rFonts w:ascii="Arial Narrow" w:hAnsi="Arial Narrow"/>
          <w:szCs w:val="18"/>
        </w:rPr>
        <w:t>28 January 2019, minimum duration of follow-up was 13 months.</w:t>
      </w:r>
    </w:p>
    <w:p w:rsidR="00B65A3B" w:rsidRPr="00EC6E05" w:rsidRDefault="00B65A3B" w:rsidP="00B65A3B">
      <w:pPr>
        <w:pStyle w:val="Source"/>
        <w:rPr>
          <w:rFonts w:ascii="Arial Narrow" w:hAnsi="Arial Narrow"/>
          <w:szCs w:val="18"/>
        </w:rPr>
      </w:pPr>
      <w:proofErr w:type="gramStart"/>
      <w:r w:rsidRPr="00FB0C02">
        <w:rPr>
          <w:rFonts w:ascii="Arial Narrow" w:hAnsi="Arial Narrow"/>
          <w:szCs w:val="18"/>
          <w:vertAlign w:val="superscript"/>
        </w:rPr>
        <w:t>d</w:t>
      </w:r>
      <w:proofErr w:type="gramEnd"/>
      <w:r w:rsidRPr="00EC6E05">
        <w:rPr>
          <w:rFonts w:ascii="Arial Narrow" w:hAnsi="Arial Narrow"/>
          <w:szCs w:val="18"/>
        </w:rPr>
        <w:t xml:space="preserve"> </w:t>
      </w:r>
      <w:proofErr w:type="spellStart"/>
      <w:r w:rsidRPr="00EC6E05">
        <w:rPr>
          <w:rFonts w:ascii="Arial Narrow" w:hAnsi="Arial Narrow"/>
          <w:szCs w:val="18"/>
        </w:rPr>
        <w:t>CheckMate</w:t>
      </w:r>
      <w:proofErr w:type="spellEnd"/>
      <w:r w:rsidRPr="00EC6E05">
        <w:rPr>
          <w:rFonts w:ascii="Arial Narrow" w:hAnsi="Arial Narrow"/>
          <w:szCs w:val="18"/>
        </w:rPr>
        <w:t> 214 data-cut off: was 7 August 2017, minimum duration of follow-up was 17.5 months.</w:t>
      </w:r>
    </w:p>
    <w:p w:rsidR="00EC0F10" w:rsidRPr="00EC6E05" w:rsidRDefault="00EC0F10" w:rsidP="00DC5054">
      <w:pPr>
        <w:spacing w:after="240"/>
        <w:rPr>
          <w:rFonts w:ascii="Arial Narrow" w:hAnsi="Arial Narrow"/>
          <w:sz w:val="18"/>
          <w:szCs w:val="18"/>
        </w:rPr>
      </w:pPr>
      <w:r w:rsidRPr="00EC6E05">
        <w:rPr>
          <w:rFonts w:ascii="Arial Narrow" w:hAnsi="Arial Narrow"/>
          <w:sz w:val="18"/>
          <w:szCs w:val="18"/>
        </w:rPr>
        <w:t>Bold indicates statistical significance.</w:t>
      </w:r>
    </w:p>
    <w:p w:rsidR="00B65A3B" w:rsidRPr="00EC6E05" w:rsidRDefault="00B65A3B" w:rsidP="00BF2EA7">
      <w:pPr>
        <w:pStyle w:val="3-BodyText"/>
      </w:pPr>
      <w:r w:rsidRPr="00EC6E05">
        <w:t xml:space="preserve">The results for the ITC for OS outcome </w:t>
      </w:r>
      <w:proofErr w:type="gramStart"/>
      <w:r w:rsidRPr="00EC6E05">
        <w:t>are provided</w:t>
      </w:r>
      <w:proofErr w:type="gramEnd"/>
      <w:r w:rsidRPr="00EC6E05">
        <w:t xml:space="preserve"> in Table </w:t>
      </w:r>
      <w:r w:rsidR="00291A90">
        <w:t>8</w:t>
      </w:r>
      <w:r w:rsidRPr="00EC6E05">
        <w:t xml:space="preserve">. No statistically significant difference in the risk of death </w:t>
      </w:r>
      <w:proofErr w:type="gramStart"/>
      <w:r w:rsidRPr="00EC6E05">
        <w:t>was observed</w:t>
      </w:r>
      <w:proofErr w:type="gramEnd"/>
      <w:r w:rsidRPr="00EC6E05">
        <w:t xml:space="preserve"> between AVE + AXI and NIVO + IPI</w:t>
      </w:r>
      <w:r w:rsidR="008D0EBB" w:rsidRPr="00EC6E05">
        <w:t xml:space="preserve">, </w:t>
      </w:r>
      <w:r w:rsidRPr="00EC6E05">
        <w:rPr>
          <w:iCs/>
        </w:rPr>
        <w:t xml:space="preserve">regardless of the basis of comparison. </w:t>
      </w:r>
      <w:proofErr w:type="gramStart"/>
      <w:r w:rsidRPr="00EC6E05">
        <w:t xml:space="preserve">The submission claimed the </w:t>
      </w:r>
      <w:r w:rsidR="005E4086" w:rsidRPr="00EC6E05">
        <w:t xml:space="preserve">indirect comparison of OS was biased against AVE + AXI due to: </w:t>
      </w:r>
      <w:r w:rsidRPr="00EC6E05">
        <w:t xml:space="preserve">higher subsequent use of </w:t>
      </w:r>
      <w:proofErr w:type="spellStart"/>
      <w:r w:rsidRPr="00EC6E05">
        <w:t>nivolumab</w:t>
      </w:r>
      <w:proofErr w:type="spellEnd"/>
      <w:r w:rsidRPr="00EC6E05">
        <w:t xml:space="preserve"> in the </w:t>
      </w:r>
      <w:proofErr w:type="spellStart"/>
      <w:r w:rsidRPr="00EC6E05">
        <w:t>sunitinib</w:t>
      </w:r>
      <w:proofErr w:type="spellEnd"/>
      <w:r w:rsidRPr="00EC6E05">
        <w:t xml:space="preserve"> arm of JAVELIN compared with </w:t>
      </w:r>
      <w:proofErr w:type="spellStart"/>
      <w:r w:rsidRPr="00EC6E05">
        <w:t>CheckMate</w:t>
      </w:r>
      <w:proofErr w:type="spellEnd"/>
      <w:r w:rsidRPr="00EC6E05">
        <w:t xml:space="preserve"> 214</w:t>
      </w:r>
      <w:r w:rsidR="005E4086" w:rsidRPr="00EC6E05">
        <w:t>;</w:t>
      </w:r>
      <w:r w:rsidRPr="00EC6E05">
        <w:t xml:space="preserve"> the shorter median duration of treatment with NIVO + IPI compared with AVE + AXI</w:t>
      </w:r>
      <w:r w:rsidR="009A32FA" w:rsidRPr="00EC6E05">
        <w:t>;</w:t>
      </w:r>
      <w:r w:rsidRPr="00EC6E05">
        <w:t xml:space="preserve"> and the higher proportion of patients receiving subsequent treatment in the NIVO + IPI arm compared with AVE + AXI.</w:t>
      </w:r>
      <w:proofErr w:type="gramEnd"/>
      <w:r w:rsidR="00E61E87" w:rsidRPr="00EC6E05">
        <w:t xml:space="preserve"> </w:t>
      </w:r>
      <w:bookmarkStart w:id="25" w:name="_Hlk30420281"/>
      <w:r w:rsidR="00291A90">
        <w:t>T</w:t>
      </w:r>
      <w:r w:rsidR="002D2606" w:rsidRPr="00EC6E05">
        <w:t>here was no statistically significant difference in</w:t>
      </w:r>
      <w:r w:rsidR="006D7AB8" w:rsidRPr="00EC6E05">
        <w:t xml:space="preserve"> OS between the two arms of JAVELIN (ITT</w:t>
      </w:r>
      <w:r w:rsidR="002D2606" w:rsidRPr="00EC6E05">
        <w:t xml:space="preserve">; </w:t>
      </w:r>
      <w:r w:rsidR="006D7AB8" w:rsidRPr="00EC6E05">
        <w:t>HR: 0.8; 95%</w:t>
      </w:r>
      <w:r w:rsidR="00291A90">
        <w:t xml:space="preserve"> </w:t>
      </w:r>
      <w:r w:rsidR="006D7AB8" w:rsidRPr="00EC6E05">
        <w:t xml:space="preserve">CI 0.616, 1.027, p = 0.0392) whereas in </w:t>
      </w:r>
      <w:proofErr w:type="spellStart"/>
      <w:r w:rsidR="006D7AB8" w:rsidRPr="00EC6E05">
        <w:t>CheckMate</w:t>
      </w:r>
      <w:proofErr w:type="spellEnd"/>
      <w:r w:rsidR="006D7AB8" w:rsidRPr="00EC6E05">
        <w:t xml:space="preserve"> 214 a statistically significant improvement in OS was observed (HR: 0.68; 99.8%</w:t>
      </w:r>
      <w:r w:rsidR="00E05411" w:rsidRPr="00EC6E05">
        <w:t xml:space="preserve"> </w:t>
      </w:r>
      <w:r w:rsidR="006D7AB8" w:rsidRPr="00EC6E05">
        <w:t>CI 0.49, 0.95, p &lt; 0.001).</w:t>
      </w:r>
      <w:bookmarkEnd w:id="25"/>
    </w:p>
    <w:p w:rsidR="00B65A3B" w:rsidRPr="00EC6E05" w:rsidRDefault="00B65A3B" w:rsidP="00566238">
      <w:pPr>
        <w:pStyle w:val="Caption"/>
        <w:keepNext/>
        <w:keepLines/>
        <w:spacing w:after="0"/>
        <w:rPr>
          <w:rFonts w:ascii="Arial Narrow" w:hAnsi="Arial Narrow"/>
          <w:color w:val="auto"/>
          <w:sz w:val="20"/>
          <w:szCs w:val="20"/>
        </w:rPr>
      </w:pPr>
      <w:r w:rsidRPr="00EC6E05">
        <w:rPr>
          <w:rFonts w:ascii="Arial Narrow" w:hAnsi="Arial Narrow"/>
          <w:bCs w:val="0"/>
          <w:color w:val="auto"/>
          <w:sz w:val="20"/>
        </w:rPr>
        <w:t>Tabl</w:t>
      </w:r>
      <w:r w:rsidRPr="00EC6E05">
        <w:rPr>
          <w:rFonts w:ascii="Arial Narrow" w:hAnsi="Arial Narrow"/>
          <w:bCs w:val="0"/>
          <w:color w:val="auto"/>
          <w:sz w:val="20"/>
          <w:szCs w:val="20"/>
        </w:rPr>
        <w:t xml:space="preserve">e </w:t>
      </w:r>
      <w:r w:rsidR="00291A90">
        <w:rPr>
          <w:rFonts w:ascii="Arial Narrow" w:hAnsi="Arial Narrow"/>
          <w:bCs w:val="0"/>
          <w:color w:val="auto"/>
          <w:sz w:val="20"/>
          <w:szCs w:val="20"/>
        </w:rPr>
        <w:t>8</w:t>
      </w:r>
      <w:r w:rsidRPr="00EC6E05">
        <w:rPr>
          <w:rFonts w:ascii="Arial Narrow" w:hAnsi="Arial Narrow"/>
          <w:color w:val="auto"/>
          <w:sz w:val="20"/>
          <w:szCs w:val="20"/>
        </w:rPr>
        <w:t xml:space="preserve">: ITC – Overall survival </w:t>
      </w:r>
    </w:p>
    <w:tbl>
      <w:tblPr>
        <w:tblStyle w:val="Summarybox61"/>
        <w:tblW w:w="5000" w:type="pct"/>
        <w:tblLook w:val="04A0" w:firstRow="1" w:lastRow="0" w:firstColumn="1" w:lastColumn="0" w:noHBand="0" w:noVBand="1"/>
        <w:tblCaption w:val="Table 8: ITC – Overall survival "/>
      </w:tblPr>
      <w:tblGrid>
        <w:gridCol w:w="1400"/>
        <w:gridCol w:w="1589"/>
        <w:gridCol w:w="1589"/>
        <w:gridCol w:w="1560"/>
        <w:gridCol w:w="1401"/>
        <w:gridCol w:w="1477"/>
      </w:tblGrid>
      <w:tr w:rsidR="00B65A3B" w:rsidRPr="00EC6E05" w:rsidTr="00B65A3B">
        <w:trPr>
          <w:trHeight w:val="244"/>
          <w:tblHeader/>
        </w:trPr>
        <w:tc>
          <w:tcPr>
            <w:tcW w:w="777" w:type="pct"/>
            <w:tcBorders>
              <w:top w:val="single" w:sz="4" w:space="0" w:color="auto"/>
              <w:left w:val="single" w:sz="4" w:space="0" w:color="auto"/>
              <w:bottom w:val="single" w:sz="4" w:space="0" w:color="auto"/>
              <w:right w:val="single" w:sz="4" w:space="0" w:color="auto"/>
            </w:tcBorders>
            <w:hideMark/>
          </w:tcPr>
          <w:p w:rsidR="00B65A3B" w:rsidRPr="00EC6E05" w:rsidRDefault="00B65A3B" w:rsidP="00566238">
            <w:pPr>
              <w:pStyle w:val="Tableheading0"/>
              <w:keepNext/>
              <w:keepLines/>
              <w:rPr>
                <w:rFonts w:ascii="Arial Narrow" w:hAnsi="Arial Narrow"/>
              </w:rPr>
            </w:pPr>
            <w:r w:rsidRPr="00EC6E05">
              <w:rPr>
                <w:rFonts w:ascii="Arial Narrow" w:hAnsi="Arial Narrow"/>
              </w:rPr>
              <w:t>Trial ID</w:t>
            </w:r>
          </w:p>
        </w:tc>
        <w:tc>
          <w:tcPr>
            <w:tcW w:w="881" w:type="pct"/>
            <w:tcBorders>
              <w:top w:val="single" w:sz="4" w:space="0" w:color="auto"/>
              <w:left w:val="single" w:sz="4" w:space="0" w:color="auto"/>
              <w:bottom w:val="single" w:sz="4" w:space="0" w:color="auto"/>
              <w:right w:val="single" w:sz="4" w:space="0" w:color="auto"/>
            </w:tcBorders>
          </w:tcPr>
          <w:p w:rsidR="00B65A3B" w:rsidRPr="00EC6E05" w:rsidRDefault="00B65A3B" w:rsidP="00566238">
            <w:pPr>
              <w:pStyle w:val="Tableheading0"/>
              <w:keepNext/>
              <w:keepLines/>
              <w:rPr>
                <w:rFonts w:ascii="Arial Narrow" w:hAnsi="Arial Narrow"/>
              </w:rPr>
            </w:pPr>
          </w:p>
        </w:tc>
        <w:tc>
          <w:tcPr>
            <w:tcW w:w="881" w:type="pct"/>
            <w:tcBorders>
              <w:top w:val="single" w:sz="4" w:space="0" w:color="auto"/>
              <w:left w:val="single" w:sz="4" w:space="0" w:color="auto"/>
              <w:bottom w:val="single" w:sz="4" w:space="0" w:color="auto"/>
              <w:right w:val="single" w:sz="4" w:space="0" w:color="auto"/>
            </w:tcBorders>
            <w:hideMark/>
          </w:tcPr>
          <w:p w:rsidR="00B65A3B" w:rsidRPr="00EC6E05" w:rsidRDefault="00B65A3B" w:rsidP="00566238">
            <w:pPr>
              <w:pStyle w:val="Tableheading0"/>
              <w:keepNext/>
              <w:keepLines/>
              <w:rPr>
                <w:rFonts w:ascii="Arial Narrow" w:hAnsi="Arial Narrow"/>
              </w:rPr>
            </w:pPr>
            <w:r w:rsidRPr="00EC6E05">
              <w:rPr>
                <w:rFonts w:ascii="Arial Narrow" w:hAnsi="Arial Narrow"/>
              </w:rPr>
              <w:t>Event n/N (%)</w:t>
            </w:r>
          </w:p>
        </w:tc>
        <w:tc>
          <w:tcPr>
            <w:tcW w:w="865" w:type="pct"/>
            <w:tcBorders>
              <w:top w:val="single" w:sz="4" w:space="0" w:color="auto"/>
              <w:left w:val="single" w:sz="4" w:space="0" w:color="auto"/>
              <w:bottom w:val="single" w:sz="4" w:space="0" w:color="auto"/>
              <w:right w:val="single" w:sz="4" w:space="0" w:color="auto"/>
            </w:tcBorders>
            <w:hideMark/>
          </w:tcPr>
          <w:p w:rsidR="00B65A3B" w:rsidRPr="00EC6E05" w:rsidRDefault="00B65A3B" w:rsidP="009E758F">
            <w:pPr>
              <w:pStyle w:val="Tableheading0"/>
              <w:keepNext/>
              <w:keepLines/>
              <w:rPr>
                <w:rFonts w:ascii="Arial Narrow" w:hAnsi="Arial Narrow"/>
              </w:rPr>
            </w:pPr>
            <w:r w:rsidRPr="00EC6E05">
              <w:rPr>
                <w:rFonts w:ascii="Arial Narrow" w:hAnsi="Arial Narrow"/>
              </w:rPr>
              <w:t xml:space="preserve">Median </w:t>
            </w:r>
            <w:r w:rsidR="009E758F">
              <w:rPr>
                <w:rFonts w:ascii="Arial Narrow" w:hAnsi="Arial Narrow"/>
              </w:rPr>
              <w:t>O</w:t>
            </w:r>
            <w:r w:rsidR="009E758F" w:rsidRPr="00EC6E05">
              <w:rPr>
                <w:rFonts w:ascii="Arial Narrow" w:hAnsi="Arial Narrow"/>
              </w:rPr>
              <w:t xml:space="preserve">S </w:t>
            </w:r>
            <w:r w:rsidRPr="00EC6E05">
              <w:rPr>
                <w:rFonts w:ascii="Arial Narrow" w:hAnsi="Arial Narrow"/>
              </w:rPr>
              <w:t>(months)</w:t>
            </w:r>
          </w:p>
        </w:tc>
        <w:tc>
          <w:tcPr>
            <w:tcW w:w="777" w:type="pct"/>
            <w:tcBorders>
              <w:top w:val="single" w:sz="4" w:space="0" w:color="auto"/>
              <w:left w:val="single" w:sz="4" w:space="0" w:color="auto"/>
              <w:bottom w:val="single" w:sz="4" w:space="0" w:color="auto"/>
              <w:right w:val="single" w:sz="4" w:space="0" w:color="auto"/>
            </w:tcBorders>
            <w:hideMark/>
          </w:tcPr>
          <w:p w:rsidR="00B65A3B" w:rsidRPr="00EC6E05" w:rsidRDefault="00B65A3B" w:rsidP="00566238">
            <w:pPr>
              <w:pStyle w:val="Tableheading0"/>
              <w:keepNext/>
              <w:keepLines/>
              <w:rPr>
                <w:rFonts w:ascii="Arial Narrow" w:hAnsi="Arial Narrow"/>
              </w:rPr>
            </w:pPr>
            <w:r w:rsidRPr="00EC6E05">
              <w:rPr>
                <w:rFonts w:ascii="Arial Narrow" w:hAnsi="Arial Narrow"/>
              </w:rPr>
              <w:t>HR (95% CI)</w:t>
            </w:r>
          </w:p>
        </w:tc>
        <w:tc>
          <w:tcPr>
            <w:tcW w:w="819" w:type="pct"/>
            <w:tcBorders>
              <w:top w:val="single" w:sz="4" w:space="0" w:color="auto"/>
              <w:left w:val="single" w:sz="4" w:space="0" w:color="auto"/>
              <w:bottom w:val="single" w:sz="4" w:space="0" w:color="auto"/>
              <w:right w:val="single" w:sz="4" w:space="0" w:color="auto"/>
            </w:tcBorders>
            <w:hideMark/>
          </w:tcPr>
          <w:p w:rsidR="00B65A3B" w:rsidRPr="00EC6E05" w:rsidRDefault="00B65A3B" w:rsidP="00566238">
            <w:pPr>
              <w:pStyle w:val="Tableheading0"/>
              <w:keepNext/>
              <w:keepLines/>
              <w:rPr>
                <w:rFonts w:ascii="Arial Narrow" w:hAnsi="Arial Narrow"/>
              </w:rPr>
            </w:pPr>
            <w:r w:rsidRPr="00EC6E05">
              <w:rPr>
                <w:rFonts w:ascii="Arial Narrow" w:hAnsi="Arial Narrow"/>
              </w:rPr>
              <w:t>Indirect comparison HR (95% CI)</w:t>
            </w:r>
          </w:p>
        </w:tc>
      </w:tr>
      <w:tr w:rsidR="00B65A3B" w:rsidRPr="00EC6E05" w:rsidTr="00B65A3B">
        <w:trPr>
          <w:trHeight w:val="244"/>
        </w:trPr>
        <w:tc>
          <w:tcPr>
            <w:tcW w:w="5000" w:type="pct"/>
            <w:gridSpan w:val="6"/>
            <w:tcBorders>
              <w:top w:val="single" w:sz="4" w:space="0" w:color="auto"/>
              <w:left w:val="single" w:sz="4" w:space="0" w:color="auto"/>
              <w:bottom w:val="single" w:sz="4" w:space="0" w:color="auto"/>
              <w:right w:val="single" w:sz="4" w:space="0" w:color="auto"/>
            </w:tcBorders>
            <w:hideMark/>
          </w:tcPr>
          <w:p w:rsidR="00B65A3B" w:rsidRPr="00EC6E05" w:rsidRDefault="00B65A3B" w:rsidP="00566238">
            <w:pPr>
              <w:pStyle w:val="Tablecentre"/>
              <w:keepNext/>
              <w:keepLines/>
              <w:jc w:val="left"/>
              <w:rPr>
                <w:rFonts w:ascii="Arial Narrow" w:hAnsi="Arial Narrow"/>
                <w:b/>
                <w:bCs/>
              </w:rPr>
            </w:pPr>
            <w:r w:rsidRPr="00EC6E05">
              <w:rPr>
                <w:rFonts w:ascii="Arial Narrow" w:hAnsi="Arial Narrow"/>
                <w:b/>
                <w:bCs/>
              </w:rPr>
              <w:t xml:space="preserve">JAVELIN ITT versus </w:t>
            </w:r>
            <w:proofErr w:type="spellStart"/>
            <w:r w:rsidRPr="00EC6E05">
              <w:rPr>
                <w:rFonts w:ascii="Arial Narrow" w:hAnsi="Arial Narrow"/>
                <w:b/>
                <w:bCs/>
              </w:rPr>
              <w:t>CheckMate</w:t>
            </w:r>
            <w:proofErr w:type="spellEnd"/>
            <w:r w:rsidRPr="00EC6E05">
              <w:rPr>
                <w:rFonts w:ascii="Arial Narrow" w:hAnsi="Arial Narrow"/>
                <w:b/>
                <w:bCs/>
              </w:rPr>
              <w:t xml:space="preserve"> 214, intermediate or poor IMDC risk</w:t>
            </w:r>
          </w:p>
        </w:tc>
      </w:tr>
      <w:tr w:rsidR="00B65A3B" w:rsidRPr="00EC6E05" w:rsidTr="00B65A3B">
        <w:trPr>
          <w:trHeight w:val="244"/>
        </w:trPr>
        <w:tc>
          <w:tcPr>
            <w:tcW w:w="777" w:type="pct"/>
            <w:vMerge w:val="restart"/>
            <w:tcBorders>
              <w:top w:val="single" w:sz="4" w:space="0" w:color="auto"/>
              <w:left w:val="single" w:sz="4" w:space="0" w:color="auto"/>
              <w:bottom w:val="single" w:sz="4" w:space="0" w:color="auto"/>
              <w:right w:val="single" w:sz="4" w:space="0" w:color="auto"/>
            </w:tcBorders>
            <w:hideMark/>
          </w:tcPr>
          <w:p w:rsidR="00B65A3B" w:rsidRPr="00EC6E05" w:rsidRDefault="00B65A3B" w:rsidP="00566238">
            <w:pPr>
              <w:pStyle w:val="Tabletext"/>
              <w:keepNext/>
              <w:keepLines/>
            </w:pPr>
            <w:r w:rsidRPr="00EC6E05">
              <w:t>JAVELIN</w:t>
            </w:r>
            <w:r w:rsidRPr="00EC6E05">
              <w:rPr>
                <w:b/>
                <w:bCs/>
                <w:vertAlign w:val="superscript"/>
              </w:rPr>
              <w:t xml:space="preserve"> a</w:t>
            </w:r>
          </w:p>
        </w:tc>
        <w:tc>
          <w:tcPr>
            <w:tcW w:w="881" w:type="pct"/>
            <w:tcBorders>
              <w:top w:val="single" w:sz="4" w:space="0" w:color="auto"/>
              <w:left w:val="single" w:sz="4" w:space="0" w:color="auto"/>
              <w:bottom w:val="single" w:sz="4" w:space="0" w:color="auto"/>
              <w:right w:val="single" w:sz="4" w:space="0" w:color="auto"/>
            </w:tcBorders>
            <w:hideMark/>
          </w:tcPr>
          <w:p w:rsidR="00B65A3B" w:rsidRPr="00EC6E05" w:rsidRDefault="00B65A3B" w:rsidP="00566238">
            <w:pPr>
              <w:pStyle w:val="Tablecentre"/>
              <w:keepNext/>
              <w:keepLines/>
              <w:jc w:val="left"/>
              <w:rPr>
                <w:rFonts w:ascii="Arial Narrow" w:hAnsi="Arial Narrow"/>
              </w:rPr>
            </w:pPr>
            <w:r w:rsidRPr="00EC6E05">
              <w:rPr>
                <w:rFonts w:ascii="Arial Narrow" w:hAnsi="Arial Narrow"/>
              </w:rPr>
              <w:t>AVE + AXI</w:t>
            </w:r>
          </w:p>
        </w:tc>
        <w:tc>
          <w:tcPr>
            <w:tcW w:w="881" w:type="pct"/>
            <w:tcBorders>
              <w:top w:val="single" w:sz="4" w:space="0" w:color="auto"/>
              <w:left w:val="single" w:sz="4" w:space="0" w:color="auto"/>
              <w:bottom w:val="single" w:sz="4" w:space="0" w:color="auto"/>
              <w:right w:val="single" w:sz="4" w:space="0" w:color="auto"/>
            </w:tcBorders>
            <w:hideMark/>
          </w:tcPr>
          <w:p w:rsidR="00B65A3B" w:rsidRPr="003462F5" w:rsidRDefault="00B65A3B" w:rsidP="00566238">
            <w:pPr>
              <w:pStyle w:val="Tablecentre"/>
              <w:keepNext/>
              <w:keepLines/>
              <w:rPr>
                <w:rFonts w:ascii="Arial Narrow" w:hAnsi="Arial Narrow"/>
              </w:rPr>
            </w:pPr>
            <w:r w:rsidRPr="003462F5">
              <w:rPr>
                <w:rFonts w:ascii="Arial Narrow" w:hAnsi="Arial Narrow"/>
              </w:rPr>
              <w:t>109/442 (24.7)</w:t>
            </w:r>
          </w:p>
        </w:tc>
        <w:tc>
          <w:tcPr>
            <w:tcW w:w="865" w:type="pct"/>
            <w:tcBorders>
              <w:top w:val="single" w:sz="4" w:space="0" w:color="auto"/>
              <w:left w:val="single" w:sz="4" w:space="0" w:color="auto"/>
              <w:bottom w:val="single" w:sz="4" w:space="0" w:color="auto"/>
              <w:right w:val="single" w:sz="4" w:space="0" w:color="auto"/>
            </w:tcBorders>
            <w:hideMark/>
          </w:tcPr>
          <w:p w:rsidR="00B65A3B" w:rsidRPr="003462F5" w:rsidRDefault="00B65A3B" w:rsidP="00566238">
            <w:pPr>
              <w:pStyle w:val="Tablecentre"/>
              <w:keepNext/>
              <w:keepLines/>
              <w:rPr>
                <w:rFonts w:ascii="Arial Narrow" w:hAnsi="Arial Narrow"/>
              </w:rPr>
            </w:pPr>
            <w:r w:rsidRPr="003462F5">
              <w:rPr>
                <w:rFonts w:ascii="Arial Narrow" w:hAnsi="Arial Narrow"/>
              </w:rPr>
              <w:t>NE (30.0, NE)</w:t>
            </w:r>
          </w:p>
        </w:tc>
        <w:tc>
          <w:tcPr>
            <w:tcW w:w="777" w:type="pct"/>
            <w:vMerge w:val="restart"/>
            <w:tcBorders>
              <w:top w:val="single" w:sz="4" w:space="0" w:color="auto"/>
              <w:left w:val="single" w:sz="4" w:space="0" w:color="auto"/>
              <w:bottom w:val="single" w:sz="4" w:space="0" w:color="auto"/>
              <w:right w:val="single" w:sz="4" w:space="0" w:color="auto"/>
            </w:tcBorders>
            <w:hideMark/>
          </w:tcPr>
          <w:p w:rsidR="00B65A3B" w:rsidRPr="006A083B" w:rsidRDefault="006A083B" w:rsidP="00566238">
            <w:pPr>
              <w:pStyle w:val="Tablecentre"/>
              <w:keepNext/>
              <w:keepLines/>
              <w:rPr>
                <w:rFonts w:ascii="Arial Narrow" w:hAnsi="Arial Narrow"/>
                <w:highlight w:val="black"/>
              </w:rPr>
            </w:pPr>
            <w:r>
              <w:rPr>
                <w:rFonts w:ascii="Arial Narrow" w:hAnsi="Arial Narrow"/>
                <w:noProof/>
                <w:color w:val="000000"/>
                <w:highlight w:val="black"/>
              </w:rPr>
              <w:t>''''''''''' '''''''''''''''''' ''''''''''''''''</w:t>
            </w:r>
          </w:p>
        </w:tc>
        <w:tc>
          <w:tcPr>
            <w:tcW w:w="819" w:type="pct"/>
            <w:vMerge w:val="restart"/>
            <w:tcBorders>
              <w:top w:val="single" w:sz="4" w:space="0" w:color="auto"/>
              <w:left w:val="single" w:sz="4" w:space="0" w:color="auto"/>
              <w:bottom w:val="single" w:sz="4" w:space="0" w:color="auto"/>
              <w:right w:val="single" w:sz="4" w:space="0" w:color="auto"/>
            </w:tcBorders>
            <w:hideMark/>
          </w:tcPr>
          <w:p w:rsidR="00B65A3B" w:rsidRPr="006A083B" w:rsidRDefault="006A083B" w:rsidP="00566238">
            <w:pPr>
              <w:pStyle w:val="Tablecentre"/>
              <w:keepNext/>
              <w:keepLines/>
              <w:rPr>
                <w:rFonts w:ascii="Arial Narrow" w:hAnsi="Arial Narrow"/>
                <w:highlight w:val="black"/>
              </w:rPr>
            </w:pPr>
            <w:r>
              <w:rPr>
                <w:rFonts w:ascii="Arial Narrow" w:hAnsi="Arial Narrow"/>
                <w:noProof/>
                <w:color w:val="000000"/>
                <w:highlight w:val="black"/>
              </w:rPr>
              <w:t>''''''''''' '''''''''''''' '''''''''''''</w:t>
            </w:r>
          </w:p>
          <w:p w:rsidR="00B65A3B" w:rsidRPr="006A083B" w:rsidRDefault="006A083B" w:rsidP="00566238">
            <w:pPr>
              <w:pStyle w:val="Tablecentre"/>
              <w:keepNext/>
              <w:keepLines/>
              <w:rPr>
                <w:rFonts w:ascii="Arial Narrow" w:hAnsi="Arial Narrow"/>
                <w:highlight w:val="black"/>
              </w:rPr>
            </w:pPr>
            <w:r>
              <w:rPr>
                <w:rFonts w:ascii="Arial Narrow" w:hAnsi="Arial Narrow"/>
                <w:noProof/>
                <w:color w:val="000000"/>
                <w:highlight w:val="black"/>
              </w:rPr>
              <w:t>'''' '''' '''''''''''''''</w:t>
            </w:r>
          </w:p>
        </w:tc>
      </w:tr>
      <w:tr w:rsidR="00B65A3B" w:rsidRPr="00EC6E05" w:rsidTr="00B65A3B">
        <w:trPr>
          <w:trHeight w:val="2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566238">
            <w:pPr>
              <w:keepNext/>
              <w:keepLines/>
              <w:jc w:val="left"/>
              <w:rPr>
                <w:rFonts w:ascii="Arial Narrow" w:hAnsi="Arial Narrow" w:cs="Times New Roman"/>
                <w:sz w:val="20"/>
              </w:rPr>
            </w:pPr>
          </w:p>
        </w:tc>
        <w:tc>
          <w:tcPr>
            <w:tcW w:w="881" w:type="pct"/>
            <w:tcBorders>
              <w:top w:val="single" w:sz="4" w:space="0" w:color="auto"/>
              <w:left w:val="single" w:sz="4" w:space="0" w:color="auto"/>
              <w:bottom w:val="single" w:sz="4" w:space="0" w:color="auto"/>
              <w:right w:val="single" w:sz="4" w:space="0" w:color="auto"/>
            </w:tcBorders>
            <w:hideMark/>
          </w:tcPr>
          <w:p w:rsidR="00B65A3B" w:rsidRPr="00EC6E05" w:rsidRDefault="00B65A3B" w:rsidP="00566238">
            <w:pPr>
              <w:pStyle w:val="Tablecentre"/>
              <w:keepNext/>
              <w:keepLines/>
              <w:jc w:val="left"/>
              <w:rPr>
                <w:rFonts w:ascii="Arial Narrow" w:hAnsi="Arial Narrow"/>
              </w:rPr>
            </w:pPr>
            <w:r w:rsidRPr="00EC6E05">
              <w:rPr>
                <w:rFonts w:ascii="Arial Narrow" w:hAnsi="Arial Narrow"/>
              </w:rPr>
              <w:t>SUN</w:t>
            </w:r>
          </w:p>
        </w:tc>
        <w:tc>
          <w:tcPr>
            <w:tcW w:w="881" w:type="pct"/>
            <w:tcBorders>
              <w:top w:val="single" w:sz="4" w:space="0" w:color="auto"/>
              <w:left w:val="single" w:sz="4" w:space="0" w:color="auto"/>
              <w:bottom w:val="single" w:sz="4" w:space="0" w:color="auto"/>
              <w:right w:val="single" w:sz="4" w:space="0" w:color="auto"/>
            </w:tcBorders>
            <w:hideMark/>
          </w:tcPr>
          <w:p w:rsidR="00B65A3B" w:rsidRPr="003462F5" w:rsidRDefault="00B65A3B" w:rsidP="00566238">
            <w:pPr>
              <w:pStyle w:val="Tablecentre"/>
              <w:keepNext/>
              <w:keepLines/>
              <w:rPr>
                <w:rFonts w:ascii="Arial Narrow" w:hAnsi="Arial Narrow"/>
              </w:rPr>
            </w:pPr>
            <w:r w:rsidRPr="003462F5">
              <w:rPr>
                <w:rFonts w:ascii="Arial Narrow" w:hAnsi="Arial Narrow"/>
              </w:rPr>
              <w:t>129/444 (29.1)</w:t>
            </w:r>
          </w:p>
        </w:tc>
        <w:tc>
          <w:tcPr>
            <w:tcW w:w="865" w:type="pct"/>
            <w:tcBorders>
              <w:top w:val="single" w:sz="4" w:space="0" w:color="auto"/>
              <w:left w:val="single" w:sz="4" w:space="0" w:color="auto"/>
              <w:bottom w:val="single" w:sz="4" w:space="0" w:color="auto"/>
              <w:right w:val="single" w:sz="4" w:space="0" w:color="auto"/>
            </w:tcBorders>
            <w:hideMark/>
          </w:tcPr>
          <w:p w:rsidR="00B65A3B" w:rsidRPr="003462F5" w:rsidRDefault="00B65A3B" w:rsidP="00566238">
            <w:pPr>
              <w:pStyle w:val="Tablecentre"/>
              <w:keepNext/>
              <w:keepLines/>
              <w:rPr>
                <w:rFonts w:ascii="Arial Narrow" w:hAnsi="Arial Narrow"/>
              </w:rPr>
            </w:pPr>
            <w:r w:rsidRPr="003462F5">
              <w:rPr>
                <w:rFonts w:ascii="Arial Narrow" w:hAnsi="Arial Narrow"/>
              </w:rPr>
              <w:t>NE (27.4, NE)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5A3B" w:rsidRPr="006A083B" w:rsidRDefault="00B65A3B" w:rsidP="00566238">
            <w:pPr>
              <w:keepNext/>
              <w:keepLines/>
              <w:jc w:val="left"/>
              <w:rPr>
                <w:rFonts w:ascii="Arial Narrow" w:hAnsi="Arial Narrow" w:cstheme="minorBid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5A3B" w:rsidRPr="003462F5" w:rsidRDefault="00B65A3B" w:rsidP="00566238">
            <w:pPr>
              <w:keepNext/>
              <w:keepLines/>
              <w:jc w:val="left"/>
              <w:rPr>
                <w:rFonts w:ascii="Arial Narrow" w:hAnsi="Arial Narrow" w:cstheme="minorBidi"/>
                <w:sz w:val="20"/>
                <w:szCs w:val="20"/>
              </w:rPr>
            </w:pPr>
          </w:p>
        </w:tc>
      </w:tr>
      <w:tr w:rsidR="00B65A3B" w:rsidRPr="00EC6E05" w:rsidTr="00B65A3B">
        <w:trPr>
          <w:trHeight w:val="244"/>
        </w:trPr>
        <w:tc>
          <w:tcPr>
            <w:tcW w:w="777" w:type="pct"/>
            <w:vMerge w:val="restart"/>
            <w:tcBorders>
              <w:top w:val="single" w:sz="4" w:space="0" w:color="auto"/>
              <w:left w:val="single" w:sz="4" w:space="0" w:color="auto"/>
              <w:bottom w:val="single" w:sz="4" w:space="0" w:color="auto"/>
              <w:right w:val="single" w:sz="4" w:space="0" w:color="auto"/>
            </w:tcBorders>
            <w:hideMark/>
          </w:tcPr>
          <w:p w:rsidR="00B65A3B" w:rsidRPr="00EC6E05" w:rsidRDefault="00B65A3B" w:rsidP="00566238">
            <w:pPr>
              <w:pStyle w:val="Tabletext"/>
              <w:keepNext/>
              <w:keepLines/>
            </w:pPr>
            <w:proofErr w:type="spellStart"/>
            <w:r w:rsidRPr="00EC6E05">
              <w:t>CheckMate</w:t>
            </w:r>
            <w:proofErr w:type="spellEnd"/>
            <w:r w:rsidRPr="00EC6E05">
              <w:t xml:space="preserve"> 214</w:t>
            </w:r>
            <w:r w:rsidRPr="00EC6E05">
              <w:rPr>
                <w:b/>
                <w:bCs/>
                <w:vertAlign w:val="superscript"/>
              </w:rPr>
              <w:t>b</w:t>
            </w:r>
          </w:p>
        </w:tc>
        <w:tc>
          <w:tcPr>
            <w:tcW w:w="881" w:type="pct"/>
            <w:tcBorders>
              <w:top w:val="single" w:sz="4" w:space="0" w:color="auto"/>
              <w:left w:val="single" w:sz="4" w:space="0" w:color="auto"/>
              <w:bottom w:val="single" w:sz="4" w:space="0" w:color="auto"/>
              <w:right w:val="single" w:sz="4" w:space="0" w:color="auto"/>
            </w:tcBorders>
            <w:hideMark/>
          </w:tcPr>
          <w:p w:rsidR="00B65A3B" w:rsidRPr="00EC6E05" w:rsidRDefault="00B65A3B" w:rsidP="00566238">
            <w:pPr>
              <w:pStyle w:val="Tablecentre"/>
              <w:keepNext/>
              <w:keepLines/>
              <w:jc w:val="left"/>
              <w:rPr>
                <w:rFonts w:ascii="Arial Narrow" w:hAnsi="Arial Narrow"/>
              </w:rPr>
            </w:pPr>
            <w:r w:rsidRPr="00EC6E05">
              <w:rPr>
                <w:rFonts w:ascii="Arial Narrow" w:hAnsi="Arial Narrow"/>
              </w:rPr>
              <w:t>NIVO + IPI</w:t>
            </w:r>
          </w:p>
        </w:tc>
        <w:tc>
          <w:tcPr>
            <w:tcW w:w="881" w:type="pct"/>
            <w:tcBorders>
              <w:top w:val="single" w:sz="4" w:space="0" w:color="auto"/>
              <w:left w:val="single" w:sz="4" w:space="0" w:color="auto"/>
              <w:bottom w:val="single" w:sz="4" w:space="0" w:color="auto"/>
              <w:right w:val="single" w:sz="4" w:space="0" w:color="auto"/>
            </w:tcBorders>
            <w:hideMark/>
          </w:tcPr>
          <w:p w:rsidR="00B65A3B" w:rsidRPr="003462F5" w:rsidRDefault="00B65A3B" w:rsidP="00566238">
            <w:pPr>
              <w:pStyle w:val="Tablecentre"/>
              <w:keepNext/>
              <w:keepLines/>
              <w:rPr>
                <w:rFonts w:ascii="Arial Narrow" w:hAnsi="Arial Narrow"/>
              </w:rPr>
            </w:pPr>
            <w:r w:rsidRPr="003462F5">
              <w:rPr>
                <w:rFonts w:ascii="Arial Narrow" w:hAnsi="Arial Narrow"/>
              </w:rPr>
              <w:t>140/425 (32.9)</w:t>
            </w:r>
          </w:p>
        </w:tc>
        <w:tc>
          <w:tcPr>
            <w:tcW w:w="865" w:type="pct"/>
            <w:tcBorders>
              <w:top w:val="single" w:sz="4" w:space="0" w:color="auto"/>
              <w:left w:val="single" w:sz="4" w:space="0" w:color="auto"/>
              <w:bottom w:val="single" w:sz="4" w:space="0" w:color="auto"/>
              <w:right w:val="single" w:sz="4" w:space="0" w:color="auto"/>
            </w:tcBorders>
            <w:hideMark/>
          </w:tcPr>
          <w:p w:rsidR="00B65A3B" w:rsidRPr="003462F5" w:rsidRDefault="00B65A3B" w:rsidP="00566238">
            <w:pPr>
              <w:pStyle w:val="Tablecentre"/>
              <w:keepNext/>
              <w:keepLines/>
              <w:rPr>
                <w:rFonts w:ascii="Arial Narrow" w:hAnsi="Arial Narrow"/>
              </w:rPr>
            </w:pPr>
            <w:r w:rsidRPr="003462F5">
              <w:rPr>
                <w:rFonts w:ascii="Arial Narrow" w:hAnsi="Arial Narrow"/>
              </w:rPr>
              <w:t>NE (28.2, NE)</w:t>
            </w:r>
          </w:p>
        </w:tc>
        <w:tc>
          <w:tcPr>
            <w:tcW w:w="777" w:type="pct"/>
            <w:vMerge w:val="restart"/>
            <w:tcBorders>
              <w:top w:val="single" w:sz="4" w:space="0" w:color="auto"/>
              <w:left w:val="single" w:sz="4" w:space="0" w:color="auto"/>
              <w:bottom w:val="single" w:sz="4" w:space="0" w:color="auto"/>
              <w:right w:val="single" w:sz="4" w:space="0" w:color="auto"/>
            </w:tcBorders>
            <w:hideMark/>
          </w:tcPr>
          <w:p w:rsidR="00B65A3B" w:rsidRPr="006A083B" w:rsidRDefault="006A083B" w:rsidP="00566238">
            <w:pPr>
              <w:pStyle w:val="Tablecentre"/>
              <w:keepNext/>
              <w:keepLines/>
              <w:rPr>
                <w:rFonts w:ascii="Arial Narrow" w:hAnsi="Arial Narrow"/>
              </w:rPr>
            </w:pPr>
            <w:r>
              <w:rPr>
                <w:rFonts w:ascii="Arial Narrow" w:hAnsi="Arial Narrow"/>
                <w:b/>
                <w:noProof/>
                <w:color w:val="000000"/>
                <w:highlight w:val="black"/>
              </w:rPr>
              <w:t>''''''''' ''''''''''' '''''''''</w:t>
            </w:r>
            <w:r>
              <w:rPr>
                <w:rFonts w:ascii="Arial Narrow" w:hAnsi="Arial Narrow"/>
                <w:noProof/>
                <w:color w:val="000000"/>
                <w:highlight w:val="black"/>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5A3B" w:rsidRPr="003462F5" w:rsidRDefault="00B65A3B" w:rsidP="00566238">
            <w:pPr>
              <w:keepNext/>
              <w:keepLines/>
              <w:jc w:val="left"/>
              <w:rPr>
                <w:rFonts w:ascii="Arial Narrow" w:hAnsi="Arial Narrow" w:cstheme="minorBidi"/>
                <w:sz w:val="20"/>
                <w:szCs w:val="20"/>
              </w:rPr>
            </w:pPr>
          </w:p>
        </w:tc>
      </w:tr>
      <w:tr w:rsidR="00B65A3B" w:rsidRPr="00EC6E05" w:rsidTr="00B65A3B">
        <w:trPr>
          <w:trHeight w:val="2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566238">
            <w:pPr>
              <w:keepNext/>
              <w:keepLines/>
              <w:jc w:val="left"/>
              <w:rPr>
                <w:rFonts w:ascii="Arial Narrow" w:hAnsi="Arial Narrow" w:cs="Times New Roman"/>
                <w:sz w:val="20"/>
              </w:rPr>
            </w:pPr>
          </w:p>
        </w:tc>
        <w:tc>
          <w:tcPr>
            <w:tcW w:w="881" w:type="pct"/>
            <w:tcBorders>
              <w:top w:val="single" w:sz="4" w:space="0" w:color="auto"/>
              <w:left w:val="single" w:sz="4" w:space="0" w:color="auto"/>
              <w:bottom w:val="single" w:sz="4" w:space="0" w:color="auto"/>
              <w:right w:val="single" w:sz="4" w:space="0" w:color="auto"/>
            </w:tcBorders>
            <w:hideMark/>
          </w:tcPr>
          <w:p w:rsidR="00B65A3B" w:rsidRPr="00EC6E05" w:rsidRDefault="00B65A3B" w:rsidP="00566238">
            <w:pPr>
              <w:pStyle w:val="Tablecentre"/>
              <w:keepNext/>
              <w:keepLines/>
              <w:jc w:val="left"/>
              <w:rPr>
                <w:rFonts w:ascii="Arial Narrow" w:hAnsi="Arial Narrow"/>
              </w:rPr>
            </w:pPr>
            <w:r w:rsidRPr="00EC6E05">
              <w:rPr>
                <w:rFonts w:ascii="Arial Narrow" w:hAnsi="Arial Narrow"/>
              </w:rPr>
              <w:t>SUN</w:t>
            </w:r>
          </w:p>
        </w:tc>
        <w:tc>
          <w:tcPr>
            <w:tcW w:w="881" w:type="pct"/>
            <w:tcBorders>
              <w:top w:val="single" w:sz="4" w:space="0" w:color="auto"/>
              <w:left w:val="single" w:sz="4" w:space="0" w:color="auto"/>
              <w:bottom w:val="single" w:sz="4" w:space="0" w:color="auto"/>
              <w:right w:val="single" w:sz="4" w:space="0" w:color="auto"/>
            </w:tcBorders>
            <w:hideMark/>
          </w:tcPr>
          <w:p w:rsidR="00B65A3B" w:rsidRPr="003462F5" w:rsidRDefault="00B65A3B" w:rsidP="00566238">
            <w:pPr>
              <w:pStyle w:val="Tablecentre"/>
              <w:keepNext/>
              <w:keepLines/>
              <w:rPr>
                <w:rFonts w:ascii="Arial Narrow" w:hAnsi="Arial Narrow"/>
              </w:rPr>
            </w:pPr>
            <w:r w:rsidRPr="003462F5">
              <w:rPr>
                <w:rFonts w:ascii="Arial Narrow" w:hAnsi="Arial Narrow"/>
              </w:rPr>
              <w:t>188/422 (44.5)</w:t>
            </w:r>
          </w:p>
        </w:tc>
        <w:tc>
          <w:tcPr>
            <w:tcW w:w="865" w:type="pct"/>
            <w:tcBorders>
              <w:top w:val="single" w:sz="4" w:space="0" w:color="auto"/>
              <w:left w:val="single" w:sz="4" w:space="0" w:color="auto"/>
              <w:bottom w:val="single" w:sz="4" w:space="0" w:color="auto"/>
              <w:right w:val="single" w:sz="4" w:space="0" w:color="auto"/>
            </w:tcBorders>
            <w:hideMark/>
          </w:tcPr>
          <w:p w:rsidR="00B65A3B" w:rsidRPr="003462F5" w:rsidRDefault="00B65A3B" w:rsidP="00566238">
            <w:pPr>
              <w:pStyle w:val="Tablecentre"/>
              <w:keepNext/>
              <w:keepLines/>
              <w:rPr>
                <w:rFonts w:ascii="Arial Narrow" w:hAnsi="Arial Narrow"/>
              </w:rPr>
            </w:pPr>
            <w:r w:rsidRPr="003462F5">
              <w:rPr>
                <w:rFonts w:ascii="Arial Narrow" w:hAnsi="Arial Narrow"/>
              </w:rPr>
              <w:t>26.0 (22.1, NE)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5A3B" w:rsidRPr="003462F5" w:rsidRDefault="00B65A3B" w:rsidP="00566238">
            <w:pPr>
              <w:keepNext/>
              <w:keepLines/>
              <w:jc w:val="left"/>
              <w:rPr>
                <w:rFonts w:ascii="Arial Narrow" w:hAnsi="Arial Narrow" w:cstheme="minorBid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5A3B" w:rsidRPr="003462F5" w:rsidRDefault="00B65A3B" w:rsidP="00566238">
            <w:pPr>
              <w:keepNext/>
              <w:keepLines/>
              <w:jc w:val="left"/>
              <w:rPr>
                <w:rFonts w:ascii="Arial Narrow" w:hAnsi="Arial Narrow" w:cstheme="minorBidi"/>
                <w:sz w:val="20"/>
                <w:szCs w:val="20"/>
              </w:rPr>
            </w:pPr>
          </w:p>
        </w:tc>
      </w:tr>
      <w:tr w:rsidR="00B65A3B" w:rsidRPr="00EC6E05" w:rsidTr="00B65A3B">
        <w:trPr>
          <w:trHeight w:val="314"/>
        </w:trPr>
        <w:tc>
          <w:tcPr>
            <w:tcW w:w="5000" w:type="pct"/>
            <w:gridSpan w:val="6"/>
            <w:tcBorders>
              <w:top w:val="single" w:sz="4" w:space="0" w:color="auto"/>
              <w:left w:val="single" w:sz="4" w:space="0" w:color="auto"/>
              <w:bottom w:val="single" w:sz="4" w:space="0" w:color="auto"/>
              <w:right w:val="single" w:sz="4" w:space="0" w:color="auto"/>
            </w:tcBorders>
            <w:hideMark/>
          </w:tcPr>
          <w:p w:rsidR="00B65A3B" w:rsidRPr="003462F5" w:rsidRDefault="00B65A3B" w:rsidP="00566238">
            <w:pPr>
              <w:pStyle w:val="Tablecentre"/>
              <w:keepNext/>
              <w:keepLines/>
              <w:jc w:val="left"/>
              <w:rPr>
                <w:rFonts w:ascii="Arial Narrow" w:hAnsi="Arial Narrow"/>
                <w:b/>
                <w:bCs/>
              </w:rPr>
            </w:pPr>
            <w:r w:rsidRPr="003462F5">
              <w:rPr>
                <w:rFonts w:ascii="Arial Narrow" w:hAnsi="Arial Narrow"/>
                <w:b/>
                <w:bCs/>
              </w:rPr>
              <w:t xml:space="preserve">JAVELIN Intermediate or poor IMDC risk versus </w:t>
            </w:r>
            <w:proofErr w:type="spellStart"/>
            <w:r w:rsidRPr="003462F5">
              <w:rPr>
                <w:rFonts w:ascii="Arial Narrow" w:hAnsi="Arial Narrow"/>
                <w:b/>
                <w:bCs/>
              </w:rPr>
              <w:t>CheckMate</w:t>
            </w:r>
            <w:proofErr w:type="spellEnd"/>
            <w:r w:rsidRPr="003462F5">
              <w:rPr>
                <w:rFonts w:ascii="Arial Narrow" w:hAnsi="Arial Narrow"/>
                <w:b/>
                <w:bCs/>
              </w:rPr>
              <w:t xml:space="preserve"> 214 intermediate or poor IMDC risk</w:t>
            </w:r>
          </w:p>
        </w:tc>
      </w:tr>
      <w:tr w:rsidR="00B65A3B" w:rsidRPr="00EC6E05" w:rsidTr="00B65A3B">
        <w:trPr>
          <w:trHeight w:val="244"/>
        </w:trPr>
        <w:tc>
          <w:tcPr>
            <w:tcW w:w="777" w:type="pct"/>
            <w:vMerge w:val="restart"/>
            <w:tcBorders>
              <w:top w:val="single" w:sz="4" w:space="0" w:color="auto"/>
              <w:left w:val="single" w:sz="4" w:space="0" w:color="auto"/>
              <w:bottom w:val="single" w:sz="4" w:space="0" w:color="auto"/>
              <w:right w:val="single" w:sz="4" w:space="0" w:color="auto"/>
            </w:tcBorders>
            <w:hideMark/>
          </w:tcPr>
          <w:p w:rsidR="00B65A3B" w:rsidRPr="00EC6E05" w:rsidRDefault="00B65A3B" w:rsidP="00566238">
            <w:pPr>
              <w:pStyle w:val="Tabletext"/>
              <w:keepNext/>
              <w:keepLines/>
            </w:pPr>
            <w:r w:rsidRPr="00EC6E05">
              <w:t>JAVELIN</w:t>
            </w:r>
            <w:r w:rsidRPr="00EC6E05">
              <w:rPr>
                <w:b/>
                <w:bCs/>
                <w:vertAlign w:val="superscript"/>
              </w:rPr>
              <w:t xml:space="preserve"> a</w:t>
            </w:r>
          </w:p>
        </w:tc>
        <w:tc>
          <w:tcPr>
            <w:tcW w:w="881" w:type="pct"/>
            <w:tcBorders>
              <w:top w:val="single" w:sz="4" w:space="0" w:color="auto"/>
              <w:left w:val="single" w:sz="4" w:space="0" w:color="auto"/>
              <w:bottom w:val="single" w:sz="4" w:space="0" w:color="auto"/>
              <w:right w:val="single" w:sz="4" w:space="0" w:color="auto"/>
            </w:tcBorders>
            <w:hideMark/>
          </w:tcPr>
          <w:p w:rsidR="00B65A3B" w:rsidRPr="00EC6E05" w:rsidRDefault="00B65A3B" w:rsidP="00566238">
            <w:pPr>
              <w:pStyle w:val="Tablecentre"/>
              <w:keepNext/>
              <w:keepLines/>
              <w:jc w:val="left"/>
              <w:rPr>
                <w:rFonts w:ascii="Arial Narrow" w:hAnsi="Arial Narrow"/>
              </w:rPr>
            </w:pPr>
            <w:r w:rsidRPr="00EC6E05">
              <w:rPr>
                <w:rFonts w:ascii="Arial Narrow" w:hAnsi="Arial Narrow"/>
              </w:rPr>
              <w:t>AVE + AXI</w:t>
            </w:r>
          </w:p>
        </w:tc>
        <w:tc>
          <w:tcPr>
            <w:tcW w:w="881" w:type="pct"/>
            <w:tcBorders>
              <w:top w:val="single" w:sz="4" w:space="0" w:color="auto"/>
              <w:left w:val="single" w:sz="4" w:space="0" w:color="auto"/>
              <w:bottom w:val="single" w:sz="4" w:space="0" w:color="auto"/>
              <w:right w:val="single" w:sz="4" w:space="0" w:color="auto"/>
            </w:tcBorders>
            <w:hideMark/>
          </w:tcPr>
          <w:p w:rsidR="00B65A3B" w:rsidRPr="006A083B" w:rsidRDefault="006A083B" w:rsidP="00566238">
            <w:pPr>
              <w:pStyle w:val="Tablecentre"/>
              <w:keepNext/>
              <w:keepLines/>
              <w:rPr>
                <w:rFonts w:ascii="Arial Narrow" w:hAnsi="Arial Narrow"/>
                <w:highlight w:val="black"/>
              </w:rPr>
            </w:pPr>
            <w:r>
              <w:rPr>
                <w:rFonts w:ascii="Arial Narrow" w:hAnsi="Arial Narrow"/>
                <w:noProof/>
                <w:color w:val="000000"/>
                <w:highlight w:val="black"/>
              </w:rPr>
              <w:t>'''''''''''''''' '''''''''''''''</w:t>
            </w:r>
          </w:p>
        </w:tc>
        <w:tc>
          <w:tcPr>
            <w:tcW w:w="865" w:type="pct"/>
            <w:tcBorders>
              <w:top w:val="single" w:sz="4" w:space="0" w:color="auto"/>
              <w:left w:val="single" w:sz="4" w:space="0" w:color="auto"/>
              <w:bottom w:val="single" w:sz="4" w:space="0" w:color="auto"/>
              <w:right w:val="single" w:sz="4" w:space="0" w:color="auto"/>
            </w:tcBorders>
            <w:hideMark/>
          </w:tcPr>
          <w:p w:rsidR="00B65A3B" w:rsidRPr="006A083B" w:rsidRDefault="006A083B" w:rsidP="00566238">
            <w:pPr>
              <w:pStyle w:val="Tablecentre"/>
              <w:keepNext/>
              <w:keepLines/>
              <w:rPr>
                <w:rFonts w:ascii="Arial Narrow" w:hAnsi="Arial Narrow"/>
                <w:highlight w:val="black"/>
              </w:rPr>
            </w:pPr>
            <w:r>
              <w:rPr>
                <w:rFonts w:ascii="Arial Narrow" w:hAnsi="Arial Narrow"/>
                <w:noProof/>
                <w:color w:val="000000"/>
                <w:highlight w:val="black"/>
              </w:rPr>
              <w:t>'''''''''' ''''''''''''' ''''''''''</w:t>
            </w:r>
          </w:p>
        </w:tc>
        <w:tc>
          <w:tcPr>
            <w:tcW w:w="777" w:type="pct"/>
            <w:vMerge w:val="restart"/>
            <w:tcBorders>
              <w:top w:val="single" w:sz="4" w:space="0" w:color="auto"/>
              <w:left w:val="single" w:sz="4" w:space="0" w:color="auto"/>
              <w:bottom w:val="single" w:sz="4" w:space="0" w:color="auto"/>
              <w:right w:val="single" w:sz="4" w:space="0" w:color="auto"/>
            </w:tcBorders>
            <w:hideMark/>
          </w:tcPr>
          <w:p w:rsidR="00B65A3B" w:rsidRPr="006A083B" w:rsidRDefault="006A083B" w:rsidP="00566238">
            <w:pPr>
              <w:pStyle w:val="Tablecentre"/>
              <w:keepNext/>
              <w:keepLines/>
              <w:rPr>
                <w:rFonts w:ascii="Arial Narrow" w:hAnsi="Arial Narrow"/>
                <w:highlight w:val="black"/>
              </w:rPr>
            </w:pPr>
            <w:r>
              <w:rPr>
                <w:rFonts w:ascii="Arial Narrow" w:hAnsi="Arial Narrow"/>
                <w:noProof/>
                <w:color w:val="000000"/>
                <w:highlight w:val="black"/>
              </w:rPr>
              <w:t>'''''''''' ''''''''''''''' '''''''''''</w:t>
            </w:r>
          </w:p>
        </w:tc>
        <w:tc>
          <w:tcPr>
            <w:tcW w:w="819" w:type="pct"/>
            <w:vMerge w:val="restart"/>
            <w:tcBorders>
              <w:top w:val="single" w:sz="4" w:space="0" w:color="auto"/>
              <w:left w:val="single" w:sz="4" w:space="0" w:color="auto"/>
              <w:bottom w:val="single" w:sz="4" w:space="0" w:color="auto"/>
              <w:right w:val="single" w:sz="4" w:space="0" w:color="auto"/>
            </w:tcBorders>
            <w:hideMark/>
          </w:tcPr>
          <w:p w:rsidR="00B65A3B" w:rsidRPr="006A083B" w:rsidRDefault="006A083B" w:rsidP="00566238">
            <w:pPr>
              <w:pStyle w:val="Tablecentre"/>
              <w:keepNext/>
              <w:keepLines/>
              <w:rPr>
                <w:rFonts w:ascii="Arial Narrow" w:hAnsi="Arial Narrow"/>
                <w:highlight w:val="black"/>
              </w:rPr>
            </w:pPr>
            <w:r>
              <w:rPr>
                <w:rFonts w:ascii="Arial Narrow" w:hAnsi="Arial Narrow"/>
                <w:noProof/>
                <w:color w:val="000000"/>
                <w:highlight w:val="black"/>
              </w:rPr>
              <w:t>''''''''''' ''''''''''''''' ''''''''''''''</w:t>
            </w:r>
          </w:p>
          <w:p w:rsidR="00B65A3B" w:rsidRPr="006A083B" w:rsidRDefault="006A083B" w:rsidP="00566238">
            <w:pPr>
              <w:pStyle w:val="Tablecentre"/>
              <w:keepNext/>
              <w:keepLines/>
              <w:rPr>
                <w:rFonts w:ascii="Arial Narrow" w:hAnsi="Arial Narrow"/>
                <w:highlight w:val="black"/>
              </w:rPr>
            </w:pPr>
            <w:r>
              <w:rPr>
                <w:rFonts w:ascii="Arial Narrow" w:hAnsi="Arial Narrow"/>
                <w:noProof/>
                <w:color w:val="000000"/>
                <w:highlight w:val="black"/>
              </w:rPr>
              <w:t>''' ''' '''''''''''''''</w:t>
            </w:r>
          </w:p>
        </w:tc>
      </w:tr>
      <w:tr w:rsidR="00B65A3B" w:rsidRPr="00EC6E05" w:rsidTr="00B65A3B">
        <w:trPr>
          <w:trHeight w:val="2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566238">
            <w:pPr>
              <w:keepNext/>
              <w:keepLines/>
              <w:jc w:val="left"/>
              <w:rPr>
                <w:rFonts w:ascii="Arial Narrow" w:hAnsi="Arial Narrow" w:cs="Times New Roman"/>
                <w:sz w:val="20"/>
              </w:rPr>
            </w:pPr>
          </w:p>
        </w:tc>
        <w:tc>
          <w:tcPr>
            <w:tcW w:w="881" w:type="pct"/>
            <w:tcBorders>
              <w:top w:val="single" w:sz="4" w:space="0" w:color="auto"/>
              <w:left w:val="single" w:sz="4" w:space="0" w:color="auto"/>
              <w:bottom w:val="single" w:sz="4" w:space="0" w:color="auto"/>
              <w:right w:val="single" w:sz="4" w:space="0" w:color="auto"/>
            </w:tcBorders>
            <w:hideMark/>
          </w:tcPr>
          <w:p w:rsidR="00B65A3B" w:rsidRPr="00EC6E05" w:rsidRDefault="00B65A3B" w:rsidP="00566238">
            <w:pPr>
              <w:pStyle w:val="Tablecentre"/>
              <w:keepNext/>
              <w:keepLines/>
              <w:jc w:val="left"/>
              <w:rPr>
                <w:rFonts w:ascii="Arial Narrow" w:hAnsi="Arial Narrow"/>
              </w:rPr>
            </w:pPr>
            <w:r w:rsidRPr="00EC6E05">
              <w:rPr>
                <w:rFonts w:ascii="Arial Narrow" w:hAnsi="Arial Narrow"/>
              </w:rPr>
              <w:t>SUN</w:t>
            </w:r>
          </w:p>
        </w:tc>
        <w:tc>
          <w:tcPr>
            <w:tcW w:w="881" w:type="pct"/>
            <w:tcBorders>
              <w:top w:val="single" w:sz="4" w:space="0" w:color="auto"/>
              <w:left w:val="single" w:sz="4" w:space="0" w:color="auto"/>
              <w:bottom w:val="single" w:sz="4" w:space="0" w:color="auto"/>
              <w:right w:val="single" w:sz="4" w:space="0" w:color="auto"/>
            </w:tcBorders>
            <w:hideMark/>
          </w:tcPr>
          <w:p w:rsidR="00B65A3B" w:rsidRPr="006A083B" w:rsidRDefault="006A083B" w:rsidP="00566238">
            <w:pPr>
              <w:pStyle w:val="Tablecentre"/>
              <w:keepNext/>
              <w:keepLines/>
              <w:rPr>
                <w:rFonts w:ascii="Arial Narrow" w:hAnsi="Arial Narrow"/>
                <w:highlight w:val="black"/>
              </w:rPr>
            </w:pPr>
            <w:r>
              <w:rPr>
                <w:rFonts w:ascii="Arial Narrow" w:hAnsi="Arial Narrow"/>
                <w:noProof/>
                <w:color w:val="000000"/>
                <w:highlight w:val="black"/>
              </w:rPr>
              <w:t>'''''''''''''''''''' '''''''''''''''</w:t>
            </w:r>
          </w:p>
        </w:tc>
        <w:tc>
          <w:tcPr>
            <w:tcW w:w="865" w:type="pct"/>
            <w:tcBorders>
              <w:top w:val="single" w:sz="4" w:space="0" w:color="auto"/>
              <w:left w:val="single" w:sz="4" w:space="0" w:color="auto"/>
              <w:bottom w:val="single" w:sz="4" w:space="0" w:color="auto"/>
              <w:right w:val="single" w:sz="4" w:space="0" w:color="auto"/>
            </w:tcBorders>
            <w:hideMark/>
          </w:tcPr>
          <w:p w:rsidR="00B65A3B" w:rsidRPr="006A083B" w:rsidRDefault="006A083B" w:rsidP="00566238">
            <w:pPr>
              <w:pStyle w:val="Tablecentre"/>
              <w:keepNext/>
              <w:keepLines/>
              <w:rPr>
                <w:rFonts w:ascii="Arial Narrow" w:hAnsi="Arial Narrow"/>
                <w:highlight w:val="black"/>
              </w:rPr>
            </w:pPr>
            <w:r>
              <w:rPr>
                <w:rFonts w:ascii="Arial Narrow" w:hAnsi="Arial Narrow"/>
                <w:noProof/>
                <w:color w:val="000000"/>
                <w:highlight w:val="black"/>
              </w:rPr>
              <w:t>''''''''''' ''''''''''''''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5A3B" w:rsidRPr="006A083B" w:rsidRDefault="00B65A3B" w:rsidP="00566238">
            <w:pPr>
              <w:keepNext/>
              <w:keepLines/>
              <w:jc w:val="left"/>
              <w:rPr>
                <w:rFonts w:ascii="Arial Narrow" w:hAnsi="Arial Narrow" w:cstheme="minorBid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5A3B" w:rsidRPr="003462F5" w:rsidRDefault="00B65A3B" w:rsidP="00566238">
            <w:pPr>
              <w:keepNext/>
              <w:keepLines/>
              <w:jc w:val="left"/>
              <w:rPr>
                <w:rFonts w:ascii="Arial Narrow" w:hAnsi="Arial Narrow" w:cstheme="minorBidi"/>
                <w:sz w:val="20"/>
                <w:szCs w:val="20"/>
              </w:rPr>
            </w:pPr>
          </w:p>
        </w:tc>
      </w:tr>
      <w:tr w:rsidR="00B65A3B" w:rsidRPr="00EC6E05" w:rsidTr="00B65A3B">
        <w:trPr>
          <w:trHeight w:val="244"/>
        </w:trPr>
        <w:tc>
          <w:tcPr>
            <w:tcW w:w="777" w:type="pct"/>
            <w:vMerge w:val="restart"/>
            <w:tcBorders>
              <w:top w:val="single" w:sz="4" w:space="0" w:color="auto"/>
              <w:left w:val="single" w:sz="4" w:space="0" w:color="auto"/>
              <w:bottom w:val="single" w:sz="4" w:space="0" w:color="auto"/>
              <w:right w:val="single" w:sz="4" w:space="0" w:color="auto"/>
            </w:tcBorders>
            <w:hideMark/>
          </w:tcPr>
          <w:p w:rsidR="00B65A3B" w:rsidRPr="00EC6E05" w:rsidRDefault="00B65A3B" w:rsidP="00566238">
            <w:pPr>
              <w:pStyle w:val="Tabletext"/>
              <w:keepNext/>
              <w:keepLines/>
            </w:pPr>
            <w:proofErr w:type="spellStart"/>
            <w:r w:rsidRPr="00EC6E05">
              <w:t>CheckMate</w:t>
            </w:r>
            <w:proofErr w:type="spellEnd"/>
            <w:r w:rsidRPr="00EC6E05">
              <w:t xml:space="preserve"> 214</w:t>
            </w:r>
            <w:r w:rsidRPr="00EC6E05">
              <w:rPr>
                <w:b/>
                <w:bCs/>
                <w:vertAlign w:val="superscript"/>
              </w:rPr>
              <w:t>b</w:t>
            </w:r>
          </w:p>
        </w:tc>
        <w:tc>
          <w:tcPr>
            <w:tcW w:w="881" w:type="pct"/>
            <w:tcBorders>
              <w:top w:val="single" w:sz="4" w:space="0" w:color="auto"/>
              <w:left w:val="single" w:sz="4" w:space="0" w:color="auto"/>
              <w:bottom w:val="single" w:sz="4" w:space="0" w:color="auto"/>
              <w:right w:val="single" w:sz="4" w:space="0" w:color="auto"/>
            </w:tcBorders>
            <w:hideMark/>
          </w:tcPr>
          <w:p w:rsidR="00B65A3B" w:rsidRPr="00EC6E05" w:rsidRDefault="00B65A3B" w:rsidP="00566238">
            <w:pPr>
              <w:pStyle w:val="Tablecentre"/>
              <w:keepNext/>
              <w:keepLines/>
              <w:jc w:val="left"/>
              <w:rPr>
                <w:rFonts w:ascii="Arial Narrow" w:hAnsi="Arial Narrow"/>
              </w:rPr>
            </w:pPr>
            <w:r w:rsidRPr="00EC6E05">
              <w:rPr>
                <w:rFonts w:ascii="Arial Narrow" w:hAnsi="Arial Narrow"/>
              </w:rPr>
              <w:t>NIVO + IPI</w:t>
            </w:r>
          </w:p>
        </w:tc>
        <w:tc>
          <w:tcPr>
            <w:tcW w:w="881" w:type="pct"/>
            <w:tcBorders>
              <w:top w:val="single" w:sz="4" w:space="0" w:color="auto"/>
              <w:left w:val="single" w:sz="4" w:space="0" w:color="auto"/>
              <w:bottom w:val="single" w:sz="4" w:space="0" w:color="auto"/>
              <w:right w:val="single" w:sz="4" w:space="0" w:color="auto"/>
            </w:tcBorders>
            <w:hideMark/>
          </w:tcPr>
          <w:p w:rsidR="00B65A3B" w:rsidRPr="006A083B" w:rsidRDefault="006A083B" w:rsidP="00566238">
            <w:pPr>
              <w:pStyle w:val="Tablecentre"/>
              <w:keepNext/>
              <w:keepLines/>
              <w:rPr>
                <w:rFonts w:ascii="Arial Narrow" w:hAnsi="Arial Narrow"/>
                <w:highlight w:val="black"/>
              </w:rPr>
            </w:pPr>
            <w:r>
              <w:rPr>
                <w:rFonts w:ascii="Arial Narrow" w:hAnsi="Arial Narrow"/>
                <w:noProof/>
                <w:color w:val="000000"/>
                <w:highlight w:val="black"/>
              </w:rPr>
              <w:t>''''''''''''''''''''' '''''''''''''''</w:t>
            </w:r>
          </w:p>
        </w:tc>
        <w:tc>
          <w:tcPr>
            <w:tcW w:w="865" w:type="pct"/>
            <w:tcBorders>
              <w:top w:val="single" w:sz="4" w:space="0" w:color="auto"/>
              <w:left w:val="single" w:sz="4" w:space="0" w:color="auto"/>
              <w:bottom w:val="single" w:sz="4" w:space="0" w:color="auto"/>
              <w:right w:val="single" w:sz="4" w:space="0" w:color="auto"/>
            </w:tcBorders>
            <w:hideMark/>
          </w:tcPr>
          <w:p w:rsidR="00B65A3B" w:rsidRPr="006A083B" w:rsidRDefault="006A083B" w:rsidP="00566238">
            <w:pPr>
              <w:pStyle w:val="Tablecentre"/>
              <w:keepNext/>
              <w:keepLines/>
              <w:rPr>
                <w:rFonts w:ascii="Arial Narrow" w:hAnsi="Arial Narrow"/>
                <w:highlight w:val="black"/>
              </w:rPr>
            </w:pPr>
            <w:r>
              <w:rPr>
                <w:rFonts w:ascii="Arial Narrow" w:hAnsi="Arial Narrow"/>
                <w:noProof/>
                <w:color w:val="000000"/>
                <w:highlight w:val="black"/>
              </w:rPr>
              <w:t>'''''''' '''''''''''' '''''''''</w:t>
            </w:r>
          </w:p>
        </w:tc>
        <w:tc>
          <w:tcPr>
            <w:tcW w:w="777" w:type="pct"/>
            <w:vMerge w:val="restart"/>
            <w:tcBorders>
              <w:top w:val="single" w:sz="4" w:space="0" w:color="auto"/>
              <w:left w:val="single" w:sz="4" w:space="0" w:color="auto"/>
              <w:bottom w:val="single" w:sz="4" w:space="0" w:color="auto"/>
              <w:right w:val="single" w:sz="4" w:space="0" w:color="auto"/>
            </w:tcBorders>
            <w:hideMark/>
          </w:tcPr>
          <w:p w:rsidR="00B65A3B" w:rsidRPr="006A083B" w:rsidRDefault="006A083B" w:rsidP="00566238">
            <w:pPr>
              <w:pStyle w:val="Tablecentre"/>
              <w:keepNext/>
              <w:keepLines/>
              <w:rPr>
                <w:rFonts w:ascii="Arial Narrow" w:hAnsi="Arial Narrow"/>
              </w:rPr>
            </w:pPr>
            <w:r>
              <w:rPr>
                <w:rFonts w:ascii="Arial Narrow" w:hAnsi="Arial Narrow"/>
                <w:b/>
                <w:noProof/>
                <w:color w:val="000000"/>
                <w:highlight w:val="black"/>
              </w:rPr>
              <w:t>'''''''' '''''''''''' '''''''''''</w:t>
            </w:r>
            <w:r>
              <w:rPr>
                <w:rFonts w:ascii="Arial Narrow" w:hAnsi="Arial Narrow"/>
                <w:noProof/>
                <w:color w:val="000000"/>
                <w:highlight w:val="black"/>
                <w:vertAlign w:val="superscript"/>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5A3B" w:rsidRPr="003462F5" w:rsidRDefault="00B65A3B" w:rsidP="00566238">
            <w:pPr>
              <w:keepNext/>
              <w:keepLines/>
              <w:jc w:val="left"/>
              <w:rPr>
                <w:rFonts w:ascii="Arial Narrow" w:hAnsi="Arial Narrow" w:cstheme="minorBidi"/>
                <w:sz w:val="20"/>
                <w:szCs w:val="20"/>
              </w:rPr>
            </w:pPr>
          </w:p>
        </w:tc>
      </w:tr>
      <w:tr w:rsidR="00B65A3B" w:rsidRPr="00EC6E05" w:rsidTr="00B65A3B">
        <w:trPr>
          <w:trHeight w:val="2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566238">
            <w:pPr>
              <w:keepNext/>
              <w:keepLines/>
              <w:jc w:val="left"/>
              <w:rPr>
                <w:rFonts w:ascii="Arial Narrow" w:hAnsi="Arial Narrow" w:cs="Times New Roman"/>
                <w:sz w:val="20"/>
              </w:rPr>
            </w:pPr>
          </w:p>
        </w:tc>
        <w:tc>
          <w:tcPr>
            <w:tcW w:w="881" w:type="pct"/>
            <w:tcBorders>
              <w:top w:val="single" w:sz="4" w:space="0" w:color="auto"/>
              <w:left w:val="single" w:sz="4" w:space="0" w:color="auto"/>
              <w:bottom w:val="single" w:sz="4" w:space="0" w:color="auto"/>
              <w:right w:val="single" w:sz="4" w:space="0" w:color="auto"/>
            </w:tcBorders>
            <w:hideMark/>
          </w:tcPr>
          <w:p w:rsidR="00B65A3B" w:rsidRPr="00EC6E05" w:rsidRDefault="00B65A3B" w:rsidP="00566238">
            <w:pPr>
              <w:pStyle w:val="Tablecentre"/>
              <w:keepNext/>
              <w:keepLines/>
              <w:jc w:val="left"/>
              <w:rPr>
                <w:rFonts w:ascii="Arial Narrow" w:hAnsi="Arial Narrow"/>
              </w:rPr>
            </w:pPr>
            <w:r w:rsidRPr="00EC6E05">
              <w:rPr>
                <w:rFonts w:ascii="Arial Narrow" w:hAnsi="Arial Narrow"/>
              </w:rPr>
              <w:t>SUN</w:t>
            </w:r>
          </w:p>
        </w:tc>
        <w:tc>
          <w:tcPr>
            <w:tcW w:w="881" w:type="pct"/>
            <w:tcBorders>
              <w:top w:val="single" w:sz="4" w:space="0" w:color="auto"/>
              <w:left w:val="single" w:sz="4" w:space="0" w:color="auto"/>
              <w:bottom w:val="single" w:sz="4" w:space="0" w:color="auto"/>
              <w:right w:val="single" w:sz="4" w:space="0" w:color="auto"/>
            </w:tcBorders>
            <w:hideMark/>
          </w:tcPr>
          <w:p w:rsidR="00B65A3B" w:rsidRPr="006A083B" w:rsidRDefault="006A083B" w:rsidP="00566238">
            <w:pPr>
              <w:pStyle w:val="Tablecentre"/>
              <w:keepNext/>
              <w:keepLines/>
              <w:rPr>
                <w:rFonts w:ascii="Arial Narrow" w:hAnsi="Arial Narrow"/>
                <w:highlight w:val="black"/>
              </w:rPr>
            </w:pPr>
            <w:r>
              <w:rPr>
                <w:rFonts w:ascii="Arial Narrow" w:hAnsi="Arial Narrow"/>
                <w:noProof/>
                <w:color w:val="000000"/>
                <w:highlight w:val="black"/>
              </w:rPr>
              <w:t>'''''''''''''''''' '''''''''''''''</w:t>
            </w:r>
          </w:p>
        </w:tc>
        <w:tc>
          <w:tcPr>
            <w:tcW w:w="865" w:type="pct"/>
            <w:tcBorders>
              <w:top w:val="single" w:sz="4" w:space="0" w:color="auto"/>
              <w:left w:val="single" w:sz="4" w:space="0" w:color="auto"/>
              <w:bottom w:val="single" w:sz="4" w:space="0" w:color="auto"/>
              <w:right w:val="single" w:sz="4" w:space="0" w:color="auto"/>
            </w:tcBorders>
            <w:hideMark/>
          </w:tcPr>
          <w:p w:rsidR="00B65A3B" w:rsidRPr="006A083B" w:rsidRDefault="006A083B" w:rsidP="00566238">
            <w:pPr>
              <w:pStyle w:val="Tablecentre"/>
              <w:keepNext/>
              <w:keepLines/>
              <w:rPr>
                <w:rFonts w:ascii="Arial Narrow" w:hAnsi="Arial Narrow"/>
                <w:highlight w:val="black"/>
              </w:rPr>
            </w:pPr>
            <w:r>
              <w:rPr>
                <w:rFonts w:ascii="Arial Narrow" w:hAnsi="Arial Narrow"/>
                <w:noProof/>
                <w:color w:val="000000"/>
                <w:highlight w:val="black"/>
              </w:rPr>
              <w:t>''''''''''' '''''''''''''''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5A3B" w:rsidRPr="003462F5" w:rsidRDefault="00B65A3B" w:rsidP="00566238">
            <w:pPr>
              <w:keepNext/>
              <w:keepLines/>
              <w:jc w:val="left"/>
              <w:rPr>
                <w:rFonts w:ascii="Arial Narrow" w:hAnsi="Arial Narrow" w:cstheme="minorBid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5A3B" w:rsidRPr="003462F5" w:rsidRDefault="00B65A3B" w:rsidP="00566238">
            <w:pPr>
              <w:keepNext/>
              <w:keepLines/>
              <w:jc w:val="left"/>
              <w:rPr>
                <w:rFonts w:ascii="Arial Narrow" w:hAnsi="Arial Narrow" w:cstheme="minorBidi"/>
                <w:sz w:val="20"/>
                <w:szCs w:val="20"/>
              </w:rPr>
            </w:pPr>
          </w:p>
        </w:tc>
      </w:tr>
      <w:tr w:rsidR="00B65A3B" w:rsidRPr="00EC6E05" w:rsidTr="00B65A3B">
        <w:trPr>
          <w:trHeight w:val="244"/>
        </w:trPr>
        <w:tc>
          <w:tcPr>
            <w:tcW w:w="5000" w:type="pct"/>
            <w:gridSpan w:val="6"/>
            <w:tcBorders>
              <w:top w:val="single" w:sz="4" w:space="0" w:color="auto"/>
              <w:left w:val="single" w:sz="4" w:space="0" w:color="auto"/>
              <w:bottom w:val="single" w:sz="4" w:space="0" w:color="auto"/>
              <w:right w:val="single" w:sz="4" w:space="0" w:color="auto"/>
            </w:tcBorders>
            <w:hideMark/>
          </w:tcPr>
          <w:p w:rsidR="00B65A3B" w:rsidRPr="003462F5" w:rsidRDefault="00B65A3B" w:rsidP="00566238">
            <w:pPr>
              <w:pStyle w:val="Tablecentre"/>
              <w:keepNext/>
              <w:keepLines/>
              <w:jc w:val="left"/>
              <w:rPr>
                <w:rFonts w:ascii="Arial Narrow" w:hAnsi="Arial Narrow"/>
                <w:b/>
                <w:bCs/>
                <w:vertAlign w:val="superscript"/>
              </w:rPr>
            </w:pPr>
            <w:r w:rsidRPr="003462F5">
              <w:rPr>
                <w:rFonts w:ascii="Arial Narrow" w:hAnsi="Arial Narrow"/>
                <w:b/>
                <w:bCs/>
              </w:rPr>
              <w:t xml:space="preserve">JAVELIN ITT population versus </w:t>
            </w:r>
            <w:proofErr w:type="spellStart"/>
            <w:r w:rsidRPr="003462F5">
              <w:rPr>
                <w:rFonts w:ascii="Arial Narrow" w:hAnsi="Arial Narrow"/>
                <w:b/>
                <w:bCs/>
              </w:rPr>
              <w:t>CheckMate</w:t>
            </w:r>
            <w:proofErr w:type="spellEnd"/>
            <w:r w:rsidRPr="003462F5">
              <w:rPr>
                <w:rFonts w:ascii="Arial Narrow" w:hAnsi="Arial Narrow"/>
                <w:b/>
                <w:bCs/>
              </w:rPr>
              <w:t xml:space="preserve"> 214 ITT population </w:t>
            </w:r>
            <w:r w:rsidRPr="003462F5">
              <w:rPr>
                <w:rFonts w:ascii="Arial Narrow" w:hAnsi="Arial Narrow"/>
                <w:b/>
                <w:bCs/>
                <w:vertAlign w:val="superscript"/>
              </w:rPr>
              <w:t>e</w:t>
            </w:r>
          </w:p>
        </w:tc>
      </w:tr>
      <w:tr w:rsidR="00B65A3B" w:rsidRPr="00EC6E05" w:rsidTr="00B65A3B">
        <w:trPr>
          <w:trHeight w:val="244"/>
        </w:trPr>
        <w:tc>
          <w:tcPr>
            <w:tcW w:w="777" w:type="pct"/>
            <w:vMerge w:val="restart"/>
            <w:tcBorders>
              <w:top w:val="single" w:sz="4" w:space="0" w:color="auto"/>
              <w:left w:val="single" w:sz="4" w:space="0" w:color="auto"/>
              <w:bottom w:val="single" w:sz="4" w:space="0" w:color="auto"/>
              <w:right w:val="single" w:sz="4" w:space="0" w:color="auto"/>
            </w:tcBorders>
            <w:hideMark/>
          </w:tcPr>
          <w:p w:rsidR="00B65A3B" w:rsidRPr="00EC6E05" w:rsidRDefault="00B65A3B" w:rsidP="00566238">
            <w:pPr>
              <w:pStyle w:val="Tabletext"/>
              <w:keepNext/>
              <w:keepLines/>
            </w:pPr>
            <w:r w:rsidRPr="00EC6E05">
              <w:t>JAVELIN</w:t>
            </w:r>
            <w:r w:rsidRPr="00EC6E05">
              <w:rPr>
                <w:b/>
                <w:bCs/>
                <w:vertAlign w:val="superscript"/>
              </w:rPr>
              <w:t xml:space="preserve"> a</w:t>
            </w:r>
          </w:p>
        </w:tc>
        <w:tc>
          <w:tcPr>
            <w:tcW w:w="881" w:type="pct"/>
            <w:tcBorders>
              <w:top w:val="single" w:sz="4" w:space="0" w:color="auto"/>
              <w:left w:val="single" w:sz="4" w:space="0" w:color="auto"/>
              <w:bottom w:val="single" w:sz="4" w:space="0" w:color="auto"/>
              <w:right w:val="single" w:sz="4" w:space="0" w:color="auto"/>
            </w:tcBorders>
            <w:hideMark/>
          </w:tcPr>
          <w:p w:rsidR="00B65A3B" w:rsidRPr="00EC6E05" w:rsidRDefault="00B65A3B" w:rsidP="00566238">
            <w:pPr>
              <w:pStyle w:val="Tablecentre"/>
              <w:keepNext/>
              <w:keepLines/>
              <w:jc w:val="left"/>
              <w:rPr>
                <w:rFonts w:ascii="Arial Narrow" w:hAnsi="Arial Narrow"/>
              </w:rPr>
            </w:pPr>
            <w:r w:rsidRPr="00EC6E05">
              <w:rPr>
                <w:rFonts w:ascii="Arial Narrow" w:hAnsi="Arial Narrow"/>
              </w:rPr>
              <w:t>AVE + AXI</w:t>
            </w:r>
          </w:p>
        </w:tc>
        <w:tc>
          <w:tcPr>
            <w:tcW w:w="881" w:type="pct"/>
            <w:tcBorders>
              <w:top w:val="single" w:sz="4" w:space="0" w:color="auto"/>
              <w:left w:val="single" w:sz="4" w:space="0" w:color="auto"/>
              <w:bottom w:val="single" w:sz="4" w:space="0" w:color="auto"/>
              <w:right w:val="single" w:sz="4" w:space="0" w:color="auto"/>
            </w:tcBorders>
            <w:hideMark/>
          </w:tcPr>
          <w:p w:rsidR="00B65A3B" w:rsidRPr="003462F5" w:rsidRDefault="00B65A3B" w:rsidP="00566238">
            <w:pPr>
              <w:pStyle w:val="Tablecentre"/>
              <w:keepNext/>
              <w:keepLines/>
              <w:rPr>
                <w:rFonts w:ascii="Arial Narrow" w:hAnsi="Arial Narrow"/>
              </w:rPr>
            </w:pPr>
            <w:r w:rsidRPr="003462F5">
              <w:rPr>
                <w:rFonts w:ascii="Arial Narrow" w:hAnsi="Arial Narrow"/>
              </w:rPr>
              <w:t>109/442 (24.7)</w:t>
            </w:r>
          </w:p>
        </w:tc>
        <w:tc>
          <w:tcPr>
            <w:tcW w:w="865" w:type="pct"/>
            <w:tcBorders>
              <w:top w:val="single" w:sz="4" w:space="0" w:color="auto"/>
              <w:left w:val="single" w:sz="4" w:space="0" w:color="auto"/>
              <w:bottom w:val="single" w:sz="4" w:space="0" w:color="auto"/>
              <w:right w:val="single" w:sz="4" w:space="0" w:color="auto"/>
            </w:tcBorders>
            <w:hideMark/>
          </w:tcPr>
          <w:p w:rsidR="00B65A3B" w:rsidRPr="003462F5" w:rsidRDefault="00B65A3B" w:rsidP="00566238">
            <w:pPr>
              <w:pStyle w:val="Tablecentre"/>
              <w:keepNext/>
              <w:keepLines/>
              <w:rPr>
                <w:rFonts w:ascii="Arial Narrow" w:hAnsi="Arial Narrow"/>
              </w:rPr>
            </w:pPr>
            <w:r w:rsidRPr="003462F5">
              <w:rPr>
                <w:rFonts w:ascii="Arial Narrow" w:hAnsi="Arial Narrow"/>
              </w:rPr>
              <w:t>NE (30.0, NE)</w:t>
            </w:r>
          </w:p>
        </w:tc>
        <w:tc>
          <w:tcPr>
            <w:tcW w:w="777" w:type="pct"/>
            <w:vMerge w:val="restart"/>
            <w:tcBorders>
              <w:top w:val="single" w:sz="4" w:space="0" w:color="auto"/>
              <w:left w:val="single" w:sz="4" w:space="0" w:color="auto"/>
              <w:bottom w:val="single" w:sz="4" w:space="0" w:color="auto"/>
              <w:right w:val="single" w:sz="4" w:space="0" w:color="auto"/>
            </w:tcBorders>
            <w:hideMark/>
          </w:tcPr>
          <w:p w:rsidR="00B65A3B" w:rsidRPr="006A083B" w:rsidRDefault="006A083B" w:rsidP="00566238">
            <w:pPr>
              <w:pStyle w:val="Tablecentre"/>
              <w:keepNext/>
              <w:keepLines/>
              <w:rPr>
                <w:rFonts w:ascii="Arial Narrow" w:hAnsi="Arial Narrow"/>
                <w:highlight w:val="black"/>
              </w:rPr>
            </w:pPr>
            <w:r>
              <w:rPr>
                <w:rFonts w:ascii="Arial Narrow" w:hAnsi="Arial Narrow"/>
                <w:noProof/>
                <w:color w:val="000000"/>
                <w:highlight w:val="black"/>
              </w:rPr>
              <w:t>'''''''''' ''''''''''''''' ''''''''''''''</w:t>
            </w:r>
          </w:p>
        </w:tc>
        <w:tc>
          <w:tcPr>
            <w:tcW w:w="819" w:type="pct"/>
            <w:vMerge w:val="restart"/>
            <w:tcBorders>
              <w:top w:val="single" w:sz="4" w:space="0" w:color="auto"/>
              <w:left w:val="single" w:sz="4" w:space="0" w:color="auto"/>
              <w:bottom w:val="single" w:sz="4" w:space="0" w:color="auto"/>
              <w:right w:val="single" w:sz="4" w:space="0" w:color="auto"/>
            </w:tcBorders>
            <w:hideMark/>
          </w:tcPr>
          <w:p w:rsidR="00B65A3B" w:rsidRPr="006A083B" w:rsidRDefault="006A083B" w:rsidP="00566238">
            <w:pPr>
              <w:pStyle w:val="Tablecentre"/>
              <w:keepNext/>
              <w:keepLines/>
              <w:rPr>
                <w:rFonts w:ascii="Arial Narrow" w:hAnsi="Arial Narrow"/>
                <w:highlight w:val="black"/>
              </w:rPr>
            </w:pPr>
            <w:r>
              <w:rPr>
                <w:rFonts w:ascii="Arial Narrow" w:hAnsi="Arial Narrow"/>
                <w:noProof/>
                <w:color w:val="000000"/>
                <w:highlight w:val="black"/>
              </w:rPr>
              <w:t>'''''''''' '''''''''''''' '''''''''''''</w:t>
            </w:r>
          </w:p>
          <w:p w:rsidR="00B65A3B" w:rsidRPr="006A083B" w:rsidRDefault="006A083B" w:rsidP="00566238">
            <w:pPr>
              <w:pStyle w:val="Tablecentre"/>
              <w:keepNext/>
              <w:keepLines/>
              <w:rPr>
                <w:rFonts w:ascii="Arial Narrow" w:hAnsi="Arial Narrow"/>
                <w:highlight w:val="black"/>
              </w:rPr>
            </w:pPr>
            <w:r>
              <w:rPr>
                <w:rFonts w:ascii="Arial Narrow" w:hAnsi="Arial Narrow"/>
                <w:noProof/>
                <w:color w:val="000000"/>
                <w:highlight w:val="black"/>
              </w:rPr>
              <w:t>''' '''' '''''''''''''''</w:t>
            </w:r>
          </w:p>
        </w:tc>
      </w:tr>
      <w:tr w:rsidR="00B65A3B" w:rsidRPr="00EC6E05" w:rsidTr="00B65A3B">
        <w:trPr>
          <w:trHeight w:val="2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566238">
            <w:pPr>
              <w:keepNext/>
              <w:keepLines/>
              <w:jc w:val="left"/>
              <w:rPr>
                <w:rFonts w:ascii="Arial Narrow" w:hAnsi="Arial Narrow" w:cs="Times New Roman"/>
                <w:sz w:val="20"/>
              </w:rPr>
            </w:pPr>
          </w:p>
        </w:tc>
        <w:tc>
          <w:tcPr>
            <w:tcW w:w="881" w:type="pct"/>
            <w:tcBorders>
              <w:top w:val="single" w:sz="4" w:space="0" w:color="auto"/>
              <w:left w:val="single" w:sz="4" w:space="0" w:color="auto"/>
              <w:bottom w:val="single" w:sz="4" w:space="0" w:color="auto"/>
              <w:right w:val="single" w:sz="4" w:space="0" w:color="auto"/>
            </w:tcBorders>
            <w:hideMark/>
          </w:tcPr>
          <w:p w:rsidR="00B65A3B" w:rsidRPr="00EC6E05" w:rsidRDefault="00B65A3B" w:rsidP="00566238">
            <w:pPr>
              <w:pStyle w:val="Tablecentre"/>
              <w:keepNext/>
              <w:keepLines/>
              <w:jc w:val="left"/>
              <w:rPr>
                <w:rFonts w:ascii="Arial Narrow" w:hAnsi="Arial Narrow"/>
              </w:rPr>
            </w:pPr>
            <w:r w:rsidRPr="00EC6E05">
              <w:rPr>
                <w:rFonts w:ascii="Arial Narrow" w:hAnsi="Arial Narrow"/>
              </w:rPr>
              <w:t>SUN</w:t>
            </w:r>
          </w:p>
        </w:tc>
        <w:tc>
          <w:tcPr>
            <w:tcW w:w="881" w:type="pct"/>
            <w:tcBorders>
              <w:top w:val="single" w:sz="4" w:space="0" w:color="auto"/>
              <w:left w:val="single" w:sz="4" w:space="0" w:color="auto"/>
              <w:bottom w:val="single" w:sz="4" w:space="0" w:color="auto"/>
              <w:right w:val="single" w:sz="4" w:space="0" w:color="auto"/>
            </w:tcBorders>
            <w:hideMark/>
          </w:tcPr>
          <w:p w:rsidR="00B65A3B" w:rsidRPr="00EC6E05" w:rsidRDefault="00B65A3B" w:rsidP="00566238">
            <w:pPr>
              <w:pStyle w:val="Tablecentre"/>
              <w:keepNext/>
              <w:keepLines/>
              <w:rPr>
                <w:rFonts w:ascii="Arial Narrow" w:hAnsi="Arial Narrow"/>
              </w:rPr>
            </w:pPr>
            <w:r w:rsidRPr="00EC6E05">
              <w:rPr>
                <w:rFonts w:ascii="Arial Narrow" w:hAnsi="Arial Narrow"/>
              </w:rPr>
              <w:t>129/444 (29.1)</w:t>
            </w:r>
          </w:p>
        </w:tc>
        <w:tc>
          <w:tcPr>
            <w:tcW w:w="865" w:type="pct"/>
            <w:tcBorders>
              <w:top w:val="single" w:sz="4" w:space="0" w:color="auto"/>
              <w:left w:val="single" w:sz="4" w:space="0" w:color="auto"/>
              <w:bottom w:val="single" w:sz="4" w:space="0" w:color="auto"/>
              <w:right w:val="single" w:sz="4" w:space="0" w:color="auto"/>
            </w:tcBorders>
            <w:hideMark/>
          </w:tcPr>
          <w:p w:rsidR="00B65A3B" w:rsidRPr="00EC6E05" w:rsidRDefault="00B65A3B" w:rsidP="00566238">
            <w:pPr>
              <w:pStyle w:val="Tablecentre"/>
              <w:keepNext/>
              <w:keepLines/>
              <w:rPr>
                <w:rFonts w:ascii="Arial Narrow" w:hAnsi="Arial Narrow"/>
              </w:rPr>
            </w:pPr>
            <w:r w:rsidRPr="00EC6E05">
              <w:rPr>
                <w:rFonts w:ascii="Arial Narrow" w:hAnsi="Arial Narrow"/>
              </w:rPr>
              <w:t>NE (27.4, NE)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5A3B" w:rsidRPr="006A083B" w:rsidRDefault="00B65A3B" w:rsidP="00566238">
            <w:pPr>
              <w:keepNext/>
              <w:keepLines/>
              <w:jc w:val="left"/>
              <w:rPr>
                <w:rFonts w:ascii="Arial Narrow" w:hAnsi="Arial Narrow" w:cstheme="minorBidi"/>
                <w:sz w:val="20"/>
                <w:szCs w:val="20"/>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566238">
            <w:pPr>
              <w:keepNext/>
              <w:keepLines/>
              <w:jc w:val="left"/>
              <w:rPr>
                <w:rFonts w:ascii="Arial Narrow" w:hAnsi="Arial Narrow" w:cstheme="minorBidi"/>
                <w:sz w:val="20"/>
                <w:szCs w:val="20"/>
              </w:rPr>
            </w:pPr>
          </w:p>
        </w:tc>
      </w:tr>
      <w:tr w:rsidR="00B65A3B" w:rsidRPr="00EC6E05" w:rsidTr="00B65A3B">
        <w:trPr>
          <w:trHeight w:val="244"/>
        </w:trPr>
        <w:tc>
          <w:tcPr>
            <w:tcW w:w="777" w:type="pct"/>
            <w:vMerge w:val="restart"/>
            <w:tcBorders>
              <w:top w:val="single" w:sz="4" w:space="0" w:color="auto"/>
              <w:left w:val="single" w:sz="4" w:space="0" w:color="auto"/>
              <w:bottom w:val="single" w:sz="4" w:space="0" w:color="auto"/>
              <w:right w:val="single" w:sz="4" w:space="0" w:color="auto"/>
            </w:tcBorders>
            <w:hideMark/>
          </w:tcPr>
          <w:p w:rsidR="00B65A3B" w:rsidRPr="00EC6E05" w:rsidRDefault="00B65A3B" w:rsidP="00566238">
            <w:pPr>
              <w:pStyle w:val="Tabletext"/>
              <w:keepNext/>
              <w:keepLines/>
            </w:pPr>
            <w:proofErr w:type="spellStart"/>
            <w:r w:rsidRPr="00EC6E05">
              <w:t>CheckMate</w:t>
            </w:r>
            <w:proofErr w:type="spellEnd"/>
            <w:r w:rsidRPr="00EC6E05">
              <w:t xml:space="preserve"> 214</w:t>
            </w:r>
            <w:r w:rsidRPr="00EC6E05">
              <w:rPr>
                <w:b/>
                <w:bCs/>
                <w:vertAlign w:val="superscript"/>
              </w:rPr>
              <w:t>b</w:t>
            </w:r>
          </w:p>
        </w:tc>
        <w:tc>
          <w:tcPr>
            <w:tcW w:w="881" w:type="pct"/>
            <w:tcBorders>
              <w:top w:val="single" w:sz="4" w:space="0" w:color="auto"/>
              <w:left w:val="single" w:sz="4" w:space="0" w:color="auto"/>
              <w:bottom w:val="single" w:sz="4" w:space="0" w:color="auto"/>
              <w:right w:val="single" w:sz="4" w:space="0" w:color="auto"/>
            </w:tcBorders>
            <w:hideMark/>
          </w:tcPr>
          <w:p w:rsidR="00B65A3B" w:rsidRPr="00EC6E05" w:rsidRDefault="00B65A3B" w:rsidP="00566238">
            <w:pPr>
              <w:pStyle w:val="Tablecentre"/>
              <w:keepNext/>
              <w:keepLines/>
              <w:jc w:val="left"/>
              <w:rPr>
                <w:rFonts w:ascii="Arial Narrow" w:hAnsi="Arial Narrow"/>
              </w:rPr>
            </w:pPr>
            <w:r w:rsidRPr="00EC6E05">
              <w:rPr>
                <w:rFonts w:ascii="Arial Narrow" w:hAnsi="Arial Narrow"/>
              </w:rPr>
              <w:t>NIVO + IPI</w:t>
            </w:r>
          </w:p>
        </w:tc>
        <w:tc>
          <w:tcPr>
            <w:tcW w:w="881" w:type="pct"/>
            <w:tcBorders>
              <w:top w:val="single" w:sz="4" w:space="0" w:color="auto"/>
              <w:left w:val="single" w:sz="4" w:space="0" w:color="auto"/>
              <w:bottom w:val="single" w:sz="4" w:space="0" w:color="auto"/>
              <w:right w:val="single" w:sz="4" w:space="0" w:color="auto"/>
            </w:tcBorders>
            <w:hideMark/>
          </w:tcPr>
          <w:p w:rsidR="00B65A3B" w:rsidRPr="00EC6E05" w:rsidRDefault="00B65A3B" w:rsidP="00566238">
            <w:pPr>
              <w:pStyle w:val="Tablecentre"/>
              <w:keepNext/>
              <w:keepLines/>
              <w:rPr>
                <w:rFonts w:ascii="Arial Narrow" w:hAnsi="Arial Narrow"/>
                <w:vertAlign w:val="superscript"/>
              </w:rPr>
            </w:pPr>
            <w:r w:rsidRPr="00EC6E05">
              <w:rPr>
                <w:rFonts w:ascii="Arial Narrow" w:hAnsi="Arial Narrow"/>
              </w:rPr>
              <w:t xml:space="preserve">161/550 (29.3) </w:t>
            </w:r>
            <w:r w:rsidRPr="00EC6E05">
              <w:rPr>
                <w:rFonts w:ascii="Arial Narrow" w:hAnsi="Arial Narrow"/>
                <w:vertAlign w:val="superscript"/>
              </w:rPr>
              <w:t>d</w:t>
            </w:r>
          </w:p>
        </w:tc>
        <w:tc>
          <w:tcPr>
            <w:tcW w:w="865" w:type="pct"/>
            <w:tcBorders>
              <w:top w:val="single" w:sz="4" w:space="0" w:color="auto"/>
              <w:left w:val="single" w:sz="4" w:space="0" w:color="auto"/>
              <w:bottom w:val="single" w:sz="4" w:space="0" w:color="auto"/>
              <w:right w:val="single" w:sz="4" w:space="0" w:color="auto"/>
            </w:tcBorders>
            <w:hideMark/>
          </w:tcPr>
          <w:p w:rsidR="00B65A3B" w:rsidRPr="00EC6E05" w:rsidRDefault="00B65A3B" w:rsidP="00566238">
            <w:pPr>
              <w:pStyle w:val="Tablecentre"/>
              <w:keepNext/>
              <w:keepLines/>
              <w:rPr>
                <w:rFonts w:ascii="Arial Narrow" w:hAnsi="Arial Narrow"/>
              </w:rPr>
            </w:pPr>
            <w:r w:rsidRPr="00EC6E05">
              <w:rPr>
                <w:rFonts w:ascii="Arial Narrow" w:hAnsi="Arial Narrow"/>
              </w:rPr>
              <w:t>NE</w:t>
            </w:r>
          </w:p>
        </w:tc>
        <w:tc>
          <w:tcPr>
            <w:tcW w:w="777" w:type="pct"/>
            <w:vMerge w:val="restart"/>
            <w:tcBorders>
              <w:top w:val="single" w:sz="4" w:space="0" w:color="auto"/>
              <w:left w:val="single" w:sz="4" w:space="0" w:color="auto"/>
              <w:bottom w:val="single" w:sz="4" w:space="0" w:color="auto"/>
              <w:right w:val="single" w:sz="4" w:space="0" w:color="auto"/>
            </w:tcBorders>
            <w:hideMark/>
          </w:tcPr>
          <w:p w:rsidR="00B65A3B" w:rsidRPr="006A083B" w:rsidRDefault="006A083B" w:rsidP="00566238">
            <w:pPr>
              <w:pStyle w:val="Tablecentre"/>
              <w:keepNext/>
              <w:keepLines/>
              <w:rPr>
                <w:rFonts w:ascii="Arial Narrow" w:hAnsi="Arial Narrow"/>
                <w:highlight w:val="yellow"/>
              </w:rPr>
            </w:pPr>
            <w:r>
              <w:rPr>
                <w:rFonts w:ascii="Arial Narrow" w:hAnsi="Arial Narrow"/>
                <w:b/>
                <w:noProof/>
                <w:color w:val="000000"/>
                <w:highlight w:val="black"/>
              </w:rPr>
              <w:t>'''''''' '''''''''' '''''''''</w:t>
            </w:r>
            <w:r>
              <w:rPr>
                <w:rFonts w:ascii="Arial Narrow" w:hAnsi="Arial Narrow"/>
                <w:noProof/>
                <w:color w:val="000000"/>
                <w:highlight w:val="black"/>
                <w:vertAlign w:val="superscript"/>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566238">
            <w:pPr>
              <w:keepNext/>
              <w:keepLines/>
              <w:jc w:val="left"/>
              <w:rPr>
                <w:rFonts w:ascii="Arial Narrow" w:hAnsi="Arial Narrow" w:cstheme="minorBidi"/>
                <w:sz w:val="20"/>
                <w:szCs w:val="20"/>
              </w:rPr>
            </w:pPr>
          </w:p>
        </w:tc>
      </w:tr>
      <w:tr w:rsidR="00B65A3B" w:rsidRPr="00EC6E05" w:rsidTr="00B65A3B">
        <w:trPr>
          <w:trHeight w:val="2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566238">
            <w:pPr>
              <w:keepNext/>
              <w:keepLines/>
              <w:jc w:val="left"/>
              <w:rPr>
                <w:rFonts w:ascii="Arial Narrow" w:hAnsi="Arial Narrow" w:cs="Times New Roman"/>
                <w:sz w:val="20"/>
              </w:rPr>
            </w:pPr>
          </w:p>
        </w:tc>
        <w:tc>
          <w:tcPr>
            <w:tcW w:w="881" w:type="pct"/>
            <w:tcBorders>
              <w:top w:val="single" w:sz="4" w:space="0" w:color="auto"/>
              <w:left w:val="single" w:sz="4" w:space="0" w:color="auto"/>
              <w:bottom w:val="single" w:sz="4" w:space="0" w:color="auto"/>
              <w:right w:val="single" w:sz="4" w:space="0" w:color="auto"/>
            </w:tcBorders>
            <w:hideMark/>
          </w:tcPr>
          <w:p w:rsidR="00B65A3B" w:rsidRPr="00EC6E05" w:rsidRDefault="00B65A3B" w:rsidP="00566238">
            <w:pPr>
              <w:pStyle w:val="Tablecentre"/>
              <w:keepNext/>
              <w:keepLines/>
              <w:jc w:val="left"/>
              <w:rPr>
                <w:rFonts w:ascii="Arial Narrow" w:hAnsi="Arial Narrow"/>
              </w:rPr>
            </w:pPr>
            <w:r w:rsidRPr="00EC6E05">
              <w:rPr>
                <w:rFonts w:ascii="Arial Narrow" w:hAnsi="Arial Narrow"/>
              </w:rPr>
              <w:t>SUN</w:t>
            </w:r>
          </w:p>
        </w:tc>
        <w:tc>
          <w:tcPr>
            <w:tcW w:w="881" w:type="pct"/>
            <w:tcBorders>
              <w:top w:val="single" w:sz="4" w:space="0" w:color="auto"/>
              <w:left w:val="single" w:sz="4" w:space="0" w:color="auto"/>
              <w:bottom w:val="single" w:sz="4" w:space="0" w:color="auto"/>
              <w:right w:val="single" w:sz="4" w:space="0" w:color="auto"/>
            </w:tcBorders>
            <w:hideMark/>
          </w:tcPr>
          <w:p w:rsidR="00B65A3B" w:rsidRPr="00EC6E05" w:rsidRDefault="00B65A3B" w:rsidP="00566238">
            <w:pPr>
              <w:pStyle w:val="Tablecentre"/>
              <w:keepNext/>
              <w:keepLines/>
              <w:rPr>
                <w:rFonts w:ascii="Arial Narrow" w:hAnsi="Arial Narrow"/>
              </w:rPr>
            </w:pPr>
            <w:r w:rsidRPr="00EC6E05">
              <w:rPr>
                <w:rFonts w:ascii="Arial Narrow" w:hAnsi="Arial Narrow"/>
              </w:rPr>
              <w:t xml:space="preserve">204/546 (37.4) </w:t>
            </w:r>
            <w:r w:rsidRPr="00EC6E05">
              <w:rPr>
                <w:rFonts w:ascii="Arial Narrow" w:hAnsi="Arial Narrow"/>
                <w:vertAlign w:val="superscript"/>
              </w:rPr>
              <w:t>d</w:t>
            </w:r>
          </w:p>
        </w:tc>
        <w:tc>
          <w:tcPr>
            <w:tcW w:w="865" w:type="pct"/>
            <w:tcBorders>
              <w:top w:val="single" w:sz="4" w:space="0" w:color="auto"/>
              <w:left w:val="single" w:sz="4" w:space="0" w:color="auto"/>
              <w:bottom w:val="single" w:sz="4" w:space="0" w:color="auto"/>
              <w:right w:val="single" w:sz="4" w:space="0" w:color="auto"/>
            </w:tcBorders>
            <w:hideMark/>
          </w:tcPr>
          <w:p w:rsidR="00B65A3B" w:rsidRPr="00EC6E05" w:rsidRDefault="00B65A3B" w:rsidP="00566238">
            <w:pPr>
              <w:pStyle w:val="Tablecentre"/>
              <w:keepNext/>
              <w:keepLines/>
              <w:rPr>
                <w:rFonts w:ascii="Arial Narrow" w:hAnsi="Arial Narrow"/>
              </w:rPr>
            </w:pPr>
            <w:r w:rsidRPr="00EC6E05">
              <w:rPr>
                <w:rFonts w:ascii="Arial Narrow" w:hAnsi="Arial Narrow"/>
              </w:rPr>
              <w:t>32.9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566238">
            <w:pPr>
              <w:keepNext/>
              <w:keepLines/>
              <w:jc w:val="left"/>
              <w:rPr>
                <w:rFonts w:ascii="Arial Narrow" w:hAnsi="Arial Narrow" w:cstheme="minorBid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566238">
            <w:pPr>
              <w:keepNext/>
              <w:keepLines/>
              <w:jc w:val="left"/>
              <w:rPr>
                <w:rFonts w:ascii="Arial Narrow" w:hAnsi="Arial Narrow" w:cstheme="minorBidi"/>
                <w:sz w:val="20"/>
                <w:szCs w:val="20"/>
              </w:rPr>
            </w:pPr>
          </w:p>
        </w:tc>
      </w:tr>
    </w:tbl>
    <w:p w:rsidR="00B65A3B" w:rsidRPr="00EC6E05" w:rsidRDefault="00B65A3B" w:rsidP="00566238">
      <w:pPr>
        <w:pStyle w:val="Source"/>
        <w:keepNext/>
        <w:keepLines/>
        <w:rPr>
          <w:rFonts w:ascii="Arial Narrow" w:hAnsi="Arial Narrow"/>
        </w:rPr>
      </w:pPr>
      <w:r w:rsidRPr="00EC6E05">
        <w:rPr>
          <w:rFonts w:ascii="Arial Narrow" w:hAnsi="Arial Narrow"/>
        </w:rPr>
        <w:t>Source: Table 2.5-6 p112 of the Submission</w:t>
      </w:r>
    </w:p>
    <w:p w:rsidR="00B65A3B" w:rsidRPr="00EC6E05" w:rsidRDefault="00B65A3B" w:rsidP="00B65A3B">
      <w:pPr>
        <w:pStyle w:val="Source"/>
        <w:keepNext/>
        <w:rPr>
          <w:rFonts w:ascii="Arial Narrow" w:hAnsi="Arial Narrow"/>
        </w:rPr>
      </w:pPr>
      <w:r w:rsidRPr="00EC6E05">
        <w:rPr>
          <w:rFonts w:ascii="Arial Narrow" w:hAnsi="Arial Narrow"/>
        </w:rPr>
        <w:t xml:space="preserve">Abbreviations: </w:t>
      </w:r>
      <w:r w:rsidR="002E124D">
        <w:rPr>
          <w:rFonts w:ascii="Arial Narrow" w:hAnsi="Arial Narrow"/>
        </w:rPr>
        <w:t>AVE + AXI</w:t>
      </w:r>
      <w:r w:rsidRPr="00EC6E05">
        <w:rPr>
          <w:rFonts w:ascii="Arial Narrow" w:hAnsi="Arial Narrow"/>
        </w:rPr>
        <w:t xml:space="preserve"> = </w:t>
      </w:r>
      <w:proofErr w:type="spellStart"/>
      <w:r w:rsidRPr="00EC6E05">
        <w:rPr>
          <w:rFonts w:ascii="Arial Narrow" w:hAnsi="Arial Narrow"/>
        </w:rPr>
        <w:t>avelumab</w:t>
      </w:r>
      <w:proofErr w:type="spellEnd"/>
      <w:r w:rsidRPr="00EC6E05">
        <w:rPr>
          <w:rFonts w:ascii="Arial Narrow" w:hAnsi="Arial Narrow"/>
        </w:rPr>
        <w:t xml:space="preserve"> + </w:t>
      </w:r>
      <w:proofErr w:type="spellStart"/>
      <w:r w:rsidRPr="00EC6E05">
        <w:rPr>
          <w:rFonts w:ascii="Arial Narrow" w:hAnsi="Arial Narrow"/>
        </w:rPr>
        <w:t>axitinib</w:t>
      </w:r>
      <w:proofErr w:type="spellEnd"/>
      <w:r w:rsidRPr="00EC6E05">
        <w:rPr>
          <w:rFonts w:ascii="Arial Narrow" w:hAnsi="Arial Narrow"/>
        </w:rPr>
        <w:t xml:space="preserve">; CI = confidence interval; HR = hazard ratio; IA2 = second interim analysis; IMDC = International Metastatic Renal Cell Carcinoma Database Consortium; ITC = indirect treatment comparison; ITT = intention-to-treat; NE = not estimable; </w:t>
      </w:r>
      <w:r w:rsidR="002E124D">
        <w:rPr>
          <w:rFonts w:ascii="Arial Narrow" w:hAnsi="Arial Narrow"/>
        </w:rPr>
        <w:t>NIVO + IPI</w:t>
      </w:r>
      <w:r w:rsidRPr="00EC6E05">
        <w:rPr>
          <w:rFonts w:ascii="Arial Narrow" w:hAnsi="Arial Narrow"/>
        </w:rPr>
        <w:t xml:space="preserve"> = </w:t>
      </w:r>
      <w:proofErr w:type="spellStart"/>
      <w:r w:rsidRPr="00EC6E05">
        <w:rPr>
          <w:rFonts w:ascii="Arial Narrow" w:hAnsi="Arial Narrow"/>
        </w:rPr>
        <w:t>nivolumab</w:t>
      </w:r>
      <w:proofErr w:type="spellEnd"/>
      <w:r w:rsidRPr="00EC6E05">
        <w:rPr>
          <w:rFonts w:ascii="Arial Narrow" w:hAnsi="Arial Narrow"/>
        </w:rPr>
        <w:t xml:space="preserve"> + </w:t>
      </w:r>
      <w:proofErr w:type="spellStart"/>
      <w:r w:rsidRPr="00EC6E05">
        <w:rPr>
          <w:rFonts w:ascii="Arial Narrow" w:hAnsi="Arial Narrow"/>
        </w:rPr>
        <w:t>ipilimumab</w:t>
      </w:r>
      <w:proofErr w:type="spellEnd"/>
      <w:r w:rsidRPr="00EC6E05">
        <w:rPr>
          <w:rFonts w:ascii="Arial Narrow" w:hAnsi="Arial Narrow"/>
        </w:rPr>
        <w:t xml:space="preserve">; OS = overall survival; SUN = </w:t>
      </w:r>
      <w:proofErr w:type="spellStart"/>
      <w:r w:rsidRPr="00EC6E05">
        <w:rPr>
          <w:rFonts w:ascii="Arial Narrow" w:hAnsi="Arial Narrow"/>
        </w:rPr>
        <w:t>sunitinib</w:t>
      </w:r>
      <w:proofErr w:type="spellEnd"/>
    </w:p>
    <w:p w:rsidR="00B65A3B" w:rsidRPr="00EC6E05" w:rsidRDefault="00B65A3B" w:rsidP="00B65A3B">
      <w:pPr>
        <w:pStyle w:val="Source"/>
        <w:rPr>
          <w:rFonts w:ascii="Arial Narrow" w:hAnsi="Arial Narrow"/>
          <w:szCs w:val="18"/>
        </w:rPr>
      </w:pPr>
      <w:proofErr w:type="gramStart"/>
      <w:r w:rsidRPr="00207EB3">
        <w:rPr>
          <w:rFonts w:ascii="Arial Narrow" w:hAnsi="Arial Narrow"/>
          <w:vertAlign w:val="superscript"/>
        </w:rPr>
        <w:t>a</w:t>
      </w:r>
      <w:proofErr w:type="gramEnd"/>
      <w:r w:rsidRPr="00EC6E05">
        <w:rPr>
          <w:rFonts w:ascii="Arial Narrow" w:hAnsi="Arial Narrow"/>
        </w:rPr>
        <w:t xml:space="preserve"> JAVELIN, data-cut off: IA2, </w:t>
      </w:r>
      <w:r w:rsidRPr="00EC6E05">
        <w:rPr>
          <w:rFonts w:ascii="Arial Narrow" w:hAnsi="Arial Narrow"/>
          <w:szCs w:val="18"/>
        </w:rPr>
        <w:t xml:space="preserve">28 January 2019, minimum duration of follow-up was 13 months; </w:t>
      </w:r>
    </w:p>
    <w:p w:rsidR="00B65A3B" w:rsidRPr="00EC6E05" w:rsidRDefault="00B65A3B" w:rsidP="00B65A3B">
      <w:pPr>
        <w:pStyle w:val="Source"/>
        <w:rPr>
          <w:rFonts w:ascii="Arial Narrow" w:hAnsi="Arial Narrow"/>
          <w:szCs w:val="18"/>
        </w:rPr>
      </w:pPr>
      <w:proofErr w:type="gramStart"/>
      <w:r w:rsidRPr="00207EB3">
        <w:rPr>
          <w:rFonts w:ascii="Arial Narrow" w:hAnsi="Arial Narrow"/>
          <w:szCs w:val="18"/>
          <w:vertAlign w:val="superscript"/>
        </w:rPr>
        <w:t>b</w:t>
      </w:r>
      <w:proofErr w:type="gramEnd"/>
      <w:r w:rsidRPr="00EC6E05">
        <w:rPr>
          <w:rFonts w:ascii="Arial Narrow" w:hAnsi="Arial Narrow"/>
          <w:szCs w:val="18"/>
        </w:rPr>
        <w:t xml:space="preserve"> </w:t>
      </w:r>
      <w:proofErr w:type="spellStart"/>
      <w:r w:rsidRPr="00EC6E05">
        <w:rPr>
          <w:rFonts w:ascii="Arial Narrow" w:hAnsi="Arial Narrow"/>
          <w:szCs w:val="18"/>
        </w:rPr>
        <w:t>CheckMate</w:t>
      </w:r>
      <w:proofErr w:type="spellEnd"/>
      <w:r w:rsidRPr="00EC6E05">
        <w:rPr>
          <w:rFonts w:ascii="Arial Narrow" w:hAnsi="Arial Narrow"/>
          <w:szCs w:val="18"/>
        </w:rPr>
        <w:t> 214 data-cut off: Data cut off was 7 August 2017, minimum duration of follow-up was 17.5 months.</w:t>
      </w:r>
    </w:p>
    <w:p w:rsidR="00B65A3B" w:rsidRPr="00EC6E05" w:rsidRDefault="00B65A3B" w:rsidP="00B65A3B">
      <w:pPr>
        <w:pStyle w:val="Source"/>
        <w:rPr>
          <w:rFonts w:ascii="Arial Narrow" w:hAnsi="Arial Narrow"/>
          <w:iCs/>
        </w:rPr>
      </w:pPr>
      <w:proofErr w:type="gramStart"/>
      <w:r w:rsidRPr="00207EB3">
        <w:rPr>
          <w:rFonts w:ascii="Arial Narrow" w:hAnsi="Arial Narrow"/>
          <w:vertAlign w:val="superscript"/>
        </w:rPr>
        <w:t>c</w:t>
      </w:r>
      <w:proofErr w:type="gramEnd"/>
      <w:r w:rsidRPr="00EC6E05">
        <w:rPr>
          <w:rFonts w:ascii="Arial Narrow" w:hAnsi="Arial Narrow"/>
        </w:rPr>
        <w:t xml:space="preserve"> The submission calculated the 95% confidence intervals using 99.1% confidence intervals from publication. </w:t>
      </w:r>
      <w:r w:rsidRPr="00EC6E05">
        <w:rPr>
          <w:rFonts w:ascii="Arial Narrow" w:hAnsi="Arial Narrow"/>
          <w:iCs/>
        </w:rPr>
        <w:t xml:space="preserve">The calculation </w:t>
      </w:r>
      <w:proofErr w:type="gramStart"/>
      <w:r w:rsidRPr="00EC6E05">
        <w:rPr>
          <w:rFonts w:ascii="Arial Narrow" w:hAnsi="Arial Narrow"/>
          <w:iCs/>
        </w:rPr>
        <w:t xml:space="preserve">was not </w:t>
      </w:r>
      <w:r w:rsidRPr="00207EB3">
        <w:rPr>
          <w:rFonts w:ascii="Arial Narrow" w:hAnsi="Arial Narrow"/>
          <w:iCs/>
          <w:vertAlign w:val="superscript"/>
        </w:rPr>
        <w:t>verified</w:t>
      </w:r>
      <w:proofErr w:type="gramEnd"/>
      <w:r w:rsidRPr="00EC6E05">
        <w:rPr>
          <w:rFonts w:ascii="Arial Narrow" w:hAnsi="Arial Narrow"/>
          <w:iCs/>
        </w:rPr>
        <w:t xml:space="preserve"> during the evaluation. </w:t>
      </w:r>
    </w:p>
    <w:p w:rsidR="00B65A3B" w:rsidRPr="00EC6E05" w:rsidRDefault="00B65A3B" w:rsidP="00B65A3B">
      <w:pPr>
        <w:pStyle w:val="Source"/>
        <w:rPr>
          <w:rFonts w:ascii="Arial Narrow" w:hAnsi="Arial Narrow"/>
        </w:rPr>
      </w:pPr>
      <w:proofErr w:type="gramStart"/>
      <w:r w:rsidRPr="00207EB3">
        <w:rPr>
          <w:rFonts w:ascii="Arial Narrow" w:hAnsi="Arial Narrow"/>
          <w:vertAlign w:val="superscript"/>
        </w:rPr>
        <w:t>d</w:t>
      </w:r>
      <w:proofErr w:type="gramEnd"/>
      <w:r w:rsidRPr="00EC6E05">
        <w:rPr>
          <w:rFonts w:ascii="Arial Narrow" w:hAnsi="Arial Narrow"/>
        </w:rPr>
        <w:t xml:space="preserve"> </w:t>
      </w:r>
      <w:r w:rsidRPr="00EC6E05">
        <w:rPr>
          <w:rFonts w:ascii="Arial Narrow" w:hAnsi="Arial Narrow"/>
          <w:szCs w:val="18"/>
        </w:rPr>
        <w:t>The submission obtained the calculation by adding the number of patient deaths in the favourable and the intermediate to poor IMDC risk groups</w:t>
      </w:r>
      <w:r w:rsidRPr="00EC6E05" w:rsidDel="00706332">
        <w:rPr>
          <w:rFonts w:ascii="Arial Narrow" w:hAnsi="Arial Narrow"/>
        </w:rPr>
        <w:t xml:space="preserve"> </w:t>
      </w:r>
    </w:p>
    <w:p w:rsidR="00B65A3B" w:rsidRPr="00EC6E05" w:rsidRDefault="00B65A3B" w:rsidP="00B65A3B">
      <w:pPr>
        <w:pStyle w:val="Source"/>
        <w:rPr>
          <w:rFonts w:ascii="Arial Narrow" w:hAnsi="Arial Narrow"/>
        </w:rPr>
      </w:pPr>
      <w:proofErr w:type="gramStart"/>
      <w:r w:rsidRPr="00207EB3">
        <w:rPr>
          <w:rFonts w:ascii="Arial Narrow" w:hAnsi="Arial Narrow"/>
          <w:vertAlign w:val="superscript"/>
        </w:rPr>
        <w:t>e</w:t>
      </w:r>
      <w:proofErr w:type="gramEnd"/>
      <w:r w:rsidRPr="00EC6E05">
        <w:rPr>
          <w:rFonts w:ascii="Arial Narrow" w:hAnsi="Arial Narrow"/>
        </w:rPr>
        <w:t xml:space="preserve"> The comparison of the ITT populations is provided in the Submission for completeness but is not further discussed (p108 of the Submission).</w:t>
      </w:r>
    </w:p>
    <w:p w:rsidR="00EC0F10" w:rsidRPr="00EC6E05" w:rsidRDefault="00EC0F10" w:rsidP="00DC5054">
      <w:pPr>
        <w:spacing w:after="240"/>
        <w:rPr>
          <w:rFonts w:ascii="Arial Narrow" w:hAnsi="Arial Narrow"/>
          <w:sz w:val="18"/>
          <w:szCs w:val="18"/>
        </w:rPr>
      </w:pPr>
      <w:r w:rsidRPr="00EC6E05">
        <w:rPr>
          <w:rFonts w:ascii="Arial Narrow" w:hAnsi="Arial Narrow"/>
          <w:sz w:val="18"/>
          <w:szCs w:val="18"/>
        </w:rPr>
        <w:t>Bold indicates statistical significance.</w:t>
      </w:r>
    </w:p>
    <w:p w:rsidR="009232B1" w:rsidRDefault="009232B1" w:rsidP="009D00D9">
      <w:pPr>
        <w:pStyle w:val="3-BodyText"/>
      </w:pPr>
      <w:bookmarkStart w:id="26" w:name="_Toc22897642"/>
      <w:bookmarkStart w:id="27" w:name="_Toc30600756"/>
      <w:r>
        <w:lastRenderedPageBreak/>
        <w:t xml:space="preserve">The pre-PBAC </w:t>
      </w:r>
      <w:proofErr w:type="gramStart"/>
      <w:r>
        <w:t>response  stated</w:t>
      </w:r>
      <w:proofErr w:type="gramEnd"/>
      <w:r>
        <w:t xml:space="preserve"> that the OS data were confounded by subsequent treatments, </w:t>
      </w:r>
      <w:r w:rsidR="00C15F1F">
        <w:t>with</w:t>
      </w:r>
      <w:r>
        <w:t xml:space="preserve"> a higher proportion of patients in the </w:t>
      </w:r>
      <w:proofErr w:type="spellStart"/>
      <w:r>
        <w:t>sunitinib</w:t>
      </w:r>
      <w:proofErr w:type="spellEnd"/>
      <w:r>
        <w:t xml:space="preserve"> arm of JAVELIN receiv</w:t>
      </w:r>
      <w:r w:rsidR="00C15F1F">
        <w:t>ing</w:t>
      </w:r>
      <w:r>
        <w:t xml:space="preserve"> subsequent anti-PD-L1 therapy (35.9%) than </w:t>
      </w:r>
      <w:r w:rsidR="00C15F1F">
        <w:t xml:space="preserve">in </w:t>
      </w:r>
      <w:r>
        <w:t xml:space="preserve">the corresponding arm of </w:t>
      </w:r>
      <w:proofErr w:type="spellStart"/>
      <w:r>
        <w:t>CheckMate</w:t>
      </w:r>
      <w:proofErr w:type="spellEnd"/>
      <w:r>
        <w:t xml:space="preserve"> 214 (26.9%). The pre-PBAC response stated that after adjusting for subsequent anti-PD-L1 therapy in the </w:t>
      </w:r>
      <w:proofErr w:type="spellStart"/>
      <w:r>
        <w:t>sunitinib</w:t>
      </w:r>
      <w:proofErr w:type="spellEnd"/>
      <w:r>
        <w:t xml:space="preserve"> arm, the results of a </w:t>
      </w:r>
      <w:r w:rsidR="00C15F1F">
        <w:t>rank-preserving structural failure time</w:t>
      </w:r>
      <w:r>
        <w:t xml:space="preserve"> analysis found a statistically significant difference between AVE + AXI and </w:t>
      </w:r>
      <w:proofErr w:type="spellStart"/>
      <w:r>
        <w:t>sunitinib</w:t>
      </w:r>
      <w:proofErr w:type="spellEnd"/>
      <w:r>
        <w:t xml:space="preserve"> (HR 0.66; 95% CI: 0.41, 0.94). </w:t>
      </w:r>
      <w:r w:rsidR="00EA1838">
        <w:t xml:space="preserve">This new analysis </w:t>
      </w:r>
      <w:proofErr w:type="gramStart"/>
      <w:r w:rsidR="00EA1838">
        <w:t>was provided</w:t>
      </w:r>
      <w:proofErr w:type="gramEnd"/>
      <w:r w:rsidR="00EA1838">
        <w:t xml:space="preserve"> in the pre-PBAC response, and thus could not be evaluated</w:t>
      </w:r>
      <w:r w:rsidR="00C15F1F">
        <w:t xml:space="preserve">. </w:t>
      </w:r>
    </w:p>
    <w:p w:rsidR="00B65A3B" w:rsidRPr="00EC6E05" w:rsidRDefault="00B65A3B" w:rsidP="00B65A3B">
      <w:pPr>
        <w:pStyle w:val="4-SubsectionHeading"/>
      </w:pPr>
      <w:r w:rsidRPr="00EC6E05">
        <w:t>Comparative harms</w:t>
      </w:r>
      <w:bookmarkEnd w:id="26"/>
      <w:bookmarkEnd w:id="27"/>
    </w:p>
    <w:p w:rsidR="00B65A3B" w:rsidRPr="00EC6E05" w:rsidRDefault="00B65A3B" w:rsidP="00BF2EA7">
      <w:pPr>
        <w:pStyle w:val="3-BodyText"/>
        <w:rPr>
          <w:color w:val="0066FF"/>
        </w:rPr>
      </w:pPr>
      <w:r w:rsidRPr="00EC6E05">
        <w:t xml:space="preserve">Safety outcomes for both JAVELIN and </w:t>
      </w:r>
      <w:proofErr w:type="spellStart"/>
      <w:r w:rsidRPr="00EC6E05">
        <w:t>CheckMate</w:t>
      </w:r>
      <w:proofErr w:type="spellEnd"/>
      <w:r w:rsidRPr="00EC6E05">
        <w:t xml:space="preserve"> 214 </w:t>
      </w:r>
      <w:proofErr w:type="gramStart"/>
      <w:r w:rsidRPr="00EC6E05">
        <w:t>were reported</w:t>
      </w:r>
      <w:proofErr w:type="gramEnd"/>
      <w:r w:rsidRPr="00EC6E05">
        <w:t xml:space="preserve"> in all patients who received at least one dose of study treatment. The submission presented an ITC of the safety outcomes from </w:t>
      </w:r>
      <w:r w:rsidR="0012027A" w:rsidRPr="00EC6E05">
        <w:t xml:space="preserve">the first interim analysis of </w:t>
      </w:r>
      <w:r w:rsidRPr="00EC6E05">
        <w:t>JAVELIN</w:t>
      </w:r>
      <w:r w:rsidR="0012027A" w:rsidRPr="00EC6E05">
        <w:t xml:space="preserve"> </w:t>
      </w:r>
      <w:r w:rsidRPr="00EC6E05">
        <w:t>(</w:t>
      </w:r>
      <w:r w:rsidRPr="00EC6E05">
        <w:rPr>
          <w:rFonts w:cstheme="minorHAnsi"/>
          <w:szCs w:val="18"/>
        </w:rPr>
        <w:t>minimum follow-up of 6 months</w:t>
      </w:r>
      <w:r w:rsidRPr="00EC6E05">
        <w:t xml:space="preserve">) instead of using data from </w:t>
      </w:r>
      <w:r w:rsidR="0012027A" w:rsidRPr="00EC6E05">
        <w:t xml:space="preserve">the second interim analysis </w:t>
      </w:r>
      <w:r w:rsidRPr="00EC6E05">
        <w:t xml:space="preserve">(minimum follow-up of 13 months), to compare safety with </w:t>
      </w:r>
      <w:proofErr w:type="spellStart"/>
      <w:r w:rsidRPr="00EC6E05">
        <w:t>CheckMate</w:t>
      </w:r>
      <w:proofErr w:type="spellEnd"/>
      <w:r w:rsidRPr="00EC6E05">
        <w:t xml:space="preserve"> 214</w:t>
      </w:r>
      <w:r w:rsidR="002C5D07" w:rsidRPr="00EC6E05">
        <w:t xml:space="preserve">; see Table </w:t>
      </w:r>
      <w:r w:rsidR="00291A90">
        <w:t>9</w:t>
      </w:r>
      <w:r w:rsidRPr="00EC6E05">
        <w:t xml:space="preserve">. </w:t>
      </w:r>
      <w:r w:rsidRPr="00EC6E05">
        <w:rPr>
          <w:iCs/>
        </w:rPr>
        <w:t xml:space="preserve">The submission stated that the safety data for </w:t>
      </w:r>
      <w:r w:rsidR="0012027A" w:rsidRPr="00EC6E05">
        <w:rPr>
          <w:iCs/>
        </w:rPr>
        <w:t xml:space="preserve">the second interim analysis </w:t>
      </w:r>
      <w:r w:rsidR="00972611" w:rsidRPr="00EC6E05">
        <w:rPr>
          <w:iCs/>
        </w:rPr>
        <w:t xml:space="preserve">were </w:t>
      </w:r>
      <w:r w:rsidRPr="00EC6E05">
        <w:rPr>
          <w:iCs/>
        </w:rPr>
        <w:t xml:space="preserve">limited and could </w:t>
      </w:r>
      <w:r w:rsidR="00EE2C4C">
        <w:rPr>
          <w:iCs/>
        </w:rPr>
        <w:t xml:space="preserve">not be used to conduct the ITC and </w:t>
      </w:r>
      <w:r w:rsidRPr="00EC6E05">
        <w:t xml:space="preserve">that the median duration of treatment for the </w:t>
      </w:r>
      <w:proofErr w:type="spellStart"/>
      <w:r w:rsidRPr="00EC6E05">
        <w:t>sunitinib</w:t>
      </w:r>
      <w:proofErr w:type="spellEnd"/>
      <w:r w:rsidRPr="00EC6E05">
        <w:t xml:space="preserve"> treatment group in JAVELIN at </w:t>
      </w:r>
      <w:r w:rsidR="0012027A" w:rsidRPr="00EC6E05">
        <w:t xml:space="preserve">the first interim analysis </w:t>
      </w:r>
      <w:r w:rsidRPr="00EC6E05">
        <w:t xml:space="preserve">was similar to the </w:t>
      </w:r>
      <w:proofErr w:type="spellStart"/>
      <w:r w:rsidRPr="00EC6E05">
        <w:t>sunitinib</w:t>
      </w:r>
      <w:proofErr w:type="spellEnd"/>
      <w:r w:rsidRPr="00EC6E05">
        <w:t xml:space="preserve"> treatment group in </w:t>
      </w:r>
      <w:proofErr w:type="spellStart"/>
      <w:r w:rsidRPr="00EC6E05">
        <w:t>CheckMate</w:t>
      </w:r>
      <w:proofErr w:type="spellEnd"/>
      <w:r w:rsidRPr="00EC6E05">
        <w:t> 214.</w:t>
      </w:r>
    </w:p>
    <w:p w:rsidR="005C1DFE" w:rsidRPr="005C1DFE" w:rsidRDefault="00B65A3B" w:rsidP="00EE2C4C">
      <w:pPr>
        <w:pStyle w:val="3-BodyText"/>
        <w:rPr>
          <w:color w:val="0066FF"/>
        </w:rPr>
      </w:pPr>
      <w:r w:rsidRPr="00EC6E05">
        <w:t xml:space="preserve">In JAVELIN, treatment related AEs (TRAEs) of any grade occurred in similar proportions of patients in the AVE + AXI arm (95.4%) and the </w:t>
      </w:r>
      <w:proofErr w:type="spellStart"/>
      <w:r w:rsidRPr="00EC6E05">
        <w:t>sunitinib</w:t>
      </w:r>
      <w:proofErr w:type="spellEnd"/>
      <w:r w:rsidRPr="00EC6E05">
        <w:t xml:space="preserve"> arm (96.4%). </w:t>
      </w:r>
      <w:proofErr w:type="gramStart"/>
      <w:r w:rsidRPr="00EC6E05">
        <w:t>More serious TRAEs</w:t>
      </w:r>
      <w:proofErr w:type="gramEnd"/>
      <w:r w:rsidRPr="00EC6E05">
        <w:t xml:space="preserve"> occurred in patients treated with AVE + AXI (17.1%) compared to </w:t>
      </w:r>
      <w:proofErr w:type="spellStart"/>
      <w:r w:rsidRPr="00EC6E05">
        <w:t>sunitinib</w:t>
      </w:r>
      <w:proofErr w:type="spellEnd"/>
      <w:r w:rsidRPr="00EC6E05">
        <w:t xml:space="preserve"> (13.0%). A higher proportion of patients treated with AVE + AXI experienced hypertension (AVE + AXI, 47.9% vs </w:t>
      </w:r>
      <w:proofErr w:type="spellStart"/>
      <w:r w:rsidRPr="00EC6E05">
        <w:t>sunitinib</w:t>
      </w:r>
      <w:proofErr w:type="spellEnd"/>
      <w:r w:rsidRPr="00EC6E05">
        <w:t xml:space="preserve">, 32.3% all grades; 24.4% and 15.3% grade ≥ 3), dysphonia (26.7% vs 2.7%), hypothyroidism (24.2% vs 13.4%), dyspnoea (12.2% vs 5.5%), pruritus (12.2% vs 4.3%) and arthralgia (12.0% vs 5.5%) of any grade. </w:t>
      </w:r>
    </w:p>
    <w:p w:rsidR="00B65A3B" w:rsidRPr="00EC6E05" w:rsidRDefault="00B65A3B" w:rsidP="005C1DFE">
      <w:pPr>
        <w:pStyle w:val="3-BodyText"/>
        <w:rPr>
          <w:color w:val="0066FF"/>
        </w:rPr>
      </w:pPr>
      <w:r w:rsidRPr="00EC6E05">
        <w:t xml:space="preserve">The TGA </w:t>
      </w:r>
      <w:r w:rsidR="00EE2C4C">
        <w:t xml:space="preserve">Delegate’s Overview noted </w:t>
      </w:r>
      <w:r w:rsidRPr="00EC6E05">
        <w:t>that there was an increased risk of treatment-related deaths with AVE + AXI</w:t>
      </w:r>
      <w:r w:rsidR="00291A90">
        <w:t xml:space="preserve"> compared with </w:t>
      </w:r>
      <w:proofErr w:type="spellStart"/>
      <w:r w:rsidR="00291A90">
        <w:t>sunitinib</w:t>
      </w:r>
      <w:proofErr w:type="spellEnd"/>
      <w:r w:rsidRPr="00EC6E05">
        <w:t xml:space="preserve">, </w:t>
      </w:r>
      <w:r w:rsidR="00EE2C4C" w:rsidRPr="00EE2C4C">
        <w:t xml:space="preserve">which appear to have occurred in at least 7 patients, compared to 1 patient in the </w:t>
      </w:r>
      <w:proofErr w:type="spellStart"/>
      <w:r w:rsidR="00EE2C4C" w:rsidRPr="00EE2C4C">
        <w:t>sunitinib</w:t>
      </w:r>
      <w:proofErr w:type="spellEnd"/>
      <w:r w:rsidR="00EE2C4C" w:rsidRPr="00EE2C4C">
        <w:t xml:space="preserve"> arm. </w:t>
      </w:r>
      <w:r w:rsidR="005C1DFE">
        <w:t>A</w:t>
      </w:r>
      <w:r w:rsidR="00EE2C4C" w:rsidRPr="00EE2C4C">
        <w:t xml:space="preserve">t least </w:t>
      </w:r>
      <w:proofErr w:type="gramStart"/>
      <w:r w:rsidR="00EE2C4C" w:rsidRPr="00EE2C4C">
        <w:t>3</w:t>
      </w:r>
      <w:proofErr w:type="gramEnd"/>
      <w:r w:rsidR="00EE2C4C" w:rsidRPr="00EE2C4C">
        <w:t xml:space="preserve"> deaths were from immune-mediated AEs including 2 patients with pancreatitis and one death from myocarditis.</w:t>
      </w:r>
      <w:r w:rsidR="005C1DFE">
        <w:t xml:space="preserve"> </w:t>
      </w:r>
      <w:r w:rsidR="005C1DFE" w:rsidRPr="00EC6E05">
        <w:t xml:space="preserve">The TGA </w:t>
      </w:r>
      <w:r w:rsidR="005C1DFE">
        <w:t>Delegate’s Overview also noted a</w:t>
      </w:r>
      <w:r w:rsidR="005C1DFE" w:rsidRPr="005C1DFE">
        <w:rPr>
          <w:iCs/>
        </w:rPr>
        <w:t xml:space="preserve">n increased risk of cardiac and cardiovascular toxicities was </w:t>
      </w:r>
      <w:proofErr w:type="gramStart"/>
      <w:r w:rsidR="005C1DFE" w:rsidRPr="005C1DFE">
        <w:rPr>
          <w:iCs/>
        </w:rPr>
        <w:t>clearly evident</w:t>
      </w:r>
      <w:proofErr w:type="gramEnd"/>
      <w:r w:rsidR="005C1DFE" w:rsidRPr="005C1DFE">
        <w:rPr>
          <w:iCs/>
        </w:rPr>
        <w:t xml:space="preserve"> in patients on </w:t>
      </w:r>
      <w:r w:rsidR="005C1DFE">
        <w:rPr>
          <w:iCs/>
        </w:rPr>
        <w:t>AVE + AXI</w:t>
      </w:r>
      <w:r w:rsidR="00291A90">
        <w:rPr>
          <w:iCs/>
        </w:rPr>
        <w:t xml:space="preserve"> than </w:t>
      </w:r>
      <w:proofErr w:type="spellStart"/>
      <w:r w:rsidR="00291A90">
        <w:rPr>
          <w:iCs/>
        </w:rPr>
        <w:t>sunitinib</w:t>
      </w:r>
      <w:proofErr w:type="spellEnd"/>
      <w:r w:rsidR="005C1DFE" w:rsidRPr="005C1DFE">
        <w:rPr>
          <w:iCs/>
        </w:rPr>
        <w:t>, with fatal events observed.</w:t>
      </w:r>
    </w:p>
    <w:p w:rsidR="00B65A3B" w:rsidRPr="00EC6E05" w:rsidRDefault="00B65A3B" w:rsidP="00DC5054">
      <w:pPr>
        <w:pStyle w:val="Caption"/>
        <w:keepNext/>
        <w:keepLines/>
        <w:spacing w:after="0"/>
        <w:rPr>
          <w:rFonts w:ascii="Arial Narrow" w:hAnsi="Arial Narrow"/>
          <w:color w:val="auto"/>
          <w:sz w:val="20"/>
          <w:szCs w:val="20"/>
        </w:rPr>
      </w:pPr>
      <w:r w:rsidRPr="00EC6E05">
        <w:rPr>
          <w:rFonts w:ascii="Arial Narrow" w:hAnsi="Arial Narrow"/>
          <w:color w:val="auto"/>
          <w:sz w:val="20"/>
          <w:szCs w:val="20"/>
        </w:rPr>
        <w:lastRenderedPageBreak/>
        <w:t xml:space="preserve">Table </w:t>
      </w:r>
      <w:r w:rsidR="00291A90">
        <w:rPr>
          <w:rFonts w:ascii="Arial Narrow" w:hAnsi="Arial Narrow"/>
          <w:color w:val="auto"/>
          <w:sz w:val="20"/>
          <w:szCs w:val="20"/>
        </w:rPr>
        <w:t>9</w:t>
      </w:r>
      <w:r w:rsidRPr="00EC6E05">
        <w:rPr>
          <w:rFonts w:ascii="Arial Narrow" w:hAnsi="Arial Narrow"/>
          <w:color w:val="auto"/>
          <w:sz w:val="20"/>
          <w:szCs w:val="20"/>
        </w:rPr>
        <w:t>: ITC - Treatment related adverse effects</w:t>
      </w:r>
    </w:p>
    <w:tbl>
      <w:tblPr>
        <w:tblStyle w:val="TableGrid"/>
        <w:tblW w:w="5000" w:type="pct"/>
        <w:tblLook w:val="04A0" w:firstRow="1" w:lastRow="0" w:firstColumn="1" w:lastColumn="0" w:noHBand="0" w:noVBand="1"/>
        <w:tblCaption w:val="Table 9: ITC - Treatment related adverse effects"/>
      </w:tblPr>
      <w:tblGrid>
        <w:gridCol w:w="1921"/>
        <w:gridCol w:w="1069"/>
        <w:gridCol w:w="1003"/>
        <w:gridCol w:w="1675"/>
        <w:gridCol w:w="1675"/>
        <w:gridCol w:w="1673"/>
      </w:tblGrid>
      <w:tr w:rsidR="00B65A3B" w:rsidRPr="00EC6E05" w:rsidTr="00B65A3B">
        <w:trPr>
          <w:trHeight w:val="244"/>
          <w:tblHeader/>
        </w:trPr>
        <w:tc>
          <w:tcPr>
            <w:tcW w:w="1065" w:type="pct"/>
            <w:tcBorders>
              <w:top w:val="single" w:sz="4" w:space="0" w:color="auto"/>
              <w:left w:val="single" w:sz="4" w:space="0" w:color="auto"/>
              <w:bottom w:val="single" w:sz="4" w:space="0" w:color="auto"/>
              <w:right w:val="single" w:sz="4" w:space="0" w:color="auto"/>
            </w:tcBorders>
            <w:hideMark/>
          </w:tcPr>
          <w:p w:rsidR="00B65A3B" w:rsidRPr="00EC6E05" w:rsidRDefault="00B65A3B" w:rsidP="00DC5054">
            <w:pPr>
              <w:pStyle w:val="Tableheading0"/>
              <w:keepNext/>
              <w:keepLines/>
              <w:rPr>
                <w:rFonts w:ascii="Arial Narrow" w:hAnsi="Arial Narrow"/>
              </w:rPr>
            </w:pPr>
            <w:r w:rsidRPr="00EC6E05">
              <w:rPr>
                <w:rFonts w:ascii="Arial Narrow" w:hAnsi="Arial Narrow"/>
              </w:rPr>
              <w:t>AEs, n (%)</w:t>
            </w:r>
          </w:p>
        </w:tc>
        <w:tc>
          <w:tcPr>
            <w:tcW w:w="593" w:type="pct"/>
            <w:tcBorders>
              <w:top w:val="single" w:sz="4" w:space="0" w:color="auto"/>
              <w:left w:val="single" w:sz="4" w:space="0" w:color="auto"/>
              <w:bottom w:val="single" w:sz="4" w:space="0" w:color="auto"/>
              <w:right w:val="single" w:sz="4" w:space="0" w:color="auto"/>
            </w:tcBorders>
            <w:hideMark/>
          </w:tcPr>
          <w:p w:rsidR="00B65A3B" w:rsidRPr="00EC6E05" w:rsidRDefault="00B65A3B" w:rsidP="00DC5054">
            <w:pPr>
              <w:pStyle w:val="Tableheading0"/>
              <w:keepNext/>
              <w:keepLines/>
              <w:ind w:left="-86" w:right="-68"/>
              <w:rPr>
                <w:rFonts w:ascii="Arial Narrow" w:hAnsi="Arial Narrow"/>
              </w:rPr>
            </w:pPr>
            <w:r w:rsidRPr="00EC6E05">
              <w:rPr>
                <w:rFonts w:ascii="Arial Narrow" w:hAnsi="Arial Narrow"/>
              </w:rPr>
              <w:t>Intervention</w:t>
            </w:r>
          </w:p>
          <w:p w:rsidR="00B65A3B" w:rsidRPr="00EC6E05" w:rsidRDefault="00B65A3B" w:rsidP="00DC5054">
            <w:pPr>
              <w:pStyle w:val="Tableheading0"/>
              <w:keepNext/>
              <w:keepLines/>
              <w:rPr>
                <w:rFonts w:ascii="Arial Narrow" w:hAnsi="Arial Narrow"/>
              </w:rPr>
            </w:pPr>
            <w:proofErr w:type="gramStart"/>
            <w:r w:rsidRPr="00EC6E05">
              <w:rPr>
                <w:rFonts w:ascii="Arial Narrow" w:hAnsi="Arial Narrow"/>
              </w:rPr>
              <w:t>n</w:t>
            </w:r>
            <w:proofErr w:type="gramEnd"/>
            <w:r w:rsidRPr="00EC6E05">
              <w:rPr>
                <w:rFonts w:ascii="Arial Narrow" w:hAnsi="Arial Narrow"/>
              </w:rPr>
              <w:t xml:space="preserve"> (%)</w:t>
            </w:r>
          </w:p>
        </w:tc>
        <w:tc>
          <w:tcPr>
            <w:tcW w:w="556" w:type="pct"/>
            <w:tcBorders>
              <w:top w:val="single" w:sz="4" w:space="0" w:color="auto"/>
              <w:left w:val="single" w:sz="4" w:space="0" w:color="auto"/>
              <w:bottom w:val="single" w:sz="4" w:space="0" w:color="auto"/>
              <w:right w:val="single" w:sz="4" w:space="0" w:color="auto"/>
            </w:tcBorders>
            <w:hideMark/>
          </w:tcPr>
          <w:p w:rsidR="00B65A3B" w:rsidRPr="00EC6E05" w:rsidRDefault="00B65A3B" w:rsidP="00DC5054">
            <w:pPr>
              <w:pStyle w:val="Tableheading0"/>
              <w:keepNext/>
              <w:keepLines/>
              <w:rPr>
                <w:rFonts w:ascii="Arial Narrow" w:hAnsi="Arial Narrow"/>
              </w:rPr>
            </w:pPr>
            <w:r w:rsidRPr="00EC6E05">
              <w:rPr>
                <w:rFonts w:ascii="Arial Narrow" w:hAnsi="Arial Narrow"/>
              </w:rPr>
              <w:t>SUN</w:t>
            </w:r>
          </w:p>
          <w:p w:rsidR="00B65A3B" w:rsidRPr="00EC6E05" w:rsidRDefault="00B65A3B" w:rsidP="00DC5054">
            <w:pPr>
              <w:pStyle w:val="Tableheading0"/>
              <w:keepNext/>
              <w:keepLines/>
              <w:rPr>
                <w:rFonts w:ascii="Arial Narrow" w:hAnsi="Arial Narrow"/>
              </w:rPr>
            </w:pPr>
            <w:proofErr w:type="gramStart"/>
            <w:r w:rsidRPr="00EC6E05">
              <w:rPr>
                <w:rFonts w:ascii="Arial Narrow" w:hAnsi="Arial Narrow"/>
              </w:rPr>
              <w:t>n</w:t>
            </w:r>
            <w:proofErr w:type="gramEnd"/>
            <w:r w:rsidRPr="00EC6E05">
              <w:rPr>
                <w:rFonts w:ascii="Arial Narrow" w:hAnsi="Arial Narrow"/>
              </w:rPr>
              <w:t xml:space="preserve"> (%)</w:t>
            </w:r>
          </w:p>
        </w:tc>
        <w:tc>
          <w:tcPr>
            <w:tcW w:w="929" w:type="pct"/>
            <w:tcBorders>
              <w:top w:val="single" w:sz="4" w:space="0" w:color="auto"/>
              <w:left w:val="single" w:sz="4" w:space="0" w:color="auto"/>
              <w:bottom w:val="single" w:sz="4" w:space="0" w:color="auto"/>
              <w:right w:val="single" w:sz="4" w:space="0" w:color="auto"/>
            </w:tcBorders>
            <w:hideMark/>
          </w:tcPr>
          <w:p w:rsidR="00B65A3B" w:rsidRPr="00EC6E05" w:rsidRDefault="00B65A3B" w:rsidP="00DC5054">
            <w:pPr>
              <w:pStyle w:val="Tableheading0"/>
              <w:keepNext/>
              <w:keepLines/>
              <w:rPr>
                <w:rFonts w:ascii="Arial Narrow" w:hAnsi="Arial Narrow"/>
                <w:vertAlign w:val="superscript"/>
              </w:rPr>
            </w:pPr>
            <w:r w:rsidRPr="00EC6E05">
              <w:rPr>
                <w:rFonts w:ascii="Arial Narrow" w:hAnsi="Arial Narrow"/>
              </w:rPr>
              <w:t xml:space="preserve">Relative risk </w:t>
            </w:r>
            <w:r w:rsidRPr="00EC6E05">
              <w:rPr>
                <w:rFonts w:ascii="Arial Narrow" w:hAnsi="Arial Narrow"/>
                <w:vertAlign w:val="superscript"/>
              </w:rPr>
              <w:t>a</w:t>
            </w:r>
          </w:p>
          <w:p w:rsidR="00B65A3B" w:rsidRPr="00EC6E05" w:rsidRDefault="00B65A3B" w:rsidP="00DC5054">
            <w:pPr>
              <w:pStyle w:val="Tableheading0"/>
              <w:keepNext/>
              <w:keepLines/>
              <w:rPr>
                <w:rFonts w:ascii="Arial Narrow" w:hAnsi="Arial Narrow"/>
              </w:rPr>
            </w:pPr>
            <w:r w:rsidRPr="00EC6E05">
              <w:rPr>
                <w:rFonts w:ascii="Arial Narrow" w:hAnsi="Arial Narrow"/>
              </w:rPr>
              <w:t>(95% CI)</w:t>
            </w:r>
          </w:p>
        </w:tc>
        <w:tc>
          <w:tcPr>
            <w:tcW w:w="929" w:type="pct"/>
            <w:tcBorders>
              <w:top w:val="single" w:sz="4" w:space="0" w:color="auto"/>
              <w:left w:val="single" w:sz="4" w:space="0" w:color="auto"/>
              <w:bottom w:val="single" w:sz="4" w:space="0" w:color="auto"/>
              <w:right w:val="single" w:sz="4" w:space="0" w:color="auto"/>
            </w:tcBorders>
            <w:hideMark/>
          </w:tcPr>
          <w:p w:rsidR="00B65A3B" w:rsidRPr="00EC6E05" w:rsidRDefault="00B65A3B" w:rsidP="00DC5054">
            <w:pPr>
              <w:pStyle w:val="Tableheading0"/>
              <w:keepNext/>
              <w:keepLines/>
              <w:rPr>
                <w:rFonts w:ascii="Arial Narrow" w:hAnsi="Arial Narrow"/>
              </w:rPr>
            </w:pPr>
            <w:r w:rsidRPr="00EC6E05">
              <w:rPr>
                <w:rFonts w:ascii="Arial Narrow" w:hAnsi="Arial Narrow"/>
              </w:rPr>
              <w:t>Risk difference </w:t>
            </w:r>
            <w:r w:rsidRPr="00EC6E05">
              <w:rPr>
                <w:rFonts w:ascii="Arial Narrow" w:hAnsi="Arial Narrow"/>
                <w:vertAlign w:val="superscript"/>
              </w:rPr>
              <w:t>a</w:t>
            </w:r>
          </w:p>
          <w:p w:rsidR="00B65A3B" w:rsidRPr="00EC6E05" w:rsidRDefault="00B65A3B" w:rsidP="00DC5054">
            <w:pPr>
              <w:pStyle w:val="Tableheading0"/>
              <w:keepNext/>
              <w:keepLines/>
              <w:rPr>
                <w:rFonts w:ascii="Arial Narrow" w:hAnsi="Arial Narrow"/>
              </w:rPr>
            </w:pPr>
            <w:r w:rsidRPr="00EC6E05">
              <w:rPr>
                <w:rFonts w:ascii="Arial Narrow" w:hAnsi="Arial Narrow"/>
              </w:rPr>
              <w:t>(95% CI)</w:t>
            </w:r>
          </w:p>
        </w:tc>
        <w:tc>
          <w:tcPr>
            <w:tcW w:w="928" w:type="pct"/>
            <w:tcBorders>
              <w:top w:val="single" w:sz="4" w:space="0" w:color="auto"/>
              <w:left w:val="single" w:sz="4" w:space="0" w:color="auto"/>
              <w:bottom w:val="single" w:sz="4" w:space="0" w:color="auto"/>
              <w:right w:val="single" w:sz="4" w:space="0" w:color="auto"/>
            </w:tcBorders>
            <w:hideMark/>
          </w:tcPr>
          <w:p w:rsidR="00B65A3B" w:rsidRPr="00EC6E05" w:rsidRDefault="00B65A3B" w:rsidP="00DC5054">
            <w:pPr>
              <w:pStyle w:val="Tableheading0"/>
              <w:keepNext/>
              <w:keepLines/>
              <w:rPr>
                <w:rFonts w:ascii="Arial Narrow" w:hAnsi="Arial Narrow"/>
              </w:rPr>
            </w:pPr>
            <w:r w:rsidRPr="00EC6E05">
              <w:rPr>
                <w:rFonts w:ascii="Arial Narrow" w:hAnsi="Arial Narrow"/>
              </w:rPr>
              <w:t>Odds ratio</w:t>
            </w:r>
            <w:r w:rsidRPr="00EC6E05">
              <w:rPr>
                <w:rFonts w:ascii="Arial Narrow" w:hAnsi="Arial Narrow"/>
                <w:vertAlign w:val="superscript"/>
              </w:rPr>
              <w:t xml:space="preserve"> a</w:t>
            </w:r>
          </w:p>
          <w:p w:rsidR="00B65A3B" w:rsidRPr="00EC6E05" w:rsidRDefault="00B65A3B" w:rsidP="00DC5054">
            <w:pPr>
              <w:pStyle w:val="Tableheading0"/>
              <w:keepNext/>
              <w:keepLines/>
              <w:rPr>
                <w:rFonts w:ascii="Arial Narrow" w:hAnsi="Arial Narrow"/>
              </w:rPr>
            </w:pPr>
            <w:r w:rsidRPr="00EC6E05">
              <w:rPr>
                <w:rFonts w:ascii="Arial Narrow" w:hAnsi="Arial Narrow"/>
              </w:rPr>
              <w:t>(95% CI)</w:t>
            </w:r>
          </w:p>
        </w:tc>
      </w:tr>
      <w:tr w:rsidR="00B65A3B" w:rsidRPr="00EC6E05" w:rsidTr="00B65A3B">
        <w:trPr>
          <w:trHeight w:val="244"/>
        </w:trPr>
        <w:tc>
          <w:tcPr>
            <w:tcW w:w="5000" w:type="pct"/>
            <w:gridSpan w:val="6"/>
            <w:tcBorders>
              <w:top w:val="single" w:sz="4" w:space="0" w:color="auto"/>
              <w:left w:val="single" w:sz="4" w:space="0" w:color="auto"/>
              <w:bottom w:val="single" w:sz="4" w:space="0" w:color="auto"/>
              <w:right w:val="single" w:sz="4" w:space="0" w:color="auto"/>
            </w:tcBorders>
            <w:hideMark/>
          </w:tcPr>
          <w:p w:rsidR="00B65A3B" w:rsidRPr="00EC6E05" w:rsidRDefault="00B65A3B" w:rsidP="00DC5054">
            <w:pPr>
              <w:pStyle w:val="Tablecentre"/>
              <w:keepNext/>
              <w:keepLines/>
              <w:jc w:val="left"/>
              <w:rPr>
                <w:rFonts w:ascii="Arial Narrow" w:hAnsi="Arial Narrow"/>
              </w:rPr>
            </w:pPr>
            <w:r w:rsidRPr="00EC6E05">
              <w:rPr>
                <w:rFonts w:ascii="Arial Narrow" w:hAnsi="Arial Narrow"/>
              </w:rPr>
              <w:t>Treatment related adverse event of any grade</w:t>
            </w:r>
          </w:p>
        </w:tc>
      </w:tr>
      <w:tr w:rsidR="00B65A3B" w:rsidRPr="00EC6E05" w:rsidTr="00B65A3B">
        <w:trPr>
          <w:trHeight w:val="244"/>
        </w:trPr>
        <w:tc>
          <w:tcPr>
            <w:tcW w:w="1065" w:type="pct"/>
            <w:tcBorders>
              <w:top w:val="single" w:sz="4" w:space="0" w:color="auto"/>
              <w:left w:val="single" w:sz="4" w:space="0" w:color="auto"/>
              <w:bottom w:val="single" w:sz="4" w:space="0" w:color="auto"/>
              <w:right w:val="nil"/>
            </w:tcBorders>
            <w:hideMark/>
          </w:tcPr>
          <w:p w:rsidR="00B65A3B" w:rsidRPr="00EC6E05" w:rsidRDefault="00B65A3B" w:rsidP="00DC5054">
            <w:pPr>
              <w:pStyle w:val="Tabletext"/>
              <w:keepNext/>
              <w:keepLines/>
              <w:rPr>
                <w:szCs w:val="20"/>
              </w:rPr>
            </w:pPr>
            <w:r w:rsidRPr="00EC6E05">
              <w:rPr>
                <w:szCs w:val="20"/>
              </w:rPr>
              <w:t>Any AEs</w:t>
            </w:r>
          </w:p>
        </w:tc>
        <w:tc>
          <w:tcPr>
            <w:tcW w:w="593" w:type="pct"/>
            <w:tcBorders>
              <w:top w:val="single" w:sz="4" w:space="0" w:color="auto"/>
              <w:left w:val="nil"/>
              <w:bottom w:val="single" w:sz="4" w:space="0" w:color="auto"/>
              <w:right w:val="nil"/>
            </w:tcBorders>
          </w:tcPr>
          <w:p w:rsidR="00B65A3B" w:rsidRPr="00EC6E05" w:rsidRDefault="00B65A3B" w:rsidP="00DC5054">
            <w:pPr>
              <w:pStyle w:val="Tablecentre"/>
              <w:keepNext/>
              <w:keepLines/>
              <w:rPr>
                <w:rFonts w:ascii="Arial Narrow" w:hAnsi="Arial Narrow"/>
              </w:rPr>
            </w:pPr>
          </w:p>
        </w:tc>
        <w:tc>
          <w:tcPr>
            <w:tcW w:w="556" w:type="pct"/>
            <w:tcBorders>
              <w:top w:val="single" w:sz="4" w:space="0" w:color="auto"/>
              <w:left w:val="nil"/>
              <w:bottom w:val="single" w:sz="4" w:space="0" w:color="auto"/>
              <w:right w:val="nil"/>
            </w:tcBorders>
          </w:tcPr>
          <w:p w:rsidR="00B65A3B" w:rsidRPr="00EC6E05" w:rsidRDefault="00B65A3B" w:rsidP="00DC5054">
            <w:pPr>
              <w:pStyle w:val="Tablecentre"/>
              <w:keepNext/>
              <w:keepLines/>
              <w:rPr>
                <w:rFonts w:ascii="Arial Narrow" w:hAnsi="Arial Narrow"/>
              </w:rPr>
            </w:pPr>
          </w:p>
        </w:tc>
        <w:tc>
          <w:tcPr>
            <w:tcW w:w="929" w:type="pct"/>
            <w:tcBorders>
              <w:top w:val="single" w:sz="4" w:space="0" w:color="auto"/>
              <w:left w:val="nil"/>
              <w:bottom w:val="single" w:sz="4" w:space="0" w:color="auto"/>
              <w:right w:val="nil"/>
            </w:tcBorders>
          </w:tcPr>
          <w:p w:rsidR="00B65A3B" w:rsidRPr="00EC6E05" w:rsidRDefault="00B65A3B" w:rsidP="00DC5054">
            <w:pPr>
              <w:pStyle w:val="Tablecentre"/>
              <w:keepNext/>
              <w:keepLines/>
              <w:rPr>
                <w:rFonts w:ascii="Arial Narrow" w:hAnsi="Arial Narrow"/>
              </w:rPr>
            </w:pPr>
          </w:p>
        </w:tc>
        <w:tc>
          <w:tcPr>
            <w:tcW w:w="929" w:type="pct"/>
            <w:tcBorders>
              <w:top w:val="single" w:sz="4" w:space="0" w:color="auto"/>
              <w:left w:val="nil"/>
              <w:bottom w:val="single" w:sz="4" w:space="0" w:color="auto"/>
              <w:right w:val="nil"/>
            </w:tcBorders>
          </w:tcPr>
          <w:p w:rsidR="00B65A3B" w:rsidRPr="00EC6E05" w:rsidRDefault="00B65A3B" w:rsidP="00DC5054">
            <w:pPr>
              <w:pStyle w:val="Tablecentre"/>
              <w:keepNext/>
              <w:keepLines/>
              <w:rPr>
                <w:rFonts w:ascii="Arial Narrow" w:hAnsi="Arial Narrow"/>
              </w:rPr>
            </w:pPr>
          </w:p>
        </w:tc>
        <w:tc>
          <w:tcPr>
            <w:tcW w:w="928" w:type="pct"/>
            <w:tcBorders>
              <w:top w:val="single" w:sz="4" w:space="0" w:color="auto"/>
              <w:left w:val="nil"/>
              <w:bottom w:val="single" w:sz="4" w:space="0" w:color="auto"/>
              <w:right w:val="single" w:sz="4" w:space="0" w:color="auto"/>
            </w:tcBorders>
          </w:tcPr>
          <w:p w:rsidR="00B65A3B" w:rsidRPr="00EC6E05" w:rsidRDefault="00B65A3B" w:rsidP="00DC5054">
            <w:pPr>
              <w:pStyle w:val="Tablecentre"/>
              <w:keepNext/>
              <w:keepLines/>
              <w:rPr>
                <w:rFonts w:ascii="Arial Narrow" w:hAnsi="Arial Narrow"/>
              </w:rPr>
            </w:pPr>
          </w:p>
        </w:tc>
      </w:tr>
      <w:tr w:rsidR="00B65A3B" w:rsidRPr="00EC6E05" w:rsidTr="00B65A3B">
        <w:trPr>
          <w:trHeight w:val="244"/>
        </w:trPr>
        <w:tc>
          <w:tcPr>
            <w:tcW w:w="1065" w:type="pct"/>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DC5054">
            <w:pPr>
              <w:pStyle w:val="Tabletext"/>
              <w:keepNext/>
              <w:keepLines/>
              <w:ind w:left="266"/>
              <w:rPr>
                <w:szCs w:val="20"/>
              </w:rPr>
            </w:pPr>
            <w:r w:rsidRPr="00EC6E05">
              <w:rPr>
                <w:szCs w:val="20"/>
              </w:rPr>
              <w:t>JAVELIN </w:t>
            </w:r>
            <w:r w:rsidRPr="00EC6E05">
              <w:rPr>
                <w:szCs w:val="20"/>
                <w:vertAlign w:val="superscript"/>
              </w:rPr>
              <w:t>b</w:t>
            </w:r>
          </w:p>
        </w:tc>
        <w:tc>
          <w:tcPr>
            <w:tcW w:w="593" w:type="pct"/>
            <w:tcBorders>
              <w:top w:val="single" w:sz="4" w:space="0" w:color="auto"/>
              <w:left w:val="single" w:sz="4" w:space="0" w:color="auto"/>
              <w:bottom w:val="single" w:sz="4" w:space="0" w:color="auto"/>
              <w:right w:val="single" w:sz="4" w:space="0" w:color="auto"/>
            </w:tcBorders>
            <w:hideMark/>
          </w:tcPr>
          <w:p w:rsidR="00B65A3B" w:rsidRPr="00EC6E05" w:rsidRDefault="00B65A3B" w:rsidP="00DC5054">
            <w:pPr>
              <w:pStyle w:val="Tablecentre"/>
              <w:keepNext/>
              <w:keepLines/>
              <w:rPr>
                <w:rFonts w:ascii="Arial Narrow" w:hAnsi="Arial Narrow"/>
              </w:rPr>
            </w:pPr>
            <w:r w:rsidRPr="00EC6E05">
              <w:rPr>
                <w:rFonts w:ascii="Arial Narrow" w:hAnsi="Arial Narrow"/>
              </w:rPr>
              <w:t>414 (95.4)</w:t>
            </w:r>
          </w:p>
        </w:tc>
        <w:tc>
          <w:tcPr>
            <w:tcW w:w="556" w:type="pct"/>
            <w:tcBorders>
              <w:top w:val="single" w:sz="4" w:space="0" w:color="auto"/>
              <w:left w:val="single" w:sz="4" w:space="0" w:color="auto"/>
              <w:bottom w:val="single" w:sz="4" w:space="0" w:color="auto"/>
              <w:right w:val="single" w:sz="4" w:space="0" w:color="auto"/>
            </w:tcBorders>
            <w:hideMark/>
          </w:tcPr>
          <w:p w:rsidR="00B65A3B" w:rsidRPr="00EC6E05" w:rsidRDefault="00B65A3B" w:rsidP="00DC5054">
            <w:pPr>
              <w:pStyle w:val="Tablecentre"/>
              <w:keepNext/>
              <w:keepLines/>
              <w:rPr>
                <w:rFonts w:ascii="Arial Narrow" w:hAnsi="Arial Narrow"/>
              </w:rPr>
            </w:pPr>
            <w:r w:rsidRPr="00EC6E05">
              <w:rPr>
                <w:rFonts w:ascii="Arial Narrow" w:hAnsi="Arial Narrow"/>
              </w:rPr>
              <w:t>423 (96.4)</w:t>
            </w:r>
          </w:p>
        </w:tc>
        <w:tc>
          <w:tcPr>
            <w:tcW w:w="929" w:type="pct"/>
            <w:tcBorders>
              <w:top w:val="single" w:sz="4" w:space="0" w:color="auto"/>
              <w:left w:val="single" w:sz="4" w:space="0" w:color="auto"/>
              <w:bottom w:val="single" w:sz="4" w:space="0" w:color="auto"/>
              <w:right w:val="single" w:sz="4" w:space="0" w:color="auto"/>
            </w:tcBorders>
            <w:hideMark/>
          </w:tcPr>
          <w:p w:rsidR="00B65A3B" w:rsidRPr="006A083B" w:rsidRDefault="006A083B" w:rsidP="00DC5054">
            <w:pPr>
              <w:pStyle w:val="Tablecentre"/>
              <w:keepNext/>
              <w:keepLines/>
              <w:rPr>
                <w:rFonts w:ascii="Arial Narrow" w:hAnsi="Arial Narrow"/>
                <w:highlight w:val="black"/>
              </w:rPr>
            </w:pPr>
            <w:r>
              <w:rPr>
                <w:rFonts w:ascii="Arial Narrow" w:hAnsi="Arial Narrow"/>
                <w:noProof/>
                <w:color w:val="000000"/>
                <w:highlight w:val="black"/>
              </w:rPr>
              <w:t xml:space="preserve">'''''''''' ''''''''''''''' '''''''''''' </w:t>
            </w:r>
          </w:p>
        </w:tc>
        <w:tc>
          <w:tcPr>
            <w:tcW w:w="929" w:type="pct"/>
            <w:tcBorders>
              <w:top w:val="single" w:sz="4" w:space="0" w:color="auto"/>
              <w:left w:val="single" w:sz="4" w:space="0" w:color="auto"/>
              <w:bottom w:val="single" w:sz="4" w:space="0" w:color="auto"/>
              <w:right w:val="single" w:sz="4" w:space="0" w:color="auto"/>
            </w:tcBorders>
            <w:hideMark/>
          </w:tcPr>
          <w:p w:rsidR="00B65A3B" w:rsidRPr="006A083B" w:rsidRDefault="006A083B" w:rsidP="00DC5054">
            <w:pPr>
              <w:pStyle w:val="Tablecentre"/>
              <w:keepNext/>
              <w:keepLines/>
              <w:rPr>
                <w:rFonts w:ascii="Arial Narrow" w:hAnsi="Arial Narrow"/>
                <w:highlight w:val="black"/>
              </w:rPr>
            </w:pPr>
            <w:r>
              <w:rPr>
                <w:rFonts w:ascii="Arial Narrow" w:hAnsi="Arial Narrow"/>
                <w:noProof/>
                <w:color w:val="000000"/>
                <w:highlight w:val="black"/>
              </w:rPr>
              <w:t>''''''''' ''''''''' ''''''</w:t>
            </w:r>
          </w:p>
        </w:tc>
        <w:tc>
          <w:tcPr>
            <w:tcW w:w="928" w:type="pct"/>
            <w:tcBorders>
              <w:top w:val="single" w:sz="4" w:space="0" w:color="auto"/>
              <w:left w:val="single" w:sz="4" w:space="0" w:color="auto"/>
              <w:bottom w:val="single" w:sz="4" w:space="0" w:color="auto"/>
              <w:right w:val="single" w:sz="4" w:space="0" w:color="auto"/>
            </w:tcBorders>
            <w:hideMark/>
          </w:tcPr>
          <w:p w:rsidR="00B65A3B" w:rsidRPr="006A083B" w:rsidRDefault="006A083B" w:rsidP="00DC5054">
            <w:pPr>
              <w:pStyle w:val="Tablecentre"/>
              <w:keepNext/>
              <w:keepLines/>
              <w:rPr>
                <w:rFonts w:ascii="Arial Narrow" w:hAnsi="Arial Narrow"/>
                <w:highlight w:val="black"/>
              </w:rPr>
            </w:pPr>
            <w:r>
              <w:rPr>
                <w:rFonts w:ascii="Arial Narrow" w:hAnsi="Arial Narrow"/>
                <w:noProof/>
                <w:color w:val="000000"/>
                <w:highlight w:val="black"/>
              </w:rPr>
              <w:t xml:space="preserve">''''''''''' ''''''''''''''' ''''''''''''' </w:t>
            </w:r>
          </w:p>
        </w:tc>
      </w:tr>
      <w:tr w:rsidR="00B65A3B" w:rsidRPr="00EC6E05" w:rsidTr="00B65A3B">
        <w:trPr>
          <w:trHeight w:val="244"/>
        </w:trPr>
        <w:tc>
          <w:tcPr>
            <w:tcW w:w="1065" w:type="pct"/>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DC5054">
            <w:pPr>
              <w:pStyle w:val="Tabletext"/>
              <w:keepNext/>
              <w:keepLines/>
              <w:ind w:left="266"/>
              <w:rPr>
                <w:szCs w:val="20"/>
              </w:rPr>
            </w:pPr>
            <w:proofErr w:type="spellStart"/>
            <w:r w:rsidRPr="00EC6E05">
              <w:rPr>
                <w:szCs w:val="20"/>
              </w:rPr>
              <w:t>CheckMate</w:t>
            </w:r>
            <w:proofErr w:type="spellEnd"/>
            <w:r w:rsidRPr="00EC6E05">
              <w:rPr>
                <w:szCs w:val="20"/>
              </w:rPr>
              <w:t xml:space="preserve"> 214</w:t>
            </w:r>
            <w:r w:rsidRPr="00EC6E05">
              <w:rPr>
                <w:szCs w:val="20"/>
                <w:vertAlign w:val="superscript"/>
              </w:rPr>
              <w:t>c</w:t>
            </w:r>
          </w:p>
        </w:tc>
        <w:tc>
          <w:tcPr>
            <w:tcW w:w="593" w:type="pct"/>
            <w:tcBorders>
              <w:top w:val="single" w:sz="4" w:space="0" w:color="auto"/>
              <w:left w:val="single" w:sz="4" w:space="0" w:color="auto"/>
              <w:bottom w:val="single" w:sz="4" w:space="0" w:color="auto"/>
              <w:right w:val="single" w:sz="4" w:space="0" w:color="auto"/>
            </w:tcBorders>
            <w:hideMark/>
          </w:tcPr>
          <w:p w:rsidR="00B65A3B" w:rsidRPr="00EC6E05" w:rsidRDefault="00B65A3B" w:rsidP="00DC5054">
            <w:pPr>
              <w:pStyle w:val="Tablecentre"/>
              <w:keepNext/>
              <w:keepLines/>
              <w:rPr>
                <w:rFonts w:ascii="Arial Narrow" w:hAnsi="Arial Narrow"/>
              </w:rPr>
            </w:pPr>
            <w:r w:rsidRPr="00EC6E05">
              <w:rPr>
                <w:rFonts w:ascii="Arial Narrow" w:hAnsi="Arial Narrow"/>
              </w:rPr>
              <w:t>509 (93.1)</w:t>
            </w:r>
          </w:p>
        </w:tc>
        <w:tc>
          <w:tcPr>
            <w:tcW w:w="556" w:type="pct"/>
            <w:tcBorders>
              <w:top w:val="single" w:sz="4" w:space="0" w:color="auto"/>
              <w:left w:val="single" w:sz="4" w:space="0" w:color="auto"/>
              <w:bottom w:val="single" w:sz="4" w:space="0" w:color="auto"/>
              <w:right w:val="single" w:sz="4" w:space="0" w:color="auto"/>
            </w:tcBorders>
            <w:hideMark/>
          </w:tcPr>
          <w:p w:rsidR="00B65A3B" w:rsidRPr="00EC6E05" w:rsidRDefault="00B65A3B" w:rsidP="00DC5054">
            <w:pPr>
              <w:pStyle w:val="Tablecentre"/>
              <w:keepNext/>
              <w:keepLines/>
              <w:rPr>
                <w:rFonts w:ascii="Arial Narrow" w:hAnsi="Arial Narrow"/>
              </w:rPr>
            </w:pPr>
            <w:r w:rsidRPr="00EC6E05">
              <w:rPr>
                <w:rFonts w:ascii="Arial Narrow" w:hAnsi="Arial Narrow"/>
              </w:rPr>
              <w:t>521 (97.4)</w:t>
            </w:r>
          </w:p>
        </w:tc>
        <w:tc>
          <w:tcPr>
            <w:tcW w:w="929" w:type="pct"/>
            <w:tcBorders>
              <w:top w:val="single" w:sz="4" w:space="0" w:color="auto"/>
              <w:left w:val="single" w:sz="4" w:space="0" w:color="auto"/>
              <w:bottom w:val="single" w:sz="4" w:space="0" w:color="auto"/>
              <w:right w:val="single" w:sz="4" w:space="0" w:color="auto"/>
            </w:tcBorders>
            <w:hideMark/>
          </w:tcPr>
          <w:p w:rsidR="00B65A3B" w:rsidRPr="006A083B" w:rsidRDefault="006A083B" w:rsidP="00DC5054">
            <w:pPr>
              <w:pStyle w:val="Tabletext"/>
              <w:keepNext/>
              <w:keepLines/>
              <w:jc w:val="center"/>
              <w:rPr>
                <w:rFonts w:eastAsiaTheme="minorHAnsi" w:cstheme="minorBidi"/>
                <w:szCs w:val="20"/>
                <w:highlight w:val="black"/>
                <w:lang w:eastAsia="en-US"/>
              </w:rPr>
            </w:pPr>
            <w:r>
              <w:rPr>
                <w:rFonts w:eastAsiaTheme="minorHAnsi" w:cstheme="minorBidi"/>
                <w:noProof/>
                <w:color w:val="000000"/>
                <w:szCs w:val="20"/>
                <w:highlight w:val="black"/>
                <w:lang w:eastAsia="en-US"/>
              </w:rPr>
              <w:t>''''''''''' ''''''''''''''' '''''''''''''</w:t>
            </w:r>
          </w:p>
        </w:tc>
        <w:tc>
          <w:tcPr>
            <w:tcW w:w="929" w:type="pct"/>
            <w:tcBorders>
              <w:top w:val="single" w:sz="4" w:space="0" w:color="auto"/>
              <w:left w:val="single" w:sz="4" w:space="0" w:color="auto"/>
              <w:bottom w:val="single" w:sz="4" w:space="0" w:color="auto"/>
              <w:right w:val="single" w:sz="4" w:space="0" w:color="auto"/>
            </w:tcBorders>
            <w:hideMark/>
          </w:tcPr>
          <w:p w:rsidR="00B65A3B" w:rsidRPr="006A083B" w:rsidRDefault="006A083B" w:rsidP="00DC5054">
            <w:pPr>
              <w:pStyle w:val="Tablecentre"/>
              <w:keepNext/>
              <w:keepLines/>
              <w:rPr>
                <w:rFonts w:ascii="Arial Narrow" w:hAnsi="Arial Narrow"/>
                <w:highlight w:val="black"/>
              </w:rPr>
            </w:pPr>
            <w:r>
              <w:rPr>
                <w:rFonts w:ascii="Arial Narrow" w:hAnsi="Arial Narrow"/>
                <w:noProof/>
                <w:color w:val="000000"/>
                <w:highlight w:val="black"/>
              </w:rPr>
              <w:t xml:space="preserve">'''''''''' '''''''' ''''''' </w:t>
            </w:r>
          </w:p>
        </w:tc>
        <w:tc>
          <w:tcPr>
            <w:tcW w:w="928" w:type="pct"/>
            <w:tcBorders>
              <w:top w:val="single" w:sz="4" w:space="0" w:color="auto"/>
              <w:left w:val="single" w:sz="4" w:space="0" w:color="auto"/>
              <w:bottom w:val="single" w:sz="4" w:space="0" w:color="auto"/>
              <w:right w:val="single" w:sz="4" w:space="0" w:color="auto"/>
            </w:tcBorders>
            <w:hideMark/>
          </w:tcPr>
          <w:p w:rsidR="00B65A3B" w:rsidRPr="006A083B" w:rsidRDefault="006A083B" w:rsidP="00DC5054">
            <w:pPr>
              <w:pStyle w:val="Tablecentre"/>
              <w:keepNext/>
              <w:keepLines/>
              <w:rPr>
                <w:rFonts w:ascii="Arial Narrow" w:hAnsi="Arial Narrow"/>
                <w:b/>
                <w:highlight w:val="black"/>
              </w:rPr>
            </w:pPr>
            <w:r>
              <w:rPr>
                <w:rFonts w:ascii="Arial Narrow" w:hAnsi="Arial Narrow"/>
                <w:b/>
                <w:noProof/>
                <w:color w:val="000000"/>
                <w:highlight w:val="black"/>
              </w:rPr>
              <w:t xml:space="preserve">'''''''' '''''''''''' '''''''''' </w:t>
            </w:r>
          </w:p>
        </w:tc>
      </w:tr>
      <w:tr w:rsidR="00B65A3B" w:rsidRPr="00EC6E05" w:rsidTr="00B65A3B">
        <w:trPr>
          <w:trHeight w:val="244"/>
        </w:trPr>
        <w:tc>
          <w:tcPr>
            <w:tcW w:w="2214" w:type="pct"/>
            <w:gridSpan w:val="3"/>
            <w:tcBorders>
              <w:top w:val="single" w:sz="4" w:space="0" w:color="auto"/>
              <w:left w:val="single" w:sz="4" w:space="0" w:color="auto"/>
              <w:bottom w:val="single" w:sz="4" w:space="0" w:color="auto"/>
              <w:right w:val="single" w:sz="4" w:space="0" w:color="auto"/>
            </w:tcBorders>
            <w:hideMark/>
          </w:tcPr>
          <w:p w:rsidR="00B65A3B" w:rsidRPr="00EC6E05" w:rsidRDefault="00B65A3B" w:rsidP="00DC5054">
            <w:pPr>
              <w:pStyle w:val="Tabletext"/>
              <w:keepNext/>
              <w:keepLines/>
              <w:rPr>
                <w:szCs w:val="20"/>
              </w:rPr>
            </w:pPr>
            <w:r w:rsidRPr="00EC6E05">
              <w:rPr>
                <w:szCs w:val="20"/>
              </w:rPr>
              <w:t>Indirect comparison: AVE + AXI vs NIVO + IPI</w:t>
            </w:r>
          </w:p>
        </w:tc>
        <w:tc>
          <w:tcPr>
            <w:tcW w:w="929" w:type="pct"/>
            <w:tcBorders>
              <w:top w:val="single" w:sz="4" w:space="0" w:color="auto"/>
              <w:left w:val="single" w:sz="4" w:space="0" w:color="auto"/>
              <w:bottom w:val="single" w:sz="4" w:space="0" w:color="auto"/>
              <w:right w:val="single" w:sz="4" w:space="0" w:color="auto"/>
            </w:tcBorders>
            <w:hideMark/>
          </w:tcPr>
          <w:p w:rsidR="00B65A3B" w:rsidRPr="006A083B" w:rsidRDefault="006A083B" w:rsidP="00DC5054">
            <w:pPr>
              <w:pStyle w:val="Tablecentre"/>
              <w:keepNext/>
              <w:keepLines/>
              <w:rPr>
                <w:rFonts w:ascii="Arial Narrow" w:hAnsi="Arial Narrow"/>
                <w:highlight w:val="black"/>
              </w:rPr>
            </w:pPr>
            <w:r>
              <w:rPr>
                <w:rFonts w:ascii="Arial Narrow" w:hAnsi="Arial Narrow"/>
                <w:noProof/>
                <w:color w:val="000000"/>
                <w:highlight w:val="black"/>
              </w:rPr>
              <w:t>'''''''''' '''''''''''''' '''''''''''</w:t>
            </w:r>
          </w:p>
        </w:tc>
        <w:tc>
          <w:tcPr>
            <w:tcW w:w="929" w:type="pct"/>
            <w:tcBorders>
              <w:top w:val="single" w:sz="4" w:space="0" w:color="auto"/>
              <w:left w:val="single" w:sz="4" w:space="0" w:color="auto"/>
              <w:bottom w:val="single" w:sz="4" w:space="0" w:color="auto"/>
              <w:right w:val="single" w:sz="4" w:space="0" w:color="auto"/>
            </w:tcBorders>
            <w:hideMark/>
          </w:tcPr>
          <w:p w:rsidR="00B65A3B" w:rsidRPr="006A083B" w:rsidRDefault="006A083B" w:rsidP="00DC5054">
            <w:pPr>
              <w:pStyle w:val="Tablecentre"/>
              <w:keepNext/>
              <w:keepLines/>
              <w:rPr>
                <w:rFonts w:ascii="Arial Narrow" w:hAnsi="Arial Narrow"/>
                <w:highlight w:val="black"/>
              </w:rPr>
            </w:pPr>
            <w:r>
              <w:rPr>
                <w:rFonts w:ascii="Arial Narrow" w:hAnsi="Arial Narrow"/>
                <w:noProof/>
                <w:color w:val="000000"/>
                <w:highlight w:val="black"/>
              </w:rPr>
              <w:t>'''''''' '''''' '''''</w:t>
            </w:r>
          </w:p>
        </w:tc>
        <w:tc>
          <w:tcPr>
            <w:tcW w:w="928" w:type="pct"/>
            <w:tcBorders>
              <w:top w:val="single" w:sz="4" w:space="0" w:color="auto"/>
              <w:left w:val="single" w:sz="4" w:space="0" w:color="auto"/>
              <w:bottom w:val="single" w:sz="4" w:space="0" w:color="auto"/>
              <w:right w:val="single" w:sz="4" w:space="0" w:color="auto"/>
            </w:tcBorders>
            <w:hideMark/>
          </w:tcPr>
          <w:p w:rsidR="00B65A3B" w:rsidRPr="006A083B" w:rsidRDefault="006A083B" w:rsidP="00DC5054">
            <w:pPr>
              <w:pStyle w:val="Tablecentre"/>
              <w:keepNext/>
              <w:keepLines/>
              <w:rPr>
                <w:rFonts w:ascii="Arial Narrow" w:hAnsi="Arial Narrow"/>
                <w:highlight w:val="black"/>
              </w:rPr>
            </w:pPr>
            <w:r>
              <w:rPr>
                <w:rFonts w:ascii="Arial Narrow" w:hAnsi="Arial Narrow"/>
                <w:noProof/>
                <w:color w:val="000000"/>
                <w:highlight w:val="black"/>
              </w:rPr>
              <w:t>''''''''''' '''''''''''''' '''''''''''''</w:t>
            </w:r>
          </w:p>
        </w:tc>
      </w:tr>
      <w:tr w:rsidR="00B65A3B" w:rsidRPr="00EC6E05" w:rsidTr="00B65A3B">
        <w:trPr>
          <w:trHeight w:val="244"/>
        </w:trPr>
        <w:tc>
          <w:tcPr>
            <w:tcW w:w="1065" w:type="pct"/>
            <w:tcBorders>
              <w:top w:val="single" w:sz="4" w:space="0" w:color="auto"/>
              <w:left w:val="single" w:sz="4" w:space="0" w:color="auto"/>
              <w:bottom w:val="single" w:sz="4" w:space="0" w:color="auto"/>
              <w:right w:val="nil"/>
            </w:tcBorders>
            <w:hideMark/>
          </w:tcPr>
          <w:p w:rsidR="00B65A3B" w:rsidRPr="00EC6E05" w:rsidRDefault="00B65A3B" w:rsidP="00DC5054">
            <w:pPr>
              <w:pStyle w:val="Tabletext"/>
              <w:keepNext/>
              <w:keepLines/>
              <w:rPr>
                <w:szCs w:val="20"/>
              </w:rPr>
            </w:pPr>
            <w:r w:rsidRPr="00EC6E05">
              <w:rPr>
                <w:szCs w:val="20"/>
              </w:rPr>
              <w:t>AEs Grade ≥ 3</w:t>
            </w:r>
          </w:p>
        </w:tc>
        <w:tc>
          <w:tcPr>
            <w:tcW w:w="593" w:type="pct"/>
            <w:tcBorders>
              <w:top w:val="single" w:sz="4" w:space="0" w:color="auto"/>
              <w:left w:val="nil"/>
              <w:bottom w:val="single" w:sz="4" w:space="0" w:color="auto"/>
              <w:right w:val="nil"/>
            </w:tcBorders>
          </w:tcPr>
          <w:p w:rsidR="00B65A3B" w:rsidRPr="00EC6E05" w:rsidRDefault="00B65A3B" w:rsidP="00DC5054">
            <w:pPr>
              <w:pStyle w:val="Tablecentre"/>
              <w:keepNext/>
              <w:keepLines/>
              <w:rPr>
                <w:rFonts w:ascii="Arial Narrow" w:hAnsi="Arial Narrow"/>
              </w:rPr>
            </w:pPr>
          </w:p>
        </w:tc>
        <w:tc>
          <w:tcPr>
            <w:tcW w:w="556" w:type="pct"/>
            <w:tcBorders>
              <w:top w:val="single" w:sz="4" w:space="0" w:color="auto"/>
              <w:left w:val="nil"/>
              <w:bottom w:val="single" w:sz="4" w:space="0" w:color="auto"/>
              <w:right w:val="nil"/>
            </w:tcBorders>
          </w:tcPr>
          <w:p w:rsidR="00B65A3B" w:rsidRPr="00EC6E05" w:rsidRDefault="00B65A3B" w:rsidP="00DC5054">
            <w:pPr>
              <w:pStyle w:val="Tablecentre"/>
              <w:keepNext/>
              <w:keepLines/>
              <w:rPr>
                <w:rFonts w:ascii="Arial Narrow" w:hAnsi="Arial Narrow"/>
              </w:rPr>
            </w:pPr>
          </w:p>
        </w:tc>
        <w:tc>
          <w:tcPr>
            <w:tcW w:w="929" w:type="pct"/>
            <w:tcBorders>
              <w:top w:val="single" w:sz="4" w:space="0" w:color="auto"/>
              <w:left w:val="nil"/>
              <w:bottom w:val="single" w:sz="4" w:space="0" w:color="auto"/>
              <w:right w:val="nil"/>
            </w:tcBorders>
          </w:tcPr>
          <w:p w:rsidR="00B65A3B" w:rsidRPr="006A083B" w:rsidRDefault="00B65A3B" w:rsidP="00DC5054">
            <w:pPr>
              <w:pStyle w:val="Tablecentre"/>
              <w:keepNext/>
              <w:keepLines/>
              <w:rPr>
                <w:rFonts w:ascii="Arial Narrow" w:hAnsi="Arial Narrow"/>
              </w:rPr>
            </w:pPr>
          </w:p>
        </w:tc>
        <w:tc>
          <w:tcPr>
            <w:tcW w:w="929" w:type="pct"/>
            <w:tcBorders>
              <w:top w:val="single" w:sz="4" w:space="0" w:color="auto"/>
              <w:left w:val="nil"/>
              <w:bottom w:val="single" w:sz="4" w:space="0" w:color="auto"/>
              <w:right w:val="nil"/>
            </w:tcBorders>
          </w:tcPr>
          <w:p w:rsidR="00B65A3B" w:rsidRPr="006A083B" w:rsidRDefault="00B65A3B" w:rsidP="00DC5054">
            <w:pPr>
              <w:pStyle w:val="Tablecentre"/>
              <w:keepNext/>
              <w:keepLines/>
              <w:rPr>
                <w:rFonts w:ascii="Arial Narrow" w:hAnsi="Arial Narrow"/>
              </w:rPr>
            </w:pPr>
          </w:p>
        </w:tc>
        <w:tc>
          <w:tcPr>
            <w:tcW w:w="928" w:type="pct"/>
            <w:tcBorders>
              <w:top w:val="single" w:sz="4" w:space="0" w:color="auto"/>
              <w:left w:val="nil"/>
              <w:bottom w:val="single" w:sz="4" w:space="0" w:color="auto"/>
              <w:right w:val="single" w:sz="4" w:space="0" w:color="auto"/>
            </w:tcBorders>
          </w:tcPr>
          <w:p w:rsidR="00B65A3B" w:rsidRPr="006A083B" w:rsidRDefault="00B65A3B" w:rsidP="00DC5054">
            <w:pPr>
              <w:pStyle w:val="Tablecentre"/>
              <w:keepNext/>
              <w:keepLines/>
              <w:rPr>
                <w:rFonts w:ascii="Arial Narrow" w:hAnsi="Arial Narrow"/>
              </w:rPr>
            </w:pPr>
          </w:p>
        </w:tc>
      </w:tr>
      <w:tr w:rsidR="00B65A3B" w:rsidRPr="00EC6E05" w:rsidTr="00B65A3B">
        <w:trPr>
          <w:trHeight w:val="244"/>
        </w:trPr>
        <w:tc>
          <w:tcPr>
            <w:tcW w:w="1065" w:type="pct"/>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DC5054">
            <w:pPr>
              <w:pStyle w:val="Tabletext"/>
              <w:keepNext/>
              <w:keepLines/>
              <w:ind w:left="266"/>
              <w:rPr>
                <w:szCs w:val="20"/>
              </w:rPr>
            </w:pPr>
            <w:r w:rsidRPr="00EC6E05">
              <w:rPr>
                <w:szCs w:val="20"/>
              </w:rPr>
              <w:t>JAVELIN</w:t>
            </w:r>
            <w:r w:rsidRPr="00EC6E05">
              <w:rPr>
                <w:szCs w:val="20"/>
                <w:vertAlign w:val="superscript"/>
              </w:rPr>
              <w:t xml:space="preserve"> b</w:t>
            </w:r>
          </w:p>
        </w:tc>
        <w:tc>
          <w:tcPr>
            <w:tcW w:w="593" w:type="pct"/>
            <w:tcBorders>
              <w:top w:val="single" w:sz="4" w:space="0" w:color="auto"/>
              <w:left w:val="single" w:sz="4" w:space="0" w:color="auto"/>
              <w:bottom w:val="single" w:sz="4" w:space="0" w:color="auto"/>
              <w:right w:val="single" w:sz="4" w:space="0" w:color="auto"/>
            </w:tcBorders>
            <w:hideMark/>
          </w:tcPr>
          <w:p w:rsidR="00B65A3B" w:rsidRPr="00EC6E05" w:rsidRDefault="00B65A3B" w:rsidP="00DC5054">
            <w:pPr>
              <w:pStyle w:val="Tablecentre"/>
              <w:keepNext/>
              <w:keepLines/>
              <w:rPr>
                <w:rFonts w:ascii="Arial Narrow" w:hAnsi="Arial Narrow"/>
              </w:rPr>
            </w:pPr>
            <w:r w:rsidRPr="00EC6E05">
              <w:rPr>
                <w:rFonts w:ascii="Arial Narrow" w:hAnsi="Arial Narrow"/>
              </w:rPr>
              <w:t>246 (56.7)</w:t>
            </w:r>
          </w:p>
        </w:tc>
        <w:tc>
          <w:tcPr>
            <w:tcW w:w="556" w:type="pct"/>
            <w:tcBorders>
              <w:top w:val="single" w:sz="4" w:space="0" w:color="auto"/>
              <w:left w:val="single" w:sz="4" w:space="0" w:color="auto"/>
              <w:bottom w:val="single" w:sz="4" w:space="0" w:color="auto"/>
              <w:right w:val="single" w:sz="4" w:space="0" w:color="auto"/>
            </w:tcBorders>
            <w:hideMark/>
          </w:tcPr>
          <w:p w:rsidR="00B65A3B" w:rsidRPr="00EC6E05" w:rsidRDefault="00B65A3B" w:rsidP="00DC5054">
            <w:pPr>
              <w:pStyle w:val="Tablecentre"/>
              <w:keepNext/>
              <w:keepLines/>
              <w:rPr>
                <w:rFonts w:ascii="Arial Narrow" w:hAnsi="Arial Narrow"/>
              </w:rPr>
            </w:pPr>
            <w:r w:rsidRPr="00EC6E05">
              <w:rPr>
                <w:rFonts w:ascii="Arial Narrow" w:hAnsi="Arial Narrow"/>
              </w:rPr>
              <w:t>243 (55.4)</w:t>
            </w:r>
          </w:p>
        </w:tc>
        <w:tc>
          <w:tcPr>
            <w:tcW w:w="929" w:type="pct"/>
            <w:tcBorders>
              <w:top w:val="single" w:sz="4" w:space="0" w:color="auto"/>
              <w:left w:val="single" w:sz="4" w:space="0" w:color="auto"/>
              <w:bottom w:val="single" w:sz="4" w:space="0" w:color="auto"/>
              <w:right w:val="single" w:sz="4" w:space="0" w:color="auto"/>
            </w:tcBorders>
            <w:hideMark/>
          </w:tcPr>
          <w:p w:rsidR="00B65A3B" w:rsidRPr="006A083B" w:rsidRDefault="006A083B" w:rsidP="00DC5054">
            <w:pPr>
              <w:pStyle w:val="Tablecentre"/>
              <w:keepNext/>
              <w:keepLines/>
              <w:rPr>
                <w:rFonts w:ascii="Arial Narrow" w:hAnsi="Arial Narrow"/>
                <w:highlight w:val="black"/>
              </w:rPr>
            </w:pPr>
            <w:r>
              <w:rPr>
                <w:rFonts w:ascii="Arial Narrow" w:hAnsi="Arial Narrow"/>
                <w:noProof/>
                <w:color w:val="000000"/>
                <w:highlight w:val="black"/>
              </w:rPr>
              <w:t>'''''''''' ''''''''''''''' ''''''''''''''</w:t>
            </w:r>
          </w:p>
        </w:tc>
        <w:tc>
          <w:tcPr>
            <w:tcW w:w="929" w:type="pct"/>
            <w:tcBorders>
              <w:top w:val="single" w:sz="4" w:space="0" w:color="auto"/>
              <w:left w:val="single" w:sz="4" w:space="0" w:color="auto"/>
              <w:bottom w:val="single" w:sz="4" w:space="0" w:color="auto"/>
              <w:right w:val="single" w:sz="4" w:space="0" w:color="auto"/>
            </w:tcBorders>
            <w:hideMark/>
          </w:tcPr>
          <w:p w:rsidR="00B65A3B" w:rsidRPr="006A083B" w:rsidRDefault="006A083B" w:rsidP="00DC5054">
            <w:pPr>
              <w:pStyle w:val="Tablecentre"/>
              <w:keepNext/>
              <w:keepLines/>
              <w:rPr>
                <w:rFonts w:ascii="Arial Narrow" w:hAnsi="Arial Narrow"/>
                <w:highlight w:val="black"/>
              </w:rPr>
            </w:pPr>
            <w:r>
              <w:rPr>
                <w:rFonts w:ascii="Arial Narrow" w:hAnsi="Arial Narrow"/>
                <w:noProof/>
                <w:color w:val="000000"/>
                <w:highlight w:val="black"/>
              </w:rPr>
              <w:t>'''''''' '''''''' '''''</w:t>
            </w:r>
          </w:p>
        </w:tc>
        <w:tc>
          <w:tcPr>
            <w:tcW w:w="928" w:type="pct"/>
            <w:tcBorders>
              <w:top w:val="single" w:sz="4" w:space="0" w:color="auto"/>
              <w:left w:val="single" w:sz="4" w:space="0" w:color="auto"/>
              <w:bottom w:val="single" w:sz="4" w:space="0" w:color="auto"/>
              <w:right w:val="single" w:sz="4" w:space="0" w:color="auto"/>
            </w:tcBorders>
            <w:hideMark/>
          </w:tcPr>
          <w:p w:rsidR="00B65A3B" w:rsidRPr="006A083B" w:rsidRDefault="006A083B" w:rsidP="00DC5054">
            <w:pPr>
              <w:pStyle w:val="Tablecentre"/>
              <w:keepNext/>
              <w:keepLines/>
              <w:rPr>
                <w:rFonts w:ascii="Arial Narrow" w:hAnsi="Arial Narrow"/>
                <w:highlight w:val="black"/>
              </w:rPr>
            </w:pPr>
            <w:r>
              <w:rPr>
                <w:rFonts w:ascii="Arial Narrow" w:hAnsi="Arial Narrow"/>
                <w:noProof/>
                <w:color w:val="000000"/>
                <w:highlight w:val="black"/>
              </w:rPr>
              <w:t>'''''''''''' ''''''''''''' ''''''''''''</w:t>
            </w:r>
          </w:p>
        </w:tc>
      </w:tr>
      <w:tr w:rsidR="00B65A3B" w:rsidRPr="00EC6E05" w:rsidTr="00B65A3B">
        <w:trPr>
          <w:trHeight w:val="244"/>
        </w:trPr>
        <w:tc>
          <w:tcPr>
            <w:tcW w:w="1065" w:type="pct"/>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DC5054">
            <w:pPr>
              <w:pStyle w:val="Tabletext"/>
              <w:keepNext/>
              <w:keepLines/>
              <w:ind w:left="266"/>
              <w:rPr>
                <w:szCs w:val="20"/>
              </w:rPr>
            </w:pPr>
            <w:proofErr w:type="spellStart"/>
            <w:r w:rsidRPr="00EC6E05">
              <w:rPr>
                <w:szCs w:val="20"/>
              </w:rPr>
              <w:t>CheckMate</w:t>
            </w:r>
            <w:proofErr w:type="spellEnd"/>
            <w:r w:rsidRPr="00EC6E05">
              <w:rPr>
                <w:szCs w:val="20"/>
              </w:rPr>
              <w:t xml:space="preserve"> 214</w:t>
            </w:r>
            <w:r w:rsidRPr="00EC6E05">
              <w:rPr>
                <w:szCs w:val="20"/>
                <w:vertAlign w:val="superscript"/>
              </w:rPr>
              <w:t>c</w:t>
            </w:r>
          </w:p>
        </w:tc>
        <w:tc>
          <w:tcPr>
            <w:tcW w:w="593" w:type="pct"/>
            <w:tcBorders>
              <w:top w:val="single" w:sz="4" w:space="0" w:color="auto"/>
              <w:left w:val="single" w:sz="4" w:space="0" w:color="auto"/>
              <w:bottom w:val="single" w:sz="4" w:space="0" w:color="auto"/>
              <w:right w:val="single" w:sz="4" w:space="0" w:color="auto"/>
            </w:tcBorders>
            <w:hideMark/>
          </w:tcPr>
          <w:p w:rsidR="00B65A3B" w:rsidRPr="00EC6E05" w:rsidRDefault="00B65A3B" w:rsidP="00DC5054">
            <w:pPr>
              <w:pStyle w:val="Tablecentre"/>
              <w:keepNext/>
              <w:keepLines/>
              <w:rPr>
                <w:rFonts w:ascii="Arial Narrow" w:hAnsi="Arial Narrow"/>
              </w:rPr>
            </w:pPr>
            <w:r w:rsidRPr="00EC6E05">
              <w:rPr>
                <w:rFonts w:ascii="Arial Narrow" w:hAnsi="Arial Narrow"/>
              </w:rPr>
              <w:t>250 (45.7)</w:t>
            </w:r>
          </w:p>
        </w:tc>
        <w:tc>
          <w:tcPr>
            <w:tcW w:w="556" w:type="pct"/>
            <w:tcBorders>
              <w:top w:val="single" w:sz="4" w:space="0" w:color="auto"/>
              <w:left w:val="single" w:sz="4" w:space="0" w:color="auto"/>
              <w:bottom w:val="single" w:sz="4" w:space="0" w:color="auto"/>
              <w:right w:val="single" w:sz="4" w:space="0" w:color="auto"/>
            </w:tcBorders>
            <w:hideMark/>
          </w:tcPr>
          <w:p w:rsidR="00B65A3B" w:rsidRPr="00EC6E05" w:rsidRDefault="00B65A3B" w:rsidP="00DC5054">
            <w:pPr>
              <w:pStyle w:val="Tablecentre"/>
              <w:keepNext/>
              <w:keepLines/>
              <w:rPr>
                <w:rFonts w:ascii="Arial Narrow" w:hAnsi="Arial Narrow"/>
              </w:rPr>
            </w:pPr>
            <w:r w:rsidRPr="00EC6E05">
              <w:rPr>
                <w:rFonts w:ascii="Arial Narrow" w:hAnsi="Arial Narrow"/>
              </w:rPr>
              <w:t>335 (62.6)</w:t>
            </w:r>
          </w:p>
        </w:tc>
        <w:tc>
          <w:tcPr>
            <w:tcW w:w="929" w:type="pct"/>
            <w:tcBorders>
              <w:top w:val="single" w:sz="4" w:space="0" w:color="auto"/>
              <w:left w:val="single" w:sz="4" w:space="0" w:color="auto"/>
              <w:bottom w:val="single" w:sz="4" w:space="0" w:color="auto"/>
              <w:right w:val="single" w:sz="4" w:space="0" w:color="auto"/>
            </w:tcBorders>
            <w:hideMark/>
          </w:tcPr>
          <w:p w:rsidR="00B65A3B" w:rsidRPr="006A083B" w:rsidRDefault="006A083B" w:rsidP="00DC5054">
            <w:pPr>
              <w:pStyle w:val="Tabletext"/>
              <w:keepNext/>
              <w:keepLines/>
              <w:jc w:val="center"/>
              <w:rPr>
                <w:rFonts w:eastAsiaTheme="minorHAnsi" w:cstheme="minorBidi"/>
                <w:szCs w:val="20"/>
                <w:highlight w:val="black"/>
                <w:lang w:eastAsia="en-US"/>
              </w:rPr>
            </w:pPr>
            <w:r>
              <w:rPr>
                <w:rFonts w:eastAsiaTheme="minorHAnsi" w:cstheme="minorBidi"/>
                <w:noProof/>
                <w:color w:val="000000"/>
                <w:szCs w:val="20"/>
                <w:highlight w:val="black"/>
                <w:lang w:eastAsia="en-US"/>
              </w:rPr>
              <w:t xml:space="preserve">'''''''''''' '''''''''''''' '''''''''''' </w:t>
            </w:r>
          </w:p>
        </w:tc>
        <w:tc>
          <w:tcPr>
            <w:tcW w:w="929" w:type="pct"/>
            <w:tcBorders>
              <w:top w:val="single" w:sz="4" w:space="0" w:color="auto"/>
              <w:left w:val="single" w:sz="4" w:space="0" w:color="auto"/>
              <w:bottom w:val="single" w:sz="4" w:space="0" w:color="auto"/>
              <w:right w:val="single" w:sz="4" w:space="0" w:color="auto"/>
            </w:tcBorders>
            <w:hideMark/>
          </w:tcPr>
          <w:p w:rsidR="00B65A3B" w:rsidRPr="006A083B" w:rsidRDefault="006A083B" w:rsidP="00DC5054">
            <w:pPr>
              <w:pStyle w:val="Tablecentre"/>
              <w:keepNext/>
              <w:keepLines/>
              <w:rPr>
                <w:rFonts w:ascii="Arial Narrow" w:hAnsi="Arial Narrow"/>
                <w:highlight w:val="black"/>
              </w:rPr>
            </w:pPr>
            <w:r>
              <w:rPr>
                <w:rFonts w:ascii="Arial Narrow" w:hAnsi="Arial Narrow"/>
                <w:noProof/>
                <w:color w:val="000000"/>
                <w:highlight w:val="black"/>
              </w:rPr>
              <w:t xml:space="preserve">''''''''''''' ''''''''''' ''''''''' </w:t>
            </w:r>
          </w:p>
        </w:tc>
        <w:tc>
          <w:tcPr>
            <w:tcW w:w="928" w:type="pct"/>
            <w:tcBorders>
              <w:top w:val="single" w:sz="4" w:space="0" w:color="auto"/>
              <w:left w:val="single" w:sz="4" w:space="0" w:color="auto"/>
              <w:bottom w:val="single" w:sz="4" w:space="0" w:color="auto"/>
              <w:right w:val="single" w:sz="4" w:space="0" w:color="auto"/>
            </w:tcBorders>
            <w:hideMark/>
          </w:tcPr>
          <w:p w:rsidR="00B65A3B" w:rsidRPr="006A083B" w:rsidRDefault="006A083B" w:rsidP="00DC5054">
            <w:pPr>
              <w:pStyle w:val="Tablecentre"/>
              <w:keepNext/>
              <w:keepLines/>
              <w:rPr>
                <w:rFonts w:ascii="Arial Narrow" w:hAnsi="Arial Narrow"/>
                <w:b/>
                <w:highlight w:val="black"/>
              </w:rPr>
            </w:pPr>
            <w:r>
              <w:rPr>
                <w:rFonts w:ascii="Arial Narrow" w:hAnsi="Arial Narrow"/>
                <w:b/>
                <w:noProof/>
                <w:color w:val="000000"/>
                <w:highlight w:val="black"/>
              </w:rPr>
              <w:t xml:space="preserve">'''''''' '''''''''' '''''''''' </w:t>
            </w:r>
          </w:p>
        </w:tc>
      </w:tr>
      <w:tr w:rsidR="00B65A3B" w:rsidRPr="00EC6E05" w:rsidTr="00B65A3B">
        <w:trPr>
          <w:trHeight w:val="244"/>
        </w:trPr>
        <w:tc>
          <w:tcPr>
            <w:tcW w:w="2214" w:type="pct"/>
            <w:gridSpan w:val="3"/>
            <w:tcBorders>
              <w:top w:val="single" w:sz="4" w:space="0" w:color="auto"/>
              <w:left w:val="single" w:sz="4" w:space="0" w:color="auto"/>
              <w:bottom w:val="single" w:sz="4" w:space="0" w:color="auto"/>
              <w:right w:val="single" w:sz="4" w:space="0" w:color="auto"/>
            </w:tcBorders>
            <w:hideMark/>
          </w:tcPr>
          <w:p w:rsidR="00B65A3B" w:rsidRPr="00EC6E05" w:rsidRDefault="00B65A3B" w:rsidP="00DC5054">
            <w:pPr>
              <w:pStyle w:val="Tabletext"/>
              <w:keepNext/>
              <w:keepLines/>
            </w:pPr>
            <w:r w:rsidRPr="00EC6E05">
              <w:rPr>
                <w:szCs w:val="20"/>
              </w:rPr>
              <w:t>Indirect comparison: AVE + AXI vs NIVO + IPI</w:t>
            </w:r>
          </w:p>
        </w:tc>
        <w:tc>
          <w:tcPr>
            <w:tcW w:w="929" w:type="pct"/>
            <w:tcBorders>
              <w:top w:val="single" w:sz="4" w:space="0" w:color="auto"/>
              <w:left w:val="single" w:sz="4" w:space="0" w:color="auto"/>
              <w:bottom w:val="single" w:sz="4" w:space="0" w:color="auto"/>
              <w:right w:val="single" w:sz="4" w:space="0" w:color="auto"/>
            </w:tcBorders>
            <w:hideMark/>
          </w:tcPr>
          <w:p w:rsidR="00B65A3B" w:rsidRPr="006A083B" w:rsidRDefault="006A083B" w:rsidP="00DC5054">
            <w:pPr>
              <w:pStyle w:val="Tablecentre"/>
              <w:keepNext/>
              <w:keepLines/>
              <w:rPr>
                <w:rFonts w:ascii="Arial Narrow" w:hAnsi="Arial Narrow"/>
                <w:highlight w:val="black"/>
              </w:rPr>
            </w:pPr>
            <w:r>
              <w:rPr>
                <w:rFonts w:ascii="Arial Narrow" w:hAnsi="Arial Narrow"/>
                <w:noProof/>
                <w:color w:val="000000"/>
                <w:highlight w:val="black"/>
              </w:rPr>
              <w:t>'''''''''' '''''''''''' '''''''''''''</w:t>
            </w:r>
          </w:p>
        </w:tc>
        <w:tc>
          <w:tcPr>
            <w:tcW w:w="929" w:type="pct"/>
            <w:tcBorders>
              <w:top w:val="single" w:sz="4" w:space="0" w:color="auto"/>
              <w:left w:val="single" w:sz="4" w:space="0" w:color="auto"/>
              <w:bottom w:val="single" w:sz="4" w:space="0" w:color="auto"/>
              <w:right w:val="single" w:sz="4" w:space="0" w:color="auto"/>
            </w:tcBorders>
            <w:hideMark/>
          </w:tcPr>
          <w:p w:rsidR="00B65A3B" w:rsidRPr="006A083B" w:rsidRDefault="006A083B" w:rsidP="00DC5054">
            <w:pPr>
              <w:pStyle w:val="Tablecentre"/>
              <w:keepNext/>
              <w:keepLines/>
              <w:rPr>
                <w:rFonts w:ascii="Arial Narrow" w:hAnsi="Arial Narrow"/>
                <w:highlight w:val="black"/>
              </w:rPr>
            </w:pPr>
            <w:r>
              <w:rPr>
                <w:rFonts w:ascii="Arial Narrow" w:hAnsi="Arial Narrow"/>
                <w:noProof/>
                <w:color w:val="000000"/>
                <w:highlight w:val="black"/>
              </w:rPr>
              <w:t>'''''''''''' '''''' '''''''''</w:t>
            </w:r>
          </w:p>
        </w:tc>
        <w:tc>
          <w:tcPr>
            <w:tcW w:w="928" w:type="pct"/>
            <w:tcBorders>
              <w:top w:val="single" w:sz="4" w:space="0" w:color="auto"/>
              <w:left w:val="single" w:sz="4" w:space="0" w:color="auto"/>
              <w:bottom w:val="single" w:sz="4" w:space="0" w:color="auto"/>
              <w:right w:val="single" w:sz="4" w:space="0" w:color="auto"/>
            </w:tcBorders>
            <w:hideMark/>
          </w:tcPr>
          <w:p w:rsidR="00B65A3B" w:rsidRPr="006A083B" w:rsidRDefault="006A083B" w:rsidP="00DC5054">
            <w:pPr>
              <w:pStyle w:val="Tablecentre"/>
              <w:keepNext/>
              <w:keepLines/>
              <w:rPr>
                <w:rFonts w:ascii="Arial Narrow" w:hAnsi="Arial Narrow"/>
                <w:b/>
                <w:highlight w:val="black"/>
              </w:rPr>
            </w:pPr>
            <w:r>
              <w:rPr>
                <w:rFonts w:ascii="Arial Narrow" w:hAnsi="Arial Narrow"/>
                <w:b/>
                <w:noProof/>
                <w:color w:val="000000"/>
                <w:highlight w:val="black"/>
              </w:rPr>
              <w:t>'''''''' '''''''''''' ''''''''''</w:t>
            </w:r>
          </w:p>
        </w:tc>
      </w:tr>
      <w:tr w:rsidR="00B65A3B" w:rsidRPr="00EC6E05" w:rsidTr="00B65A3B">
        <w:trPr>
          <w:trHeight w:val="244"/>
        </w:trPr>
        <w:tc>
          <w:tcPr>
            <w:tcW w:w="1065" w:type="pct"/>
            <w:tcBorders>
              <w:top w:val="single" w:sz="4" w:space="0" w:color="auto"/>
              <w:left w:val="single" w:sz="4" w:space="0" w:color="auto"/>
              <w:bottom w:val="single" w:sz="4" w:space="0" w:color="auto"/>
              <w:right w:val="nil"/>
            </w:tcBorders>
            <w:hideMark/>
          </w:tcPr>
          <w:p w:rsidR="00B65A3B" w:rsidRPr="00EC6E05" w:rsidRDefault="00B65A3B" w:rsidP="00DC5054">
            <w:pPr>
              <w:pStyle w:val="Tabletext"/>
              <w:keepNext/>
              <w:keepLines/>
              <w:rPr>
                <w:szCs w:val="20"/>
              </w:rPr>
            </w:pPr>
            <w:r w:rsidRPr="00EC6E05">
              <w:rPr>
                <w:szCs w:val="20"/>
              </w:rPr>
              <w:t>SAEs</w:t>
            </w:r>
          </w:p>
        </w:tc>
        <w:tc>
          <w:tcPr>
            <w:tcW w:w="593" w:type="pct"/>
            <w:tcBorders>
              <w:top w:val="single" w:sz="4" w:space="0" w:color="auto"/>
              <w:left w:val="nil"/>
              <w:bottom w:val="single" w:sz="4" w:space="0" w:color="auto"/>
              <w:right w:val="nil"/>
            </w:tcBorders>
          </w:tcPr>
          <w:p w:rsidR="00B65A3B" w:rsidRPr="00EC6E05" w:rsidRDefault="00B65A3B" w:rsidP="00DC5054">
            <w:pPr>
              <w:pStyle w:val="Tablecentre"/>
              <w:keepNext/>
              <w:keepLines/>
              <w:rPr>
                <w:rFonts w:ascii="Arial Narrow" w:hAnsi="Arial Narrow"/>
              </w:rPr>
            </w:pPr>
          </w:p>
        </w:tc>
        <w:tc>
          <w:tcPr>
            <w:tcW w:w="556" w:type="pct"/>
            <w:tcBorders>
              <w:top w:val="single" w:sz="4" w:space="0" w:color="auto"/>
              <w:left w:val="nil"/>
              <w:bottom w:val="single" w:sz="4" w:space="0" w:color="auto"/>
              <w:right w:val="nil"/>
            </w:tcBorders>
          </w:tcPr>
          <w:p w:rsidR="00B65A3B" w:rsidRPr="00EC6E05" w:rsidRDefault="00B65A3B" w:rsidP="00DC5054">
            <w:pPr>
              <w:pStyle w:val="Tablecentre"/>
              <w:keepNext/>
              <w:keepLines/>
              <w:rPr>
                <w:rFonts w:ascii="Arial Narrow" w:hAnsi="Arial Narrow"/>
              </w:rPr>
            </w:pPr>
          </w:p>
        </w:tc>
        <w:tc>
          <w:tcPr>
            <w:tcW w:w="929" w:type="pct"/>
            <w:tcBorders>
              <w:top w:val="single" w:sz="4" w:space="0" w:color="auto"/>
              <w:left w:val="nil"/>
              <w:bottom w:val="single" w:sz="4" w:space="0" w:color="auto"/>
              <w:right w:val="nil"/>
            </w:tcBorders>
          </w:tcPr>
          <w:p w:rsidR="00B65A3B" w:rsidRPr="006A083B" w:rsidRDefault="00B65A3B" w:rsidP="00DC5054">
            <w:pPr>
              <w:pStyle w:val="Tablecentre"/>
              <w:keepNext/>
              <w:keepLines/>
              <w:rPr>
                <w:rFonts w:ascii="Arial Narrow" w:hAnsi="Arial Narrow"/>
              </w:rPr>
            </w:pPr>
          </w:p>
        </w:tc>
        <w:tc>
          <w:tcPr>
            <w:tcW w:w="929" w:type="pct"/>
            <w:tcBorders>
              <w:top w:val="single" w:sz="4" w:space="0" w:color="auto"/>
              <w:left w:val="nil"/>
              <w:bottom w:val="single" w:sz="4" w:space="0" w:color="auto"/>
              <w:right w:val="nil"/>
            </w:tcBorders>
          </w:tcPr>
          <w:p w:rsidR="00B65A3B" w:rsidRPr="006A083B" w:rsidRDefault="00B65A3B" w:rsidP="00DC5054">
            <w:pPr>
              <w:pStyle w:val="Tablecentre"/>
              <w:keepNext/>
              <w:keepLines/>
              <w:rPr>
                <w:rFonts w:ascii="Arial Narrow" w:hAnsi="Arial Narrow"/>
              </w:rPr>
            </w:pPr>
          </w:p>
        </w:tc>
        <w:tc>
          <w:tcPr>
            <w:tcW w:w="928" w:type="pct"/>
            <w:tcBorders>
              <w:top w:val="single" w:sz="4" w:space="0" w:color="auto"/>
              <w:left w:val="nil"/>
              <w:bottom w:val="single" w:sz="4" w:space="0" w:color="auto"/>
              <w:right w:val="single" w:sz="4" w:space="0" w:color="auto"/>
            </w:tcBorders>
          </w:tcPr>
          <w:p w:rsidR="00B65A3B" w:rsidRPr="006A083B" w:rsidRDefault="00B65A3B" w:rsidP="00DC5054">
            <w:pPr>
              <w:pStyle w:val="Tablecentre"/>
              <w:keepNext/>
              <w:keepLines/>
              <w:rPr>
                <w:rFonts w:ascii="Arial Narrow" w:hAnsi="Arial Narrow"/>
              </w:rPr>
            </w:pPr>
          </w:p>
        </w:tc>
      </w:tr>
      <w:tr w:rsidR="00B65A3B" w:rsidRPr="00EC6E05" w:rsidTr="00B65A3B">
        <w:trPr>
          <w:trHeight w:val="244"/>
        </w:trPr>
        <w:tc>
          <w:tcPr>
            <w:tcW w:w="1065" w:type="pct"/>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DC5054">
            <w:pPr>
              <w:pStyle w:val="Tabletext"/>
              <w:keepNext/>
              <w:keepLines/>
              <w:ind w:left="266"/>
              <w:rPr>
                <w:szCs w:val="20"/>
              </w:rPr>
            </w:pPr>
            <w:r w:rsidRPr="00EC6E05">
              <w:rPr>
                <w:szCs w:val="20"/>
              </w:rPr>
              <w:t>JAVELIN</w:t>
            </w:r>
            <w:r w:rsidRPr="00EC6E05">
              <w:rPr>
                <w:szCs w:val="20"/>
                <w:vertAlign w:val="superscript"/>
              </w:rPr>
              <w:t xml:space="preserve"> b</w:t>
            </w:r>
          </w:p>
        </w:tc>
        <w:tc>
          <w:tcPr>
            <w:tcW w:w="593" w:type="pct"/>
            <w:tcBorders>
              <w:top w:val="single" w:sz="4" w:space="0" w:color="auto"/>
              <w:left w:val="single" w:sz="4" w:space="0" w:color="auto"/>
              <w:bottom w:val="single" w:sz="4" w:space="0" w:color="auto"/>
              <w:right w:val="single" w:sz="4" w:space="0" w:color="auto"/>
            </w:tcBorders>
            <w:hideMark/>
          </w:tcPr>
          <w:p w:rsidR="00B65A3B" w:rsidRPr="00EC6E05" w:rsidRDefault="00B65A3B" w:rsidP="00DC5054">
            <w:pPr>
              <w:pStyle w:val="Tablecentre"/>
              <w:keepNext/>
              <w:keepLines/>
              <w:rPr>
                <w:rFonts w:ascii="Arial Narrow" w:hAnsi="Arial Narrow"/>
              </w:rPr>
            </w:pPr>
            <w:r w:rsidRPr="00EC6E05">
              <w:rPr>
                <w:rFonts w:ascii="Arial Narrow" w:hAnsi="Arial Narrow"/>
              </w:rPr>
              <w:t>74 (17.1)</w:t>
            </w:r>
          </w:p>
        </w:tc>
        <w:tc>
          <w:tcPr>
            <w:tcW w:w="556" w:type="pct"/>
            <w:tcBorders>
              <w:top w:val="single" w:sz="4" w:space="0" w:color="auto"/>
              <w:left w:val="single" w:sz="4" w:space="0" w:color="auto"/>
              <w:bottom w:val="single" w:sz="4" w:space="0" w:color="auto"/>
              <w:right w:val="single" w:sz="4" w:space="0" w:color="auto"/>
            </w:tcBorders>
            <w:hideMark/>
          </w:tcPr>
          <w:p w:rsidR="00B65A3B" w:rsidRPr="00EC6E05" w:rsidRDefault="00B65A3B" w:rsidP="00DC5054">
            <w:pPr>
              <w:pStyle w:val="Tablecentre"/>
              <w:keepNext/>
              <w:keepLines/>
              <w:rPr>
                <w:rFonts w:ascii="Arial Narrow" w:hAnsi="Arial Narrow"/>
              </w:rPr>
            </w:pPr>
            <w:r w:rsidRPr="00EC6E05">
              <w:rPr>
                <w:rFonts w:ascii="Arial Narrow" w:hAnsi="Arial Narrow"/>
              </w:rPr>
              <w:t>57 (13.0)</w:t>
            </w:r>
          </w:p>
        </w:tc>
        <w:tc>
          <w:tcPr>
            <w:tcW w:w="929" w:type="pct"/>
            <w:tcBorders>
              <w:top w:val="single" w:sz="4" w:space="0" w:color="auto"/>
              <w:left w:val="single" w:sz="4" w:space="0" w:color="auto"/>
              <w:bottom w:val="single" w:sz="4" w:space="0" w:color="auto"/>
              <w:right w:val="single" w:sz="4" w:space="0" w:color="auto"/>
            </w:tcBorders>
            <w:hideMark/>
          </w:tcPr>
          <w:p w:rsidR="00B65A3B" w:rsidRPr="006A083B" w:rsidRDefault="006A083B" w:rsidP="00DC5054">
            <w:pPr>
              <w:pStyle w:val="Tablecentre"/>
              <w:keepNext/>
              <w:keepLines/>
              <w:rPr>
                <w:rFonts w:ascii="Arial Narrow" w:hAnsi="Arial Narrow"/>
                <w:highlight w:val="black"/>
              </w:rPr>
            </w:pPr>
            <w:r>
              <w:rPr>
                <w:rFonts w:ascii="Arial Narrow" w:hAnsi="Arial Narrow"/>
                <w:noProof/>
                <w:color w:val="000000"/>
                <w:highlight w:val="black"/>
              </w:rPr>
              <w:t xml:space="preserve">'''''''''' ''''''''''''' '''''''''''' </w:t>
            </w:r>
          </w:p>
        </w:tc>
        <w:tc>
          <w:tcPr>
            <w:tcW w:w="929" w:type="pct"/>
            <w:tcBorders>
              <w:top w:val="single" w:sz="4" w:space="0" w:color="auto"/>
              <w:left w:val="single" w:sz="4" w:space="0" w:color="auto"/>
              <w:bottom w:val="single" w:sz="4" w:space="0" w:color="auto"/>
              <w:right w:val="single" w:sz="4" w:space="0" w:color="auto"/>
            </w:tcBorders>
            <w:hideMark/>
          </w:tcPr>
          <w:p w:rsidR="00B65A3B" w:rsidRPr="006A083B" w:rsidRDefault="006A083B" w:rsidP="00DC5054">
            <w:pPr>
              <w:pStyle w:val="Tablecentre"/>
              <w:keepNext/>
              <w:keepLines/>
              <w:rPr>
                <w:rFonts w:ascii="Arial Narrow" w:hAnsi="Arial Narrow"/>
                <w:highlight w:val="black"/>
              </w:rPr>
            </w:pPr>
            <w:r>
              <w:rPr>
                <w:rFonts w:ascii="Arial Narrow" w:hAnsi="Arial Narrow"/>
                <w:noProof/>
                <w:color w:val="000000"/>
                <w:highlight w:val="black"/>
              </w:rPr>
              <w:t xml:space="preserve">'''''''' ''''''' ''''' </w:t>
            </w:r>
          </w:p>
        </w:tc>
        <w:tc>
          <w:tcPr>
            <w:tcW w:w="928" w:type="pct"/>
            <w:tcBorders>
              <w:top w:val="single" w:sz="4" w:space="0" w:color="auto"/>
              <w:left w:val="single" w:sz="4" w:space="0" w:color="auto"/>
              <w:bottom w:val="single" w:sz="4" w:space="0" w:color="auto"/>
              <w:right w:val="single" w:sz="4" w:space="0" w:color="auto"/>
            </w:tcBorders>
            <w:hideMark/>
          </w:tcPr>
          <w:p w:rsidR="00B65A3B" w:rsidRPr="006A083B" w:rsidRDefault="006A083B" w:rsidP="00DC5054">
            <w:pPr>
              <w:pStyle w:val="Tablecentre"/>
              <w:keepNext/>
              <w:keepLines/>
              <w:rPr>
                <w:rFonts w:ascii="Arial Narrow" w:hAnsi="Arial Narrow"/>
                <w:highlight w:val="black"/>
              </w:rPr>
            </w:pPr>
            <w:r>
              <w:rPr>
                <w:rFonts w:ascii="Arial Narrow" w:hAnsi="Arial Narrow"/>
                <w:noProof/>
                <w:color w:val="000000"/>
                <w:highlight w:val="black"/>
              </w:rPr>
              <w:t xml:space="preserve">'''''''''''' '''''''''''''' ''''''''''''' </w:t>
            </w:r>
          </w:p>
        </w:tc>
      </w:tr>
      <w:tr w:rsidR="00B65A3B" w:rsidRPr="00EC6E05" w:rsidTr="00B65A3B">
        <w:trPr>
          <w:trHeight w:val="244"/>
        </w:trPr>
        <w:tc>
          <w:tcPr>
            <w:tcW w:w="1065" w:type="pct"/>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DC5054">
            <w:pPr>
              <w:pStyle w:val="Tabletext"/>
              <w:keepNext/>
              <w:keepLines/>
              <w:ind w:left="266"/>
              <w:rPr>
                <w:szCs w:val="20"/>
              </w:rPr>
            </w:pPr>
            <w:proofErr w:type="spellStart"/>
            <w:r w:rsidRPr="00EC6E05">
              <w:rPr>
                <w:szCs w:val="20"/>
              </w:rPr>
              <w:t>CheckMate</w:t>
            </w:r>
            <w:proofErr w:type="spellEnd"/>
            <w:r w:rsidRPr="00EC6E05">
              <w:rPr>
                <w:szCs w:val="20"/>
              </w:rPr>
              <w:t xml:space="preserve"> 214</w:t>
            </w:r>
            <w:r w:rsidRPr="00EC6E05">
              <w:rPr>
                <w:szCs w:val="20"/>
                <w:vertAlign w:val="superscript"/>
              </w:rPr>
              <w:t>c</w:t>
            </w:r>
          </w:p>
        </w:tc>
        <w:tc>
          <w:tcPr>
            <w:tcW w:w="593" w:type="pct"/>
            <w:tcBorders>
              <w:top w:val="single" w:sz="4" w:space="0" w:color="auto"/>
              <w:left w:val="single" w:sz="4" w:space="0" w:color="auto"/>
              <w:bottom w:val="single" w:sz="4" w:space="0" w:color="auto"/>
              <w:right w:val="single" w:sz="4" w:space="0" w:color="auto"/>
            </w:tcBorders>
            <w:hideMark/>
          </w:tcPr>
          <w:p w:rsidR="00B65A3B" w:rsidRPr="00EC6E05" w:rsidRDefault="00B65A3B" w:rsidP="00DC5054">
            <w:pPr>
              <w:pStyle w:val="Tablecentre"/>
              <w:keepNext/>
              <w:keepLines/>
              <w:rPr>
                <w:rFonts w:ascii="Arial Narrow" w:hAnsi="Arial Narrow"/>
              </w:rPr>
            </w:pPr>
            <w:r w:rsidRPr="00EC6E05">
              <w:rPr>
                <w:rFonts w:ascii="Arial Narrow" w:hAnsi="Arial Narrow"/>
              </w:rPr>
              <w:t>162 (29.6)</w:t>
            </w:r>
          </w:p>
        </w:tc>
        <w:tc>
          <w:tcPr>
            <w:tcW w:w="556" w:type="pct"/>
            <w:tcBorders>
              <w:top w:val="single" w:sz="4" w:space="0" w:color="auto"/>
              <w:left w:val="single" w:sz="4" w:space="0" w:color="auto"/>
              <w:bottom w:val="single" w:sz="4" w:space="0" w:color="auto"/>
              <w:right w:val="single" w:sz="4" w:space="0" w:color="auto"/>
            </w:tcBorders>
            <w:hideMark/>
          </w:tcPr>
          <w:p w:rsidR="00B65A3B" w:rsidRPr="00EC6E05" w:rsidRDefault="00B65A3B" w:rsidP="00DC5054">
            <w:pPr>
              <w:pStyle w:val="Tablecentre"/>
              <w:keepNext/>
              <w:keepLines/>
              <w:rPr>
                <w:rFonts w:ascii="Arial Narrow" w:hAnsi="Arial Narrow"/>
              </w:rPr>
            </w:pPr>
            <w:r w:rsidRPr="00EC6E05">
              <w:rPr>
                <w:rFonts w:ascii="Arial Narrow" w:hAnsi="Arial Narrow"/>
              </w:rPr>
              <w:t>81 (15.1)</w:t>
            </w:r>
          </w:p>
        </w:tc>
        <w:tc>
          <w:tcPr>
            <w:tcW w:w="929" w:type="pct"/>
            <w:tcBorders>
              <w:top w:val="single" w:sz="4" w:space="0" w:color="auto"/>
              <w:left w:val="single" w:sz="4" w:space="0" w:color="auto"/>
              <w:bottom w:val="single" w:sz="4" w:space="0" w:color="auto"/>
              <w:right w:val="single" w:sz="4" w:space="0" w:color="auto"/>
            </w:tcBorders>
            <w:hideMark/>
          </w:tcPr>
          <w:p w:rsidR="00B65A3B" w:rsidRPr="006A083B" w:rsidRDefault="006A083B" w:rsidP="00DC5054">
            <w:pPr>
              <w:pStyle w:val="Tabletext"/>
              <w:keepNext/>
              <w:keepLines/>
              <w:jc w:val="center"/>
              <w:rPr>
                <w:rFonts w:eastAsiaTheme="minorHAnsi" w:cstheme="minorBidi"/>
                <w:szCs w:val="20"/>
                <w:highlight w:val="black"/>
                <w:lang w:eastAsia="en-US"/>
              </w:rPr>
            </w:pPr>
            <w:r>
              <w:rPr>
                <w:rFonts w:eastAsiaTheme="minorHAnsi" w:cstheme="minorBidi"/>
                <w:noProof/>
                <w:color w:val="000000"/>
                <w:szCs w:val="20"/>
                <w:highlight w:val="black"/>
                <w:lang w:eastAsia="en-US"/>
              </w:rPr>
              <w:t>''''''''''' ''''''''''''''' '''''''''''''</w:t>
            </w:r>
          </w:p>
        </w:tc>
        <w:tc>
          <w:tcPr>
            <w:tcW w:w="929" w:type="pct"/>
            <w:tcBorders>
              <w:top w:val="single" w:sz="4" w:space="0" w:color="auto"/>
              <w:left w:val="single" w:sz="4" w:space="0" w:color="auto"/>
              <w:bottom w:val="single" w:sz="4" w:space="0" w:color="auto"/>
              <w:right w:val="single" w:sz="4" w:space="0" w:color="auto"/>
            </w:tcBorders>
            <w:hideMark/>
          </w:tcPr>
          <w:p w:rsidR="00B65A3B" w:rsidRPr="006A083B" w:rsidRDefault="006A083B" w:rsidP="00DC5054">
            <w:pPr>
              <w:pStyle w:val="Tabletext"/>
              <w:keepNext/>
              <w:keepLines/>
              <w:jc w:val="center"/>
              <w:rPr>
                <w:rFonts w:eastAsiaTheme="minorHAnsi" w:cstheme="minorBidi"/>
                <w:szCs w:val="20"/>
                <w:highlight w:val="black"/>
                <w:lang w:eastAsia="en-US"/>
              </w:rPr>
            </w:pPr>
            <w:r>
              <w:rPr>
                <w:rFonts w:eastAsiaTheme="minorHAnsi" w:cstheme="minorBidi"/>
                <w:noProof/>
                <w:color w:val="000000"/>
                <w:szCs w:val="20"/>
                <w:highlight w:val="black"/>
                <w:lang w:eastAsia="en-US"/>
              </w:rPr>
              <w:t>'''''''''' ''''''''' '''''''</w:t>
            </w:r>
          </w:p>
        </w:tc>
        <w:tc>
          <w:tcPr>
            <w:tcW w:w="928" w:type="pct"/>
            <w:tcBorders>
              <w:top w:val="single" w:sz="4" w:space="0" w:color="auto"/>
              <w:left w:val="single" w:sz="4" w:space="0" w:color="auto"/>
              <w:bottom w:val="single" w:sz="4" w:space="0" w:color="auto"/>
              <w:right w:val="single" w:sz="4" w:space="0" w:color="auto"/>
            </w:tcBorders>
            <w:hideMark/>
          </w:tcPr>
          <w:p w:rsidR="00B65A3B" w:rsidRPr="006A083B" w:rsidRDefault="006A083B" w:rsidP="00DC5054">
            <w:pPr>
              <w:pStyle w:val="Tablecentre"/>
              <w:keepNext/>
              <w:keepLines/>
              <w:rPr>
                <w:rFonts w:ascii="Arial Narrow" w:hAnsi="Arial Narrow"/>
                <w:b/>
                <w:highlight w:val="black"/>
              </w:rPr>
            </w:pPr>
            <w:r>
              <w:rPr>
                <w:rFonts w:ascii="Arial Narrow" w:hAnsi="Arial Narrow"/>
                <w:b/>
                <w:noProof/>
                <w:color w:val="000000"/>
                <w:highlight w:val="black"/>
              </w:rPr>
              <w:t>'''''''' ''''''''''' ''''''''''</w:t>
            </w:r>
          </w:p>
        </w:tc>
      </w:tr>
      <w:tr w:rsidR="00B65A3B" w:rsidRPr="00EC6E05" w:rsidTr="00B65A3B">
        <w:trPr>
          <w:trHeight w:val="244"/>
        </w:trPr>
        <w:tc>
          <w:tcPr>
            <w:tcW w:w="2214" w:type="pct"/>
            <w:gridSpan w:val="3"/>
            <w:tcBorders>
              <w:top w:val="single" w:sz="4" w:space="0" w:color="auto"/>
              <w:left w:val="single" w:sz="4" w:space="0" w:color="auto"/>
              <w:bottom w:val="single" w:sz="4" w:space="0" w:color="auto"/>
              <w:right w:val="single" w:sz="4" w:space="0" w:color="auto"/>
            </w:tcBorders>
            <w:hideMark/>
          </w:tcPr>
          <w:p w:rsidR="00B65A3B" w:rsidRPr="00EC6E05" w:rsidRDefault="00B65A3B" w:rsidP="00DC5054">
            <w:pPr>
              <w:pStyle w:val="Tabletext"/>
              <w:keepNext/>
              <w:keepLines/>
            </w:pPr>
            <w:r w:rsidRPr="00EC6E05">
              <w:rPr>
                <w:szCs w:val="20"/>
              </w:rPr>
              <w:t>Indirect comparison: AVE + AXI vs NIVO + IPI</w:t>
            </w:r>
          </w:p>
        </w:tc>
        <w:tc>
          <w:tcPr>
            <w:tcW w:w="929" w:type="pct"/>
            <w:tcBorders>
              <w:top w:val="single" w:sz="4" w:space="0" w:color="auto"/>
              <w:left w:val="single" w:sz="4" w:space="0" w:color="auto"/>
              <w:bottom w:val="single" w:sz="4" w:space="0" w:color="auto"/>
              <w:right w:val="single" w:sz="4" w:space="0" w:color="auto"/>
            </w:tcBorders>
            <w:hideMark/>
          </w:tcPr>
          <w:p w:rsidR="00B65A3B" w:rsidRPr="006A083B" w:rsidRDefault="006A083B" w:rsidP="00DC5054">
            <w:pPr>
              <w:pStyle w:val="Tablecentre"/>
              <w:keepNext/>
              <w:keepLines/>
              <w:rPr>
                <w:rFonts w:ascii="Arial Narrow" w:hAnsi="Arial Narrow"/>
                <w:highlight w:val="black"/>
              </w:rPr>
            </w:pPr>
            <w:r>
              <w:rPr>
                <w:rFonts w:ascii="Arial Narrow" w:hAnsi="Arial Narrow"/>
                <w:noProof/>
                <w:color w:val="000000"/>
                <w:highlight w:val="black"/>
              </w:rPr>
              <w:t>'''''''''' ''''''''''''' '''''''''''''</w:t>
            </w:r>
          </w:p>
        </w:tc>
        <w:tc>
          <w:tcPr>
            <w:tcW w:w="929" w:type="pct"/>
            <w:tcBorders>
              <w:top w:val="single" w:sz="4" w:space="0" w:color="auto"/>
              <w:left w:val="single" w:sz="4" w:space="0" w:color="auto"/>
              <w:bottom w:val="single" w:sz="4" w:space="0" w:color="auto"/>
              <w:right w:val="single" w:sz="4" w:space="0" w:color="auto"/>
            </w:tcBorders>
            <w:hideMark/>
          </w:tcPr>
          <w:p w:rsidR="00B65A3B" w:rsidRPr="006A083B" w:rsidRDefault="006A083B" w:rsidP="00DC5054">
            <w:pPr>
              <w:pStyle w:val="Tablecentre"/>
              <w:keepNext/>
              <w:keepLines/>
              <w:rPr>
                <w:rFonts w:ascii="Arial Narrow" w:hAnsi="Arial Narrow"/>
                <w:highlight w:val="black"/>
              </w:rPr>
            </w:pPr>
            <w:r>
              <w:rPr>
                <w:rFonts w:ascii="Arial Narrow" w:hAnsi="Arial Narrow"/>
                <w:noProof/>
                <w:color w:val="000000"/>
                <w:highlight w:val="black"/>
              </w:rPr>
              <w:t>'''''''''''' '''''''''' ''''</w:t>
            </w:r>
          </w:p>
        </w:tc>
        <w:tc>
          <w:tcPr>
            <w:tcW w:w="928" w:type="pct"/>
            <w:tcBorders>
              <w:top w:val="single" w:sz="4" w:space="0" w:color="auto"/>
              <w:left w:val="single" w:sz="4" w:space="0" w:color="auto"/>
              <w:bottom w:val="single" w:sz="4" w:space="0" w:color="auto"/>
              <w:right w:val="single" w:sz="4" w:space="0" w:color="auto"/>
            </w:tcBorders>
            <w:hideMark/>
          </w:tcPr>
          <w:p w:rsidR="00B65A3B" w:rsidRPr="006A083B" w:rsidRDefault="006A083B" w:rsidP="00DC5054">
            <w:pPr>
              <w:pStyle w:val="Tablecentre"/>
              <w:keepNext/>
              <w:keepLines/>
              <w:rPr>
                <w:rFonts w:ascii="Arial Narrow" w:hAnsi="Arial Narrow"/>
                <w:b/>
                <w:bCs/>
                <w:highlight w:val="black"/>
              </w:rPr>
            </w:pPr>
            <w:r>
              <w:rPr>
                <w:rFonts w:ascii="Arial Narrow" w:hAnsi="Arial Narrow"/>
                <w:b/>
                <w:bCs/>
                <w:noProof/>
                <w:color w:val="000000"/>
                <w:highlight w:val="black"/>
              </w:rPr>
              <w:t>'''''''''' '''''''''''' '''''''''</w:t>
            </w:r>
          </w:p>
        </w:tc>
      </w:tr>
      <w:tr w:rsidR="00B65A3B" w:rsidRPr="00EC6E05" w:rsidTr="00B65A3B">
        <w:trPr>
          <w:trHeight w:val="244"/>
        </w:trPr>
        <w:tc>
          <w:tcPr>
            <w:tcW w:w="5000" w:type="pct"/>
            <w:gridSpan w:val="6"/>
            <w:tcBorders>
              <w:top w:val="single" w:sz="4" w:space="0" w:color="auto"/>
              <w:left w:val="single" w:sz="4" w:space="0" w:color="auto"/>
              <w:bottom w:val="single" w:sz="4" w:space="0" w:color="auto"/>
              <w:right w:val="single" w:sz="4" w:space="0" w:color="auto"/>
            </w:tcBorders>
            <w:hideMark/>
          </w:tcPr>
          <w:p w:rsidR="00B65A3B" w:rsidRPr="00EC6E05" w:rsidRDefault="00B65A3B" w:rsidP="00DC5054">
            <w:pPr>
              <w:pStyle w:val="Tabletext"/>
              <w:keepNext/>
              <w:keepLines/>
            </w:pPr>
            <w:r w:rsidRPr="00EC6E05">
              <w:t>Discontinuation of any drug due to AEs</w:t>
            </w:r>
          </w:p>
        </w:tc>
      </w:tr>
      <w:tr w:rsidR="00B65A3B" w:rsidRPr="00EC6E05" w:rsidTr="00B65A3B">
        <w:trPr>
          <w:trHeight w:val="244"/>
        </w:trPr>
        <w:tc>
          <w:tcPr>
            <w:tcW w:w="1065" w:type="pct"/>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DC5054">
            <w:pPr>
              <w:pStyle w:val="Tabletext"/>
              <w:keepNext/>
              <w:keepLines/>
              <w:ind w:left="266"/>
              <w:rPr>
                <w:szCs w:val="20"/>
              </w:rPr>
            </w:pPr>
            <w:r w:rsidRPr="00EC6E05">
              <w:rPr>
                <w:szCs w:val="20"/>
              </w:rPr>
              <w:t>JAVELIN</w:t>
            </w:r>
            <w:r w:rsidRPr="00EC6E05">
              <w:rPr>
                <w:szCs w:val="20"/>
                <w:vertAlign w:val="superscript"/>
              </w:rPr>
              <w:t xml:space="preserve"> b</w:t>
            </w:r>
          </w:p>
        </w:tc>
        <w:tc>
          <w:tcPr>
            <w:tcW w:w="593" w:type="pct"/>
            <w:tcBorders>
              <w:top w:val="single" w:sz="4" w:space="0" w:color="auto"/>
              <w:left w:val="single" w:sz="4" w:space="0" w:color="auto"/>
              <w:bottom w:val="single" w:sz="4" w:space="0" w:color="auto"/>
              <w:right w:val="single" w:sz="4" w:space="0" w:color="auto"/>
            </w:tcBorders>
            <w:hideMark/>
          </w:tcPr>
          <w:p w:rsidR="00B65A3B" w:rsidRPr="00EC6E05" w:rsidRDefault="00B65A3B" w:rsidP="00DC5054">
            <w:pPr>
              <w:pStyle w:val="Tablecentre"/>
              <w:keepNext/>
              <w:keepLines/>
              <w:rPr>
                <w:rFonts w:ascii="Arial Narrow" w:hAnsi="Arial Narrow"/>
              </w:rPr>
            </w:pPr>
            <w:r w:rsidRPr="00EC6E05">
              <w:rPr>
                <w:rFonts w:ascii="Arial Narrow" w:hAnsi="Arial Narrow"/>
              </w:rPr>
              <w:t>80 (18.4)</w:t>
            </w:r>
          </w:p>
        </w:tc>
        <w:tc>
          <w:tcPr>
            <w:tcW w:w="556" w:type="pct"/>
            <w:tcBorders>
              <w:top w:val="single" w:sz="4" w:space="0" w:color="auto"/>
              <w:left w:val="single" w:sz="4" w:space="0" w:color="auto"/>
              <w:bottom w:val="single" w:sz="4" w:space="0" w:color="auto"/>
              <w:right w:val="single" w:sz="4" w:space="0" w:color="auto"/>
            </w:tcBorders>
            <w:hideMark/>
          </w:tcPr>
          <w:p w:rsidR="00B65A3B" w:rsidRPr="00EC6E05" w:rsidRDefault="00B65A3B" w:rsidP="00DC5054">
            <w:pPr>
              <w:pStyle w:val="Tablecentre"/>
              <w:keepNext/>
              <w:keepLines/>
              <w:rPr>
                <w:rFonts w:ascii="Arial Narrow" w:hAnsi="Arial Narrow"/>
              </w:rPr>
            </w:pPr>
            <w:r w:rsidRPr="00EC6E05">
              <w:rPr>
                <w:rFonts w:ascii="Arial Narrow" w:hAnsi="Arial Narrow"/>
              </w:rPr>
              <w:t>35 (8.0)</w:t>
            </w:r>
          </w:p>
        </w:tc>
        <w:tc>
          <w:tcPr>
            <w:tcW w:w="929" w:type="pct"/>
            <w:tcBorders>
              <w:top w:val="single" w:sz="4" w:space="0" w:color="auto"/>
              <w:left w:val="single" w:sz="4" w:space="0" w:color="auto"/>
              <w:bottom w:val="single" w:sz="4" w:space="0" w:color="auto"/>
              <w:right w:val="single" w:sz="4" w:space="0" w:color="auto"/>
            </w:tcBorders>
            <w:hideMark/>
          </w:tcPr>
          <w:p w:rsidR="00B65A3B" w:rsidRPr="006A083B" w:rsidRDefault="006A083B" w:rsidP="00DC5054">
            <w:pPr>
              <w:pStyle w:val="Tablecentre"/>
              <w:keepNext/>
              <w:keepLines/>
              <w:rPr>
                <w:rFonts w:ascii="Arial Narrow" w:hAnsi="Arial Narrow"/>
                <w:highlight w:val="black"/>
              </w:rPr>
            </w:pPr>
            <w:r>
              <w:rPr>
                <w:rFonts w:ascii="Arial Narrow" w:hAnsi="Arial Narrow"/>
                <w:noProof/>
                <w:color w:val="000000"/>
                <w:highlight w:val="black"/>
              </w:rPr>
              <w:t>'''''''''' ''''''''''''' '''''''''''''</w:t>
            </w:r>
          </w:p>
        </w:tc>
        <w:tc>
          <w:tcPr>
            <w:tcW w:w="929" w:type="pct"/>
            <w:tcBorders>
              <w:top w:val="single" w:sz="4" w:space="0" w:color="auto"/>
              <w:left w:val="single" w:sz="4" w:space="0" w:color="auto"/>
              <w:bottom w:val="single" w:sz="4" w:space="0" w:color="auto"/>
              <w:right w:val="single" w:sz="4" w:space="0" w:color="auto"/>
            </w:tcBorders>
            <w:hideMark/>
          </w:tcPr>
          <w:p w:rsidR="00B65A3B" w:rsidRPr="006A083B" w:rsidRDefault="006A083B" w:rsidP="00DC5054">
            <w:pPr>
              <w:pStyle w:val="Tablecentre"/>
              <w:keepNext/>
              <w:keepLines/>
              <w:rPr>
                <w:rFonts w:ascii="Arial Narrow" w:hAnsi="Arial Narrow"/>
                <w:highlight w:val="black"/>
              </w:rPr>
            </w:pPr>
            <w:r>
              <w:rPr>
                <w:rFonts w:ascii="Arial Narrow" w:hAnsi="Arial Narrow"/>
                <w:noProof/>
                <w:color w:val="000000"/>
                <w:highlight w:val="black"/>
              </w:rPr>
              <w:t xml:space="preserve">'''''''''' '''''' ''''''''' </w:t>
            </w:r>
          </w:p>
        </w:tc>
        <w:tc>
          <w:tcPr>
            <w:tcW w:w="928" w:type="pct"/>
            <w:tcBorders>
              <w:top w:val="single" w:sz="4" w:space="0" w:color="auto"/>
              <w:left w:val="single" w:sz="4" w:space="0" w:color="auto"/>
              <w:bottom w:val="single" w:sz="4" w:space="0" w:color="auto"/>
              <w:right w:val="single" w:sz="4" w:space="0" w:color="auto"/>
            </w:tcBorders>
            <w:hideMark/>
          </w:tcPr>
          <w:p w:rsidR="00B65A3B" w:rsidRPr="006A083B" w:rsidRDefault="006A083B" w:rsidP="00DC5054">
            <w:pPr>
              <w:pStyle w:val="Tablecentre"/>
              <w:keepNext/>
              <w:keepLines/>
              <w:rPr>
                <w:rFonts w:ascii="Arial Narrow" w:hAnsi="Arial Narrow"/>
                <w:b/>
                <w:highlight w:val="black"/>
              </w:rPr>
            </w:pPr>
            <w:r>
              <w:rPr>
                <w:rFonts w:ascii="Arial Narrow" w:hAnsi="Arial Narrow"/>
                <w:b/>
                <w:noProof/>
                <w:color w:val="000000"/>
                <w:highlight w:val="black"/>
              </w:rPr>
              <w:t xml:space="preserve">''''''''' '''''''''' ''''''''''' </w:t>
            </w:r>
          </w:p>
        </w:tc>
      </w:tr>
      <w:tr w:rsidR="00B65A3B" w:rsidRPr="00EC6E05" w:rsidTr="00B65A3B">
        <w:trPr>
          <w:trHeight w:val="244"/>
        </w:trPr>
        <w:tc>
          <w:tcPr>
            <w:tcW w:w="1065" w:type="pct"/>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DC5054">
            <w:pPr>
              <w:pStyle w:val="Tabletext"/>
              <w:keepNext/>
              <w:keepLines/>
              <w:ind w:left="266"/>
              <w:rPr>
                <w:szCs w:val="20"/>
              </w:rPr>
            </w:pPr>
            <w:proofErr w:type="spellStart"/>
            <w:r w:rsidRPr="00EC6E05">
              <w:rPr>
                <w:szCs w:val="20"/>
              </w:rPr>
              <w:t>CheckMate</w:t>
            </w:r>
            <w:proofErr w:type="spellEnd"/>
            <w:r w:rsidRPr="00EC6E05">
              <w:rPr>
                <w:szCs w:val="20"/>
              </w:rPr>
              <w:t xml:space="preserve"> 214</w:t>
            </w:r>
            <w:r w:rsidRPr="00EC6E05">
              <w:rPr>
                <w:szCs w:val="20"/>
                <w:vertAlign w:val="superscript"/>
              </w:rPr>
              <w:t>c</w:t>
            </w:r>
          </w:p>
        </w:tc>
        <w:tc>
          <w:tcPr>
            <w:tcW w:w="593" w:type="pct"/>
            <w:tcBorders>
              <w:top w:val="single" w:sz="4" w:space="0" w:color="auto"/>
              <w:left w:val="single" w:sz="4" w:space="0" w:color="auto"/>
              <w:bottom w:val="single" w:sz="4" w:space="0" w:color="auto"/>
              <w:right w:val="single" w:sz="4" w:space="0" w:color="auto"/>
            </w:tcBorders>
            <w:hideMark/>
          </w:tcPr>
          <w:p w:rsidR="00B65A3B" w:rsidRPr="00EC6E05" w:rsidRDefault="00B65A3B" w:rsidP="00DC5054">
            <w:pPr>
              <w:pStyle w:val="Tablecentre"/>
              <w:keepNext/>
              <w:keepLines/>
              <w:rPr>
                <w:rFonts w:ascii="Arial Narrow" w:hAnsi="Arial Narrow"/>
              </w:rPr>
            </w:pPr>
            <w:r w:rsidRPr="00EC6E05">
              <w:rPr>
                <w:rFonts w:ascii="Arial Narrow" w:hAnsi="Arial Narrow"/>
              </w:rPr>
              <w:t>118 (21.6)</w:t>
            </w:r>
          </w:p>
        </w:tc>
        <w:tc>
          <w:tcPr>
            <w:tcW w:w="556" w:type="pct"/>
            <w:tcBorders>
              <w:top w:val="single" w:sz="4" w:space="0" w:color="auto"/>
              <w:left w:val="single" w:sz="4" w:space="0" w:color="auto"/>
              <w:bottom w:val="single" w:sz="4" w:space="0" w:color="auto"/>
              <w:right w:val="single" w:sz="4" w:space="0" w:color="auto"/>
            </w:tcBorders>
            <w:hideMark/>
          </w:tcPr>
          <w:p w:rsidR="00B65A3B" w:rsidRPr="00EC6E05" w:rsidRDefault="00B65A3B" w:rsidP="00DC5054">
            <w:pPr>
              <w:pStyle w:val="Tablecentre"/>
              <w:keepNext/>
              <w:keepLines/>
              <w:rPr>
                <w:rFonts w:ascii="Arial Narrow" w:hAnsi="Arial Narrow"/>
              </w:rPr>
            </w:pPr>
            <w:r w:rsidRPr="00EC6E05">
              <w:rPr>
                <w:rFonts w:ascii="Arial Narrow" w:hAnsi="Arial Narrow"/>
              </w:rPr>
              <w:t>63 (11.8)</w:t>
            </w:r>
          </w:p>
        </w:tc>
        <w:tc>
          <w:tcPr>
            <w:tcW w:w="929" w:type="pct"/>
            <w:tcBorders>
              <w:top w:val="single" w:sz="4" w:space="0" w:color="auto"/>
              <w:left w:val="single" w:sz="4" w:space="0" w:color="auto"/>
              <w:bottom w:val="single" w:sz="4" w:space="0" w:color="auto"/>
              <w:right w:val="single" w:sz="4" w:space="0" w:color="auto"/>
            </w:tcBorders>
            <w:hideMark/>
          </w:tcPr>
          <w:p w:rsidR="00B65A3B" w:rsidRPr="006A083B" w:rsidRDefault="006A083B" w:rsidP="00DC5054">
            <w:pPr>
              <w:pStyle w:val="Tabletext"/>
              <w:keepNext/>
              <w:keepLines/>
              <w:jc w:val="center"/>
              <w:rPr>
                <w:rFonts w:eastAsiaTheme="minorHAnsi" w:cstheme="minorBidi"/>
                <w:szCs w:val="20"/>
                <w:highlight w:val="black"/>
                <w:lang w:eastAsia="en-US"/>
              </w:rPr>
            </w:pPr>
            <w:r>
              <w:rPr>
                <w:rFonts w:eastAsiaTheme="minorHAnsi" w:cstheme="minorBidi"/>
                <w:noProof/>
                <w:color w:val="000000"/>
                <w:szCs w:val="20"/>
                <w:highlight w:val="black"/>
                <w:lang w:eastAsia="en-US"/>
              </w:rPr>
              <w:t xml:space="preserve">''''''''''' '''''''''''''' ''''''''''''' </w:t>
            </w:r>
          </w:p>
        </w:tc>
        <w:tc>
          <w:tcPr>
            <w:tcW w:w="929" w:type="pct"/>
            <w:tcBorders>
              <w:top w:val="single" w:sz="4" w:space="0" w:color="auto"/>
              <w:left w:val="single" w:sz="4" w:space="0" w:color="auto"/>
              <w:bottom w:val="single" w:sz="4" w:space="0" w:color="auto"/>
              <w:right w:val="single" w:sz="4" w:space="0" w:color="auto"/>
            </w:tcBorders>
            <w:hideMark/>
          </w:tcPr>
          <w:p w:rsidR="00B65A3B" w:rsidRPr="006A083B" w:rsidRDefault="006A083B" w:rsidP="00DC5054">
            <w:pPr>
              <w:pStyle w:val="Tabletext"/>
              <w:keepNext/>
              <w:keepLines/>
              <w:jc w:val="center"/>
              <w:rPr>
                <w:rFonts w:eastAsiaTheme="minorHAnsi" w:cstheme="minorBidi"/>
                <w:szCs w:val="20"/>
                <w:highlight w:val="black"/>
                <w:lang w:eastAsia="en-US"/>
              </w:rPr>
            </w:pPr>
            <w:r>
              <w:rPr>
                <w:rFonts w:eastAsiaTheme="minorHAnsi" w:cstheme="minorBidi"/>
                <w:noProof/>
                <w:color w:val="000000"/>
                <w:szCs w:val="20"/>
                <w:highlight w:val="black"/>
                <w:lang w:eastAsia="en-US"/>
              </w:rPr>
              <w:t>''''''''''' ''''''' ''''''''</w:t>
            </w:r>
          </w:p>
        </w:tc>
        <w:tc>
          <w:tcPr>
            <w:tcW w:w="928" w:type="pct"/>
            <w:tcBorders>
              <w:top w:val="single" w:sz="4" w:space="0" w:color="auto"/>
              <w:left w:val="single" w:sz="4" w:space="0" w:color="auto"/>
              <w:bottom w:val="single" w:sz="4" w:space="0" w:color="auto"/>
              <w:right w:val="single" w:sz="4" w:space="0" w:color="auto"/>
            </w:tcBorders>
            <w:hideMark/>
          </w:tcPr>
          <w:p w:rsidR="00B65A3B" w:rsidRPr="006A083B" w:rsidRDefault="006A083B" w:rsidP="00DC5054">
            <w:pPr>
              <w:pStyle w:val="Tablecentre"/>
              <w:keepNext/>
              <w:keepLines/>
              <w:rPr>
                <w:rFonts w:ascii="Arial Narrow" w:hAnsi="Arial Narrow"/>
                <w:b/>
                <w:highlight w:val="black"/>
              </w:rPr>
            </w:pPr>
            <w:r>
              <w:rPr>
                <w:rFonts w:ascii="Arial Narrow" w:hAnsi="Arial Narrow"/>
                <w:b/>
                <w:noProof/>
                <w:color w:val="000000"/>
                <w:highlight w:val="black"/>
              </w:rPr>
              <w:t>''''''''' ''''''''''' '''''''''''</w:t>
            </w:r>
          </w:p>
        </w:tc>
      </w:tr>
      <w:tr w:rsidR="00B65A3B" w:rsidRPr="00EC6E05" w:rsidTr="00B65A3B">
        <w:trPr>
          <w:trHeight w:val="244"/>
        </w:trPr>
        <w:tc>
          <w:tcPr>
            <w:tcW w:w="2214" w:type="pct"/>
            <w:gridSpan w:val="3"/>
            <w:tcBorders>
              <w:top w:val="single" w:sz="4" w:space="0" w:color="auto"/>
              <w:left w:val="single" w:sz="4" w:space="0" w:color="auto"/>
              <w:bottom w:val="single" w:sz="4" w:space="0" w:color="auto"/>
              <w:right w:val="single" w:sz="4" w:space="0" w:color="auto"/>
            </w:tcBorders>
            <w:hideMark/>
          </w:tcPr>
          <w:p w:rsidR="00B65A3B" w:rsidRPr="00EC6E05" w:rsidRDefault="00B65A3B" w:rsidP="00DC5054">
            <w:pPr>
              <w:pStyle w:val="Tabletext"/>
              <w:keepNext/>
              <w:keepLines/>
            </w:pPr>
            <w:r w:rsidRPr="00EC6E05">
              <w:rPr>
                <w:szCs w:val="20"/>
              </w:rPr>
              <w:t>Indirect comparison: AVE + AXI vs NIVO + IPI</w:t>
            </w:r>
          </w:p>
        </w:tc>
        <w:tc>
          <w:tcPr>
            <w:tcW w:w="929" w:type="pct"/>
            <w:tcBorders>
              <w:top w:val="single" w:sz="4" w:space="0" w:color="auto"/>
              <w:left w:val="single" w:sz="4" w:space="0" w:color="auto"/>
              <w:bottom w:val="single" w:sz="4" w:space="0" w:color="auto"/>
              <w:right w:val="single" w:sz="4" w:space="0" w:color="auto"/>
            </w:tcBorders>
            <w:hideMark/>
          </w:tcPr>
          <w:p w:rsidR="00B65A3B" w:rsidRPr="006A083B" w:rsidRDefault="006A083B" w:rsidP="00DC5054">
            <w:pPr>
              <w:pStyle w:val="Tablecentre"/>
              <w:keepNext/>
              <w:keepLines/>
              <w:rPr>
                <w:rFonts w:ascii="Arial Narrow" w:hAnsi="Arial Narrow"/>
                <w:highlight w:val="black"/>
              </w:rPr>
            </w:pPr>
            <w:r>
              <w:rPr>
                <w:rFonts w:ascii="Arial Narrow" w:hAnsi="Arial Narrow"/>
                <w:noProof/>
                <w:color w:val="000000"/>
                <w:highlight w:val="black"/>
              </w:rPr>
              <w:t>'''''''''' ''''''''''''' '''''''''''''</w:t>
            </w:r>
          </w:p>
        </w:tc>
        <w:tc>
          <w:tcPr>
            <w:tcW w:w="929" w:type="pct"/>
            <w:tcBorders>
              <w:top w:val="single" w:sz="4" w:space="0" w:color="auto"/>
              <w:left w:val="single" w:sz="4" w:space="0" w:color="auto"/>
              <w:bottom w:val="single" w:sz="4" w:space="0" w:color="auto"/>
              <w:right w:val="single" w:sz="4" w:space="0" w:color="auto"/>
            </w:tcBorders>
            <w:hideMark/>
          </w:tcPr>
          <w:p w:rsidR="00B65A3B" w:rsidRPr="006A083B" w:rsidRDefault="006A083B" w:rsidP="00DC5054">
            <w:pPr>
              <w:pStyle w:val="Tablecentre"/>
              <w:keepNext/>
              <w:keepLines/>
              <w:rPr>
                <w:rFonts w:ascii="Arial Narrow" w:hAnsi="Arial Narrow"/>
                <w:highlight w:val="black"/>
              </w:rPr>
            </w:pPr>
            <w:r>
              <w:rPr>
                <w:rFonts w:ascii="Arial Narrow" w:hAnsi="Arial Narrow"/>
                <w:noProof/>
                <w:color w:val="000000"/>
                <w:highlight w:val="black"/>
              </w:rPr>
              <w:t>''''''''' ''''''' '''''</w:t>
            </w:r>
          </w:p>
        </w:tc>
        <w:tc>
          <w:tcPr>
            <w:tcW w:w="928" w:type="pct"/>
            <w:tcBorders>
              <w:top w:val="single" w:sz="4" w:space="0" w:color="auto"/>
              <w:left w:val="single" w:sz="4" w:space="0" w:color="auto"/>
              <w:bottom w:val="single" w:sz="4" w:space="0" w:color="auto"/>
              <w:right w:val="single" w:sz="4" w:space="0" w:color="auto"/>
            </w:tcBorders>
            <w:hideMark/>
          </w:tcPr>
          <w:p w:rsidR="00B65A3B" w:rsidRPr="006A083B" w:rsidRDefault="006A083B" w:rsidP="00DC5054">
            <w:pPr>
              <w:pStyle w:val="Tablecentre"/>
              <w:keepNext/>
              <w:keepLines/>
              <w:rPr>
                <w:rFonts w:ascii="Arial Narrow" w:hAnsi="Arial Narrow"/>
                <w:highlight w:val="black"/>
              </w:rPr>
            </w:pPr>
            <w:r>
              <w:rPr>
                <w:rFonts w:ascii="Arial Narrow" w:hAnsi="Arial Narrow"/>
                <w:noProof/>
                <w:color w:val="000000"/>
                <w:highlight w:val="black"/>
              </w:rPr>
              <w:t>'''''''''' '''''''''''''' ''''''''''''''</w:t>
            </w:r>
          </w:p>
        </w:tc>
      </w:tr>
      <w:tr w:rsidR="00B65A3B" w:rsidRPr="00EC6E05" w:rsidTr="00B65A3B">
        <w:trPr>
          <w:trHeight w:val="244"/>
        </w:trPr>
        <w:tc>
          <w:tcPr>
            <w:tcW w:w="1065" w:type="pct"/>
            <w:tcBorders>
              <w:top w:val="single" w:sz="4" w:space="0" w:color="auto"/>
              <w:left w:val="single" w:sz="4" w:space="0" w:color="auto"/>
              <w:bottom w:val="single" w:sz="4" w:space="0" w:color="auto"/>
              <w:right w:val="nil"/>
            </w:tcBorders>
            <w:hideMark/>
          </w:tcPr>
          <w:p w:rsidR="00B65A3B" w:rsidRPr="00EC6E05" w:rsidRDefault="00B65A3B" w:rsidP="00DC5054">
            <w:pPr>
              <w:pStyle w:val="Tabletext"/>
              <w:keepNext/>
              <w:keepLines/>
              <w:rPr>
                <w:szCs w:val="20"/>
              </w:rPr>
            </w:pPr>
            <w:r w:rsidRPr="00EC6E05">
              <w:rPr>
                <w:szCs w:val="20"/>
              </w:rPr>
              <w:t>Death</w:t>
            </w:r>
          </w:p>
        </w:tc>
        <w:tc>
          <w:tcPr>
            <w:tcW w:w="593" w:type="pct"/>
            <w:tcBorders>
              <w:top w:val="single" w:sz="4" w:space="0" w:color="auto"/>
              <w:left w:val="nil"/>
              <w:bottom w:val="single" w:sz="4" w:space="0" w:color="auto"/>
              <w:right w:val="nil"/>
            </w:tcBorders>
          </w:tcPr>
          <w:p w:rsidR="00B65A3B" w:rsidRPr="00EC6E05" w:rsidRDefault="00B65A3B" w:rsidP="00DC5054">
            <w:pPr>
              <w:pStyle w:val="Tablecentre"/>
              <w:keepNext/>
              <w:keepLines/>
              <w:rPr>
                <w:rFonts w:ascii="Arial Narrow" w:hAnsi="Arial Narrow"/>
              </w:rPr>
            </w:pPr>
          </w:p>
        </w:tc>
        <w:tc>
          <w:tcPr>
            <w:tcW w:w="556" w:type="pct"/>
            <w:tcBorders>
              <w:top w:val="single" w:sz="4" w:space="0" w:color="auto"/>
              <w:left w:val="nil"/>
              <w:bottom w:val="single" w:sz="4" w:space="0" w:color="auto"/>
              <w:right w:val="nil"/>
            </w:tcBorders>
          </w:tcPr>
          <w:p w:rsidR="00B65A3B" w:rsidRPr="00EC6E05" w:rsidRDefault="00B65A3B" w:rsidP="00DC5054">
            <w:pPr>
              <w:pStyle w:val="Tablecentre"/>
              <w:keepNext/>
              <w:keepLines/>
              <w:rPr>
                <w:rFonts w:ascii="Arial Narrow" w:hAnsi="Arial Narrow"/>
              </w:rPr>
            </w:pPr>
          </w:p>
        </w:tc>
        <w:tc>
          <w:tcPr>
            <w:tcW w:w="929" w:type="pct"/>
            <w:tcBorders>
              <w:top w:val="single" w:sz="4" w:space="0" w:color="auto"/>
              <w:left w:val="nil"/>
              <w:bottom w:val="single" w:sz="4" w:space="0" w:color="auto"/>
              <w:right w:val="nil"/>
            </w:tcBorders>
          </w:tcPr>
          <w:p w:rsidR="00B65A3B" w:rsidRPr="00EC6E05" w:rsidRDefault="00B65A3B" w:rsidP="00DC5054">
            <w:pPr>
              <w:pStyle w:val="Tablecentre"/>
              <w:keepNext/>
              <w:keepLines/>
              <w:rPr>
                <w:rFonts w:ascii="Arial Narrow" w:hAnsi="Arial Narrow"/>
              </w:rPr>
            </w:pPr>
          </w:p>
        </w:tc>
        <w:tc>
          <w:tcPr>
            <w:tcW w:w="929" w:type="pct"/>
            <w:tcBorders>
              <w:top w:val="single" w:sz="4" w:space="0" w:color="auto"/>
              <w:left w:val="nil"/>
              <w:bottom w:val="single" w:sz="4" w:space="0" w:color="auto"/>
              <w:right w:val="nil"/>
            </w:tcBorders>
          </w:tcPr>
          <w:p w:rsidR="00B65A3B" w:rsidRPr="00EC6E05" w:rsidRDefault="00B65A3B" w:rsidP="00DC5054">
            <w:pPr>
              <w:pStyle w:val="Tablecentre"/>
              <w:keepNext/>
              <w:keepLines/>
              <w:rPr>
                <w:rFonts w:ascii="Arial Narrow" w:hAnsi="Arial Narrow"/>
              </w:rPr>
            </w:pPr>
          </w:p>
        </w:tc>
        <w:tc>
          <w:tcPr>
            <w:tcW w:w="928" w:type="pct"/>
            <w:tcBorders>
              <w:top w:val="single" w:sz="4" w:space="0" w:color="auto"/>
              <w:left w:val="nil"/>
              <w:bottom w:val="single" w:sz="4" w:space="0" w:color="auto"/>
              <w:right w:val="single" w:sz="4" w:space="0" w:color="auto"/>
            </w:tcBorders>
          </w:tcPr>
          <w:p w:rsidR="00B65A3B" w:rsidRPr="00EC6E05" w:rsidRDefault="00B65A3B" w:rsidP="00DC5054">
            <w:pPr>
              <w:pStyle w:val="Tablecentre"/>
              <w:keepNext/>
              <w:keepLines/>
              <w:rPr>
                <w:rFonts w:ascii="Arial Narrow" w:hAnsi="Arial Narrow"/>
              </w:rPr>
            </w:pPr>
          </w:p>
        </w:tc>
      </w:tr>
      <w:tr w:rsidR="00B65A3B" w:rsidRPr="00EC6E05" w:rsidTr="00B65A3B">
        <w:trPr>
          <w:trHeight w:val="244"/>
        </w:trPr>
        <w:tc>
          <w:tcPr>
            <w:tcW w:w="1065" w:type="pct"/>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DC5054">
            <w:pPr>
              <w:pStyle w:val="Tabletext"/>
              <w:keepNext/>
              <w:keepLines/>
              <w:ind w:left="266"/>
              <w:rPr>
                <w:szCs w:val="20"/>
              </w:rPr>
            </w:pPr>
            <w:r w:rsidRPr="00EC6E05">
              <w:rPr>
                <w:szCs w:val="20"/>
              </w:rPr>
              <w:t>JAVELIN</w:t>
            </w:r>
            <w:r w:rsidRPr="00EC6E05">
              <w:rPr>
                <w:szCs w:val="20"/>
                <w:vertAlign w:val="superscript"/>
              </w:rPr>
              <w:t xml:space="preserve"> b</w:t>
            </w:r>
          </w:p>
        </w:tc>
        <w:tc>
          <w:tcPr>
            <w:tcW w:w="593" w:type="pct"/>
            <w:tcBorders>
              <w:top w:val="single" w:sz="4" w:space="0" w:color="auto"/>
              <w:left w:val="single" w:sz="4" w:space="0" w:color="auto"/>
              <w:bottom w:val="single" w:sz="4" w:space="0" w:color="auto"/>
              <w:right w:val="single" w:sz="4" w:space="0" w:color="auto"/>
            </w:tcBorders>
            <w:hideMark/>
          </w:tcPr>
          <w:p w:rsidR="00B65A3B" w:rsidRPr="00EC6E05" w:rsidRDefault="00B65A3B" w:rsidP="00DC5054">
            <w:pPr>
              <w:pStyle w:val="Tablecentre"/>
              <w:keepNext/>
              <w:keepLines/>
              <w:rPr>
                <w:rFonts w:ascii="Arial Narrow" w:hAnsi="Arial Narrow"/>
              </w:rPr>
            </w:pPr>
            <w:r w:rsidRPr="00EC6E05">
              <w:rPr>
                <w:rFonts w:ascii="Arial Narrow" w:hAnsi="Arial Narrow"/>
              </w:rPr>
              <w:t>5 (1.2)</w:t>
            </w:r>
          </w:p>
        </w:tc>
        <w:tc>
          <w:tcPr>
            <w:tcW w:w="556" w:type="pct"/>
            <w:tcBorders>
              <w:top w:val="single" w:sz="4" w:space="0" w:color="auto"/>
              <w:left w:val="single" w:sz="4" w:space="0" w:color="auto"/>
              <w:bottom w:val="single" w:sz="4" w:space="0" w:color="auto"/>
              <w:right w:val="single" w:sz="4" w:space="0" w:color="auto"/>
            </w:tcBorders>
            <w:hideMark/>
          </w:tcPr>
          <w:p w:rsidR="00B65A3B" w:rsidRPr="00EC6E05" w:rsidRDefault="00B65A3B" w:rsidP="00DC5054">
            <w:pPr>
              <w:pStyle w:val="Tablecentre"/>
              <w:keepNext/>
              <w:keepLines/>
              <w:rPr>
                <w:rFonts w:ascii="Arial Narrow" w:hAnsi="Arial Narrow"/>
              </w:rPr>
            </w:pPr>
            <w:r w:rsidRPr="00EC6E05">
              <w:rPr>
                <w:rFonts w:ascii="Arial Narrow" w:hAnsi="Arial Narrow"/>
              </w:rPr>
              <w:t>1 (0.2)</w:t>
            </w:r>
          </w:p>
        </w:tc>
        <w:tc>
          <w:tcPr>
            <w:tcW w:w="929" w:type="pct"/>
            <w:tcBorders>
              <w:top w:val="single" w:sz="4" w:space="0" w:color="auto"/>
              <w:left w:val="single" w:sz="4" w:space="0" w:color="auto"/>
              <w:bottom w:val="single" w:sz="4" w:space="0" w:color="auto"/>
              <w:right w:val="single" w:sz="4" w:space="0" w:color="auto"/>
            </w:tcBorders>
            <w:hideMark/>
          </w:tcPr>
          <w:p w:rsidR="00B65A3B" w:rsidRPr="006A083B" w:rsidRDefault="006A083B" w:rsidP="00DC5054">
            <w:pPr>
              <w:pStyle w:val="Tablecentre"/>
              <w:keepNext/>
              <w:keepLines/>
              <w:rPr>
                <w:rFonts w:ascii="Arial Narrow" w:hAnsi="Arial Narrow"/>
                <w:highlight w:val="black"/>
              </w:rPr>
            </w:pPr>
            <w:r>
              <w:rPr>
                <w:rFonts w:ascii="Arial Narrow" w:hAnsi="Arial Narrow"/>
                <w:noProof/>
                <w:color w:val="000000"/>
                <w:highlight w:val="black"/>
              </w:rPr>
              <w:t xml:space="preserve">''''''''' ''''''''''''' '''''''''''''' </w:t>
            </w:r>
          </w:p>
        </w:tc>
        <w:tc>
          <w:tcPr>
            <w:tcW w:w="929" w:type="pct"/>
            <w:tcBorders>
              <w:top w:val="single" w:sz="4" w:space="0" w:color="auto"/>
              <w:left w:val="single" w:sz="4" w:space="0" w:color="auto"/>
              <w:bottom w:val="single" w:sz="4" w:space="0" w:color="auto"/>
              <w:right w:val="single" w:sz="4" w:space="0" w:color="auto"/>
            </w:tcBorders>
            <w:hideMark/>
          </w:tcPr>
          <w:p w:rsidR="00B65A3B" w:rsidRPr="006A083B" w:rsidRDefault="006A083B" w:rsidP="00DC5054">
            <w:pPr>
              <w:pStyle w:val="Tablecentre"/>
              <w:keepNext/>
              <w:keepLines/>
              <w:rPr>
                <w:rFonts w:ascii="Arial Narrow" w:hAnsi="Arial Narrow"/>
                <w:highlight w:val="black"/>
              </w:rPr>
            </w:pPr>
            <w:r>
              <w:rPr>
                <w:rFonts w:ascii="Arial Narrow" w:hAnsi="Arial Narrow"/>
                <w:noProof/>
                <w:color w:val="000000"/>
                <w:highlight w:val="black"/>
              </w:rPr>
              <w:t>'''''''' '''''' '''''</w:t>
            </w:r>
          </w:p>
        </w:tc>
        <w:tc>
          <w:tcPr>
            <w:tcW w:w="928" w:type="pct"/>
            <w:tcBorders>
              <w:top w:val="single" w:sz="4" w:space="0" w:color="auto"/>
              <w:left w:val="single" w:sz="4" w:space="0" w:color="auto"/>
              <w:bottom w:val="single" w:sz="4" w:space="0" w:color="auto"/>
              <w:right w:val="single" w:sz="4" w:space="0" w:color="auto"/>
            </w:tcBorders>
            <w:hideMark/>
          </w:tcPr>
          <w:p w:rsidR="00B65A3B" w:rsidRPr="006A083B" w:rsidRDefault="006A083B" w:rsidP="00DC5054">
            <w:pPr>
              <w:pStyle w:val="Tablecentre"/>
              <w:keepNext/>
              <w:keepLines/>
              <w:rPr>
                <w:rFonts w:ascii="Arial Narrow" w:hAnsi="Arial Narrow"/>
                <w:highlight w:val="black"/>
              </w:rPr>
            </w:pPr>
            <w:r>
              <w:rPr>
                <w:rFonts w:ascii="Arial Narrow" w:hAnsi="Arial Narrow"/>
                <w:noProof/>
                <w:color w:val="000000"/>
                <w:highlight w:val="black"/>
              </w:rPr>
              <w:t xml:space="preserve">'''''''''' ''''''''''''' ''''''''''''''''' </w:t>
            </w:r>
          </w:p>
        </w:tc>
      </w:tr>
      <w:tr w:rsidR="00B65A3B" w:rsidRPr="00EC6E05" w:rsidTr="00B65A3B">
        <w:trPr>
          <w:trHeight w:val="244"/>
        </w:trPr>
        <w:tc>
          <w:tcPr>
            <w:tcW w:w="1065" w:type="pct"/>
            <w:tcBorders>
              <w:top w:val="single" w:sz="4" w:space="0" w:color="auto"/>
              <w:left w:val="single" w:sz="4" w:space="0" w:color="auto"/>
              <w:bottom w:val="single" w:sz="4" w:space="0" w:color="auto"/>
              <w:right w:val="single" w:sz="4" w:space="0" w:color="auto"/>
            </w:tcBorders>
            <w:vAlign w:val="center"/>
            <w:hideMark/>
          </w:tcPr>
          <w:p w:rsidR="00B65A3B" w:rsidRPr="00EC6E05" w:rsidRDefault="00B65A3B" w:rsidP="00DC5054">
            <w:pPr>
              <w:pStyle w:val="Tabletext"/>
              <w:keepNext/>
              <w:keepLines/>
              <w:ind w:left="266"/>
              <w:rPr>
                <w:szCs w:val="20"/>
              </w:rPr>
            </w:pPr>
            <w:proofErr w:type="spellStart"/>
            <w:r w:rsidRPr="00EC6E05">
              <w:rPr>
                <w:szCs w:val="20"/>
              </w:rPr>
              <w:t>CheckMate</w:t>
            </w:r>
            <w:proofErr w:type="spellEnd"/>
            <w:r w:rsidRPr="00EC6E05">
              <w:rPr>
                <w:szCs w:val="20"/>
              </w:rPr>
              <w:t xml:space="preserve"> 214</w:t>
            </w:r>
            <w:r w:rsidRPr="00EC6E05">
              <w:rPr>
                <w:szCs w:val="20"/>
                <w:vertAlign w:val="superscript"/>
              </w:rPr>
              <w:t>c</w:t>
            </w:r>
          </w:p>
        </w:tc>
        <w:tc>
          <w:tcPr>
            <w:tcW w:w="593" w:type="pct"/>
            <w:tcBorders>
              <w:top w:val="single" w:sz="4" w:space="0" w:color="auto"/>
              <w:left w:val="single" w:sz="4" w:space="0" w:color="auto"/>
              <w:bottom w:val="single" w:sz="4" w:space="0" w:color="auto"/>
              <w:right w:val="single" w:sz="4" w:space="0" w:color="auto"/>
            </w:tcBorders>
            <w:hideMark/>
          </w:tcPr>
          <w:p w:rsidR="00B65A3B" w:rsidRPr="00EC6E05" w:rsidRDefault="00B65A3B" w:rsidP="00DC5054">
            <w:pPr>
              <w:pStyle w:val="Tablecentre"/>
              <w:keepNext/>
              <w:keepLines/>
              <w:rPr>
                <w:rFonts w:ascii="Arial Narrow" w:hAnsi="Arial Narrow"/>
              </w:rPr>
            </w:pPr>
            <w:r w:rsidRPr="00EC6E05">
              <w:rPr>
                <w:rFonts w:ascii="Arial Narrow" w:hAnsi="Arial Narrow"/>
              </w:rPr>
              <w:t>8 (1.5)</w:t>
            </w:r>
          </w:p>
        </w:tc>
        <w:tc>
          <w:tcPr>
            <w:tcW w:w="556" w:type="pct"/>
            <w:tcBorders>
              <w:top w:val="single" w:sz="4" w:space="0" w:color="auto"/>
              <w:left w:val="single" w:sz="4" w:space="0" w:color="auto"/>
              <w:bottom w:val="single" w:sz="4" w:space="0" w:color="auto"/>
              <w:right w:val="single" w:sz="4" w:space="0" w:color="auto"/>
            </w:tcBorders>
            <w:hideMark/>
          </w:tcPr>
          <w:p w:rsidR="00B65A3B" w:rsidRPr="00EC6E05" w:rsidRDefault="00B65A3B" w:rsidP="00DC5054">
            <w:pPr>
              <w:pStyle w:val="Tablecentre"/>
              <w:keepNext/>
              <w:keepLines/>
              <w:rPr>
                <w:rFonts w:ascii="Arial Narrow" w:hAnsi="Arial Narrow"/>
              </w:rPr>
            </w:pPr>
            <w:r w:rsidRPr="00EC6E05">
              <w:rPr>
                <w:rFonts w:ascii="Arial Narrow" w:hAnsi="Arial Narrow"/>
              </w:rPr>
              <w:t>4 (0.7)</w:t>
            </w:r>
          </w:p>
        </w:tc>
        <w:tc>
          <w:tcPr>
            <w:tcW w:w="929" w:type="pct"/>
            <w:tcBorders>
              <w:top w:val="single" w:sz="4" w:space="0" w:color="auto"/>
              <w:left w:val="single" w:sz="4" w:space="0" w:color="auto"/>
              <w:bottom w:val="single" w:sz="4" w:space="0" w:color="auto"/>
              <w:right w:val="single" w:sz="4" w:space="0" w:color="auto"/>
            </w:tcBorders>
            <w:hideMark/>
          </w:tcPr>
          <w:p w:rsidR="00B65A3B" w:rsidRPr="006A083B" w:rsidRDefault="006A083B" w:rsidP="00DC5054">
            <w:pPr>
              <w:pStyle w:val="Tabletext"/>
              <w:keepNext/>
              <w:keepLines/>
              <w:jc w:val="center"/>
              <w:rPr>
                <w:rFonts w:eastAsiaTheme="minorHAnsi" w:cstheme="minorBidi"/>
                <w:szCs w:val="20"/>
                <w:highlight w:val="black"/>
                <w:lang w:eastAsia="en-US"/>
              </w:rPr>
            </w:pPr>
            <w:r>
              <w:rPr>
                <w:rFonts w:eastAsiaTheme="minorHAnsi" w:cstheme="minorBidi"/>
                <w:noProof/>
                <w:color w:val="000000"/>
                <w:szCs w:val="20"/>
                <w:highlight w:val="black"/>
                <w:lang w:eastAsia="en-US"/>
              </w:rPr>
              <w:t xml:space="preserve">''''''''''' '''''''''''''' ''''''''''' </w:t>
            </w:r>
          </w:p>
        </w:tc>
        <w:tc>
          <w:tcPr>
            <w:tcW w:w="929" w:type="pct"/>
            <w:tcBorders>
              <w:top w:val="single" w:sz="4" w:space="0" w:color="auto"/>
              <w:left w:val="single" w:sz="4" w:space="0" w:color="auto"/>
              <w:bottom w:val="single" w:sz="4" w:space="0" w:color="auto"/>
              <w:right w:val="single" w:sz="4" w:space="0" w:color="auto"/>
            </w:tcBorders>
            <w:hideMark/>
          </w:tcPr>
          <w:p w:rsidR="00B65A3B" w:rsidRPr="006A083B" w:rsidRDefault="006A083B" w:rsidP="00DC5054">
            <w:pPr>
              <w:pStyle w:val="Tabletext"/>
              <w:keepNext/>
              <w:keepLines/>
              <w:jc w:val="center"/>
              <w:rPr>
                <w:rFonts w:eastAsiaTheme="minorHAnsi" w:cstheme="minorBidi"/>
                <w:szCs w:val="20"/>
                <w:highlight w:val="black"/>
                <w:lang w:eastAsia="en-US"/>
              </w:rPr>
            </w:pPr>
            <w:r>
              <w:rPr>
                <w:rFonts w:eastAsiaTheme="minorHAnsi" w:cstheme="minorBidi"/>
                <w:noProof/>
                <w:color w:val="000000"/>
                <w:szCs w:val="20"/>
                <w:highlight w:val="black"/>
                <w:lang w:eastAsia="en-US"/>
              </w:rPr>
              <w:t xml:space="preserve">''''''''' ''''''''' '''''' </w:t>
            </w:r>
          </w:p>
        </w:tc>
        <w:tc>
          <w:tcPr>
            <w:tcW w:w="928" w:type="pct"/>
            <w:tcBorders>
              <w:top w:val="single" w:sz="4" w:space="0" w:color="auto"/>
              <w:left w:val="single" w:sz="4" w:space="0" w:color="auto"/>
              <w:bottom w:val="single" w:sz="4" w:space="0" w:color="auto"/>
              <w:right w:val="single" w:sz="4" w:space="0" w:color="auto"/>
            </w:tcBorders>
            <w:hideMark/>
          </w:tcPr>
          <w:p w:rsidR="00B65A3B" w:rsidRPr="006A083B" w:rsidRDefault="006A083B" w:rsidP="00DC5054">
            <w:pPr>
              <w:pStyle w:val="Tablecentre"/>
              <w:keepNext/>
              <w:keepLines/>
              <w:rPr>
                <w:rFonts w:ascii="Arial Narrow" w:hAnsi="Arial Narrow"/>
                <w:highlight w:val="black"/>
              </w:rPr>
            </w:pPr>
            <w:r>
              <w:rPr>
                <w:rFonts w:ascii="Arial Narrow" w:hAnsi="Arial Narrow"/>
                <w:noProof/>
                <w:color w:val="000000"/>
                <w:highlight w:val="black"/>
              </w:rPr>
              <w:t xml:space="preserve">'''''''''''' '''''''''''' ''''''''''''' </w:t>
            </w:r>
          </w:p>
        </w:tc>
      </w:tr>
      <w:tr w:rsidR="00B65A3B" w:rsidRPr="00EC6E05" w:rsidTr="00B65A3B">
        <w:trPr>
          <w:trHeight w:val="244"/>
        </w:trPr>
        <w:tc>
          <w:tcPr>
            <w:tcW w:w="2214" w:type="pct"/>
            <w:gridSpan w:val="3"/>
            <w:tcBorders>
              <w:top w:val="single" w:sz="4" w:space="0" w:color="auto"/>
              <w:left w:val="single" w:sz="4" w:space="0" w:color="auto"/>
              <w:bottom w:val="single" w:sz="4" w:space="0" w:color="auto"/>
              <w:right w:val="single" w:sz="4" w:space="0" w:color="auto"/>
            </w:tcBorders>
            <w:hideMark/>
          </w:tcPr>
          <w:p w:rsidR="00B65A3B" w:rsidRPr="00EC6E05" w:rsidRDefault="00B65A3B" w:rsidP="00DC5054">
            <w:pPr>
              <w:pStyle w:val="Tabletext"/>
              <w:keepNext/>
              <w:keepLines/>
            </w:pPr>
            <w:r w:rsidRPr="00EC6E05">
              <w:rPr>
                <w:szCs w:val="20"/>
              </w:rPr>
              <w:t>Indirect comparison: AVE + AXI vs NIVO + IPI</w:t>
            </w:r>
          </w:p>
        </w:tc>
        <w:tc>
          <w:tcPr>
            <w:tcW w:w="929" w:type="pct"/>
            <w:tcBorders>
              <w:top w:val="single" w:sz="4" w:space="0" w:color="auto"/>
              <w:left w:val="single" w:sz="4" w:space="0" w:color="auto"/>
              <w:bottom w:val="single" w:sz="4" w:space="0" w:color="auto"/>
              <w:right w:val="single" w:sz="4" w:space="0" w:color="auto"/>
            </w:tcBorders>
            <w:hideMark/>
          </w:tcPr>
          <w:p w:rsidR="00B65A3B" w:rsidRPr="006A083B" w:rsidRDefault="006A083B" w:rsidP="00DC5054">
            <w:pPr>
              <w:pStyle w:val="Tablecentre"/>
              <w:keepNext/>
              <w:keepLines/>
              <w:rPr>
                <w:rFonts w:ascii="Arial Narrow" w:hAnsi="Arial Narrow"/>
                <w:highlight w:val="black"/>
              </w:rPr>
            </w:pPr>
            <w:r>
              <w:rPr>
                <w:rFonts w:ascii="Arial Narrow" w:hAnsi="Arial Narrow"/>
                <w:noProof/>
                <w:color w:val="000000"/>
                <w:highlight w:val="black"/>
              </w:rPr>
              <w:t>'''''''''' ''''''''''''''' '''''''''''''''</w:t>
            </w:r>
          </w:p>
        </w:tc>
        <w:tc>
          <w:tcPr>
            <w:tcW w:w="929" w:type="pct"/>
            <w:tcBorders>
              <w:top w:val="single" w:sz="4" w:space="0" w:color="auto"/>
              <w:left w:val="single" w:sz="4" w:space="0" w:color="auto"/>
              <w:bottom w:val="single" w:sz="4" w:space="0" w:color="auto"/>
              <w:right w:val="single" w:sz="4" w:space="0" w:color="auto"/>
            </w:tcBorders>
            <w:hideMark/>
          </w:tcPr>
          <w:p w:rsidR="00B65A3B" w:rsidRPr="006A083B" w:rsidRDefault="006A083B" w:rsidP="00DC5054">
            <w:pPr>
              <w:pStyle w:val="Tabletext"/>
              <w:keepNext/>
              <w:keepLines/>
              <w:jc w:val="center"/>
              <w:rPr>
                <w:highlight w:val="black"/>
              </w:rPr>
            </w:pPr>
            <w:r>
              <w:rPr>
                <w:noProof/>
                <w:color w:val="000000"/>
                <w:highlight w:val="black"/>
              </w:rPr>
              <w:t>'''''''''''''' '''''</w:t>
            </w:r>
          </w:p>
        </w:tc>
        <w:tc>
          <w:tcPr>
            <w:tcW w:w="928" w:type="pct"/>
            <w:tcBorders>
              <w:top w:val="single" w:sz="4" w:space="0" w:color="auto"/>
              <w:left w:val="single" w:sz="4" w:space="0" w:color="auto"/>
              <w:bottom w:val="single" w:sz="4" w:space="0" w:color="auto"/>
              <w:right w:val="single" w:sz="4" w:space="0" w:color="auto"/>
            </w:tcBorders>
            <w:hideMark/>
          </w:tcPr>
          <w:p w:rsidR="00B65A3B" w:rsidRPr="006A083B" w:rsidRDefault="006A083B" w:rsidP="00DC5054">
            <w:pPr>
              <w:pStyle w:val="Tablecentre"/>
              <w:keepNext/>
              <w:keepLines/>
              <w:rPr>
                <w:rFonts w:ascii="Arial Narrow" w:hAnsi="Arial Narrow"/>
                <w:highlight w:val="black"/>
              </w:rPr>
            </w:pPr>
            <w:r>
              <w:rPr>
                <w:rFonts w:ascii="Arial Narrow" w:hAnsi="Arial Narrow"/>
                <w:noProof/>
                <w:color w:val="000000"/>
                <w:highlight w:val="black"/>
              </w:rPr>
              <w:t>''''''''''' ''''''''''''' ''''''''''''''</w:t>
            </w:r>
          </w:p>
        </w:tc>
      </w:tr>
    </w:tbl>
    <w:p w:rsidR="00B65A3B" w:rsidRPr="00EC6E05" w:rsidRDefault="00B65A3B" w:rsidP="00B65A3B">
      <w:pPr>
        <w:pStyle w:val="Source"/>
        <w:rPr>
          <w:rFonts w:ascii="Arial Narrow" w:hAnsi="Arial Narrow"/>
        </w:rPr>
      </w:pPr>
      <w:r w:rsidRPr="00EC6E05">
        <w:rPr>
          <w:rFonts w:ascii="Arial Narrow" w:hAnsi="Arial Narrow"/>
        </w:rPr>
        <w:t xml:space="preserve">Source: Compiled during the evaluation; Table 2.5-9 p85 of the Submission, Table 2.5-10 p88 of the Submission, Table 2.5-12 p91 of the Submission, Table 2.5-13 p93 of the Submission; Table 2.6-10 pp120-122 of the Submission, Table 2.6-11 pp124-125 of the Submission. </w:t>
      </w:r>
    </w:p>
    <w:p w:rsidR="00B65A3B" w:rsidRPr="00EC6E05" w:rsidRDefault="00B65A3B" w:rsidP="00B65A3B">
      <w:pPr>
        <w:pStyle w:val="Source"/>
        <w:rPr>
          <w:rFonts w:ascii="Arial Narrow" w:hAnsi="Arial Narrow"/>
        </w:rPr>
      </w:pPr>
      <w:r w:rsidRPr="00EC6E05">
        <w:rPr>
          <w:rFonts w:ascii="Arial Narrow" w:hAnsi="Arial Narrow"/>
        </w:rPr>
        <w:t xml:space="preserve">Abbreviations: AE = adverse event; </w:t>
      </w:r>
      <w:r w:rsidR="002E124D">
        <w:rPr>
          <w:rFonts w:ascii="Arial Narrow" w:hAnsi="Arial Narrow"/>
        </w:rPr>
        <w:t>AVE + AXI</w:t>
      </w:r>
      <w:r w:rsidRPr="00EC6E05">
        <w:rPr>
          <w:rFonts w:ascii="Arial Narrow" w:hAnsi="Arial Narrow"/>
        </w:rPr>
        <w:t xml:space="preserve"> = </w:t>
      </w:r>
      <w:proofErr w:type="spellStart"/>
      <w:r w:rsidRPr="00EC6E05">
        <w:rPr>
          <w:rFonts w:ascii="Arial Narrow" w:hAnsi="Arial Narrow"/>
        </w:rPr>
        <w:t>avelumab</w:t>
      </w:r>
      <w:proofErr w:type="spellEnd"/>
      <w:r w:rsidRPr="00EC6E05">
        <w:rPr>
          <w:rFonts w:ascii="Arial Narrow" w:hAnsi="Arial Narrow"/>
        </w:rPr>
        <w:t xml:space="preserve"> + </w:t>
      </w:r>
      <w:proofErr w:type="spellStart"/>
      <w:r w:rsidRPr="00EC6E05">
        <w:rPr>
          <w:rFonts w:ascii="Arial Narrow" w:hAnsi="Arial Narrow"/>
        </w:rPr>
        <w:t>axitinib</w:t>
      </w:r>
      <w:proofErr w:type="spellEnd"/>
      <w:r w:rsidRPr="00EC6E05">
        <w:rPr>
          <w:rFonts w:ascii="Arial Narrow" w:hAnsi="Arial Narrow"/>
        </w:rPr>
        <w:t xml:space="preserve">; CI = confidence interval; IA1 = first interim analysis; </w:t>
      </w:r>
      <w:r w:rsidR="002E124D">
        <w:rPr>
          <w:rFonts w:ascii="Arial Narrow" w:hAnsi="Arial Narrow"/>
        </w:rPr>
        <w:t>NIVO + IPI</w:t>
      </w:r>
      <w:r w:rsidRPr="00EC6E05">
        <w:rPr>
          <w:rFonts w:ascii="Arial Narrow" w:hAnsi="Arial Narrow"/>
        </w:rPr>
        <w:t xml:space="preserve"> = </w:t>
      </w:r>
      <w:proofErr w:type="spellStart"/>
      <w:r w:rsidRPr="00EC6E05">
        <w:rPr>
          <w:rFonts w:ascii="Arial Narrow" w:hAnsi="Arial Narrow"/>
        </w:rPr>
        <w:t>nivolumab</w:t>
      </w:r>
      <w:proofErr w:type="spellEnd"/>
      <w:r w:rsidRPr="00EC6E05">
        <w:rPr>
          <w:rFonts w:ascii="Arial Narrow" w:hAnsi="Arial Narrow"/>
        </w:rPr>
        <w:t xml:space="preserve"> + </w:t>
      </w:r>
      <w:proofErr w:type="spellStart"/>
      <w:r w:rsidRPr="00EC6E05">
        <w:rPr>
          <w:rFonts w:ascii="Arial Narrow" w:hAnsi="Arial Narrow"/>
        </w:rPr>
        <w:t>ipilimumab</w:t>
      </w:r>
      <w:proofErr w:type="spellEnd"/>
      <w:r w:rsidRPr="00EC6E05">
        <w:rPr>
          <w:rFonts w:ascii="Arial Narrow" w:hAnsi="Arial Narrow"/>
        </w:rPr>
        <w:t xml:space="preserve">; SUN = </w:t>
      </w:r>
      <w:proofErr w:type="spellStart"/>
      <w:r w:rsidRPr="00EC6E05">
        <w:rPr>
          <w:rFonts w:ascii="Arial Narrow" w:hAnsi="Arial Narrow"/>
        </w:rPr>
        <w:t>sunitinib</w:t>
      </w:r>
      <w:proofErr w:type="spellEnd"/>
      <w:r w:rsidRPr="00EC6E05">
        <w:rPr>
          <w:rFonts w:ascii="Arial Narrow" w:hAnsi="Arial Narrow"/>
        </w:rPr>
        <w:t>; SAEs = serious adverse event</w:t>
      </w:r>
    </w:p>
    <w:p w:rsidR="00B65A3B" w:rsidRPr="00EC6E05" w:rsidRDefault="00B65A3B" w:rsidP="00B65A3B">
      <w:pPr>
        <w:pStyle w:val="Source"/>
        <w:rPr>
          <w:rFonts w:ascii="Arial Narrow" w:hAnsi="Arial Narrow"/>
        </w:rPr>
      </w:pPr>
      <w:proofErr w:type="gramStart"/>
      <w:r w:rsidRPr="00207EB3">
        <w:rPr>
          <w:rFonts w:ascii="Arial Narrow" w:hAnsi="Arial Narrow"/>
          <w:vertAlign w:val="superscript"/>
        </w:rPr>
        <w:t>a</w:t>
      </w:r>
      <w:proofErr w:type="gramEnd"/>
      <w:r w:rsidRPr="00EC6E05">
        <w:rPr>
          <w:rFonts w:ascii="Arial Narrow" w:hAnsi="Arial Narrow"/>
        </w:rPr>
        <w:t xml:space="preserve"> Submission used </w:t>
      </w:r>
      <w:proofErr w:type="spellStart"/>
      <w:r w:rsidRPr="00EC6E05">
        <w:rPr>
          <w:rFonts w:ascii="Arial Narrow" w:hAnsi="Arial Narrow"/>
        </w:rPr>
        <w:t>RevMan</w:t>
      </w:r>
      <w:proofErr w:type="spellEnd"/>
      <w:r w:rsidRPr="00EC6E05">
        <w:rPr>
          <w:rFonts w:ascii="Arial Narrow" w:hAnsi="Arial Narrow"/>
        </w:rPr>
        <w:t xml:space="preserve"> v5.3 to calculate RR, RD and OR. </w:t>
      </w:r>
    </w:p>
    <w:p w:rsidR="00B65A3B" w:rsidRPr="00EC6E05" w:rsidRDefault="00B65A3B" w:rsidP="00B65A3B">
      <w:pPr>
        <w:pStyle w:val="Source"/>
        <w:rPr>
          <w:rFonts w:ascii="Arial Narrow" w:hAnsi="Arial Narrow"/>
          <w:szCs w:val="18"/>
        </w:rPr>
      </w:pPr>
      <w:proofErr w:type="gramStart"/>
      <w:r w:rsidRPr="00207EB3">
        <w:rPr>
          <w:rFonts w:ascii="Arial Narrow" w:hAnsi="Arial Narrow"/>
          <w:vertAlign w:val="superscript"/>
        </w:rPr>
        <w:t>b</w:t>
      </w:r>
      <w:proofErr w:type="gramEnd"/>
      <w:r w:rsidRPr="00EC6E05">
        <w:rPr>
          <w:rFonts w:ascii="Arial Narrow" w:hAnsi="Arial Narrow"/>
        </w:rPr>
        <w:t xml:space="preserve"> JAVELIN, data-cut off: IA1, 20 June 2018</w:t>
      </w:r>
      <w:r w:rsidRPr="00EC6E05">
        <w:rPr>
          <w:rFonts w:ascii="Arial Narrow" w:hAnsi="Arial Narrow"/>
          <w:szCs w:val="18"/>
        </w:rPr>
        <w:t xml:space="preserve">, minimum duration of follow-up was 6 months (median duration of treatment 8.6 months for </w:t>
      </w:r>
      <w:proofErr w:type="spellStart"/>
      <w:r w:rsidRPr="00EC6E05">
        <w:rPr>
          <w:rFonts w:ascii="Arial Narrow" w:hAnsi="Arial Narrow"/>
          <w:szCs w:val="18"/>
        </w:rPr>
        <w:t>avelumab</w:t>
      </w:r>
      <w:proofErr w:type="spellEnd"/>
      <w:r w:rsidRPr="00EC6E05">
        <w:rPr>
          <w:rFonts w:ascii="Arial Narrow" w:hAnsi="Arial Narrow"/>
          <w:szCs w:val="18"/>
        </w:rPr>
        <w:t xml:space="preserve">, 9.0 months for </w:t>
      </w:r>
      <w:proofErr w:type="spellStart"/>
      <w:r w:rsidRPr="00EC6E05">
        <w:rPr>
          <w:rFonts w:ascii="Arial Narrow" w:hAnsi="Arial Narrow"/>
          <w:szCs w:val="18"/>
        </w:rPr>
        <w:t>axitinib</w:t>
      </w:r>
      <w:proofErr w:type="spellEnd"/>
      <w:r w:rsidRPr="00EC6E05">
        <w:rPr>
          <w:rFonts w:ascii="Arial Narrow" w:hAnsi="Arial Narrow"/>
          <w:szCs w:val="18"/>
        </w:rPr>
        <w:t xml:space="preserve"> and 8.3 months for </w:t>
      </w:r>
      <w:proofErr w:type="spellStart"/>
      <w:r w:rsidRPr="00EC6E05">
        <w:rPr>
          <w:rFonts w:ascii="Arial Narrow" w:hAnsi="Arial Narrow"/>
          <w:szCs w:val="18"/>
        </w:rPr>
        <w:t>sunitinib</w:t>
      </w:r>
      <w:proofErr w:type="spellEnd"/>
      <w:r w:rsidRPr="00EC6E05">
        <w:rPr>
          <w:rFonts w:ascii="Arial Narrow" w:hAnsi="Arial Narrow"/>
          <w:szCs w:val="18"/>
        </w:rPr>
        <w:t xml:space="preserve">) </w:t>
      </w:r>
    </w:p>
    <w:p w:rsidR="00B65A3B" w:rsidRPr="00EC6E05" w:rsidRDefault="00B65A3B" w:rsidP="00B65A3B">
      <w:pPr>
        <w:pStyle w:val="Source"/>
        <w:rPr>
          <w:rFonts w:ascii="Arial Narrow" w:hAnsi="Arial Narrow"/>
          <w:szCs w:val="18"/>
        </w:rPr>
      </w:pPr>
      <w:proofErr w:type="gramStart"/>
      <w:r w:rsidRPr="00207EB3">
        <w:rPr>
          <w:rFonts w:ascii="Arial Narrow" w:hAnsi="Arial Narrow"/>
          <w:szCs w:val="18"/>
          <w:vertAlign w:val="superscript"/>
        </w:rPr>
        <w:t>c</w:t>
      </w:r>
      <w:proofErr w:type="gramEnd"/>
      <w:r w:rsidRPr="00EC6E05">
        <w:rPr>
          <w:rFonts w:ascii="Arial Narrow" w:hAnsi="Arial Narrow"/>
          <w:szCs w:val="18"/>
        </w:rPr>
        <w:t xml:space="preserve"> </w:t>
      </w:r>
      <w:proofErr w:type="spellStart"/>
      <w:r w:rsidRPr="00EC6E05">
        <w:rPr>
          <w:rFonts w:ascii="Arial Narrow" w:hAnsi="Arial Narrow"/>
          <w:szCs w:val="18"/>
        </w:rPr>
        <w:t>CheckMate</w:t>
      </w:r>
      <w:proofErr w:type="spellEnd"/>
      <w:r w:rsidRPr="00EC6E05">
        <w:rPr>
          <w:rFonts w:ascii="Arial Narrow" w:hAnsi="Arial Narrow"/>
          <w:szCs w:val="18"/>
        </w:rPr>
        <w:t> 214 data-cut off: Data cut off was 7 August 2017, minimum duration of follow-up was 17.5 months.</w:t>
      </w:r>
    </w:p>
    <w:p w:rsidR="00EC0F10" w:rsidRPr="00EC6E05" w:rsidRDefault="00EC0F10" w:rsidP="00DC5054">
      <w:pPr>
        <w:spacing w:after="240"/>
        <w:rPr>
          <w:rFonts w:ascii="Arial Narrow" w:hAnsi="Arial Narrow"/>
          <w:sz w:val="18"/>
          <w:szCs w:val="18"/>
        </w:rPr>
      </w:pPr>
      <w:r w:rsidRPr="00EC6E05">
        <w:rPr>
          <w:rFonts w:ascii="Arial Narrow" w:hAnsi="Arial Narrow"/>
          <w:sz w:val="18"/>
          <w:szCs w:val="18"/>
        </w:rPr>
        <w:t>Bold indicates statistical significance.</w:t>
      </w:r>
    </w:p>
    <w:p w:rsidR="00B65A3B" w:rsidRPr="00EC6E05" w:rsidRDefault="00B65A3B" w:rsidP="00BF2EA7">
      <w:pPr>
        <w:pStyle w:val="3-BodyText"/>
        <w:rPr>
          <w:color w:val="0066FF"/>
        </w:rPr>
      </w:pPr>
      <w:r w:rsidRPr="00EC6E05">
        <w:t>The proportion of patients reporting immune-</w:t>
      </w:r>
      <w:r w:rsidR="00E5203D" w:rsidRPr="00EC6E05">
        <w:t>related</w:t>
      </w:r>
      <w:r w:rsidRPr="00EC6E05">
        <w:t xml:space="preserve"> adverse events (</w:t>
      </w:r>
      <w:proofErr w:type="spellStart"/>
      <w:r w:rsidRPr="00EC6E05">
        <w:t>irAEs</w:t>
      </w:r>
      <w:proofErr w:type="spellEnd"/>
      <w:r w:rsidRPr="00EC6E05">
        <w:t xml:space="preserve">) was numerically lower in the AVE + AXI arm compared to the NIVO + IPI arm. The comparison of </w:t>
      </w:r>
      <w:proofErr w:type="spellStart"/>
      <w:r w:rsidRPr="00EC6E05">
        <w:t>i</w:t>
      </w:r>
      <w:r w:rsidR="00DC5054" w:rsidRPr="00EC6E05">
        <w:t>r</w:t>
      </w:r>
      <w:r w:rsidRPr="00EC6E05">
        <w:t>AEs</w:t>
      </w:r>
      <w:proofErr w:type="spellEnd"/>
      <w:r w:rsidRPr="00EC6E05">
        <w:t xml:space="preserve"> </w:t>
      </w:r>
      <w:proofErr w:type="gramStart"/>
      <w:r w:rsidRPr="00EC6E05">
        <w:t xml:space="preserve">was </w:t>
      </w:r>
      <w:r w:rsidR="00D67B9F">
        <w:t>based</w:t>
      </w:r>
      <w:proofErr w:type="gramEnd"/>
      <w:r w:rsidR="00D67B9F">
        <w:t xml:space="preserve"> on </w:t>
      </w:r>
      <w:r w:rsidRPr="00EC6E05">
        <w:t xml:space="preserve">a naïve comparison and the validity of the ITC in terms of clinical implications and statistical significance was inconclusive. Infusion reactions for </w:t>
      </w:r>
      <w:proofErr w:type="spellStart"/>
      <w:r w:rsidRPr="00EC6E05">
        <w:t>avelumab</w:t>
      </w:r>
      <w:proofErr w:type="spellEnd"/>
      <w:r w:rsidRPr="00EC6E05">
        <w:t xml:space="preserve"> were higher than NIVO + IPI (all grades) despite JAVELIN specifying premedication with an antihistamine and paracetamol, whilst no routine premeditation </w:t>
      </w:r>
      <w:proofErr w:type="gramStart"/>
      <w:r w:rsidRPr="00EC6E05">
        <w:t>was administered</w:t>
      </w:r>
      <w:proofErr w:type="gramEnd"/>
      <w:r w:rsidRPr="00EC6E05">
        <w:t xml:space="preserve"> prior to NIVO + IPI.</w:t>
      </w:r>
      <w:bookmarkStart w:id="28" w:name="_Toc22897643"/>
    </w:p>
    <w:p w:rsidR="00B65A3B" w:rsidRPr="00EC6E05" w:rsidRDefault="00B65A3B" w:rsidP="00B65A3B">
      <w:pPr>
        <w:pStyle w:val="4-SubsectionHeading"/>
      </w:pPr>
      <w:bookmarkStart w:id="29" w:name="_Toc30600757"/>
      <w:r w:rsidRPr="00EC6E05">
        <w:t>Benefits/harms</w:t>
      </w:r>
      <w:bookmarkEnd w:id="28"/>
      <w:bookmarkEnd w:id="29"/>
    </w:p>
    <w:p w:rsidR="00B65A3B" w:rsidRPr="00EC6E05" w:rsidRDefault="00B65A3B" w:rsidP="00D67B9F">
      <w:pPr>
        <w:pStyle w:val="ListParagraph"/>
        <w:widowControl w:val="0"/>
        <w:numPr>
          <w:ilvl w:val="1"/>
          <w:numId w:val="1"/>
        </w:numPr>
        <w:spacing w:after="160"/>
        <w:jc w:val="both"/>
      </w:pPr>
      <w:r w:rsidRPr="00EC6E05">
        <w:t xml:space="preserve">A summary of the benefits and harms </w:t>
      </w:r>
      <w:proofErr w:type="gramStart"/>
      <w:r w:rsidRPr="00EC6E05">
        <w:t>was not presented</w:t>
      </w:r>
      <w:proofErr w:type="gramEnd"/>
      <w:r w:rsidRPr="00EC6E05">
        <w:t xml:space="preserve"> given the non-inferiority nature of the claim.</w:t>
      </w:r>
    </w:p>
    <w:p w:rsidR="00B65A3B" w:rsidRPr="00EC6E05" w:rsidRDefault="00B65A3B" w:rsidP="00B65A3B">
      <w:pPr>
        <w:pStyle w:val="4-SubsectionHeading"/>
      </w:pPr>
      <w:bookmarkStart w:id="30" w:name="_Toc22897644"/>
      <w:bookmarkStart w:id="31" w:name="_Toc30600758"/>
      <w:r w:rsidRPr="00EC6E05">
        <w:lastRenderedPageBreak/>
        <w:t>Clinical claim</w:t>
      </w:r>
      <w:bookmarkEnd w:id="30"/>
      <w:bookmarkEnd w:id="31"/>
    </w:p>
    <w:p w:rsidR="00230497" w:rsidRPr="00EC6E05" w:rsidRDefault="00B65A3B" w:rsidP="00BF2EA7">
      <w:pPr>
        <w:pStyle w:val="3-BodyText"/>
        <w:rPr>
          <w:iCs/>
          <w:color w:val="0066FF"/>
        </w:rPr>
      </w:pPr>
      <w:proofErr w:type="gramStart"/>
      <w:r w:rsidRPr="00EC6E05">
        <w:t>On the basis of</w:t>
      </w:r>
      <w:proofErr w:type="gramEnd"/>
      <w:r w:rsidRPr="00EC6E05">
        <w:t xml:space="preserve"> the ITC, the submission claimed that AVE + AXI was non-inferior in terms of efficacy and had a different but non-inferior safety profile compared to NIVO + IPI. </w:t>
      </w:r>
    </w:p>
    <w:p w:rsidR="00EE1C27" w:rsidRPr="00EC6E05" w:rsidRDefault="00230497" w:rsidP="00BF2EA7">
      <w:pPr>
        <w:pStyle w:val="3-BodyText"/>
      </w:pPr>
      <w:r w:rsidRPr="00EC6E05">
        <w:t xml:space="preserve">The overall survival (OS) data for AVE + AXI were immature (28.6% of patients in the AVE + AXI arm and 34.0% in the </w:t>
      </w:r>
      <w:proofErr w:type="spellStart"/>
      <w:r w:rsidRPr="00EC6E05">
        <w:t>sunitinib</w:t>
      </w:r>
      <w:proofErr w:type="spellEnd"/>
      <w:r w:rsidRPr="00EC6E05">
        <w:t xml:space="preserve"> arm had died at the second interim analysis of JAVELIN) and no statistically significant difference in OS was observed versus </w:t>
      </w:r>
      <w:proofErr w:type="spellStart"/>
      <w:r w:rsidRPr="00EC6E05">
        <w:t>sunitinib</w:t>
      </w:r>
      <w:proofErr w:type="spellEnd"/>
      <w:r w:rsidRPr="00EC6E05">
        <w:t xml:space="preserve"> (in the JAVELIN trial). This was in contrast to the statistically significant OS gains reported for NIVO + IPI versus </w:t>
      </w:r>
      <w:proofErr w:type="spellStart"/>
      <w:r w:rsidRPr="00EC6E05">
        <w:t>sunitinib</w:t>
      </w:r>
      <w:proofErr w:type="spellEnd"/>
      <w:r w:rsidRPr="00EC6E05">
        <w:t xml:space="preserve"> (in the </w:t>
      </w:r>
      <w:proofErr w:type="spellStart"/>
      <w:r w:rsidRPr="00EC6E05">
        <w:t>CheckMate</w:t>
      </w:r>
      <w:proofErr w:type="spellEnd"/>
      <w:r w:rsidRPr="00EC6E05">
        <w:t xml:space="preserve"> 214 trial). The PBAC previously accepted the claim of clinical superiority of NIVO + IPI versus </w:t>
      </w:r>
      <w:proofErr w:type="spellStart"/>
      <w:r w:rsidRPr="00EC6E05">
        <w:t>sunitinib</w:t>
      </w:r>
      <w:proofErr w:type="spellEnd"/>
      <w:r w:rsidRPr="00EC6E05">
        <w:t xml:space="preserve"> </w:t>
      </w:r>
      <w:proofErr w:type="gramStart"/>
      <w:r w:rsidRPr="00EC6E05">
        <w:t>on the basis of</w:t>
      </w:r>
      <w:proofErr w:type="gramEnd"/>
      <w:r w:rsidRPr="00EC6E05">
        <w:t xml:space="preserve"> the statistically significant improvement in OS observed in </w:t>
      </w:r>
      <w:proofErr w:type="spellStart"/>
      <w:r w:rsidRPr="00EC6E05">
        <w:t>CheckMate</w:t>
      </w:r>
      <w:proofErr w:type="spellEnd"/>
      <w:r w:rsidRPr="00EC6E05">
        <w:t xml:space="preserve"> 214 (para 6.8, </w:t>
      </w:r>
      <w:proofErr w:type="spellStart"/>
      <w:r w:rsidRPr="00EC6E05">
        <w:t>nivolumab</w:t>
      </w:r>
      <w:proofErr w:type="spellEnd"/>
      <w:r w:rsidRPr="00EC6E05">
        <w:t xml:space="preserve"> and </w:t>
      </w:r>
      <w:proofErr w:type="spellStart"/>
      <w:r w:rsidRPr="00EC6E05">
        <w:t>ipilimumab</w:t>
      </w:r>
      <w:proofErr w:type="spellEnd"/>
      <w:r w:rsidRPr="00EC6E05">
        <w:t>, November 2018 PBAC meeting). Further, t</w:t>
      </w:r>
      <w:r w:rsidR="00B65A3B" w:rsidRPr="00EC6E05">
        <w:t>he</w:t>
      </w:r>
      <w:r w:rsidR="00711EFA">
        <w:t xml:space="preserve"> ITC </w:t>
      </w:r>
      <w:proofErr w:type="gramStart"/>
      <w:r w:rsidR="00711EFA">
        <w:t>was limited</w:t>
      </w:r>
      <w:proofErr w:type="gramEnd"/>
      <w:r w:rsidR="00711EFA">
        <w:t xml:space="preserve"> by</w:t>
      </w:r>
      <w:r w:rsidR="00B65A3B" w:rsidRPr="00EC6E05">
        <w:t xml:space="preserve"> transitivity issues </w:t>
      </w:r>
      <w:r w:rsidRPr="00EC6E05">
        <w:t xml:space="preserve">between JAVELIN and </w:t>
      </w:r>
      <w:proofErr w:type="spellStart"/>
      <w:r w:rsidRPr="00EC6E05">
        <w:t>CheckMate</w:t>
      </w:r>
      <w:proofErr w:type="spellEnd"/>
      <w:r w:rsidRPr="00EC6E05">
        <w:t xml:space="preserve"> 214</w:t>
      </w:r>
      <w:r w:rsidR="00B65A3B" w:rsidRPr="00EC6E05">
        <w:t xml:space="preserve"> notably due to differences in study follow-up, post-progression treatment</w:t>
      </w:r>
      <w:r w:rsidR="00BF59D8">
        <w:t>,</w:t>
      </w:r>
      <w:r w:rsidR="00B65A3B" w:rsidRPr="00EC6E05">
        <w:t xml:space="preserve"> and baseline disease characteristics with respect to CNS penetration of disease and PD-L1 expression.</w:t>
      </w:r>
      <w:r w:rsidR="00444B9F" w:rsidRPr="00EC6E05">
        <w:t xml:space="preserve"> </w:t>
      </w:r>
    </w:p>
    <w:p w:rsidR="00B65A3B" w:rsidRPr="00EC6E05" w:rsidRDefault="00EE1C27" w:rsidP="00BF2EA7">
      <w:pPr>
        <w:pStyle w:val="3-BodyText"/>
      </w:pPr>
      <w:r w:rsidRPr="00EC6E05">
        <w:t xml:space="preserve">While the PFS HR for the indirect comparison (in the intermediate to poor risk subgroups) was </w:t>
      </w:r>
      <w:r w:rsidR="006A083B">
        <w:rPr>
          <w:noProof/>
          <w:color w:val="000000"/>
          <w:highlight w:val="black"/>
        </w:rPr>
        <w:t>''''''''' ''''''''''' '''''' '''''''''' '''''''''''</w:t>
      </w:r>
      <w:r w:rsidRPr="00EC6E05">
        <w:t>, a non-inferiority margin was not proposed</w:t>
      </w:r>
      <w:r w:rsidR="00395EA7">
        <w:t>,</w:t>
      </w:r>
      <w:r w:rsidRPr="00EC6E05">
        <w:t xml:space="preserve"> and PFS may not be a reliable measure of the clinical effectiveness of immunotherapies as tumour responses can occur after conventional RECIST-defined progressive disease (i.e. the tumour flare effect).</w:t>
      </w:r>
    </w:p>
    <w:p w:rsidR="00B65A3B" w:rsidRPr="00EC6E05" w:rsidRDefault="00AA3393" w:rsidP="00904A0F">
      <w:pPr>
        <w:pStyle w:val="3-BodyText"/>
      </w:pPr>
      <w:r w:rsidRPr="00EC6E05">
        <w:t xml:space="preserve">The submission included an ‘informal’ request for the PBAC </w:t>
      </w:r>
      <w:proofErr w:type="gramStart"/>
      <w:r w:rsidRPr="00EC6E05">
        <w:t>to also consider</w:t>
      </w:r>
      <w:proofErr w:type="gramEnd"/>
      <w:r w:rsidRPr="00EC6E05">
        <w:t xml:space="preserve"> listing AVE + AXI in favourable risk patients (who are estimated to represent 24% of the population)</w:t>
      </w:r>
      <w:r w:rsidR="00B65A3B" w:rsidRPr="00EC6E05">
        <w:t xml:space="preserve">. </w:t>
      </w:r>
      <w:r w:rsidR="00B65A3B" w:rsidRPr="00EC6E05">
        <w:rPr>
          <w:iCs/>
        </w:rPr>
        <w:t xml:space="preserve">Although monotherapy with </w:t>
      </w:r>
      <w:proofErr w:type="spellStart"/>
      <w:r w:rsidR="00B65A3B" w:rsidRPr="00EC6E05">
        <w:rPr>
          <w:iCs/>
        </w:rPr>
        <w:t>sunitinib</w:t>
      </w:r>
      <w:proofErr w:type="spellEnd"/>
      <w:r w:rsidR="00B65A3B" w:rsidRPr="00EC6E05">
        <w:rPr>
          <w:iCs/>
        </w:rPr>
        <w:t xml:space="preserve"> and </w:t>
      </w:r>
      <w:proofErr w:type="spellStart"/>
      <w:r w:rsidR="00B65A3B" w:rsidRPr="00EC6E05">
        <w:rPr>
          <w:iCs/>
        </w:rPr>
        <w:t>pazopanib</w:t>
      </w:r>
      <w:proofErr w:type="spellEnd"/>
      <w:r w:rsidR="00B65A3B" w:rsidRPr="00EC6E05">
        <w:rPr>
          <w:iCs/>
        </w:rPr>
        <w:t xml:space="preserve"> </w:t>
      </w:r>
      <w:proofErr w:type="gramStart"/>
      <w:r w:rsidR="00B65A3B" w:rsidRPr="00EC6E05">
        <w:rPr>
          <w:iCs/>
        </w:rPr>
        <w:t>are used</w:t>
      </w:r>
      <w:proofErr w:type="gramEnd"/>
      <w:r w:rsidR="00B65A3B" w:rsidRPr="00EC6E05">
        <w:rPr>
          <w:iCs/>
        </w:rPr>
        <w:t xml:space="preserve"> in first line treatment for patients with a favourable IMDC risk profile, the submission did not nominate </w:t>
      </w:r>
      <w:proofErr w:type="spellStart"/>
      <w:r w:rsidR="00B65A3B" w:rsidRPr="00EC6E05">
        <w:rPr>
          <w:iCs/>
        </w:rPr>
        <w:t>sunitinib</w:t>
      </w:r>
      <w:proofErr w:type="spellEnd"/>
      <w:r w:rsidR="00B65A3B" w:rsidRPr="00EC6E05">
        <w:rPr>
          <w:iCs/>
        </w:rPr>
        <w:t xml:space="preserve"> or </w:t>
      </w:r>
      <w:proofErr w:type="spellStart"/>
      <w:r w:rsidR="00B65A3B" w:rsidRPr="00EC6E05">
        <w:rPr>
          <w:iCs/>
        </w:rPr>
        <w:t>pazopanib</w:t>
      </w:r>
      <w:proofErr w:type="spellEnd"/>
      <w:r w:rsidR="00B65A3B" w:rsidRPr="00EC6E05">
        <w:rPr>
          <w:iCs/>
        </w:rPr>
        <w:t xml:space="preserve"> as comparator</w:t>
      </w:r>
      <w:r w:rsidR="00EC0F10" w:rsidRPr="00EC6E05">
        <w:rPr>
          <w:iCs/>
        </w:rPr>
        <w:t>s</w:t>
      </w:r>
      <w:r w:rsidR="00B65A3B" w:rsidRPr="00EC6E05">
        <w:rPr>
          <w:iCs/>
        </w:rPr>
        <w:t xml:space="preserve"> and did not make a clinical claim for comparative efficacy or safety for either of these treatments. </w:t>
      </w:r>
      <w:r w:rsidRPr="00EC6E05">
        <w:rPr>
          <w:iCs/>
        </w:rPr>
        <w:t>T</w:t>
      </w:r>
      <w:r w:rsidR="00B65A3B" w:rsidRPr="00EC6E05">
        <w:rPr>
          <w:iCs/>
        </w:rPr>
        <w:t xml:space="preserve">he results from JAVELIN would support the superiority of AVE + AXI over </w:t>
      </w:r>
      <w:proofErr w:type="spellStart"/>
      <w:r w:rsidR="00B65A3B" w:rsidRPr="00EC6E05">
        <w:rPr>
          <w:iCs/>
        </w:rPr>
        <w:t>sunitinib</w:t>
      </w:r>
      <w:proofErr w:type="spellEnd"/>
      <w:r w:rsidR="00B65A3B" w:rsidRPr="00EC6E05">
        <w:rPr>
          <w:iCs/>
        </w:rPr>
        <w:t xml:space="preserve"> in that subgroup of patients</w:t>
      </w:r>
      <w:r w:rsidRPr="00EC6E05">
        <w:rPr>
          <w:iCs/>
        </w:rPr>
        <w:t>, however as shown in Figure</w:t>
      </w:r>
      <w:r w:rsidRPr="00904A0F">
        <w:rPr>
          <w:iCs/>
        </w:rPr>
        <w:t xml:space="preserve"> 6(B), the OS results are immature in the favourable risk group (with </w:t>
      </w:r>
      <w:proofErr w:type="gramStart"/>
      <w:r w:rsidR="006A083B">
        <w:rPr>
          <w:iCs/>
          <w:noProof/>
          <w:color w:val="000000"/>
          <w:highlight w:val="black"/>
        </w:rPr>
        <w:t>''''''''</w:t>
      </w:r>
      <w:r w:rsidRPr="00904A0F">
        <w:rPr>
          <w:iCs/>
        </w:rPr>
        <w:t>%</w:t>
      </w:r>
      <w:proofErr w:type="gramEnd"/>
      <w:r w:rsidRPr="00904A0F">
        <w:rPr>
          <w:iCs/>
        </w:rPr>
        <w:t xml:space="preserve"> of patients in the </w:t>
      </w:r>
      <w:proofErr w:type="spellStart"/>
      <w:r w:rsidRPr="00904A0F">
        <w:rPr>
          <w:iCs/>
        </w:rPr>
        <w:t>sunitinib</w:t>
      </w:r>
      <w:proofErr w:type="spellEnd"/>
      <w:r w:rsidRPr="00904A0F">
        <w:rPr>
          <w:iCs/>
        </w:rPr>
        <w:t xml:space="preserve"> arm having died at the data-cut presented).</w:t>
      </w:r>
    </w:p>
    <w:p w:rsidR="008E1AD5" w:rsidRPr="00EC6E05" w:rsidRDefault="008E1AD5" w:rsidP="009232B1">
      <w:pPr>
        <w:pStyle w:val="3-BodyText"/>
      </w:pPr>
      <w:r w:rsidRPr="00EC6E05">
        <w:t xml:space="preserve">The PBAC considered that the claim of </w:t>
      </w:r>
      <w:r w:rsidR="005C1DFE">
        <w:t xml:space="preserve">non-inferior comparative effectiveness </w:t>
      </w:r>
      <w:r w:rsidR="00DE1A2E">
        <w:t xml:space="preserve">of AVE + AXI versus NIVO +IPI </w:t>
      </w:r>
      <w:r w:rsidR="005C1DFE">
        <w:t>was</w:t>
      </w:r>
      <w:r w:rsidRPr="00EC6E05">
        <w:t xml:space="preserve"> not adequately supported by the data</w:t>
      </w:r>
      <w:r w:rsidR="005C1DFE">
        <w:t>, given</w:t>
      </w:r>
      <w:r w:rsidR="009232B1">
        <w:t xml:space="preserve"> the</w:t>
      </w:r>
      <w:r w:rsidR="005C1DFE">
        <w:t xml:space="preserve"> </w:t>
      </w:r>
      <w:r w:rsidR="009232B1" w:rsidRPr="009232B1">
        <w:t xml:space="preserve">difference in OS </w:t>
      </w:r>
      <w:r w:rsidR="00DE1A2E">
        <w:t xml:space="preserve">for AVE + AXI </w:t>
      </w:r>
      <w:r w:rsidR="009232B1" w:rsidRPr="009232B1">
        <w:t xml:space="preserve">versus </w:t>
      </w:r>
      <w:proofErr w:type="spellStart"/>
      <w:r w:rsidR="009232B1" w:rsidRPr="009232B1">
        <w:t>sunitinib</w:t>
      </w:r>
      <w:proofErr w:type="spellEnd"/>
      <w:r w:rsidR="009232B1" w:rsidRPr="009232B1">
        <w:t xml:space="preserve"> was not statistically significant (in the JAVELIN trial</w:t>
      </w:r>
      <w:r w:rsidR="00F87368">
        <w:t>)</w:t>
      </w:r>
      <w:r w:rsidR="00DE1A2E">
        <w:t xml:space="preserve">, while NIVO +IPI had demonstrated a statistically significant improvement in OS versus </w:t>
      </w:r>
      <w:proofErr w:type="spellStart"/>
      <w:r w:rsidR="00DE1A2E">
        <w:t>sunitinib</w:t>
      </w:r>
      <w:proofErr w:type="spellEnd"/>
      <w:r w:rsidR="00DE1A2E">
        <w:t xml:space="preserve"> (in the </w:t>
      </w:r>
      <w:proofErr w:type="spellStart"/>
      <w:r w:rsidR="00DE1A2E" w:rsidRPr="00EC6E05">
        <w:t>CheckMate</w:t>
      </w:r>
      <w:proofErr w:type="spellEnd"/>
      <w:r w:rsidR="00DE1A2E" w:rsidRPr="00EC6E05">
        <w:t xml:space="preserve"> 214</w:t>
      </w:r>
      <w:r w:rsidR="00DE1A2E">
        <w:t xml:space="preserve"> trial)</w:t>
      </w:r>
      <w:r w:rsidRPr="00EC6E05">
        <w:t>.</w:t>
      </w:r>
    </w:p>
    <w:p w:rsidR="008E1AD5" w:rsidRPr="00EC6E05" w:rsidRDefault="008E1AD5" w:rsidP="009232B1">
      <w:pPr>
        <w:pStyle w:val="3-BodyText"/>
      </w:pPr>
      <w:r w:rsidRPr="00EC6E05">
        <w:t xml:space="preserve">The PBAC considered that the claim of </w:t>
      </w:r>
      <w:r w:rsidR="009232B1" w:rsidRPr="009232B1">
        <w:t xml:space="preserve">different but non-inferior safety </w:t>
      </w:r>
      <w:r w:rsidR="009232B1">
        <w:t>was reasonable</w:t>
      </w:r>
      <w:r w:rsidRPr="00EC6E05">
        <w:t>.</w:t>
      </w:r>
    </w:p>
    <w:p w:rsidR="00B65A3B" w:rsidRPr="00EC6E05" w:rsidRDefault="00B65A3B" w:rsidP="00B65A3B">
      <w:pPr>
        <w:pStyle w:val="4-SubsectionHeading"/>
      </w:pPr>
      <w:bookmarkStart w:id="32" w:name="_Toc22897645"/>
      <w:bookmarkStart w:id="33" w:name="_Toc30600759"/>
      <w:r w:rsidRPr="00EC6E05">
        <w:t>Economic analysis</w:t>
      </w:r>
      <w:bookmarkEnd w:id="32"/>
      <w:bookmarkEnd w:id="33"/>
      <w:r w:rsidRPr="00EC6E05">
        <w:t xml:space="preserve"> </w:t>
      </w:r>
    </w:p>
    <w:p w:rsidR="00B65A3B" w:rsidRPr="00EC6E05" w:rsidRDefault="00B65A3B" w:rsidP="00BF2EA7">
      <w:pPr>
        <w:pStyle w:val="3-BodyText"/>
      </w:pPr>
      <w:r w:rsidRPr="00EC6E05">
        <w:rPr>
          <w:iCs/>
        </w:rPr>
        <w:t xml:space="preserve">A </w:t>
      </w:r>
      <w:r w:rsidRPr="00EC6E05">
        <w:t xml:space="preserve">cost-minimisation analysis (CMA) comparing AVE + AXI with NIVO + IPI </w:t>
      </w:r>
      <w:proofErr w:type="gramStart"/>
      <w:r w:rsidRPr="00EC6E05">
        <w:t>was presented</w:t>
      </w:r>
      <w:proofErr w:type="gramEnd"/>
      <w:r w:rsidRPr="00EC6E05">
        <w:t xml:space="preserve"> by the submission. NIVO + IPI is only PBS listed for patients with an IMDC </w:t>
      </w:r>
      <w:r w:rsidRPr="00EC6E05">
        <w:lastRenderedPageBreak/>
        <w:t>prognostic risk of intermediate to poor. Other treatments that are PBS listed</w:t>
      </w:r>
      <w:r w:rsidR="00D062B3" w:rsidRPr="00EC6E05">
        <w:t xml:space="preserve"> and more suitable</w:t>
      </w:r>
      <w:r w:rsidR="00852A05" w:rsidRPr="00EC6E05">
        <w:t xml:space="preserve"> as </w:t>
      </w:r>
      <w:r w:rsidR="00D062B3" w:rsidRPr="00EC6E05">
        <w:t>comparator</w:t>
      </w:r>
      <w:r w:rsidR="00204D13" w:rsidRPr="00EC6E05">
        <w:t>s</w:t>
      </w:r>
      <w:r w:rsidRPr="00EC6E05">
        <w:t xml:space="preserve"> for patients with a favourable risk profile are the TKIs, </w:t>
      </w:r>
      <w:proofErr w:type="spellStart"/>
      <w:r w:rsidRPr="00EC6E05">
        <w:t>sunitinib</w:t>
      </w:r>
      <w:proofErr w:type="spellEnd"/>
      <w:r w:rsidRPr="00EC6E05">
        <w:t xml:space="preserve"> and </w:t>
      </w:r>
      <w:proofErr w:type="spellStart"/>
      <w:r w:rsidRPr="00EC6E05">
        <w:t>pazopanib</w:t>
      </w:r>
      <w:proofErr w:type="spellEnd"/>
      <w:r w:rsidRPr="00EC6E05">
        <w:t xml:space="preserve">, each as monotherapy. As such the CMA is only informative for patients with intermediate to poor risk disease. </w:t>
      </w:r>
    </w:p>
    <w:p w:rsidR="008C73FC" w:rsidRPr="00EC6E05" w:rsidRDefault="00B65A3B" w:rsidP="00BF2EA7">
      <w:pPr>
        <w:pStyle w:val="3-BodyText"/>
      </w:pPr>
      <w:r w:rsidRPr="00EC6E05">
        <w:t xml:space="preserve">The </w:t>
      </w:r>
      <w:r w:rsidR="00EB1B33" w:rsidRPr="00EC6E05">
        <w:t xml:space="preserve">submission estimated the </w:t>
      </w:r>
      <w:proofErr w:type="spellStart"/>
      <w:r w:rsidRPr="00EC6E05">
        <w:t>equi</w:t>
      </w:r>
      <w:proofErr w:type="spellEnd"/>
      <w:r w:rsidRPr="00EC6E05">
        <w:t>-effective doses</w:t>
      </w:r>
      <w:r w:rsidR="00EB1B33" w:rsidRPr="00EC6E05">
        <w:t xml:space="preserve"> a</w:t>
      </w:r>
      <w:r w:rsidR="00B73800" w:rsidRPr="00EC6E05">
        <w:t>s</w:t>
      </w:r>
      <w:r w:rsidR="008C73FC" w:rsidRPr="00EC6E05">
        <w:t>:</w:t>
      </w:r>
    </w:p>
    <w:p w:rsidR="008C73FC" w:rsidRPr="00EC6E05" w:rsidRDefault="00B65A3B" w:rsidP="00484B6B">
      <w:pPr>
        <w:pStyle w:val="3-BodyText"/>
        <w:numPr>
          <w:ilvl w:val="0"/>
          <w:numId w:val="10"/>
        </w:numPr>
        <w:ind w:left="1077" w:hanging="357"/>
      </w:pPr>
      <w:proofErr w:type="spellStart"/>
      <w:r w:rsidRPr="00EC6E05">
        <w:t>avelumab</w:t>
      </w:r>
      <w:proofErr w:type="spellEnd"/>
      <w:r w:rsidRPr="00EC6E05">
        <w:t xml:space="preserve"> 800 mg Q2W plus </w:t>
      </w:r>
      <w:proofErr w:type="spellStart"/>
      <w:r w:rsidRPr="00EC6E05">
        <w:t>axitinib</w:t>
      </w:r>
      <w:proofErr w:type="spellEnd"/>
      <w:r w:rsidRPr="00EC6E05">
        <w:t xml:space="preserve"> 5 mg BID</w:t>
      </w:r>
      <w:r w:rsidR="004E1B19" w:rsidRPr="00EC6E05">
        <w:t>;</w:t>
      </w:r>
      <w:r w:rsidRPr="00EC6E05">
        <w:t xml:space="preserve"> and </w:t>
      </w:r>
    </w:p>
    <w:p w:rsidR="008C73FC" w:rsidRPr="00EC6E05" w:rsidRDefault="00B65A3B" w:rsidP="00484B6B">
      <w:pPr>
        <w:pStyle w:val="3-BodyText"/>
        <w:numPr>
          <w:ilvl w:val="0"/>
          <w:numId w:val="10"/>
        </w:numPr>
        <w:ind w:left="1077" w:hanging="357"/>
      </w:pPr>
      <w:proofErr w:type="spellStart"/>
      <w:proofErr w:type="gramStart"/>
      <w:r w:rsidRPr="00EC6E05">
        <w:t>nivolumab</w:t>
      </w:r>
      <w:proofErr w:type="spellEnd"/>
      <w:proofErr w:type="gramEnd"/>
      <w:r w:rsidRPr="00EC6E05">
        <w:t xml:space="preserve"> 3 mg/kg plus </w:t>
      </w:r>
      <w:proofErr w:type="spellStart"/>
      <w:r w:rsidRPr="00EC6E05">
        <w:t>ipilimumab</w:t>
      </w:r>
      <w:proofErr w:type="spellEnd"/>
      <w:r w:rsidRPr="00EC6E05">
        <w:t xml:space="preserve"> 1 mg/kg for four treatments, followed by </w:t>
      </w:r>
      <w:proofErr w:type="spellStart"/>
      <w:r w:rsidRPr="00EC6E05">
        <w:t>nivolumab</w:t>
      </w:r>
      <w:proofErr w:type="spellEnd"/>
      <w:r w:rsidRPr="00EC6E05">
        <w:t xml:space="preserve"> monotherapy (3 mg/kg Q2W or 240 mg Q2W or 480 mg Q4W). </w:t>
      </w:r>
    </w:p>
    <w:p w:rsidR="00B65A3B" w:rsidRPr="00EC6E05" w:rsidRDefault="00B65A3B" w:rsidP="00BF2EA7">
      <w:pPr>
        <w:pStyle w:val="3-BodyText"/>
        <w:numPr>
          <w:ilvl w:val="0"/>
          <w:numId w:val="0"/>
        </w:numPr>
        <w:ind w:left="720"/>
        <w:rPr>
          <w:iCs/>
        </w:rPr>
      </w:pPr>
      <w:r w:rsidRPr="00EC6E05">
        <w:t xml:space="preserve">The dosage regimens for each treatment </w:t>
      </w:r>
      <w:proofErr w:type="gramStart"/>
      <w:r w:rsidRPr="00EC6E05">
        <w:t>were based</w:t>
      </w:r>
      <w:proofErr w:type="gramEnd"/>
      <w:r w:rsidRPr="00EC6E05">
        <w:t xml:space="preserve"> on the recommended dosage in the draft PI of </w:t>
      </w:r>
      <w:proofErr w:type="spellStart"/>
      <w:r w:rsidRPr="00EC6E05">
        <w:t>avelumab</w:t>
      </w:r>
      <w:proofErr w:type="spellEnd"/>
      <w:r w:rsidRPr="00EC6E05">
        <w:t xml:space="preserve">, and the PIs of </w:t>
      </w:r>
      <w:proofErr w:type="spellStart"/>
      <w:r w:rsidRPr="00EC6E05">
        <w:t>nivolumab</w:t>
      </w:r>
      <w:proofErr w:type="spellEnd"/>
      <w:r w:rsidRPr="00EC6E05">
        <w:t xml:space="preserve"> and </w:t>
      </w:r>
      <w:proofErr w:type="spellStart"/>
      <w:r w:rsidRPr="00EC6E05">
        <w:t>ipilimumab</w:t>
      </w:r>
      <w:proofErr w:type="spellEnd"/>
      <w:r w:rsidRPr="00EC6E05">
        <w:t>.</w:t>
      </w:r>
      <w:r w:rsidR="00E93795" w:rsidRPr="00EC6E05">
        <w:t xml:space="preserve"> </w:t>
      </w:r>
    </w:p>
    <w:p w:rsidR="00635BF9" w:rsidRPr="00EC6E05" w:rsidRDefault="00EE1C27" w:rsidP="00BF2EA7">
      <w:pPr>
        <w:pStyle w:val="3-BodyText"/>
      </w:pPr>
      <w:r w:rsidRPr="00EC6E05">
        <w:t>T</w:t>
      </w:r>
      <w:r w:rsidR="00B65A3B" w:rsidRPr="00EC6E05">
        <w:t xml:space="preserve">he submission assumed </w:t>
      </w:r>
      <w:r w:rsidR="00B73800" w:rsidRPr="00EC6E05">
        <w:t xml:space="preserve">that both regimens would have the same average </w:t>
      </w:r>
      <w:r w:rsidR="00B65A3B" w:rsidRPr="00EC6E05">
        <w:t xml:space="preserve">duration of treatment </w:t>
      </w:r>
      <w:r w:rsidR="00B73800" w:rsidRPr="00EC6E05">
        <w:t>(</w:t>
      </w:r>
      <w:r w:rsidR="006A083B">
        <w:rPr>
          <w:noProof/>
          <w:color w:val="000000"/>
          <w:highlight w:val="black"/>
        </w:rPr>
        <w:t>''''''''</w:t>
      </w:r>
      <w:r w:rsidR="00B73800" w:rsidRPr="00EC6E05">
        <w:t xml:space="preserve"> months), which was based on extrapolated PFS for AVE + AXI from the JAVELIN trial</w:t>
      </w:r>
      <w:r w:rsidR="00B65A3B" w:rsidRPr="00EC6E05">
        <w:t xml:space="preserve">. </w:t>
      </w:r>
      <w:r w:rsidR="00B65A3B" w:rsidRPr="00EC6E05">
        <w:rPr>
          <w:iCs/>
        </w:rPr>
        <w:t xml:space="preserve">PFS is a surrogate outcome and </w:t>
      </w:r>
      <w:r w:rsidR="00B65A3B" w:rsidRPr="00EC6E05">
        <w:t xml:space="preserve">extrapolation of </w:t>
      </w:r>
      <w:r w:rsidR="00DF47E9" w:rsidRPr="00EC6E05">
        <w:t>PFS</w:t>
      </w:r>
      <w:r w:rsidR="00B65A3B" w:rsidRPr="00EC6E05">
        <w:t xml:space="preserve"> may not be </w:t>
      </w:r>
      <w:r w:rsidR="008C73FC" w:rsidRPr="00EC6E05">
        <w:t xml:space="preserve">a </w:t>
      </w:r>
      <w:r w:rsidR="00B65A3B" w:rsidRPr="00EC6E05">
        <w:t xml:space="preserve">reliable basis upon which to estimate treatment exposure. </w:t>
      </w:r>
      <w:r w:rsidR="00B65A3B" w:rsidRPr="00EC6E05">
        <w:rPr>
          <w:iCs/>
        </w:rPr>
        <w:t xml:space="preserve">The </w:t>
      </w:r>
      <w:r w:rsidR="00CA04DC" w:rsidRPr="00EC6E05">
        <w:rPr>
          <w:iCs/>
        </w:rPr>
        <w:t xml:space="preserve">evaluation considered that the </w:t>
      </w:r>
      <w:r w:rsidR="00B65A3B" w:rsidRPr="00EC6E05">
        <w:rPr>
          <w:iCs/>
        </w:rPr>
        <w:t xml:space="preserve">main issue with this assumption is that </w:t>
      </w:r>
      <w:r w:rsidR="00B65A3B" w:rsidRPr="00EC6E05">
        <w:t xml:space="preserve">this approach </w:t>
      </w:r>
      <w:proofErr w:type="gramStart"/>
      <w:r w:rsidR="00B65A3B" w:rsidRPr="00EC6E05">
        <w:t>is confounded</w:t>
      </w:r>
      <w:proofErr w:type="gramEnd"/>
      <w:r w:rsidR="00B65A3B" w:rsidRPr="00EC6E05">
        <w:t xml:space="preserve"> by differences in the duration of follow-up and study design where treatment switching was permitted in </w:t>
      </w:r>
      <w:proofErr w:type="spellStart"/>
      <w:r w:rsidR="00B65A3B" w:rsidRPr="00EC6E05">
        <w:t>CheckMate</w:t>
      </w:r>
      <w:proofErr w:type="spellEnd"/>
      <w:r w:rsidR="00B65A3B" w:rsidRPr="00EC6E05">
        <w:t> 214</w:t>
      </w:r>
      <w:r w:rsidR="00B50610" w:rsidRPr="00EC6E05">
        <w:t xml:space="preserve"> prior to disease progression</w:t>
      </w:r>
      <w:r w:rsidRPr="00EC6E05">
        <w:rPr>
          <w:rStyle w:val="FootnoteReference"/>
        </w:rPr>
        <w:footnoteReference w:id="3"/>
      </w:r>
      <w:r w:rsidR="00B65A3B" w:rsidRPr="00EC6E05">
        <w:t xml:space="preserve">. The </w:t>
      </w:r>
      <w:r w:rsidR="00141D99" w:rsidRPr="00EC6E05">
        <w:t xml:space="preserve">ESC </w:t>
      </w:r>
      <w:r w:rsidR="00B65A3B" w:rsidRPr="00EC6E05">
        <w:t>and PBAC have previously state</w:t>
      </w:r>
      <w:r w:rsidR="008D5794" w:rsidRPr="00EC6E05">
        <w:t>d</w:t>
      </w:r>
      <w:r w:rsidR="00B65A3B" w:rsidRPr="00EC6E05">
        <w:t xml:space="preserve"> that cost-minimisation </w:t>
      </w:r>
      <w:proofErr w:type="gramStart"/>
      <w:r w:rsidR="00B65A3B" w:rsidRPr="00EC6E05">
        <w:t>on the basis of</w:t>
      </w:r>
      <w:proofErr w:type="gramEnd"/>
      <w:r w:rsidR="00B65A3B" w:rsidRPr="00EC6E05">
        <w:t xml:space="preserve"> the total drug </w:t>
      </w:r>
      <w:r w:rsidR="00D77492" w:rsidRPr="00EC6E05">
        <w:t xml:space="preserve">cost </w:t>
      </w:r>
      <w:r w:rsidR="00B65A3B" w:rsidRPr="00EC6E05">
        <w:t>that achieves the same OS outcomes may be a more reasonable approach</w:t>
      </w:r>
      <w:r w:rsidR="00EC0F10" w:rsidRPr="00EC6E05">
        <w:t xml:space="preserve"> (paragraph 7.9, </w:t>
      </w:r>
      <w:proofErr w:type="spellStart"/>
      <w:r w:rsidR="00EC0F10" w:rsidRPr="00EC6E05">
        <w:rPr>
          <w:iCs/>
        </w:rPr>
        <w:t>Alectinib</w:t>
      </w:r>
      <w:proofErr w:type="spellEnd"/>
      <w:r w:rsidR="002C5D07" w:rsidRPr="00EC6E05">
        <w:rPr>
          <w:iCs/>
        </w:rPr>
        <w:t>,</w:t>
      </w:r>
      <w:r w:rsidR="00EC0F10" w:rsidRPr="00EC6E05">
        <w:rPr>
          <w:iCs/>
        </w:rPr>
        <w:t xml:space="preserve"> PSD</w:t>
      </w:r>
      <w:r w:rsidR="002C5D07" w:rsidRPr="00EC6E05">
        <w:rPr>
          <w:iCs/>
        </w:rPr>
        <w:t>,</w:t>
      </w:r>
      <w:r w:rsidR="00EC0F10" w:rsidRPr="00EC6E05">
        <w:rPr>
          <w:iCs/>
        </w:rPr>
        <w:t xml:space="preserve"> July 201</w:t>
      </w:r>
      <w:r w:rsidR="00A8728F" w:rsidRPr="00EC6E05">
        <w:rPr>
          <w:iCs/>
        </w:rPr>
        <w:t>7</w:t>
      </w:r>
      <w:r w:rsidR="00EC0F10" w:rsidRPr="00EC6E05">
        <w:rPr>
          <w:iCs/>
        </w:rPr>
        <w:t xml:space="preserve"> </w:t>
      </w:r>
      <w:r w:rsidR="002C5D07" w:rsidRPr="00EC6E05">
        <w:rPr>
          <w:iCs/>
        </w:rPr>
        <w:t>PBAC meeting</w:t>
      </w:r>
      <w:r w:rsidR="00EC0F10" w:rsidRPr="00EC6E05">
        <w:rPr>
          <w:iCs/>
        </w:rPr>
        <w:t>)</w:t>
      </w:r>
      <w:r w:rsidR="00B65A3B" w:rsidRPr="00EC6E05">
        <w:t>.</w:t>
      </w:r>
      <w:r w:rsidR="00DF47E9" w:rsidRPr="00EC6E05">
        <w:t xml:space="preserve"> </w:t>
      </w:r>
      <w:r w:rsidR="00E055C4" w:rsidRPr="00EC6E05">
        <w:t>However, b</w:t>
      </w:r>
      <w:r w:rsidR="00DF47E9" w:rsidRPr="00EC6E05">
        <w:t xml:space="preserve">oth studies permitted patients to continue treatment beyond disease progression, and thus time to treatment discontinuation may not reflect utilisation under the PBS. </w:t>
      </w:r>
    </w:p>
    <w:p w:rsidR="009878C2" w:rsidRPr="00EC6E05" w:rsidRDefault="00DE1A2E" w:rsidP="00BF2EA7">
      <w:pPr>
        <w:pStyle w:val="3-BodyText"/>
      </w:pPr>
      <w:r>
        <w:t xml:space="preserve">The ESC considered that </w:t>
      </w:r>
      <w:r w:rsidR="00CA04DC" w:rsidRPr="00EC6E05">
        <w:t xml:space="preserve">it </w:t>
      </w:r>
      <w:proofErr w:type="gramStart"/>
      <w:r w:rsidR="00CA04DC" w:rsidRPr="00EC6E05">
        <w:t>may</w:t>
      </w:r>
      <w:proofErr w:type="gramEnd"/>
      <w:r w:rsidR="00CA04DC" w:rsidRPr="00EC6E05">
        <w:t xml:space="preserve"> be reasonable, in</w:t>
      </w:r>
      <w:r w:rsidR="003B6893" w:rsidRPr="00EC6E05">
        <w:t xml:space="preserve"> </w:t>
      </w:r>
      <w:r w:rsidR="00CA04DC" w:rsidRPr="00EC6E05">
        <w:t xml:space="preserve">this case, to assume that both regimens have the same average duration of treatment given (a) the heterogeneity between the trials; and (b) that the assumption is likely to be conservative, in this case. </w:t>
      </w:r>
      <w:r w:rsidR="00AB2B32" w:rsidRPr="00EC6E05">
        <w:t>Sensitivity analyses indi</w:t>
      </w:r>
      <w:r w:rsidR="003A3540" w:rsidRPr="00EC6E05">
        <w:t>c</w:t>
      </w:r>
      <w:r w:rsidR="00AB2B32" w:rsidRPr="00EC6E05">
        <w:t xml:space="preserve">ated that </w:t>
      </w:r>
      <w:r w:rsidR="00A41616" w:rsidRPr="00EC6E05">
        <w:t xml:space="preserve">a scenario </w:t>
      </w:r>
      <w:r w:rsidR="003A3540" w:rsidRPr="00EC6E05">
        <w:t xml:space="preserve">using PFS data from </w:t>
      </w:r>
      <w:proofErr w:type="spellStart"/>
      <w:r w:rsidR="003A3540" w:rsidRPr="00EC6E05">
        <w:t>CheckMate</w:t>
      </w:r>
      <w:proofErr w:type="spellEnd"/>
      <w:r w:rsidR="003A3540" w:rsidRPr="00EC6E05">
        <w:t xml:space="preserve"> 214 for the NIVO + IPI arm and PFS data from JAVELIN for the AVE + AXI arm was not conservative (</w:t>
      </w:r>
      <w:r w:rsidR="00D915E0" w:rsidRPr="00EC6E05">
        <w:t xml:space="preserve">i.e. </w:t>
      </w:r>
      <w:r w:rsidR="003A3540" w:rsidRPr="00EC6E05">
        <w:t xml:space="preserve">would result in a higher price per dose of </w:t>
      </w:r>
      <w:proofErr w:type="spellStart"/>
      <w:r w:rsidR="003A3540" w:rsidRPr="00EC6E05">
        <w:t>avelumab</w:t>
      </w:r>
      <w:proofErr w:type="spellEnd"/>
      <w:r w:rsidR="003A3540" w:rsidRPr="00EC6E05">
        <w:t>).</w:t>
      </w:r>
      <w:r w:rsidR="00A41616" w:rsidRPr="00EC6E05">
        <w:t xml:space="preserve"> This was because NI</w:t>
      </w:r>
      <w:r w:rsidR="00266A5F" w:rsidRPr="00EC6E05">
        <w:t>V</w:t>
      </w:r>
      <w:r w:rsidR="00A41616" w:rsidRPr="00EC6E05">
        <w:t xml:space="preserve">O + IPI had </w:t>
      </w:r>
      <w:r w:rsidR="00566238" w:rsidRPr="00EC6E05">
        <w:t>long</w:t>
      </w:r>
      <w:r w:rsidR="00A41616" w:rsidRPr="00EC6E05">
        <w:t>er PFS</w:t>
      </w:r>
      <w:r w:rsidR="00CA04DC" w:rsidRPr="00EC6E05">
        <w:t xml:space="preserve"> as shown in</w:t>
      </w:r>
      <w:r w:rsidR="00266A5F" w:rsidRPr="00EC6E05">
        <w:t xml:space="preserve"> </w:t>
      </w:r>
      <w:r w:rsidR="00CA04DC" w:rsidRPr="00EC6E05">
        <w:t xml:space="preserve">Figure 8 </w:t>
      </w:r>
      <w:r w:rsidR="00A41616" w:rsidRPr="00EC6E05">
        <w:t xml:space="preserve">(and thus </w:t>
      </w:r>
      <w:proofErr w:type="gramStart"/>
      <w:r w:rsidR="00A41616" w:rsidRPr="00EC6E05">
        <w:t xml:space="preserve">was assumed to </w:t>
      </w:r>
      <w:r w:rsidR="00266A5F" w:rsidRPr="00EC6E05">
        <w:t>be used</w:t>
      </w:r>
      <w:proofErr w:type="gramEnd"/>
      <w:r w:rsidR="00266A5F" w:rsidRPr="00EC6E05">
        <w:t xml:space="preserve"> for </w:t>
      </w:r>
      <w:r w:rsidR="00A41616" w:rsidRPr="00EC6E05">
        <w:t>a longer duration</w:t>
      </w:r>
      <w:r w:rsidR="00CA04DC" w:rsidRPr="00EC6E05">
        <w:t>, particularly during the extrapolated period)</w:t>
      </w:r>
      <w:r w:rsidR="00A41616" w:rsidRPr="00EC6E05">
        <w:t>.</w:t>
      </w:r>
      <w:r w:rsidR="00CA04DC" w:rsidRPr="00EC6E05">
        <w:t xml:space="preserve"> </w:t>
      </w:r>
    </w:p>
    <w:p w:rsidR="00AB2B32" w:rsidRPr="00EC6E05" w:rsidRDefault="00AB2B32" w:rsidP="00DE1A2E">
      <w:pPr>
        <w:pStyle w:val="TableFigureHeading"/>
      </w:pPr>
      <w:r w:rsidRPr="00EC6E05">
        <w:lastRenderedPageBreak/>
        <w:t>Figure 8: PFS for AVE + AXI (JAVELIN) and NIVO + IPI (</w:t>
      </w:r>
      <w:proofErr w:type="spellStart"/>
      <w:r w:rsidRPr="00EC6E05">
        <w:t>CheckMate</w:t>
      </w:r>
      <w:proofErr w:type="spellEnd"/>
      <w:r w:rsidRPr="00EC6E05">
        <w:t xml:space="preserve"> 214) for intermediate and poor risk patients</w:t>
      </w:r>
      <w:bookmarkStart w:id="34" w:name="_GoBack"/>
      <w:bookmarkEnd w:id="34"/>
    </w:p>
    <w:p w:rsidR="00AB2B32" w:rsidRPr="00EC6E05" w:rsidRDefault="006A083B" w:rsidP="00BF2EA7">
      <w:pPr>
        <w:pStyle w:val="3-BodyText"/>
        <w:numPr>
          <w:ilvl w:val="0"/>
          <w:numId w:val="0"/>
        </w:numPr>
        <w:ind w:left="720"/>
      </w:pPr>
      <w:r>
        <w:rPr>
          <w:noProof/>
          <w:snapToGrid/>
        </w:rPr>
        <w:drawing>
          <wp:inline distT="0" distB="0" distL="0" distR="0">
            <wp:extent cx="3956050" cy="2383155"/>
            <wp:effectExtent l="0" t="0" r="6350" b="0"/>
            <wp:docPr id="4" name="Picture 4" title="Figure 8: PFS for AVE + AXI (JAVELIN) and NIVO + IPI (CheckMate 214) for intermediate and poor risk patients"/>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1">
                      <a:extLst>
                        <a:ext uri="{28A0092B-C50C-407E-A947-70E740481C1C}">
                          <a14:useLocalDpi xmlns:a14="http://schemas.microsoft.com/office/drawing/2010/main" val="0"/>
                        </a:ext>
                      </a:extLst>
                    </a:blip>
                    <a:stretch>
                      <a:fillRect/>
                    </a:stretch>
                  </pic:blipFill>
                  <pic:spPr>
                    <a:xfrm>
                      <a:off x="0" y="0"/>
                      <a:ext cx="3956050" cy="2383155"/>
                    </a:xfrm>
                    <a:prstGeom prst="rect">
                      <a:avLst/>
                    </a:prstGeom>
                  </pic:spPr>
                </pic:pic>
              </a:graphicData>
            </a:graphic>
          </wp:inline>
        </w:drawing>
      </w:r>
    </w:p>
    <w:p w:rsidR="00AB2B32" w:rsidRPr="00EC6E05" w:rsidRDefault="00AB2B32" w:rsidP="000F1624">
      <w:pPr>
        <w:pStyle w:val="TableFigureFooter"/>
        <w:ind w:firstLine="720"/>
      </w:pPr>
      <w:r w:rsidRPr="00EC6E05">
        <w:t xml:space="preserve">Source: Figure 3.4-1, p 151 of the submission </w:t>
      </w:r>
    </w:p>
    <w:p w:rsidR="00CA04DC" w:rsidRPr="00EC6E05" w:rsidRDefault="00CA04DC" w:rsidP="000F1624">
      <w:pPr>
        <w:pStyle w:val="TableFigureFooter"/>
        <w:ind w:left="720"/>
      </w:pPr>
      <w:r w:rsidRPr="00EC6E05">
        <w:t xml:space="preserve">PFS data for NIVO + IPI </w:t>
      </w:r>
      <w:proofErr w:type="gramStart"/>
      <w:r w:rsidRPr="00EC6E05">
        <w:t>was estimated</w:t>
      </w:r>
      <w:proofErr w:type="gramEnd"/>
      <w:r w:rsidRPr="00EC6E05">
        <w:t xml:space="preserve"> by digitising the PFS Kaplan-Meier curve from </w:t>
      </w:r>
      <w:proofErr w:type="spellStart"/>
      <w:r w:rsidRPr="00EC6E05">
        <w:t>CheckMate</w:t>
      </w:r>
      <w:proofErr w:type="spellEnd"/>
      <w:r w:rsidRPr="00EC6E05">
        <w:t xml:space="preserve"> 214 (for intermediate and poor risk patients).</w:t>
      </w:r>
    </w:p>
    <w:p w:rsidR="00F35D07" w:rsidRPr="00EC6E05" w:rsidRDefault="002F2CD8" w:rsidP="00BF2EA7">
      <w:pPr>
        <w:pStyle w:val="3-BodyText"/>
      </w:pPr>
      <w:r w:rsidRPr="00EC6E05">
        <w:t xml:space="preserve">Rather than </w:t>
      </w:r>
      <w:r w:rsidRPr="00FF362D">
        <w:t xml:space="preserve">truncating the data at </w:t>
      </w:r>
      <w:r w:rsidR="006A083B">
        <w:rPr>
          <w:noProof/>
          <w:color w:val="000000"/>
          <w:highlight w:val="black"/>
        </w:rPr>
        <w:t>'''''</w:t>
      </w:r>
      <w:r w:rsidRPr="00FF362D">
        <w:t xml:space="preserve"> months when </w:t>
      </w:r>
      <w:r w:rsidR="006A083B">
        <w:rPr>
          <w:noProof/>
          <w:color w:val="000000"/>
          <w:highlight w:val="black"/>
        </w:rPr>
        <w:t>'''''</w:t>
      </w:r>
      <w:r w:rsidRPr="00FF362D">
        <w:t xml:space="preserve">% of patients remained progression free, the submission extrapolated the AVE + AXI PFS data by fitting parametric survival functions to the observed data. </w:t>
      </w:r>
      <w:proofErr w:type="gramStart"/>
      <w:r w:rsidRPr="00FF362D">
        <w:t>For the base case</w:t>
      </w:r>
      <w:r w:rsidR="00F35D07" w:rsidRPr="00FF362D">
        <w:t xml:space="preserve">, the submission </w:t>
      </w:r>
      <w:r w:rsidR="00402EE9" w:rsidRPr="00FF362D">
        <w:t>extrapolated</w:t>
      </w:r>
      <w:r w:rsidR="00F35D07" w:rsidRPr="00FF362D">
        <w:t xml:space="preserve"> PFS </w:t>
      </w:r>
      <w:r w:rsidR="00AB2B32" w:rsidRPr="00FF362D">
        <w:t>(f</w:t>
      </w:r>
      <w:r w:rsidR="00266A5F" w:rsidRPr="00FF362D">
        <w:t>rom the</w:t>
      </w:r>
      <w:r w:rsidR="00AB2B32" w:rsidRPr="00FF362D">
        <w:t xml:space="preserve"> AVE + AXI</w:t>
      </w:r>
      <w:r w:rsidR="00266A5F" w:rsidRPr="00FF362D">
        <w:t xml:space="preserve"> arm</w:t>
      </w:r>
      <w:r w:rsidR="00AB2B32" w:rsidRPr="00FF362D">
        <w:t xml:space="preserve">) </w:t>
      </w:r>
      <w:r w:rsidR="00F35D07" w:rsidRPr="00FF362D">
        <w:t xml:space="preserve">based on </w:t>
      </w:r>
      <w:r w:rsidR="00402EE9" w:rsidRPr="00FF362D">
        <w:t xml:space="preserve">the </w:t>
      </w:r>
      <w:r w:rsidR="00F35D07" w:rsidRPr="00FF362D">
        <w:t>exponential</w:t>
      </w:r>
      <w:r w:rsidR="00402EE9" w:rsidRPr="00FF362D">
        <w:t xml:space="preserve"> function stating that this had the best fit based on visual inspection</w:t>
      </w:r>
      <w:r w:rsidR="00D915E0" w:rsidRPr="00FF362D">
        <w:t>, and because</w:t>
      </w:r>
      <w:r w:rsidR="00902BF8" w:rsidRPr="00FF362D">
        <w:t xml:space="preserve"> it resulted in a similar m</w:t>
      </w:r>
      <w:r w:rsidR="00D915E0" w:rsidRPr="00FF362D">
        <w:t xml:space="preserve">ean number of </w:t>
      </w:r>
      <w:proofErr w:type="spellStart"/>
      <w:r w:rsidR="00902BF8" w:rsidRPr="00FF362D">
        <w:t>nivolumab</w:t>
      </w:r>
      <w:proofErr w:type="spellEnd"/>
      <w:r w:rsidR="00902BF8" w:rsidRPr="00FF362D">
        <w:t xml:space="preserve"> </w:t>
      </w:r>
      <w:r w:rsidR="00D915E0" w:rsidRPr="00FF362D">
        <w:t>doses per treatment course (</w:t>
      </w:r>
      <w:r w:rsidR="006A083B">
        <w:rPr>
          <w:noProof/>
          <w:color w:val="000000"/>
          <w:highlight w:val="black"/>
        </w:rPr>
        <w:t>''''''''' ''''''''''''</w:t>
      </w:r>
      <w:r w:rsidR="00D915E0" w:rsidRPr="00FF362D">
        <w:t>) to</w:t>
      </w:r>
      <w:r w:rsidRPr="00FF362D">
        <w:t xml:space="preserve"> that </w:t>
      </w:r>
      <w:r w:rsidR="00902BF8" w:rsidRPr="00FF362D">
        <w:t>st</w:t>
      </w:r>
      <w:r w:rsidRPr="00FF362D">
        <w:t xml:space="preserve">ated </w:t>
      </w:r>
      <w:r w:rsidR="00D915E0" w:rsidRPr="00FF362D">
        <w:t>in the NIVO + IPI Public Summary Document</w:t>
      </w:r>
      <w:r w:rsidRPr="00FF362D">
        <w:t xml:space="preserve"> (32.8 doses, based on </w:t>
      </w:r>
      <w:r w:rsidR="00D915E0" w:rsidRPr="00FF362D">
        <w:t>Table 5, NIVO + IPI PSD, November 2018 PBAC meeting</w:t>
      </w:r>
      <w:r w:rsidRPr="00FF362D">
        <w:t>)</w:t>
      </w:r>
      <w:r w:rsidR="00402EE9" w:rsidRPr="00FF362D">
        <w:t>.</w:t>
      </w:r>
      <w:proofErr w:type="gramEnd"/>
      <w:r w:rsidR="00402EE9" w:rsidRPr="00FF362D">
        <w:t xml:space="preserve"> </w:t>
      </w:r>
      <w:r w:rsidR="00B73800" w:rsidRPr="00FF362D">
        <w:t>T</w:t>
      </w:r>
      <w:r w:rsidR="00402EE9" w:rsidRPr="00FF362D">
        <w:t xml:space="preserve">he ESC noted that the gamma function had the best fit based on </w:t>
      </w:r>
      <w:proofErr w:type="spellStart"/>
      <w:r w:rsidR="00402EE9" w:rsidRPr="00FF362D">
        <w:t>Akaike</w:t>
      </w:r>
      <w:proofErr w:type="spellEnd"/>
      <w:r w:rsidR="00402EE9" w:rsidRPr="00FF362D">
        <w:t xml:space="preserve"> Information Criterion (AIC) and Bayesian Information Criterion (BIC)</w:t>
      </w:r>
      <w:r w:rsidR="00D915E0" w:rsidRPr="00FF362D">
        <w:t xml:space="preserve">, followed by the </w:t>
      </w:r>
      <w:proofErr w:type="gramStart"/>
      <w:r w:rsidR="00D915E0" w:rsidRPr="00FF362D">
        <w:t>log-normal</w:t>
      </w:r>
      <w:proofErr w:type="gramEnd"/>
      <w:r w:rsidR="00D915E0" w:rsidRPr="00FF362D">
        <w:t xml:space="preserve"> function</w:t>
      </w:r>
      <w:r w:rsidR="00402EE9" w:rsidRPr="00FF362D">
        <w:t xml:space="preserve">. </w:t>
      </w:r>
      <w:r w:rsidRPr="00FF362D">
        <w:t>However, the ESC noted these two functions</w:t>
      </w:r>
      <w:r w:rsidR="00402EE9" w:rsidRPr="00FF362D">
        <w:t xml:space="preserve"> </w:t>
      </w:r>
      <w:r w:rsidRPr="00FF362D">
        <w:t xml:space="preserve">resulted in </w:t>
      </w:r>
      <w:r w:rsidR="006A083B">
        <w:rPr>
          <w:noProof/>
          <w:color w:val="000000"/>
          <w:highlight w:val="black"/>
        </w:rPr>
        <w:t>'''</w:t>
      </w:r>
      <w:r w:rsidRPr="00FF362D">
        <w:t xml:space="preserve">% and </w:t>
      </w:r>
      <w:r w:rsidR="006A083B">
        <w:rPr>
          <w:noProof/>
          <w:color w:val="000000"/>
          <w:highlight w:val="black"/>
        </w:rPr>
        <w:t>'''</w:t>
      </w:r>
      <w:r w:rsidRPr="00FF362D">
        <w:t xml:space="preserve">% of patients remaining on treatment at 10 years, respectively (versus </w:t>
      </w:r>
      <w:r w:rsidR="006A083B">
        <w:rPr>
          <w:noProof/>
          <w:color w:val="000000"/>
          <w:highlight w:val="black"/>
        </w:rPr>
        <w:t>'''</w:t>
      </w:r>
      <w:r w:rsidRPr="00FF362D">
        <w:t>% with the base case exponential function)</w:t>
      </w:r>
      <w:r w:rsidR="003A4594" w:rsidRPr="00FF362D">
        <w:t xml:space="preserve"> which the ESC considered was unlikely to be clinically plausible</w:t>
      </w:r>
      <w:r w:rsidRPr="00FF362D">
        <w:t>.</w:t>
      </w:r>
    </w:p>
    <w:p w:rsidR="00677535" w:rsidRPr="00EC6E05" w:rsidRDefault="00677535" w:rsidP="00BF2EA7">
      <w:pPr>
        <w:pStyle w:val="3-BodyText"/>
      </w:pPr>
      <w:r w:rsidRPr="00EC6E05">
        <w:t xml:space="preserve">PFS </w:t>
      </w:r>
      <w:proofErr w:type="gramStart"/>
      <w:r w:rsidRPr="00EC6E05">
        <w:t>was extrapolated</w:t>
      </w:r>
      <w:proofErr w:type="gramEnd"/>
      <w:r w:rsidRPr="00EC6E05">
        <w:t xml:space="preserve"> to ten years. This was conservative relati</w:t>
      </w:r>
      <w:r w:rsidR="00566238" w:rsidRPr="00EC6E05">
        <w:t xml:space="preserve">ve to a shorter time horizon </w:t>
      </w:r>
      <w:r w:rsidRPr="00EC6E05">
        <w:t xml:space="preserve">because it attenuates the high initial cost of NIVO + IPI, with the </w:t>
      </w:r>
      <w:proofErr w:type="spellStart"/>
      <w:r w:rsidRPr="00EC6E05">
        <w:t>ipilimumab</w:t>
      </w:r>
      <w:proofErr w:type="spellEnd"/>
      <w:r w:rsidRPr="00EC6E05">
        <w:t xml:space="preserve"> component administered for the induction period only (first </w:t>
      </w:r>
      <w:proofErr w:type="gramStart"/>
      <w:r w:rsidRPr="00EC6E05">
        <w:t>4</w:t>
      </w:r>
      <w:proofErr w:type="gramEnd"/>
      <w:r w:rsidRPr="00EC6E05">
        <w:t xml:space="preserve"> doses). </w:t>
      </w:r>
    </w:p>
    <w:p w:rsidR="00B65A3B" w:rsidRDefault="00B65A3B" w:rsidP="00CB2EB4">
      <w:pPr>
        <w:pStyle w:val="3-BodyText"/>
      </w:pPr>
      <w:r w:rsidRPr="00EC6E05">
        <w:t xml:space="preserve">The dosage of </w:t>
      </w:r>
      <w:proofErr w:type="spellStart"/>
      <w:r w:rsidRPr="00EC6E05">
        <w:t>axitinib</w:t>
      </w:r>
      <w:proofErr w:type="spellEnd"/>
      <w:r w:rsidRPr="00EC6E05">
        <w:t xml:space="preserve"> </w:t>
      </w:r>
      <w:r w:rsidR="00580B55" w:rsidRPr="00EC6E05">
        <w:t xml:space="preserve">applied (5 mg twice daily) </w:t>
      </w:r>
      <w:r w:rsidR="008A392B" w:rsidRPr="00EC6E05">
        <w:t xml:space="preserve">was based on </w:t>
      </w:r>
      <w:r w:rsidRPr="00EC6E05">
        <w:t xml:space="preserve">the recommended dosage </w:t>
      </w:r>
      <w:r w:rsidR="004E3E5D" w:rsidRPr="00EC6E05">
        <w:t xml:space="preserve">stated </w:t>
      </w:r>
      <w:r w:rsidRPr="00EC6E05">
        <w:t xml:space="preserve">in the </w:t>
      </w:r>
      <w:proofErr w:type="spellStart"/>
      <w:r w:rsidRPr="00EC6E05">
        <w:t>avelumab</w:t>
      </w:r>
      <w:proofErr w:type="spellEnd"/>
      <w:r w:rsidRPr="00EC6E05">
        <w:t xml:space="preserve"> draft PI. </w:t>
      </w:r>
      <w:r w:rsidR="00890CD9" w:rsidRPr="00EC6E05">
        <w:t xml:space="preserve">The ESC noted that, in the JAVELIN trial and </w:t>
      </w:r>
      <w:proofErr w:type="spellStart"/>
      <w:r w:rsidR="00890CD9" w:rsidRPr="00EC6E05">
        <w:t>axitinib</w:t>
      </w:r>
      <w:proofErr w:type="spellEnd"/>
      <w:r w:rsidR="00890CD9" w:rsidRPr="00EC6E05">
        <w:t xml:space="preserve"> PI, the recommended starting dos</w:t>
      </w:r>
      <w:r w:rsidR="00B73800" w:rsidRPr="00EC6E05">
        <w:t>ag</w:t>
      </w:r>
      <w:r w:rsidR="00890CD9" w:rsidRPr="00EC6E05">
        <w:t>e is 5 mg twice daily and patients who tolerate this may have their dos</w:t>
      </w:r>
      <w:r w:rsidR="00B73800" w:rsidRPr="00EC6E05">
        <w:t>ag</w:t>
      </w:r>
      <w:r w:rsidR="00890CD9" w:rsidRPr="00EC6E05">
        <w:t xml:space="preserve">e increased to a maximum of 10 mg twice daily. Management of some adverse drug reactions may require temporary or permanent </w:t>
      </w:r>
      <w:r w:rsidR="00890CD9" w:rsidRPr="002B1497">
        <w:t xml:space="preserve">discontinuation and/or dose reduction of </w:t>
      </w:r>
      <w:proofErr w:type="spellStart"/>
      <w:r w:rsidR="00890CD9" w:rsidRPr="002B1497">
        <w:t>axitinib</w:t>
      </w:r>
      <w:proofErr w:type="spellEnd"/>
      <w:r w:rsidR="00890CD9" w:rsidRPr="002B1497">
        <w:t xml:space="preserve"> (to 2 mg to 3 mg twice daily). </w:t>
      </w:r>
      <w:r w:rsidR="00A53B65" w:rsidRPr="002B1497">
        <w:t xml:space="preserve">The mean dose in JAVELIN was </w:t>
      </w:r>
      <w:r w:rsidR="006A083B">
        <w:rPr>
          <w:noProof/>
          <w:color w:val="000000"/>
          <w:highlight w:val="black"/>
        </w:rPr>
        <w:t>'''''</w:t>
      </w:r>
      <w:r w:rsidR="00A53B65" w:rsidRPr="002B1497">
        <w:t xml:space="preserve"> mg twice daily. While a </w:t>
      </w:r>
      <w:r w:rsidR="006A083B">
        <w:rPr>
          <w:noProof/>
          <w:color w:val="000000"/>
          <w:highlight w:val="black"/>
        </w:rPr>
        <w:t>'''</w:t>
      </w:r>
      <w:r w:rsidR="00A53B65" w:rsidRPr="002B1497">
        <w:t xml:space="preserve"> mg dose</w:t>
      </w:r>
      <w:r w:rsidR="00A53B65" w:rsidRPr="00EC6E05">
        <w:t xml:space="preserve"> would cost less than a 5 mg dose (as</w:t>
      </w:r>
      <w:r w:rsidR="003A4594">
        <w:t xml:space="preserve"> </w:t>
      </w:r>
      <w:proofErr w:type="spellStart"/>
      <w:r w:rsidR="003A4594">
        <w:t>axitinib</w:t>
      </w:r>
      <w:proofErr w:type="spellEnd"/>
      <w:r w:rsidR="003A4594">
        <w:t xml:space="preserve"> is priced on a </w:t>
      </w:r>
      <w:r w:rsidR="008A392B" w:rsidRPr="00EC6E05">
        <w:t xml:space="preserve">per mg </w:t>
      </w:r>
      <w:r w:rsidR="003A4594">
        <w:t>basis</w:t>
      </w:r>
      <w:r w:rsidR="00A53B65" w:rsidRPr="00EC6E05">
        <w:t xml:space="preserve">), </w:t>
      </w:r>
      <w:r w:rsidR="008A392B" w:rsidRPr="00EC6E05">
        <w:t xml:space="preserve">it is unclear whether </w:t>
      </w:r>
      <w:r w:rsidR="00A53B65" w:rsidRPr="00EC6E05">
        <w:t xml:space="preserve">the majority of </w:t>
      </w:r>
      <w:r w:rsidR="008A392B" w:rsidRPr="00EC6E05">
        <w:t xml:space="preserve">dose reductions would be </w:t>
      </w:r>
      <w:r w:rsidR="00A53B65" w:rsidRPr="00EC6E05">
        <w:t>temporary</w:t>
      </w:r>
      <w:r w:rsidR="006826A7" w:rsidRPr="00EC6E05">
        <w:t xml:space="preserve"> which may</w:t>
      </w:r>
      <w:r w:rsidR="008A392B" w:rsidRPr="00EC6E05">
        <w:t xml:space="preserve"> result in wastage of the 1 mg tablets</w:t>
      </w:r>
      <w:r w:rsidR="00A53B65" w:rsidRPr="00EC6E05">
        <w:t xml:space="preserve"> (which may increase the cost of </w:t>
      </w:r>
      <w:proofErr w:type="spellStart"/>
      <w:r w:rsidR="00A53B65" w:rsidRPr="00EC6E05">
        <w:t>axitinib</w:t>
      </w:r>
      <w:proofErr w:type="spellEnd"/>
      <w:r w:rsidR="00A53B65" w:rsidRPr="00EC6E05">
        <w:t>)</w:t>
      </w:r>
      <w:r w:rsidR="008A392B" w:rsidRPr="00EC6E05">
        <w:t xml:space="preserve">. </w:t>
      </w:r>
      <w:r w:rsidR="00266A5F" w:rsidRPr="00EC6E05">
        <w:t xml:space="preserve">The ESC </w:t>
      </w:r>
      <w:r w:rsidR="00890CD9" w:rsidRPr="00EC6E05">
        <w:t>considered that</w:t>
      </w:r>
      <w:r w:rsidR="00714872" w:rsidRPr="00EC6E05">
        <w:t xml:space="preserve"> the mean </w:t>
      </w:r>
      <w:r w:rsidR="00714872" w:rsidRPr="00EC6E05">
        <w:lastRenderedPageBreak/>
        <w:t xml:space="preserve">dose of </w:t>
      </w:r>
      <w:proofErr w:type="spellStart"/>
      <w:r w:rsidR="00714872" w:rsidRPr="00EC6E05">
        <w:t>axitinib</w:t>
      </w:r>
      <w:proofErr w:type="spellEnd"/>
      <w:r w:rsidR="00714872" w:rsidRPr="00EC6E05">
        <w:t xml:space="preserve"> that will be used in clinical practice</w:t>
      </w:r>
      <w:r w:rsidR="008A392B" w:rsidRPr="00EC6E05">
        <w:t xml:space="preserve"> is </w:t>
      </w:r>
      <w:r w:rsidR="00714872" w:rsidRPr="00EC6E05">
        <w:t>unclear</w:t>
      </w:r>
      <w:r w:rsidR="00890CD9" w:rsidRPr="00EC6E05">
        <w:t xml:space="preserve">, and noted that higher doses of </w:t>
      </w:r>
      <w:proofErr w:type="spellStart"/>
      <w:r w:rsidR="00890CD9" w:rsidRPr="00EC6E05">
        <w:t>axitinib</w:t>
      </w:r>
      <w:proofErr w:type="spellEnd"/>
      <w:r w:rsidR="00890CD9" w:rsidRPr="00EC6E05">
        <w:t xml:space="preserve"> </w:t>
      </w:r>
      <w:r w:rsidR="00714872" w:rsidRPr="00EC6E05">
        <w:t xml:space="preserve">(above 5 mg twice daily) </w:t>
      </w:r>
      <w:r w:rsidR="00890CD9" w:rsidRPr="00EC6E05">
        <w:t xml:space="preserve">or wastage of the 1 mg tablets would increase the vial price of </w:t>
      </w:r>
      <w:proofErr w:type="spellStart"/>
      <w:r w:rsidR="00890CD9" w:rsidRPr="00EC6E05">
        <w:t>avelumab</w:t>
      </w:r>
      <w:proofErr w:type="spellEnd"/>
      <w:r w:rsidR="00CA04DC" w:rsidRPr="00EC6E05">
        <w:t xml:space="preserve"> (if the </w:t>
      </w:r>
      <w:proofErr w:type="spellStart"/>
      <w:r w:rsidR="00CA04DC" w:rsidRPr="00EC6E05">
        <w:t>axitinib</w:t>
      </w:r>
      <w:proofErr w:type="spellEnd"/>
      <w:r w:rsidR="00CA04DC" w:rsidRPr="00EC6E05">
        <w:t xml:space="preserve"> price remains constant)</w:t>
      </w:r>
      <w:r w:rsidR="008A392B" w:rsidRPr="00EC6E05">
        <w:t xml:space="preserve">. </w:t>
      </w:r>
      <w:r w:rsidR="003B3370" w:rsidRPr="00EC6E05">
        <w:t xml:space="preserve">The </w:t>
      </w:r>
      <w:r w:rsidR="003A4594">
        <w:t xml:space="preserve">ESC considered that the </w:t>
      </w:r>
      <w:r w:rsidR="003B3370" w:rsidRPr="00EC6E05">
        <w:t xml:space="preserve">cost of </w:t>
      </w:r>
      <w:r w:rsidR="003A4594">
        <w:t>AVE + AXI</w:t>
      </w:r>
      <w:r w:rsidR="003B3370" w:rsidRPr="00EC6E05">
        <w:t xml:space="preserve"> in the model was thus potentially underestimated.</w:t>
      </w:r>
      <w:r w:rsidR="003A4594">
        <w:t xml:space="preserve"> The pre-PBAC response </w:t>
      </w:r>
      <w:r w:rsidR="00CB2EB4">
        <w:t xml:space="preserve">(p3) </w:t>
      </w:r>
      <w:r w:rsidR="003A4594">
        <w:t xml:space="preserve">noted that </w:t>
      </w:r>
      <w:proofErr w:type="spellStart"/>
      <w:r w:rsidR="00336D97">
        <w:t>axitinib</w:t>
      </w:r>
      <w:proofErr w:type="spellEnd"/>
      <w:r w:rsidR="00336D97">
        <w:t xml:space="preserve"> </w:t>
      </w:r>
      <w:r w:rsidR="003A4594">
        <w:t>d</w:t>
      </w:r>
      <w:r w:rsidR="00336D97">
        <w:t xml:space="preserve">ose reductions and </w:t>
      </w:r>
      <w:r w:rsidR="003A4594">
        <w:t xml:space="preserve">escalations </w:t>
      </w:r>
      <w:proofErr w:type="gramStart"/>
      <w:r w:rsidR="003A4594">
        <w:t>were permitted in JAVELIN and occurred in 42.2% and 10.8% of patients, respectively</w:t>
      </w:r>
      <w:proofErr w:type="gramEnd"/>
      <w:r w:rsidR="00CB2EB4">
        <w:t>.</w:t>
      </w:r>
      <w:r w:rsidR="002D2F97">
        <w:t xml:space="preserve"> It remained unclear whether the dose reductions were </w:t>
      </w:r>
      <w:r w:rsidR="002D2F97" w:rsidRPr="00EC6E05">
        <w:t xml:space="preserve">temporary </w:t>
      </w:r>
      <w:r w:rsidR="002D2F97">
        <w:t>(</w:t>
      </w:r>
      <w:r w:rsidR="002D2F97" w:rsidRPr="00EC6E05">
        <w:t>which may resul</w:t>
      </w:r>
      <w:r w:rsidR="002D2F97">
        <w:t>t in wastage of the 1 mg tablets)</w:t>
      </w:r>
      <w:r w:rsidR="00CB2EB4">
        <w:t>.</w:t>
      </w:r>
      <w:r w:rsidR="00336D97">
        <w:t xml:space="preserve"> </w:t>
      </w:r>
      <w:r w:rsidR="002D2F97">
        <w:t>T</w:t>
      </w:r>
      <w:r w:rsidR="00336D97">
        <w:t xml:space="preserve">he TGA Delegate’s Overview (p33) stated that dose escalation of </w:t>
      </w:r>
      <w:proofErr w:type="spellStart"/>
      <w:r w:rsidR="00336D97">
        <w:t>axitinib</w:t>
      </w:r>
      <w:proofErr w:type="spellEnd"/>
      <w:r w:rsidR="00336D97">
        <w:t xml:space="preserve"> was associated with a broad range of toxicities and treatment delays with no evidence to support the benefit of dose escalation, and that the Prescribing Information should reflect this. </w:t>
      </w:r>
    </w:p>
    <w:p w:rsidR="00CB2EB4" w:rsidRPr="00EC6E05" w:rsidRDefault="00CB2EB4" w:rsidP="00CB2EB4">
      <w:pPr>
        <w:pStyle w:val="3-BodyText"/>
      </w:pPr>
      <w:r>
        <w:t>Other</w:t>
      </w:r>
      <w:r w:rsidRPr="00EC6E05">
        <w:t xml:space="preserve"> issues </w:t>
      </w:r>
      <w:r>
        <w:t>with the estimated</w:t>
      </w:r>
      <w:r w:rsidRPr="00EC6E05">
        <w:t xml:space="preserve"> </w:t>
      </w:r>
      <w:proofErr w:type="spellStart"/>
      <w:r w:rsidRPr="00EC6E05">
        <w:t>equi</w:t>
      </w:r>
      <w:proofErr w:type="spellEnd"/>
      <w:r w:rsidRPr="00EC6E05">
        <w:noBreakHyphen/>
        <w:t>effective doses</w:t>
      </w:r>
      <w:r>
        <w:t xml:space="preserve"> include</w:t>
      </w:r>
      <w:r w:rsidRPr="00EC6E05">
        <w:t xml:space="preserve">: </w:t>
      </w:r>
    </w:p>
    <w:p w:rsidR="00714872" w:rsidRPr="00EC6E05" w:rsidRDefault="00714872" w:rsidP="00484B6B">
      <w:pPr>
        <w:pStyle w:val="3-BodyText"/>
        <w:numPr>
          <w:ilvl w:val="0"/>
          <w:numId w:val="10"/>
        </w:numPr>
        <w:ind w:left="1077" w:hanging="357"/>
      </w:pPr>
      <w:r w:rsidRPr="00EC6E05">
        <w:t xml:space="preserve">Dosing of NIVO + IPI in the induction phase (the first four doses) is weight-based. The submission assumed an average patient weight of 83 kg based on the average weight of patients in JAVELIN. </w:t>
      </w:r>
      <w:r w:rsidR="00A54C09" w:rsidRPr="00EC6E05">
        <w:t>The commentary noted that</w:t>
      </w:r>
      <w:r w:rsidRPr="00EC6E05">
        <w:t xml:space="preserve"> assuming a higher average weight is not conservative</w:t>
      </w:r>
      <w:r w:rsidR="00A54C09" w:rsidRPr="00EC6E05">
        <w:t xml:space="preserve">, and conducted a sensitivity analysis based on an average weight of 80kg (which would require one less </w:t>
      </w:r>
      <w:proofErr w:type="spellStart"/>
      <w:r w:rsidR="00A54C09" w:rsidRPr="00EC6E05">
        <w:t>nivolumab</w:t>
      </w:r>
      <w:proofErr w:type="spellEnd"/>
      <w:r w:rsidR="00A54C09" w:rsidRPr="00EC6E05">
        <w:t xml:space="preserve"> 40 mg vial per induction dose)</w:t>
      </w:r>
      <w:r w:rsidRPr="00EC6E05">
        <w:t xml:space="preserve">. The PSCR </w:t>
      </w:r>
      <w:proofErr w:type="gramStart"/>
      <w:r w:rsidRPr="00EC6E05">
        <w:t>argued  that</w:t>
      </w:r>
      <w:proofErr w:type="gramEnd"/>
      <w:r w:rsidRPr="00EC6E05">
        <w:t xml:space="preserve"> the average weight of Australian patient</w:t>
      </w:r>
      <w:r w:rsidR="00533CD3" w:rsidRPr="00EC6E05">
        <w:t>s (based on the Kidney Cancer Australian Registry and Biobank)</w:t>
      </w:r>
      <w:r w:rsidRPr="00EC6E05">
        <w:t xml:space="preserve"> is higher (</w:t>
      </w:r>
      <w:r w:rsidR="00533CD3" w:rsidRPr="00EC6E05">
        <w:t xml:space="preserve">mean weight of </w:t>
      </w:r>
      <w:r w:rsidRPr="00EC6E05">
        <w:t>86 kg) than that reported in JAVELIN</w:t>
      </w:r>
      <w:r w:rsidR="00A54C09" w:rsidRPr="00EC6E05">
        <w:t>.</w:t>
      </w:r>
      <w:r w:rsidRPr="00EC6E05">
        <w:t xml:space="preserve"> The ESC noted that the number of </w:t>
      </w:r>
      <w:r w:rsidR="00A54C09" w:rsidRPr="00EC6E05">
        <w:t>NIVO + IPI</w:t>
      </w:r>
      <w:r w:rsidRPr="00EC6E05">
        <w:t xml:space="preserve"> vials required for treatment of a person weighing 83 kg or 86 kg is the same.</w:t>
      </w:r>
    </w:p>
    <w:p w:rsidR="00B65A3B" w:rsidRPr="00EC6E05" w:rsidRDefault="00B65A3B" w:rsidP="00484B6B">
      <w:pPr>
        <w:pStyle w:val="3-BodyText"/>
        <w:numPr>
          <w:ilvl w:val="0"/>
          <w:numId w:val="10"/>
        </w:numPr>
        <w:ind w:left="1077" w:hanging="357"/>
      </w:pPr>
      <w:r w:rsidRPr="00EC6E05">
        <w:t xml:space="preserve">The </w:t>
      </w:r>
      <w:proofErr w:type="spellStart"/>
      <w:r w:rsidRPr="00EC6E05">
        <w:t>nivolumab</w:t>
      </w:r>
      <w:proofErr w:type="spellEnd"/>
      <w:r w:rsidRPr="00EC6E05">
        <w:t xml:space="preserve"> PI specifies three possible dosing regimens for maintenance treatment</w:t>
      </w:r>
      <w:r w:rsidR="00714872" w:rsidRPr="00EC6E05">
        <w:t xml:space="preserve"> (i.e. after the first four doses)</w:t>
      </w:r>
      <w:r w:rsidRPr="00EC6E05">
        <w:t xml:space="preserve">, whereas the submission assumed only one dose regimen </w:t>
      </w:r>
      <w:proofErr w:type="gramStart"/>
      <w:r w:rsidRPr="00EC6E05">
        <w:t>is administered</w:t>
      </w:r>
      <w:proofErr w:type="gramEnd"/>
      <w:r w:rsidRPr="00EC6E05">
        <w:t xml:space="preserve"> as maintenance treatment (</w:t>
      </w:r>
      <w:proofErr w:type="spellStart"/>
      <w:r w:rsidRPr="00EC6E05">
        <w:t>nivolumab</w:t>
      </w:r>
      <w:proofErr w:type="spellEnd"/>
      <w:r w:rsidRPr="00EC6E05">
        <w:t xml:space="preserve"> 240 mg Q2W). The assumed dosing regimen affects other costs associated with specialist visits and scripts. The PBAC previously considered that whilst the estimated utilisation between the different </w:t>
      </w:r>
      <w:proofErr w:type="spellStart"/>
      <w:r w:rsidRPr="00EC6E05">
        <w:t>nivolumab</w:t>
      </w:r>
      <w:proofErr w:type="spellEnd"/>
      <w:r w:rsidRPr="00EC6E05">
        <w:t xml:space="preserve"> dosing regimens was uncertain, it was reasonable to assume that the majority of patients </w:t>
      </w:r>
      <w:proofErr w:type="gramStart"/>
      <w:r w:rsidRPr="00EC6E05">
        <w:t>would be prescribed</w:t>
      </w:r>
      <w:proofErr w:type="gramEnd"/>
      <w:r w:rsidRPr="00EC6E05">
        <w:t xml:space="preserve"> the </w:t>
      </w:r>
      <w:proofErr w:type="spellStart"/>
      <w:r w:rsidRPr="00EC6E05">
        <w:t>nivolumab</w:t>
      </w:r>
      <w:proofErr w:type="spellEnd"/>
      <w:r w:rsidRPr="00EC6E05">
        <w:t xml:space="preserve"> 480 mg Q4W dosing regimen if available. As such, there would be cost savings associated with a reduction in infusion administrations (</w:t>
      </w:r>
      <w:r w:rsidR="002C5D07" w:rsidRPr="00EC6E05">
        <w:t xml:space="preserve">paragraph 5.4, </w:t>
      </w:r>
      <w:proofErr w:type="spellStart"/>
      <w:r w:rsidRPr="00EC6E05">
        <w:t>Nivolumab</w:t>
      </w:r>
      <w:proofErr w:type="spellEnd"/>
      <w:r w:rsidR="002C5D07" w:rsidRPr="00EC6E05">
        <w:t>,</w:t>
      </w:r>
      <w:r w:rsidRPr="00EC6E05">
        <w:t xml:space="preserve"> PSD, March 2019 </w:t>
      </w:r>
      <w:r w:rsidR="002C5D07" w:rsidRPr="00EC6E05">
        <w:t>PBAC meeting</w:t>
      </w:r>
      <w:r w:rsidRPr="00EC6E05">
        <w:t>).</w:t>
      </w:r>
    </w:p>
    <w:p w:rsidR="00B65A3B" w:rsidRPr="00EC6E05" w:rsidRDefault="00B65A3B" w:rsidP="00BF2EA7">
      <w:pPr>
        <w:pStyle w:val="3-BodyText"/>
      </w:pPr>
      <w:r w:rsidRPr="00EC6E05">
        <w:t xml:space="preserve">The submission assumed that there would be additional costs for the intravenous (IV) administration of </w:t>
      </w:r>
      <w:proofErr w:type="spellStart"/>
      <w:r w:rsidRPr="00EC6E05">
        <w:t>avelumab</w:t>
      </w:r>
      <w:proofErr w:type="spellEnd"/>
      <w:r w:rsidRPr="00EC6E05">
        <w:t xml:space="preserve">, </w:t>
      </w:r>
      <w:proofErr w:type="spellStart"/>
      <w:r w:rsidRPr="00EC6E05">
        <w:t>nivolumab</w:t>
      </w:r>
      <w:proofErr w:type="spellEnd"/>
      <w:r w:rsidRPr="00EC6E05">
        <w:t xml:space="preserve"> and </w:t>
      </w:r>
      <w:proofErr w:type="spellStart"/>
      <w:r w:rsidRPr="00EC6E05">
        <w:t>ipilimumab</w:t>
      </w:r>
      <w:proofErr w:type="spellEnd"/>
      <w:r w:rsidRPr="00EC6E05">
        <w:t xml:space="preserve">, and for initiation and supervision by a specialist prior to the administration of the IV infusion. </w:t>
      </w:r>
      <w:r w:rsidRPr="00EC6E05">
        <w:rPr>
          <w:iCs/>
        </w:rPr>
        <w:t xml:space="preserve">This is reasonable. This assumption </w:t>
      </w:r>
      <w:proofErr w:type="gramStart"/>
      <w:r w:rsidRPr="00EC6E05">
        <w:rPr>
          <w:iCs/>
        </w:rPr>
        <w:t>is applied</w:t>
      </w:r>
      <w:proofErr w:type="gramEnd"/>
      <w:r w:rsidRPr="00EC6E05">
        <w:rPr>
          <w:iCs/>
        </w:rPr>
        <w:t xml:space="preserve"> to both AVE + AXI and NIVO + IPI.</w:t>
      </w:r>
    </w:p>
    <w:p w:rsidR="00B65A3B" w:rsidRPr="00EC6E05" w:rsidRDefault="00B65A3B" w:rsidP="00BF2EA7">
      <w:pPr>
        <w:pStyle w:val="3-BodyText"/>
      </w:pPr>
      <w:r w:rsidRPr="00EC6E05">
        <w:t xml:space="preserve">The submission stated </w:t>
      </w:r>
      <w:r w:rsidR="00A54C09" w:rsidRPr="00EC6E05">
        <w:t xml:space="preserve">that </w:t>
      </w:r>
      <w:r w:rsidRPr="00EC6E05">
        <w:t xml:space="preserve">there are no differences in monitoring requirements or the safety profiles between treatment with AVE + AXI and NIVO + IPI that </w:t>
      </w:r>
      <w:proofErr w:type="gramStart"/>
      <w:r w:rsidRPr="00EC6E05">
        <w:t>are expected</w:t>
      </w:r>
      <w:proofErr w:type="gramEnd"/>
      <w:r w:rsidRPr="00EC6E05">
        <w:t xml:space="preserve"> to result in differences in costs. </w:t>
      </w:r>
      <w:r w:rsidR="002B3991" w:rsidRPr="00EC6E05">
        <w:rPr>
          <w:iCs/>
        </w:rPr>
        <w:t xml:space="preserve">The </w:t>
      </w:r>
      <w:r w:rsidRPr="00EC6E05">
        <w:rPr>
          <w:iCs/>
        </w:rPr>
        <w:t xml:space="preserve">assumption that there are no differences in cost due to differences in safety may not be reasonable; difference in the safety profiles may influence the results of the </w:t>
      </w:r>
      <w:r w:rsidR="002B3991" w:rsidRPr="00EC6E05">
        <w:rPr>
          <w:iCs/>
        </w:rPr>
        <w:t>CMA</w:t>
      </w:r>
      <w:r w:rsidRPr="00EC6E05">
        <w:rPr>
          <w:iCs/>
        </w:rPr>
        <w:t xml:space="preserve"> but the impact is likely to be negligible.</w:t>
      </w:r>
    </w:p>
    <w:p w:rsidR="004E3E5D" w:rsidRPr="00EC6E05" w:rsidRDefault="004E3E5D" w:rsidP="00BF2EA7">
      <w:pPr>
        <w:pStyle w:val="3-BodyText"/>
      </w:pPr>
      <w:r w:rsidRPr="00EC6E05">
        <w:lastRenderedPageBreak/>
        <w:t xml:space="preserve">The CMA </w:t>
      </w:r>
      <w:proofErr w:type="gramStart"/>
      <w:r w:rsidRPr="00EC6E05">
        <w:t>was conducted</w:t>
      </w:r>
      <w:proofErr w:type="gramEnd"/>
      <w:r w:rsidRPr="00EC6E05">
        <w:t xml:space="preserve"> using dispensed prices, however CMAs are usually conducted using ex-manufacturer prices. </w:t>
      </w:r>
    </w:p>
    <w:p w:rsidR="00B65A3B" w:rsidRPr="00EC6E05" w:rsidRDefault="00B65A3B" w:rsidP="00BF2EA7">
      <w:pPr>
        <w:pStyle w:val="3-BodyText"/>
      </w:pPr>
      <w:r w:rsidRPr="00EC6E05">
        <w:t xml:space="preserve">The results of the CMA </w:t>
      </w:r>
      <w:proofErr w:type="gramStart"/>
      <w:r w:rsidRPr="00EC6E05">
        <w:t>are presented</w:t>
      </w:r>
      <w:proofErr w:type="gramEnd"/>
      <w:r w:rsidRPr="00EC6E05">
        <w:t xml:space="preserve"> in Table </w:t>
      </w:r>
      <w:r w:rsidR="00291A90">
        <w:t>10</w:t>
      </w:r>
      <w:r w:rsidRPr="00EC6E05">
        <w:t xml:space="preserve">. The submission </w:t>
      </w:r>
      <w:r w:rsidR="006844BF" w:rsidRPr="00EC6E05">
        <w:t>noted that</w:t>
      </w:r>
      <w:r w:rsidRPr="00EC6E05">
        <w:t xml:space="preserve"> NIVO</w:t>
      </w:r>
      <w:r w:rsidR="001158C0">
        <w:t> </w:t>
      </w:r>
      <w:r w:rsidRPr="00EC6E05">
        <w:t>+</w:t>
      </w:r>
      <w:r w:rsidR="001158C0">
        <w:t> </w:t>
      </w:r>
      <w:r w:rsidRPr="00EC6E05">
        <w:t xml:space="preserve">IPI </w:t>
      </w:r>
      <w:r w:rsidR="00B23B29" w:rsidRPr="00EC6E05">
        <w:t>have</w:t>
      </w:r>
      <w:r w:rsidRPr="00EC6E05">
        <w:t xml:space="preserve"> </w:t>
      </w:r>
      <w:r w:rsidR="006844BF" w:rsidRPr="00EC6E05">
        <w:t xml:space="preserve">SPAs with </w:t>
      </w:r>
      <w:r w:rsidRPr="00EC6E05">
        <w:t>effective prices</w:t>
      </w:r>
      <w:r w:rsidR="006844BF" w:rsidRPr="00EC6E05">
        <w:t xml:space="preserve"> that are unknown to the sponsor, and thus the CMA uses published prices. The submission stated that ‘while the result of the CMA is therefore necessarily uninformative, the methods used provide a framework for an analysis based on the effective prices that ensures that the total cost of treatment with AVE + AXI is no more than that with NIVO + IPI’. </w:t>
      </w:r>
      <w:r w:rsidR="00336D97">
        <w:t>While</w:t>
      </w:r>
      <w:r w:rsidRPr="00EC6E05">
        <w:rPr>
          <w:iCs/>
        </w:rPr>
        <w:t xml:space="preserve"> the </w:t>
      </w:r>
      <w:r w:rsidR="00A54C09" w:rsidRPr="00EC6E05">
        <w:rPr>
          <w:iCs/>
        </w:rPr>
        <w:t>‘</w:t>
      </w:r>
      <w:r w:rsidRPr="00EC6E05">
        <w:rPr>
          <w:iCs/>
        </w:rPr>
        <w:t>framework</w:t>
      </w:r>
      <w:r w:rsidR="00A54C09" w:rsidRPr="00EC6E05">
        <w:rPr>
          <w:iCs/>
        </w:rPr>
        <w:t>’</w:t>
      </w:r>
      <w:r w:rsidRPr="00EC6E05">
        <w:rPr>
          <w:iCs/>
        </w:rPr>
        <w:t xml:space="preserve"> provided in the submission </w:t>
      </w:r>
      <w:r w:rsidR="00336D97">
        <w:rPr>
          <w:iCs/>
        </w:rPr>
        <w:t xml:space="preserve">resulted in </w:t>
      </w:r>
      <w:r w:rsidRPr="00EC6E05">
        <w:rPr>
          <w:iCs/>
        </w:rPr>
        <w:t xml:space="preserve">AVE + AXI </w:t>
      </w:r>
      <w:r w:rsidR="001158C0">
        <w:rPr>
          <w:iCs/>
        </w:rPr>
        <w:t>being</w:t>
      </w:r>
      <w:r w:rsidRPr="00EC6E05">
        <w:rPr>
          <w:iCs/>
        </w:rPr>
        <w:t xml:space="preserve"> more expensive than NIVO + IPI</w:t>
      </w:r>
      <w:r w:rsidRPr="00EC6E05">
        <w:t xml:space="preserve"> </w:t>
      </w:r>
      <w:r w:rsidRPr="00EC6E05">
        <w:rPr>
          <w:iCs/>
        </w:rPr>
        <w:t xml:space="preserve">(incremental total cost: </w:t>
      </w:r>
      <w:r w:rsidR="007315D7">
        <w:rPr>
          <w:iCs/>
        </w:rPr>
        <w:t xml:space="preserve"> $45,000 - $75,000</w:t>
      </w:r>
      <w:r w:rsidRPr="00EC6E05">
        <w:rPr>
          <w:iCs/>
        </w:rPr>
        <w:t>)</w:t>
      </w:r>
      <w:r w:rsidR="00336D97">
        <w:rPr>
          <w:iCs/>
        </w:rPr>
        <w:t>, the pre-PBAC response clarified that the intent of the framework is for the incremental cost to be nil when the effective prices of NIVO + IPI are applied</w:t>
      </w:r>
      <w:r w:rsidRPr="00EC6E05">
        <w:rPr>
          <w:iCs/>
        </w:rPr>
        <w:t xml:space="preserve">. </w:t>
      </w:r>
    </w:p>
    <w:p w:rsidR="00B65A3B" w:rsidRPr="00EC6E05" w:rsidRDefault="00B65A3B" w:rsidP="00D4073E">
      <w:pPr>
        <w:pStyle w:val="TableFigureHeading"/>
        <w:keepLines/>
        <w:rPr>
          <w:rStyle w:val="CommentReference"/>
          <w:b/>
          <w:szCs w:val="24"/>
        </w:rPr>
      </w:pPr>
      <w:r w:rsidRPr="00E00186">
        <w:rPr>
          <w:rStyle w:val="CommentReference"/>
          <w:b/>
          <w:szCs w:val="24"/>
        </w:rPr>
        <w:t xml:space="preserve">Table </w:t>
      </w:r>
      <w:r w:rsidR="002C5D07" w:rsidRPr="00E00186">
        <w:rPr>
          <w:rStyle w:val="CommentReference"/>
          <w:b/>
          <w:szCs w:val="24"/>
        </w:rPr>
        <w:t>1</w:t>
      </w:r>
      <w:r w:rsidR="00291A90" w:rsidRPr="00E00186">
        <w:rPr>
          <w:rStyle w:val="CommentReference"/>
          <w:b/>
          <w:szCs w:val="24"/>
        </w:rPr>
        <w:t>0</w:t>
      </w:r>
      <w:r w:rsidRPr="00EC6E05">
        <w:rPr>
          <w:rStyle w:val="CommentReference"/>
          <w:b/>
          <w:szCs w:val="24"/>
        </w:rPr>
        <w:t>: Results of the cost-minimisation analysis</w:t>
      </w:r>
      <w:r w:rsidR="0048657E" w:rsidRPr="00EC6E05">
        <w:rPr>
          <w:rStyle w:val="CommentReference"/>
          <w:b/>
          <w:szCs w:val="24"/>
        </w:rPr>
        <w:t xml:space="preserve"> (based on published DPMQ</w:t>
      </w:r>
      <w:r w:rsidR="003E4B0A" w:rsidRPr="00EC6E05">
        <w:rPr>
          <w:rStyle w:val="CommentReference"/>
          <w:b/>
          <w:szCs w:val="24"/>
        </w:rPr>
        <w:t>/DPMA)</w:t>
      </w:r>
    </w:p>
    <w:tbl>
      <w:tblPr>
        <w:tblStyle w:val="TableGrid"/>
        <w:tblW w:w="5000" w:type="pct"/>
        <w:tblLook w:val="04A0" w:firstRow="1" w:lastRow="0" w:firstColumn="1" w:lastColumn="0" w:noHBand="0" w:noVBand="1"/>
        <w:tblCaption w:val="Table 10: Results of the cost-minimisation analysis (based on published DPMQ/DPMA)"/>
      </w:tblPr>
      <w:tblGrid>
        <w:gridCol w:w="4489"/>
        <w:gridCol w:w="1014"/>
        <w:gridCol w:w="1064"/>
        <w:gridCol w:w="2449"/>
      </w:tblGrid>
      <w:tr w:rsidR="00B65A3B" w:rsidRPr="00EC6E05" w:rsidTr="00BC3B0B">
        <w:trPr>
          <w:tblHeader/>
        </w:trPr>
        <w:tc>
          <w:tcPr>
            <w:tcW w:w="2489" w:type="pct"/>
            <w:tcBorders>
              <w:bottom w:val="single" w:sz="4" w:space="0" w:color="auto"/>
            </w:tcBorders>
            <w:shd w:val="clear" w:color="auto" w:fill="auto"/>
            <w:vAlign w:val="center"/>
          </w:tcPr>
          <w:p w:rsidR="00B65A3B" w:rsidRPr="00EC6E05" w:rsidRDefault="00B65A3B" w:rsidP="00D4073E">
            <w:pPr>
              <w:pStyle w:val="TableText0"/>
              <w:keepLines/>
            </w:pPr>
          </w:p>
        </w:tc>
        <w:tc>
          <w:tcPr>
            <w:tcW w:w="562" w:type="pct"/>
            <w:tcBorders>
              <w:bottom w:val="single" w:sz="4" w:space="0" w:color="auto"/>
            </w:tcBorders>
            <w:shd w:val="clear" w:color="auto" w:fill="auto"/>
            <w:vAlign w:val="center"/>
          </w:tcPr>
          <w:p w:rsidR="00B65A3B" w:rsidRPr="00EC6E05" w:rsidRDefault="00B65A3B" w:rsidP="00D4073E">
            <w:pPr>
              <w:pStyle w:val="In-tableHeading"/>
              <w:keepLines/>
              <w:jc w:val="center"/>
              <w:rPr>
                <w:lang w:val="en-AU"/>
              </w:rPr>
            </w:pPr>
            <w:r w:rsidRPr="00EC6E05">
              <w:rPr>
                <w:lang w:val="en-AU"/>
              </w:rPr>
              <w:t>AVE + AXI</w:t>
            </w:r>
          </w:p>
        </w:tc>
        <w:tc>
          <w:tcPr>
            <w:tcW w:w="590" w:type="pct"/>
            <w:tcBorders>
              <w:bottom w:val="single" w:sz="4" w:space="0" w:color="auto"/>
            </w:tcBorders>
            <w:shd w:val="clear" w:color="auto" w:fill="auto"/>
            <w:vAlign w:val="center"/>
          </w:tcPr>
          <w:p w:rsidR="00B65A3B" w:rsidRPr="00EC6E05" w:rsidRDefault="00B65A3B" w:rsidP="00D4073E">
            <w:pPr>
              <w:pStyle w:val="In-tableHeading"/>
              <w:keepLines/>
              <w:jc w:val="center"/>
              <w:rPr>
                <w:lang w:val="en-AU"/>
              </w:rPr>
            </w:pPr>
            <w:proofErr w:type="spellStart"/>
            <w:r w:rsidRPr="00EC6E05">
              <w:rPr>
                <w:lang w:val="en-AU"/>
              </w:rPr>
              <w:t>NIVO</w:t>
            </w:r>
            <w:r w:rsidRPr="00EC6E05">
              <w:rPr>
                <w:vertAlign w:val="superscript"/>
                <w:lang w:val="en-AU"/>
              </w:rPr>
              <w:t>a</w:t>
            </w:r>
            <w:proofErr w:type="spellEnd"/>
            <w:r w:rsidRPr="00EC6E05">
              <w:rPr>
                <w:lang w:val="en-AU"/>
              </w:rPr>
              <w:t> + IPI</w:t>
            </w:r>
          </w:p>
        </w:tc>
        <w:tc>
          <w:tcPr>
            <w:tcW w:w="1358" w:type="pct"/>
            <w:tcBorders>
              <w:bottom w:val="single" w:sz="4" w:space="0" w:color="auto"/>
            </w:tcBorders>
            <w:shd w:val="clear" w:color="auto" w:fill="auto"/>
            <w:vAlign w:val="center"/>
          </w:tcPr>
          <w:p w:rsidR="00B65A3B" w:rsidRPr="00EC6E05" w:rsidRDefault="00B65A3B" w:rsidP="00D4073E">
            <w:pPr>
              <w:pStyle w:val="In-tableHeading"/>
              <w:keepLines/>
              <w:jc w:val="center"/>
              <w:rPr>
                <w:lang w:val="en-AU"/>
              </w:rPr>
            </w:pPr>
            <w:r w:rsidRPr="00EC6E05">
              <w:rPr>
                <w:lang w:val="en-AU"/>
              </w:rPr>
              <w:t>Incremental</w:t>
            </w:r>
          </w:p>
        </w:tc>
      </w:tr>
      <w:tr w:rsidR="00B65A3B" w:rsidRPr="00EC6E05" w:rsidTr="00BC3B0B">
        <w:tc>
          <w:tcPr>
            <w:tcW w:w="2489" w:type="pct"/>
            <w:tcBorders>
              <w:right w:val="nil"/>
            </w:tcBorders>
            <w:vAlign w:val="center"/>
          </w:tcPr>
          <w:p w:rsidR="00B65A3B" w:rsidRPr="00EC6E05" w:rsidRDefault="00B65A3B" w:rsidP="00D4073E">
            <w:pPr>
              <w:pStyle w:val="TableText0"/>
              <w:keepLines/>
              <w:rPr>
                <w:b/>
                <w:bCs w:val="0"/>
              </w:rPr>
            </w:pPr>
            <w:r w:rsidRPr="00EC6E05">
              <w:rPr>
                <w:b/>
                <w:bCs w:val="0"/>
              </w:rPr>
              <w:t>Base case</w:t>
            </w:r>
          </w:p>
        </w:tc>
        <w:tc>
          <w:tcPr>
            <w:tcW w:w="562" w:type="pct"/>
            <w:tcBorders>
              <w:top w:val="single" w:sz="4" w:space="0" w:color="auto"/>
              <w:left w:val="nil"/>
              <w:bottom w:val="single" w:sz="4" w:space="0" w:color="auto"/>
              <w:right w:val="nil"/>
            </w:tcBorders>
            <w:shd w:val="clear" w:color="auto" w:fill="auto"/>
            <w:vAlign w:val="center"/>
          </w:tcPr>
          <w:p w:rsidR="00B65A3B" w:rsidRPr="00EC6E05" w:rsidRDefault="00B65A3B" w:rsidP="00D4073E">
            <w:pPr>
              <w:pStyle w:val="TableText0"/>
              <w:keepLines/>
              <w:jc w:val="center"/>
              <w:rPr>
                <w:b/>
                <w:bCs w:val="0"/>
              </w:rPr>
            </w:pPr>
          </w:p>
        </w:tc>
        <w:tc>
          <w:tcPr>
            <w:tcW w:w="590" w:type="pct"/>
            <w:tcBorders>
              <w:top w:val="single" w:sz="4" w:space="0" w:color="auto"/>
              <w:left w:val="nil"/>
              <w:bottom w:val="single" w:sz="4" w:space="0" w:color="auto"/>
              <w:right w:val="nil"/>
            </w:tcBorders>
            <w:shd w:val="clear" w:color="auto" w:fill="auto"/>
            <w:vAlign w:val="center"/>
          </w:tcPr>
          <w:p w:rsidR="00B65A3B" w:rsidRPr="00EC6E05" w:rsidRDefault="00B65A3B" w:rsidP="00D4073E">
            <w:pPr>
              <w:pStyle w:val="TableText0"/>
              <w:keepLines/>
              <w:jc w:val="center"/>
              <w:rPr>
                <w:b/>
                <w:bCs w:val="0"/>
                <w:i/>
                <w:iCs/>
              </w:rPr>
            </w:pPr>
          </w:p>
        </w:tc>
        <w:tc>
          <w:tcPr>
            <w:tcW w:w="1358" w:type="pct"/>
            <w:tcBorders>
              <w:top w:val="single" w:sz="4" w:space="0" w:color="auto"/>
              <w:left w:val="nil"/>
              <w:bottom w:val="single" w:sz="4" w:space="0" w:color="auto"/>
              <w:right w:val="single" w:sz="4" w:space="0" w:color="auto"/>
            </w:tcBorders>
            <w:shd w:val="clear" w:color="auto" w:fill="auto"/>
            <w:vAlign w:val="center"/>
          </w:tcPr>
          <w:p w:rsidR="00B65A3B" w:rsidRPr="00EC6E05" w:rsidRDefault="00B65A3B" w:rsidP="00D4073E">
            <w:pPr>
              <w:pStyle w:val="TableText0"/>
              <w:keepLines/>
              <w:jc w:val="center"/>
              <w:rPr>
                <w:b/>
                <w:bCs w:val="0"/>
                <w:i/>
                <w:iCs/>
              </w:rPr>
            </w:pPr>
          </w:p>
        </w:tc>
      </w:tr>
      <w:tr w:rsidR="00B65A3B" w:rsidRPr="00EC6E05" w:rsidTr="00BC3B0B">
        <w:tc>
          <w:tcPr>
            <w:tcW w:w="2489" w:type="pct"/>
            <w:vAlign w:val="center"/>
          </w:tcPr>
          <w:p w:rsidR="00B65A3B" w:rsidRPr="00EC6E05" w:rsidRDefault="00B65A3B" w:rsidP="00D4073E">
            <w:pPr>
              <w:pStyle w:val="TableText0"/>
              <w:keepLines/>
            </w:pPr>
            <w:r w:rsidRPr="00EC6E05">
              <w:t>Medicines</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rsidR="00B65A3B" w:rsidRPr="006A083B" w:rsidRDefault="006A083B" w:rsidP="00D4073E">
            <w:pPr>
              <w:pStyle w:val="TableText0"/>
              <w:keepLines/>
              <w:jc w:val="center"/>
              <w:rPr>
                <w:highlight w:val="black"/>
              </w:rPr>
            </w:pPr>
            <w:r>
              <w:rPr>
                <w:noProof/>
                <w:color w:val="000000"/>
                <w:highlight w:val="black"/>
              </w:rPr>
              <w:t>'''''''''''''''''''''''</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B65A3B" w:rsidRPr="006A083B" w:rsidRDefault="006A083B" w:rsidP="00D4073E">
            <w:pPr>
              <w:pStyle w:val="TableText0"/>
              <w:keepLines/>
              <w:jc w:val="center"/>
              <w:rPr>
                <w:highlight w:val="black"/>
              </w:rPr>
            </w:pPr>
            <w:r>
              <w:rPr>
                <w:noProof/>
                <w:color w:val="000000"/>
                <w:highlight w:val="black"/>
              </w:rPr>
              <w:t>''''''''''''''''''''''</w:t>
            </w:r>
          </w:p>
        </w:tc>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rsidR="00B65A3B" w:rsidRPr="006A083B" w:rsidRDefault="006A083B" w:rsidP="00D4073E">
            <w:pPr>
              <w:pStyle w:val="TableText0"/>
              <w:keepLines/>
              <w:jc w:val="center"/>
              <w:rPr>
                <w:highlight w:val="black"/>
              </w:rPr>
            </w:pPr>
            <w:r>
              <w:rPr>
                <w:noProof/>
                <w:color w:val="000000"/>
                <w:highlight w:val="black"/>
              </w:rPr>
              <w:t>'''''''''''''''''''</w:t>
            </w:r>
          </w:p>
        </w:tc>
      </w:tr>
      <w:tr w:rsidR="00B65A3B" w:rsidRPr="00EC6E05" w:rsidTr="00BC3B0B">
        <w:tc>
          <w:tcPr>
            <w:tcW w:w="2489" w:type="pct"/>
            <w:vAlign w:val="center"/>
          </w:tcPr>
          <w:p w:rsidR="00B65A3B" w:rsidRPr="00EC6E05" w:rsidRDefault="00B65A3B" w:rsidP="00D4073E">
            <w:pPr>
              <w:pStyle w:val="TableText0"/>
              <w:keepLines/>
            </w:pPr>
            <w:r w:rsidRPr="00B521F9">
              <w:t>Administration</w:t>
            </w:r>
          </w:p>
        </w:tc>
        <w:tc>
          <w:tcPr>
            <w:tcW w:w="562" w:type="pct"/>
            <w:tcBorders>
              <w:top w:val="nil"/>
              <w:left w:val="single" w:sz="4" w:space="0" w:color="auto"/>
              <w:bottom w:val="single" w:sz="4" w:space="0" w:color="auto"/>
              <w:right w:val="single" w:sz="4" w:space="0" w:color="auto"/>
            </w:tcBorders>
            <w:shd w:val="clear" w:color="auto" w:fill="auto"/>
            <w:vAlign w:val="center"/>
          </w:tcPr>
          <w:p w:rsidR="00B65A3B" w:rsidRPr="006A083B" w:rsidRDefault="006A083B" w:rsidP="00D4073E">
            <w:pPr>
              <w:pStyle w:val="TableText0"/>
              <w:keepLines/>
              <w:jc w:val="center"/>
              <w:rPr>
                <w:highlight w:val="black"/>
              </w:rPr>
            </w:pPr>
            <w:r>
              <w:rPr>
                <w:noProof/>
                <w:color w:val="000000"/>
                <w:highlight w:val="black"/>
              </w:rPr>
              <w:t>''''''''''''''''''</w:t>
            </w:r>
          </w:p>
        </w:tc>
        <w:tc>
          <w:tcPr>
            <w:tcW w:w="590" w:type="pct"/>
            <w:tcBorders>
              <w:top w:val="nil"/>
              <w:left w:val="single" w:sz="4" w:space="0" w:color="auto"/>
              <w:bottom w:val="single" w:sz="4" w:space="0" w:color="auto"/>
              <w:right w:val="single" w:sz="4" w:space="0" w:color="auto"/>
            </w:tcBorders>
            <w:shd w:val="clear" w:color="auto" w:fill="auto"/>
            <w:vAlign w:val="center"/>
          </w:tcPr>
          <w:p w:rsidR="00B65A3B" w:rsidRPr="006A083B" w:rsidRDefault="006A083B" w:rsidP="00D4073E">
            <w:pPr>
              <w:pStyle w:val="TableText0"/>
              <w:keepLines/>
              <w:jc w:val="center"/>
              <w:rPr>
                <w:highlight w:val="black"/>
              </w:rPr>
            </w:pPr>
            <w:r>
              <w:rPr>
                <w:noProof/>
                <w:color w:val="000000"/>
                <w:highlight w:val="black"/>
              </w:rPr>
              <w:t>'''''''''''''''''</w:t>
            </w:r>
          </w:p>
        </w:tc>
        <w:tc>
          <w:tcPr>
            <w:tcW w:w="1358" w:type="pct"/>
            <w:tcBorders>
              <w:top w:val="nil"/>
              <w:left w:val="single" w:sz="4" w:space="0" w:color="auto"/>
              <w:bottom w:val="single" w:sz="4" w:space="0" w:color="auto"/>
              <w:right w:val="single" w:sz="4" w:space="0" w:color="auto"/>
            </w:tcBorders>
            <w:shd w:val="clear" w:color="auto" w:fill="auto"/>
            <w:vAlign w:val="center"/>
          </w:tcPr>
          <w:p w:rsidR="00B65A3B" w:rsidRPr="006A083B" w:rsidRDefault="006A083B" w:rsidP="00D4073E">
            <w:pPr>
              <w:pStyle w:val="TableText0"/>
              <w:keepLines/>
              <w:jc w:val="center"/>
              <w:rPr>
                <w:highlight w:val="black"/>
              </w:rPr>
            </w:pPr>
            <w:r>
              <w:rPr>
                <w:noProof/>
                <w:color w:val="000000"/>
                <w:highlight w:val="black"/>
              </w:rPr>
              <w:t>'''''''</w:t>
            </w:r>
          </w:p>
        </w:tc>
      </w:tr>
      <w:tr w:rsidR="00B65A3B" w:rsidRPr="00EC6E05" w:rsidTr="00BC3B0B">
        <w:tc>
          <w:tcPr>
            <w:tcW w:w="2489" w:type="pct"/>
            <w:vAlign w:val="center"/>
          </w:tcPr>
          <w:p w:rsidR="00B65A3B" w:rsidRPr="00EC6E05" w:rsidRDefault="00B65A3B" w:rsidP="00D4073E">
            <w:pPr>
              <w:pStyle w:val="TableText0"/>
              <w:keepLines/>
            </w:pPr>
            <w:r w:rsidRPr="00EC6E05">
              <w:t>Specialist visit</w:t>
            </w:r>
          </w:p>
        </w:tc>
        <w:tc>
          <w:tcPr>
            <w:tcW w:w="562" w:type="pct"/>
            <w:tcBorders>
              <w:top w:val="nil"/>
              <w:left w:val="single" w:sz="4" w:space="0" w:color="auto"/>
              <w:bottom w:val="single" w:sz="4" w:space="0" w:color="auto"/>
              <w:right w:val="single" w:sz="4" w:space="0" w:color="auto"/>
            </w:tcBorders>
            <w:shd w:val="clear" w:color="auto" w:fill="auto"/>
            <w:vAlign w:val="center"/>
          </w:tcPr>
          <w:p w:rsidR="00B65A3B" w:rsidRPr="006A083B" w:rsidRDefault="006A083B" w:rsidP="00D4073E">
            <w:pPr>
              <w:pStyle w:val="TableText0"/>
              <w:keepLines/>
              <w:jc w:val="center"/>
              <w:rPr>
                <w:highlight w:val="black"/>
              </w:rPr>
            </w:pPr>
            <w:r>
              <w:rPr>
                <w:noProof/>
                <w:color w:val="000000"/>
                <w:highlight w:val="black"/>
              </w:rPr>
              <w:t>''''''''''''''''''</w:t>
            </w:r>
          </w:p>
        </w:tc>
        <w:tc>
          <w:tcPr>
            <w:tcW w:w="590" w:type="pct"/>
            <w:tcBorders>
              <w:top w:val="nil"/>
              <w:left w:val="single" w:sz="4" w:space="0" w:color="auto"/>
              <w:bottom w:val="single" w:sz="4" w:space="0" w:color="auto"/>
              <w:right w:val="single" w:sz="4" w:space="0" w:color="auto"/>
            </w:tcBorders>
            <w:shd w:val="clear" w:color="auto" w:fill="auto"/>
            <w:vAlign w:val="center"/>
          </w:tcPr>
          <w:p w:rsidR="00B65A3B" w:rsidRPr="006A083B" w:rsidRDefault="006A083B" w:rsidP="00D4073E">
            <w:pPr>
              <w:pStyle w:val="TableText0"/>
              <w:keepLines/>
              <w:jc w:val="center"/>
              <w:rPr>
                <w:highlight w:val="black"/>
              </w:rPr>
            </w:pPr>
            <w:r>
              <w:rPr>
                <w:noProof/>
                <w:color w:val="000000"/>
                <w:highlight w:val="black"/>
              </w:rPr>
              <w:t>''''''''''''''''''</w:t>
            </w:r>
          </w:p>
        </w:tc>
        <w:tc>
          <w:tcPr>
            <w:tcW w:w="1358" w:type="pct"/>
            <w:tcBorders>
              <w:top w:val="nil"/>
              <w:left w:val="single" w:sz="4" w:space="0" w:color="auto"/>
              <w:bottom w:val="single" w:sz="4" w:space="0" w:color="auto"/>
              <w:right w:val="single" w:sz="4" w:space="0" w:color="auto"/>
            </w:tcBorders>
            <w:shd w:val="clear" w:color="auto" w:fill="auto"/>
            <w:vAlign w:val="center"/>
          </w:tcPr>
          <w:p w:rsidR="00B65A3B" w:rsidRPr="006A083B" w:rsidRDefault="006A083B" w:rsidP="00D4073E">
            <w:pPr>
              <w:pStyle w:val="TableText0"/>
              <w:keepLines/>
              <w:jc w:val="center"/>
              <w:rPr>
                <w:highlight w:val="black"/>
              </w:rPr>
            </w:pPr>
            <w:r>
              <w:rPr>
                <w:noProof/>
                <w:color w:val="000000"/>
                <w:highlight w:val="black"/>
              </w:rPr>
              <w:t>'''''''''''</w:t>
            </w:r>
          </w:p>
        </w:tc>
      </w:tr>
      <w:tr w:rsidR="00B65A3B" w:rsidRPr="00EC6E05" w:rsidTr="00BC3B0B">
        <w:tc>
          <w:tcPr>
            <w:tcW w:w="2489" w:type="pct"/>
            <w:tcBorders>
              <w:bottom w:val="single" w:sz="4" w:space="0" w:color="auto"/>
            </w:tcBorders>
            <w:vAlign w:val="center"/>
          </w:tcPr>
          <w:p w:rsidR="00B65A3B" w:rsidRPr="00EC6E05" w:rsidRDefault="00B65A3B" w:rsidP="00D4073E">
            <w:pPr>
              <w:pStyle w:val="TableText0"/>
              <w:keepLines/>
            </w:pPr>
            <w:r w:rsidRPr="00EC6E05">
              <w:t>Total cost of treatment</w:t>
            </w:r>
          </w:p>
        </w:tc>
        <w:tc>
          <w:tcPr>
            <w:tcW w:w="562" w:type="pct"/>
            <w:tcBorders>
              <w:top w:val="nil"/>
              <w:left w:val="single" w:sz="4" w:space="0" w:color="auto"/>
              <w:bottom w:val="single" w:sz="4" w:space="0" w:color="auto"/>
              <w:right w:val="single" w:sz="4" w:space="0" w:color="auto"/>
            </w:tcBorders>
            <w:shd w:val="clear" w:color="auto" w:fill="auto"/>
            <w:vAlign w:val="center"/>
          </w:tcPr>
          <w:p w:rsidR="00B65A3B" w:rsidRPr="006A083B" w:rsidRDefault="006A083B" w:rsidP="00D4073E">
            <w:pPr>
              <w:pStyle w:val="TableText0"/>
              <w:keepLines/>
              <w:jc w:val="center"/>
              <w:rPr>
                <w:highlight w:val="black"/>
              </w:rPr>
            </w:pPr>
            <w:r>
              <w:rPr>
                <w:noProof/>
                <w:color w:val="000000"/>
                <w:highlight w:val="black"/>
              </w:rPr>
              <w:t>''''''''''''''''''''</w:t>
            </w:r>
          </w:p>
        </w:tc>
        <w:tc>
          <w:tcPr>
            <w:tcW w:w="590" w:type="pct"/>
            <w:tcBorders>
              <w:top w:val="nil"/>
              <w:left w:val="single" w:sz="4" w:space="0" w:color="auto"/>
              <w:bottom w:val="single" w:sz="4" w:space="0" w:color="auto"/>
              <w:right w:val="single" w:sz="4" w:space="0" w:color="auto"/>
            </w:tcBorders>
            <w:shd w:val="clear" w:color="auto" w:fill="auto"/>
            <w:vAlign w:val="center"/>
          </w:tcPr>
          <w:p w:rsidR="00B65A3B" w:rsidRPr="006A083B" w:rsidRDefault="006A083B" w:rsidP="00D4073E">
            <w:pPr>
              <w:pStyle w:val="TableText0"/>
              <w:keepLines/>
              <w:jc w:val="center"/>
              <w:rPr>
                <w:highlight w:val="black"/>
              </w:rPr>
            </w:pPr>
            <w:r>
              <w:rPr>
                <w:noProof/>
                <w:color w:val="000000"/>
                <w:highlight w:val="black"/>
              </w:rPr>
              <w:t>''''''''''''''''''''''</w:t>
            </w:r>
          </w:p>
        </w:tc>
        <w:tc>
          <w:tcPr>
            <w:tcW w:w="1358" w:type="pct"/>
            <w:tcBorders>
              <w:top w:val="nil"/>
              <w:left w:val="single" w:sz="4" w:space="0" w:color="auto"/>
              <w:bottom w:val="single" w:sz="4" w:space="0" w:color="auto"/>
              <w:right w:val="single" w:sz="4" w:space="0" w:color="auto"/>
            </w:tcBorders>
            <w:shd w:val="clear" w:color="auto" w:fill="auto"/>
            <w:vAlign w:val="center"/>
          </w:tcPr>
          <w:p w:rsidR="00B65A3B" w:rsidRPr="006A083B" w:rsidRDefault="006A083B" w:rsidP="00D4073E">
            <w:pPr>
              <w:pStyle w:val="TableText0"/>
              <w:keepLines/>
              <w:jc w:val="center"/>
              <w:rPr>
                <w:highlight w:val="black"/>
              </w:rPr>
            </w:pPr>
            <w:r>
              <w:rPr>
                <w:noProof/>
                <w:color w:val="000000"/>
                <w:highlight w:val="black"/>
              </w:rPr>
              <w:t>''''''''''''''''''''</w:t>
            </w:r>
          </w:p>
        </w:tc>
      </w:tr>
    </w:tbl>
    <w:p w:rsidR="00B65A3B" w:rsidRPr="00EC6E05" w:rsidRDefault="00B65A3B" w:rsidP="00D4073E">
      <w:pPr>
        <w:pStyle w:val="TableFigureFooter"/>
        <w:keepNext/>
        <w:keepLines/>
        <w:spacing w:after="240"/>
        <w:contextualSpacing w:val="0"/>
      </w:pPr>
      <w:r w:rsidRPr="00EC6E05">
        <w:t xml:space="preserve">Source: Table 3.4-9 p160 of the submission; CMA </w:t>
      </w:r>
      <w:proofErr w:type="spellStart"/>
      <w:r w:rsidRPr="00EC6E05">
        <w:t>Avelumab</w:t>
      </w:r>
      <w:proofErr w:type="spellEnd"/>
      <w:r w:rsidRPr="00EC6E05">
        <w:t xml:space="preserve"> </w:t>
      </w:r>
      <w:proofErr w:type="spellStart"/>
      <w:r w:rsidRPr="00EC6E05">
        <w:t>Axitinib</w:t>
      </w:r>
      <w:proofErr w:type="spellEnd"/>
      <w:r w:rsidRPr="00EC6E05">
        <w:t xml:space="preserve"> vs </w:t>
      </w:r>
      <w:proofErr w:type="spellStart"/>
      <w:r w:rsidRPr="00EC6E05">
        <w:t>Nivolumab</w:t>
      </w:r>
      <w:proofErr w:type="spellEnd"/>
      <w:r w:rsidRPr="00EC6E05">
        <w:t xml:space="preserve"> Ipilimumab.xlsx, worksheet ‘Results’. </w:t>
      </w:r>
    </w:p>
    <w:p w:rsidR="00BC3B0B" w:rsidRPr="00EC6E05" w:rsidRDefault="00BC3B0B" w:rsidP="00BF2EA7">
      <w:pPr>
        <w:pStyle w:val="3-BodyText"/>
      </w:pPr>
      <w:r w:rsidRPr="00EC6E05">
        <w:t xml:space="preserve">The results of sensitivity analyses </w:t>
      </w:r>
      <w:proofErr w:type="gramStart"/>
      <w:r w:rsidRPr="00EC6E05">
        <w:t>are provided</w:t>
      </w:r>
      <w:proofErr w:type="gramEnd"/>
      <w:r w:rsidRPr="00EC6E05">
        <w:t xml:space="preserve"> in </w:t>
      </w:r>
      <w:r w:rsidR="00291A90">
        <w:t>Table 11</w:t>
      </w:r>
      <w:r w:rsidRPr="00EC6E05">
        <w:t xml:space="preserve">. The sensitivity analyses </w:t>
      </w:r>
      <w:proofErr w:type="gramStart"/>
      <w:r w:rsidRPr="00EC6E05">
        <w:t xml:space="preserve">were </w:t>
      </w:r>
      <w:r w:rsidR="00140A9C" w:rsidRPr="00EC6E05">
        <w:t>based</w:t>
      </w:r>
      <w:proofErr w:type="gramEnd"/>
      <w:r w:rsidR="00140A9C" w:rsidRPr="00EC6E05">
        <w:t xml:space="preserve"> on a scenario in which</w:t>
      </w:r>
      <w:r w:rsidRPr="00EC6E05">
        <w:t xml:space="preserve"> the incremental cost of treatment with AVE</w:t>
      </w:r>
      <w:r w:rsidR="00D4073E" w:rsidRPr="00EC6E05">
        <w:t xml:space="preserve"> </w:t>
      </w:r>
      <w:r w:rsidRPr="00EC6E05">
        <w:t>+</w:t>
      </w:r>
      <w:r w:rsidR="00D4073E" w:rsidRPr="00EC6E05">
        <w:t xml:space="preserve"> </w:t>
      </w:r>
      <w:r w:rsidRPr="00EC6E05">
        <w:t xml:space="preserve">AXI </w:t>
      </w:r>
      <w:r w:rsidR="00140A9C" w:rsidRPr="00EC6E05">
        <w:t xml:space="preserve">is </w:t>
      </w:r>
      <w:r w:rsidRPr="00EC6E05">
        <w:t xml:space="preserve">set to $0. </w:t>
      </w:r>
      <w:r w:rsidR="00140A9C" w:rsidRPr="00EC6E05">
        <w:t xml:space="preserve">The table includes a column outlining the DPMA per 800 mg dose of </w:t>
      </w:r>
      <w:proofErr w:type="spellStart"/>
      <w:r w:rsidR="00140A9C" w:rsidRPr="00EC6E05">
        <w:t>avelumab</w:t>
      </w:r>
      <w:proofErr w:type="spellEnd"/>
      <w:r w:rsidR="00140A9C" w:rsidRPr="00EC6E05">
        <w:t xml:space="preserve"> required to achieve an incremental cost of $0 in each analysis. This was conducted by adjusting the </w:t>
      </w:r>
      <w:proofErr w:type="spellStart"/>
      <w:r w:rsidR="00140A9C" w:rsidRPr="00EC6E05">
        <w:t>avelumab</w:t>
      </w:r>
      <w:proofErr w:type="spellEnd"/>
      <w:r w:rsidR="00140A9C" w:rsidRPr="00EC6E05">
        <w:t xml:space="preserve"> price only (i.e. the </w:t>
      </w:r>
      <w:proofErr w:type="spellStart"/>
      <w:r w:rsidR="00140A9C" w:rsidRPr="00EC6E05">
        <w:t>axitinib</w:t>
      </w:r>
      <w:proofErr w:type="spellEnd"/>
      <w:r w:rsidR="00140A9C" w:rsidRPr="00EC6E05">
        <w:t xml:space="preserve"> price was assumed to remain the same). </w:t>
      </w:r>
    </w:p>
    <w:p w:rsidR="00BC3B0B" w:rsidRPr="00EC6E05" w:rsidRDefault="00BC3B0B" w:rsidP="003C29F4">
      <w:pPr>
        <w:pStyle w:val="2-SectionHeading"/>
        <w:keepLines/>
        <w:numPr>
          <w:ilvl w:val="0"/>
          <w:numId w:val="0"/>
        </w:numPr>
        <w:spacing w:after="0"/>
        <w:outlineLvl w:val="9"/>
        <w:rPr>
          <w:rStyle w:val="CommentReference"/>
          <w:b/>
          <w:szCs w:val="24"/>
        </w:rPr>
      </w:pPr>
      <w:bookmarkStart w:id="35" w:name="_Toc30597915"/>
      <w:bookmarkStart w:id="36" w:name="_Toc30600760"/>
      <w:r w:rsidRPr="00EC6E05">
        <w:rPr>
          <w:rStyle w:val="CommentReference"/>
          <w:b/>
          <w:szCs w:val="24"/>
        </w:rPr>
        <w:lastRenderedPageBreak/>
        <w:t>Table 1</w:t>
      </w:r>
      <w:r w:rsidR="00291A90">
        <w:rPr>
          <w:rStyle w:val="CommentReference"/>
          <w:b/>
          <w:szCs w:val="24"/>
        </w:rPr>
        <w:t>1</w:t>
      </w:r>
      <w:r w:rsidRPr="00EC6E05">
        <w:rPr>
          <w:rStyle w:val="CommentReference"/>
          <w:b/>
          <w:szCs w:val="24"/>
        </w:rPr>
        <w:t>: Results of sensitivity analysis (based on published DPMQ/DPMAs)</w:t>
      </w:r>
      <w:bookmarkEnd w:id="35"/>
      <w:bookmarkEnd w:id="36"/>
    </w:p>
    <w:tbl>
      <w:tblPr>
        <w:tblStyle w:val="TableGrid"/>
        <w:tblW w:w="5000" w:type="pct"/>
        <w:tblLayout w:type="fixed"/>
        <w:tblLook w:val="04A0" w:firstRow="1" w:lastRow="0" w:firstColumn="1" w:lastColumn="0" w:noHBand="0" w:noVBand="1"/>
        <w:tblCaption w:val="Table 11: Results of sensitivity analysis (based on published DPMQ/DPMAs)"/>
      </w:tblPr>
      <w:tblGrid>
        <w:gridCol w:w="1977"/>
        <w:gridCol w:w="992"/>
        <w:gridCol w:w="992"/>
        <w:gridCol w:w="992"/>
        <w:gridCol w:w="709"/>
        <w:gridCol w:w="994"/>
        <w:gridCol w:w="1134"/>
        <w:gridCol w:w="1226"/>
      </w:tblGrid>
      <w:tr w:rsidR="00BC3B0B" w:rsidRPr="00EC6E05" w:rsidTr="001031D8">
        <w:trPr>
          <w:tblHeader/>
        </w:trPr>
        <w:tc>
          <w:tcPr>
            <w:tcW w:w="1097" w:type="pct"/>
            <w:vMerge w:val="restart"/>
            <w:shd w:val="clear" w:color="auto" w:fill="auto"/>
            <w:vAlign w:val="center"/>
          </w:tcPr>
          <w:p w:rsidR="00BC3B0B" w:rsidRPr="00EC6E05" w:rsidRDefault="00BC3B0B" w:rsidP="003C29F4">
            <w:pPr>
              <w:pStyle w:val="TableText0"/>
              <w:keepLines/>
            </w:pPr>
          </w:p>
        </w:tc>
        <w:tc>
          <w:tcPr>
            <w:tcW w:w="1100" w:type="pct"/>
            <w:gridSpan w:val="2"/>
            <w:tcBorders>
              <w:bottom w:val="single" w:sz="4" w:space="0" w:color="auto"/>
            </w:tcBorders>
            <w:shd w:val="clear" w:color="auto" w:fill="auto"/>
            <w:vAlign w:val="center"/>
          </w:tcPr>
          <w:p w:rsidR="00BC3B0B" w:rsidRPr="00EC6E05" w:rsidRDefault="00BC3B0B" w:rsidP="003C29F4">
            <w:pPr>
              <w:pStyle w:val="In-tableHeading"/>
              <w:keepLines/>
              <w:jc w:val="center"/>
              <w:rPr>
                <w:lang w:val="en-AU"/>
              </w:rPr>
            </w:pPr>
            <w:r w:rsidRPr="00EC6E05">
              <w:rPr>
                <w:lang w:val="en-AU"/>
              </w:rPr>
              <w:t>Total cost of treatment</w:t>
            </w:r>
          </w:p>
        </w:tc>
        <w:tc>
          <w:tcPr>
            <w:tcW w:w="943" w:type="pct"/>
            <w:gridSpan w:val="2"/>
            <w:tcBorders>
              <w:bottom w:val="single" w:sz="4" w:space="0" w:color="auto"/>
            </w:tcBorders>
          </w:tcPr>
          <w:p w:rsidR="00BC3B0B" w:rsidRPr="00EC6E05" w:rsidRDefault="00BC3B0B" w:rsidP="003C29F4">
            <w:pPr>
              <w:pStyle w:val="In-tableHeading"/>
              <w:keepLines/>
              <w:jc w:val="center"/>
              <w:rPr>
                <w:lang w:val="en-AU"/>
              </w:rPr>
            </w:pPr>
            <w:r w:rsidRPr="00EC6E05">
              <w:rPr>
                <w:lang w:val="en-AU"/>
              </w:rPr>
              <w:t>Treatment duration (months)</w:t>
            </w:r>
          </w:p>
        </w:tc>
        <w:tc>
          <w:tcPr>
            <w:tcW w:w="551" w:type="pct"/>
            <w:vMerge w:val="restart"/>
          </w:tcPr>
          <w:p w:rsidR="00BC3B0B" w:rsidRPr="00EC6E05" w:rsidRDefault="007C404B" w:rsidP="003C29F4">
            <w:pPr>
              <w:pStyle w:val="In-tableHeading"/>
              <w:keepLines/>
              <w:jc w:val="center"/>
              <w:rPr>
                <w:vertAlign w:val="superscript"/>
                <w:lang w:val="en-AU"/>
              </w:rPr>
            </w:pPr>
            <w:r w:rsidRPr="00EC6E05">
              <w:rPr>
                <w:lang w:val="en-AU"/>
              </w:rPr>
              <w:t>DPMA</w:t>
            </w:r>
            <w:r w:rsidR="00BC3B0B" w:rsidRPr="00EC6E05">
              <w:rPr>
                <w:lang w:val="en-AU"/>
              </w:rPr>
              <w:t xml:space="preserve"> per AVE</w:t>
            </w:r>
            <w:r w:rsidRPr="00EC6E05">
              <w:rPr>
                <w:lang w:val="en-AU"/>
              </w:rPr>
              <w:t xml:space="preserve"> dose</w:t>
            </w:r>
            <w:r w:rsidR="00BC3B0B" w:rsidRPr="00EC6E05">
              <w:rPr>
                <w:lang w:val="en-AU"/>
              </w:rPr>
              <w:t xml:space="preserve"> </w:t>
            </w:r>
            <w:r w:rsidR="00BC3B0B" w:rsidRPr="00EC6E05">
              <w:rPr>
                <w:vertAlign w:val="superscript"/>
                <w:lang w:val="en-AU"/>
              </w:rPr>
              <w:t>a</w:t>
            </w:r>
          </w:p>
        </w:tc>
        <w:tc>
          <w:tcPr>
            <w:tcW w:w="629" w:type="pct"/>
            <w:vMerge w:val="restart"/>
          </w:tcPr>
          <w:p w:rsidR="00BC3B0B" w:rsidRPr="00EC6E05" w:rsidRDefault="00BC3B0B" w:rsidP="003C29F4">
            <w:pPr>
              <w:pStyle w:val="In-tableHeading"/>
              <w:keepLines/>
              <w:jc w:val="center"/>
              <w:rPr>
                <w:lang w:val="en-AU"/>
              </w:rPr>
            </w:pPr>
            <w:r w:rsidRPr="00EC6E05">
              <w:rPr>
                <w:lang w:val="en-AU"/>
              </w:rPr>
              <w:t xml:space="preserve">% change to AVE+AXI price required </w:t>
            </w:r>
            <w:r w:rsidRPr="00EC6E05">
              <w:rPr>
                <w:vertAlign w:val="superscript"/>
                <w:lang w:val="en-AU"/>
              </w:rPr>
              <w:t>b</w:t>
            </w:r>
            <w:r w:rsidRPr="00EC6E05">
              <w:rPr>
                <w:lang w:val="en-AU"/>
              </w:rPr>
              <w:t xml:space="preserve"> </w:t>
            </w:r>
          </w:p>
        </w:tc>
        <w:tc>
          <w:tcPr>
            <w:tcW w:w="679" w:type="pct"/>
            <w:vMerge w:val="restart"/>
            <w:shd w:val="clear" w:color="auto" w:fill="auto"/>
            <w:vAlign w:val="center"/>
          </w:tcPr>
          <w:p w:rsidR="00BC3B0B" w:rsidRPr="00EC6E05" w:rsidRDefault="00BC3B0B" w:rsidP="003C29F4">
            <w:pPr>
              <w:pStyle w:val="In-tableHeading"/>
              <w:keepLines/>
              <w:jc w:val="center"/>
              <w:rPr>
                <w:lang w:val="en-AU"/>
              </w:rPr>
            </w:pPr>
            <w:r w:rsidRPr="00EC6E05">
              <w:rPr>
                <w:lang w:val="en-AU"/>
              </w:rPr>
              <w:t>Incremental cost</w:t>
            </w:r>
          </w:p>
        </w:tc>
      </w:tr>
      <w:tr w:rsidR="00BC3B0B" w:rsidRPr="00EC6E05" w:rsidTr="00A41616">
        <w:trPr>
          <w:tblHeader/>
        </w:trPr>
        <w:tc>
          <w:tcPr>
            <w:tcW w:w="1097" w:type="pct"/>
            <w:vMerge/>
            <w:tcBorders>
              <w:bottom w:val="single" w:sz="4" w:space="0" w:color="auto"/>
            </w:tcBorders>
            <w:shd w:val="clear" w:color="auto" w:fill="auto"/>
            <w:vAlign w:val="center"/>
          </w:tcPr>
          <w:p w:rsidR="00BC3B0B" w:rsidRPr="00EC6E05" w:rsidRDefault="00BC3B0B" w:rsidP="003C29F4">
            <w:pPr>
              <w:pStyle w:val="TableText0"/>
              <w:keepLines/>
            </w:pPr>
          </w:p>
        </w:tc>
        <w:tc>
          <w:tcPr>
            <w:tcW w:w="550" w:type="pct"/>
            <w:tcBorders>
              <w:bottom w:val="single" w:sz="4" w:space="0" w:color="auto"/>
            </w:tcBorders>
            <w:shd w:val="clear" w:color="auto" w:fill="auto"/>
            <w:vAlign w:val="center"/>
          </w:tcPr>
          <w:p w:rsidR="003B198C" w:rsidRPr="00EC6E05" w:rsidRDefault="00BC3B0B" w:rsidP="003C29F4">
            <w:pPr>
              <w:pStyle w:val="In-tableHeading"/>
              <w:keepLines/>
              <w:jc w:val="center"/>
              <w:rPr>
                <w:lang w:val="en-AU"/>
              </w:rPr>
            </w:pPr>
            <w:r w:rsidRPr="00EC6E05">
              <w:rPr>
                <w:lang w:val="en-AU"/>
              </w:rPr>
              <w:t>AVE +</w:t>
            </w:r>
          </w:p>
          <w:p w:rsidR="00BC3B0B" w:rsidRPr="00EC6E05" w:rsidRDefault="00BC3B0B" w:rsidP="003C29F4">
            <w:pPr>
              <w:pStyle w:val="In-tableHeading"/>
              <w:keepLines/>
              <w:jc w:val="center"/>
              <w:rPr>
                <w:lang w:val="en-AU"/>
              </w:rPr>
            </w:pPr>
            <w:r w:rsidRPr="00EC6E05">
              <w:rPr>
                <w:lang w:val="en-AU"/>
              </w:rPr>
              <w:t> AXI</w:t>
            </w:r>
          </w:p>
        </w:tc>
        <w:tc>
          <w:tcPr>
            <w:tcW w:w="550" w:type="pct"/>
            <w:tcBorders>
              <w:bottom w:val="single" w:sz="4" w:space="0" w:color="auto"/>
            </w:tcBorders>
            <w:shd w:val="clear" w:color="auto" w:fill="auto"/>
            <w:vAlign w:val="center"/>
          </w:tcPr>
          <w:p w:rsidR="003B198C" w:rsidRPr="00EC6E05" w:rsidRDefault="00BC3B0B" w:rsidP="003C29F4">
            <w:pPr>
              <w:pStyle w:val="In-tableHeading"/>
              <w:keepLines/>
              <w:jc w:val="center"/>
              <w:rPr>
                <w:lang w:val="en-AU"/>
              </w:rPr>
            </w:pPr>
            <w:r w:rsidRPr="00EC6E05">
              <w:rPr>
                <w:lang w:val="en-AU"/>
              </w:rPr>
              <w:t>NIVO </w:t>
            </w:r>
          </w:p>
          <w:p w:rsidR="00BC3B0B" w:rsidRPr="00EC6E05" w:rsidRDefault="00BC3B0B" w:rsidP="003C29F4">
            <w:pPr>
              <w:pStyle w:val="In-tableHeading"/>
              <w:keepLines/>
              <w:jc w:val="center"/>
              <w:rPr>
                <w:lang w:val="en-AU"/>
              </w:rPr>
            </w:pPr>
            <w:r w:rsidRPr="00EC6E05">
              <w:rPr>
                <w:lang w:val="en-AU"/>
              </w:rPr>
              <w:t>+ IPI</w:t>
            </w:r>
          </w:p>
        </w:tc>
        <w:tc>
          <w:tcPr>
            <w:tcW w:w="550" w:type="pct"/>
            <w:tcBorders>
              <w:bottom w:val="single" w:sz="4" w:space="0" w:color="auto"/>
            </w:tcBorders>
            <w:vAlign w:val="center"/>
          </w:tcPr>
          <w:p w:rsidR="003B198C" w:rsidRPr="00EC6E05" w:rsidRDefault="00BC3B0B" w:rsidP="003C29F4">
            <w:pPr>
              <w:pStyle w:val="In-tableHeading"/>
              <w:keepLines/>
              <w:jc w:val="center"/>
              <w:rPr>
                <w:lang w:val="en-AU"/>
              </w:rPr>
            </w:pPr>
            <w:r w:rsidRPr="00EC6E05">
              <w:rPr>
                <w:lang w:val="en-AU"/>
              </w:rPr>
              <w:t>AVE + </w:t>
            </w:r>
          </w:p>
          <w:p w:rsidR="00BC3B0B" w:rsidRPr="00EC6E05" w:rsidRDefault="00BC3B0B" w:rsidP="003C29F4">
            <w:pPr>
              <w:pStyle w:val="In-tableHeading"/>
              <w:keepLines/>
              <w:jc w:val="center"/>
              <w:rPr>
                <w:lang w:val="en-AU"/>
              </w:rPr>
            </w:pPr>
            <w:r w:rsidRPr="00EC6E05">
              <w:rPr>
                <w:lang w:val="en-AU"/>
              </w:rPr>
              <w:t>AXI</w:t>
            </w:r>
          </w:p>
        </w:tc>
        <w:tc>
          <w:tcPr>
            <w:tcW w:w="393" w:type="pct"/>
            <w:tcBorders>
              <w:bottom w:val="single" w:sz="4" w:space="0" w:color="auto"/>
            </w:tcBorders>
            <w:vAlign w:val="center"/>
          </w:tcPr>
          <w:p w:rsidR="00BC3B0B" w:rsidRPr="00EC6E05" w:rsidRDefault="00BC3B0B" w:rsidP="003C29F4">
            <w:pPr>
              <w:pStyle w:val="In-tableHeading"/>
              <w:keepLines/>
              <w:jc w:val="center"/>
              <w:rPr>
                <w:lang w:val="en-AU"/>
              </w:rPr>
            </w:pPr>
            <w:r w:rsidRPr="00EC6E05">
              <w:rPr>
                <w:lang w:val="en-AU"/>
              </w:rPr>
              <w:t>NIVO + IPI</w:t>
            </w:r>
          </w:p>
        </w:tc>
        <w:tc>
          <w:tcPr>
            <w:tcW w:w="551" w:type="pct"/>
            <w:vMerge/>
            <w:tcBorders>
              <w:bottom w:val="single" w:sz="4" w:space="0" w:color="auto"/>
            </w:tcBorders>
          </w:tcPr>
          <w:p w:rsidR="00BC3B0B" w:rsidRPr="00EC6E05" w:rsidRDefault="00BC3B0B" w:rsidP="003C29F4">
            <w:pPr>
              <w:pStyle w:val="In-tableHeading"/>
              <w:keepLines/>
              <w:jc w:val="center"/>
              <w:rPr>
                <w:lang w:val="en-AU"/>
              </w:rPr>
            </w:pPr>
          </w:p>
        </w:tc>
        <w:tc>
          <w:tcPr>
            <w:tcW w:w="629" w:type="pct"/>
            <w:vMerge/>
            <w:tcBorders>
              <w:bottom w:val="single" w:sz="4" w:space="0" w:color="auto"/>
            </w:tcBorders>
          </w:tcPr>
          <w:p w:rsidR="00BC3B0B" w:rsidRPr="00EC6E05" w:rsidRDefault="00BC3B0B" w:rsidP="003C29F4">
            <w:pPr>
              <w:pStyle w:val="In-tableHeading"/>
              <w:keepLines/>
              <w:jc w:val="center"/>
              <w:rPr>
                <w:lang w:val="en-AU"/>
              </w:rPr>
            </w:pPr>
          </w:p>
        </w:tc>
        <w:tc>
          <w:tcPr>
            <w:tcW w:w="679" w:type="pct"/>
            <w:vMerge/>
            <w:tcBorders>
              <w:bottom w:val="single" w:sz="4" w:space="0" w:color="auto"/>
            </w:tcBorders>
            <w:shd w:val="clear" w:color="auto" w:fill="auto"/>
            <w:vAlign w:val="center"/>
          </w:tcPr>
          <w:p w:rsidR="00BC3B0B" w:rsidRPr="00EC6E05" w:rsidRDefault="00BC3B0B" w:rsidP="003C29F4">
            <w:pPr>
              <w:pStyle w:val="In-tableHeading"/>
              <w:keepLines/>
              <w:jc w:val="center"/>
              <w:rPr>
                <w:lang w:val="en-AU"/>
              </w:rPr>
            </w:pPr>
          </w:p>
        </w:tc>
      </w:tr>
      <w:tr w:rsidR="00BC3B0B" w:rsidRPr="001207CD" w:rsidTr="00A41616">
        <w:tc>
          <w:tcPr>
            <w:tcW w:w="1097" w:type="pct"/>
            <w:tcBorders>
              <w:bottom w:val="single" w:sz="4" w:space="0" w:color="auto"/>
            </w:tcBorders>
            <w:vAlign w:val="center"/>
          </w:tcPr>
          <w:p w:rsidR="00BC3B0B" w:rsidRPr="001207CD" w:rsidRDefault="00BC3B0B" w:rsidP="003C29F4">
            <w:pPr>
              <w:pStyle w:val="TableText0"/>
              <w:keepLines/>
            </w:pPr>
            <w:r w:rsidRPr="001207CD">
              <w:rPr>
                <w:b/>
                <w:bCs w:val="0"/>
              </w:rPr>
              <w:t>Base case</w:t>
            </w:r>
            <w:r w:rsidRPr="001207CD" w:rsidDel="00691641">
              <w:t xml:space="preserve"> </w:t>
            </w:r>
          </w:p>
        </w:tc>
        <w:tc>
          <w:tcPr>
            <w:tcW w:w="550" w:type="pct"/>
            <w:tcBorders>
              <w:top w:val="nil"/>
              <w:left w:val="single" w:sz="4" w:space="0" w:color="auto"/>
              <w:bottom w:val="single" w:sz="4" w:space="0" w:color="auto"/>
              <w:right w:val="single" w:sz="4" w:space="0" w:color="auto"/>
            </w:tcBorders>
            <w:shd w:val="clear" w:color="auto" w:fill="auto"/>
            <w:vAlign w:val="center"/>
          </w:tcPr>
          <w:p w:rsidR="00BC3B0B" w:rsidRPr="006A083B" w:rsidRDefault="006A083B" w:rsidP="003C29F4">
            <w:pPr>
              <w:pStyle w:val="TableText0"/>
              <w:keepLines/>
              <w:jc w:val="center"/>
              <w:rPr>
                <w:highlight w:val="black"/>
              </w:rPr>
            </w:pPr>
            <w:r>
              <w:rPr>
                <w:noProof/>
                <w:color w:val="000000"/>
                <w:highlight w:val="black"/>
              </w:rPr>
              <w:t>'''''''''''''''''''''</w:t>
            </w:r>
          </w:p>
        </w:tc>
        <w:tc>
          <w:tcPr>
            <w:tcW w:w="550" w:type="pct"/>
            <w:tcBorders>
              <w:top w:val="nil"/>
              <w:left w:val="single" w:sz="4" w:space="0" w:color="auto"/>
              <w:bottom w:val="single" w:sz="4" w:space="0" w:color="auto"/>
              <w:right w:val="single" w:sz="4" w:space="0" w:color="auto"/>
            </w:tcBorders>
            <w:shd w:val="clear" w:color="auto" w:fill="auto"/>
            <w:vAlign w:val="center"/>
          </w:tcPr>
          <w:p w:rsidR="00BC3B0B" w:rsidRPr="006A083B" w:rsidRDefault="006A083B" w:rsidP="003C29F4">
            <w:pPr>
              <w:pStyle w:val="TableText0"/>
              <w:keepLines/>
              <w:jc w:val="center"/>
              <w:rPr>
                <w:highlight w:val="black"/>
              </w:rPr>
            </w:pPr>
            <w:r>
              <w:rPr>
                <w:noProof/>
                <w:color w:val="000000"/>
                <w:highlight w:val="black"/>
              </w:rPr>
              <w:t>'''''''''''''''''''''''</w:t>
            </w:r>
          </w:p>
        </w:tc>
        <w:tc>
          <w:tcPr>
            <w:tcW w:w="550" w:type="pct"/>
            <w:tcBorders>
              <w:top w:val="nil"/>
              <w:left w:val="single" w:sz="4" w:space="0" w:color="auto"/>
              <w:bottom w:val="single" w:sz="4" w:space="0" w:color="auto"/>
              <w:right w:val="single" w:sz="4" w:space="0" w:color="auto"/>
            </w:tcBorders>
            <w:vAlign w:val="center"/>
          </w:tcPr>
          <w:p w:rsidR="00BC3B0B" w:rsidRPr="006A083B" w:rsidRDefault="006A083B" w:rsidP="003C29F4">
            <w:pPr>
              <w:pStyle w:val="TableText0"/>
              <w:keepLines/>
              <w:jc w:val="center"/>
              <w:rPr>
                <w:highlight w:val="black"/>
              </w:rPr>
            </w:pPr>
            <w:r>
              <w:rPr>
                <w:noProof/>
                <w:color w:val="000000"/>
                <w:highlight w:val="black"/>
              </w:rPr>
              <w:t>''''''''''</w:t>
            </w:r>
          </w:p>
        </w:tc>
        <w:tc>
          <w:tcPr>
            <w:tcW w:w="393" w:type="pct"/>
            <w:tcBorders>
              <w:top w:val="nil"/>
              <w:left w:val="single" w:sz="4" w:space="0" w:color="auto"/>
              <w:bottom w:val="single" w:sz="4" w:space="0" w:color="auto"/>
              <w:right w:val="single" w:sz="4" w:space="0" w:color="auto"/>
            </w:tcBorders>
            <w:vAlign w:val="center"/>
          </w:tcPr>
          <w:p w:rsidR="00BC3B0B" w:rsidRPr="006A083B" w:rsidRDefault="006A083B" w:rsidP="003C29F4">
            <w:pPr>
              <w:pStyle w:val="TableText0"/>
              <w:keepLines/>
              <w:jc w:val="center"/>
              <w:rPr>
                <w:highlight w:val="black"/>
              </w:rPr>
            </w:pPr>
            <w:r>
              <w:rPr>
                <w:noProof/>
                <w:color w:val="000000"/>
                <w:highlight w:val="black"/>
              </w:rPr>
              <w:t>''''''''''</w:t>
            </w:r>
          </w:p>
        </w:tc>
        <w:tc>
          <w:tcPr>
            <w:tcW w:w="551" w:type="pct"/>
            <w:tcBorders>
              <w:top w:val="nil"/>
              <w:left w:val="single" w:sz="4" w:space="0" w:color="auto"/>
              <w:bottom w:val="single" w:sz="4" w:space="0" w:color="auto"/>
              <w:right w:val="single" w:sz="4" w:space="0" w:color="auto"/>
            </w:tcBorders>
            <w:vAlign w:val="center"/>
          </w:tcPr>
          <w:p w:rsidR="00BC3B0B" w:rsidRPr="006A083B" w:rsidRDefault="006A083B" w:rsidP="003C29F4">
            <w:pPr>
              <w:pStyle w:val="TableText0"/>
              <w:keepLines/>
              <w:jc w:val="center"/>
              <w:rPr>
                <w:highlight w:val="black"/>
              </w:rPr>
            </w:pPr>
            <w:r>
              <w:rPr>
                <w:noProof/>
                <w:color w:val="000000"/>
                <w:highlight w:val="black"/>
              </w:rPr>
              <w:t>'''''''''''''''</w:t>
            </w:r>
          </w:p>
        </w:tc>
        <w:tc>
          <w:tcPr>
            <w:tcW w:w="629" w:type="pct"/>
            <w:tcBorders>
              <w:top w:val="nil"/>
              <w:left w:val="single" w:sz="4" w:space="0" w:color="auto"/>
              <w:bottom w:val="single" w:sz="4" w:space="0" w:color="auto"/>
              <w:right w:val="single" w:sz="4" w:space="0" w:color="auto"/>
            </w:tcBorders>
            <w:vAlign w:val="center"/>
          </w:tcPr>
          <w:p w:rsidR="00BC3B0B" w:rsidRPr="006A083B" w:rsidRDefault="006A083B" w:rsidP="003C29F4">
            <w:pPr>
              <w:pStyle w:val="TableText0"/>
              <w:keepLines/>
              <w:jc w:val="center"/>
              <w:rPr>
                <w:highlight w:val="black"/>
              </w:rPr>
            </w:pPr>
            <w:r>
              <w:rPr>
                <w:noProof/>
                <w:color w:val="000000"/>
                <w:highlight w:val="black"/>
              </w:rPr>
              <w:t>''''''''''''</w:t>
            </w:r>
          </w:p>
        </w:tc>
        <w:tc>
          <w:tcPr>
            <w:tcW w:w="679" w:type="pct"/>
            <w:tcBorders>
              <w:top w:val="nil"/>
              <w:left w:val="single" w:sz="4" w:space="0" w:color="auto"/>
              <w:bottom w:val="single" w:sz="4" w:space="0" w:color="auto"/>
              <w:right w:val="single" w:sz="4" w:space="0" w:color="auto"/>
            </w:tcBorders>
            <w:shd w:val="clear" w:color="auto" w:fill="auto"/>
            <w:vAlign w:val="center"/>
          </w:tcPr>
          <w:p w:rsidR="00BC3B0B" w:rsidRPr="006A083B" w:rsidRDefault="006A083B" w:rsidP="003C29F4">
            <w:pPr>
              <w:pStyle w:val="TableText0"/>
              <w:keepLines/>
              <w:jc w:val="center"/>
              <w:rPr>
                <w:highlight w:val="black"/>
              </w:rPr>
            </w:pPr>
            <w:r>
              <w:rPr>
                <w:noProof/>
                <w:color w:val="000000"/>
                <w:highlight w:val="black"/>
              </w:rPr>
              <w:t>''''''''''''''''''</w:t>
            </w:r>
          </w:p>
        </w:tc>
      </w:tr>
      <w:tr w:rsidR="00BC3B0B" w:rsidRPr="001207CD" w:rsidTr="001031D8">
        <w:tc>
          <w:tcPr>
            <w:tcW w:w="5000" w:type="pct"/>
            <w:gridSpan w:val="8"/>
            <w:tcBorders>
              <w:top w:val="single" w:sz="4" w:space="0" w:color="auto"/>
              <w:bottom w:val="single" w:sz="4" w:space="0" w:color="auto"/>
              <w:right w:val="single" w:sz="4" w:space="0" w:color="auto"/>
            </w:tcBorders>
            <w:vAlign w:val="center"/>
          </w:tcPr>
          <w:p w:rsidR="00BC3B0B" w:rsidRPr="006A083B" w:rsidRDefault="006A083B" w:rsidP="003C29F4">
            <w:pPr>
              <w:pStyle w:val="TableText0"/>
              <w:keepLines/>
              <w:rPr>
                <w:b/>
                <w:bCs w:val="0"/>
                <w:highlight w:val="black"/>
              </w:rPr>
            </w:pPr>
            <w:r>
              <w:rPr>
                <w:b/>
                <w:bCs w:val="0"/>
                <w:iCs/>
                <w:noProof/>
                <w:color w:val="000000"/>
                <w:highlight w:val="black"/>
              </w:rPr>
              <w:t>'''''''''''''''''''' ''''''''''''''''</w:t>
            </w:r>
          </w:p>
        </w:tc>
      </w:tr>
      <w:tr w:rsidR="00BC3B0B" w:rsidRPr="001207CD" w:rsidTr="00A41616">
        <w:tc>
          <w:tcPr>
            <w:tcW w:w="1097" w:type="pct"/>
            <w:tcBorders>
              <w:top w:val="single" w:sz="4" w:space="0" w:color="auto"/>
              <w:bottom w:val="single" w:sz="4" w:space="0" w:color="auto"/>
            </w:tcBorders>
            <w:vAlign w:val="center"/>
          </w:tcPr>
          <w:p w:rsidR="00BC3B0B" w:rsidRPr="001207CD" w:rsidRDefault="00BC3B0B" w:rsidP="003C29F4">
            <w:pPr>
              <w:pStyle w:val="TableText0"/>
              <w:keepLines/>
              <w:rPr>
                <w:iCs/>
                <w:vertAlign w:val="superscript"/>
              </w:rPr>
            </w:pPr>
            <w:r w:rsidRPr="001207CD">
              <w:rPr>
                <w:iCs/>
              </w:rPr>
              <w:t>Increment</w:t>
            </w:r>
            <w:r w:rsidR="003B198C" w:rsidRPr="001207CD">
              <w:rPr>
                <w:iCs/>
              </w:rPr>
              <w:t>al cost:</w:t>
            </w:r>
            <w:r w:rsidRPr="001207CD">
              <w:rPr>
                <w:iCs/>
              </w:rPr>
              <w:t xml:space="preserve"> $0 </w:t>
            </w:r>
            <w:r w:rsidR="003B198C" w:rsidRPr="001207CD">
              <w:rPr>
                <w:iCs/>
                <w:vertAlign w:val="superscript"/>
              </w:rPr>
              <w:t>a</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BC3B0B" w:rsidRPr="006A083B" w:rsidRDefault="006A083B" w:rsidP="003C29F4">
            <w:pPr>
              <w:pStyle w:val="TableText0"/>
              <w:keepLines/>
              <w:jc w:val="center"/>
              <w:rPr>
                <w:iCs/>
                <w:highlight w:val="black"/>
              </w:rPr>
            </w:pPr>
            <w:r>
              <w:rPr>
                <w:noProof/>
                <w:color w:val="000000"/>
                <w:highlight w:val="black"/>
              </w:rPr>
              <w:t>''''''''''''''''''''''''</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BC3B0B" w:rsidRPr="006A083B" w:rsidRDefault="006A083B" w:rsidP="003C29F4">
            <w:pPr>
              <w:pStyle w:val="TableText0"/>
              <w:keepLines/>
              <w:jc w:val="center"/>
              <w:rPr>
                <w:iCs/>
                <w:highlight w:val="black"/>
              </w:rPr>
            </w:pPr>
            <w:r>
              <w:rPr>
                <w:noProof/>
                <w:color w:val="000000"/>
                <w:highlight w:val="black"/>
              </w:rPr>
              <w:t>''''''''''''''''''''</w:t>
            </w:r>
          </w:p>
        </w:tc>
        <w:tc>
          <w:tcPr>
            <w:tcW w:w="550" w:type="pct"/>
            <w:tcBorders>
              <w:top w:val="single" w:sz="4" w:space="0" w:color="auto"/>
              <w:left w:val="single" w:sz="4" w:space="0" w:color="auto"/>
              <w:bottom w:val="single" w:sz="4" w:space="0" w:color="auto"/>
              <w:right w:val="single" w:sz="4" w:space="0" w:color="auto"/>
            </w:tcBorders>
            <w:vAlign w:val="center"/>
          </w:tcPr>
          <w:p w:rsidR="00BC3B0B" w:rsidRPr="006A083B" w:rsidRDefault="006A083B" w:rsidP="003C29F4">
            <w:pPr>
              <w:pStyle w:val="TableText0"/>
              <w:keepLines/>
              <w:jc w:val="center"/>
              <w:rPr>
                <w:iCs/>
                <w:highlight w:val="black"/>
              </w:rPr>
            </w:pPr>
            <w:r>
              <w:rPr>
                <w:noProof/>
                <w:color w:val="000000"/>
                <w:highlight w:val="black"/>
              </w:rPr>
              <w:t>''''''''''</w:t>
            </w:r>
          </w:p>
        </w:tc>
        <w:tc>
          <w:tcPr>
            <w:tcW w:w="393" w:type="pct"/>
            <w:tcBorders>
              <w:top w:val="single" w:sz="4" w:space="0" w:color="auto"/>
              <w:left w:val="single" w:sz="4" w:space="0" w:color="auto"/>
              <w:bottom w:val="single" w:sz="4" w:space="0" w:color="auto"/>
              <w:right w:val="single" w:sz="4" w:space="0" w:color="auto"/>
            </w:tcBorders>
            <w:vAlign w:val="center"/>
          </w:tcPr>
          <w:p w:rsidR="00BC3B0B" w:rsidRPr="006A083B" w:rsidRDefault="006A083B" w:rsidP="003C29F4">
            <w:pPr>
              <w:pStyle w:val="TableText0"/>
              <w:keepLines/>
              <w:jc w:val="center"/>
              <w:rPr>
                <w:iCs/>
                <w:highlight w:val="black"/>
              </w:rPr>
            </w:pPr>
            <w:r>
              <w:rPr>
                <w:noProof/>
                <w:color w:val="000000"/>
                <w:highlight w:val="black"/>
              </w:rPr>
              <w:t>'''''''''''</w:t>
            </w:r>
          </w:p>
        </w:tc>
        <w:tc>
          <w:tcPr>
            <w:tcW w:w="551" w:type="pct"/>
            <w:tcBorders>
              <w:top w:val="single" w:sz="4" w:space="0" w:color="auto"/>
              <w:left w:val="single" w:sz="4" w:space="0" w:color="auto"/>
              <w:bottom w:val="single" w:sz="4" w:space="0" w:color="auto"/>
              <w:right w:val="single" w:sz="4" w:space="0" w:color="auto"/>
            </w:tcBorders>
            <w:vAlign w:val="center"/>
          </w:tcPr>
          <w:p w:rsidR="00BC3B0B" w:rsidRPr="006A083B" w:rsidRDefault="006A083B" w:rsidP="003C29F4">
            <w:pPr>
              <w:pStyle w:val="TableText0"/>
              <w:keepLines/>
              <w:jc w:val="center"/>
              <w:rPr>
                <w:b/>
                <w:iCs/>
                <w:highlight w:val="black"/>
              </w:rPr>
            </w:pPr>
            <w:r>
              <w:rPr>
                <w:b/>
                <w:iCs/>
                <w:noProof/>
                <w:color w:val="000000"/>
                <w:highlight w:val="black"/>
              </w:rPr>
              <w:t>''''''''''''''</w:t>
            </w:r>
          </w:p>
        </w:tc>
        <w:tc>
          <w:tcPr>
            <w:tcW w:w="629" w:type="pct"/>
            <w:tcBorders>
              <w:top w:val="single" w:sz="4" w:space="0" w:color="auto"/>
              <w:left w:val="single" w:sz="4" w:space="0" w:color="auto"/>
              <w:bottom w:val="single" w:sz="4" w:space="0" w:color="auto"/>
              <w:right w:val="single" w:sz="4" w:space="0" w:color="auto"/>
            </w:tcBorders>
            <w:vAlign w:val="center"/>
          </w:tcPr>
          <w:p w:rsidR="00BC3B0B" w:rsidRPr="006A083B" w:rsidRDefault="006A083B" w:rsidP="003C29F4">
            <w:pPr>
              <w:pStyle w:val="TableText0"/>
              <w:keepLines/>
              <w:jc w:val="center"/>
              <w:rPr>
                <w:b/>
                <w:iCs/>
                <w:highlight w:val="black"/>
              </w:rPr>
            </w:pPr>
            <w:r>
              <w:rPr>
                <w:b/>
                <w:iCs/>
                <w:noProof/>
                <w:color w:val="000000"/>
                <w:highlight w:val="black"/>
              </w:rPr>
              <w:t>'''''''</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BC3B0B" w:rsidRPr="006A083B" w:rsidRDefault="006A083B" w:rsidP="003C29F4">
            <w:pPr>
              <w:pStyle w:val="TableText0"/>
              <w:keepLines/>
              <w:jc w:val="center"/>
              <w:rPr>
                <w:b/>
                <w:iCs/>
                <w:highlight w:val="black"/>
              </w:rPr>
            </w:pPr>
            <w:r>
              <w:rPr>
                <w:b/>
                <w:iCs/>
                <w:noProof/>
                <w:color w:val="000000"/>
                <w:highlight w:val="black"/>
              </w:rPr>
              <w:t>'''''</w:t>
            </w:r>
          </w:p>
        </w:tc>
      </w:tr>
      <w:tr w:rsidR="00BC3B0B" w:rsidRPr="001207CD" w:rsidTr="00A41616">
        <w:tc>
          <w:tcPr>
            <w:tcW w:w="5000" w:type="pct"/>
            <w:gridSpan w:val="8"/>
            <w:tcBorders>
              <w:top w:val="single" w:sz="4" w:space="0" w:color="auto"/>
              <w:bottom w:val="single" w:sz="4" w:space="0" w:color="auto"/>
              <w:right w:val="single" w:sz="4" w:space="0" w:color="auto"/>
            </w:tcBorders>
            <w:vAlign w:val="center"/>
          </w:tcPr>
          <w:p w:rsidR="00BC3B0B" w:rsidRPr="001207CD" w:rsidRDefault="00A41616" w:rsidP="003C29F4">
            <w:pPr>
              <w:pStyle w:val="TableText0"/>
              <w:keepLines/>
              <w:rPr>
                <w:b/>
                <w:iCs/>
              </w:rPr>
            </w:pPr>
            <w:r w:rsidRPr="001207CD">
              <w:rPr>
                <w:b/>
                <w:iCs/>
              </w:rPr>
              <w:t>Se</w:t>
            </w:r>
            <w:r w:rsidR="00BC3B0B" w:rsidRPr="001207CD">
              <w:rPr>
                <w:b/>
                <w:iCs/>
              </w:rPr>
              <w:t>nsitivity analyses: all with incremental costs set to $0 (per sensitivity analysis above)</w:t>
            </w:r>
          </w:p>
        </w:tc>
      </w:tr>
      <w:tr w:rsidR="00BC3B0B" w:rsidRPr="001207CD" w:rsidTr="00402EE9">
        <w:tc>
          <w:tcPr>
            <w:tcW w:w="1097" w:type="pct"/>
            <w:tcBorders>
              <w:top w:val="single" w:sz="4" w:space="0" w:color="auto"/>
              <w:bottom w:val="single" w:sz="4" w:space="0" w:color="auto"/>
            </w:tcBorders>
            <w:vAlign w:val="center"/>
          </w:tcPr>
          <w:p w:rsidR="00BC3B0B" w:rsidRPr="001207CD" w:rsidRDefault="00BC3B0B" w:rsidP="003C29F4">
            <w:pPr>
              <w:pStyle w:val="TableText0"/>
              <w:keepLines/>
              <w:rPr>
                <w:iCs/>
                <w:vertAlign w:val="superscript"/>
              </w:rPr>
            </w:pPr>
            <w:r w:rsidRPr="001207CD">
              <w:rPr>
                <w:iCs/>
              </w:rPr>
              <w:t xml:space="preserve">PFS in NIVO + IPI arm from </w:t>
            </w:r>
            <w:proofErr w:type="spellStart"/>
            <w:r w:rsidRPr="001207CD">
              <w:rPr>
                <w:iCs/>
              </w:rPr>
              <w:t>CheckMate</w:t>
            </w:r>
            <w:proofErr w:type="spellEnd"/>
            <w:r w:rsidRPr="001207CD">
              <w:rPr>
                <w:iCs/>
              </w:rPr>
              <w:t> 214</w:t>
            </w:r>
            <w:r w:rsidR="00A8728F" w:rsidRPr="001207CD">
              <w:rPr>
                <w:iCs/>
              </w:rPr>
              <w:t xml:space="preserve"> </w:t>
            </w:r>
            <w:r w:rsidR="00A8728F" w:rsidRPr="001207CD">
              <w:rPr>
                <w:iCs/>
                <w:vertAlign w:val="superscript"/>
              </w:rPr>
              <w:t>c</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BC3B0B" w:rsidRPr="006A083B" w:rsidRDefault="006A083B" w:rsidP="003C29F4">
            <w:pPr>
              <w:pStyle w:val="TableText0"/>
              <w:keepLines/>
              <w:jc w:val="center"/>
              <w:rPr>
                <w:iCs/>
                <w:highlight w:val="black"/>
              </w:rPr>
            </w:pPr>
            <w:r>
              <w:rPr>
                <w:iCs/>
                <w:noProof/>
                <w:color w:val="000000"/>
                <w:highlight w:val="black"/>
              </w:rPr>
              <w:t>''''''''''''''''''''''</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BC3B0B" w:rsidRPr="006A083B" w:rsidRDefault="006A083B" w:rsidP="003C29F4">
            <w:pPr>
              <w:pStyle w:val="TableText0"/>
              <w:keepLines/>
              <w:jc w:val="center"/>
              <w:rPr>
                <w:iCs/>
                <w:highlight w:val="black"/>
              </w:rPr>
            </w:pPr>
            <w:r>
              <w:rPr>
                <w:iCs/>
                <w:noProof/>
                <w:color w:val="000000"/>
                <w:highlight w:val="black"/>
              </w:rPr>
              <w:t>'''''''''''''''''''''''</w:t>
            </w:r>
          </w:p>
        </w:tc>
        <w:tc>
          <w:tcPr>
            <w:tcW w:w="550" w:type="pct"/>
            <w:tcBorders>
              <w:top w:val="single" w:sz="4" w:space="0" w:color="auto"/>
              <w:left w:val="single" w:sz="4" w:space="0" w:color="auto"/>
              <w:bottom w:val="single" w:sz="4" w:space="0" w:color="auto"/>
              <w:right w:val="single" w:sz="4" w:space="0" w:color="auto"/>
            </w:tcBorders>
            <w:vAlign w:val="center"/>
          </w:tcPr>
          <w:p w:rsidR="00BC3B0B" w:rsidRPr="006A083B" w:rsidRDefault="006A083B" w:rsidP="003C29F4">
            <w:pPr>
              <w:pStyle w:val="TableText0"/>
              <w:keepLines/>
              <w:jc w:val="center"/>
              <w:rPr>
                <w:iCs/>
                <w:highlight w:val="black"/>
              </w:rPr>
            </w:pPr>
            <w:r>
              <w:rPr>
                <w:iCs/>
                <w:noProof/>
                <w:color w:val="000000"/>
                <w:highlight w:val="black"/>
              </w:rPr>
              <w:t>'''''''''''</w:t>
            </w:r>
          </w:p>
        </w:tc>
        <w:tc>
          <w:tcPr>
            <w:tcW w:w="393" w:type="pct"/>
            <w:tcBorders>
              <w:top w:val="single" w:sz="4" w:space="0" w:color="auto"/>
              <w:left w:val="single" w:sz="4" w:space="0" w:color="auto"/>
              <w:bottom w:val="single" w:sz="4" w:space="0" w:color="auto"/>
              <w:right w:val="single" w:sz="4" w:space="0" w:color="auto"/>
            </w:tcBorders>
            <w:vAlign w:val="center"/>
          </w:tcPr>
          <w:p w:rsidR="00BC3B0B" w:rsidRPr="006A083B" w:rsidRDefault="006A083B" w:rsidP="003C29F4">
            <w:pPr>
              <w:pStyle w:val="TableText0"/>
              <w:keepLines/>
              <w:jc w:val="center"/>
              <w:rPr>
                <w:iCs/>
                <w:highlight w:val="black"/>
              </w:rPr>
            </w:pPr>
            <w:r>
              <w:rPr>
                <w:iCs/>
                <w:noProof/>
                <w:color w:val="000000"/>
                <w:highlight w:val="black"/>
              </w:rPr>
              <w:t>'''''''''''</w:t>
            </w:r>
          </w:p>
        </w:tc>
        <w:tc>
          <w:tcPr>
            <w:tcW w:w="551" w:type="pct"/>
            <w:tcBorders>
              <w:top w:val="single" w:sz="4" w:space="0" w:color="auto"/>
              <w:left w:val="single" w:sz="4" w:space="0" w:color="auto"/>
              <w:bottom w:val="single" w:sz="4" w:space="0" w:color="auto"/>
              <w:right w:val="single" w:sz="4" w:space="0" w:color="auto"/>
            </w:tcBorders>
            <w:vAlign w:val="center"/>
          </w:tcPr>
          <w:p w:rsidR="00BC3B0B" w:rsidRPr="006A083B" w:rsidRDefault="006A083B" w:rsidP="003C29F4">
            <w:pPr>
              <w:pStyle w:val="TableText0"/>
              <w:keepLines/>
              <w:jc w:val="center"/>
              <w:rPr>
                <w:iCs/>
                <w:highlight w:val="black"/>
              </w:rPr>
            </w:pPr>
            <w:r>
              <w:rPr>
                <w:iCs/>
                <w:noProof/>
                <w:color w:val="000000"/>
                <w:highlight w:val="black"/>
              </w:rPr>
              <w:t>''''''''''''''''''</w:t>
            </w:r>
          </w:p>
        </w:tc>
        <w:tc>
          <w:tcPr>
            <w:tcW w:w="629" w:type="pct"/>
            <w:tcBorders>
              <w:top w:val="single" w:sz="4" w:space="0" w:color="auto"/>
              <w:left w:val="single" w:sz="4" w:space="0" w:color="auto"/>
              <w:bottom w:val="single" w:sz="4" w:space="0" w:color="auto"/>
              <w:right w:val="single" w:sz="4" w:space="0" w:color="auto"/>
            </w:tcBorders>
            <w:vAlign w:val="center"/>
          </w:tcPr>
          <w:p w:rsidR="00BC3B0B" w:rsidRPr="006A083B" w:rsidDel="00C11AFE" w:rsidRDefault="006A083B" w:rsidP="003C29F4">
            <w:pPr>
              <w:pStyle w:val="TableText0"/>
              <w:keepLines/>
              <w:jc w:val="center"/>
              <w:rPr>
                <w:iCs/>
                <w:highlight w:val="black"/>
              </w:rPr>
            </w:pPr>
            <w:r>
              <w:rPr>
                <w:iCs/>
                <w:noProof/>
                <w:color w:val="000000"/>
                <w:highlight w:val="black"/>
              </w:rPr>
              <w:t>''''''''''</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BC3B0B" w:rsidRPr="006A083B" w:rsidRDefault="006A083B" w:rsidP="003C29F4">
            <w:pPr>
              <w:pStyle w:val="TableText0"/>
              <w:keepLines/>
              <w:jc w:val="center"/>
              <w:rPr>
                <w:iCs/>
                <w:highlight w:val="black"/>
              </w:rPr>
            </w:pPr>
            <w:r>
              <w:rPr>
                <w:iCs/>
                <w:noProof/>
                <w:color w:val="000000"/>
                <w:highlight w:val="black"/>
              </w:rPr>
              <w:t>''''''</w:t>
            </w:r>
          </w:p>
        </w:tc>
      </w:tr>
      <w:tr w:rsidR="00A41616" w:rsidRPr="001207CD" w:rsidTr="00402EE9">
        <w:tc>
          <w:tcPr>
            <w:tcW w:w="1097" w:type="pct"/>
            <w:tcBorders>
              <w:top w:val="single" w:sz="4" w:space="0" w:color="auto"/>
              <w:bottom w:val="single" w:sz="4" w:space="0" w:color="auto"/>
            </w:tcBorders>
            <w:vAlign w:val="center"/>
          </w:tcPr>
          <w:p w:rsidR="00A41616" w:rsidRPr="001207CD" w:rsidRDefault="00A41616" w:rsidP="003C29F4">
            <w:pPr>
              <w:pStyle w:val="TableText0"/>
              <w:keepLines/>
              <w:rPr>
                <w:iCs/>
              </w:rPr>
            </w:pPr>
            <w:r w:rsidRPr="001207CD">
              <w:rPr>
                <w:iCs/>
              </w:rPr>
              <w:t xml:space="preserve">PFS </w:t>
            </w:r>
            <w:r w:rsidR="00402EE9" w:rsidRPr="001207CD">
              <w:rPr>
                <w:iCs/>
              </w:rPr>
              <w:t xml:space="preserve">extrapolated </w:t>
            </w:r>
            <w:r w:rsidRPr="001207CD">
              <w:rPr>
                <w:iCs/>
              </w:rPr>
              <w:t>using gamma function</w:t>
            </w:r>
            <w:r w:rsidR="00402EE9" w:rsidRPr="001207CD">
              <w:rPr>
                <w:iCs/>
              </w:rPr>
              <w:t xml:space="preserve"> </w:t>
            </w:r>
            <w:r w:rsidR="00402EE9" w:rsidRPr="001207CD">
              <w:rPr>
                <w:iCs/>
                <w:vertAlign w:val="superscript"/>
              </w:rPr>
              <w:t>d</w:t>
            </w:r>
          </w:p>
        </w:tc>
        <w:tc>
          <w:tcPr>
            <w:tcW w:w="550" w:type="pct"/>
            <w:tcBorders>
              <w:top w:val="single" w:sz="4" w:space="0" w:color="auto"/>
              <w:left w:val="nil"/>
              <w:bottom w:val="single" w:sz="4" w:space="0" w:color="auto"/>
              <w:right w:val="single" w:sz="4" w:space="0" w:color="auto"/>
            </w:tcBorders>
            <w:shd w:val="clear" w:color="auto" w:fill="auto"/>
            <w:vAlign w:val="center"/>
          </w:tcPr>
          <w:p w:rsidR="00A41616" w:rsidRPr="006A083B" w:rsidRDefault="006A083B" w:rsidP="003C29F4">
            <w:pPr>
              <w:pStyle w:val="TableText0"/>
              <w:keepLines/>
              <w:jc w:val="center"/>
              <w:rPr>
                <w:iCs/>
                <w:highlight w:val="black"/>
              </w:rPr>
            </w:pPr>
            <w:r>
              <w:rPr>
                <w:iCs/>
                <w:noProof/>
                <w:color w:val="000000"/>
                <w:highlight w:val="black"/>
              </w:rPr>
              <w:t>'''''''''''''''''''''</w:t>
            </w:r>
          </w:p>
        </w:tc>
        <w:tc>
          <w:tcPr>
            <w:tcW w:w="550" w:type="pct"/>
            <w:tcBorders>
              <w:top w:val="single" w:sz="4" w:space="0" w:color="auto"/>
              <w:left w:val="single" w:sz="4" w:space="0" w:color="auto"/>
              <w:bottom w:val="single" w:sz="4" w:space="0" w:color="auto"/>
              <w:right w:val="nil"/>
            </w:tcBorders>
            <w:shd w:val="clear" w:color="auto" w:fill="auto"/>
            <w:vAlign w:val="center"/>
          </w:tcPr>
          <w:p w:rsidR="00A41616" w:rsidRPr="006A083B" w:rsidRDefault="006A083B" w:rsidP="003C29F4">
            <w:pPr>
              <w:pStyle w:val="TableText0"/>
              <w:keepLines/>
              <w:jc w:val="center"/>
              <w:rPr>
                <w:iCs/>
                <w:highlight w:val="black"/>
              </w:rPr>
            </w:pPr>
            <w:r>
              <w:rPr>
                <w:iCs/>
                <w:noProof/>
                <w:color w:val="000000"/>
                <w:highlight w:val="black"/>
              </w:rPr>
              <w:t>'''''''''''''''''''''</w:t>
            </w:r>
          </w:p>
        </w:tc>
        <w:tc>
          <w:tcPr>
            <w:tcW w:w="550" w:type="pct"/>
            <w:tcBorders>
              <w:top w:val="single" w:sz="4" w:space="0" w:color="auto"/>
              <w:left w:val="single" w:sz="4" w:space="0" w:color="auto"/>
              <w:bottom w:val="single" w:sz="4" w:space="0" w:color="auto"/>
              <w:right w:val="single" w:sz="4" w:space="0" w:color="auto"/>
            </w:tcBorders>
            <w:vAlign w:val="center"/>
          </w:tcPr>
          <w:p w:rsidR="00A41616" w:rsidRPr="006A083B" w:rsidRDefault="006A083B" w:rsidP="003C29F4">
            <w:pPr>
              <w:pStyle w:val="TableText0"/>
              <w:keepLines/>
              <w:jc w:val="center"/>
              <w:rPr>
                <w:iCs/>
                <w:highlight w:val="black"/>
              </w:rPr>
            </w:pPr>
            <w:r>
              <w:rPr>
                <w:iCs/>
                <w:noProof/>
                <w:color w:val="000000"/>
                <w:highlight w:val="black"/>
              </w:rPr>
              <w:t>'''''''''''</w:t>
            </w:r>
          </w:p>
        </w:tc>
        <w:tc>
          <w:tcPr>
            <w:tcW w:w="393" w:type="pct"/>
            <w:tcBorders>
              <w:top w:val="single" w:sz="4" w:space="0" w:color="auto"/>
              <w:left w:val="single" w:sz="4" w:space="0" w:color="auto"/>
              <w:bottom w:val="single" w:sz="4" w:space="0" w:color="auto"/>
              <w:right w:val="single" w:sz="4" w:space="0" w:color="auto"/>
            </w:tcBorders>
            <w:vAlign w:val="center"/>
          </w:tcPr>
          <w:p w:rsidR="00A41616" w:rsidRPr="006A083B" w:rsidRDefault="006A083B" w:rsidP="003C29F4">
            <w:pPr>
              <w:pStyle w:val="TableText0"/>
              <w:keepLines/>
              <w:jc w:val="center"/>
              <w:rPr>
                <w:iCs/>
                <w:highlight w:val="black"/>
              </w:rPr>
            </w:pPr>
            <w:r>
              <w:rPr>
                <w:iCs/>
                <w:noProof/>
                <w:color w:val="000000"/>
                <w:highlight w:val="black"/>
              </w:rPr>
              <w:t>''''''''''</w:t>
            </w:r>
          </w:p>
        </w:tc>
        <w:tc>
          <w:tcPr>
            <w:tcW w:w="551" w:type="pct"/>
            <w:tcBorders>
              <w:top w:val="single" w:sz="4" w:space="0" w:color="auto"/>
              <w:left w:val="single" w:sz="4" w:space="0" w:color="auto"/>
              <w:bottom w:val="single" w:sz="4" w:space="0" w:color="auto"/>
              <w:right w:val="single" w:sz="4" w:space="0" w:color="auto"/>
            </w:tcBorders>
            <w:vAlign w:val="center"/>
          </w:tcPr>
          <w:p w:rsidR="00A41616" w:rsidRPr="006A083B" w:rsidRDefault="006A083B" w:rsidP="003C29F4">
            <w:pPr>
              <w:pStyle w:val="TableText0"/>
              <w:keepLines/>
              <w:jc w:val="center"/>
              <w:rPr>
                <w:iCs/>
                <w:highlight w:val="black"/>
              </w:rPr>
            </w:pPr>
            <w:r>
              <w:rPr>
                <w:iCs/>
                <w:noProof/>
                <w:color w:val="000000"/>
                <w:highlight w:val="black"/>
              </w:rPr>
              <w:t>'''''''''''''''''</w:t>
            </w:r>
          </w:p>
        </w:tc>
        <w:tc>
          <w:tcPr>
            <w:tcW w:w="629" w:type="pct"/>
            <w:tcBorders>
              <w:top w:val="single" w:sz="4" w:space="0" w:color="auto"/>
              <w:left w:val="single" w:sz="4" w:space="0" w:color="auto"/>
              <w:bottom w:val="single" w:sz="4" w:space="0" w:color="auto"/>
              <w:right w:val="single" w:sz="4" w:space="0" w:color="auto"/>
            </w:tcBorders>
            <w:vAlign w:val="center"/>
          </w:tcPr>
          <w:p w:rsidR="00A41616" w:rsidRPr="006A083B" w:rsidRDefault="006A083B" w:rsidP="003C29F4">
            <w:pPr>
              <w:pStyle w:val="TableText0"/>
              <w:keepLines/>
              <w:jc w:val="center"/>
              <w:rPr>
                <w:iCs/>
                <w:highlight w:val="black"/>
              </w:rPr>
            </w:pPr>
            <w:r>
              <w:rPr>
                <w:iCs/>
                <w:noProof/>
                <w:color w:val="000000"/>
                <w:highlight w:val="black"/>
              </w:rPr>
              <w:t>''''''''''''''</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A41616" w:rsidRPr="006A083B" w:rsidRDefault="006A083B" w:rsidP="003C29F4">
            <w:pPr>
              <w:pStyle w:val="TableText0"/>
              <w:keepLines/>
              <w:jc w:val="center"/>
              <w:rPr>
                <w:iCs/>
                <w:highlight w:val="black"/>
              </w:rPr>
            </w:pPr>
            <w:r>
              <w:rPr>
                <w:iCs/>
                <w:noProof/>
                <w:color w:val="000000"/>
                <w:highlight w:val="black"/>
              </w:rPr>
              <w:t>'''''''</w:t>
            </w:r>
          </w:p>
        </w:tc>
      </w:tr>
      <w:tr w:rsidR="00402EE9" w:rsidRPr="001207CD" w:rsidTr="00402EE9">
        <w:tc>
          <w:tcPr>
            <w:tcW w:w="1097" w:type="pct"/>
            <w:tcBorders>
              <w:top w:val="single" w:sz="4" w:space="0" w:color="auto"/>
              <w:bottom w:val="single" w:sz="4" w:space="0" w:color="auto"/>
            </w:tcBorders>
            <w:vAlign w:val="center"/>
          </w:tcPr>
          <w:p w:rsidR="00402EE9" w:rsidRPr="001207CD" w:rsidRDefault="00402EE9" w:rsidP="003C29F4">
            <w:pPr>
              <w:pStyle w:val="TableText0"/>
              <w:keepLines/>
              <w:rPr>
                <w:iCs/>
                <w:vertAlign w:val="superscript"/>
              </w:rPr>
            </w:pPr>
            <w:r w:rsidRPr="001207CD">
              <w:rPr>
                <w:iCs/>
              </w:rPr>
              <w:t xml:space="preserve">PFS extrapolated using log normal function </w:t>
            </w:r>
            <w:r w:rsidRPr="001207CD">
              <w:rPr>
                <w:iCs/>
                <w:vertAlign w:val="superscript"/>
              </w:rPr>
              <w:t>d</w:t>
            </w:r>
          </w:p>
        </w:tc>
        <w:tc>
          <w:tcPr>
            <w:tcW w:w="550" w:type="pct"/>
            <w:tcBorders>
              <w:top w:val="single" w:sz="4" w:space="0" w:color="auto"/>
              <w:left w:val="nil"/>
              <w:bottom w:val="single" w:sz="4" w:space="0" w:color="auto"/>
              <w:right w:val="single" w:sz="4" w:space="0" w:color="auto"/>
            </w:tcBorders>
            <w:shd w:val="clear" w:color="auto" w:fill="auto"/>
            <w:vAlign w:val="center"/>
          </w:tcPr>
          <w:p w:rsidR="00402EE9" w:rsidRPr="006A083B" w:rsidRDefault="006A083B" w:rsidP="003C29F4">
            <w:pPr>
              <w:pStyle w:val="TableText0"/>
              <w:keepLines/>
              <w:jc w:val="center"/>
              <w:rPr>
                <w:iCs/>
                <w:highlight w:val="black"/>
              </w:rPr>
            </w:pPr>
            <w:r>
              <w:rPr>
                <w:iCs/>
                <w:noProof/>
                <w:color w:val="000000"/>
                <w:highlight w:val="black"/>
              </w:rPr>
              <w:t>'''''''''''''''''''''''</w:t>
            </w:r>
          </w:p>
        </w:tc>
        <w:tc>
          <w:tcPr>
            <w:tcW w:w="550" w:type="pct"/>
            <w:tcBorders>
              <w:top w:val="single" w:sz="4" w:space="0" w:color="auto"/>
              <w:left w:val="single" w:sz="4" w:space="0" w:color="auto"/>
              <w:bottom w:val="single" w:sz="4" w:space="0" w:color="auto"/>
              <w:right w:val="nil"/>
            </w:tcBorders>
            <w:shd w:val="clear" w:color="auto" w:fill="auto"/>
            <w:vAlign w:val="center"/>
          </w:tcPr>
          <w:p w:rsidR="00402EE9" w:rsidRPr="006A083B" w:rsidRDefault="006A083B" w:rsidP="003C29F4">
            <w:pPr>
              <w:pStyle w:val="TableText0"/>
              <w:keepLines/>
              <w:jc w:val="center"/>
              <w:rPr>
                <w:iCs/>
                <w:highlight w:val="black"/>
              </w:rPr>
            </w:pPr>
            <w:r>
              <w:rPr>
                <w:iCs/>
                <w:noProof/>
                <w:color w:val="000000"/>
                <w:highlight w:val="black"/>
              </w:rPr>
              <w:t>''''''''''''''''''''</w:t>
            </w:r>
          </w:p>
        </w:tc>
        <w:tc>
          <w:tcPr>
            <w:tcW w:w="550" w:type="pct"/>
            <w:tcBorders>
              <w:top w:val="single" w:sz="4" w:space="0" w:color="auto"/>
              <w:left w:val="single" w:sz="4" w:space="0" w:color="auto"/>
              <w:bottom w:val="single" w:sz="4" w:space="0" w:color="auto"/>
              <w:right w:val="single" w:sz="4" w:space="0" w:color="auto"/>
            </w:tcBorders>
            <w:vAlign w:val="center"/>
          </w:tcPr>
          <w:p w:rsidR="00402EE9" w:rsidRPr="006A083B" w:rsidRDefault="006A083B" w:rsidP="003C29F4">
            <w:pPr>
              <w:pStyle w:val="TableText0"/>
              <w:keepLines/>
              <w:jc w:val="center"/>
              <w:rPr>
                <w:iCs/>
                <w:highlight w:val="black"/>
              </w:rPr>
            </w:pPr>
            <w:r>
              <w:rPr>
                <w:iCs/>
                <w:noProof/>
                <w:color w:val="000000"/>
                <w:highlight w:val="black"/>
              </w:rPr>
              <w:t>''''''''''</w:t>
            </w:r>
          </w:p>
        </w:tc>
        <w:tc>
          <w:tcPr>
            <w:tcW w:w="393" w:type="pct"/>
            <w:tcBorders>
              <w:top w:val="single" w:sz="4" w:space="0" w:color="auto"/>
              <w:left w:val="single" w:sz="4" w:space="0" w:color="auto"/>
              <w:bottom w:val="single" w:sz="4" w:space="0" w:color="auto"/>
              <w:right w:val="single" w:sz="4" w:space="0" w:color="auto"/>
            </w:tcBorders>
            <w:vAlign w:val="center"/>
          </w:tcPr>
          <w:p w:rsidR="00402EE9" w:rsidRPr="006A083B" w:rsidRDefault="006A083B" w:rsidP="003C29F4">
            <w:pPr>
              <w:pStyle w:val="TableText0"/>
              <w:keepLines/>
              <w:jc w:val="center"/>
              <w:rPr>
                <w:iCs/>
                <w:highlight w:val="black"/>
              </w:rPr>
            </w:pPr>
            <w:r>
              <w:rPr>
                <w:iCs/>
                <w:noProof/>
                <w:color w:val="000000"/>
                <w:highlight w:val="black"/>
              </w:rPr>
              <w:t>''''''''''''</w:t>
            </w:r>
          </w:p>
        </w:tc>
        <w:tc>
          <w:tcPr>
            <w:tcW w:w="551" w:type="pct"/>
            <w:tcBorders>
              <w:top w:val="single" w:sz="4" w:space="0" w:color="auto"/>
              <w:left w:val="single" w:sz="4" w:space="0" w:color="auto"/>
              <w:bottom w:val="single" w:sz="4" w:space="0" w:color="auto"/>
              <w:right w:val="single" w:sz="4" w:space="0" w:color="auto"/>
            </w:tcBorders>
            <w:vAlign w:val="center"/>
          </w:tcPr>
          <w:p w:rsidR="00402EE9" w:rsidRPr="006A083B" w:rsidRDefault="006A083B" w:rsidP="003C29F4">
            <w:pPr>
              <w:pStyle w:val="TableText0"/>
              <w:keepLines/>
              <w:jc w:val="center"/>
              <w:rPr>
                <w:iCs/>
                <w:highlight w:val="black"/>
              </w:rPr>
            </w:pPr>
            <w:r>
              <w:rPr>
                <w:iCs/>
                <w:noProof/>
                <w:color w:val="000000"/>
                <w:highlight w:val="black"/>
              </w:rPr>
              <w:t>''''''''''''''''</w:t>
            </w:r>
          </w:p>
        </w:tc>
        <w:tc>
          <w:tcPr>
            <w:tcW w:w="629" w:type="pct"/>
            <w:tcBorders>
              <w:top w:val="single" w:sz="4" w:space="0" w:color="auto"/>
              <w:left w:val="single" w:sz="4" w:space="0" w:color="auto"/>
              <w:bottom w:val="single" w:sz="4" w:space="0" w:color="auto"/>
              <w:right w:val="single" w:sz="4" w:space="0" w:color="auto"/>
            </w:tcBorders>
            <w:vAlign w:val="center"/>
          </w:tcPr>
          <w:p w:rsidR="00402EE9" w:rsidRPr="006A083B" w:rsidRDefault="006A083B" w:rsidP="003C29F4">
            <w:pPr>
              <w:pStyle w:val="TableText0"/>
              <w:keepLines/>
              <w:jc w:val="center"/>
              <w:rPr>
                <w:iCs/>
                <w:highlight w:val="black"/>
              </w:rPr>
            </w:pPr>
            <w:r>
              <w:rPr>
                <w:iCs/>
                <w:noProof/>
                <w:color w:val="000000"/>
                <w:highlight w:val="black"/>
              </w:rPr>
              <w:t>'''''''''</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402EE9" w:rsidRPr="006A083B" w:rsidRDefault="006A083B" w:rsidP="003C29F4">
            <w:pPr>
              <w:pStyle w:val="TableText0"/>
              <w:keepLines/>
              <w:jc w:val="center"/>
              <w:rPr>
                <w:iCs/>
                <w:highlight w:val="black"/>
              </w:rPr>
            </w:pPr>
            <w:r>
              <w:rPr>
                <w:iCs/>
                <w:noProof/>
                <w:color w:val="000000"/>
                <w:highlight w:val="black"/>
              </w:rPr>
              <w:t>''''''</w:t>
            </w:r>
          </w:p>
        </w:tc>
      </w:tr>
      <w:tr w:rsidR="00BC3B0B" w:rsidRPr="001207CD" w:rsidTr="00402EE9">
        <w:tc>
          <w:tcPr>
            <w:tcW w:w="1097" w:type="pct"/>
            <w:tcBorders>
              <w:top w:val="single" w:sz="4" w:space="0" w:color="auto"/>
              <w:bottom w:val="single" w:sz="4" w:space="0" w:color="auto"/>
            </w:tcBorders>
            <w:vAlign w:val="center"/>
          </w:tcPr>
          <w:p w:rsidR="00BC3B0B" w:rsidRPr="001207CD" w:rsidRDefault="00BC3B0B" w:rsidP="003C29F4">
            <w:pPr>
              <w:pStyle w:val="TableText0"/>
              <w:keepLines/>
              <w:rPr>
                <w:iCs/>
              </w:rPr>
            </w:pPr>
            <w:r w:rsidRPr="001207CD">
              <w:rPr>
                <w:iCs/>
              </w:rPr>
              <w:t xml:space="preserve">Reduce time horizon from 10 </w:t>
            </w:r>
            <w:proofErr w:type="spellStart"/>
            <w:r w:rsidRPr="001207CD">
              <w:rPr>
                <w:iCs/>
              </w:rPr>
              <w:t>yrs</w:t>
            </w:r>
            <w:proofErr w:type="spellEnd"/>
            <w:r w:rsidRPr="001207CD">
              <w:rPr>
                <w:iCs/>
              </w:rPr>
              <w:t xml:space="preserve"> to 2 yrs. </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BC3B0B" w:rsidRPr="006A083B" w:rsidRDefault="006A083B" w:rsidP="003C29F4">
            <w:pPr>
              <w:pStyle w:val="TableText0"/>
              <w:keepLines/>
              <w:jc w:val="center"/>
              <w:rPr>
                <w:iCs/>
                <w:highlight w:val="black"/>
              </w:rPr>
            </w:pPr>
            <w:r>
              <w:rPr>
                <w:iCs/>
                <w:noProof/>
                <w:color w:val="000000"/>
                <w:highlight w:val="black"/>
              </w:rPr>
              <w:t>'''''''''''''''''''''</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BC3B0B" w:rsidRPr="006A083B" w:rsidRDefault="006A083B" w:rsidP="003C29F4">
            <w:pPr>
              <w:pStyle w:val="TableText0"/>
              <w:keepLines/>
              <w:jc w:val="center"/>
              <w:rPr>
                <w:iCs/>
                <w:highlight w:val="black"/>
              </w:rPr>
            </w:pPr>
            <w:r>
              <w:rPr>
                <w:iCs/>
                <w:noProof/>
                <w:color w:val="000000"/>
                <w:highlight w:val="black"/>
              </w:rPr>
              <w:t>''''''''''''''''''''''''</w:t>
            </w:r>
          </w:p>
        </w:tc>
        <w:tc>
          <w:tcPr>
            <w:tcW w:w="550" w:type="pct"/>
            <w:tcBorders>
              <w:top w:val="single" w:sz="4" w:space="0" w:color="auto"/>
              <w:left w:val="single" w:sz="4" w:space="0" w:color="auto"/>
              <w:bottom w:val="single" w:sz="4" w:space="0" w:color="auto"/>
              <w:right w:val="single" w:sz="4" w:space="0" w:color="auto"/>
            </w:tcBorders>
            <w:vAlign w:val="center"/>
          </w:tcPr>
          <w:p w:rsidR="00BC3B0B" w:rsidRPr="006A083B" w:rsidRDefault="006A083B" w:rsidP="003C29F4">
            <w:pPr>
              <w:pStyle w:val="TableText0"/>
              <w:keepLines/>
              <w:jc w:val="center"/>
              <w:rPr>
                <w:iCs/>
                <w:highlight w:val="black"/>
              </w:rPr>
            </w:pPr>
            <w:r>
              <w:rPr>
                <w:iCs/>
                <w:noProof/>
                <w:color w:val="000000"/>
                <w:highlight w:val="black"/>
              </w:rPr>
              <w:t>''''''''''</w:t>
            </w:r>
          </w:p>
        </w:tc>
        <w:tc>
          <w:tcPr>
            <w:tcW w:w="393" w:type="pct"/>
            <w:tcBorders>
              <w:top w:val="single" w:sz="4" w:space="0" w:color="auto"/>
              <w:left w:val="single" w:sz="4" w:space="0" w:color="auto"/>
              <w:bottom w:val="single" w:sz="4" w:space="0" w:color="auto"/>
              <w:right w:val="single" w:sz="4" w:space="0" w:color="auto"/>
            </w:tcBorders>
            <w:vAlign w:val="center"/>
          </w:tcPr>
          <w:p w:rsidR="00BC3B0B" w:rsidRPr="006A083B" w:rsidRDefault="006A083B" w:rsidP="003C29F4">
            <w:pPr>
              <w:pStyle w:val="TableText0"/>
              <w:keepLines/>
              <w:jc w:val="center"/>
              <w:rPr>
                <w:iCs/>
                <w:highlight w:val="black"/>
              </w:rPr>
            </w:pPr>
            <w:r>
              <w:rPr>
                <w:iCs/>
                <w:noProof/>
                <w:color w:val="000000"/>
                <w:highlight w:val="black"/>
              </w:rPr>
              <w:t>'''''''''</w:t>
            </w:r>
          </w:p>
        </w:tc>
        <w:tc>
          <w:tcPr>
            <w:tcW w:w="551" w:type="pct"/>
            <w:tcBorders>
              <w:top w:val="single" w:sz="4" w:space="0" w:color="auto"/>
              <w:left w:val="single" w:sz="4" w:space="0" w:color="auto"/>
              <w:bottom w:val="single" w:sz="4" w:space="0" w:color="auto"/>
              <w:right w:val="single" w:sz="4" w:space="0" w:color="auto"/>
            </w:tcBorders>
            <w:vAlign w:val="center"/>
          </w:tcPr>
          <w:p w:rsidR="00BC3B0B" w:rsidRPr="006A083B" w:rsidRDefault="006A083B" w:rsidP="003C29F4">
            <w:pPr>
              <w:pStyle w:val="TableText0"/>
              <w:keepLines/>
              <w:jc w:val="center"/>
              <w:rPr>
                <w:iCs/>
                <w:highlight w:val="black"/>
              </w:rPr>
            </w:pPr>
            <w:r>
              <w:rPr>
                <w:iCs/>
                <w:noProof/>
                <w:color w:val="000000"/>
                <w:highlight w:val="black"/>
              </w:rPr>
              <w:t>'''''''''''''''''</w:t>
            </w:r>
          </w:p>
        </w:tc>
        <w:tc>
          <w:tcPr>
            <w:tcW w:w="629" w:type="pct"/>
            <w:tcBorders>
              <w:top w:val="single" w:sz="4" w:space="0" w:color="auto"/>
              <w:left w:val="single" w:sz="4" w:space="0" w:color="auto"/>
              <w:bottom w:val="single" w:sz="4" w:space="0" w:color="auto"/>
              <w:right w:val="single" w:sz="4" w:space="0" w:color="auto"/>
            </w:tcBorders>
            <w:vAlign w:val="center"/>
          </w:tcPr>
          <w:p w:rsidR="00BC3B0B" w:rsidRPr="006A083B" w:rsidRDefault="006A083B" w:rsidP="003C29F4">
            <w:pPr>
              <w:pStyle w:val="TableText0"/>
              <w:keepLines/>
              <w:jc w:val="center"/>
              <w:rPr>
                <w:iCs/>
                <w:highlight w:val="black"/>
              </w:rPr>
            </w:pPr>
            <w:r>
              <w:rPr>
                <w:iCs/>
                <w:noProof/>
                <w:color w:val="000000"/>
                <w:highlight w:val="black"/>
              </w:rPr>
              <w:t>''''''''</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BC3B0B" w:rsidRPr="006A083B" w:rsidRDefault="006A083B" w:rsidP="003C29F4">
            <w:pPr>
              <w:pStyle w:val="TableText0"/>
              <w:keepLines/>
              <w:jc w:val="center"/>
              <w:rPr>
                <w:iCs/>
                <w:highlight w:val="black"/>
              </w:rPr>
            </w:pPr>
            <w:r>
              <w:rPr>
                <w:iCs/>
                <w:noProof/>
                <w:color w:val="000000"/>
                <w:highlight w:val="black"/>
              </w:rPr>
              <w:t>''''''</w:t>
            </w:r>
          </w:p>
        </w:tc>
      </w:tr>
      <w:tr w:rsidR="00BC3B0B" w:rsidRPr="001207CD" w:rsidTr="001031D8">
        <w:tc>
          <w:tcPr>
            <w:tcW w:w="1097" w:type="pct"/>
            <w:tcBorders>
              <w:top w:val="single" w:sz="4" w:space="0" w:color="auto"/>
              <w:bottom w:val="single" w:sz="4" w:space="0" w:color="auto"/>
            </w:tcBorders>
            <w:vAlign w:val="center"/>
          </w:tcPr>
          <w:p w:rsidR="00BC3B0B" w:rsidRPr="001207CD" w:rsidRDefault="00BC3B0B" w:rsidP="003C29F4">
            <w:pPr>
              <w:pStyle w:val="TableText0"/>
              <w:keepLines/>
              <w:rPr>
                <w:iCs/>
              </w:rPr>
            </w:pPr>
            <w:r w:rsidRPr="001207CD">
              <w:rPr>
                <w:iCs/>
              </w:rPr>
              <w:t>NIVO+IPI maintenance dose of 480 mg Q4W</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BC3B0B" w:rsidRPr="006A083B" w:rsidRDefault="006A083B" w:rsidP="003C29F4">
            <w:pPr>
              <w:pStyle w:val="TableText0"/>
              <w:keepLines/>
              <w:jc w:val="center"/>
              <w:rPr>
                <w:iCs/>
                <w:highlight w:val="black"/>
              </w:rPr>
            </w:pPr>
            <w:r>
              <w:rPr>
                <w:iCs/>
                <w:noProof/>
                <w:color w:val="000000"/>
                <w:highlight w:val="black"/>
              </w:rPr>
              <w:t>''''''''''''''''''''''</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BC3B0B" w:rsidRPr="006A083B" w:rsidRDefault="006A083B" w:rsidP="003C29F4">
            <w:pPr>
              <w:pStyle w:val="TableText0"/>
              <w:keepLines/>
              <w:jc w:val="center"/>
              <w:rPr>
                <w:iCs/>
                <w:highlight w:val="black"/>
              </w:rPr>
            </w:pPr>
            <w:r>
              <w:rPr>
                <w:iCs/>
                <w:noProof/>
                <w:color w:val="000000"/>
                <w:highlight w:val="black"/>
              </w:rPr>
              <w:t>''''''''''''''''''''</w:t>
            </w:r>
          </w:p>
        </w:tc>
        <w:tc>
          <w:tcPr>
            <w:tcW w:w="550" w:type="pct"/>
            <w:tcBorders>
              <w:top w:val="single" w:sz="4" w:space="0" w:color="auto"/>
              <w:left w:val="single" w:sz="4" w:space="0" w:color="auto"/>
              <w:bottom w:val="single" w:sz="4" w:space="0" w:color="auto"/>
              <w:right w:val="single" w:sz="4" w:space="0" w:color="auto"/>
            </w:tcBorders>
            <w:vAlign w:val="center"/>
          </w:tcPr>
          <w:p w:rsidR="00BC3B0B" w:rsidRPr="006A083B" w:rsidRDefault="006A083B" w:rsidP="003C29F4">
            <w:pPr>
              <w:pStyle w:val="TableText0"/>
              <w:keepLines/>
              <w:jc w:val="center"/>
              <w:rPr>
                <w:iCs/>
                <w:highlight w:val="black"/>
              </w:rPr>
            </w:pPr>
            <w:r>
              <w:rPr>
                <w:noProof/>
                <w:color w:val="000000"/>
                <w:highlight w:val="black"/>
              </w:rPr>
              <w:t>'''''''''''</w:t>
            </w:r>
          </w:p>
        </w:tc>
        <w:tc>
          <w:tcPr>
            <w:tcW w:w="393" w:type="pct"/>
            <w:tcBorders>
              <w:top w:val="single" w:sz="4" w:space="0" w:color="auto"/>
              <w:left w:val="single" w:sz="4" w:space="0" w:color="auto"/>
              <w:bottom w:val="single" w:sz="4" w:space="0" w:color="auto"/>
              <w:right w:val="single" w:sz="4" w:space="0" w:color="auto"/>
            </w:tcBorders>
            <w:vAlign w:val="center"/>
          </w:tcPr>
          <w:p w:rsidR="00BC3B0B" w:rsidRPr="006A083B" w:rsidRDefault="006A083B" w:rsidP="003C29F4">
            <w:pPr>
              <w:pStyle w:val="TableText0"/>
              <w:keepLines/>
              <w:jc w:val="center"/>
              <w:rPr>
                <w:iCs/>
                <w:highlight w:val="black"/>
              </w:rPr>
            </w:pPr>
            <w:r>
              <w:rPr>
                <w:noProof/>
                <w:color w:val="000000"/>
                <w:highlight w:val="black"/>
              </w:rPr>
              <w:t>''''''''''</w:t>
            </w:r>
          </w:p>
        </w:tc>
        <w:tc>
          <w:tcPr>
            <w:tcW w:w="551" w:type="pct"/>
            <w:tcBorders>
              <w:top w:val="single" w:sz="4" w:space="0" w:color="auto"/>
              <w:left w:val="single" w:sz="4" w:space="0" w:color="auto"/>
              <w:bottom w:val="single" w:sz="4" w:space="0" w:color="auto"/>
              <w:right w:val="single" w:sz="4" w:space="0" w:color="auto"/>
            </w:tcBorders>
            <w:vAlign w:val="center"/>
          </w:tcPr>
          <w:p w:rsidR="00BC3B0B" w:rsidRPr="006A083B" w:rsidRDefault="006A083B" w:rsidP="003C29F4">
            <w:pPr>
              <w:pStyle w:val="TableText0"/>
              <w:keepLines/>
              <w:jc w:val="center"/>
              <w:rPr>
                <w:iCs/>
                <w:highlight w:val="black"/>
              </w:rPr>
            </w:pPr>
            <w:r>
              <w:rPr>
                <w:iCs/>
                <w:noProof/>
                <w:color w:val="000000"/>
                <w:highlight w:val="black"/>
              </w:rPr>
              <w:t>'''''''''''''''</w:t>
            </w:r>
          </w:p>
        </w:tc>
        <w:tc>
          <w:tcPr>
            <w:tcW w:w="629" w:type="pct"/>
            <w:tcBorders>
              <w:top w:val="single" w:sz="4" w:space="0" w:color="auto"/>
              <w:left w:val="single" w:sz="4" w:space="0" w:color="auto"/>
              <w:bottom w:val="single" w:sz="4" w:space="0" w:color="auto"/>
              <w:right w:val="single" w:sz="4" w:space="0" w:color="auto"/>
            </w:tcBorders>
            <w:vAlign w:val="center"/>
          </w:tcPr>
          <w:p w:rsidR="00BC3B0B" w:rsidRPr="006A083B" w:rsidDel="005F6FA7" w:rsidRDefault="006A083B" w:rsidP="003C29F4">
            <w:pPr>
              <w:pStyle w:val="TableText0"/>
              <w:keepLines/>
              <w:jc w:val="center"/>
              <w:rPr>
                <w:iCs/>
                <w:highlight w:val="black"/>
              </w:rPr>
            </w:pPr>
            <w:r>
              <w:rPr>
                <w:iCs/>
                <w:noProof/>
                <w:color w:val="000000"/>
                <w:highlight w:val="black"/>
              </w:rPr>
              <w:t>''''''''''</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BC3B0B" w:rsidRPr="006A083B" w:rsidRDefault="006A083B" w:rsidP="003C29F4">
            <w:pPr>
              <w:pStyle w:val="TableText0"/>
              <w:keepLines/>
              <w:jc w:val="center"/>
              <w:rPr>
                <w:iCs/>
                <w:highlight w:val="black"/>
              </w:rPr>
            </w:pPr>
            <w:r>
              <w:rPr>
                <w:iCs/>
                <w:noProof/>
                <w:color w:val="000000"/>
                <w:highlight w:val="black"/>
              </w:rPr>
              <w:t>''''''</w:t>
            </w:r>
          </w:p>
        </w:tc>
      </w:tr>
      <w:tr w:rsidR="00BC3B0B" w:rsidRPr="001207CD" w:rsidTr="001031D8">
        <w:tc>
          <w:tcPr>
            <w:tcW w:w="1097" w:type="pct"/>
            <w:tcBorders>
              <w:top w:val="single" w:sz="4" w:space="0" w:color="auto"/>
              <w:bottom w:val="single" w:sz="4" w:space="0" w:color="auto"/>
            </w:tcBorders>
            <w:vAlign w:val="center"/>
          </w:tcPr>
          <w:p w:rsidR="00BC3B0B" w:rsidRPr="001207CD" w:rsidRDefault="00BC3B0B" w:rsidP="003C29F4">
            <w:pPr>
              <w:pStyle w:val="TableText0"/>
              <w:keepLines/>
              <w:rPr>
                <w:iCs/>
              </w:rPr>
            </w:pPr>
            <w:r w:rsidRPr="001207CD">
              <w:rPr>
                <w:iCs/>
              </w:rPr>
              <w:t xml:space="preserve">Average patient weight: 80 kg. </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BC3B0B" w:rsidRPr="006A083B" w:rsidRDefault="006A083B" w:rsidP="003C29F4">
            <w:pPr>
              <w:pStyle w:val="TableText0"/>
              <w:keepLines/>
              <w:jc w:val="center"/>
              <w:rPr>
                <w:iCs/>
                <w:highlight w:val="black"/>
              </w:rPr>
            </w:pPr>
            <w:r>
              <w:rPr>
                <w:iCs/>
                <w:noProof/>
                <w:color w:val="000000"/>
                <w:highlight w:val="black"/>
              </w:rPr>
              <w:t>'''''''''''''''''''''</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BC3B0B" w:rsidRPr="006A083B" w:rsidRDefault="006A083B" w:rsidP="003C29F4">
            <w:pPr>
              <w:pStyle w:val="TableText0"/>
              <w:keepLines/>
              <w:jc w:val="center"/>
              <w:rPr>
                <w:iCs/>
                <w:highlight w:val="black"/>
              </w:rPr>
            </w:pPr>
            <w:r>
              <w:rPr>
                <w:iCs/>
                <w:noProof/>
                <w:color w:val="000000"/>
                <w:highlight w:val="black"/>
              </w:rPr>
              <w:t>'''''''''''''''''''''</w:t>
            </w:r>
          </w:p>
        </w:tc>
        <w:tc>
          <w:tcPr>
            <w:tcW w:w="550" w:type="pct"/>
            <w:tcBorders>
              <w:top w:val="single" w:sz="4" w:space="0" w:color="auto"/>
              <w:left w:val="single" w:sz="4" w:space="0" w:color="auto"/>
              <w:bottom w:val="single" w:sz="4" w:space="0" w:color="auto"/>
              <w:right w:val="single" w:sz="4" w:space="0" w:color="auto"/>
            </w:tcBorders>
            <w:vAlign w:val="center"/>
          </w:tcPr>
          <w:p w:rsidR="00BC3B0B" w:rsidRPr="006A083B" w:rsidRDefault="006A083B" w:rsidP="003C29F4">
            <w:pPr>
              <w:pStyle w:val="TableText0"/>
              <w:keepLines/>
              <w:jc w:val="center"/>
              <w:rPr>
                <w:iCs/>
                <w:highlight w:val="black"/>
              </w:rPr>
            </w:pPr>
            <w:r>
              <w:rPr>
                <w:noProof/>
                <w:color w:val="000000"/>
                <w:highlight w:val="black"/>
              </w:rPr>
              <w:t>''''''''''</w:t>
            </w:r>
          </w:p>
        </w:tc>
        <w:tc>
          <w:tcPr>
            <w:tcW w:w="393" w:type="pct"/>
            <w:tcBorders>
              <w:top w:val="single" w:sz="4" w:space="0" w:color="auto"/>
              <w:left w:val="single" w:sz="4" w:space="0" w:color="auto"/>
              <w:bottom w:val="single" w:sz="4" w:space="0" w:color="auto"/>
              <w:right w:val="single" w:sz="4" w:space="0" w:color="auto"/>
            </w:tcBorders>
            <w:vAlign w:val="center"/>
          </w:tcPr>
          <w:p w:rsidR="00BC3B0B" w:rsidRPr="006A083B" w:rsidRDefault="006A083B" w:rsidP="003C29F4">
            <w:pPr>
              <w:pStyle w:val="TableText0"/>
              <w:keepLines/>
              <w:jc w:val="center"/>
              <w:rPr>
                <w:iCs/>
                <w:highlight w:val="black"/>
              </w:rPr>
            </w:pPr>
            <w:r>
              <w:rPr>
                <w:noProof/>
                <w:color w:val="000000"/>
                <w:highlight w:val="black"/>
              </w:rPr>
              <w:t>''''''''''</w:t>
            </w:r>
          </w:p>
        </w:tc>
        <w:tc>
          <w:tcPr>
            <w:tcW w:w="551" w:type="pct"/>
            <w:tcBorders>
              <w:top w:val="single" w:sz="4" w:space="0" w:color="auto"/>
              <w:left w:val="single" w:sz="4" w:space="0" w:color="auto"/>
              <w:bottom w:val="single" w:sz="4" w:space="0" w:color="auto"/>
              <w:right w:val="single" w:sz="4" w:space="0" w:color="auto"/>
            </w:tcBorders>
            <w:vAlign w:val="center"/>
          </w:tcPr>
          <w:p w:rsidR="00BC3B0B" w:rsidRPr="006A083B" w:rsidRDefault="006A083B" w:rsidP="003C29F4">
            <w:pPr>
              <w:pStyle w:val="TableText0"/>
              <w:keepLines/>
              <w:jc w:val="center"/>
              <w:rPr>
                <w:iCs/>
                <w:highlight w:val="black"/>
              </w:rPr>
            </w:pPr>
            <w:r>
              <w:rPr>
                <w:iCs/>
                <w:noProof/>
                <w:color w:val="000000"/>
                <w:highlight w:val="black"/>
              </w:rPr>
              <w:t>''''''''''''''''</w:t>
            </w:r>
          </w:p>
        </w:tc>
        <w:tc>
          <w:tcPr>
            <w:tcW w:w="629" w:type="pct"/>
            <w:tcBorders>
              <w:top w:val="single" w:sz="4" w:space="0" w:color="auto"/>
              <w:left w:val="single" w:sz="4" w:space="0" w:color="auto"/>
              <w:bottom w:val="single" w:sz="4" w:space="0" w:color="auto"/>
              <w:right w:val="single" w:sz="4" w:space="0" w:color="auto"/>
            </w:tcBorders>
            <w:vAlign w:val="center"/>
          </w:tcPr>
          <w:p w:rsidR="00BC3B0B" w:rsidRPr="006A083B" w:rsidRDefault="006A083B" w:rsidP="003C29F4">
            <w:pPr>
              <w:pStyle w:val="TableText0"/>
              <w:keepLines/>
              <w:jc w:val="center"/>
              <w:rPr>
                <w:iCs/>
                <w:highlight w:val="black"/>
              </w:rPr>
            </w:pPr>
            <w:r>
              <w:rPr>
                <w:iCs/>
                <w:noProof/>
                <w:color w:val="000000"/>
                <w:highlight w:val="black"/>
              </w:rPr>
              <w:t>''''''''''</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BC3B0B" w:rsidRPr="006A083B" w:rsidRDefault="006A083B" w:rsidP="003C29F4">
            <w:pPr>
              <w:pStyle w:val="TableText0"/>
              <w:keepLines/>
              <w:jc w:val="center"/>
              <w:rPr>
                <w:iCs/>
                <w:highlight w:val="black"/>
              </w:rPr>
            </w:pPr>
            <w:r>
              <w:rPr>
                <w:iCs/>
                <w:noProof/>
                <w:color w:val="000000"/>
                <w:highlight w:val="black"/>
              </w:rPr>
              <w:t>'''''''</w:t>
            </w:r>
          </w:p>
        </w:tc>
      </w:tr>
    </w:tbl>
    <w:p w:rsidR="00BC3B0B" w:rsidRPr="001207CD" w:rsidRDefault="00BC3B0B" w:rsidP="00BC3B0B">
      <w:pPr>
        <w:pStyle w:val="2-SectionHeading"/>
        <w:numPr>
          <w:ilvl w:val="0"/>
          <w:numId w:val="0"/>
        </w:numPr>
        <w:spacing w:before="0" w:after="240"/>
        <w:contextualSpacing/>
        <w:outlineLvl w:val="9"/>
        <w:rPr>
          <w:rFonts w:ascii="Arial Narrow" w:hAnsi="Arial Narrow"/>
          <w:b w:val="0"/>
          <w:sz w:val="18"/>
          <w:szCs w:val="22"/>
        </w:rPr>
      </w:pPr>
      <w:bookmarkStart w:id="37" w:name="_Toc30597916"/>
      <w:bookmarkStart w:id="38" w:name="_Toc30600761"/>
      <w:r w:rsidRPr="001207CD">
        <w:rPr>
          <w:rFonts w:ascii="Arial Narrow" w:hAnsi="Arial Narrow"/>
          <w:b w:val="0"/>
          <w:sz w:val="18"/>
          <w:szCs w:val="22"/>
        </w:rPr>
        <w:t xml:space="preserve">Source: Table 3.4-9 p160 of the submission; CMA </w:t>
      </w:r>
      <w:proofErr w:type="spellStart"/>
      <w:r w:rsidRPr="001207CD">
        <w:rPr>
          <w:rFonts w:ascii="Arial Narrow" w:hAnsi="Arial Narrow"/>
          <w:b w:val="0"/>
          <w:sz w:val="18"/>
          <w:szCs w:val="22"/>
        </w:rPr>
        <w:t>Avelumab</w:t>
      </w:r>
      <w:proofErr w:type="spellEnd"/>
      <w:r w:rsidRPr="001207CD">
        <w:rPr>
          <w:rFonts w:ascii="Arial Narrow" w:hAnsi="Arial Narrow"/>
          <w:b w:val="0"/>
          <w:sz w:val="18"/>
          <w:szCs w:val="22"/>
        </w:rPr>
        <w:t xml:space="preserve"> </w:t>
      </w:r>
      <w:proofErr w:type="spellStart"/>
      <w:r w:rsidRPr="001207CD">
        <w:rPr>
          <w:rFonts w:ascii="Arial Narrow" w:hAnsi="Arial Narrow"/>
          <w:b w:val="0"/>
          <w:sz w:val="18"/>
          <w:szCs w:val="22"/>
        </w:rPr>
        <w:t>Axitinib</w:t>
      </w:r>
      <w:proofErr w:type="spellEnd"/>
      <w:r w:rsidRPr="001207CD">
        <w:rPr>
          <w:rFonts w:ascii="Arial Narrow" w:hAnsi="Arial Narrow"/>
          <w:b w:val="0"/>
          <w:sz w:val="18"/>
          <w:szCs w:val="22"/>
        </w:rPr>
        <w:t xml:space="preserve"> vs </w:t>
      </w:r>
      <w:proofErr w:type="spellStart"/>
      <w:r w:rsidRPr="001207CD">
        <w:rPr>
          <w:rFonts w:ascii="Arial Narrow" w:hAnsi="Arial Narrow"/>
          <w:b w:val="0"/>
          <w:sz w:val="18"/>
          <w:szCs w:val="22"/>
        </w:rPr>
        <w:t>Nivolumab</w:t>
      </w:r>
      <w:proofErr w:type="spellEnd"/>
      <w:r w:rsidRPr="001207CD">
        <w:rPr>
          <w:rFonts w:ascii="Arial Narrow" w:hAnsi="Arial Narrow"/>
          <w:b w:val="0"/>
          <w:sz w:val="18"/>
          <w:szCs w:val="22"/>
        </w:rPr>
        <w:t xml:space="preserve"> Ipilimumab.xlsx, worksheet ‘Results’.</w:t>
      </w:r>
      <w:bookmarkEnd w:id="37"/>
      <w:bookmarkEnd w:id="38"/>
      <w:r w:rsidRPr="001207CD">
        <w:rPr>
          <w:rFonts w:ascii="Arial Narrow" w:hAnsi="Arial Narrow"/>
          <w:b w:val="0"/>
          <w:sz w:val="18"/>
          <w:szCs w:val="22"/>
        </w:rPr>
        <w:t xml:space="preserve"> </w:t>
      </w:r>
    </w:p>
    <w:p w:rsidR="00BC3B0B" w:rsidRPr="001207CD" w:rsidRDefault="00BC3B0B" w:rsidP="00BC3B0B">
      <w:pPr>
        <w:pStyle w:val="2-SectionHeading"/>
        <w:numPr>
          <w:ilvl w:val="0"/>
          <w:numId w:val="0"/>
        </w:numPr>
        <w:spacing w:before="0" w:after="240"/>
        <w:contextualSpacing/>
        <w:outlineLvl w:val="9"/>
        <w:rPr>
          <w:rFonts w:ascii="Arial Narrow" w:hAnsi="Arial Narrow"/>
          <w:b w:val="0"/>
          <w:sz w:val="18"/>
          <w:szCs w:val="22"/>
        </w:rPr>
      </w:pPr>
      <w:bookmarkStart w:id="39" w:name="_Toc30597917"/>
      <w:bookmarkStart w:id="40" w:name="_Toc30600762"/>
      <w:r w:rsidRPr="001207CD">
        <w:rPr>
          <w:rFonts w:ascii="Arial Narrow" w:hAnsi="Arial Narrow"/>
          <w:b w:val="0"/>
          <w:sz w:val="18"/>
          <w:szCs w:val="22"/>
        </w:rPr>
        <w:t xml:space="preserve">Abbreviations: AEMP = Approved Ex-manufacturer Price; AVE + AXI = </w:t>
      </w:r>
      <w:proofErr w:type="spellStart"/>
      <w:r w:rsidRPr="001207CD">
        <w:rPr>
          <w:rFonts w:ascii="Arial Narrow" w:hAnsi="Arial Narrow"/>
          <w:b w:val="0"/>
          <w:sz w:val="18"/>
          <w:szCs w:val="22"/>
        </w:rPr>
        <w:t>avelumab</w:t>
      </w:r>
      <w:proofErr w:type="spellEnd"/>
      <w:r w:rsidRPr="001207CD">
        <w:rPr>
          <w:rFonts w:ascii="Arial Narrow" w:hAnsi="Arial Narrow"/>
          <w:b w:val="0"/>
          <w:sz w:val="18"/>
          <w:szCs w:val="22"/>
        </w:rPr>
        <w:t xml:space="preserve"> + </w:t>
      </w:r>
      <w:proofErr w:type="spellStart"/>
      <w:r w:rsidRPr="001207CD">
        <w:rPr>
          <w:rFonts w:ascii="Arial Narrow" w:hAnsi="Arial Narrow"/>
          <w:b w:val="0"/>
          <w:sz w:val="18"/>
          <w:szCs w:val="22"/>
        </w:rPr>
        <w:t>axitin</w:t>
      </w:r>
      <w:r w:rsidR="002E124D" w:rsidRPr="001207CD">
        <w:rPr>
          <w:rFonts w:ascii="Arial Narrow" w:hAnsi="Arial Narrow"/>
          <w:b w:val="0"/>
          <w:sz w:val="18"/>
          <w:szCs w:val="22"/>
        </w:rPr>
        <w:t>i</w:t>
      </w:r>
      <w:r w:rsidRPr="001207CD">
        <w:rPr>
          <w:rFonts w:ascii="Arial Narrow" w:hAnsi="Arial Narrow"/>
          <w:b w:val="0"/>
          <w:sz w:val="18"/>
          <w:szCs w:val="22"/>
        </w:rPr>
        <w:t>b</w:t>
      </w:r>
      <w:proofErr w:type="spellEnd"/>
      <w:r w:rsidRPr="001207CD">
        <w:rPr>
          <w:rFonts w:ascii="Arial Narrow" w:hAnsi="Arial Narrow"/>
          <w:b w:val="0"/>
          <w:sz w:val="18"/>
          <w:szCs w:val="22"/>
        </w:rPr>
        <w:t xml:space="preserve">; IPI = </w:t>
      </w:r>
      <w:proofErr w:type="spellStart"/>
      <w:r w:rsidRPr="001207CD">
        <w:rPr>
          <w:rFonts w:ascii="Arial Narrow" w:hAnsi="Arial Narrow"/>
          <w:b w:val="0"/>
          <w:sz w:val="18"/>
          <w:szCs w:val="22"/>
        </w:rPr>
        <w:t>ipilimumab</w:t>
      </w:r>
      <w:proofErr w:type="spellEnd"/>
      <w:r w:rsidRPr="001207CD">
        <w:rPr>
          <w:rFonts w:ascii="Arial Narrow" w:hAnsi="Arial Narrow"/>
          <w:b w:val="0"/>
          <w:sz w:val="18"/>
          <w:szCs w:val="22"/>
        </w:rPr>
        <w:t xml:space="preserve">, NIVO = </w:t>
      </w:r>
      <w:proofErr w:type="spellStart"/>
      <w:r w:rsidRPr="001207CD">
        <w:rPr>
          <w:rFonts w:ascii="Arial Narrow" w:hAnsi="Arial Narrow"/>
          <w:b w:val="0"/>
          <w:sz w:val="18"/>
          <w:szCs w:val="22"/>
        </w:rPr>
        <w:t>nivolumab</w:t>
      </w:r>
      <w:proofErr w:type="spellEnd"/>
      <w:r w:rsidRPr="001207CD">
        <w:rPr>
          <w:rFonts w:ascii="Arial Narrow" w:hAnsi="Arial Narrow"/>
          <w:b w:val="0"/>
          <w:sz w:val="18"/>
          <w:szCs w:val="22"/>
        </w:rPr>
        <w:t>; PFS = progression free survival; Q4W = every four weeks.</w:t>
      </w:r>
      <w:bookmarkEnd w:id="39"/>
      <w:bookmarkEnd w:id="40"/>
      <w:r w:rsidRPr="001207CD">
        <w:rPr>
          <w:rFonts w:ascii="Arial Narrow" w:hAnsi="Arial Narrow"/>
          <w:b w:val="0"/>
          <w:sz w:val="18"/>
          <w:szCs w:val="22"/>
        </w:rPr>
        <w:t xml:space="preserve"> </w:t>
      </w:r>
    </w:p>
    <w:p w:rsidR="00BC3B0B" w:rsidRPr="006A083B" w:rsidRDefault="00BC3B0B" w:rsidP="00BC3B0B">
      <w:pPr>
        <w:pStyle w:val="2-SectionHeading"/>
        <w:numPr>
          <w:ilvl w:val="0"/>
          <w:numId w:val="0"/>
        </w:numPr>
        <w:spacing w:before="0" w:after="240"/>
        <w:contextualSpacing/>
        <w:outlineLvl w:val="9"/>
        <w:rPr>
          <w:rFonts w:ascii="Arial Narrow" w:hAnsi="Arial Narrow"/>
          <w:b w:val="0"/>
          <w:sz w:val="18"/>
          <w:szCs w:val="22"/>
        </w:rPr>
      </w:pPr>
      <w:bookmarkStart w:id="41" w:name="_Toc30597918"/>
      <w:bookmarkStart w:id="42" w:name="_Toc30600763"/>
      <w:r w:rsidRPr="001207CD">
        <w:rPr>
          <w:rFonts w:ascii="Arial Narrow" w:hAnsi="Arial Narrow"/>
          <w:b w:val="0"/>
          <w:sz w:val="18"/>
          <w:szCs w:val="22"/>
          <w:vertAlign w:val="superscript"/>
        </w:rPr>
        <w:t>a</w:t>
      </w:r>
      <w:r w:rsidRPr="001207CD">
        <w:rPr>
          <w:rFonts w:ascii="Arial Narrow" w:hAnsi="Arial Narrow"/>
          <w:b w:val="0"/>
          <w:sz w:val="18"/>
          <w:szCs w:val="22"/>
        </w:rPr>
        <w:t xml:space="preserve"> </w:t>
      </w:r>
      <w:bookmarkEnd w:id="41"/>
      <w:bookmarkEnd w:id="42"/>
      <w:r w:rsidR="006A083B">
        <w:rPr>
          <w:rFonts w:ascii="Arial Narrow" w:hAnsi="Arial Narrow"/>
          <w:b w:val="0"/>
          <w:noProof/>
          <w:color w:val="000000"/>
          <w:sz w:val="18"/>
          <w:szCs w:val="22"/>
          <w:highlight w:val="black"/>
        </w:rPr>
        <w:t>''''''' '''''''''''''''''''' ''''''''''' ''''''''''' ''''''''''''' ''''''''''''''' '''''' ''''''' '''''''''' '''''''' ''''''''' '''''''''''''</w:t>
      </w:r>
    </w:p>
    <w:p w:rsidR="00BC3B0B" w:rsidRPr="00EC6E05" w:rsidRDefault="00BC3B0B" w:rsidP="00BC3B0B">
      <w:pPr>
        <w:pStyle w:val="2-SectionHeading"/>
        <w:numPr>
          <w:ilvl w:val="0"/>
          <w:numId w:val="0"/>
        </w:numPr>
        <w:spacing w:before="0" w:after="240"/>
        <w:contextualSpacing/>
        <w:outlineLvl w:val="9"/>
        <w:rPr>
          <w:rFonts w:ascii="Arial Narrow" w:hAnsi="Arial Narrow"/>
          <w:b w:val="0"/>
          <w:sz w:val="18"/>
          <w:szCs w:val="22"/>
        </w:rPr>
      </w:pPr>
      <w:bookmarkStart w:id="43" w:name="_Toc30597919"/>
      <w:bookmarkStart w:id="44" w:name="_Toc30600764"/>
      <w:proofErr w:type="gramStart"/>
      <w:r w:rsidRPr="001207CD">
        <w:rPr>
          <w:rFonts w:ascii="Arial Narrow" w:hAnsi="Arial Narrow"/>
          <w:b w:val="0"/>
          <w:sz w:val="18"/>
          <w:szCs w:val="22"/>
          <w:vertAlign w:val="superscript"/>
        </w:rPr>
        <w:t>b</w:t>
      </w:r>
      <w:proofErr w:type="gramEnd"/>
      <w:r w:rsidRPr="001207CD">
        <w:rPr>
          <w:rFonts w:ascii="Arial Narrow" w:hAnsi="Arial Narrow"/>
          <w:b w:val="0"/>
          <w:sz w:val="18"/>
          <w:szCs w:val="22"/>
        </w:rPr>
        <w:t xml:space="preserve"> Versus base case with incremental costs between arms set to $0</w:t>
      </w:r>
      <w:r w:rsidR="003B198C" w:rsidRPr="001207CD">
        <w:rPr>
          <w:rFonts w:ascii="Arial Narrow" w:hAnsi="Arial Narrow"/>
          <w:b w:val="0"/>
          <w:sz w:val="18"/>
          <w:szCs w:val="22"/>
        </w:rPr>
        <w:t xml:space="preserve"> (rather than $</w:t>
      </w:r>
      <w:r w:rsidR="006A083B">
        <w:rPr>
          <w:rFonts w:ascii="Arial Narrow" w:hAnsi="Arial Narrow"/>
          <w:b w:val="0"/>
          <w:noProof/>
          <w:color w:val="000000"/>
          <w:sz w:val="18"/>
          <w:szCs w:val="22"/>
          <w:highlight w:val="black"/>
        </w:rPr>
        <w:t>'''''''''''''''''</w:t>
      </w:r>
      <w:r w:rsidR="003B198C" w:rsidRPr="001207CD">
        <w:rPr>
          <w:rFonts w:ascii="Arial Narrow" w:hAnsi="Arial Narrow"/>
          <w:b w:val="0"/>
          <w:sz w:val="18"/>
          <w:szCs w:val="22"/>
        </w:rPr>
        <w:t xml:space="preserve"> as used in the framework presented in the submission)</w:t>
      </w:r>
      <w:bookmarkEnd w:id="43"/>
      <w:bookmarkEnd w:id="44"/>
    </w:p>
    <w:p w:rsidR="003E4B0A" w:rsidRPr="00EC6E05" w:rsidRDefault="00BC3B0B" w:rsidP="00BC3B0B">
      <w:pPr>
        <w:pStyle w:val="2-SectionHeading"/>
        <w:numPr>
          <w:ilvl w:val="0"/>
          <w:numId w:val="0"/>
        </w:numPr>
        <w:spacing w:before="0" w:after="240"/>
        <w:contextualSpacing/>
        <w:outlineLvl w:val="9"/>
        <w:rPr>
          <w:rFonts w:ascii="Arial Narrow" w:hAnsi="Arial Narrow"/>
          <w:b w:val="0"/>
          <w:sz w:val="18"/>
          <w:szCs w:val="22"/>
        </w:rPr>
      </w:pPr>
      <w:bookmarkStart w:id="45" w:name="_Toc30597920"/>
      <w:bookmarkStart w:id="46" w:name="_Toc30600765"/>
      <w:proofErr w:type="gramStart"/>
      <w:r w:rsidRPr="00EC6E05">
        <w:rPr>
          <w:rFonts w:ascii="Arial Narrow" w:hAnsi="Arial Narrow"/>
          <w:b w:val="0"/>
          <w:sz w:val="18"/>
          <w:szCs w:val="22"/>
          <w:vertAlign w:val="superscript"/>
        </w:rPr>
        <w:t>c</w:t>
      </w:r>
      <w:proofErr w:type="gramEnd"/>
      <w:r w:rsidRPr="00EC6E05">
        <w:rPr>
          <w:rFonts w:ascii="Arial Narrow" w:hAnsi="Arial Narrow"/>
          <w:b w:val="0"/>
          <w:sz w:val="18"/>
          <w:szCs w:val="22"/>
        </w:rPr>
        <w:t xml:space="preserve"> PFS in AVE + AXI arm is unchanged in this analysis and remains based on the JAVELIN trial</w:t>
      </w:r>
      <w:bookmarkEnd w:id="45"/>
      <w:bookmarkEnd w:id="46"/>
      <w:r w:rsidR="00A41616" w:rsidRPr="00EC6E05">
        <w:rPr>
          <w:rFonts w:ascii="Arial Narrow" w:hAnsi="Arial Narrow"/>
          <w:b w:val="0"/>
          <w:sz w:val="18"/>
          <w:szCs w:val="22"/>
        </w:rPr>
        <w:t>.</w:t>
      </w:r>
    </w:p>
    <w:p w:rsidR="00402EE9" w:rsidRPr="00EC6E05" w:rsidRDefault="00402EE9" w:rsidP="00BC3B0B">
      <w:pPr>
        <w:pStyle w:val="2-SectionHeading"/>
        <w:numPr>
          <w:ilvl w:val="0"/>
          <w:numId w:val="0"/>
        </w:numPr>
        <w:spacing w:before="0" w:after="240"/>
        <w:contextualSpacing/>
        <w:outlineLvl w:val="9"/>
      </w:pPr>
      <w:proofErr w:type="gramStart"/>
      <w:r w:rsidRPr="00EC6E05">
        <w:rPr>
          <w:rFonts w:ascii="Arial Narrow" w:hAnsi="Arial Narrow"/>
          <w:b w:val="0"/>
          <w:sz w:val="18"/>
          <w:szCs w:val="22"/>
          <w:vertAlign w:val="superscript"/>
        </w:rPr>
        <w:t>d</w:t>
      </w:r>
      <w:proofErr w:type="gramEnd"/>
      <w:r w:rsidRPr="00EC6E05">
        <w:rPr>
          <w:rFonts w:ascii="Arial Narrow" w:hAnsi="Arial Narrow"/>
          <w:b w:val="0"/>
          <w:sz w:val="18"/>
          <w:szCs w:val="22"/>
        </w:rPr>
        <w:t xml:space="preserve"> Same PFS data used in each arm (based on AVE + AXI)</w:t>
      </w:r>
    </w:p>
    <w:p w:rsidR="007A27C8" w:rsidRPr="00EC6E05" w:rsidRDefault="001031D8" w:rsidP="00F036F0">
      <w:pPr>
        <w:pStyle w:val="3-BodyText"/>
      </w:pPr>
      <w:r w:rsidRPr="00EC6E05">
        <w:t xml:space="preserve">Given the immaturity of the OS outcomes from JAVELIN in </w:t>
      </w:r>
      <w:r w:rsidRPr="003F7BBC">
        <w:t>favourable risk patients</w:t>
      </w:r>
      <w:r w:rsidR="007A27C8" w:rsidRPr="00EC6E05">
        <w:t xml:space="preserve">, </w:t>
      </w:r>
      <w:r w:rsidR="001158C0">
        <w:t xml:space="preserve">the evaluation and the ESC considered that </w:t>
      </w:r>
      <w:r w:rsidR="007A27C8" w:rsidRPr="00EC6E05">
        <w:t xml:space="preserve">a CMA compared with </w:t>
      </w:r>
      <w:proofErr w:type="spellStart"/>
      <w:r w:rsidR="007A27C8" w:rsidRPr="00EC6E05">
        <w:t>sunitinib</w:t>
      </w:r>
      <w:proofErr w:type="spellEnd"/>
      <w:r w:rsidR="007A27C8" w:rsidRPr="00EC6E05">
        <w:t xml:space="preserve"> or </w:t>
      </w:r>
      <w:proofErr w:type="spellStart"/>
      <w:r w:rsidR="007A27C8" w:rsidRPr="00EC6E05">
        <w:t>pazopanib</w:t>
      </w:r>
      <w:proofErr w:type="spellEnd"/>
      <w:r w:rsidR="007A27C8" w:rsidRPr="00EC6E05">
        <w:t xml:space="preserve"> may have been informative in </w:t>
      </w:r>
      <w:r w:rsidR="006B765C" w:rsidRPr="00EC6E05">
        <w:t>this patient group</w:t>
      </w:r>
      <w:r w:rsidR="007A27C8" w:rsidRPr="00EC6E05">
        <w:t xml:space="preserve">. Such an approach could result in a weighted price, noting the submission has estimated that favourable risk patients represent 24% of </w:t>
      </w:r>
      <w:r w:rsidR="00D00965">
        <w:t xml:space="preserve">patients with previously untreated advanced </w:t>
      </w:r>
      <w:r w:rsidR="00D00965" w:rsidRPr="00EC6E05">
        <w:t xml:space="preserve">clear cell variant </w:t>
      </w:r>
      <w:r w:rsidR="00D00965">
        <w:t>RCC</w:t>
      </w:r>
      <w:r w:rsidR="007A27C8" w:rsidRPr="00EC6E05">
        <w:t xml:space="preserve">. </w:t>
      </w:r>
      <w:r w:rsidR="00F036F0">
        <w:t xml:space="preserve">The pre-PBAC </w:t>
      </w:r>
      <w:proofErr w:type="gramStart"/>
      <w:r w:rsidR="00F036F0">
        <w:t>response  stated</w:t>
      </w:r>
      <w:proofErr w:type="gramEnd"/>
      <w:r w:rsidR="00F036F0">
        <w:t xml:space="preserve"> that the sponsor is ‘</w:t>
      </w:r>
      <w:r w:rsidR="00F036F0" w:rsidRPr="00F036F0">
        <w:t xml:space="preserve">unable to accept a treatment cost for AVE + AXI that is similar to that of </w:t>
      </w:r>
      <w:proofErr w:type="spellStart"/>
      <w:r w:rsidR="00F036F0" w:rsidRPr="00F036F0">
        <w:t>sunitinib</w:t>
      </w:r>
      <w:proofErr w:type="spellEnd"/>
      <w:r w:rsidR="00F036F0" w:rsidRPr="00F036F0">
        <w:t xml:space="preserve"> or </w:t>
      </w:r>
      <w:proofErr w:type="spellStart"/>
      <w:r w:rsidR="00F036F0" w:rsidRPr="00F036F0">
        <w:t>pazopanib</w:t>
      </w:r>
      <w:proofErr w:type="spellEnd"/>
      <w:r w:rsidR="00F036F0" w:rsidRPr="00F036F0">
        <w:t xml:space="preserve"> in patients who meet the favourable IMDC prognostic risk criteria</w:t>
      </w:r>
      <w:r w:rsidR="00F036F0">
        <w:t>’</w:t>
      </w:r>
      <w:r w:rsidR="00F036F0" w:rsidRPr="00F036F0">
        <w:t>.</w:t>
      </w:r>
    </w:p>
    <w:p w:rsidR="00B65A3B" w:rsidRPr="00EC6E05" w:rsidRDefault="00B65A3B" w:rsidP="00B65A3B">
      <w:pPr>
        <w:pStyle w:val="4-SubsectionHeading"/>
      </w:pPr>
      <w:bookmarkStart w:id="47" w:name="_Toc22897646"/>
      <w:bookmarkStart w:id="48" w:name="_Toc30600766"/>
      <w:r w:rsidRPr="00EC6E05">
        <w:t>Drug cost/patient/course</w:t>
      </w:r>
      <w:bookmarkEnd w:id="47"/>
      <w:r w:rsidRPr="00EC6E05">
        <w:t>:</w:t>
      </w:r>
      <w:bookmarkEnd w:id="48"/>
    </w:p>
    <w:p w:rsidR="00B65A3B" w:rsidRPr="00EC6E05" w:rsidRDefault="00B65A3B" w:rsidP="00291A90">
      <w:pPr>
        <w:pStyle w:val="ListParagraph"/>
        <w:keepNext/>
        <w:numPr>
          <w:ilvl w:val="1"/>
          <w:numId w:val="1"/>
        </w:numPr>
        <w:spacing w:after="160"/>
        <w:jc w:val="both"/>
        <w:rPr>
          <w:color w:val="000000" w:themeColor="text1"/>
        </w:rPr>
      </w:pPr>
      <w:r w:rsidRPr="00291A90">
        <w:rPr>
          <w:rStyle w:val="3-BodyTextChar"/>
        </w:rPr>
        <w:t xml:space="preserve">A summary of the drug cost per patient </w:t>
      </w:r>
      <w:r w:rsidR="00727D73" w:rsidRPr="00291A90">
        <w:rPr>
          <w:rStyle w:val="3-BodyTextChar"/>
        </w:rPr>
        <w:t xml:space="preserve">for </w:t>
      </w:r>
      <w:r w:rsidRPr="00291A90">
        <w:rPr>
          <w:rStyle w:val="3-BodyTextChar"/>
        </w:rPr>
        <w:t xml:space="preserve">AVE + AXI and NIVO + IPI </w:t>
      </w:r>
      <w:proofErr w:type="gramStart"/>
      <w:r w:rsidRPr="00291A90">
        <w:rPr>
          <w:rStyle w:val="3-BodyTextChar"/>
        </w:rPr>
        <w:t>is provided</w:t>
      </w:r>
      <w:proofErr w:type="gramEnd"/>
      <w:r w:rsidRPr="00291A90">
        <w:rPr>
          <w:rStyle w:val="3-BodyTextChar"/>
        </w:rPr>
        <w:t xml:space="preserve"> in Table </w:t>
      </w:r>
      <w:r w:rsidR="00727D73" w:rsidRPr="00291A90">
        <w:rPr>
          <w:rStyle w:val="3-BodyTextChar"/>
        </w:rPr>
        <w:t>1</w:t>
      </w:r>
      <w:r w:rsidR="00291A90" w:rsidRPr="00291A90">
        <w:rPr>
          <w:rStyle w:val="3-BodyTextChar"/>
        </w:rPr>
        <w:t>2</w:t>
      </w:r>
      <w:r w:rsidRPr="00291A90">
        <w:rPr>
          <w:rStyle w:val="3-BodyTextChar"/>
        </w:rPr>
        <w:t>. The cost/patient/course for a patient treated with AVE + AXI was estimated to be $</w:t>
      </w:r>
      <w:r w:rsidR="006A083B">
        <w:rPr>
          <w:rStyle w:val="3-BodyTextChar"/>
          <w:noProof/>
          <w:color w:val="000000"/>
          <w:highlight w:val="black"/>
        </w:rPr>
        <w:t>''''''''''''''''</w:t>
      </w:r>
      <w:r w:rsidR="00CF518D" w:rsidRPr="00291A90">
        <w:rPr>
          <w:rStyle w:val="3-BodyTextChar"/>
        </w:rPr>
        <w:t xml:space="preserve"> (based on the cost-minimisation analysis provided in the submission)</w:t>
      </w:r>
      <w:r w:rsidRPr="00291A90">
        <w:rPr>
          <w:rStyle w:val="3-BodyTextChar"/>
        </w:rPr>
        <w:t>. This was calculated using the published dispensed price</w:t>
      </w:r>
      <w:r w:rsidR="00704B60" w:rsidRPr="00291A90">
        <w:rPr>
          <w:rStyle w:val="3-BodyTextChar"/>
        </w:rPr>
        <w:t>s</w:t>
      </w:r>
      <w:r w:rsidRPr="00291A90">
        <w:rPr>
          <w:rStyle w:val="3-BodyTextChar"/>
        </w:rPr>
        <w:t xml:space="preserve"> of </w:t>
      </w:r>
      <w:proofErr w:type="spellStart"/>
      <w:r w:rsidRPr="00291A90">
        <w:rPr>
          <w:rStyle w:val="3-BodyTextChar"/>
        </w:rPr>
        <w:t>avelumab</w:t>
      </w:r>
      <w:proofErr w:type="spellEnd"/>
      <w:r w:rsidRPr="00291A90">
        <w:rPr>
          <w:rStyle w:val="3-BodyTextChar"/>
        </w:rPr>
        <w:t xml:space="preserve"> (in the Merkel</w:t>
      </w:r>
      <w:r w:rsidRPr="00EC6E05">
        <w:t xml:space="preserve"> </w:t>
      </w:r>
      <w:r w:rsidRPr="00EC6E05">
        <w:lastRenderedPageBreak/>
        <w:t xml:space="preserve">cell indication) and </w:t>
      </w:r>
      <w:proofErr w:type="spellStart"/>
      <w:r w:rsidRPr="00EC6E05">
        <w:t>axitinib</w:t>
      </w:r>
      <w:proofErr w:type="spellEnd"/>
      <w:r w:rsidRPr="00EC6E05">
        <w:t xml:space="preserve"> (in the </w:t>
      </w:r>
      <w:r w:rsidR="00F036F0">
        <w:t xml:space="preserve">existing </w:t>
      </w:r>
      <w:r w:rsidRPr="00EC6E05">
        <w:t xml:space="preserve">indication </w:t>
      </w:r>
      <w:r w:rsidR="00F036F0">
        <w:t xml:space="preserve">of advance </w:t>
      </w:r>
      <w:r w:rsidRPr="00EC6E05">
        <w:t xml:space="preserve">RCC after failure of one prior systemic therapy). </w:t>
      </w:r>
    </w:p>
    <w:p w:rsidR="00B65A3B" w:rsidRPr="00EC6E05" w:rsidRDefault="00B65A3B" w:rsidP="003B198C">
      <w:pPr>
        <w:pStyle w:val="TableFigureHeading"/>
        <w:keepLines/>
        <w:rPr>
          <w:rStyle w:val="CommentReference"/>
          <w:b/>
          <w:szCs w:val="24"/>
        </w:rPr>
      </w:pPr>
      <w:r w:rsidRPr="00EC6E05">
        <w:rPr>
          <w:rStyle w:val="CommentReference"/>
          <w:b/>
          <w:szCs w:val="24"/>
        </w:rPr>
        <w:t>Table 1</w:t>
      </w:r>
      <w:r w:rsidR="00291A90">
        <w:rPr>
          <w:rStyle w:val="CommentReference"/>
          <w:b/>
          <w:szCs w:val="24"/>
        </w:rPr>
        <w:t>2</w:t>
      </w:r>
      <w:r w:rsidRPr="00EC6E05">
        <w:rPr>
          <w:rStyle w:val="CommentReference"/>
          <w:b/>
          <w:szCs w:val="24"/>
        </w:rPr>
        <w:t>: Drug cost per patient for AVE + AXI and NIVO + IPI</w:t>
      </w:r>
      <w:r w:rsidR="005F09AA" w:rsidRPr="00EC6E05">
        <w:rPr>
          <w:rStyle w:val="CommentReference"/>
          <w:b/>
          <w:szCs w:val="24"/>
        </w:rPr>
        <w:t xml:space="preserve"> using published dispensed prices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51"/>
        <w:gridCol w:w="410"/>
        <w:gridCol w:w="1178"/>
        <w:gridCol w:w="1177"/>
        <w:gridCol w:w="1177"/>
        <w:gridCol w:w="490"/>
        <w:gridCol w:w="1145"/>
        <w:gridCol w:w="1145"/>
        <w:gridCol w:w="1143"/>
      </w:tblGrid>
      <w:tr w:rsidR="00B65A3B" w:rsidRPr="00EC6E05" w:rsidTr="000B4D23">
        <w:trPr>
          <w:cantSplit/>
          <w:tblHeader/>
          <w:jc w:val="center"/>
        </w:trPr>
        <w:tc>
          <w:tcPr>
            <w:tcW w:w="638" w:type="pct"/>
            <w:tcBorders>
              <w:bottom w:val="nil"/>
            </w:tcBorders>
            <w:shd w:val="clear" w:color="auto" w:fill="auto"/>
          </w:tcPr>
          <w:p w:rsidR="00B65A3B" w:rsidRPr="00EC6E05" w:rsidRDefault="00B65A3B" w:rsidP="003B198C">
            <w:pPr>
              <w:pStyle w:val="In-tableHeading"/>
              <w:keepLines/>
              <w:rPr>
                <w:lang w:val="en-AU"/>
              </w:rPr>
            </w:pPr>
          </w:p>
        </w:tc>
        <w:tc>
          <w:tcPr>
            <w:tcW w:w="227" w:type="pct"/>
            <w:tcBorders>
              <w:right w:val="nil"/>
            </w:tcBorders>
          </w:tcPr>
          <w:p w:rsidR="00B65A3B" w:rsidRPr="00EC6E05" w:rsidRDefault="00B65A3B" w:rsidP="003B198C">
            <w:pPr>
              <w:pStyle w:val="In-tableHeading"/>
              <w:keepLines/>
              <w:jc w:val="center"/>
              <w:rPr>
                <w:lang w:val="en-AU"/>
              </w:rPr>
            </w:pPr>
          </w:p>
        </w:tc>
        <w:tc>
          <w:tcPr>
            <w:tcW w:w="653" w:type="pct"/>
            <w:tcBorders>
              <w:left w:val="nil"/>
              <w:right w:val="nil"/>
            </w:tcBorders>
            <w:shd w:val="clear" w:color="auto" w:fill="auto"/>
            <w:vAlign w:val="center"/>
          </w:tcPr>
          <w:p w:rsidR="00B65A3B" w:rsidRPr="00EC6E05" w:rsidRDefault="00B65A3B" w:rsidP="003B198C">
            <w:pPr>
              <w:pStyle w:val="In-tableHeading"/>
              <w:keepLines/>
              <w:jc w:val="center"/>
              <w:rPr>
                <w:lang w:val="en-AU"/>
              </w:rPr>
            </w:pPr>
          </w:p>
        </w:tc>
        <w:tc>
          <w:tcPr>
            <w:tcW w:w="653" w:type="pct"/>
            <w:tcBorders>
              <w:left w:val="nil"/>
              <w:right w:val="nil"/>
            </w:tcBorders>
            <w:shd w:val="clear" w:color="auto" w:fill="auto"/>
            <w:vAlign w:val="center"/>
          </w:tcPr>
          <w:p w:rsidR="00B65A3B" w:rsidRPr="00EC6E05" w:rsidRDefault="00B65A3B" w:rsidP="003B198C">
            <w:pPr>
              <w:pStyle w:val="In-tableHeading"/>
              <w:keepLines/>
              <w:jc w:val="center"/>
              <w:rPr>
                <w:lang w:val="en-AU"/>
              </w:rPr>
            </w:pPr>
            <w:r w:rsidRPr="00EC6E05">
              <w:rPr>
                <w:lang w:val="en-AU"/>
              </w:rPr>
              <w:t>AVE + AXI</w:t>
            </w:r>
          </w:p>
        </w:tc>
        <w:tc>
          <w:tcPr>
            <w:tcW w:w="653" w:type="pct"/>
            <w:tcBorders>
              <w:left w:val="nil"/>
            </w:tcBorders>
            <w:shd w:val="clear" w:color="auto" w:fill="auto"/>
            <w:vAlign w:val="center"/>
          </w:tcPr>
          <w:p w:rsidR="00B65A3B" w:rsidRPr="00EC6E05" w:rsidRDefault="00B65A3B" w:rsidP="003B198C">
            <w:pPr>
              <w:pStyle w:val="In-tableHeading"/>
              <w:keepLines/>
              <w:jc w:val="center"/>
              <w:rPr>
                <w:lang w:val="en-AU"/>
              </w:rPr>
            </w:pPr>
          </w:p>
        </w:tc>
        <w:tc>
          <w:tcPr>
            <w:tcW w:w="272" w:type="pct"/>
            <w:tcBorders>
              <w:right w:val="nil"/>
            </w:tcBorders>
          </w:tcPr>
          <w:p w:rsidR="00B65A3B" w:rsidRPr="00EC6E05" w:rsidRDefault="00B65A3B" w:rsidP="003B198C">
            <w:pPr>
              <w:pStyle w:val="In-tableHeading"/>
              <w:keepLines/>
              <w:jc w:val="center"/>
              <w:rPr>
                <w:lang w:val="en-AU"/>
              </w:rPr>
            </w:pPr>
          </w:p>
        </w:tc>
        <w:tc>
          <w:tcPr>
            <w:tcW w:w="635" w:type="pct"/>
            <w:tcBorders>
              <w:left w:val="nil"/>
              <w:bottom w:val="single" w:sz="4" w:space="0" w:color="auto"/>
              <w:right w:val="nil"/>
            </w:tcBorders>
            <w:shd w:val="clear" w:color="auto" w:fill="FFFFFF" w:themeFill="background1"/>
            <w:vAlign w:val="center"/>
          </w:tcPr>
          <w:p w:rsidR="00B65A3B" w:rsidRPr="00EC6E05" w:rsidRDefault="00B65A3B" w:rsidP="003B198C">
            <w:pPr>
              <w:pStyle w:val="In-tableHeading"/>
              <w:keepLines/>
              <w:jc w:val="center"/>
              <w:rPr>
                <w:lang w:val="en-AU"/>
              </w:rPr>
            </w:pPr>
          </w:p>
        </w:tc>
        <w:tc>
          <w:tcPr>
            <w:tcW w:w="635" w:type="pct"/>
            <w:tcBorders>
              <w:left w:val="nil"/>
              <w:right w:val="nil"/>
            </w:tcBorders>
            <w:shd w:val="clear" w:color="auto" w:fill="FFFFFF" w:themeFill="background1"/>
            <w:vAlign w:val="center"/>
          </w:tcPr>
          <w:p w:rsidR="00B65A3B" w:rsidRPr="00EC6E05" w:rsidRDefault="00B65A3B" w:rsidP="003B198C">
            <w:pPr>
              <w:pStyle w:val="In-tableHeading"/>
              <w:keepLines/>
              <w:jc w:val="center"/>
              <w:rPr>
                <w:lang w:val="en-AU"/>
              </w:rPr>
            </w:pPr>
            <w:r w:rsidRPr="00EC6E05">
              <w:rPr>
                <w:lang w:val="en-AU"/>
              </w:rPr>
              <w:t>NIVO + IPI</w:t>
            </w:r>
          </w:p>
        </w:tc>
        <w:tc>
          <w:tcPr>
            <w:tcW w:w="634" w:type="pct"/>
            <w:tcBorders>
              <w:left w:val="nil"/>
            </w:tcBorders>
            <w:shd w:val="clear" w:color="auto" w:fill="FFFFFF" w:themeFill="background1"/>
          </w:tcPr>
          <w:p w:rsidR="00B65A3B" w:rsidRPr="00EC6E05" w:rsidRDefault="00B65A3B" w:rsidP="003B198C">
            <w:pPr>
              <w:pStyle w:val="In-tableHeading"/>
              <w:keepLines/>
              <w:jc w:val="center"/>
              <w:rPr>
                <w:lang w:val="en-AU"/>
              </w:rPr>
            </w:pPr>
          </w:p>
        </w:tc>
      </w:tr>
      <w:tr w:rsidR="00B65A3B" w:rsidRPr="00EC6E05" w:rsidTr="000B4D23">
        <w:trPr>
          <w:cantSplit/>
          <w:tblHeader/>
          <w:jc w:val="center"/>
        </w:trPr>
        <w:tc>
          <w:tcPr>
            <w:tcW w:w="638" w:type="pct"/>
            <w:tcBorders>
              <w:top w:val="nil"/>
              <w:bottom w:val="single" w:sz="4" w:space="0" w:color="auto"/>
            </w:tcBorders>
            <w:shd w:val="clear" w:color="auto" w:fill="auto"/>
          </w:tcPr>
          <w:p w:rsidR="00B65A3B" w:rsidRPr="00EC6E05" w:rsidRDefault="00B65A3B" w:rsidP="003B198C">
            <w:pPr>
              <w:pStyle w:val="In-tableHeading"/>
              <w:keepLines/>
              <w:rPr>
                <w:lang w:val="en-AU"/>
              </w:rPr>
            </w:pPr>
          </w:p>
        </w:tc>
        <w:tc>
          <w:tcPr>
            <w:tcW w:w="227" w:type="pct"/>
            <w:tcBorders>
              <w:bottom w:val="single" w:sz="4" w:space="0" w:color="auto"/>
            </w:tcBorders>
          </w:tcPr>
          <w:p w:rsidR="00B65A3B" w:rsidRPr="00EC6E05" w:rsidRDefault="00B65A3B" w:rsidP="003B198C">
            <w:pPr>
              <w:pStyle w:val="In-tableHeading"/>
              <w:keepLines/>
              <w:jc w:val="center"/>
              <w:rPr>
                <w:lang w:val="en-AU"/>
              </w:rPr>
            </w:pPr>
          </w:p>
        </w:tc>
        <w:tc>
          <w:tcPr>
            <w:tcW w:w="653" w:type="pct"/>
            <w:tcBorders>
              <w:bottom w:val="single" w:sz="4" w:space="0" w:color="auto"/>
            </w:tcBorders>
            <w:shd w:val="clear" w:color="auto" w:fill="auto"/>
            <w:vAlign w:val="center"/>
          </w:tcPr>
          <w:p w:rsidR="00B65A3B" w:rsidRPr="00EC6E05" w:rsidRDefault="00B65A3B" w:rsidP="003B198C">
            <w:pPr>
              <w:pStyle w:val="In-tableHeading"/>
              <w:keepLines/>
              <w:jc w:val="center"/>
              <w:rPr>
                <w:lang w:val="en-AU"/>
              </w:rPr>
            </w:pPr>
            <w:r w:rsidRPr="00EC6E05">
              <w:rPr>
                <w:lang w:val="en-AU"/>
              </w:rPr>
              <w:t xml:space="preserve">Trial dose and duration </w:t>
            </w:r>
          </w:p>
        </w:tc>
        <w:tc>
          <w:tcPr>
            <w:tcW w:w="653" w:type="pct"/>
            <w:tcBorders>
              <w:bottom w:val="single" w:sz="4" w:space="0" w:color="auto"/>
            </w:tcBorders>
            <w:shd w:val="clear" w:color="auto" w:fill="auto"/>
            <w:vAlign w:val="center"/>
          </w:tcPr>
          <w:p w:rsidR="00B65A3B" w:rsidRPr="00EC6E05" w:rsidRDefault="00B65A3B" w:rsidP="003B198C">
            <w:pPr>
              <w:pStyle w:val="In-tableHeading"/>
              <w:keepLines/>
              <w:jc w:val="center"/>
              <w:rPr>
                <w:lang w:val="en-AU"/>
              </w:rPr>
            </w:pPr>
            <w:r w:rsidRPr="00EC6E05">
              <w:rPr>
                <w:lang w:val="en-AU"/>
              </w:rPr>
              <w:t>Model</w:t>
            </w:r>
          </w:p>
        </w:tc>
        <w:tc>
          <w:tcPr>
            <w:tcW w:w="653" w:type="pct"/>
            <w:tcBorders>
              <w:bottom w:val="single" w:sz="4" w:space="0" w:color="auto"/>
            </w:tcBorders>
            <w:shd w:val="clear" w:color="auto" w:fill="auto"/>
            <w:vAlign w:val="center"/>
          </w:tcPr>
          <w:p w:rsidR="00B65A3B" w:rsidRPr="00EC6E05" w:rsidRDefault="00B65A3B" w:rsidP="003B198C">
            <w:pPr>
              <w:pStyle w:val="In-tableHeading"/>
              <w:keepLines/>
              <w:jc w:val="center"/>
              <w:rPr>
                <w:lang w:val="en-AU"/>
              </w:rPr>
            </w:pPr>
            <w:r w:rsidRPr="00EC6E05">
              <w:rPr>
                <w:lang w:val="en-AU"/>
              </w:rPr>
              <w:t>Financial estimates</w:t>
            </w:r>
          </w:p>
        </w:tc>
        <w:tc>
          <w:tcPr>
            <w:tcW w:w="272" w:type="pct"/>
            <w:tcBorders>
              <w:bottom w:val="single" w:sz="4" w:space="0" w:color="auto"/>
            </w:tcBorders>
          </w:tcPr>
          <w:p w:rsidR="00B65A3B" w:rsidRPr="00EC6E05" w:rsidRDefault="00B65A3B" w:rsidP="003B198C">
            <w:pPr>
              <w:pStyle w:val="In-tableHeading"/>
              <w:keepLines/>
              <w:jc w:val="center"/>
              <w:rPr>
                <w:lang w:val="en-AU"/>
              </w:rPr>
            </w:pPr>
          </w:p>
        </w:tc>
        <w:tc>
          <w:tcPr>
            <w:tcW w:w="635" w:type="pct"/>
            <w:tcBorders>
              <w:bottom w:val="single" w:sz="4" w:space="0" w:color="auto"/>
            </w:tcBorders>
            <w:shd w:val="clear" w:color="auto" w:fill="FFFFFF" w:themeFill="background1"/>
            <w:vAlign w:val="center"/>
          </w:tcPr>
          <w:p w:rsidR="00B65A3B" w:rsidRPr="00EC6E05" w:rsidRDefault="00B65A3B" w:rsidP="003B198C">
            <w:pPr>
              <w:pStyle w:val="In-tableHeading"/>
              <w:keepLines/>
              <w:jc w:val="center"/>
              <w:rPr>
                <w:lang w:val="en-AU"/>
              </w:rPr>
            </w:pPr>
            <w:r w:rsidRPr="00EC6E05">
              <w:rPr>
                <w:lang w:val="en-AU"/>
              </w:rPr>
              <w:t>Trial dose and duration</w:t>
            </w:r>
          </w:p>
        </w:tc>
        <w:tc>
          <w:tcPr>
            <w:tcW w:w="635" w:type="pct"/>
            <w:tcBorders>
              <w:bottom w:val="single" w:sz="4" w:space="0" w:color="auto"/>
            </w:tcBorders>
            <w:shd w:val="clear" w:color="auto" w:fill="FFFFFF" w:themeFill="background1"/>
            <w:vAlign w:val="center"/>
          </w:tcPr>
          <w:p w:rsidR="00B65A3B" w:rsidRPr="00EC6E05" w:rsidRDefault="00B65A3B" w:rsidP="003B198C">
            <w:pPr>
              <w:pStyle w:val="In-tableHeading"/>
              <w:keepLines/>
              <w:jc w:val="center"/>
              <w:rPr>
                <w:lang w:val="en-AU"/>
              </w:rPr>
            </w:pPr>
            <w:r w:rsidRPr="00EC6E05">
              <w:rPr>
                <w:lang w:val="en-AU"/>
              </w:rPr>
              <w:t>Model</w:t>
            </w:r>
          </w:p>
        </w:tc>
        <w:tc>
          <w:tcPr>
            <w:tcW w:w="634" w:type="pct"/>
            <w:tcBorders>
              <w:bottom w:val="single" w:sz="4" w:space="0" w:color="auto"/>
            </w:tcBorders>
            <w:shd w:val="clear" w:color="auto" w:fill="FFFFFF" w:themeFill="background1"/>
            <w:vAlign w:val="center"/>
          </w:tcPr>
          <w:p w:rsidR="00B65A3B" w:rsidRPr="00EC6E05" w:rsidRDefault="00B65A3B" w:rsidP="003B198C">
            <w:pPr>
              <w:pStyle w:val="In-tableHeading"/>
              <w:keepLines/>
              <w:jc w:val="center"/>
              <w:rPr>
                <w:lang w:val="en-AU"/>
              </w:rPr>
            </w:pPr>
            <w:r w:rsidRPr="00EC6E05">
              <w:rPr>
                <w:lang w:val="en-AU"/>
              </w:rPr>
              <w:t>Financial estimates</w:t>
            </w:r>
          </w:p>
        </w:tc>
      </w:tr>
      <w:tr w:rsidR="00B65A3B" w:rsidRPr="00EC6E05" w:rsidTr="000B4D23">
        <w:trPr>
          <w:cantSplit/>
          <w:jc w:val="center"/>
        </w:trPr>
        <w:tc>
          <w:tcPr>
            <w:tcW w:w="638" w:type="pct"/>
            <w:tcBorders>
              <w:bottom w:val="nil"/>
              <w:right w:val="single" w:sz="4" w:space="0" w:color="auto"/>
            </w:tcBorders>
            <w:shd w:val="clear" w:color="auto" w:fill="auto"/>
            <w:vAlign w:val="center"/>
          </w:tcPr>
          <w:p w:rsidR="00B65A3B" w:rsidRPr="00EC6E05" w:rsidRDefault="00B65A3B" w:rsidP="003B198C">
            <w:pPr>
              <w:pStyle w:val="TableText0"/>
              <w:keepLines/>
            </w:pPr>
            <w:r w:rsidRPr="00EC6E05">
              <w:t>Dose regimen</w:t>
            </w:r>
          </w:p>
        </w:tc>
        <w:tc>
          <w:tcPr>
            <w:tcW w:w="227" w:type="pct"/>
            <w:tcBorders>
              <w:right w:val="single" w:sz="4" w:space="0" w:color="auto"/>
            </w:tcBorders>
            <w:vAlign w:val="center"/>
          </w:tcPr>
          <w:p w:rsidR="00B65A3B" w:rsidRPr="00EC6E05" w:rsidRDefault="00B65A3B" w:rsidP="003B198C">
            <w:pPr>
              <w:pStyle w:val="TableText0"/>
              <w:keepLines/>
            </w:pPr>
            <w:r w:rsidRPr="00EC6E05">
              <w:t>AVE</w:t>
            </w:r>
          </w:p>
        </w:tc>
        <w:tc>
          <w:tcPr>
            <w:tcW w:w="653" w:type="pct"/>
            <w:tcBorders>
              <w:left w:val="single" w:sz="4" w:space="0" w:color="auto"/>
              <w:right w:val="single" w:sz="4" w:space="0" w:color="auto"/>
            </w:tcBorders>
            <w:shd w:val="clear" w:color="auto" w:fill="auto"/>
            <w:vAlign w:val="center"/>
          </w:tcPr>
          <w:p w:rsidR="00B65A3B" w:rsidRPr="00EC6E05" w:rsidRDefault="00B65A3B" w:rsidP="003B198C">
            <w:pPr>
              <w:pStyle w:val="TableText0"/>
              <w:keepLines/>
              <w:jc w:val="center"/>
            </w:pPr>
            <w:r w:rsidRPr="00EC6E05">
              <w:t>10 mg/kg Q2W</w:t>
            </w:r>
          </w:p>
        </w:tc>
        <w:tc>
          <w:tcPr>
            <w:tcW w:w="653" w:type="pct"/>
            <w:tcBorders>
              <w:left w:val="single" w:sz="4" w:space="0" w:color="auto"/>
              <w:right w:val="single" w:sz="4" w:space="0" w:color="auto"/>
            </w:tcBorders>
            <w:shd w:val="clear" w:color="auto" w:fill="auto"/>
            <w:vAlign w:val="center"/>
          </w:tcPr>
          <w:p w:rsidR="00B65A3B" w:rsidRPr="00EC6E05" w:rsidRDefault="00B65A3B" w:rsidP="003B198C">
            <w:pPr>
              <w:pStyle w:val="TableText0"/>
              <w:keepLines/>
              <w:jc w:val="center"/>
            </w:pPr>
            <w:r w:rsidRPr="00EC6E05">
              <w:t>800 mg Q2W</w:t>
            </w:r>
          </w:p>
        </w:tc>
        <w:tc>
          <w:tcPr>
            <w:tcW w:w="653" w:type="pct"/>
            <w:tcBorders>
              <w:left w:val="single" w:sz="4" w:space="0" w:color="auto"/>
              <w:right w:val="single" w:sz="4" w:space="0" w:color="auto"/>
            </w:tcBorders>
            <w:shd w:val="clear" w:color="auto" w:fill="auto"/>
            <w:vAlign w:val="center"/>
          </w:tcPr>
          <w:p w:rsidR="00B65A3B" w:rsidRPr="00EC6E05" w:rsidRDefault="00B65A3B" w:rsidP="003B198C">
            <w:pPr>
              <w:pStyle w:val="TableText0"/>
              <w:keepLines/>
              <w:jc w:val="center"/>
            </w:pPr>
            <w:r w:rsidRPr="00EC6E05">
              <w:t>800 mg Q2W</w:t>
            </w:r>
          </w:p>
        </w:tc>
        <w:tc>
          <w:tcPr>
            <w:tcW w:w="272" w:type="pct"/>
            <w:tcBorders>
              <w:left w:val="single" w:sz="4" w:space="0" w:color="auto"/>
              <w:right w:val="single" w:sz="4" w:space="0" w:color="auto"/>
            </w:tcBorders>
            <w:vAlign w:val="center"/>
          </w:tcPr>
          <w:p w:rsidR="00B65A3B" w:rsidRPr="00EC6E05" w:rsidRDefault="00B65A3B" w:rsidP="003B198C">
            <w:pPr>
              <w:pStyle w:val="TableText0"/>
              <w:keepLines/>
              <w:jc w:val="center"/>
            </w:pPr>
            <w:r w:rsidRPr="00EC6E05">
              <w:t>NIVO</w:t>
            </w:r>
          </w:p>
        </w:tc>
        <w:tc>
          <w:tcPr>
            <w:tcW w:w="1904" w:type="pct"/>
            <w:gridSpan w:val="3"/>
            <w:tcBorders>
              <w:left w:val="single" w:sz="4" w:space="0" w:color="auto"/>
            </w:tcBorders>
            <w:shd w:val="clear" w:color="auto" w:fill="FFFFFF" w:themeFill="background1"/>
            <w:vAlign w:val="center"/>
          </w:tcPr>
          <w:p w:rsidR="00B65A3B" w:rsidRPr="00EC6E05" w:rsidRDefault="00B65A3B" w:rsidP="003B198C">
            <w:pPr>
              <w:pStyle w:val="TableText0"/>
              <w:keepLines/>
              <w:jc w:val="center"/>
            </w:pPr>
            <w:r w:rsidRPr="00EC6E05">
              <w:t>Induction: 3 mg/kg Q3W (4 doses only)</w:t>
            </w:r>
          </w:p>
          <w:p w:rsidR="00B65A3B" w:rsidRPr="00EC6E05" w:rsidRDefault="00B65A3B" w:rsidP="003B198C">
            <w:pPr>
              <w:pStyle w:val="TableText0"/>
              <w:keepLines/>
              <w:jc w:val="center"/>
            </w:pPr>
            <w:r w:rsidRPr="00EC6E05">
              <w:t>Maintenance: 3 mg/kg (</w:t>
            </w:r>
            <w:proofErr w:type="spellStart"/>
            <w:r w:rsidRPr="00EC6E05">
              <w:t>CheckMate</w:t>
            </w:r>
            <w:proofErr w:type="spellEnd"/>
            <w:r w:rsidRPr="00EC6E05">
              <w:t xml:space="preserve"> 214); 240 mg Q2W (model and fin. estimates).</w:t>
            </w:r>
          </w:p>
        </w:tc>
      </w:tr>
      <w:tr w:rsidR="00B65A3B" w:rsidRPr="008029BB" w:rsidTr="000B4D23">
        <w:trPr>
          <w:cantSplit/>
          <w:jc w:val="center"/>
        </w:trPr>
        <w:tc>
          <w:tcPr>
            <w:tcW w:w="638" w:type="pct"/>
            <w:tcBorders>
              <w:top w:val="nil"/>
              <w:bottom w:val="single" w:sz="4" w:space="0" w:color="auto"/>
              <w:right w:val="single" w:sz="4" w:space="0" w:color="auto"/>
            </w:tcBorders>
            <w:shd w:val="clear" w:color="auto" w:fill="auto"/>
            <w:vAlign w:val="center"/>
          </w:tcPr>
          <w:p w:rsidR="00B65A3B" w:rsidRPr="00EC6E05" w:rsidRDefault="00B65A3B" w:rsidP="003B198C">
            <w:pPr>
              <w:pStyle w:val="TableText0"/>
              <w:keepLines/>
            </w:pPr>
          </w:p>
        </w:tc>
        <w:tc>
          <w:tcPr>
            <w:tcW w:w="227" w:type="pct"/>
            <w:tcBorders>
              <w:right w:val="single" w:sz="4" w:space="0" w:color="auto"/>
            </w:tcBorders>
            <w:vAlign w:val="center"/>
          </w:tcPr>
          <w:p w:rsidR="00B65A3B" w:rsidRPr="00EC6E05" w:rsidRDefault="00B65A3B" w:rsidP="003B198C">
            <w:pPr>
              <w:pStyle w:val="TableText0"/>
              <w:keepLines/>
            </w:pPr>
            <w:r w:rsidRPr="00EC6E05">
              <w:t>AXI</w:t>
            </w:r>
          </w:p>
        </w:tc>
        <w:tc>
          <w:tcPr>
            <w:tcW w:w="653" w:type="pct"/>
            <w:tcBorders>
              <w:left w:val="single" w:sz="4" w:space="0" w:color="auto"/>
              <w:right w:val="single" w:sz="4" w:space="0" w:color="auto"/>
            </w:tcBorders>
            <w:shd w:val="clear" w:color="auto" w:fill="auto"/>
            <w:vAlign w:val="center"/>
          </w:tcPr>
          <w:p w:rsidR="00B65A3B" w:rsidRPr="008029BB" w:rsidRDefault="00B65A3B" w:rsidP="003B198C">
            <w:pPr>
              <w:pStyle w:val="TableText0"/>
              <w:keepLines/>
              <w:jc w:val="center"/>
            </w:pPr>
            <w:r w:rsidRPr="008029BB">
              <w:t xml:space="preserve">5 mg </w:t>
            </w:r>
            <w:proofErr w:type="spellStart"/>
            <w:r w:rsidRPr="008029BB">
              <w:t>BID</w:t>
            </w:r>
            <w:r w:rsidRPr="008029BB">
              <w:rPr>
                <w:vertAlign w:val="superscript"/>
              </w:rPr>
              <w:t>a</w:t>
            </w:r>
            <w:proofErr w:type="spellEnd"/>
          </w:p>
        </w:tc>
        <w:tc>
          <w:tcPr>
            <w:tcW w:w="653" w:type="pct"/>
            <w:tcBorders>
              <w:left w:val="single" w:sz="4" w:space="0" w:color="auto"/>
              <w:right w:val="single" w:sz="4" w:space="0" w:color="auto"/>
            </w:tcBorders>
            <w:shd w:val="clear" w:color="auto" w:fill="auto"/>
            <w:vAlign w:val="center"/>
          </w:tcPr>
          <w:p w:rsidR="00B65A3B" w:rsidRPr="008029BB" w:rsidRDefault="00B65A3B" w:rsidP="003B198C">
            <w:pPr>
              <w:pStyle w:val="TableText0"/>
              <w:keepLines/>
              <w:jc w:val="center"/>
            </w:pPr>
            <w:r w:rsidRPr="008029BB">
              <w:t>5 mg BID</w:t>
            </w:r>
          </w:p>
        </w:tc>
        <w:tc>
          <w:tcPr>
            <w:tcW w:w="653" w:type="pct"/>
            <w:tcBorders>
              <w:left w:val="single" w:sz="4" w:space="0" w:color="auto"/>
              <w:right w:val="single" w:sz="4" w:space="0" w:color="auto"/>
            </w:tcBorders>
            <w:shd w:val="clear" w:color="auto" w:fill="auto"/>
            <w:vAlign w:val="center"/>
          </w:tcPr>
          <w:p w:rsidR="00B65A3B" w:rsidRPr="008029BB" w:rsidRDefault="00B65A3B" w:rsidP="003B198C">
            <w:pPr>
              <w:pStyle w:val="TableText0"/>
              <w:keepLines/>
              <w:jc w:val="center"/>
            </w:pPr>
            <w:r w:rsidRPr="008029BB">
              <w:t>5 mg BID</w:t>
            </w:r>
          </w:p>
        </w:tc>
        <w:tc>
          <w:tcPr>
            <w:tcW w:w="272" w:type="pct"/>
            <w:tcBorders>
              <w:left w:val="single" w:sz="4" w:space="0" w:color="auto"/>
              <w:right w:val="single" w:sz="4" w:space="0" w:color="auto"/>
            </w:tcBorders>
            <w:vAlign w:val="center"/>
          </w:tcPr>
          <w:p w:rsidR="00B65A3B" w:rsidRPr="008029BB" w:rsidRDefault="00B65A3B" w:rsidP="003B198C">
            <w:pPr>
              <w:pStyle w:val="TableText0"/>
              <w:keepLines/>
              <w:jc w:val="center"/>
            </w:pPr>
            <w:r w:rsidRPr="008029BB">
              <w:t>IPI</w:t>
            </w:r>
          </w:p>
        </w:tc>
        <w:tc>
          <w:tcPr>
            <w:tcW w:w="1904" w:type="pct"/>
            <w:gridSpan w:val="3"/>
            <w:tcBorders>
              <w:left w:val="single" w:sz="4" w:space="0" w:color="auto"/>
            </w:tcBorders>
            <w:shd w:val="clear" w:color="auto" w:fill="FFFFFF" w:themeFill="background1"/>
            <w:vAlign w:val="center"/>
          </w:tcPr>
          <w:p w:rsidR="00B65A3B" w:rsidRPr="008029BB" w:rsidRDefault="00B65A3B" w:rsidP="003B198C">
            <w:pPr>
              <w:pStyle w:val="TableText0"/>
              <w:keepLines/>
              <w:jc w:val="center"/>
            </w:pPr>
            <w:r w:rsidRPr="008029BB">
              <w:t>Induction: 1 mg/kg Q3W (4 doses only)</w:t>
            </w:r>
          </w:p>
        </w:tc>
      </w:tr>
      <w:tr w:rsidR="00B65A3B" w:rsidRPr="008029BB" w:rsidTr="000B4D23">
        <w:trPr>
          <w:cantSplit/>
          <w:jc w:val="center"/>
        </w:trPr>
        <w:tc>
          <w:tcPr>
            <w:tcW w:w="638" w:type="pct"/>
            <w:tcBorders>
              <w:bottom w:val="nil"/>
            </w:tcBorders>
            <w:shd w:val="clear" w:color="auto" w:fill="auto"/>
            <w:vAlign w:val="center"/>
          </w:tcPr>
          <w:p w:rsidR="00B65A3B" w:rsidRPr="00EC6E05" w:rsidRDefault="00B65A3B" w:rsidP="003B198C">
            <w:pPr>
              <w:pStyle w:val="TableText0"/>
              <w:keepLines/>
            </w:pPr>
            <w:r w:rsidRPr="00EC6E05">
              <w:t>Mean dose</w:t>
            </w:r>
          </w:p>
        </w:tc>
        <w:tc>
          <w:tcPr>
            <w:tcW w:w="227" w:type="pct"/>
            <w:vAlign w:val="center"/>
          </w:tcPr>
          <w:p w:rsidR="00B65A3B" w:rsidRPr="00EC6E05" w:rsidRDefault="00B65A3B" w:rsidP="003B198C">
            <w:pPr>
              <w:pStyle w:val="TableText0"/>
              <w:keepLines/>
            </w:pPr>
            <w:r w:rsidRPr="00EC6E05">
              <w:t>AVE</w:t>
            </w:r>
          </w:p>
        </w:tc>
        <w:tc>
          <w:tcPr>
            <w:tcW w:w="653" w:type="pct"/>
            <w:shd w:val="clear" w:color="auto" w:fill="auto"/>
            <w:vAlign w:val="center"/>
          </w:tcPr>
          <w:p w:rsidR="00B65A3B" w:rsidRPr="008029BB" w:rsidRDefault="00B65A3B" w:rsidP="003B198C">
            <w:pPr>
              <w:pStyle w:val="TableText0"/>
              <w:keepLines/>
              <w:jc w:val="center"/>
            </w:pPr>
            <w:r w:rsidRPr="008029BB">
              <w:t>NR</w:t>
            </w:r>
          </w:p>
        </w:tc>
        <w:tc>
          <w:tcPr>
            <w:tcW w:w="653" w:type="pct"/>
            <w:shd w:val="clear" w:color="auto" w:fill="auto"/>
            <w:vAlign w:val="center"/>
          </w:tcPr>
          <w:p w:rsidR="00B65A3B" w:rsidRPr="006A083B" w:rsidRDefault="006A083B" w:rsidP="003B198C">
            <w:pPr>
              <w:pStyle w:val="TableText0"/>
              <w:keepLines/>
              <w:jc w:val="center"/>
              <w:rPr>
                <w:highlight w:val="black"/>
              </w:rPr>
            </w:pPr>
            <w:r>
              <w:rPr>
                <w:noProof/>
                <w:color w:val="000000"/>
                <w:highlight w:val="black"/>
              </w:rPr>
              <w:t>'''''''''''' '''''''''''''''</w:t>
            </w:r>
          </w:p>
        </w:tc>
        <w:tc>
          <w:tcPr>
            <w:tcW w:w="653" w:type="pct"/>
            <w:shd w:val="clear" w:color="auto" w:fill="auto"/>
            <w:vAlign w:val="center"/>
          </w:tcPr>
          <w:p w:rsidR="00B65A3B" w:rsidRPr="006A083B" w:rsidRDefault="006A083B" w:rsidP="003B198C">
            <w:pPr>
              <w:pStyle w:val="TableText0"/>
              <w:keepLines/>
              <w:jc w:val="center"/>
              <w:rPr>
                <w:highlight w:val="black"/>
              </w:rPr>
            </w:pPr>
            <w:r>
              <w:rPr>
                <w:noProof/>
                <w:color w:val="000000"/>
                <w:highlight w:val="black"/>
              </w:rPr>
              <w:t>'''''''''''''' '''''''''''''</w:t>
            </w:r>
          </w:p>
        </w:tc>
        <w:tc>
          <w:tcPr>
            <w:tcW w:w="272" w:type="pct"/>
            <w:vAlign w:val="center"/>
          </w:tcPr>
          <w:p w:rsidR="00B65A3B" w:rsidRPr="008029BB" w:rsidRDefault="00B65A3B" w:rsidP="003B198C">
            <w:pPr>
              <w:pStyle w:val="TableText0"/>
              <w:keepLines/>
              <w:jc w:val="center"/>
            </w:pPr>
            <w:r w:rsidRPr="008029BB">
              <w:t>NIVO</w:t>
            </w:r>
          </w:p>
        </w:tc>
        <w:tc>
          <w:tcPr>
            <w:tcW w:w="635" w:type="pct"/>
            <w:shd w:val="clear" w:color="auto" w:fill="FFFFFF" w:themeFill="background1"/>
            <w:vAlign w:val="center"/>
          </w:tcPr>
          <w:p w:rsidR="00B65A3B" w:rsidRPr="008029BB" w:rsidRDefault="00B65A3B" w:rsidP="003B198C">
            <w:pPr>
              <w:pStyle w:val="TableText0"/>
              <w:keepLines/>
              <w:jc w:val="center"/>
            </w:pPr>
            <w:r w:rsidRPr="008029BB">
              <w:t>NR</w:t>
            </w:r>
          </w:p>
        </w:tc>
        <w:tc>
          <w:tcPr>
            <w:tcW w:w="635" w:type="pct"/>
            <w:shd w:val="clear" w:color="auto" w:fill="FFFFFF" w:themeFill="background1"/>
            <w:vAlign w:val="center"/>
          </w:tcPr>
          <w:p w:rsidR="00B65A3B" w:rsidRPr="006A083B" w:rsidRDefault="006A083B" w:rsidP="003B198C">
            <w:pPr>
              <w:pStyle w:val="TableText0"/>
              <w:keepLines/>
              <w:jc w:val="center"/>
              <w:rPr>
                <w:highlight w:val="black"/>
              </w:rPr>
            </w:pPr>
            <w:r>
              <w:rPr>
                <w:noProof/>
                <w:color w:val="000000"/>
                <w:highlight w:val="black"/>
              </w:rPr>
              <w:t>'''''''''''' '''''''''''''''</w:t>
            </w:r>
          </w:p>
        </w:tc>
        <w:tc>
          <w:tcPr>
            <w:tcW w:w="634" w:type="pct"/>
            <w:shd w:val="clear" w:color="auto" w:fill="FFFFFF" w:themeFill="background1"/>
            <w:vAlign w:val="center"/>
          </w:tcPr>
          <w:p w:rsidR="00B65A3B" w:rsidRPr="006A083B" w:rsidRDefault="006A083B" w:rsidP="003B198C">
            <w:pPr>
              <w:pStyle w:val="TableText0"/>
              <w:keepLines/>
              <w:jc w:val="center"/>
              <w:rPr>
                <w:highlight w:val="black"/>
              </w:rPr>
            </w:pPr>
            <w:r>
              <w:rPr>
                <w:noProof/>
                <w:color w:val="000000"/>
                <w:highlight w:val="black"/>
              </w:rPr>
              <w:t>''''''''''''' ''''''''''''''</w:t>
            </w:r>
          </w:p>
        </w:tc>
      </w:tr>
      <w:tr w:rsidR="00B65A3B" w:rsidRPr="008029BB" w:rsidTr="000B4D23">
        <w:trPr>
          <w:cantSplit/>
          <w:jc w:val="center"/>
        </w:trPr>
        <w:tc>
          <w:tcPr>
            <w:tcW w:w="638" w:type="pct"/>
            <w:tcBorders>
              <w:top w:val="nil"/>
              <w:bottom w:val="single" w:sz="4" w:space="0" w:color="auto"/>
            </w:tcBorders>
            <w:shd w:val="clear" w:color="auto" w:fill="auto"/>
            <w:vAlign w:val="center"/>
          </w:tcPr>
          <w:p w:rsidR="00B65A3B" w:rsidRPr="00EC6E05" w:rsidRDefault="00B65A3B" w:rsidP="003B198C">
            <w:pPr>
              <w:pStyle w:val="TableText0"/>
              <w:keepLines/>
            </w:pPr>
          </w:p>
        </w:tc>
        <w:tc>
          <w:tcPr>
            <w:tcW w:w="227" w:type="pct"/>
            <w:vAlign w:val="center"/>
          </w:tcPr>
          <w:p w:rsidR="00B65A3B" w:rsidRPr="00EC6E05" w:rsidRDefault="00B65A3B" w:rsidP="003B198C">
            <w:pPr>
              <w:pStyle w:val="TableText0"/>
              <w:keepLines/>
            </w:pPr>
            <w:r w:rsidRPr="00EC6E05">
              <w:t>AXI</w:t>
            </w:r>
          </w:p>
        </w:tc>
        <w:tc>
          <w:tcPr>
            <w:tcW w:w="653" w:type="pct"/>
            <w:shd w:val="clear" w:color="auto" w:fill="auto"/>
            <w:vAlign w:val="center"/>
          </w:tcPr>
          <w:p w:rsidR="00B65A3B" w:rsidRPr="008029BB" w:rsidRDefault="006A083B" w:rsidP="003B198C">
            <w:pPr>
              <w:pStyle w:val="TableText0"/>
              <w:keepLines/>
              <w:jc w:val="center"/>
            </w:pPr>
            <w:r>
              <w:rPr>
                <w:noProof/>
                <w:color w:val="000000"/>
                <w:highlight w:val="black"/>
              </w:rPr>
              <w:t>''''''''''''''''''</w:t>
            </w:r>
            <w:r w:rsidR="00B65A3B" w:rsidRPr="008029BB">
              <w:t xml:space="preserve"> </w:t>
            </w:r>
            <w:proofErr w:type="spellStart"/>
            <w:r w:rsidR="00B65A3B" w:rsidRPr="008029BB">
              <w:t>BID</w:t>
            </w:r>
            <w:r w:rsidR="00B65A3B" w:rsidRPr="008029BB">
              <w:rPr>
                <w:vertAlign w:val="superscript"/>
              </w:rPr>
              <w:t>b</w:t>
            </w:r>
            <w:proofErr w:type="spellEnd"/>
          </w:p>
        </w:tc>
        <w:tc>
          <w:tcPr>
            <w:tcW w:w="653" w:type="pct"/>
            <w:shd w:val="clear" w:color="auto" w:fill="auto"/>
            <w:vAlign w:val="center"/>
          </w:tcPr>
          <w:p w:rsidR="00B65A3B" w:rsidRPr="008029BB" w:rsidRDefault="00B65A3B" w:rsidP="003B198C">
            <w:pPr>
              <w:pStyle w:val="TableText0"/>
              <w:keepLines/>
              <w:jc w:val="center"/>
            </w:pPr>
            <w:r w:rsidRPr="008029BB">
              <w:t>5 mg BID</w:t>
            </w:r>
          </w:p>
          <w:p w:rsidR="00B65A3B" w:rsidRPr="008029BB" w:rsidRDefault="006A083B" w:rsidP="003B198C">
            <w:pPr>
              <w:pStyle w:val="TableText0"/>
              <w:keepLines/>
              <w:jc w:val="center"/>
            </w:pPr>
            <w:r>
              <w:rPr>
                <w:noProof/>
                <w:color w:val="000000"/>
                <w:highlight w:val="black"/>
              </w:rPr>
              <w:t>''''''''''''''</w:t>
            </w:r>
            <w:r w:rsidR="00B65A3B" w:rsidRPr="008029BB">
              <w:t xml:space="preserve"> packs)</w:t>
            </w:r>
          </w:p>
        </w:tc>
        <w:tc>
          <w:tcPr>
            <w:tcW w:w="653" w:type="pct"/>
            <w:shd w:val="clear" w:color="auto" w:fill="auto"/>
            <w:vAlign w:val="center"/>
          </w:tcPr>
          <w:p w:rsidR="00B65A3B" w:rsidRPr="008029BB" w:rsidRDefault="00B65A3B" w:rsidP="003B198C">
            <w:pPr>
              <w:pStyle w:val="TableText0"/>
              <w:keepLines/>
              <w:jc w:val="center"/>
            </w:pPr>
            <w:r w:rsidRPr="008029BB">
              <w:t>5 mg BID</w:t>
            </w:r>
          </w:p>
          <w:p w:rsidR="00B65A3B" w:rsidRPr="008029BB" w:rsidRDefault="006A083B" w:rsidP="003B198C">
            <w:pPr>
              <w:pStyle w:val="TableText0"/>
              <w:keepLines/>
              <w:jc w:val="center"/>
            </w:pPr>
            <w:r>
              <w:rPr>
                <w:noProof/>
                <w:color w:val="000000"/>
                <w:highlight w:val="black"/>
              </w:rPr>
              <w:t>''''''''''''''''</w:t>
            </w:r>
            <w:r w:rsidR="00B65A3B" w:rsidRPr="008029BB">
              <w:t xml:space="preserve"> packs)</w:t>
            </w:r>
          </w:p>
        </w:tc>
        <w:tc>
          <w:tcPr>
            <w:tcW w:w="272" w:type="pct"/>
            <w:vAlign w:val="center"/>
          </w:tcPr>
          <w:p w:rsidR="00B65A3B" w:rsidRPr="008029BB" w:rsidRDefault="00B65A3B" w:rsidP="003B198C">
            <w:pPr>
              <w:pStyle w:val="TableText0"/>
              <w:keepLines/>
              <w:jc w:val="center"/>
            </w:pPr>
            <w:r w:rsidRPr="008029BB">
              <w:t>IPI</w:t>
            </w:r>
          </w:p>
        </w:tc>
        <w:tc>
          <w:tcPr>
            <w:tcW w:w="635" w:type="pct"/>
            <w:shd w:val="clear" w:color="auto" w:fill="FFFFFF" w:themeFill="background1"/>
            <w:vAlign w:val="center"/>
          </w:tcPr>
          <w:p w:rsidR="00B65A3B" w:rsidRPr="008029BB" w:rsidRDefault="00B65A3B" w:rsidP="003B198C">
            <w:pPr>
              <w:pStyle w:val="TableText0"/>
              <w:keepLines/>
              <w:jc w:val="center"/>
            </w:pPr>
            <w:r w:rsidRPr="008029BB">
              <w:t>NR</w:t>
            </w:r>
          </w:p>
        </w:tc>
        <w:tc>
          <w:tcPr>
            <w:tcW w:w="635" w:type="pct"/>
            <w:shd w:val="clear" w:color="auto" w:fill="FFFFFF" w:themeFill="background1"/>
            <w:vAlign w:val="center"/>
          </w:tcPr>
          <w:p w:rsidR="00B65A3B" w:rsidRPr="006A083B" w:rsidRDefault="006A083B" w:rsidP="003B198C">
            <w:pPr>
              <w:pStyle w:val="TableText0"/>
              <w:keepLines/>
              <w:jc w:val="center"/>
              <w:rPr>
                <w:highlight w:val="black"/>
              </w:rPr>
            </w:pPr>
            <w:r>
              <w:rPr>
                <w:noProof/>
                <w:color w:val="000000"/>
                <w:highlight w:val="black"/>
              </w:rPr>
              <w:t>''''''''' ''''''''''''''</w:t>
            </w:r>
          </w:p>
        </w:tc>
        <w:tc>
          <w:tcPr>
            <w:tcW w:w="634" w:type="pct"/>
            <w:shd w:val="clear" w:color="auto" w:fill="FFFFFF" w:themeFill="background1"/>
            <w:vAlign w:val="center"/>
          </w:tcPr>
          <w:p w:rsidR="00B65A3B" w:rsidRPr="006A083B" w:rsidRDefault="006A083B" w:rsidP="003B198C">
            <w:pPr>
              <w:pStyle w:val="TableText0"/>
              <w:keepLines/>
              <w:jc w:val="center"/>
              <w:rPr>
                <w:highlight w:val="black"/>
              </w:rPr>
            </w:pPr>
            <w:r>
              <w:rPr>
                <w:noProof/>
                <w:color w:val="000000"/>
                <w:highlight w:val="black"/>
              </w:rPr>
              <w:t>'''''''''' '''''''''''''</w:t>
            </w:r>
          </w:p>
        </w:tc>
      </w:tr>
      <w:tr w:rsidR="00B65A3B" w:rsidRPr="008029BB" w:rsidTr="000B4D23">
        <w:trPr>
          <w:cantSplit/>
          <w:jc w:val="center"/>
        </w:trPr>
        <w:tc>
          <w:tcPr>
            <w:tcW w:w="638" w:type="pct"/>
            <w:tcBorders>
              <w:bottom w:val="nil"/>
            </w:tcBorders>
            <w:shd w:val="clear" w:color="auto" w:fill="auto"/>
            <w:vAlign w:val="center"/>
          </w:tcPr>
          <w:p w:rsidR="00B65A3B" w:rsidRPr="00EC6E05" w:rsidRDefault="00B65A3B" w:rsidP="003B198C">
            <w:pPr>
              <w:pStyle w:val="TableText0"/>
              <w:keepLines/>
            </w:pPr>
            <w:r w:rsidRPr="00EC6E05">
              <w:t>Mean duration</w:t>
            </w:r>
          </w:p>
        </w:tc>
        <w:tc>
          <w:tcPr>
            <w:tcW w:w="227" w:type="pct"/>
            <w:vAlign w:val="center"/>
          </w:tcPr>
          <w:p w:rsidR="00B65A3B" w:rsidRPr="00EC6E05" w:rsidRDefault="00B65A3B" w:rsidP="003B198C">
            <w:pPr>
              <w:pStyle w:val="TableText0"/>
              <w:keepLines/>
            </w:pPr>
            <w:r w:rsidRPr="00EC6E05">
              <w:t>AVE</w:t>
            </w:r>
          </w:p>
        </w:tc>
        <w:tc>
          <w:tcPr>
            <w:tcW w:w="653" w:type="pct"/>
            <w:shd w:val="clear" w:color="auto" w:fill="auto"/>
            <w:vAlign w:val="center"/>
          </w:tcPr>
          <w:p w:rsidR="00B65A3B" w:rsidRPr="006A083B" w:rsidRDefault="006A083B" w:rsidP="003B198C">
            <w:pPr>
              <w:pStyle w:val="TableText0"/>
              <w:keepLines/>
              <w:jc w:val="center"/>
              <w:rPr>
                <w:highlight w:val="black"/>
              </w:rPr>
            </w:pPr>
            <w:r>
              <w:rPr>
                <w:noProof/>
                <w:color w:val="000000"/>
                <w:highlight w:val="black"/>
              </w:rPr>
              <w:t>''''''''''' '''''''''''''''''''''</w:t>
            </w:r>
          </w:p>
          <w:p w:rsidR="00B65A3B" w:rsidRPr="006A083B" w:rsidRDefault="006A083B" w:rsidP="003B198C">
            <w:pPr>
              <w:pStyle w:val="TableText0"/>
              <w:keepLines/>
              <w:jc w:val="center"/>
              <w:rPr>
                <w:highlight w:val="black"/>
              </w:rPr>
            </w:pPr>
            <w:r>
              <w:rPr>
                <w:noProof/>
                <w:color w:val="000000"/>
                <w:highlight w:val="black"/>
              </w:rPr>
              <w:t>''''''''''''' ''''''''''''''''''</w:t>
            </w:r>
          </w:p>
        </w:tc>
        <w:tc>
          <w:tcPr>
            <w:tcW w:w="653" w:type="pct"/>
            <w:vMerge w:val="restart"/>
            <w:shd w:val="clear" w:color="auto" w:fill="auto"/>
            <w:vAlign w:val="center"/>
          </w:tcPr>
          <w:p w:rsidR="00B65A3B" w:rsidRPr="006A083B" w:rsidRDefault="006A083B" w:rsidP="003B198C">
            <w:pPr>
              <w:pStyle w:val="TableText0"/>
              <w:keepLines/>
              <w:jc w:val="center"/>
              <w:rPr>
                <w:highlight w:val="black"/>
              </w:rPr>
            </w:pPr>
            <w:r>
              <w:rPr>
                <w:noProof/>
                <w:color w:val="000000"/>
                <w:highlight w:val="black"/>
              </w:rPr>
              <w:t>'''''''''''' ''''''''''''''''</w:t>
            </w:r>
          </w:p>
        </w:tc>
        <w:tc>
          <w:tcPr>
            <w:tcW w:w="653" w:type="pct"/>
            <w:vMerge w:val="restart"/>
            <w:shd w:val="clear" w:color="auto" w:fill="auto"/>
            <w:vAlign w:val="center"/>
          </w:tcPr>
          <w:p w:rsidR="00B65A3B" w:rsidRPr="006A083B" w:rsidRDefault="006A083B" w:rsidP="003B198C">
            <w:pPr>
              <w:pStyle w:val="TableText0"/>
              <w:keepLines/>
              <w:jc w:val="center"/>
              <w:rPr>
                <w:highlight w:val="black"/>
              </w:rPr>
            </w:pPr>
            <w:r>
              <w:rPr>
                <w:noProof/>
                <w:color w:val="000000"/>
                <w:highlight w:val="black"/>
              </w:rPr>
              <w:t>''''''''''' '''''''''''''''''</w:t>
            </w:r>
          </w:p>
        </w:tc>
        <w:tc>
          <w:tcPr>
            <w:tcW w:w="272" w:type="pct"/>
            <w:vAlign w:val="center"/>
          </w:tcPr>
          <w:p w:rsidR="00B65A3B" w:rsidRPr="008029BB" w:rsidRDefault="00B65A3B" w:rsidP="003B198C">
            <w:pPr>
              <w:pStyle w:val="TableText0"/>
              <w:keepLines/>
              <w:jc w:val="center"/>
            </w:pPr>
            <w:r w:rsidRPr="008029BB">
              <w:t>NIVO</w:t>
            </w:r>
          </w:p>
        </w:tc>
        <w:tc>
          <w:tcPr>
            <w:tcW w:w="635" w:type="pct"/>
            <w:vMerge w:val="restart"/>
            <w:shd w:val="clear" w:color="auto" w:fill="FFFFFF" w:themeFill="background1"/>
            <w:vAlign w:val="center"/>
          </w:tcPr>
          <w:p w:rsidR="00B65A3B" w:rsidRPr="008029BB" w:rsidRDefault="00B65A3B" w:rsidP="003B198C">
            <w:pPr>
              <w:pStyle w:val="TableText0"/>
              <w:keepLines/>
              <w:jc w:val="center"/>
            </w:pPr>
            <w:r w:rsidRPr="008029BB">
              <w:t xml:space="preserve">(median) </w:t>
            </w:r>
            <w:r w:rsidRPr="008029BB">
              <w:br/>
              <w:t>7.9 months</w:t>
            </w:r>
          </w:p>
        </w:tc>
        <w:tc>
          <w:tcPr>
            <w:tcW w:w="635" w:type="pct"/>
            <w:vMerge w:val="restart"/>
            <w:shd w:val="clear" w:color="auto" w:fill="FFFFFF" w:themeFill="background1"/>
            <w:vAlign w:val="center"/>
          </w:tcPr>
          <w:p w:rsidR="00B65A3B" w:rsidRPr="006A083B" w:rsidRDefault="006A083B" w:rsidP="003B198C">
            <w:pPr>
              <w:pStyle w:val="TableText0"/>
              <w:keepLines/>
              <w:jc w:val="center"/>
              <w:rPr>
                <w:highlight w:val="black"/>
              </w:rPr>
            </w:pPr>
            <w:r>
              <w:rPr>
                <w:noProof/>
                <w:color w:val="000000"/>
                <w:highlight w:val="black"/>
              </w:rPr>
              <w:t>'''''''''' ''''''''''''''''''</w:t>
            </w:r>
          </w:p>
        </w:tc>
        <w:tc>
          <w:tcPr>
            <w:tcW w:w="634" w:type="pct"/>
            <w:vMerge w:val="restart"/>
            <w:shd w:val="clear" w:color="auto" w:fill="FFFFFF" w:themeFill="background1"/>
            <w:vAlign w:val="center"/>
          </w:tcPr>
          <w:p w:rsidR="00B65A3B" w:rsidRPr="006A083B" w:rsidRDefault="006A083B" w:rsidP="003B198C">
            <w:pPr>
              <w:pStyle w:val="TableText0"/>
              <w:keepLines/>
              <w:jc w:val="center"/>
              <w:rPr>
                <w:highlight w:val="black"/>
              </w:rPr>
            </w:pPr>
            <w:r>
              <w:rPr>
                <w:noProof/>
                <w:color w:val="000000"/>
                <w:highlight w:val="black"/>
              </w:rPr>
              <w:t>'''''''''' ''''''''''''''''''</w:t>
            </w:r>
          </w:p>
        </w:tc>
      </w:tr>
      <w:tr w:rsidR="00B65A3B" w:rsidRPr="008029BB" w:rsidTr="000B4D23">
        <w:trPr>
          <w:cantSplit/>
          <w:jc w:val="center"/>
        </w:trPr>
        <w:tc>
          <w:tcPr>
            <w:tcW w:w="638" w:type="pct"/>
            <w:tcBorders>
              <w:top w:val="nil"/>
              <w:bottom w:val="single" w:sz="4" w:space="0" w:color="auto"/>
            </w:tcBorders>
            <w:shd w:val="clear" w:color="auto" w:fill="auto"/>
            <w:vAlign w:val="center"/>
          </w:tcPr>
          <w:p w:rsidR="00B65A3B" w:rsidRPr="00EC6E05" w:rsidRDefault="00B65A3B" w:rsidP="003B198C">
            <w:pPr>
              <w:pStyle w:val="TableText0"/>
              <w:keepLines/>
            </w:pPr>
          </w:p>
        </w:tc>
        <w:tc>
          <w:tcPr>
            <w:tcW w:w="227" w:type="pct"/>
            <w:vAlign w:val="center"/>
          </w:tcPr>
          <w:p w:rsidR="00B65A3B" w:rsidRPr="00EC6E05" w:rsidRDefault="00B65A3B" w:rsidP="003B198C">
            <w:pPr>
              <w:pStyle w:val="TableText0"/>
              <w:keepLines/>
            </w:pPr>
            <w:r w:rsidRPr="00EC6E05">
              <w:t>AXI</w:t>
            </w:r>
          </w:p>
        </w:tc>
        <w:tc>
          <w:tcPr>
            <w:tcW w:w="653" w:type="pct"/>
            <w:shd w:val="clear" w:color="auto" w:fill="auto"/>
            <w:vAlign w:val="center"/>
          </w:tcPr>
          <w:p w:rsidR="00B65A3B" w:rsidRPr="006A083B" w:rsidRDefault="006A083B" w:rsidP="003B198C">
            <w:pPr>
              <w:pStyle w:val="TableText0"/>
              <w:keepLines/>
              <w:jc w:val="center"/>
              <w:rPr>
                <w:highlight w:val="black"/>
              </w:rPr>
            </w:pPr>
            <w:r>
              <w:rPr>
                <w:noProof/>
                <w:color w:val="000000"/>
                <w:highlight w:val="black"/>
              </w:rPr>
              <w:t>'''''''''' ''''''''''''''''''''</w:t>
            </w:r>
          </w:p>
          <w:p w:rsidR="00B65A3B" w:rsidRPr="006A083B" w:rsidRDefault="006A083B" w:rsidP="003B198C">
            <w:pPr>
              <w:pStyle w:val="TableText0"/>
              <w:keepLines/>
              <w:jc w:val="center"/>
              <w:rPr>
                <w:highlight w:val="black"/>
              </w:rPr>
            </w:pPr>
            <w:r>
              <w:rPr>
                <w:noProof/>
                <w:color w:val="000000"/>
                <w:highlight w:val="black"/>
              </w:rPr>
              <w:t>''''''''''' ''''''''''''''''''</w:t>
            </w:r>
          </w:p>
        </w:tc>
        <w:tc>
          <w:tcPr>
            <w:tcW w:w="653" w:type="pct"/>
            <w:vMerge/>
            <w:shd w:val="clear" w:color="auto" w:fill="auto"/>
            <w:vAlign w:val="center"/>
          </w:tcPr>
          <w:p w:rsidR="00B65A3B" w:rsidRPr="008029BB" w:rsidRDefault="00B65A3B" w:rsidP="003B198C">
            <w:pPr>
              <w:pStyle w:val="TableText0"/>
              <w:keepLines/>
              <w:jc w:val="center"/>
            </w:pPr>
          </w:p>
        </w:tc>
        <w:tc>
          <w:tcPr>
            <w:tcW w:w="653" w:type="pct"/>
            <w:vMerge/>
            <w:shd w:val="clear" w:color="auto" w:fill="auto"/>
            <w:vAlign w:val="center"/>
          </w:tcPr>
          <w:p w:rsidR="00B65A3B" w:rsidRPr="008029BB" w:rsidRDefault="00B65A3B" w:rsidP="003B198C">
            <w:pPr>
              <w:pStyle w:val="TableText0"/>
              <w:keepLines/>
              <w:jc w:val="center"/>
            </w:pPr>
          </w:p>
        </w:tc>
        <w:tc>
          <w:tcPr>
            <w:tcW w:w="272" w:type="pct"/>
            <w:vAlign w:val="center"/>
          </w:tcPr>
          <w:p w:rsidR="00B65A3B" w:rsidRPr="008029BB" w:rsidRDefault="00B65A3B" w:rsidP="003B198C">
            <w:pPr>
              <w:pStyle w:val="TableText0"/>
              <w:keepLines/>
              <w:jc w:val="center"/>
            </w:pPr>
            <w:r w:rsidRPr="008029BB">
              <w:t>IPI</w:t>
            </w:r>
          </w:p>
        </w:tc>
        <w:tc>
          <w:tcPr>
            <w:tcW w:w="635" w:type="pct"/>
            <w:vMerge/>
            <w:shd w:val="clear" w:color="auto" w:fill="FFFFFF" w:themeFill="background1"/>
            <w:vAlign w:val="center"/>
          </w:tcPr>
          <w:p w:rsidR="00B65A3B" w:rsidRPr="008029BB" w:rsidRDefault="00B65A3B" w:rsidP="003B198C">
            <w:pPr>
              <w:pStyle w:val="TableText0"/>
              <w:keepLines/>
              <w:jc w:val="center"/>
            </w:pPr>
          </w:p>
        </w:tc>
        <w:tc>
          <w:tcPr>
            <w:tcW w:w="635" w:type="pct"/>
            <w:vMerge/>
            <w:shd w:val="clear" w:color="auto" w:fill="FFFFFF" w:themeFill="background1"/>
            <w:vAlign w:val="center"/>
          </w:tcPr>
          <w:p w:rsidR="00B65A3B" w:rsidRPr="008029BB" w:rsidRDefault="00B65A3B" w:rsidP="003B198C">
            <w:pPr>
              <w:pStyle w:val="TableText0"/>
              <w:keepLines/>
              <w:jc w:val="center"/>
            </w:pPr>
          </w:p>
        </w:tc>
        <w:tc>
          <w:tcPr>
            <w:tcW w:w="634" w:type="pct"/>
            <w:vMerge/>
            <w:shd w:val="clear" w:color="auto" w:fill="FFFFFF" w:themeFill="background1"/>
            <w:vAlign w:val="center"/>
          </w:tcPr>
          <w:p w:rsidR="00B65A3B" w:rsidRPr="008029BB" w:rsidRDefault="00B65A3B" w:rsidP="003B198C">
            <w:pPr>
              <w:pStyle w:val="TableText0"/>
              <w:keepLines/>
              <w:jc w:val="center"/>
            </w:pPr>
          </w:p>
        </w:tc>
      </w:tr>
      <w:tr w:rsidR="00951676" w:rsidRPr="008029BB" w:rsidTr="000B4D23">
        <w:trPr>
          <w:cantSplit/>
          <w:jc w:val="center"/>
        </w:trPr>
        <w:tc>
          <w:tcPr>
            <w:tcW w:w="638" w:type="pct"/>
            <w:vMerge w:val="restart"/>
            <w:shd w:val="clear" w:color="auto" w:fill="auto"/>
            <w:vAlign w:val="center"/>
          </w:tcPr>
          <w:p w:rsidR="00951676" w:rsidRPr="006A083B" w:rsidRDefault="006A083B" w:rsidP="003B198C">
            <w:pPr>
              <w:pStyle w:val="TableText0"/>
              <w:keepLines/>
              <w:rPr>
                <w:highlight w:val="black"/>
              </w:rPr>
            </w:pPr>
            <w:r>
              <w:rPr>
                <w:noProof/>
                <w:color w:val="000000"/>
                <w:highlight w:val="black"/>
              </w:rPr>
              <w:t>'''''''''''''''''''''''''''''' '''''''''''''' ''''' ''''''</w:t>
            </w:r>
          </w:p>
        </w:tc>
        <w:tc>
          <w:tcPr>
            <w:tcW w:w="227" w:type="pct"/>
            <w:vAlign w:val="center"/>
          </w:tcPr>
          <w:p w:rsidR="00951676" w:rsidRPr="006A083B" w:rsidRDefault="006A083B" w:rsidP="003B198C">
            <w:pPr>
              <w:pStyle w:val="TableText0"/>
              <w:keepLines/>
              <w:rPr>
                <w:highlight w:val="black"/>
              </w:rPr>
            </w:pPr>
            <w:r>
              <w:rPr>
                <w:noProof/>
                <w:color w:val="000000"/>
                <w:highlight w:val="black"/>
              </w:rPr>
              <w:t>''''''''''''</w:t>
            </w:r>
          </w:p>
        </w:tc>
        <w:tc>
          <w:tcPr>
            <w:tcW w:w="653" w:type="pct"/>
            <w:shd w:val="clear" w:color="auto" w:fill="auto"/>
            <w:vAlign w:val="center"/>
          </w:tcPr>
          <w:p w:rsidR="00951676" w:rsidRPr="006A083B" w:rsidRDefault="006A083B" w:rsidP="003B198C">
            <w:pPr>
              <w:pStyle w:val="TableText0"/>
              <w:keepLines/>
              <w:jc w:val="center"/>
              <w:rPr>
                <w:iCs/>
                <w:highlight w:val="black"/>
              </w:rPr>
            </w:pPr>
            <w:r>
              <w:rPr>
                <w:rFonts w:cs="Calibri"/>
                <w:iCs/>
                <w:noProof/>
                <w:color w:val="000000"/>
                <w:szCs w:val="20"/>
                <w:highlight w:val="black"/>
              </w:rPr>
              <w:t>''''''''''''''''''''</w:t>
            </w:r>
          </w:p>
        </w:tc>
        <w:tc>
          <w:tcPr>
            <w:tcW w:w="653" w:type="pct"/>
            <w:shd w:val="clear" w:color="auto" w:fill="auto"/>
            <w:vAlign w:val="center"/>
          </w:tcPr>
          <w:p w:rsidR="00951676" w:rsidRPr="006A083B" w:rsidRDefault="006A083B" w:rsidP="003B198C">
            <w:pPr>
              <w:pStyle w:val="TableText0"/>
              <w:keepLines/>
              <w:jc w:val="center"/>
              <w:rPr>
                <w:highlight w:val="black"/>
              </w:rPr>
            </w:pPr>
            <w:r>
              <w:rPr>
                <w:noProof/>
                <w:color w:val="000000"/>
                <w:highlight w:val="black"/>
              </w:rPr>
              <w:t>'''''''''''''''''''''''</w:t>
            </w:r>
          </w:p>
        </w:tc>
        <w:tc>
          <w:tcPr>
            <w:tcW w:w="653" w:type="pct"/>
            <w:shd w:val="clear" w:color="auto" w:fill="auto"/>
            <w:vAlign w:val="center"/>
          </w:tcPr>
          <w:p w:rsidR="00951676" w:rsidRPr="006A083B" w:rsidRDefault="006A083B" w:rsidP="003B198C">
            <w:pPr>
              <w:pStyle w:val="TableText0"/>
              <w:keepLines/>
              <w:jc w:val="center"/>
              <w:rPr>
                <w:highlight w:val="black"/>
              </w:rPr>
            </w:pPr>
            <w:r>
              <w:rPr>
                <w:noProof/>
                <w:color w:val="000000"/>
                <w:highlight w:val="black"/>
              </w:rPr>
              <w:t>'''''''''''''''''''''</w:t>
            </w:r>
          </w:p>
        </w:tc>
        <w:tc>
          <w:tcPr>
            <w:tcW w:w="272" w:type="pct"/>
            <w:vAlign w:val="center"/>
          </w:tcPr>
          <w:p w:rsidR="00951676" w:rsidRPr="006A083B" w:rsidRDefault="006A083B" w:rsidP="003B198C">
            <w:pPr>
              <w:pStyle w:val="TableText0"/>
              <w:keepLines/>
              <w:jc w:val="center"/>
              <w:rPr>
                <w:highlight w:val="black"/>
              </w:rPr>
            </w:pPr>
            <w:r>
              <w:rPr>
                <w:noProof/>
                <w:color w:val="000000"/>
                <w:highlight w:val="black"/>
              </w:rPr>
              <w:t>'''''''''''''</w:t>
            </w:r>
          </w:p>
        </w:tc>
        <w:tc>
          <w:tcPr>
            <w:tcW w:w="635" w:type="pct"/>
            <w:shd w:val="clear" w:color="auto" w:fill="FFFFFF" w:themeFill="background1"/>
            <w:vAlign w:val="center"/>
          </w:tcPr>
          <w:p w:rsidR="00951676" w:rsidRPr="006A083B" w:rsidRDefault="006A083B" w:rsidP="003B198C">
            <w:pPr>
              <w:pStyle w:val="TableText0"/>
              <w:keepLines/>
              <w:jc w:val="center"/>
              <w:rPr>
                <w:iCs/>
                <w:highlight w:val="black"/>
              </w:rPr>
            </w:pPr>
            <w:r>
              <w:rPr>
                <w:rFonts w:cs="Calibri"/>
                <w:iCs/>
                <w:noProof/>
                <w:color w:val="000000"/>
                <w:szCs w:val="20"/>
                <w:highlight w:val="black"/>
              </w:rPr>
              <w:t>''''''''''''''''''''</w:t>
            </w:r>
          </w:p>
        </w:tc>
        <w:tc>
          <w:tcPr>
            <w:tcW w:w="635" w:type="pct"/>
            <w:shd w:val="clear" w:color="auto" w:fill="FFFFFF" w:themeFill="background1"/>
            <w:vAlign w:val="center"/>
          </w:tcPr>
          <w:p w:rsidR="00951676" w:rsidRPr="006A083B" w:rsidRDefault="006A083B" w:rsidP="003B198C">
            <w:pPr>
              <w:pStyle w:val="TableText0"/>
              <w:keepLines/>
              <w:jc w:val="center"/>
              <w:rPr>
                <w:highlight w:val="black"/>
              </w:rPr>
            </w:pPr>
            <w:r>
              <w:rPr>
                <w:rFonts w:cs="Calibri"/>
                <w:noProof/>
                <w:color w:val="000000"/>
                <w:szCs w:val="20"/>
                <w:highlight w:val="black"/>
              </w:rPr>
              <w:t>''''''''''''''''''''</w:t>
            </w:r>
          </w:p>
        </w:tc>
        <w:tc>
          <w:tcPr>
            <w:tcW w:w="634" w:type="pct"/>
            <w:shd w:val="clear" w:color="auto" w:fill="FFFFFF" w:themeFill="background1"/>
            <w:vAlign w:val="center"/>
          </w:tcPr>
          <w:p w:rsidR="00951676" w:rsidRPr="006A083B" w:rsidRDefault="006A083B" w:rsidP="003B198C">
            <w:pPr>
              <w:pStyle w:val="TableText0"/>
              <w:keepLines/>
              <w:jc w:val="center"/>
              <w:rPr>
                <w:highlight w:val="black"/>
              </w:rPr>
            </w:pPr>
            <w:r>
              <w:rPr>
                <w:rFonts w:cs="Calibri"/>
                <w:noProof/>
                <w:color w:val="000000"/>
                <w:szCs w:val="20"/>
                <w:highlight w:val="black"/>
              </w:rPr>
              <w:t>'''''''''''''''''</w:t>
            </w:r>
          </w:p>
        </w:tc>
      </w:tr>
      <w:tr w:rsidR="00951676" w:rsidRPr="008029BB" w:rsidTr="000B4D23">
        <w:trPr>
          <w:cantSplit/>
          <w:jc w:val="center"/>
        </w:trPr>
        <w:tc>
          <w:tcPr>
            <w:tcW w:w="638" w:type="pct"/>
            <w:vMerge/>
            <w:shd w:val="clear" w:color="auto" w:fill="auto"/>
            <w:vAlign w:val="center"/>
          </w:tcPr>
          <w:p w:rsidR="00951676" w:rsidRPr="006A083B" w:rsidRDefault="00951676" w:rsidP="003B198C">
            <w:pPr>
              <w:pStyle w:val="TableText0"/>
              <w:keepLines/>
            </w:pPr>
          </w:p>
        </w:tc>
        <w:tc>
          <w:tcPr>
            <w:tcW w:w="227" w:type="pct"/>
            <w:vAlign w:val="center"/>
          </w:tcPr>
          <w:p w:rsidR="00951676" w:rsidRPr="006A083B" w:rsidRDefault="006A083B" w:rsidP="003B198C">
            <w:pPr>
              <w:pStyle w:val="TableText0"/>
              <w:keepLines/>
              <w:rPr>
                <w:highlight w:val="black"/>
              </w:rPr>
            </w:pPr>
            <w:r>
              <w:rPr>
                <w:noProof/>
                <w:color w:val="000000"/>
                <w:highlight w:val="black"/>
              </w:rPr>
              <w:t>''''''''</w:t>
            </w:r>
          </w:p>
        </w:tc>
        <w:tc>
          <w:tcPr>
            <w:tcW w:w="653" w:type="pct"/>
            <w:shd w:val="clear" w:color="auto" w:fill="auto"/>
            <w:vAlign w:val="center"/>
          </w:tcPr>
          <w:p w:rsidR="00951676" w:rsidRPr="006A083B" w:rsidRDefault="006A083B" w:rsidP="003B198C">
            <w:pPr>
              <w:pStyle w:val="TableText0"/>
              <w:keepLines/>
              <w:jc w:val="center"/>
              <w:rPr>
                <w:iCs/>
                <w:highlight w:val="black"/>
              </w:rPr>
            </w:pPr>
            <w:r>
              <w:rPr>
                <w:rFonts w:cs="Calibri"/>
                <w:iCs/>
                <w:noProof/>
                <w:color w:val="000000"/>
                <w:szCs w:val="20"/>
                <w:highlight w:val="black"/>
              </w:rPr>
              <w:t>''''''''''''''''''</w:t>
            </w:r>
          </w:p>
        </w:tc>
        <w:tc>
          <w:tcPr>
            <w:tcW w:w="653" w:type="pct"/>
            <w:tcBorders>
              <w:bottom w:val="single" w:sz="4" w:space="0" w:color="auto"/>
            </w:tcBorders>
            <w:shd w:val="clear" w:color="auto" w:fill="auto"/>
            <w:vAlign w:val="center"/>
          </w:tcPr>
          <w:p w:rsidR="00951676" w:rsidRPr="006A083B" w:rsidRDefault="006A083B" w:rsidP="003B198C">
            <w:pPr>
              <w:pStyle w:val="TableText0"/>
              <w:keepLines/>
              <w:jc w:val="center"/>
              <w:rPr>
                <w:highlight w:val="black"/>
              </w:rPr>
            </w:pPr>
            <w:r>
              <w:rPr>
                <w:noProof/>
                <w:color w:val="000000"/>
                <w:highlight w:val="black"/>
              </w:rPr>
              <w:t>''''''''''''''''</w:t>
            </w:r>
          </w:p>
        </w:tc>
        <w:tc>
          <w:tcPr>
            <w:tcW w:w="653" w:type="pct"/>
            <w:tcBorders>
              <w:bottom w:val="single" w:sz="4" w:space="0" w:color="auto"/>
            </w:tcBorders>
            <w:shd w:val="clear" w:color="auto" w:fill="auto"/>
            <w:vAlign w:val="center"/>
          </w:tcPr>
          <w:p w:rsidR="00951676" w:rsidRPr="006A083B" w:rsidRDefault="006A083B" w:rsidP="003B198C">
            <w:pPr>
              <w:pStyle w:val="TableText0"/>
              <w:keepLines/>
              <w:jc w:val="center"/>
              <w:rPr>
                <w:highlight w:val="black"/>
              </w:rPr>
            </w:pPr>
            <w:r>
              <w:rPr>
                <w:noProof/>
                <w:color w:val="000000"/>
                <w:highlight w:val="black"/>
              </w:rPr>
              <w:t>'''''''''''''''''</w:t>
            </w:r>
          </w:p>
        </w:tc>
        <w:tc>
          <w:tcPr>
            <w:tcW w:w="272" w:type="pct"/>
            <w:vAlign w:val="center"/>
          </w:tcPr>
          <w:p w:rsidR="00951676" w:rsidRPr="006A083B" w:rsidRDefault="006A083B" w:rsidP="003B198C">
            <w:pPr>
              <w:pStyle w:val="TableText0"/>
              <w:keepLines/>
              <w:jc w:val="center"/>
              <w:rPr>
                <w:highlight w:val="black"/>
              </w:rPr>
            </w:pPr>
            <w:r>
              <w:rPr>
                <w:noProof/>
                <w:color w:val="000000"/>
                <w:highlight w:val="black"/>
              </w:rPr>
              <w:t>'''''''</w:t>
            </w:r>
          </w:p>
        </w:tc>
        <w:tc>
          <w:tcPr>
            <w:tcW w:w="635" w:type="pct"/>
            <w:shd w:val="clear" w:color="auto" w:fill="FFFFFF" w:themeFill="background1"/>
            <w:vAlign w:val="center"/>
          </w:tcPr>
          <w:p w:rsidR="00951676" w:rsidRPr="006A083B" w:rsidRDefault="006A083B" w:rsidP="003B198C">
            <w:pPr>
              <w:pStyle w:val="TableText0"/>
              <w:keepLines/>
              <w:jc w:val="center"/>
              <w:rPr>
                <w:iCs/>
                <w:highlight w:val="black"/>
              </w:rPr>
            </w:pPr>
            <w:r>
              <w:rPr>
                <w:rFonts w:cs="Calibri"/>
                <w:iCs/>
                <w:noProof/>
                <w:color w:val="000000"/>
                <w:szCs w:val="20"/>
                <w:highlight w:val="black"/>
              </w:rPr>
              <w:t xml:space="preserve">''''''''''''''''''' </w:t>
            </w:r>
          </w:p>
        </w:tc>
        <w:tc>
          <w:tcPr>
            <w:tcW w:w="635" w:type="pct"/>
            <w:tcBorders>
              <w:bottom w:val="single" w:sz="4" w:space="0" w:color="auto"/>
            </w:tcBorders>
            <w:shd w:val="clear" w:color="auto" w:fill="FFFFFF" w:themeFill="background1"/>
            <w:vAlign w:val="center"/>
          </w:tcPr>
          <w:p w:rsidR="00951676" w:rsidRPr="006A083B" w:rsidRDefault="006A083B" w:rsidP="003B198C">
            <w:pPr>
              <w:pStyle w:val="TableText0"/>
              <w:keepLines/>
              <w:jc w:val="center"/>
              <w:rPr>
                <w:highlight w:val="black"/>
              </w:rPr>
            </w:pPr>
            <w:r>
              <w:rPr>
                <w:rFonts w:cs="Calibri"/>
                <w:noProof/>
                <w:color w:val="000000"/>
                <w:szCs w:val="20"/>
                <w:highlight w:val="black"/>
              </w:rPr>
              <w:t>'''''''''''''''''''</w:t>
            </w:r>
          </w:p>
        </w:tc>
        <w:tc>
          <w:tcPr>
            <w:tcW w:w="634" w:type="pct"/>
            <w:tcBorders>
              <w:bottom w:val="single" w:sz="4" w:space="0" w:color="auto"/>
            </w:tcBorders>
            <w:shd w:val="clear" w:color="auto" w:fill="FFFFFF" w:themeFill="background1"/>
            <w:vAlign w:val="center"/>
          </w:tcPr>
          <w:p w:rsidR="00951676" w:rsidRPr="006A083B" w:rsidRDefault="006A083B" w:rsidP="003B198C">
            <w:pPr>
              <w:pStyle w:val="TableText0"/>
              <w:keepLines/>
              <w:jc w:val="center"/>
              <w:rPr>
                <w:highlight w:val="black"/>
              </w:rPr>
            </w:pPr>
            <w:r>
              <w:rPr>
                <w:rFonts w:cs="Calibri"/>
                <w:noProof/>
                <w:color w:val="000000"/>
                <w:szCs w:val="20"/>
                <w:highlight w:val="black"/>
              </w:rPr>
              <w:t>''''''''''''''''''</w:t>
            </w:r>
          </w:p>
        </w:tc>
      </w:tr>
      <w:tr w:rsidR="00951676" w:rsidRPr="008029BB" w:rsidTr="00951676">
        <w:trPr>
          <w:cantSplit/>
          <w:jc w:val="center"/>
        </w:trPr>
        <w:tc>
          <w:tcPr>
            <w:tcW w:w="638" w:type="pct"/>
            <w:vMerge/>
            <w:shd w:val="clear" w:color="auto" w:fill="auto"/>
            <w:vAlign w:val="center"/>
          </w:tcPr>
          <w:p w:rsidR="00951676" w:rsidRPr="006A083B" w:rsidRDefault="00951676" w:rsidP="003B198C">
            <w:pPr>
              <w:pStyle w:val="TableText0"/>
              <w:keepLines/>
            </w:pPr>
          </w:p>
        </w:tc>
        <w:tc>
          <w:tcPr>
            <w:tcW w:w="4362" w:type="pct"/>
            <w:gridSpan w:val="8"/>
            <w:vAlign w:val="center"/>
          </w:tcPr>
          <w:p w:rsidR="00951676" w:rsidRPr="006A083B" w:rsidRDefault="006A083B" w:rsidP="003B198C">
            <w:pPr>
              <w:pStyle w:val="TableText0"/>
              <w:keepLines/>
              <w:rPr>
                <w:rFonts w:cs="Calibri"/>
                <w:iCs/>
                <w:color w:val="000000"/>
                <w:szCs w:val="20"/>
                <w:highlight w:val="black"/>
              </w:rPr>
            </w:pPr>
            <w:r>
              <w:rPr>
                <w:rFonts w:cs="Calibri"/>
                <w:iCs/>
                <w:noProof/>
                <w:color w:val="000000"/>
                <w:szCs w:val="20"/>
                <w:highlight w:val="black"/>
              </w:rPr>
              <w:t xml:space="preserve">''''''''''''''''''''' </w:t>
            </w:r>
          </w:p>
        </w:tc>
      </w:tr>
      <w:tr w:rsidR="00951676" w:rsidRPr="008029BB" w:rsidTr="000B4D23">
        <w:trPr>
          <w:cantSplit/>
          <w:jc w:val="center"/>
        </w:trPr>
        <w:tc>
          <w:tcPr>
            <w:tcW w:w="638" w:type="pct"/>
            <w:vMerge/>
            <w:shd w:val="clear" w:color="auto" w:fill="auto"/>
            <w:vAlign w:val="center"/>
          </w:tcPr>
          <w:p w:rsidR="00951676" w:rsidRPr="00EC6E05" w:rsidRDefault="00951676" w:rsidP="003B198C">
            <w:pPr>
              <w:pStyle w:val="TableText0"/>
              <w:keepLines/>
            </w:pPr>
          </w:p>
        </w:tc>
        <w:tc>
          <w:tcPr>
            <w:tcW w:w="227" w:type="pct"/>
            <w:vAlign w:val="center"/>
          </w:tcPr>
          <w:p w:rsidR="00951676" w:rsidRPr="00EC6E05" w:rsidRDefault="00951676" w:rsidP="003B198C">
            <w:pPr>
              <w:pStyle w:val="TableText0"/>
              <w:keepLines/>
            </w:pPr>
            <w:r w:rsidRPr="00EC6E05">
              <w:t>Σ</w:t>
            </w:r>
          </w:p>
        </w:tc>
        <w:tc>
          <w:tcPr>
            <w:tcW w:w="653" w:type="pct"/>
            <w:shd w:val="clear" w:color="auto" w:fill="auto"/>
            <w:vAlign w:val="center"/>
          </w:tcPr>
          <w:p w:rsidR="00951676" w:rsidRPr="006A083B" w:rsidRDefault="006A083B" w:rsidP="003B198C">
            <w:pPr>
              <w:pStyle w:val="TableText0"/>
              <w:keepLines/>
              <w:jc w:val="center"/>
              <w:rPr>
                <w:rFonts w:cs="Calibri"/>
                <w:iCs/>
                <w:color w:val="000000"/>
                <w:szCs w:val="20"/>
                <w:highlight w:val="black"/>
              </w:rPr>
            </w:pPr>
            <w:r>
              <w:rPr>
                <w:rFonts w:cs="Calibri"/>
                <w:iCs/>
                <w:noProof/>
                <w:color w:val="000000"/>
                <w:szCs w:val="20"/>
                <w:highlight w:val="black"/>
              </w:rPr>
              <w:t>''''''''''''''''''''</w:t>
            </w:r>
          </w:p>
        </w:tc>
        <w:tc>
          <w:tcPr>
            <w:tcW w:w="653" w:type="pct"/>
            <w:tcBorders>
              <w:bottom w:val="single" w:sz="4" w:space="0" w:color="auto"/>
            </w:tcBorders>
            <w:shd w:val="clear" w:color="auto" w:fill="auto"/>
            <w:vAlign w:val="center"/>
          </w:tcPr>
          <w:p w:rsidR="00951676" w:rsidRPr="006A083B" w:rsidRDefault="006A083B" w:rsidP="003B198C">
            <w:pPr>
              <w:pStyle w:val="TableText0"/>
              <w:keepLines/>
              <w:jc w:val="center"/>
              <w:rPr>
                <w:highlight w:val="black"/>
              </w:rPr>
            </w:pPr>
            <w:r>
              <w:rPr>
                <w:rFonts w:cs="Calibri"/>
                <w:noProof/>
                <w:color w:val="000000"/>
                <w:szCs w:val="20"/>
                <w:highlight w:val="black"/>
              </w:rPr>
              <w:t>'''''''''''''''''''''''</w:t>
            </w:r>
          </w:p>
        </w:tc>
        <w:tc>
          <w:tcPr>
            <w:tcW w:w="653" w:type="pct"/>
            <w:tcBorders>
              <w:bottom w:val="single" w:sz="4" w:space="0" w:color="auto"/>
            </w:tcBorders>
            <w:shd w:val="clear" w:color="auto" w:fill="auto"/>
            <w:vAlign w:val="center"/>
          </w:tcPr>
          <w:p w:rsidR="00951676" w:rsidRPr="006A083B" w:rsidRDefault="006A083B" w:rsidP="003B198C">
            <w:pPr>
              <w:pStyle w:val="TableText0"/>
              <w:keepLines/>
              <w:jc w:val="center"/>
              <w:rPr>
                <w:highlight w:val="black"/>
              </w:rPr>
            </w:pPr>
            <w:r>
              <w:rPr>
                <w:rFonts w:cs="Calibri"/>
                <w:noProof/>
                <w:color w:val="000000"/>
                <w:szCs w:val="20"/>
                <w:highlight w:val="black"/>
              </w:rPr>
              <w:t>''''''''''''''''''''''</w:t>
            </w:r>
          </w:p>
        </w:tc>
        <w:tc>
          <w:tcPr>
            <w:tcW w:w="272" w:type="pct"/>
            <w:vAlign w:val="center"/>
          </w:tcPr>
          <w:p w:rsidR="00951676" w:rsidRPr="006A083B" w:rsidRDefault="006A083B" w:rsidP="003B198C">
            <w:pPr>
              <w:pStyle w:val="TableText0"/>
              <w:keepLines/>
              <w:jc w:val="center"/>
              <w:rPr>
                <w:highlight w:val="black"/>
              </w:rPr>
            </w:pPr>
            <w:r>
              <w:rPr>
                <w:noProof/>
                <w:color w:val="000000"/>
                <w:highlight w:val="black"/>
              </w:rPr>
              <w:t>''''</w:t>
            </w:r>
          </w:p>
        </w:tc>
        <w:tc>
          <w:tcPr>
            <w:tcW w:w="635" w:type="pct"/>
            <w:shd w:val="clear" w:color="auto" w:fill="FFFFFF" w:themeFill="background1"/>
            <w:vAlign w:val="center"/>
          </w:tcPr>
          <w:p w:rsidR="00951676" w:rsidRPr="006A083B" w:rsidRDefault="006A083B" w:rsidP="003B198C">
            <w:pPr>
              <w:pStyle w:val="TableText0"/>
              <w:keepLines/>
              <w:jc w:val="center"/>
              <w:rPr>
                <w:rFonts w:cs="Calibri"/>
                <w:iCs/>
                <w:color w:val="000000"/>
                <w:szCs w:val="20"/>
                <w:highlight w:val="black"/>
              </w:rPr>
            </w:pPr>
            <w:r>
              <w:rPr>
                <w:rFonts w:cs="Calibri"/>
                <w:iCs/>
                <w:noProof/>
                <w:color w:val="000000"/>
                <w:szCs w:val="20"/>
                <w:highlight w:val="black"/>
              </w:rPr>
              <w:t>''''''''''''''''''''</w:t>
            </w:r>
          </w:p>
        </w:tc>
        <w:tc>
          <w:tcPr>
            <w:tcW w:w="635" w:type="pct"/>
            <w:tcBorders>
              <w:bottom w:val="single" w:sz="4" w:space="0" w:color="auto"/>
            </w:tcBorders>
            <w:shd w:val="clear" w:color="auto" w:fill="FFFFFF" w:themeFill="background1"/>
            <w:vAlign w:val="center"/>
          </w:tcPr>
          <w:p w:rsidR="00951676" w:rsidRPr="006A083B" w:rsidRDefault="006A083B" w:rsidP="003B198C">
            <w:pPr>
              <w:pStyle w:val="TableText0"/>
              <w:keepLines/>
              <w:jc w:val="center"/>
              <w:rPr>
                <w:rFonts w:cs="Calibri"/>
                <w:color w:val="000000"/>
                <w:szCs w:val="20"/>
                <w:highlight w:val="black"/>
              </w:rPr>
            </w:pPr>
            <w:r>
              <w:rPr>
                <w:rFonts w:cs="Calibri"/>
                <w:noProof/>
                <w:color w:val="000000"/>
                <w:szCs w:val="20"/>
                <w:highlight w:val="black"/>
              </w:rPr>
              <w:t>''''''''''''''''''</w:t>
            </w:r>
          </w:p>
        </w:tc>
        <w:tc>
          <w:tcPr>
            <w:tcW w:w="634" w:type="pct"/>
            <w:tcBorders>
              <w:bottom w:val="single" w:sz="4" w:space="0" w:color="auto"/>
            </w:tcBorders>
            <w:shd w:val="clear" w:color="auto" w:fill="FFFFFF" w:themeFill="background1"/>
            <w:vAlign w:val="center"/>
          </w:tcPr>
          <w:p w:rsidR="00951676" w:rsidRPr="006A083B" w:rsidRDefault="006A083B" w:rsidP="003B198C">
            <w:pPr>
              <w:pStyle w:val="TableText0"/>
              <w:keepLines/>
              <w:jc w:val="center"/>
              <w:rPr>
                <w:rFonts w:cs="Calibri"/>
                <w:color w:val="000000"/>
                <w:szCs w:val="20"/>
                <w:highlight w:val="black"/>
              </w:rPr>
            </w:pPr>
            <w:r>
              <w:rPr>
                <w:rFonts w:cs="Calibri"/>
                <w:noProof/>
                <w:color w:val="000000"/>
                <w:szCs w:val="20"/>
                <w:highlight w:val="black"/>
              </w:rPr>
              <w:t>''''''''''''''''''''</w:t>
            </w:r>
          </w:p>
        </w:tc>
      </w:tr>
      <w:tr w:rsidR="00951676" w:rsidRPr="008029BB" w:rsidTr="00951676">
        <w:trPr>
          <w:cantSplit/>
          <w:jc w:val="center"/>
        </w:trPr>
        <w:tc>
          <w:tcPr>
            <w:tcW w:w="638" w:type="pct"/>
            <w:vMerge/>
            <w:shd w:val="clear" w:color="auto" w:fill="auto"/>
            <w:vAlign w:val="center"/>
          </w:tcPr>
          <w:p w:rsidR="00951676" w:rsidRPr="00EC6E05" w:rsidRDefault="00951676" w:rsidP="003B198C">
            <w:pPr>
              <w:pStyle w:val="TableText0"/>
              <w:keepLines/>
            </w:pPr>
          </w:p>
        </w:tc>
        <w:tc>
          <w:tcPr>
            <w:tcW w:w="4362" w:type="pct"/>
            <w:gridSpan w:val="8"/>
            <w:vAlign w:val="center"/>
          </w:tcPr>
          <w:p w:rsidR="00951676" w:rsidRPr="006A083B" w:rsidRDefault="006A083B" w:rsidP="003B198C">
            <w:pPr>
              <w:pStyle w:val="TableText0"/>
              <w:keepLines/>
              <w:rPr>
                <w:rFonts w:cs="Calibri"/>
                <w:iCs/>
                <w:color w:val="000000"/>
                <w:szCs w:val="20"/>
                <w:highlight w:val="black"/>
              </w:rPr>
            </w:pPr>
            <w:r>
              <w:rPr>
                <w:rFonts w:cs="Calibri"/>
                <w:iCs/>
                <w:noProof/>
                <w:color w:val="000000"/>
                <w:szCs w:val="20"/>
                <w:highlight w:val="black"/>
              </w:rPr>
              <w:t>''''''''''''''''''''''''''''''''</w:t>
            </w:r>
          </w:p>
        </w:tc>
      </w:tr>
      <w:tr w:rsidR="00951676" w:rsidRPr="008029BB" w:rsidTr="000B4D23">
        <w:trPr>
          <w:cantSplit/>
          <w:jc w:val="center"/>
        </w:trPr>
        <w:tc>
          <w:tcPr>
            <w:tcW w:w="638" w:type="pct"/>
            <w:vMerge/>
            <w:shd w:val="clear" w:color="auto" w:fill="auto"/>
            <w:vAlign w:val="center"/>
          </w:tcPr>
          <w:p w:rsidR="00951676" w:rsidRPr="00EC6E05" w:rsidRDefault="00951676" w:rsidP="003B198C">
            <w:pPr>
              <w:pStyle w:val="TableText0"/>
              <w:keepLines/>
            </w:pPr>
          </w:p>
        </w:tc>
        <w:tc>
          <w:tcPr>
            <w:tcW w:w="227" w:type="pct"/>
            <w:vAlign w:val="center"/>
          </w:tcPr>
          <w:p w:rsidR="00951676" w:rsidRPr="00EC6E05" w:rsidRDefault="00951676" w:rsidP="003B198C">
            <w:pPr>
              <w:pStyle w:val="TableText0"/>
              <w:keepLines/>
            </w:pPr>
            <w:r w:rsidRPr="00EC6E05">
              <w:t>Σ</w:t>
            </w:r>
          </w:p>
        </w:tc>
        <w:tc>
          <w:tcPr>
            <w:tcW w:w="653" w:type="pct"/>
            <w:shd w:val="clear" w:color="auto" w:fill="auto"/>
            <w:vAlign w:val="center"/>
          </w:tcPr>
          <w:p w:rsidR="00951676" w:rsidRPr="006A083B" w:rsidRDefault="006A083B" w:rsidP="003B198C">
            <w:pPr>
              <w:pStyle w:val="TableText0"/>
              <w:keepLines/>
              <w:jc w:val="center"/>
              <w:rPr>
                <w:rFonts w:cs="Calibri"/>
                <w:iCs/>
                <w:color w:val="000000"/>
                <w:szCs w:val="20"/>
                <w:highlight w:val="black"/>
              </w:rPr>
            </w:pPr>
            <w:r>
              <w:rPr>
                <w:rFonts w:cs="Calibri"/>
                <w:iCs/>
                <w:noProof/>
                <w:color w:val="000000"/>
                <w:szCs w:val="20"/>
                <w:highlight w:val="black"/>
              </w:rPr>
              <w:t>'''''''''''''''''''''</w:t>
            </w:r>
          </w:p>
        </w:tc>
        <w:tc>
          <w:tcPr>
            <w:tcW w:w="653" w:type="pct"/>
            <w:tcBorders>
              <w:bottom w:val="single" w:sz="4" w:space="0" w:color="auto"/>
            </w:tcBorders>
            <w:shd w:val="clear" w:color="auto" w:fill="auto"/>
            <w:vAlign w:val="center"/>
          </w:tcPr>
          <w:p w:rsidR="00951676" w:rsidRPr="008E2174" w:rsidRDefault="008E2174" w:rsidP="003B198C">
            <w:pPr>
              <w:pStyle w:val="TableText0"/>
              <w:keepLines/>
              <w:jc w:val="center"/>
              <w:rPr>
                <w:rFonts w:cs="Calibri"/>
                <w:color w:val="000000"/>
                <w:szCs w:val="20"/>
                <w:highlight w:val="black"/>
              </w:rPr>
            </w:pPr>
            <w:r>
              <w:rPr>
                <w:rFonts w:cs="Calibri"/>
                <w:noProof/>
                <w:color w:val="000000"/>
                <w:szCs w:val="20"/>
                <w:highlight w:val="black"/>
              </w:rPr>
              <w:t>''''''''''''''''''''</w:t>
            </w:r>
          </w:p>
        </w:tc>
        <w:tc>
          <w:tcPr>
            <w:tcW w:w="653" w:type="pct"/>
            <w:tcBorders>
              <w:bottom w:val="single" w:sz="4" w:space="0" w:color="auto"/>
            </w:tcBorders>
            <w:shd w:val="clear" w:color="auto" w:fill="auto"/>
            <w:vAlign w:val="center"/>
          </w:tcPr>
          <w:p w:rsidR="00951676" w:rsidRPr="008E2174" w:rsidRDefault="008E2174" w:rsidP="003B198C">
            <w:pPr>
              <w:pStyle w:val="TableText0"/>
              <w:keepLines/>
              <w:jc w:val="center"/>
              <w:rPr>
                <w:rFonts w:cs="Calibri"/>
                <w:color w:val="000000"/>
                <w:szCs w:val="20"/>
                <w:highlight w:val="black"/>
              </w:rPr>
            </w:pPr>
            <w:r>
              <w:rPr>
                <w:rFonts w:cs="Calibri"/>
                <w:noProof/>
                <w:color w:val="000000"/>
                <w:szCs w:val="20"/>
                <w:highlight w:val="black"/>
              </w:rPr>
              <w:t>''''''''''''''''''''''''</w:t>
            </w:r>
          </w:p>
        </w:tc>
        <w:tc>
          <w:tcPr>
            <w:tcW w:w="272" w:type="pct"/>
            <w:vAlign w:val="center"/>
          </w:tcPr>
          <w:p w:rsidR="00951676" w:rsidRPr="006A083B" w:rsidRDefault="006A083B" w:rsidP="003B198C">
            <w:pPr>
              <w:pStyle w:val="TableText0"/>
              <w:keepLines/>
              <w:jc w:val="center"/>
              <w:rPr>
                <w:highlight w:val="black"/>
              </w:rPr>
            </w:pPr>
            <w:r>
              <w:rPr>
                <w:noProof/>
                <w:color w:val="000000"/>
                <w:highlight w:val="black"/>
              </w:rPr>
              <w:t>'''</w:t>
            </w:r>
          </w:p>
        </w:tc>
        <w:tc>
          <w:tcPr>
            <w:tcW w:w="635" w:type="pct"/>
            <w:shd w:val="clear" w:color="auto" w:fill="FFFFFF" w:themeFill="background1"/>
            <w:vAlign w:val="center"/>
          </w:tcPr>
          <w:p w:rsidR="00951676" w:rsidRPr="006A083B" w:rsidRDefault="006A083B" w:rsidP="003B198C">
            <w:pPr>
              <w:pStyle w:val="TableText0"/>
              <w:keepLines/>
              <w:jc w:val="center"/>
              <w:rPr>
                <w:rFonts w:cs="Calibri"/>
                <w:iCs/>
                <w:color w:val="000000"/>
                <w:szCs w:val="20"/>
                <w:highlight w:val="black"/>
              </w:rPr>
            </w:pPr>
            <w:r>
              <w:rPr>
                <w:rFonts w:cs="Calibri"/>
                <w:iCs/>
                <w:noProof/>
                <w:color w:val="000000"/>
                <w:szCs w:val="20"/>
                <w:highlight w:val="black"/>
              </w:rPr>
              <w:t>''''''''''''''''''''''</w:t>
            </w:r>
          </w:p>
        </w:tc>
        <w:tc>
          <w:tcPr>
            <w:tcW w:w="635" w:type="pct"/>
            <w:tcBorders>
              <w:bottom w:val="single" w:sz="4" w:space="0" w:color="auto"/>
            </w:tcBorders>
            <w:shd w:val="clear" w:color="auto" w:fill="FFFFFF" w:themeFill="background1"/>
            <w:vAlign w:val="center"/>
          </w:tcPr>
          <w:p w:rsidR="00951676" w:rsidRPr="006A083B" w:rsidRDefault="006A083B" w:rsidP="003B198C">
            <w:pPr>
              <w:pStyle w:val="TableText0"/>
              <w:keepLines/>
              <w:jc w:val="center"/>
              <w:rPr>
                <w:rFonts w:cs="Calibri"/>
                <w:color w:val="000000"/>
                <w:szCs w:val="20"/>
                <w:highlight w:val="black"/>
              </w:rPr>
            </w:pPr>
            <w:r>
              <w:rPr>
                <w:rFonts w:cs="Calibri"/>
                <w:noProof/>
                <w:color w:val="000000"/>
                <w:szCs w:val="20"/>
                <w:highlight w:val="black"/>
              </w:rPr>
              <w:t>'''''''''''''''''''</w:t>
            </w:r>
          </w:p>
        </w:tc>
        <w:tc>
          <w:tcPr>
            <w:tcW w:w="634" w:type="pct"/>
            <w:tcBorders>
              <w:bottom w:val="single" w:sz="4" w:space="0" w:color="auto"/>
            </w:tcBorders>
            <w:shd w:val="clear" w:color="auto" w:fill="FFFFFF" w:themeFill="background1"/>
            <w:vAlign w:val="center"/>
          </w:tcPr>
          <w:p w:rsidR="00951676" w:rsidRPr="006A083B" w:rsidRDefault="006A083B" w:rsidP="003B198C">
            <w:pPr>
              <w:pStyle w:val="TableText0"/>
              <w:keepLines/>
              <w:jc w:val="center"/>
              <w:rPr>
                <w:rFonts w:cs="Calibri"/>
                <w:color w:val="000000"/>
                <w:szCs w:val="20"/>
                <w:highlight w:val="black"/>
              </w:rPr>
            </w:pPr>
            <w:r>
              <w:rPr>
                <w:rFonts w:cs="Calibri"/>
                <w:noProof/>
                <w:color w:val="000000"/>
                <w:szCs w:val="20"/>
                <w:highlight w:val="black"/>
              </w:rPr>
              <w:t>'''''''''''''''''''</w:t>
            </w:r>
          </w:p>
        </w:tc>
      </w:tr>
      <w:tr w:rsidR="000B4D23" w:rsidRPr="008029BB" w:rsidTr="000B4D23">
        <w:trPr>
          <w:cantSplit/>
          <w:jc w:val="center"/>
        </w:trPr>
        <w:tc>
          <w:tcPr>
            <w:tcW w:w="638" w:type="pct"/>
            <w:vMerge w:val="restart"/>
            <w:tcBorders>
              <w:top w:val="single" w:sz="4" w:space="0" w:color="auto"/>
            </w:tcBorders>
            <w:shd w:val="clear" w:color="auto" w:fill="auto"/>
            <w:vAlign w:val="center"/>
          </w:tcPr>
          <w:p w:rsidR="000B4D23" w:rsidRPr="00EC6E05" w:rsidRDefault="000B4D23" w:rsidP="003B198C">
            <w:pPr>
              <w:pStyle w:val="TableText0"/>
              <w:keepLines/>
            </w:pPr>
            <w:r w:rsidRPr="00EC6E05">
              <w:t>Cost/patient/ course</w:t>
            </w:r>
            <w:r w:rsidR="000772F2" w:rsidRPr="00EC6E05">
              <w:t xml:space="preserve"> </w:t>
            </w:r>
            <w:r w:rsidR="000772F2" w:rsidRPr="00EC6E05">
              <w:rPr>
                <w:vertAlign w:val="superscript"/>
              </w:rPr>
              <w:t xml:space="preserve">#, </w:t>
            </w:r>
            <w:proofErr w:type="spellStart"/>
            <w:r w:rsidRPr="00EC6E05">
              <w:rPr>
                <w:vertAlign w:val="superscript"/>
              </w:rPr>
              <w:t>d,f</w:t>
            </w:r>
            <w:proofErr w:type="spellEnd"/>
          </w:p>
        </w:tc>
        <w:tc>
          <w:tcPr>
            <w:tcW w:w="227" w:type="pct"/>
            <w:tcBorders>
              <w:top w:val="single" w:sz="4" w:space="0" w:color="auto"/>
            </w:tcBorders>
            <w:vAlign w:val="center"/>
          </w:tcPr>
          <w:p w:rsidR="000B4D23" w:rsidRPr="00EC6E05" w:rsidRDefault="000B4D23" w:rsidP="003B198C">
            <w:pPr>
              <w:pStyle w:val="TableText0"/>
              <w:keepLines/>
            </w:pPr>
            <w:r w:rsidRPr="00EC6E05">
              <w:t>AVE</w:t>
            </w:r>
          </w:p>
        </w:tc>
        <w:tc>
          <w:tcPr>
            <w:tcW w:w="653" w:type="pct"/>
            <w:tcBorders>
              <w:top w:val="single" w:sz="4" w:space="0" w:color="auto"/>
            </w:tcBorders>
            <w:shd w:val="clear" w:color="auto" w:fill="auto"/>
            <w:vAlign w:val="center"/>
          </w:tcPr>
          <w:p w:rsidR="000B4D23" w:rsidRPr="006A083B" w:rsidRDefault="006A083B" w:rsidP="003B198C">
            <w:pPr>
              <w:pStyle w:val="TableText0"/>
              <w:keepLines/>
              <w:jc w:val="center"/>
              <w:rPr>
                <w:iCs/>
                <w:highlight w:val="black"/>
              </w:rPr>
            </w:pPr>
            <w:r>
              <w:rPr>
                <w:rFonts w:cs="Calibri"/>
                <w:iCs/>
                <w:noProof/>
                <w:color w:val="000000"/>
                <w:szCs w:val="20"/>
                <w:highlight w:val="black"/>
              </w:rPr>
              <w:t>'''''''''''''''''''''''''</w:t>
            </w:r>
          </w:p>
        </w:tc>
        <w:tc>
          <w:tcPr>
            <w:tcW w:w="653" w:type="pct"/>
            <w:tcBorders>
              <w:top w:val="single" w:sz="4" w:space="0" w:color="auto"/>
              <w:bottom w:val="nil"/>
            </w:tcBorders>
            <w:shd w:val="clear" w:color="auto" w:fill="auto"/>
            <w:vAlign w:val="center"/>
          </w:tcPr>
          <w:p w:rsidR="000B4D23" w:rsidRPr="008E2174" w:rsidRDefault="000B4D23" w:rsidP="003B198C">
            <w:pPr>
              <w:pStyle w:val="TableText0"/>
              <w:keepLines/>
              <w:jc w:val="center"/>
            </w:pPr>
          </w:p>
        </w:tc>
        <w:tc>
          <w:tcPr>
            <w:tcW w:w="653" w:type="pct"/>
            <w:tcBorders>
              <w:top w:val="single" w:sz="4" w:space="0" w:color="auto"/>
              <w:bottom w:val="nil"/>
            </w:tcBorders>
            <w:shd w:val="clear" w:color="auto" w:fill="auto"/>
            <w:vAlign w:val="center"/>
          </w:tcPr>
          <w:p w:rsidR="000B4D23" w:rsidRPr="008E2174" w:rsidRDefault="000B4D23" w:rsidP="003B198C">
            <w:pPr>
              <w:pStyle w:val="TableText0"/>
              <w:keepLines/>
              <w:jc w:val="center"/>
            </w:pPr>
          </w:p>
        </w:tc>
        <w:tc>
          <w:tcPr>
            <w:tcW w:w="272" w:type="pct"/>
            <w:tcBorders>
              <w:top w:val="single" w:sz="4" w:space="0" w:color="auto"/>
            </w:tcBorders>
            <w:vAlign w:val="center"/>
          </w:tcPr>
          <w:p w:rsidR="000B4D23" w:rsidRPr="008029BB" w:rsidRDefault="000B4D23" w:rsidP="003B198C">
            <w:pPr>
              <w:pStyle w:val="TableText0"/>
              <w:keepLines/>
              <w:jc w:val="center"/>
            </w:pPr>
            <w:r w:rsidRPr="008029BB">
              <w:t>NIVO</w:t>
            </w:r>
          </w:p>
        </w:tc>
        <w:tc>
          <w:tcPr>
            <w:tcW w:w="635" w:type="pct"/>
            <w:tcBorders>
              <w:top w:val="single" w:sz="4" w:space="0" w:color="auto"/>
            </w:tcBorders>
            <w:shd w:val="clear" w:color="auto" w:fill="FFFFFF" w:themeFill="background1"/>
            <w:vAlign w:val="center"/>
          </w:tcPr>
          <w:p w:rsidR="000B4D23" w:rsidRPr="006A083B" w:rsidRDefault="006A083B" w:rsidP="003B198C">
            <w:pPr>
              <w:pStyle w:val="TableText0"/>
              <w:keepLines/>
              <w:jc w:val="center"/>
              <w:rPr>
                <w:iCs/>
                <w:highlight w:val="black"/>
              </w:rPr>
            </w:pPr>
            <w:r>
              <w:rPr>
                <w:rFonts w:cs="Calibri"/>
                <w:iCs/>
                <w:noProof/>
                <w:color w:val="000000"/>
                <w:szCs w:val="20"/>
                <w:highlight w:val="black"/>
              </w:rPr>
              <w:t>'''''''''''''''''''''</w:t>
            </w:r>
          </w:p>
        </w:tc>
        <w:tc>
          <w:tcPr>
            <w:tcW w:w="635" w:type="pct"/>
            <w:tcBorders>
              <w:top w:val="single" w:sz="4" w:space="0" w:color="auto"/>
              <w:bottom w:val="nil"/>
            </w:tcBorders>
            <w:shd w:val="clear" w:color="auto" w:fill="FFFFFF" w:themeFill="background1"/>
            <w:vAlign w:val="center"/>
          </w:tcPr>
          <w:p w:rsidR="000B4D23" w:rsidRPr="008029BB" w:rsidRDefault="000B4D23" w:rsidP="003B198C">
            <w:pPr>
              <w:pStyle w:val="TableText0"/>
              <w:keepLines/>
              <w:jc w:val="center"/>
            </w:pPr>
          </w:p>
        </w:tc>
        <w:tc>
          <w:tcPr>
            <w:tcW w:w="634" w:type="pct"/>
            <w:tcBorders>
              <w:top w:val="single" w:sz="4" w:space="0" w:color="auto"/>
              <w:bottom w:val="nil"/>
            </w:tcBorders>
            <w:shd w:val="clear" w:color="auto" w:fill="FFFFFF" w:themeFill="background1"/>
            <w:vAlign w:val="center"/>
          </w:tcPr>
          <w:p w:rsidR="000B4D23" w:rsidRPr="008029BB" w:rsidRDefault="000B4D23" w:rsidP="003B198C">
            <w:pPr>
              <w:pStyle w:val="TableText0"/>
              <w:keepLines/>
              <w:jc w:val="center"/>
            </w:pPr>
          </w:p>
        </w:tc>
      </w:tr>
      <w:tr w:rsidR="000B4D23" w:rsidRPr="008029BB" w:rsidTr="000B4D23">
        <w:trPr>
          <w:cantSplit/>
          <w:jc w:val="center"/>
        </w:trPr>
        <w:tc>
          <w:tcPr>
            <w:tcW w:w="638" w:type="pct"/>
            <w:vMerge/>
            <w:shd w:val="clear" w:color="auto" w:fill="auto"/>
            <w:vAlign w:val="center"/>
          </w:tcPr>
          <w:p w:rsidR="000B4D23" w:rsidRPr="00EC6E05" w:rsidRDefault="000B4D23" w:rsidP="003B198C">
            <w:pPr>
              <w:pStyle w:val="TableText0"/>
              <w:keepLines/>
            </w:pPr>
          </w:p>
        </w:tc>
        <w:tc>
          <w:tcPr>
            <w:tcW w:w="227" w:type="pct"/>
            <w:vAlign w:val="center"/>
          </w:tcPr>
          <w:p w:rsidR="000B4D23" w:rsidRPr="00EC6E05" w:rsidRDefault="000B4D23" w:rsidP="003B198C">
            <w:pPr>
              <w:pStyle w:val="TableText0"/>
              <w:keepLines/>
            </w:pPr>
            <w:r w:rsidRPr="00EC6E05">
              <w:t>AXI</w:t>
            </w:r>
          </w:p>
        </w:tc>
        <w:tc>
          <w:tcPr>
            <w:tcW w:w="653" w:type="pct"/>
            <w:shd w:val="clear" w:color="auto" w:fill="auto"/>
            <w:vAlign w:val="center"/>
          </w:tcPr>
          <w:p w:rsidR="000B4D23" w:rsidRPr="006A083B" w:rsidRDefault="006A083B" w:rsidP="003B198C">
            <w:pPr>
              <w:pStyle w:val="TableText0"/>
              <w:keepLines/>
              <w:jc w:val="center"/>
              <w:rPr>
                <w:iCs/>
                <w:highlight w:val="black"/>
              </w:rPr>
            </w:pPr>
            <w:r>
              <w:rPr>
                <w:rFonts w:cs="Calibri"/>
                <w:iCs/>
                <w:noProof/>
                <w:color w:val="000000"/>
                <w:szCs w:val="20"/>
                <w:highlight w:val="black"/>
              </w:rPr>
              <w:t>'''''''''''''''''''</w:t>
            </w:r>
          </w:p>
        </w:tc>
        <w:tc>
          <w:tcPr>
            <w:tcW w:w="653" w:type="pct"/>
            <w:tcBorders>
              <w:top w:val="nil"/>
              <w:bottom w:val="nil"/>
            </w:tcBorders>
            <w:shd w:val="clear" w:color="auto" w:fill="auto"/>
            <w:vAlign w:val="center"/>
          </w:tcPr>
          <w:p w:rsidR="000B4D23" w:rsidRPr="008E2174" w:rsidRDefault="000B4D23" w:rsidP="003B198C">
            <w:pPr>
              <w:pStyle w:val="TableText0"/>
              <w:keepLines/>
              <w:jc w:val="center"/>
            </w:pPr>
          </w:p>
        </w:tc>
        <w:tc>
          <w:tcPr>
            <w:tcW w:w="653" w:type="pct"/>
            <w:tcBorders>
              <w:top w:val="nil"/>
              <w:bottom w:val="nil"/>
            </w:tcBorders>
            <w:shd w:val="clear" w:color="auto" w:fill="auto"/>
            <w:vAlign w:val="center"/>
          </w:tcPr>
          <w:p w:rsidR="000B4D23" w:rsidRPr="008E2174" w:rsidRDefault="000B4D23" w:rsidP="003B198C">
            <w:pPr>
              <w:pStyle w:val="TableText0"/>
              <w:keepLines/>
              <w:jc w:val="center"/>
            </w:pPr>
          </w:p>
        </w:tc>
        <w:tc>
          <w:tcPr>
            <w:tcW w:w="272" w:type="pct"/>
            <w:vAlign w:val="center"/>
          </w:tcPr>
          <w:p w:rsidR="000B4D23" w:rsidRPr="008029BB" w:rsidRDefault="000B4D23" w:rsidP="003B198C">
            <w:pPr>
              <w:pStyle w:val="TableText0"/>
              <w:keepLines/>
              <w:jc w:val="center"/>
            </w:pPr>
            <w:r w:rsidRPr="008029BB">
              <w:t>IPI</w:t>
            </w:r>
          </w:p>
        </w:tc>
        <w:tc>
          <w:tcPr>
            <w:tcW w:w="635" w:type="pct"/>
            <w:shd w:val="clear" w:color="auto" w:fill="FFFFFF" w:themeFill="background1"/>
            <w:vAlign w:val="center"/>
          </w:tcPr>
          <w:p w:rsidR="000B4D23" w:rsidRPr="006A083B" w:rsidRDefault="006A083B" w:rsidP="003B198C">
            <w:pPr>
              <w:pStyle w:val="TableText0"/>
              <w:keepLines/>
              <w:jc w:val="center"/>
              <w:rPr>
                <w:iCs/>
                <w:highlight w:val="black"/>
              </w:rPr>
            </w:pPr>
            <w:r>
              <w:rPr>
                <w:rFonts w:cs="Calibri"/>
                <w:iCs/>
                <w:noProof/>
                <w:color w:val="000000"/>
                <w:szCs w:val="20"/>
                <w:highlight w:val="black"/>
              </w:rPr>
              <w:t>'''''''''''''''''''''''</w:t>
            </w:r>
          </w:p>
        </w:tc>
        <w:tc>
          <w:tcPr>
            <w:tcW w:w="635" w:type="pct"/>
            <w:tcBorders>
              <w:top w:val="nil"/>
              <w:bottom w:val="nil"/>
            </w:tcBorders>
            <w:shd w:val="clear" w:color="auto" w:fill="FFFFFF" w:themeFill="background1"/>
            <w:vAlign w:val="center"/>
          </w:tcPr>
          <w:p w:rsidR="000B4D23" w:rsidRPr="008029BB" w:rsidRDefault="000B4D23" w:rsidP="003B198C">
            <w:pPr>
              <w:pStyle w:val="TableText0"/>
              <w:keepLines/>
              <w:jc w:val="center"/>
            </w:pPr>
          </w:p>
        </w:tc>
        <w:tc>
          <w:tcPr>
            <w:tcW w:w="634" w:type="pct"/>
            <w:tcBorders>
              <w:top w:val="nil"/>
              <w:bottom w:val="nil"/>
            </w:tcBorders>
            <w:shd w:val="clear" w:color="auto" w:fill="FFFFFF" w:themeFill="background1"/>
            <w:vAlign w:val="center"/>
          </w:tcPr>
          <w:p w:rsidR="000B4D23" w:rsidRPr="008029BB" w:rsidRDefault="000B4D23" w:rsidP="003B198C">
            <w:pPr>
              <w:pStyle w:val="TableText0"/>
              <w:keepLines/>
              <w:jc w:val="center"/>
            </w:pPr>
          </w:p>
        </w:tc>
      </w:tr>
      <w:tr w:rsidR="000B4D23" w:rsidRPr="008029BB" w:rsidTr="000B4D23">
        <w:trPr>
          <w:cantSplit/>
          <w:jc w:val="center"/>
        </w:trPr>
        <w:tc>
          <w:tcPr>
            <w:tcW w:w="638" w:type="pct"/>
            <w:vMerge/>
            <w:shd w:val="clear" w:color="auto" w:fill="auto"/>
            <w:vAlign w:val="center"/>
          </w:tcPr>
          <w:p w:rsidR="000B4D23" w:rsidRPr="00EC6E05" w:rsidRDefault="000B4D23" w:rsidP="003B198C">
            <w:pPr>
              <w:pStyle w:val="TableText0"/>
              <w:keepLines/>
            </w:pPr>
          </w:p>
        </w:tc>
        <w:tc>
          <w:tcPr>
            <w:tcW w:w="227" w:type="pct"/>
            <w:vAlign w:val="center"/>
          </w:tcPr>
          <w:p w:rsidR="000B4D23" w:rsidRPr="00EC6E05" w:rsidRDefault="000B4D23" w:rsidP="003B198C">
            <w:pPr>
              <w:pStyle w:val="TableText0"/>
              <w:keepLines/>
            </w:pPr>
            <w:r w:rsidRPr="00EC6E05">
              <w:t>Σ</w:t>
            </w:r>
          </w:p>
        </w:tc>
        <w:tc>
          <w:tcPr>
            <w:tcW w:w="653" w:type="pct"/>
            <w:shd w:val="clear" w:color="auto" w:fill="auto"/>
            <w:vAlign w:val="center"/>
          </w:tcPr>
          <w:p w:rsidR="000B4D23" w:rsidRPr="006A083B" w:rsidRDefault="006A083B" w:rsidP="003B198C">
            <w:pPr>
              <w:pStyle w:val="TableText0"/>
              <w:keepLines/>
              <w:jc w:val="center"/>
              <w:rPr>
                <w:rFonts w:cs="Calibri"/>
                <w:iCs/>
                <w:color w:val="000000"/>
                <w:szCs w:val="20"/>
                <w:highlight w:val="black"/>
              </w:rPr>
            </w:pPr>
            <w:r>
              <w:rPr>
                <w:rFonts w:cs="Calibri"/>
                <w:iCs/>
                <w:noProof/>
                <w:color w:val="000000"/>
                <w:szCs w:val="20"/>
                <w:highlight w:val="black"/>
              </w:rPr>
              <w:t>'''''''''''''''''''''''''''</w:t>
            </w:r>
          </w:p>
        </w:tc>
        <w:tc>
          <w:tcPr>
            <w:tcW w:w="653" w:type="pct"/>
            <w:tcBorders>
              <w:top w:val="nil"/>
            </w:tcBorders>
            <w:shd w:val="clear" w:color="auto" w:fill="auto"/>
            <w:vAlign w:val="center"/>
          </w:tcPr>
          <w:p w:rsidR="000B4D23" w:rsidRPr="008E2174" w:rsidRDefault="008E2174" w:rsidP="003B198C">
            <w:pPr>
              <w:pStyle w:val="TableText0"/>
              <w:keepLines/>
              <w:jc w:val="center"/>
              <w:rPr>
                <w:highlight w:val="black"/>
              </w:rPr>
            </w:pPr>
            <w:r>
              <w:rPr>
                <w:rFonts w:cs="Calibri"/>
                <w:noProof/>
                <w:color w:val="000000"/>
                <w:szCs w:val="20"/>
                <w:highlight w:val="black"/>
              </w:rPr>
              <w:t>'''''''''''''''''''''''''''</w:t>
            </w:r>
          </w:p>
        </w:tc>
        <w:tc>
          <w:tcPr>
            <w:tcW w:w="653" w:type="pct"/>
            <w:tcBorders>
              <w:top w:val="nil"/>
            </w:tcBorders>
            <w:shd w:val="clear" w:color="auto" w:fill="auto"/>
            <w:vAlign w:val="center"/>
          </w:tcPr>
          <w:p w:rsidR="000B4D23" w:rsidRPr="008E2174" w:rsidRDefault="008E2174" w:rsidP="003B198C">
            <w:pPr>
              <w:pStyle w:val="TableText0"/>
              <w:keepLines/>
              <w:jc w:val="center"/>
              <w:rPr>
                <w:highlight w:val="black"/>
              </w:rPr>
            </w:pPr>
            <w:r>
              <w:rPr>
                <w:rFonts w:cs="Calibri"/>
                <w:noProof/>
                <w:color w:val="000000"/>
                <w:szCs w:val="20"/>
                <w:highlight w:val="black"/>
              </w:rPr>
              <w:t>'''''''''''''''''''''''''''</w:t>
            </w:r>
          </w:p>
        </w:tc>
        <w:tc>
          <w:tcPr>
            <w:tcW w:w="272" w:type="pct"/>
            <w:vAlign w:val="center"/>
          </w:tcPr>
          <w:p w:rsidR="000B4D23" w:rsidRPr="008029BB" w:rsidRDefault="000B4D23" w:rsidP="003B198C">
            <w:pPr>
              <w:pStyle w:val="TableText0"/>
              <w:keepLines/>
              <w:jc w:val="center"/>
            </w:pPr>
            <w:r w:rsidRPr="008029BB">
              <w:t>Σ</w:t>
            </w:r>
          </w:p>
        </w:tc>
        <w:tc>
          <w:tcPr>
            <w:tcW w:w="635" w:type="pct"/>
            <w:shd w:val="clear" w:color="auto" w:fill="FFFFFF" w:themeFill="background1"/>
            <w:vAlign w:val="center"/>
          </w:tcPr>
          <w:p w:rsidR="000B4D23" w:rsidRPr="006A083B" w:rsidRDefault="006A083B" w:rsidP="003B198C">
            <w:pPr>
              <w:pStyle w:val="TableText0"/>
              <w:keepLines/>
              <w:jc w:val="center"/>
              <w:rPr>
                <w:rFonts w:cs="Calibri"/>
                <w:iCs/>
                <w:color w:val="000000"/>
                <w:szCs w:val="20"/>
                <w:highlight w:val="black"/>
              </w:rPr>
            </w:pPr>
            <w:r>
              <w:rPr>
                <w:iCs/>
                <w:noProof/>
                <w:color w:val="000000"/>
                <w:highlight w:val="black"/>
              </w:rPr>
              <w:t>''''''''''''''''''''''</w:t>
            </w:r>
          </w:p>
        </w:tc>
        <w:tc>
          <w:tcPr>
            <w:tcW w:w="635" w:type="pct"/>
            <w:tcBorders>
              <w:top w:val="nil"/>
            </w:tcBorders>
            <w:shd w:val="clear" w:color="auto" w:fill="FFFFFF" w:themeFill="background1"/>
            <w:vAlign w:val="center"/>
          </w:tcPr>
          <w:p w:rsidR="000B4D23" w:rsidRPr="006A083B" w:rsidRDefault="006A083B" w:rsidP="003B198C">
            <w:pPr>
              <w:pStyle w:val="TableText0"/>
              <w:keepLines/>
              <w:jc w:val="center"/>
              <w:rPr>
                <w:highlight w:val="black"/>
              </w:rPr>
            </w:pPr>
            <w:r>
              <w:rPr>
                <w:rFonts w:cs="Calibri"/>
                <w:noProof/>
                <w:color w:val="000000"/>
                <w:szCs w:val="20"/>
                <w:highlight w:val="black"/>
              </w:rPr>
              <w:t>'''''''''''''''''''''''</w:t>
            </w:r>
          </w:p>
        </w:tc>
        <w:tc>
          <w:tcPr>
            <w:tcW w:w="634" w:type="pct"/>
            <w:tcBorders>
              <w:top w:val="nil"/>
            </w:tcBorders>
            <w:shd w:val="clear" w:color="auto" w:fill="FFFFFF" w:themeFill="background1"/>
            <w:vAlign w:val="center"/>
          </w:tcPr>
          <w:p w:rsidR="000B4D23" w:rsidRPr="006A083B" w:rsidRDefault="006A083B" w:rsidP="003B198C">
            <w:pPr>
              <w:pStyle w:val="TableText0"/>
              <w:keepLines/>
              <w:jc w:val="center"/>
              <w:rPr>
                <w:highlight w:val="black"/>
              </w:rPr>
            </w:pPr>
            <w:r>
              <w:rPr>
                <w:rFonts w:cs="Calibri"/>
                <w:noProof/>
                <w:color w:val="000000"/>
                <w:szCs w:val="20"/>
                <w:highlight w:val="black"/>
              </w:rPr>
              <w:t>'''''''''''''''''''''</w:t>
            </w:r>
          </w:p>
        </w:tc>
      </w:tr>
    </w:tbl>
    <w:p w:rsidR="00B65A3B" w:rsidRPr="00EC6E05" w:rsidRDefault="00B65A3B" w:rsidP="00B65A3B">
      <w:pPr>
        <w:pStyle w:val="TableFigureFooter"/>
      </w:pPr>
      <w:proofErr w:type="gramStart"/>
      <w:r w:rsidRPr="00EC6E05">
        <w:t xml:space="preserve">Source: Table 2.4-1 p61 of the Submission; Table 3.4-9 p160 of the submission; Section 3 workbook, CMA </w:t>
      </w:r>
      <w:proofErr w:type="spellStart"/>
      <w:r w:rsidRPr="00EC6E05">
        <w:t>Avelumab</w:t>
      </w:r>
      <w:proofErr w:type="spellEnd"/>
      <w:r w:rsidRPr="00EC6E05">
        <w:t xml:space="preserve"> </w:t>
      </w:r>
      <w:proofErr w:type="spellStart"/>
      <w:r w:rsidRPr="00EC6E05">
        <w:t>Axitinib</w:t>
      </w:r>
      <w:proofErr w:type="spellEnd"/>
      <w:r w:rsidRPr="00EC6E05">
        <w:t xml:space="preserve"> vs </w:t>
      </w:r>
      <w:proofErr w:type="spellStart"/>
      <w:r w:rsidRPr="00EC6E05">
        <w:t>Nivolumab</w:t>
      </w:r>
      <w:proofErr w:type="spellEnd"/>
      <w:r w:rsidRPr="00EC6E05">
        <w:t xml:space="preserve"> Ipilimumab, spreadsheet "Trace - AVE + AXI", sum of cells S13 to S18; CMA </w:t>
      </w:r>
      <w:proofErr w:type="spellStart"/>
      <w:r w:rsidRPr="00EC6E05">
        <w:t>Avelumab</w:t>
      </w:r>
      <w:proofErr w:type="spellEnd"/>
      <w:r w:rsidRPr="00EC6E05">
        <w:t xml:space="preserve"> </w:t>
      </w:r>
      <w:proofErr w:type="spellStart"/>
      <w:r w:rsidRPr="00EC6E05">
        <w:t>Axitinib</w:t>
      </w:r>
      <w:proofErr w:type="spellEnd"/>
      <w:r w:rsidRPr="00EC6E05">
        <w:t xml:space="preserve"> vs </w:t>
      </w:r>
      <w:proofErr w:type="spellStart"/>
      <w:r w:rsidRPr="00EC6E05">
        <w:t>Nivolumab</w:t>
      </w:r>
      <w:proofErr w:type="spellEnd"/>
      <w:r w:rsidRPr="00EC6E05">
        <w:t xml:space="preserve"> Ipilimumab, spreadsheet "Trace - NIVO + IPI", sum of cells S13 to S18 and T13 to T18; Section 4 workbook, </w:t>
      </w:r>
      <w:proofErr w:type="spellStart"/>
      <w:r w:rsidRPr="00EC6E05">
        <w:t>Avelumab</w:t>
      </w:r>
      <w:proofErr w:type="spellEnd"/>
      <w:r w:rsidRPr="00EC6E05">
        <w:t xml:space="preserve"> </w:t>
      </w:r>
      <w:proofErr w:type="spellStart"/>
      <w:r w:rsidRPr="00EC6E05">
        <w:t>Axitinib</w:t>
      </w:r>
      <w:proofErr w:type="spellEnd"/>
      <w:r w:rsidRPr="00EC6E05">
        <w:t xml:space="preserve"> Predicted Use, spreadsheet "3a.</w:t>
      </w:r>
      <w:proofErr w:type="gramEnd"/>
      <w:r w:rsidRPr="00EC6E05">
        <w:t xml:space="preserve"> Scripts - new" cell F168, spreadsheet "4a. Scripts - changed" cell F264. </w:t>
      </w:r>
    </w:p>
    <w:p w:rsidR="006A2E66" w:rsidRPr="00EC6E05" w:rsidRDefault="00B65A3B" w:rsidP="00B65A3B">
      <w:pPr>
        <w:pStyle w:val="TableFigureFooter"/>
        <w:rPr>
          <w:iCs/>
        </w:rPr>
      </w:pPr>
      <w:r w:rsidRPr="00EC6E05">
        <w:rPr>
          <w:iCs/>
        </w:rPr>
        <w:t xml:space="preserve">This table only reflects drug acquisition costs. </w:t>
      </w:r>
    </w:p>
    <w:p w:rsidR="00B65A3B" w:rsidRPr="00EC6E05" w:rsidRDefault="006A2E66" w:rsidP="00B65A3B">
      <w:pPr>
        <w:pStyle w:val="TableFigureFooter"/>
      </w:pPr>
      <w:r w:rsidRPr="00EC6E05">
        <w:rPr>
          <w:iCs/>
        </w:rPr>
        <w:t xml:space="preserve"># </w:t>
      </w:r>
      <w:proofErr w:type="gramStart"/>
      <w:r w:rsidR="00B65A3B" w:rsidRPr="00EC6E05">
        <w:rPr>
          <w:iCs/>
        </w:rPr>
        <w:t>values</w:t>
      </w:r>
      <w:proofErr w:type="gramEnd"/>
      <w:r w:rsidR="00B65A3B" w:rsidRPr="00EC6E05">
        <w:rPr>
          <w:iCs/>
        </w:rPr>
        <w:t xml:space="preserve"> have been calculated.</w:t>
      </w:r>
    </w:p>
    <w:p w:rsidR="00B65A3B" w:rsidRPr="00EC6E05" w:rsidRDefault="00B65A3B" w:rsidP="00B65A3B">
      <w:pPr>
        <w:pStyle w:val="TableFigureFooter"/>
      </w:pPr>
      <w:proofErr w:type="gramStart"/>
      <w:r w:rsidRPr="00E433A2">
        <w:rPr>
          <w:vertAlign w:val="superscript"/>
        </w:rPr>
        <w:t>a</w:t>
      </w:r>
      <w:proofErr w:type="gramEnd"/>
      <w:r w:rsidRPr="00EC6E05">
        <w:t xml:space="preserve"> JAVELIN: </w:t>
      </w:r>
      <w:proofErr w:type="spellStart"/>
      <w:r w:rsidRPr="00EC6E05">
        <w:t>axitinib</w:t>
      </w:r>
      <w:proofErr w:type="spellEnd"/>
      <w:r w:rsidRPr="00EC6E05">
        <w:t xml:space="preserve"> starting dose was</w:t>
      </w:r>
      <w:r w:rsidRPr="00EC6E05">
        <w:rPr>
          <w:rFonts w:eastAsia="Calibri"/>
        </w:rPr>
        <w:t xml:space="preserve"> 5 mg BID; two dose escalations were permitted (7 mg and 10 mg) if able to tolerate at dose.</w:t>
      </w:r>
      <w:r w:rsidRPr="00EC6E05">
        <w:rPr>
          <w:rFonts w:eastAsia="Calibri"/>
          <w:iCs/>
        </w:rPr>
        <w:t xml:space="preserve"> </w:t>
      </w:r>
      <w:r w:rsidRPr="00EC6E05">
        <w:rPr>
          <w:rFonts w:eastAsia="Calibri"/>
        </w:rPr>
        <w:t xml:space="preserve">Two dose reductions </w:t>
      </w:r>
      <w:proofErr w:type="gramStart"/>
      <w:r w:rsidRPr="00EC6E05">
        <w:rPr>
          <w:rFonts w:eastAsia="Calibri"/>
        </w:rPr>
        <w:t>were permitted</w:t>
      </w:r>
      <w:proofErr w:type="gramEnd"/>
      <w:r w:rsidRPr="00EC6E05">
        <w:rPr>
          <w:rFonts w:eastAsia="Calibri"/>
        </w:rPr>
        <w:t xml:space="preserve"> to manage toxicity (decreased to 3 mg BID then 2 mg BID). </w:t>
      </w:r>
    </w:p>
    <w:p w:rsidR="00B65A3B" w:rsidRPr="00EC6E05" w:rsidRDefault="00B65A3B" w:rsidP="00B65A3B">
      <w:pPr>
        <w:pStyle w:val="TableFigureFooter"/>
      </w:pPr>
      <w:proofErr w:type="gramStart"/>
      <w:r w:rsidRPr="00E433A2">
        <w:rPr>
          <w:vertAlign w:val="superscript"/>
        </w:rPr>
        <w:t>b</w:t>
      </w:r>
      <w:proofErr w:type="gramEnd"/>
      <w:r w:rsidRPr="00EC6E05">
        <w:t xml:space="preserve"> The mean dose of </w:t>
      </w:r>
      <w:proofErr w:type="spellStart"/>
      <w:r w:rsidRPr="00EC6E05">
        <w:t>avelumab</w:t>
      </w:r>
      <w:proofErr w:type="spellEnd"/>
      <w:r w:rsidRPr="00EC6E05">
        <w:t xml:space="preserve"> was not reported in the CSR or associated publications. </w:t>
      </w:r>
    </w:p>
    <w:p w:rsidR="00B65A3B" w:rsidRPr="00EC6E05" w:rsidRDefault="00B65A3B" w:rsidP="00B65A3B">
      <w:pPr>
        <w:pStyle w:val="TableFigureFooter"/>
        <w:rPr>
          <w:szCs w:val="18"/>
        </w:rPr>
      </w:pPr>
      <w:proofErr w:type="gramStart"/>
      <w:r w:rsidRPr="00E433A2">
        <w:rPr>
          <w:vertAlign w:val="superscript"/>
        </w:rPr>
        <w:t>c</w:t>
      </w:r>
      <w:proofErr w:type="gramEnd"/>
      <w:r w:rsidRPr="00EC6E05">
        <w:t xml:space="preserve"> JAVELIN: mean duration of treatment were reported for IA2 data cut-off </w:t>
      </w:r>
      <w:r w:rsidRPr="00EC6E05">
        <w:rPr>
          <w:szCs w:val="18"/>
        </w:rPr>
        <w:t xml:space="preserve">28 January 2019. </w:t>
      </w:r>
    </w:p>
    <w:p w:rsidR="00B65A3B" w:rsidRPr="00EC6E05" w:rsidRDefault="00B65A3B" w:rsidP="00B65A3B">
      <w:pPr>
        <w:pStyle w:val="TableFigureFooter"/>
        <w:rPr>
          <w:szCs w:val="18"/>
        </w:rPr>
      </w:pPr>
      <w:proofErr w:type="gramStart"/>
      <w:r w:rsidRPr="00E433A2">
        <w:rPr>
          <w:szCs w:val="18"/>
          <w:vertAlign w:val="superscript"/>
        </w:rPr>
        <w:t>d</w:t>
      </w:r>
      <w:proofErr w:type="gramEnd"/>
      <w:r w:rsidRPr="00EC6E05">
        <w:rPr>
          <w:szCs w:val="18"/>
        </w:rPr>
        <w:t xml:space="preserve"> Using submission’s assumption that the average weight of patient is 83 kg. </w:t>
      </w:r>
    </w:p>
    <w:p w:rsidR="00B65A3B" w:rsidRPr="00EC6E05" w:rsidRDefault="00B65A3B" w:rsidP="00B65A3B">
      <w:pPr>
        <w:pStyle w:val="TableFigureFooter"/>
        <w:rPr>
          <w:szCs w:val="18"/>
        </w:rPr>
      </w:pPr>
      <w:proofErr w:type="gramStart"/>
      <w:r w:rsidRPr="00E433A2">
        <w:rPr>
          <w:szCs w:val="18"/>
          <w:vertAlign w:val="superscript"/>
        </w:rPr>
        <w:t>e</w:t>
      </w:r>
      <w:proofErr w:type="gramEnd"/>
      <w:r w:rsidRPr="00EC6E05">
        <w:rPr>
          <w:szCs w:val="18"/>
        </w:rPr>
        <w:t xml:space="preserve"> Weighted costs of treatment with </w:t>
      </w:r>
      <w:proofErr w:type="spellStart"/>
      <w:r w:rsidRPr="00EC6E05">
        <w:rPr>
          <w:szCs w:val="18"/>
        </w:rPr>
        <w:t>avelumab</w:t>
      </w:r>
      <w:proofErr w:type="spellEnd"/>
      <w:r w:rsidRPr="00EC6E05">
        <w:rPr>
          <w:szCs w:val="18"/>
        </w:rPr>
        <w:t xml:space="preserve"> </w:t>
      </w:r>
      <w:r w:rsidR="006A2E66" w:rsidRPr="00EC6E05">
        <w:rPr>
          <w:szCs w:val="18"/>
        </w:rPr>
        <w:t>S</w:t>
      </w:r>
      <w:r w:rsidRPr="00EC6E05">
        <w:t>ourced from Table 3.4-6 p158 of the Submission</w:t>
      </w:r>
      <w:r w:rsidRPr="00EC6E05">
        <w:rPr>
          <w:szCs w:val="18"/>
        </w:rPr>
        <w:t xml:space="preserve">. </w:t>
      </w:r>
    </w:p>
    <w:p w:rsidR="00B65A3B" w:rsidRPr="00EC6E05" w:rsidRDefault="00B65A3B" w:rsidP="00B65A3B">
      <w:pPr>
        <w:pStyle w:val="TableFigureFooter"/>
      </w:pPr>
      <w:proofErr w:type="gramStart"/>
      <w:r w:rsidRPr="00E433A2">
        <w:rPr>
          <w:szCs w:val="18"/>
          <w:vertAlign w:val="superscript"/>
        </w:rPr>
        <w:t>f</w:t>
      </w:r>
      <w:proofErr w:type="gramEnd"/>
      <w:r w:rsidRPr="00EC6E05">
        <w:rPr>
          <w:szCs w:val="18"/>
        </w:rPr>
        <w:t xml:space="preserve"> Weight costs of treatment with </w:t>
      </w:r>
      <w:proofErr w:type="spellStart"/>
      <w:r w:rsidRPr="00EC6E05">
        <w:rPr>
          <w:szCs w:val="18"/>
        </w:rPr>
        <w:t>nivolumab</w:t>
      </w:r>
      <w:proofErr w:type="spellEnd"/>
      <w:r w:rsidRPr="00EC6E05">
        <w:rPr>
          <w:szCs w:val="18"/>
        </w:rPr>
        <w:t xml:space="preserve"> and </w:t>
      </w:r>
      <w:proofErr w:type="spellStart"/>
      <w:r w:rsidRPr="00EC6E05">
        <w:rPr>
          <w:szCs w:val="18"/>
        </w:rPr>
        <w:t>ipilimumab</w:t>
      </w:r>
      <w:proofErr w:type="spellEnd"/>
      <w:r w:rsidRPr="00EC6E05">
        <w:rPr>
          <w:szCs w:val="18"/>
        </w:rPr>
        <w:t xml:space="preserve"> </w:t>
      </w:r>
      <w:r w:rsidR="006A2E66" w:rsidRPr="00EC6E05">
        <w:rPr>
          <w:szCs w:val="18"/>
        </w:rPr>
        <w:t>S</w:t>
      </w:r>
      <w:r w:rsidRPr="00EC6E05">
        <w:rPr>
          <w:szCs w:val="18"/>
        </w:rPr>
        <w:t xml:space="preserve">ourced from </w:t>
      </w:r>
      <w:r w:rsidRPr="00EC6E05">
        <w:t xml:space="preserve">Table 3.4-4 and Table 3.4-5 p157 of the Submission. </w:t>
      </w:r>
    </w:p>
    <w:p w:rsidR="00B65A3B" w:rsidRPr="00EC6E05" w:rsidRDefault="00B65A3B" w:rsidP="00B65A3B">
      <w:pPr>
        <w:pStyle w:val="TableFigureFooter"/>
      </w:pPr>
      <w:proofErr w:type="gramStart"/>
      <w:r w:rsidRPr="00E433A2">
        <w:rPr>
          <w:vertAlign w:val="superscript"/>
        </w:rPr>
        <w:t>g</w:t>
      </w:r>
      <w:proofErr w:type="gramEnd"/>
      <w:r w:rsidRPr="00EC6E05">
        <w:t xml:space="preserve"> Assumed 30 days in a month.</w:t>
      </w:r>
    </w:p>
    <w:p w:rsidR="00B65A3B" w:rsidRPr="008029BB" w:rsidRDefault="00B65A3B" w:rsidP="00B65A3B">
      <w:pPr>
        <w:pStyle w:val="TableFigureFooter"/>
      </w:pPr>
      <w:proofErr w:type="gramStart"/>
      <w:r w:rsidRPr="00E433A2">
        <w:rPr>
          <w:vertAlign w:val="superscript"/>
        </w:rPr>
        <w:t>h</w:t>
      </w:r>
      <w:proofErr w:type="gramEnd"/>
      <w:r w:rsidRPr="00EC6E05">
        <w:t xml:space="preserve"> Calculation: </w:t>
      </w:r>
      <w:r w:rsidR="006A083B">
        <w:rPr>
          <w:noProof/>
          <w:color w:val="000000"/>
          <w:highlight w:val="black"/>
        </w:rPr>
        <w:t>''''''''''' '''''''''''''' '' '''''' '' ''''''''''''''''''''''''</w:t>
      </w:r>
      <w:r w:rsidRPr="008029BB">
        <w:t xml:space="preserve"> </w:t>
      </w:r>
    </w:p>
    <w:p w:rsidR="00B65A3B" w:rsidRPr="008029BB" w:rsidRDefault="00EA1D1B" w:rsidP="00B65A3B">
      <w:pPr>
        <w:pStyle w:val="TableFigureFooter"/>
      </w:pPr>
      <w:proofErr w:type="spellStart"/>
      <w:r w:rsidRPr="008029BB">
        <w:rPr>
          <w:vertAlign w:val="superscript"/>
        </w:rPr>
        <w:t>i</w:t>
      </w:r>
      <w:proofErr w:type="spellEnd"/>
      <w:r w:rsidR="00B65A3B" w:rsidRPr="008029BB">
        <w:t xml:space="preserve"> Calculation: </w:t>
      </w:r>
      <w:r w:rsidR="006A083B">
        <w:rPr>
          <w:noProof/>
          <w:color w:val="000000"/>
          <w:highlight w:val="black"/>
        </w:rPr>
        <w:t>''''''''''''''' '''''''''''''' ''' '''''' '' ''''''' '' ''''''''''''''''''''''''</w:t>
      </w:r>
      <w:r w:rsidR="00B65A3B" w:rsidRPr="008029BB">
        <w:t xml:space="preserve"> </w:t>
      </w:r>
    </w:p>
    <w:p w:rsidR="00B65A3B" w:rsidRPr="008029BB" w:rsidRDefault="00B65A3B" w:rsidP="00B65A3B">
      <w:pPr>
        <w:pStyle w:val="TableFigureFooter"/>
      </w:pPr>
      <w:r w:rsidRPr="008029BB">
        <w:rPr>
          <w:vertAlign w:val="superscript"/>
        </w:rPr>
        <w:t>j</w:t>
      </w:r>
      <w:r w:rsidRPr="008029BB">
        <w:t xml:space="preserve"> Calculation: =</w:t>
      </w:r>
      <w:r w:rsidR="00E433A2" w:rsidRPr="008029BB">
        <w:t xml:space="preserve"> </w:t>
      </w:r>
      <w:r w:rsidR="006A083B">
        <w:rPr>
          <w:noProof/>
          <w:color w:val="000000"/>
          <w:highlight w:val="black"/>
        </w:rPr>
        <w:t>'''' '' '''''''''''''''''''''''' ''' ''''''' ''' ''''''''''''''''''''''''''''</w:t>
      </w:r>
    </w:p>
    <w:p w:rsidR="00B65A3B" w:rsidRPr="00EC6E05" w:rsidRDefault="00B65A3B" w:rsidP="00B65A3B">
      <w:pPr>
        <w:pStyle w:val="TableFigureFooter"/>
      </w:pPr>
      <w:proofErr w:type="gramStart"/>
      <w:r w:rsidRPr="008029BB">
        <w:rPr>
          <w:vertAlign w:val="superscript"/>
        </w:rPr>
        <w:t>k</w:t>
      </w:r>
      <w:proofErr w:type="gramEnd"/>
      <w:r w:rsidRPr="008029BB">
        <w:t xml:space="preserve"> Calculation: =</w:t>
      </w:r>
      <w:r w:rsidR="00E433A2" w:rsidRPr="008029BB">
        <w:t xml:space="preserve"> </w:t>
      </w:r>
      <w:r w:rsidR="006A083B">
        <w:rPr>
          <w:noProof/>
          <w:color w:val="000000"/>
          <w:highlight w:val="black"/>
        </w:rPr>
        <w:t>'''' ''' ''''''''''''''''''''''''''''''</w:t>
      </w:r>
    </w:p>
    <w:p w:rsidR="00704B60" w:rsidRPr="00EC6E05" w:rsidRDefault="00EA1D1B" w:rsidP="00B65A3B">
      <w:pPr>
        <w:pStyle w:val="TableFigureFooter"/>
      </w:pPr>
      <w:proofErr w:type="gramStart"/>
      <w:r w:rsidRPr="00E433A2">
        <w:rPr>
          <w:vertAlign w:val="superscript"/>
        </w:rPr>
        <w:t>l</w:t>
      </w:r>
      <w:proofErr w:type="gramEnd"/>
      <w:r w:rsidRPr="00EC6E05">
        <w:t xml:space="preserve"> Ipilimumab is only administered </w:t>
      </w:r>
      <w:r w:rsidR="00EE6023" w:rsidRPr="00EC6E05">
        <w:t>in</w:t>
      </w:r>
      <w:r w:rsidRPr="00EC6E05">
        <w:t xml:space="preserve"> four treatments</w:t>
      </w:r>
      <w:r w:rsidR="00EE6023" w:rsidRPr="00EC6E05">
        <w:t xml:space="preserve"> (12 weeks)</w:t>
      </w:r>
      <w:r w:rsidR="00951676" w:rsidRPr="00EC6E05">
        <w:t xml:space="preserve"> during induction and is not given as maintenance therapy. </w:t>
      </w:r>
    </w:p>
    <w:p w:rsidR="00704B60" w:rsidRPr="00EC6E05" w:rsidRDefault="00704B60" w:rsidP="00704B60">
      <w:pPr>
        <w:pStyle w:val="4-SubsectionHeading"/>
      </w:pPr>
      <w:bookmarkStart w:id="49" w:name="_Toc29800775"/>
      <w:bookmarkStart w:id="50" w:name="_Toc30600767"/>
      <w:r w:rsidRPr="00EC6E05">
        <w:t>Estimated PBS usage &amp; financial implications</w:t>
      </w:r>
      <w:bookmarkEnd w:id="49"/>
      <w:bookmarkEnd w:id="50"/>
    </w:p>
    <w:p w:rsidR="00B65A3B" w:rsidRPr="00EC6E05" w:rsidRDefault="00B65A3B" w:rsidP="00BF2EA7">
      <w:pPr>
        <w:pStyle w:val="3-BodyText"/>
        <w:rPr>
          <w:iCs/>
        </w:rPr>
      </w:pPr>
      <w:r w:rsidRPr="00EC6E05">
        <w:t xml:space="preserve">This submission </w:t>
      </w:r>
      <w:proofErr w:type="gramStart"/>
      <w:r w:rsidRPr="00EC6E05">
        <w:t>w</w:t>
      </w:r>
      <w:r w:rsidR="00205C7B" w:rsidRPr="00EC6E05">
        <w:t>as</w:t>
      </w:r>
      <w:r w:rsidRPr="00EC6E05">
        <w:t xml:space="preserve"> not considered</w:t>
      </w:r>
      <w:proofErr w:type="gramEnd"/>
      <w:r w:rsidRPr="00EC6E05">
        <w:t xml:space="preserve"> by DUSC</w:t>
      </w:r>
      <w:r w:rsidRPr="00EC6E05">
        <w:rPr>
          <w:color w:val="0070C0"/>
        </w:rPr>
        <w:t xml:space="preserve">. </w:t>
      </w:r>
    </w:p>
    <w:p w:rsidR="00B65A3B" w:rsidRPr="00EC6E05" w:rsidRDefault="00B65A3B" w:rsidP="00BF2EA7">
      <w:pPr>
        <w:pStyle w:val="3-BodyText"/>
        <w:rPr>
          <w:iCs/>
        </w:rPr>
      </w:pPr>
      <w:r w:rsidRPr="00EC6E05">
        <w:t>The submission used an epidemiological approach to estimate the use of AVE + AXI as first</w:t>
      </w:r>
      <w:r w:rsidR="00F036F0">
        <w:t>-</w:t>
      </w:r>
      <w:r w:rsidRPr="00EC6E05">
        <w:t xml:space="preserve">line therapy </w:t>
      </w:r>
      <w:proofErr w:type="gramStart"/>
      <w:r w:rsidRPr="00EC6E05">
        <w:t>for patients with advanced RCC</w:t>
      </w:r>
      <w:r w:rsidR="00F036F0">
        <w:t xml:space="preserve"> with intermediate to poor risk</w:t>
      </w:r>
      <w:proofErr w:type="gramEnd"/>
      <w:r w:rsidRPr="00EC6E05">
        <w:t xml:space="preserve">. </w:t>
      </w:r>
      <w:r w:rsidR="00F036F0">
        <w:t xml:space="preserve">Utilisation estimates </w:t>
      </w:r>
      <w:proofErr w:type="gramStart"/>
      <w:r w:rsidR="00F036F0">
        <w:t>were not provided</w:t>
      </w:r>
      <w:proofErr w:type="gramEnd"/>
      <w:r w:rsidR="00F036F0">
        <w:t xml:space="preserve"> for patients with favourable risk.</w:t>
      </w:r>
      <w:r w:rsidRPr="00EC6E05">
        <w:t xml:space="preserve"> </w:t>
      </w:r>
      <w:r w:rsidRPr="00EC6E05">
        <w:rPr>
          <w:iCs/>
        </w:rPr>
        <w:t xml:space="preserve">A summary of the key inputs used in the financial estimates </w:t>
      </w:r>
      <w:proofErr w:type="gramStart"/>
      <w:r w:rsidRPr="00EC6E05">
        <w:rPr>
          <w:iCs/>
        </w:rPr>
        <w:t>are provided</w:t>
      </w:r>
      <w:proofErr w:type="gramEnd"/>
      <w:r w:rsidRPr="00EC6E05">
        <w:rPr>
          <w:iCs/>
        </w:rPr>
        <w:t xml:space="preserve"> in Table </w:t>
      </w:r>
      <w:r w:rsidR="00704B60" w:rsidRPr="00EC6E05">
        <w:rPr>
          <w:iCs/>
        </w:rPr>
        <w:t>1</w:t>
      </w:r>
      <w:r w:rsidR="00291A90">
        <w:rPr>
          <w:iCs/>
        </w:rPr>
        <w:t>3</w:t>
      </w:r>
      <w:r w:rsidRPr="00EC6E05">
        <w:rPr>
          <w:iCs/>
        </w:rPr>
        <w:t xml:space="preserve">. </w:t>
      </w:r>
    </w:p>
    <w:p w:rsidR="00B65A3B" w:rsidRPr="00EC6E05" w:rsidRDefault="00B65A3B" w:rsidP="00B65A3B">
      <w:pPr>
        <w:pStyle w:val="TableFigureHeading"/>
        <w:rPr>
          <w:rStyle w:val="CommentReference"/>
          <w:b/>
          <w:szCs w:val="24"/>
        </w:rPr>
      </w:pPr>
      <w:r w:rsidRPr="00EC6E05">
        <w:rPr>
          <w:rStyle w:val="CommentReference"/>
          <w:b/>
          <w:szCs w:val="24"/>
        </w:rPr>
        <w:lastRenderedPageBreak/>
        <w:t xml:space="preserve">Table </w:t>
      </w:r>
      <w:r w:rsidR="00704B60" w:rsidRPr="00EC6E05">
        <w:rPr>
          <w:rStyle w:val="CommentReference"/>
          <w:b/>
          <w:szCs w:val="24"/>
        </w:rPr>
        <w:t>1</w:t>
      </w:r>
      <w:r w:rsidR="00291A90">
        <w:rPr>
          <w:rStyle w:val="CommentReference"/>
          <w:b/>
          <w:szCs w:val="24"/>
        </w:rPr>
        <w:t>3</w:t>
      </w:r>
      <w:r w:rsidRPr="00EC6E05">
        <w:rPr>
          <w:rStyle w:val="CommentReference"/>
          <w:b/>
          <w:szCs w:val="24"/>
        </w:rPr>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976"/>
        <w:gridCol w:w="2559"/>
        <w:gridCol w:w="2501"/>
      </w:tblGrid>
      <w:tr w:rsidR="00B65A3B" w:rsidRPr="00EC6E05" w:rsidTr="00B65A3B">
        <w:trPr>
          <w:tblHeader/>
        </w:trPr>
        <w:tc>
          <w:tcPr>
            <w:tcW w:w="1098" w:type="pct"/>
          </w:tcPr>
          <w:p w:rsidR="00B65A3B" w:rsidRPr="00EC6E05" w:rsidRDefault="00B65A3B" w:rsidP="00704B60">
            <w:pPr>
              <w:pStyle w:val="In-tableHeading"/>
              <w:keepNext w:val="0"/>
              <w:rPr>
                <w:lang w:val="en-AU"/>
              </w:rPr>
            </w:pPr>
            <w:r w:rsidRPr="00EC6E05">
              <w:rPr>
                <w:lang w:val="en-AU"/>
              </w:rPr>
              <w:t>Parameter</w:t>
            </w:r>
          </w:p>
        </w:tc>
        <w:tc>
          <w:tcPr>
            <w:tcW w:w="1096" w:type="pct"/>
          </w:tcPr>
          <w:p w:rsidR="00B65A3B" w:rsidRPr="00EC6E05" w:rsidRDefault="00B65A3B" w:rsidP="00704B60">
            <w:pPr>
              <w:pStyle w:val="In-tableHeading"/>
              <w:keepNext w:val="0"/>
              <w:rPr>
                <w:lang w:val="en-AU"/>
              </w:rPr>
            </w:pPr>
            <w:r w:rsidRPr="00EC6E05">
              <w:rPr>
                <w:lang w:val="en-AU"/>
              </w:rPr>
              <w:t>Value applied</w:t>
            </w:r>
          </w:p>
        </w:tc>
        <w:tc>
          <w:tcPr>
            <w:tcW w:w="1419" w:type="pct"/>
          </w:tcPr>
          <w:p w:rsidR="00B65A3B" w:rsidRPr="00EC6E05" w:rsidRDefault="00B65A3B" w:rsidP="00704B60">
            <w:pPr>
              <w:pStyle w:val="In-tableHeading"/>
              <w:keepNext w:val="0"/>
              <w:rPr>
                <w:lang w:val="en-AU"/>
              </w:rPr>
            </w:pPr>
            <w:r w:rsidRPr="00EC6E05">
              <w:rPr>
                <w:lang w:val="en-AU"/>
              </w:rPr>
              <w:t>Source</w:t>
            </w:r>
          </w:p>
        </w:tc>
        <w:tc>
          <w:tcPr>
            <w:tcW w:w="1387" w:type="pct"/>
          </w:tcPr>
          <w:p w:rsidR="00B65A3B" w:rsidRPr="00EC6E05" w:rsidRDefault="00B65A3B" w:rsidP="00704B60">
            <w:pPr>
              <w:pStyle w:val="In-tableHeading"/>
              <w:keepNext w:val="0"/>
              <w:rPr>
                <w:lang w:val="en-AU"/>
              </w:rPr>
            </w:pPr>
            <w:r w:rsidRPr="00EC6E05">
              <w:rPr>
                <w:lang w:val="en-AU"/>
              </w:rPr>
              <w:t>Comment</w:t>
            </w:r>
          </w:p>
        </w:tc>
      </w:tr>
      <w:tr w:rsidR="00B65A3B" w:rsidRPr="00EC6E05" w:rsidTr="00B65A3B">
        <w:tc>
          <w:tcPr>
            <w:tcW w:w="5000" w:type="pct"/>
            <w:gridSpan w:val="4"/>
          </w:tcPr>
          <w:p w:rsidR="00B65A3B" w:rsidRPr="004F2304" w:rsidRDefault="00B65A3B" w:rsidP="00704B60">
            <w:pPr>
              <w:pStyle w:val="In-tableHeading"/>
              <w:keepNext w:val="0"/>
              <w:rPr>
                <w:lang w:val="en-AU"/>
              </w:rPr>
            </w:pPr>
            <w:r w:rsidRPr="004F2304">
              <w:rPr>
                <w:lang w:val="en-AU"/>
              </w:rPr>
              <w:t>Eligible population</w:t>
            </w:r>
          </w:p>
        </w:tc>
      </w:tr>
      <w:tr w:rsidR="00B65A3B" w:rsidRPr="00EC6E05" w:rsidTr="00B65A3B">
        <w:tc>
          <w:tcPr>
            <w:tcW w:w="1098" w:type="pct"/>
          </w:tcPr>
          <w:p w:rsidR="00B65A3B" w:rsidRPr="004F2304" w:rsidRDefault="00B65A3B" w:rsidP="00704B60">
            <w:pPr>
              <w:pStyle w:val="TableText0"/>
              <w:keepNext w:val="0"/>
            </w:pPr>
            <w:r w:rsidRPr="004F2304">
              <w:t xml:space="preserve">Incident (total) patients </w:t>
            </w:r>
            <w:r w:rsidRPr="004F2304">
              <w:rPr>
                <w:iCs/>
              </w:rPr>
              <w:t xml:space="preserve">(with </w:t>
            </w:r>
            <w:proofErr w:type="spellStart"/>
            <w:r w:rsidRPr="004F2304">
              <w:rPr>
                <w:iCs/>
              </w:rPr>
              <w:t>aRCC</w:t>
            </w:r>
            <w:proofErr w:type="spellEnd"/>
            <w:r w:rsidRPr="004F2304">
              <w:rPr>
                <w:iCs/>
              </w:rPr>
              <w:t>).</w:t>
            </w:r>
            <w:r w:rsidRPr="004F2304">
              <w:t xml:space="preserve"> </w:t>
            </w:r>
          </w:p>
        </w:tc>
        <w:tc>
          <w:tcPr>
            <w:tcW w:w="1096" w:type="pct"/>
          </w:tcPr>
          <w:p w:rsidR="00B65A3B" w:rsidRPr="004F2304" w:rsidRDefault="006A083B" w:rsidP="00704B60">
            <w:pPr>
              <w:pStyle w:val="TableText0"/>
              <w:keepNext w:val="0"/>
            </w:pPr>
            <w:r>
              <w:rPr>
                <w:noProof/>
                <w:color w:val="000000"/>
                <w:highlight w:val="black"/>
              </w:rPr>
              <w:t>''''''''''</w:t>
            </w:r>
            <w:r w:rsidR="00B65A3B" w:rsidRPr="004F2304">
              <w:t xml:space="preserve"> </w:t>
            </w:r>
            <w:proofErr w:type="gramStart"/>
            <w:r w:rsidR="00B65A3B" w:rsidRPr="004F2304">
              <w:t>in</w:t>
            </w:r>
            <w:proofErr w:type="gramEnd"/>
            <w:r w:rsidR="00B65A3B" w:rsidRPr="004F2304">
              <w:t xml:space="preserve"> year 1 increasing to </w:t>
            </w:r>
            <w:r>
              <w:rPr>
                <w:noProof/>
                <w:color w:val="000000"/>
                <w:highlight w:val="black"/>
              </w:rPr>
              <w:t>''''''''''</w:t>
            </w:r>
            <w:r w:rsidR="00B65A3B" w:rsidRPr="004F2304">
              <w:t xml:space="preserve"> in year 6.</w:t>
            </w:r>
          </w:p>
        </w:tc>
        <w:tc>
          <w:tcPr>
            <w:tcW w:w="1419" w:type="pct"/>
          </w:tcPr>
          <w:p w:rsidR="00B65A3B" w:rsidRPr="00EC6E05" w:rsidRDefault="00B65A3B" w:rsidP="00704B60">
            <w:pPr>
              <w:pStyle w:val="TableText0"/>
              <w:keepNext w:val="0"/>
            </w:pPr>
            <w:r w:rsidRPr="008029BB">
              <w:t>10% PBS sample data (November 2009 to June 2019).</w:t>
            </w:r>
            <w:r w:rsidRPr="00EC6E05">
              <w:t xml:space="preserve"> </w:t>
            </w:r>
          </w:p>
        </w:tc>
        <w:tc>
          <w:tcPr>
            <w:tcW w:w="1387" w:type="pct"/>
          </w:tcPr>
          <w:p w:rsidR="00B65A3B" w:rsidRPr="00EC6E05" w:rsidRDefault="00B65A3B" w:rsidP="00704B60">
            <w:pPr>
              <w:pStyle w:val="TableText0"/>
              <w:keepNext w:val="0"/>
              <w:rPr>
                <w:iCs/>
              </w:rPr>
            </w:pPr>
            <w:r w:rsidRPr="00EC6E05">
              <w:rPr>
                <w:iCs/>
              </w:rPr>
              <w:t>This is reasonable.</w:t>
            </w:r>
          </w:p>
        </w:tc>
      </w:tr>
      <w:tr w:rsidR="00B65A3B" w:rsidRPr="00EC6E05" w:rsidTr="00B65A3B">
        <w:tc>
          <w:tcPr>
            <w:tcW w:w="1098" w:type="pct"/>
          </w:tcPr>
          <w:p w:rsidR="00B65A3B" w:rsidRPr="004F2304" w:rsidRDefault="00B65A3B" w:rsidP="00704B60">
            <w:pPr>
              <w:pStyle w:val="TableText0"/>
              <w:keepNext w:val="0"/>
            </w:pPr>
            <w:r w:rsidRPr="004F2304">
              <w:t xml:space="preserve">IMDC intermediate or poor risk criteria (%) </w:t>
            </w:r>
          </w:p>
        </w:tc>
        <w:tc>
          <w:tcPr>
            <w:tcW w:w="1096" w:type="pct"/>
          </w:tcPr>
          <w:p w:rsidR="00B65A3B" w:rsidRPr="004F2304" w:rsidRDefault="006A083B" w:rsidP="00704B60">
            <w:pPr>
              <w:pStyle w:val="TableText0"/>
              <w:keepNext w:val="0"/>
            </w:pPr>
            <w:r>
              <w:rPr>
                <w:noProof/>
                <w:color w:val="000000"/>
                <w:highlight w:val="black"/>
              </w:rPr>
              <w:t>''''''</w:t>
            </w:r>
            <w:r w:rsidR="00B65A3B" w:rsidRPr="004F2304">
              <w:t>%</w:t>
            </w:r>
          </w:p>
        </w:tc>
        <w:tc>
          <w:tcPr>
            <w:tcW w:w="1419" w:type="pct"/>
          </w:tcPr>
          <w:p w:rsidR="00B65A3B" w:rsidRPr="00EC6E05" w:rsidRDefault="00B65A3B" w:rsidP="00704B60">
            <w:pPr>
              <w:pStyle w:val="TableText0"/>
              <w:keepNext w:val="0"/>
            </w:pPr>
            <w:r w:rsidRPr="00EC6E05">
              <w:t xml:space="preserve">Distribution of patients enrolled in clinical trials: </w:t>
            </w:r>
          </w:p>
        </w:tc>
        <w:tc>
          <w:tcPr>
            <w:tcW w:w="1387" w:type="pct"/>
          </w:tcPr>
          <w:p w:rsidR="00B65A3B" w:rsidRPr="00EC6E05" w:rsidRDefault="00B65A3B" w:rsidP="00704B60">
            <w:pPr>
              <w:pStyle w:val="TableText0"/>
              <w:keepNext w:val="0"/>
              <w:rPr>
                <w:iCs/>
              </w:rPr>
            </w:pPr>
            <w:r w:rsidRPr="00EC6E05">
              <w:rPr>
                <w:iCs/>
              </w:rPr>
              <w:t xml:space="preserve">Tested in sensitivity analysis during the evaluation. </w:t>
            </w:r>
          </w:p>
          <w:p w:rsidR="00B65A3B" w:rsidRPr="00EC6E05" w:rsidRDefault="00712869" w:rsidP="00712869">
            <w:pPr>
              <w:pStyle w:val="TableText0"/>
              <w:keepNext w:val="0"/>
              <w:rPr>
                <w:iCs/>
              </w:rPr>
            </w:pPr>
            <w:r w:rsidRPr="00EC6E05">
              <w:rPr>
                <w:iCs/>
              </w:rPr>
              <w:t>P</w:t>
            </w:r>
            <w:r w:rsidR="00B65A3B" w:rsidRPr="00EC6E05">
              <w:rPr>
                <w:iCs/>
              </w:rPr>
              <w:t>atients with favourable IMDC prognostic risk</w:t>
            </w:r>
            <w:r w:rsidRPr="00EC6E05">
              <w:rPr>
                <w:iCs/>
              </w:rPr>
              <w:t xml:space="preserve"> </w:t>
            </w:r>
            <w:proofErr w:type="gramStart"/>
            <w:r w:rsidRPr="00EC6E05">
              <w:rPr>
                <w:iCs/>
              </w:rPr>
              <w:t>were excluded</w:t>
            </w:r>
            <w:proofErr w:type="gramEnd"/>
            <w:r w:rsidRPr="00EC6E05">
              <w:rPr>
                <w:iCs/>
              </w:rPr>
              <w:t xml:space="preserve"> from the financial estimates</w:t>
            </w:r>
            <w:r w:rsidR="00B65A3B" w:rsidRPr="00EC6E05">
              <w:rPr>
                <w:iCs/>
              </w:rPr>
              <w:t xml:space="preserve">. </w:t>
            </w:r>
          </w:p>
        </w:tc>
      </w:tr>
      <w:tr w:rsidR="00B65A3B" w:rsidRPr="00EC6E05" w:rsidTr="00B65A3B">
        <w:tc>
          <w:tcPr>
            <w:tcW w:w="5000" w:type="pct"/>
            <w:gridSpan w:val="4"/>
          </w:tcPr>
          <w:p w:rsidR="00B65A3B" w:rsidRPr="004F2304" w:rsidRDefault="00B65A3B" w:rsidP="00704B60">
            <w:pPr>
              <w:pStyle w:val="TableText0"/>
              <w:keepNext w:val="0"/>
              <w:rPr>
                <w:b/>
              </w:rPr>
            </w:pPr>
            <w:r w:rsidRPr="004F2304">
              <w:rPr>
                <w:b/>
              </w:rPr>
              <w:t>Treatment utilisation</w:t>
            </w:r>
          </w:p>
        </w:tc>
      </w:tr>
      <w:tr w:rsidR="00B65A3B" w:rsidRPr="00EC6E05" w:rsidTr="00B65A3B">
        <w:tc>
          <w:tcPr>
            <w:tcW w:w="1098" w:type="pct"/>
          </w:tcPr>
          <w:p w:rsidR="00B65A3B" w:rsidRPr="004F2304" w:rsidRDefault="00B65A3B" w:rsidP="00704B60">
            <w:pPr>
              <w:pStyle w:val="TableText0"/>
              <w:keepNext w:val="0"/>
              <w:rPr>
                <w:iCs/>
              </w:rPr>
            </w:pPr>
            <w:r w:rsidRPr="004F2304">
              <w:rPr>
                <w:iCs/>
              </w:rPr>
              <w:t>Uptake rate</w:t>
            </w:r>
          </w:p>
        </w:tc>
        <w:tc>
          <w:tcPr>
            <w:tcW w:w="1096" w:type="pct"/>
          </w:tcPr>
          <w:p w:rsidR="00B65A3B" w:rsidRPr="004F2304" w:rsidRDefault="006A083B" w:rsidP="00704B60">
            <w:pPr>
              <w:pStyle w:val="TableText0"/>
              <w:keepNext w:val="0"/>
              <w:rPr>
                <w:iCs/>
              </w:rPr>
            </w:pPr>
            <w:r>
              <w:rPr>
                <w:iCs/>
                <w:noProof/>
                <w:color w:val="000000"/>
                <w:highlight w:val="black"/>
              </w:rPr>
              <w:t>''''''</w:t>
            </w:r>
            <w:r w:rsidR="00B65A3B" w:rsidRPr="004F2304">
              <w:rPr>
                <w:iCs/>
              </w:rPr>
              <w:t xml:space="preserve">% in Year 1 increasing to </w:t>
            </w:r>
            <w:r>
              <w:rPr>
                <w:iCs/>
                <w:noProof/>
                <w:color w:val="000000"/>
                <w:highlight w:val="black"/>
              </w:rPr>
              <w:t>''''''</w:t>
            </w:r>
            <w:r w:rsidR="00B65A3B" w:rsidRPr="004F2304">
              <w:rPr>
                <w:iCs/>
              </w:rPr>
              <w:t>% in Year 6.</w:t>
            </w:r>
          </w:p>
        </w:tc>
        <w:tc>
          <w:tcPr>
            <w:tcW w:w="1419" w:type="pct"/>
          </w:tcPr>
          <w:p w:rsidR="00B65A3B" w:rsidRPr="00EC6E05" w:rsidRDefault="00B65A3B" w:rsidP="00704B60">
            <w:pPr>
              <w:pStyle w:val="TableText0"/>
              <w:keepNext w:val="0"/>
              <w:rPr>
                <w:iCs/>
              </w:rPr>
            </w:pPr>
            <w:r w:rsidRPr="00EC6E05">
              <w:rPr>
                <w:iCs/>
              </w:rPr>
              <w:t>Submission assumption.</w:t>
            </w:r>
          </w:p>
        </w:tc>
        <w:tc>
          <w:tcPr>
            <w:tcW w:w="1387" w:type="pct"/>
          </w:tcPr>
          <w:p w:rsidR="00B65A3B" w:rsidRPr="00EC6E05" w:rsidRDefault="00B65A3B" w:rsidP="00704B60">
            <w:pPr>
              <w:pStyle w:val="TableText0"/>
              <w:keepNext w:val="0"/>
              <w:rPr>
                <w:iCs/>
              </w:rPr>
            </w:pPr>
            <w:r w:rsidRPr="00EC6E05">
              <w:rPr>
                <w:iCs/>
              </w:rPr>
              <w:t xml:space="preserve">Tested in sensitivity analysis during evaluation. </w:t>
            </w:r>
          </w:p>
        </w:tc>
      </w:tr>
      <w:tr w:rsidR="00B65A3B" w:rsidRPr="00EC6E05" w:rsidTr="00B65A3B">
        <w:tc>
          <w:tcPr>
            <w:tcW w:w="1098" w:type="pct"/>
          </w:tcPr>
          <w:p w:rsidR="00B65A3B" w:rsidRPr="004F2304" w:rsidRDefault="00B65A3B" w:rsidP="00704B60">
            <w:pPr>
              <w:pStyle w:val="TableText0"/>
              <w:keepNext w:val="0"/>
              <w:rPr>
                <w:iCs/>
              </w:rPr>
            </w:pPr>
            <w:r w:rsidRPr="004F2304">
              <w:rPr>
                <w:iCs/>
              </w:rPr>
              <w:t>Average duration of treatment</w:t>
            </w:r>
          </w:p>
        </w:tc>
        <w:tc>
          <w:tcPr>
            <w:tcW w:w="1096" w:type="pct"/>
          </w:tcPr>
          <w:p w:rsidR="00B65A3B" w:rsidRPr="004F2304" w:rsidRDefault="006A083B" w:rsidP="00704B60">
            <w:pPr>
              <w:pStyle w:val="TableText0"/>
              <w:keepNext w:val="0"/>
            </w:pPr>
            <w:r>
              <w:rPr>
                <w:noProof/>
                <w:color w:val="000000"/>
                <w:highlight w:val="black"/>
              </w:rPr>
              <w:t>''''''''''''</w:t>
            </w:r>
            <w:r w:rsidR="00B65A3B" w:rsidRPr="004F2304">
              <w:t xml:space="preserve"> months</w:t>
            </w:r>
          </w:p>
        </w:tc>
        <w:tc>
          <w:tcPr>
            <w:tcW w:w="1419" w:type="pct"/>
          </w:tcPr>
          <w:p w:rsidR="00B65A3B" w:rsidRPr="00EC6E05" w:rsidRDefault="00B65A3B" w:rsidP="00704B60">
            <w:pPr>
              <w:pStyle w:val="TableText0"/>
              <w:keepNext w:val="0"/>
            </w:pPr>
            <w:r w:rsidRPr="00EC6E05">
              <w:rPr>
                <w:iCs/>
              </w:rPr>
              <w:t xml:space="preserve">Assumed to be the same for AVE + AXI and NIVO + IPI. </w:t>
            </w:r>
          </w:p>
        </w:tc>
        <w:tc>
          <w:tcPr>
            <w:tcW w:w="1387" w:type="pct"/>
          </w:tcPr>
          <w:p w:rsidR="00B65A3B" w:rsidRPr="00EC6E05" w:rsidRDefault="00B65A3B" w:rsidP="00704B60">
            <w:pPr>
              <w:pStyle w:val="TableText0"/>
              <w:keepNext w:val="0"/>
              <w:rPr>
                <w:iCs/>
              </w:rPr>
            </w:pPr>
            <w:r w:rsidRPr="00EC6E05">
              <w:rPr>
                <w:iCs/>
              </w:rPr>
              <w:t xml:space="preserve">Mean PFS in JAVELIN IA2 was 13.3 months (95% CI, 11.1, 15.3 months). </w:t>
            </w:r>
          </w:p>
        </w:tc>
      </w:tr>
      <w:tr w:rsidR="00B65A3B" w:rsidRPr="00EC6E05" w:rsidTr="00B65A3B">
        <w:tc>
          <w:tcPr>
            <w:tcW w:w="5000" w:type="pct"/>
            <w:gridSpan w:val="4"/>
          </w:tcPr>
          <w:p w:rsidR="00B65A3B" w:rsidRPr="004F2304" w:rsidRDefault="00B65A3B" w:rsidP="00704B60">
            <w:pPr>
              <w:pStyle w:val="TableText0"/>
              <w:keepNext w:val="0"/>
              <w:rPr>
                <w:b/>
              </w:rPr>
            </w:pPr>
            <w:r w:rsidRPr="004F2304">
              <w:rPr>
                <w:b/>
              </w:rPr>
              <w:t>Costs</w:t>
            </w:r>
          </w:p>
        </w:tc>
      </w:tr>
      <w:tr w:rsidR="00B65A3B" w:rsidRPr="00EC6E05" w:rsidTr="00B65A3B">
        <w:tc>
          <w:tcPr>
            <w:tcW w:w="1098" w:type="pct"/>
            <w:tcBorders>
              <w:bottom w:val="nil"/>
            </w:tcBorders>
          </w:tcPr>
          <w:p w:rsidR="00B65A3B" w:rsidRPr="00EC6E05" w:rsidRDefault="00B65A3B" w:rsidP="00704B60">
            <w:pPr>
              <w:pStyle w:val="TableText0"/>
              <w:keepNext w:val="0"/>
            </w:pPr>
            <w:r w:rsidRPr="00EC6E05">
              <w:t>MBS costs</w:t>
            </w:r>
          </w:p>
        </w:tc>
        <w:tc>
          <w:tcPr>
            <w:tcW w:w="1096" w:type="pct"/>
            <w:tcBorders>
              <w:bottom w:val="nil"/>
            </w:tcBorders>
          </w:tcPr>
          <w:p w:rsidR="00B65A3B" w:rsidRPr="00EC6E05" w:rsidRDefault="00B65A3B" w:rsidP="00704B60">
            <w:pPr>
              <w:pStyle w:val="TableText0"/>
              <w:keepNext w:val="0"/>
            </w:pPr>
          </w:p>
        </w:tc>
        <w:tc>
          <w:tcPr>
            <w:tcW w:w="1419" w:type="pct"/>
            <w:tcBorders>
              <w:bottom w:val="nil"/>
            </w:tcBorders>
          </w:tcPr>
          <w:p w:rsidR="00B65A3B" w:rsidRPr="00EC6E05" w:rsidRDefault="00B65A3B" w:rsidP="00704B60">
            <w:pPr>
              <w:pStyle w:val="TableText0"/>
            </w:pPr>
            <w:r w:rsidRPr="00EC6E05">
              <w:t>IV administration</w:t>
            </w:r>
          </w:p>
        </w:tc>
        <w:tc>
          <w:tcPr>
            <w:tcW w:w="1387" w:type="pct"/>
            <w:tcBorders>
              <w:bottom w:val="nil"/>
            </w:tcBorders>
          </w:tcPr>
          <w:p w:rsidR="00B65A3B" w:rsidRPr="00EC6E05" w:rsidRDefault="00B65A3B" w:rsidP="00704B60">
            <w:pPr>
              <w:pStyle w:val="TableText0"/>
              <w:keepNext w:val="0"/>
            </w:pPr>
          </w:p>
        </w:tc>
      </w:tr>
      <w:tr w:rsidR="00B65A3B" w:rsidRPr="00EC6E05" w:rsidTr="00B65A3B">
        <w:tc>
          <w:tcPr>
            <w:tcW w:w="1098" w:type="pct"/>
            <w:tcBorders>
              <w:top w:val="nil"/>
              <w:bottom w:val="nil"/>
            </w:tcBorders>
          </w:tcPr>
          <w:p w:rsidR="00B65A3B" w:rsidRPr="00EC6E05" w:rsidRDefault="00B65A3B" w:rsidP="00704B60">
            <w:pPr>
              <w:pStyle w:val="TableText0"/>
              <w:keepNext w:val="0"/>
            </w:pPr>
          </w:p>
        </w:tc>
        <w:tc>
          <w:tcPr>
            <w:tcW w:w="1096" w:type="pct"/>
            <w:tcBorders>
              <w:top w:val="nil"/>
              <w:bottom w:val="nil"/>
            </w:tcBorders>
          </w:tcPr>
          <w:p w:rsidR="00B65A3B" w:rsidRPr="00EC6E05" w:rsidRDefault="00B65A3B" w:rsidP="00704B60">
            <w:pPr>
              <w:pStyle w:val="TableText0"/>
              <w:keepNext w:val="0"/>
            </w:pPr>
            <w:r w:rsidRPr="00EC6E05">
              <w:t>$99.50</w:t>
            </w:r>
          </w:p>
        </w:tc>
        <w:tc>
          <w:tcPr>
            <w:tcW w:w="1419" w:type="pct"/>
            <w:tcBorders>
              <w:top w:val="nil"/>
              <w:bottom w:val="nil"/>
            </w:tcBorders>
          </w:tcPr>
          <w:p w:rsidR="00B65A3B" w:rsidRPr="00EC6E05" w:rsidRDefault="00B65A3B" w:rsidP="00704B60">
            <w:pPr>
              <w:pStyle w:val="TableText0"/>
            </w:pPr>
            <w:r w:rsidRPr="00EC6E05">
              <w:t xml:space="preserve">MBS Item 13918: duration ≥ 1 hour and &lt; 6 hours. </w:t>
            </w:r>
          </w:p>
        </w:tc>
        <w:tc>
          <w:tcPr>
            <w:tcW w:w="1387" w:type="pct"/>
            <w:tcBorders>
              <w:top w:val="nil"/>
              <w:bottom w:val="nil"/>
            </w:tcBorders>
          </w:tcPr>
          <w:p w:rsidR="00B65A3B" w:rsidRPr="00EC6E05" w:rsidRDefault="00B65A3B" w:rsidP="00704B60">
            <w:pPr>
              <w:pStyle w:val="TableText0"/>
              <w:keepNext w:val="0"/>
              <w:rPr>
                <w:iCs/>
              </w:rPr>
            </w:pPr>
            <w:r w:rsidRPr="00EC6E05">
              <w:rPr>
                <w:iCs/>
              </w:rPr>
              <w:t xml:space="preserve">This is reasonable. </w:t>
            </w:r>
          </w:p>
        </w:tc>
      </w:tr>
      <w:tr w:rsidR="00B65A3B" w:rsidRPr="00EC6E05" w:rsidTr="00B65A3B">
        <w:tc>
          <w:tcPr>
            <w:tcW w:w="1098" w:type="pct"/>
            <w:tcBorders>
              <w:top w:val="nil"/>
              <w:bottom w:val="nil"/>
            </w:tcBorders>
          </w:tcPr>
          <w:p w:rsidR="00B65A3B" w:rsidRPr="00EC6E05" w:rsidRDefault="00B65A3B" w:rsidP="00704B60">
            <w:pPr>
              <w:pStyle w:val="TableText0"/>
              <w:keepNext w:val="0"/>
            </w:pPr>
          </w:p>
        </w:tc>
        <w:tc>
          <w:tcPr>
            <w:tcW w:w="1096" w:type="pct"/>
            <w:tcBorders>
              <w:top w:val="nil"/>
              <w:bottom w:val="single" w:sz="4" w:space="0" w:color="auto"/>
            </w:tcBorders>
          </w:tcPr>
          <w:p w:rsidR="00B65A3B" w:rsidRPr="00EC6E05" w:rsidRDefault="00B65A3B" w:rsidP="00704B60">
            <w:pPr>
              <w:pStyle w:val="TableText0"/>
              <w:keepNext w:val="0"/>
            </w:pPr>
            <w:r w:rsidRPr="00EC6E05">
              <w:t>$66.10</w:t>
            </w:r>
          </w:p>
        </w:tc>
        <w:tc>
          <w:tcPr>
            <w:tcW w:w="1419" w:type="pct"/>
            <w:tcBorders>
              <w:top w:val="nil"/>
            </w:tcBorders>
          </w:tcPr>
          <w:p w:rsidR="00B65A3B" w:rsidRPr="00EC6E05" w:rsidRDefault="00B65A3B" w:rsidP="00704B60">
            <w:pPr>
              <w:pStyle w:val="TableText0"/>
            </w:pPr>
            <w:r w:rsidRPr="00EC6E05">
              <w:t>MBS Item 13915: duration &lt; 1-hour</w:t>
            </w:r>
          </w:p>
        </w:tc>
        <w:tc>
          <w:tcPr>
            <w:tcW w:w="1387" w:type="pct"/>
            <w:tcBorders>
              <w:top w:val="nil"/>
            </w:tcBorders>
          </w:tcPr>
          <w:p w:rsidR="00B65A3B" w:rsidRPr="00EC6E05" w:rsidRDefault="00B65A3B" w:rsidP="00704B60">
            <w:pPr>
              <w:pStyle w:val="TableText0"/>
              <w:keepNext w:val="0"/>
            </w:pPr>
          </w:p>
        </w:tc>
      </w:tr>
      <w:tr w:rsidR="00B65A3B" w:rsidRPr="00EC6E05" w:rsidTr="00B65A3B">
        <w:tc>
          <w:tcPr>
            <w:tcW w:w="1098" w:type="pct"/>
            <w:tcBorders>
              <w:top w:val="nil"/>
            </w:tcBorders>
          </w:tcPr>
          <w:p w:rsidR="00B65A3B" w:rsidRPr="00EC6E05" w:rsidRDefault="00B65A3B" w:rsidP="00704B60">
            <w:pPr>
              <w:pStyle w:val="TableText0"/>
              <w:keepNext w:val="0"/>
            </w:pPr>
          </w:p>
        </w:tc>
        <w:tc>
          <w:tcPr>
            <w:tcW w:w="1096" w:type="pct"/>
            <w:tcBorders>
              <w:top w:val="single" w:sz="4" w:space="0" w:color="auto"/>
            </w:tcBorders>
          </w:tcPr>
          <w:p w:rsidR="00B65A3B" w:rsidRPr="00EC6E05" w:rsidRDefault="00B65A3B" w:rsidP="00704B60">
            <w:pPr>
              <w:pStyle w:val="TableText0"/>
              <w:keepNext w:val="0"/>
            </w:pPr>
            <w:r w:rsidRPr="00EC6E05">
              <w:t>$77.90</w:t>
            </w:r>
          </w:p>
        </w:tc>
        <w:tc>
          <w:tcPr>
            <w:tcW w:w="1419" w:type="pct"/>
          </w:tcPr>
          <w:p w:rsidR="00B65A3B" w:rsidRPr="00EC6E05" w:rsidRDefault="00B65A3B" w:rsidP="00704B60">
            <w:pPr>
              <w:pStyle w:val="TableText0"/>
            </w:pPr>
            <w:r w:rsidRPr="00EC6E05">
              <w:t>MBS Item 116: Specialist visit</w:t>
            </w:r>
          </w:p>
        </w:tc>
        <w:tc>
          <w:tcPr>
            <w:tcW w:w="1387" w:type="pct"/>
          </w:tcPr>
          <w:p w:rsidR="00B65A3B" w:rsidRPr="00EC6E05" w:rsidRDefault="00B65A3B" w:rsidP="00704B60">
            <w:pPr>
              <w:pStyle w:val="TableText0"/>
              <w:keepNext w:val="0"/>
              <w:rPr>
                <w:iCs/>
              </w:rPr>
            </w:pPr>
            <w:r w:rsidRPr="00EC6E05">
              <w:rPr>
                <w:iCs/>
              </w:rPr>
              <w:t xml:space="preserve">This is reasonable. </w:t>
            </w:r>
          </w:p>
        </w:tc>
      </w:tr>
    </w:tbl>
    <w:p w:rsidR="00B65A3B" w:rsidRPr="00EC6E05" w:rsidRDefault="00B65A3B" w:rsidP="00B65A3B">
      <w:pPr>
        <w:pStyle w:val="TableFigureFooter"/>
      </w:pPr>
      <w:r w:rsidRPr="00EC6E05">
        <w:t>Source: Compiled during the evaluation using Table 4.1.1 p163, Table 4.1.3 p166, Table 4.1.7 p170Table 4.1.8 p170, Table 4.1.9 p171, Table 4.1.10 p171, Table 4.1.11 p172 of the submission.</w:t>
      </w:r>
    </w:p>
    <w:p w:rsidR="00B65A3B" w:rsidRPr="00EC6E05" w:rsidRDefault="00B65A3B" w:rsidP="00BF2EA7">
      <w:pPr>
        <w:pStyle w:val="3-BodyText"/>
      </w:pPr>
      <w:r w:rsidRPr="00EC6E05">
        <w:t xml:space="preserve">A summary of the estimated use and financial implications for listing AVE + AXI on the PBS </w:t>
      </w:r>
      <w:proofErr w:type="gramStart"/>
      <w:r w:rsidRPr="00EC6E05">
        <w:t>is presented</w:t>
      </w:r>
      <w:proofErr w:type="gramEnd"/>
      <w:r w:rsidRPr="00EC6E05">
        <w:t xml:space="preserve"> in Table </w:t>
      </w:r>
      <w:r w:rsidR="00704B60" w:rsidRPr="00EC6E05">
        <w:t>1</w:t>
      </w:r>
      <w:r w:rsidR="00291A90">
        <w:t>4</w:t>
      </w:r>
      <w:r w:rsidRPr="00EC6E05">
        <w:t xml:space="preserve">. </w:t>
      </w:r>
    </w:p>
    <w:p w:rsidR="00B65A3B" w:rsidRPr="00EC6E05" w:rsidRDefault="00B65A3B" w:rsidP="00712869">
      <w:pPr>
        <w:pStyle w:val="TableFigureHeading"/>
        <w:keepLines/>
      </w:pPr>
      <w:r w:rsidRPr="00EC6E05">
        <w:rPr>
          <w:rStyle w:val="CommentReference"/>
          <w:b/>
          <w:szCs w:val="24"/>
        </w:rPr>
        <w:lastRenderedPageBreak/>
        <w:t xml:space="preserve">Table </w:t>
      </w:r>
      <w:r w:rsidR="00704B60" w:rsidRPr="00EC6E05">
        <w:rPr>
          <w:rStyle w:val="CommentReference"/>
          <w:b/>
          <w:szCs w:val="24"/>
        </w:rPr>
        <w:t>1</w:t>
      </w:r>
      <w:r w:rsidR="00291A90">
        <w:rPr>
          <w:rStyle w:val="CommentReference"/>
          <w:b/>
          <w:szCs w:val="24"/>
        </w:rPr>
        <w:t>4</w:t>
      </w:r>
      <w:r w:rsidRPr="00EC6E05">
        <w:rPr>
          <w:rStyle w:val="CommentReference"/>
          <w:b/>
          <w:szCs w:val="24"/>
        </w:rPr>
        <w:t>: Estimated use and financial implications</w:t>
      </w:r>
      <w:r w:rsidR="008E5265" w:rsidRPr="00EC6E05">
        <w:rPr>
          <w:rStyle w:val="CommentReference"/>
          <w:b/>
          <w:szCs w:val="24"/>
        </w:rPr>
        <w:t xml:space="preserve"> (based on published prices)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0"/>
        <w:gridCol w:w="1166"/>
        <w:gridCol w:w="1167"/>
        <w:gridCol w:w="1167"/>
        <w:gridCol w:w="1167"/>
        <w:gridCol w:w="1167"/>
        <w:gridCol w:w="1172"/>
      </w:tblGrid>
      <w:tr w:rsidR="00B65A3B" w:rsidRPr="00EC6E05" w:rsidTr="00712869">
        <w:trPr>
          <w:tblHeader/>
        </w:trPr>
        <w:tc>
          <w:tcPr>
            <w:tcW w:w="1115" w:type="pct"/>
            <w:shd w:val="clear" w:color="auto" w:fill="auto"/>
            <w:vAlign w:val="center"/>
          </w:tcPr>
          <w:p w:rsidR="00B65A3B" w:rsidRPr="00EC6E05" w:rsidRDefault="00B65A3B" w:rsidP="00712869">
            <w:pPr>
              <w:pStyle w:val="In-tableHeading"/>
              <w:keepLines/>
              <w:widowControl w:val="0"/>
              <w:jc w:val="center"/>
              <w:rPr>
                <w:lang w:val="en-AU"/>
              </w:rPr>
            </w:pPr>
          </w:p>
        </w:tc>
        <w:tc>
          <w:tcPr>
            <w:tcW w:w="647" w:type="pct"/>
            <w:shd w:val="clear" w:color="auto" w:fill="auto"/>
            <w:vAlign w:val="center"/>
          </w:tcPr>
          <w:p w:rsidR="00B65A3B" w:rsidRPr="00EC6E05" w:rsidRDefault="00B65A3B" w:rsidP="00712869">
            <w:pPr>
              <w:pStyle w:val="In-tableHeading"/>
              <w:keepLines/>
              <w:widowControl w:val="0"/>
              <w:jc w:val="center"/>
              <w:rPr>
                <w:lang w:val="en-AU"/>
              </w:rPr>
            </w:pPr>
            <w:r w:rsidRPr="00EC6E05">
              <w:rPr>
                <w:lang w:val="en-AU"/>
              </w:rPr>
              <w:t>Year 1</w:t>
            </w:r>
          </w:p>
        </w:tc>
        <w:tc>
          <w:tcPr>
            <w:tcW w:w="647" w:type="pct"/>
            <w:shd w:val="clear" w:color="auto" w:fill="auto"/>
            <w:vAlign w:val="center"/>
          </w:tcPr>
          <w:p w:rsidR="00B65A3B" w:rsidRPr="00EC6E05" w:rsidRDefault="00B65A3B" w:rsidP="00712869">
            <w:pPr>
              <w:pStyle w:val="In-tableHeading"/>
              <w:keepLines/>
              <w:widowControl w:val="0"/>
              <w:jc w:val="center"/>
              <w:rPr>
                <w:lang w:val="en-AU"/>
              </w:rPr>
            </w:pPr>
            <w:r w:rsidRPr="00EC6E05">
              <w:rPr>
                <w:lang w:val="en-AU"/>
              </w:rPr>
              <w:t>Year 2</w:t>
            </w:r>
          </w:p>
        </w:tc>
        <w:tc>
          <w:tcPr>
            <w:tcW w:w="647" w:type="pct"/>
            <w:shd w:val="clear" w:color="auto" w:fill="auto"/>
            <w:vAlign w:val="center"/>
          </w:tcPr>
          <w:p w:rsidR="00B65A3B" w:rsidRPr="00EC6E05" w:rsidRDefault="00B65A3B" w:rsidP="00712869">
            <w:pPr>
              <w:pStyle w:val="In-tableHeading"/>
              <w:keepLines/>
              <w:widowControl w:val="0"/>
              <w:jc w:val="center"/>
              <w:rPr>
                <w:lang w:val="en-AU"/>
              </w:rPr>
            </w:pPr>
            <w:r w:rsidRPr="00EC6E05">
              <w:rPr>
                <w:lang w:val="en-AU"/>
              </w:rPr>
              <w:t>Year 3</w:t>
            </w:r>
          </w:p>
        </w:tc>
        <w:tc>
          <w:tcPr>
            <w:tcW w:w="647" w:type="pct"/>
            <w:shd w:val="clear" w:color="auto" w:fill="auto"/>
            <w:vAlign w:val="center"/>
          </w:tcPr>
          <w:p w:rsidR="00B65A3B" w:rsidRPr="00EC6E05" w:rsidRDefault="00B65A3B" w:rsidP="00712869">
            <w:pPr>
              <w:pStyle w:val="In-tableHeading"/>
              <w:keepLines/>
              <w:widowControl w:val="0"/>
              <w:jc w:val="center"/>
              <w:rPr>
                <w:lang w:val="en-AU"/>
              </w:rPr>
            </w:pPr>
            <w:r w:rsidRPr="00EC6E05">
              <w:rPr>
                <w:lang w:val="en-AU"/>
              </w:rPr>
              <w:t>Year 4</w:t>
            </w:r>
          </w:p>
        </w:tc>
        <w:tc>
          <w:tcPr>
            <w:tcW w:w="647" w:type="pct"/>
            <w:shd w:val="clear" w:color="auto" w:fill="auto"/>
            <w:vAlign w:val="center"/>
          </w:tcPr>
          <w:p w:rsidR="00B65A3B" w:rsidRPr="00EC6E05" w:rsidRDefault="00B65A3B" w:rsidP="00712869">
            <w:pPr>
              <w:pStyle w:val="In-tableHeading"/>
              <w:keepLines/>
              <w:widowControl w:val="0"/>
              <w:jc w:val="center"/>
              <w:rPr>
                <w:lang w:val="en-AU"/>
              </w:rPr>
            </w:pPr>
            <w:r w:rsidRPr="00EC6E05">
              <w:rPr>
                <w:lang w:val="en-AU"/>
              </w:rPr>
              <w:t>Year 5</w:t>
            </w:r>
          </w:p>
        </w:tc>
        <w:tc>
          <w:tcPr>
            <w:tcW w:w="649" w:type="pct"/>
          </w:tcPr>
          <w:p w:rsidR="00B65A3B" w:rsidRPr="00EC6E05" w:rsidRDefault="00B65A3B" w:rsidP="00712869">
            <w:pPr>
              <w:pStyle w:val="In-tableHeading"/>
              <w:keepLines/>
              <w:widowControl w:val="0"/>
              <w:jc w:val="center"/>
              <w:rPr>
                <w:lang w:val="en-AU"/>
              </w:rPr>
            </w:pPr>
            <w:r w:rsidRPr="00EC6E05">
              <w:rPr>
                <w:lang w:val="en-AU"/>
              </w:rPr>
              <w:t>Year 6</w:t>
            </w:r>
          </w:p>
        </w:tc>
      </w:tr>
      <w:tr w:rsidR="00B65A3B" w:rsidRPr="00EC6E05" w:rsidTr="00B65A3B">
        <w:tc>
          <w:tcPr>
            <w:tcW w:w="5000" w:type="pct"/>
            <w:gridSpan w:val="7"/>
            <w:shd w:val="clear" w:color="auto" w:fill="auto"/>
            <w:vAlign w:val="center"/>
          </w:tcPr>
          <w:p w:rsidR="00B65A3B" w:rsidRPr="00EC6E05" w:rsidRDefault="00B65A3B" w:rsidP="00712869">
            <w:pPr>
              <w:pStyle w:val="In-tableHeading"/>
              <w:keepLines/>
              <w:widowControl w:val="0"/>
              <w:rPr>
                <w:bCs/>
                <w:color w:val="000000"/>
                <w:lang w:val="en-AU"/>
              </w:rPr>
            </w:pPr>
            <w:r w:rsidRPr="00EC6E05">
              <w:rPr>
                <w:bCs/>
                <w:color w:val="000000"/>
                <w:lang w:val="en-AU"/>
              </w:rPr>
              <w:t>Estimated extent of use</w:t>
            </w:r>
          </w:p>
        </w:tc>
      </w:tr>
      <w:tr w:rsidR="00B65A3B" w:rsidRPr="00EC6E05" w:rsidTr="00712869">
        <w:tc>
          <w:tcPr>
            <w:tcW w:w="1115" w:type="pct"/>
            <w:shd w:val="clear" w:color="auto" w:fill="auto"/>
            <w:vAlign w:val="center"/>
          </w:tcPr>
          <w:p w:rsidR="00B65A3B" w:rsidRPr="00EC6E05" w:rsidRDefault="00B65A3B" w:rsidP="00712869">
            <w:pPr>
              <w:pStyle w:val="TableText0"/>
              <w:keepLines/>
              <w:widowControl w:val="0"/>
              <w:rPr>
                <w:rFonts w:ascii="Times" w:hAnsi="Times"/>
              </w:rPr>
            </w:pPr>
            <w:r w:rsidRPr="00EC6E05">
              <w:t>Number of patients treated</w:t>
            </w:r>
          </w:p>
        </w:tc>
        <w:tc>
          <w:tcPr>
            <w:tcW w:w="647" w:type="pct"/>
            <w:shd w:val="clear" w:color="auto" w:fill="auto"/>
            <w:vAlign w:val="center"/>
          </w:tcPr>
          <w:p w:rsidR="00B65A3B" w:rsidRPr="006A083B" w:rsidRDefault="006A083B" w:rsidP="00712869">
            <w:pPr>
              <w:pStyle w:val="TableText0"/>
              <w:keepLines/>
              <w:widowControl w:val="0"/>
              <w:jc w:val="center"/>
              <w:rPr>
                <w:color w:val="000000"/>
                <w:highlight w:val="black"/>
              </w:rPr>
            </w:pPr>
            <w:r>
              <w:rPr>
                <w:noProof/>
                <w:color w:val="000000"/>
                <w:highlight w:val="black"/>
              </w:rPr>
              <w:t>'''''''''</w:t>
            </w:r>
          </w:p>
        </w:tc>
        <w:tc>
          <w:tcPr>
            <w:tcW w:w="647" w:type="pct"/>
            <w:shd w:val="clear" w:color="auto" w:fill="auto"/>
            <w:vAlign w:val="center"/>
          </w:tcPr>
          <w:p w:rsidR="00B65A3B" w:rsidRPr="006A083B" w:rsidRDefault="006A083B" w:rsidP="00712869">
            <w:pPr>
              <w:pStyle w:val="TableText0"/>
              <w:keepLines/>
              <w:widowControl w:val="0"/>
              <w:jc w:val="center"/>
              <w:rPr>
                <w:color w:val="000000"/>
                <w:highlight w:val="black"/>
              </w:rPr>
            </w:pPr>
            <w:r>
              <w:rPr>
                <w:noProof/>
                <w:color w:val="000000"/>
                <w:highlight w:val="black"/>
              </w:rPr>
              <w:t>'''''''''</w:t>
            </w:r>
          </w:p>
        </w:tc>
        <w:tc>
          <w:tcPr>
            <w:tcW w:w="647" w:type="pct"/>
            <w:shd w:val="clear" w:color="auto" w:fill="auto"/>
            <w:vAlign w:val="center"/>
          </w:tcPr>
          <w:p w:rsidR="00B65A3B" w:rsidRPr="006A083B" w:rsidRDefault="006A083B" w:rsidP="00712869">
            <w:pPr>
              <w:pStyle w:val="TableText0"/>
              <w:keepLines/>
              <w:widowControl w:val="0"/>
              <w:jc w:val="center"/>
              <w:rPr>
                <w:color w:val="000000"/>
                <w:highlight w:val="black"/>
              </w:rPr>
            </w:pPr>
            <w:r>
              <w:rPr>
                <w:noProof/>
                <w:color w:val="000000"/>
                <w:highlight w:val="black"/>
              </w:rPr>
              <w:t>'''''''''</w:t>
            </w:r>
          </w:p>
        </w:tc>
        <w:tc>
          <w:tcPr>
            <w:tcW w:w="647" w:type="pct"/>
            <w:shd w:val="clear" w:color="auto" w:fill="auto"/>
            <w:vAlign w:val="center"/>
          </w:tcPr>
          <w:p w:rsidR="00B65A3B" w:rsidRPr="006A083B" w:rsidRDefault="006A083B" w:rsidP="00712869">
            <w:pPr>
              <w:pStyle w:val="TableText0"/>
              <w:keepLines/>
              <w:widowControl w:val="0"/>
              <w:jc w:val="center"/>
              <w:rPr>
                <w:color w:val="000000"/>
                <w:highlight w:val="black"/>
              </w:rPr>
            </w:pPr>
            <w:r>
              <w:rPr>
                <w:noProof/>
                <w:color w:val="000000"/>
                <w:highlight w:val="black"/>
              </w:rPr>
              <w:t>''''''''</w:t>
            </w:r>
          </w:p>
        </w:tc>
        <w:tc>
          <w:tcPr>
            <w:tcW w:w="647" w:type="pct"/>
            <w:shd w:val="clear" w:color="auto" w:fill="auto"/>
            <w:vAlign w:val="center"/>
          </w:tcPr>
          <w:p w:rsidR="00B65A3B" w:rsidRPr="006A083B" w:rsidRDefault="006A083B" w:rsidP="00712869">
            <w:pPr>
              <w:pStyle w:val="TableText0"/>
              <w:keepLines/>
              <w:widowControl w:val="0"/>
              <w:jc w:val="center"/>
              <w:rPr>
                <w:color w:val="000000"/>
                <w:highlight w:val="black"/>
              </w:rPr>
            </w:pPr>
            <w:r>
              <w:rPr>
                <w:noProof/>
                <w:color w:val="000000"/>
                <w:highlight w:val="black"/>
              </w:rPr>
              <w:t>''''''''''</w:t>
            </w:r>
          </w:p>
        </w:tc>
        <w:tc>
          <w:tcPr>
            <w:tcW w:w="649" w:type="pct"/>
            <w:vAlign w:val="center"/>
          </w:tcPr>
          <w:p w:rsidR="00B65A3B" w:rsidRPr="006A083B" w:rsidRDefault="006A083B" w:rsidP="00712869">
            <w:pPr>
              <w:pStyle w:val="TableText0"/>
              <w:keepLines/>
              <w:widowControl w:val="0"/>
              <w:jc w:val="center"/>
              <w:rPr>
                <w:color w:val="000000"/>
                <w:highlight w:val="black"/>
              </w:rPr>
            </w:pPr>
            <w:r>
              <w:rPr>
                <w:noProof/>
                <w:color w:val="000000"/>
                <w:highlight w:val="black"/>
              </w:rPr>
              <w:t>''''''''''</w:t>
            </w:r>
          </w:p>
        </w:tc>
      </w:tr>
      <w:tr w:rsidR="00B65A3B" w:rsidRPr="00EC6E05" w:rsidTr="00712869">
        <w:tc>
          <w:tcPr>
            <w:tcW w:w="1115" w:type="pct"/>
            <w:shd w:val="clear" w:color="auto" w:fill="auto"/>
            <w:vAlign w:val="center"/>
          </w:tcPr>
          <w:p w:rsidR="00B65A3B" w:rsidRPr="00EC6E05" w:rsidRDefault="00B65A3B" w:rsidP="00712869">
            <w:pPr>
              <w:pStyle w:val="TableText0"/>
              <w:keepLines/>
              <w:widowControl w:val="0"/>
              <w:rPr>
                <w:rFonts w:ascii="Times" w:hAnsi="Times"/>
              </w:rPr>
            </w:pPr>
            <w:r w:rsidRPr="00EC6E05">
              <w:t xml:space="preserve">Number of scripts </w:t>
            </w:r>
            <w:proofErr w:type="spellStart"/>
            <w:r w:rsidRPr="00EC6E05">
              <w:t>dispensed</w:t>
            </w:r>
            <w:r w:rsidRPr="00EC6E05">
              <w:rPr>
                <w:vertAlign w:val="superscript"/>
              </w:rPr>
              <w:t>a</w:t>
            </w:r>
            <w:proofErr w:type="spellEnd"/>
          </w:p>
        </w:tc>
        <w:tc>
          <w:tcPr>
            <w:tcW w:w="647" w:type="pct"/>
            <w:shd w:val="clear" w:color="auto" w:fill="auto"/>
          </w:tcPr>
          <w:p w:rsidR="00B65A3B" w:rsidRPr="006A083B" w:rsidRDefault="006A083B" w:rsidP="00712869">
            <w:pPr>
              <w:pStyle w:val="TableText0"/>
              <w:keepLines/>
              <w:widowControl w:val="0"/>
              <w:jc w:val="center"/>
              <w:rPr>
                <w:color w:val="000000"/>
                <w:highlight w:val="black"/>
              </w:rPr>
            </w:pPr>
            <w:r>
              <w:rPr>
                <w:noProof/>
                <w:color w:val="000000"/>
                <w:highlight w:val="black"/>
              </w:rPr>
              <w:t>''''''''''''''</w:t>
            </w:r>
          </w:p>
        </w:tc>
        <w:tc>
          <w:tcPr>
            <w:tcW w:w="647" w:type="pct"/>
            <w:shd w:val="clear" w:color="auto" w:fill="auto"/>
          </w:tcPr>
          <w:p w:rsidR="00B65A3B" w:rsidRPr="006A083B" w:rsidRDefault="006A083B" w:rsidP="00712869">
            <w:pPr>
              <w:pStyle w:val="TableText0"/>
              <w:keepLines/>
              <w:widowControl w:val="0"/>
              <w:jc w:val="center"/>
              <w:rPr>
                <w:color w:val="000000"/>
                <w:highlight w:val="black"/>
              </w:rPr>
            </w:pPr>
            <w:r>
              <w:rPr>
                <w:noProof/>
                <w:color w:val="000000"/>
                <w:highlight w:val="black"/>
              </w:rPr>
              <w:t>''''''''''''''</w:t>
            </w:r>
          </w:p>
        </w:tc>
        <w:tc>
          <w:tcPr>
            <w:tcW w:w="647" w:type="pct"/>
            <w:shd w:val="clear" w:color="auto" w:fill="auto"/>
          </w:tcPr>
          <w:p w:rsidR="00B65A3B" w:rsidRPr="006A083B" w:rsidRDefault="006A083B" w:rsidP="00712869">
            <w:pPr>
              <w:pStyle w:val="TableText0"/>
              <w:keepLines/>
              <w:widowControl w:val="0"/>
              <w:jc w:val="center"/>
              <w:rPr>
                <w:color w:val="000000"/>
                <w:highlight w:val="black"/>
              </w:rPr>
            </w:pPr>
            <w:r>
              <w:rPr>
                <w:noProof/>
                <w:color w:val="000000"/>
                <w:highlight w:val="black"/>
              </w:rPr>
              <w:t>''''''''''''''</w:t>
            </w:r>
          </w:p>
        </w:tc>
        <w:tc>
          <w:tcPr>
            <w:tcW w:w="647" w:type="pct"/>
            <w:shd w:val="clear" w:color="auto" w:fill="auto"/>
          </w:tcPr>
          <w:p w:rsidR="00B65A3B" w:rsidRPr="006A083B" w:rsidRDefault="006A083B" w:rsidP="00712869">
            <w:pPr>
              <w:pStyle w:val="TableText0"/>
              <w:keepLines/>
              <w:widowControl w:val="0"/>
              <w:jc w:val="center"/>
              <w:rPr>
                <w:color w:val="000000"/>
                <w:highlight w:val="black"/>
              </w:rPr>
            </w:pPr>
            <w:r>
              <w:rPr>
                <w:noProof/>
                <w:color w:val="000000"/>
                <w:highlight w:val="black"/>
              </w:rPr>
              <w:t>''''''''''''''''''</w:t>
            </w:r>
          </w:p>
        </w:tc>
        <w:tc>
          <w:tcPr>
            <w:tcW w:w="647" w:type="pct"/>
            <w:shd w:val="clear" w:color="auto" w:fill="auto"/>
          </w:tcPr>
          <w:p w:rsidR="00B65A3B" w:rsidRPr="006A083B" w:rsidRDefault="006A083B" w:rsidP="00712869">
            <w:pPr>
              <w:pStyle w:val="TableText0"/>
              <w:keepLines/>
              <w:widowControl w:val="0"/>
              <w:jc w:val="center"/>
              <w:rPr>
                <w:color w:val="000000"/>
                <w:highlight w:val="black"/>
              </w:rPr>
            </w:pPr>
            <w:r>
              <w:rPr>
                <w:noProof/>
                <w:color w:val="000000"/>
                <w:highlight w:val="black"/>
              </w:rPr>
              <w:t>'''''''''''''''</w:t>
            </w:r>
          </w:p>
        </w:tc>
        <w:tc>
          <w:tcPr>
            <w:tcW w:w="649" w:type="pct"/>
          </w:tcPr>
          <w:p w:rsidR="00B65A3B" w:rsidRPr="006A083B" w:rsidRDefault="006A083B" w:rsidP="00712869">
            <w:pPr>
              <w:pStyle w:val="TableText0"/>
              <w:keepLines/>
              <w:widowControl w:val="0"/>
              <w:jc w:val="center"/>
              <w:rPr>
                <w:color w:val="000000"/>
                <w:highlight w:val="black"/>
              </w:rPr>
            </w:pPr>
            <w:r>
              <w:rPr>
                <w:noProof/>
                <w:color w:val="000000"/>
                <w:highlight w:val="black"/>
              </w:rPr>
              <w:t>''''''''''''''''''</w:t>
            </w:r>
          </w:p>
        </w:tc>
      </w:tr>
      <w:tr w:rsidR="00B65A3B" w:rsidRPr="00EC6E05" w:rsidTr="00B65A3B">
        <w:tc>
          <w:tcPr>
            <w:tcW w:w="5000" w:type="pct"/>
            <w:gridSpan w:val="7"/>
            <w:shd w:val="clear" w:color="auto" w:fill="auto"/>
            <w:vAlign w:val="center"/>
          </w:tcPr>
          <w:p w:rsidR="00B65A3B" w:rsidRPr="00EC6E05" w:rsidRDefault="00B65A3B" w:rsidP="00712869">
            <w:pPr>
              <w:pStyle w:val="In-tableHeading"/>
              <w:keepLines/>
              <w:widowControl w:val="0"/>
              <w:rPr>
                <w:lang w:val="en-AU"/>
              </w:rPr>
            </w:pPr>
            <w:r w:rsidRPr="00EC6E05">
              <w:rPr>
                <w:lang w:val="en-AU"/>
              </w:rPr>
              <w:t>Estimated financial implications of AVE + AXI</w:t>
            </w:r>
          </w:p>
        </w:tc>
      </w:tr>
      <w:tr w:rsidR="00B65A3B" w:rsidRPr="00EC6E05" w:rsidTr="00712869">
        <w:tc>
          <w:tcPr>
            <w:tcW w:w="1115" w:type="pct"/>
            <w:shd w:val="clear" w:color="auto" w:fill="auto"/>
            <w:vAlign w:val="center"/>
          </w:tcPr>
          <w:p w:rsidR="00B65A3B" w:rsidRPr="00EC6E05" w:rsidRDefault="00B65A3B" w:rsidP="00712869">
            <w:pPr>
              <w:pStyle w:val="TableText0"/>
              <w:keepLines/>
              <w:widowControl w:val="0"/>
              <w:rPr>
                <w:sz w:val="19"/>
                <w:szCs w:val="19"/>
              </w:rPr>
            </w:pPr>
            <w:r w:rsidRPr="00EC6E05">
              <w:rPr>
                <w:sz w:val="19"/>
                <w:szCs w:val="19"/>
              </w:rPr>
              <w:t xml:space="preserve">Cost to PBS/RPBS less </w:t>
            </w:r>
            <w:proofErr w:type="spellStart"/>
            <w:r w:rsidRPr="00EC6E05">
              <w:rPr>
                <w:sz w:val="19"/>
                <w:szCs w:val="19"/>
              </w:rPr>
              <w:t>copayments</w:t>
            </w:r>
            <w:proofErr w:type="spellEnd"/>
          </w:p>
        </w:tc>
        <w:tc>
          <w:tcPr>
            <w:tcW w:w="647" w:type="pct"/>
            <w:shd w:val="clear" w:color="auto" w:fill="auto"/>
          </w:tcPr>
          <w:p w:rsidR="00B65A3B" w:rsidRPr="00EC6E05" w:rsidRDefault="00B65A3B" w:rsidP="00712869">
            <w:pPr>
              <w:pStyle w:val="TableText0"/>
              <w:keepLines/>
              <w:widowControl w:val="0"/>
              <w:jc w:val="center"/>
            </w:pPr>
            <w:r w:rsidRPr="00EC6E05">
              <w:t>$</w:t>
            </w:r>
            <w:r w:rsidR="006A083B">
              <w:rPr>
                <w:noProof/>
                <w:color w:val="000000"/>
                <w:highlight w:val="black"/>
              </w:rPr>
              <w:t>''''''''''''''''''''''''''</w:t>
            </w:r>
          </w:p>
        </w:tc>
        <w:tc>
          <w:tcPr>
            <w:tcW w:w="647" w:type="pct"/>
            <w:shd w:val="clear" w:color="auto" w:fill="auto"/>
          </w:tcPr>
          <w:p w:rsidR="00B65A3B" w:rsidRPr="00EC6E05" w:rsidRDefault="00B65A3B" w:rsidP="00712869">
            <w:pPr>
              <w:pStyle w:val="TableText0"/>
              <w:keepLines/>
              <w:widowControl w:val="0"/>
              <w:jc w:val="center"/>
            </w:pPr>
            <w:r w:rsidRPr="00EC6E05">
              <w:t>$</w:t>
            </w:r>
            <w:r w:rsidR="006A083B">
              <w:rPr>
                <w:noProof/>
                <w:color w:val="000000"/>
                <w:highlight w:val="black"/>
              </w:rPr>
              <w:t>'''''''''''''''''''''''''''</w:t>
            </w:r>
          </w:p>
        </w:tc>
        <w:tc>
          <w:tcPr>
            <w:tcW w:w="647" w:type="pct"/>
            <w:shd w:val="clear" w:color="auto" w:fill="auto"/>
          </w:tcPr>
          <w:p w:rsidR="00B65A3B" w:rsidRPr="00EC6E05" w:rsidRDefault="00B65A3B" w:rsidP="00712869">
            <w:pPr>
              <w:pStyle w:val="TableText0"/>
              <w:keepLines/>
              <w:widowControl w:val="0"/>
              <w:jc w:val="center"/>
            </w:pPr>
            <w:r w:rsidRPr="00EC6E05">
              <w:t>$</w:t>
            </w:r>
            <w:r w:rsidR="006A083B">
              <w:rPr>
                <w:noProof/>
                <w:color w:val="000000"/>
                <w:highlight w:val="black"/>
              </w:rPr>
              <w:t>'''''''''''''''''''''''''''''</w:t>
            </w:r>
          </w:p>
        </w:tc>
        <w:tc>
          <w:tcPr>
            <w:tcW w:w="647" w:type="pct"/>
            <w:shd w:val="clear" w:color="auto" w:fill="auto"/>
          </w:tcPr>
          <w:p w:rsidR="00B65A3B" w:rsidRPr="00EC6E05" w:rsidRDefault="00B65A3B" w:rsidP="00712869">
            <w:pPr>
              <w:pStyle w:val="TableText0"/>
              <w:keepLines/>
              <w:widowControl w:val="0"/>
              <w:jc w:val="center"/>
            </w:pPr>
            <w:r w:rsidRPr="00EC6E05">
              <w:t>$</w:t>
            </w:r>
            <w:r w:rsidR="006A083B">
              <w:rPr>
                <w:noProof/>
                <w:color w:val="000000"/>
                <w:highlight w:val="black"/>
              </w:rPr>
              <w:t>''''''''''''''''''''''''</w:t>
            </w:r>
          </w:p>
        </w:tc>
        <w:tc>
          <w:tcPr>
            <w:tcW w:w="647" w:type="pct"/>
            <w:shd w:val="clear" w:color="auto" w:fill="auto"/>
          </w:tcPr>
          <w:p w:rsidR="00B65A3B" w:rsidRPr="00EC6E05" w:rsidRDefault="00B65A3B" w:rsidP="00712869">
            <w:pPr>
              <w:pStyle w:val="TableText0"/>
              <w:keepLines/>
              <w:widowControl w:val="0"/>
              <w:jc w:val="center"/>
            </w:pPr>
            <w:r w:rsidRPr="00EC6E05">
              <w:t>$</w:t>
            </w:r>
            <w:r w:rsidR="006A083B">
              <w:rPr>
                <w:noProof/>
                <w:color w:val="000000"/>
                <w:highlight w:val="black"/>
              </w:rPr>
              <w:t>''''''''''''''''''''''''</w:t>
            </w:r>
          </w:p>
        </w:tc>
        <w:tc>
          <w:tcPr>
            <w:tcW w:w="649" w:type="pct"/>
          </w:tcPr>
          <w:p w:rsidR="00B65A3B" w:rsidRPr="00EC6E05" w:rsidRDefault="00B65A3B" w:rsidP="00712869">
            <w:pPr>
              <w:pStyle w:val="TableText0"/>
              <w:keepLines/>
              <w:widowControl w:val="0"/>
              <w:jc w:val="center"/>
            </w:pPr>
            <w:r w:rsidRPr="00EC6E05">
              <w:t>$</w:t>
            </w:r>
            <w:r w:rsidR="006A083B">
              <w:rPr>
                <w:noProof/>
                <w:color w:val="000000"/>
                <w:highlight w:val="black"/>
              </w:rPr>
              <w:t>'''''''''''''''''''''''''''</w:t>
            </w:r>
          </w:p>
        </w:tc>
      </w:tr>
      <w:tr w:rsidR="00B65A3B" w:rsidRPr="00EC6E05" w:rsidTr="00B65A3B">
        <w:tc>
          <w:tcPr>
            <w:tcW w:w="5000" w:type="pct"/>
            <w:gridSpan w:val="7"/>
            <w:shd w:val="clear" w:color="auto" w:fill="auto"/>
            <w:vAlign w:val="center"/>
          </w:tcPr>
          <w:p w:rsidR="00B65A3B" w:rsidRPr="00EC6E05" w:rsidRDefault="00B65A3B" w:rsidP="00712869">
            <w:pPr>
              <w:pStyle w:val="TableText0"/>
              <w:keepLines/>
              <w:widowControl w:val="0"/>
              <w:rPr>
                <w:b/>
                <w:bCs w:val="0"/>
              </w:rPr>
            </w:pPr>
            <w:r w:rsidRPr="00EC6E05">
              <w:rPr>
                <w:b/>
                <w:bCs w:val="0"/>
              </w:rPr>
              <w:t>Estimated financial implications for NIVO + IPI</w:t>
            </w:r>
          </w:p>
        </w:tc>
      </w:tr>
      <w:tr w:rsidR="00B65A3B" w:rsidRPr="00EC6E05" w:rsidTr="00712869">
        <w:tc>
          <w:tcPr>
            <w:tcW w:w="1115" w:type="pct"/>
            <w:shd w:val="clear" w:color="auto" w:fill="auto"/>
            <w:vAlign w:val="center"/>
          </w:tcPr>
          <w:p w:rsidR="00B65A3B" w:rsidRPr="00EC6E05" w:rsidRDefault="00B65A3B" w:rsidP="00712869">
            <w:pPr>
              <w:pStyle w:val="TableText0"/>
              <w:keepLines/>
              <w:widowControl w:val="0"/>
              <w:rPr>
                <w:sz w:val="19"/>
                <w:szCs w:val="19"/>
              </w:rPr>
            </w:pPr>
            <w:r w:rsidRPr="00EC6E05">
              <w:rPr>
                <w:sz w:val="19"/>
                <w:szCs w:val="19"/>
              </w:rPr>
              <w:t xml:space="preserve">Reduction in cost to PBS/RPBS (less </w:t>
            </w:r>
            <w:proofErr w:type="spellStart"/>
            <w:r w:rsidRPr="00EC6E05">
              <w:rPr>
                <w:sz w:val="19"/>
                <w:szCs w:val="19"/>
              </w:rPr>
              <w:t>copayments</w:t>
            </w:r>
            <w:proofErr w:type="spellEnd"/>
            <w:r w:rsidRPr="00EC6E05">
              <w:rPr>
                <w:sz w:val="19"/>
                <w:szCs w:val="19"/>
              </w:rPr>
              <w:t>)</w:t>
            </w:r>
          </w:p>
        </w:tc>
        <w:tc>
          <w:tcPr>
            <w:tcW w:w="647" w:type="pct"/>
            <w:shd w:val="clear" w:color="auto" w:fill="auto"/>
          </w:tcPr>
          <w:p w:rsidR="00B65A3B" w:rsidRPr="00EC6E05" w:rsidRDefault="00B65A3B" w:rsidP="00712869">
            <w:pPr>
              <w:pStyle w:val="TableText0"/>
              <w:keepLines/>
              <w:widowControl w:val="0"/>
              <w:jc w:val="center"/>
            </w:pPr>
            <w:r w:rsidRPr="00EC6E05">
              <w:t>-$</w:t>
            </w:r>
            <w:r w:rsidR="006A083B">
              <w:rPr>
                <w:noProof/>
                <w:color w:val="000000"/>
                <w:highlight w:val="black"/>
              </w:rPr>
              <w:t>''''''''''''''''''''''''</w:t>
            </w:r>
          </w:p>
        </w:tc>
        <w:tc>
          <w:tcPr>
            <w:tcW w:w="647" w:type="pct"/>
            <w:shd w:val="clear" w:color="auto" w:fill="auto"/>
          </w:tcPr>
          <w:p w:rsidR="00B65A3B" w:rsidRPr="00EC6E05" w:rsidRDefault="00B65A3B" w:rsidP="00712869">
            <w:pPr>
              <w:pStyle w:val="TableText0"/>
              <w:keepLines/>
              <w:widowControl w:val="0"/>
              <w:jc w:val="center"/>
            </w:pPr>
            <w:r w:rsidRPr="00EC6E05">
              <w:t>-$</w:t>
            </w:r>
            <w:r w:rsidR="006A083B">
              <w:rPr>
                <w:noProof/>
                <w:color w:val="000000"/>
                <w:highlight w:val="black"/>
              </w:rPr>
              <w:t>''''''''''''''''''''''''''''</w:t>
            </w:r>
          </w:p>
        </w:tc>
        <w:tc>
          <w:tcPr>
            <w:tcW w:w="647" w:type="pct"/>
            <w:shd w:val="clear" w:color="auto" w:fill="auto"/>
          </w:tcPr>
          <w:p w:rsidR="00B65A3B" w:rsidRPr="00EC6E05" w:rsidRDefault="00B65A3B" w:rsidP="00712869">
            <w:pPr>
              <w:pStyle w:val="TableText0"/>
              <w:keepLines/>
              <w:widowControl w:val="0"/>
              <w:jc w:val="center"/>
            </w:pPr>
            <w:r w:rsidRPr="00EC6E05">
              <w:t>-$</w:t>
            </w:r>
            <w:r w:rsidR="006A083B">
              <w:rPr>
                <w:noProof/>
                <w:color w:val="000000"/>
                <w:highlight w:val="black"/>
              </w:rPr>
              <w:t>''''''''''''''''''''''''''''</w:t>
            </w:r>
          </w:p>
        </w:tc>
        <w:tc>
          <w:tcPr>
            <w:tcW w:w="647" w:type="pct"/>
            <w:shd w:val="clear" w:color="auto" w:fill="auto"/>
          </w:tcPr>
          <w:p w:rsidR="00B65A3B" w:rsidRPr="00EC6E05" w:rsidRDefault="00B65A3B" w:rsidP="00712869">
            <w:pPr>
              <w:pStyle w:val="TableText0"/>
              <w:keepLines/>
              <w:widowControl w:val="0"/>
              <w:jc w:val="center"/>
            </w:pPr>
            <w:r w:rsidRPr="00EC6E05">
              <w:t>-$</w:t>
            </w:r>
            <w:r w:rsidR="006A083B">
              <w:rPr>
                <w:noProof/>
                <w:color w:val="000000"/>
                <w:highlight w:val="black"/>
              </w:rPr>
              <w:t>''''''''''''''''''''''''</w:t>
            </w:r>
          </w:p>
        </w:tc>
        <w:tc>
          <w:tcPr>
            <w:tcW w:w="647" w:type="pct"/>
            <w:shd w:val="clear" w:color="auto" w:fill="auto"/>
          </w:tcPr>
          <w:p w:rsidR="00B65A3B" w:rsidRPr="00EC6E05" w:rsidRDefault="00B65A3B" w:rsidP="00712869">
            <w:pPr>
              <w:pStyle w:val="TableText0"/>
              <w:keepLines/>
              <w:widowControl w:val="0"/>
              <w:jc w:val="center"/>
            </w:pPr>
            <w:r w:rsidRPr="00EC6E05">
              <w:t>-$</w:t>
            </w:r>
            <w:r w:rsidR="006A083B">
              <w:rPr>
                <w:noProof/>
                <w:color w:val="000000"/>
                <w:highlight w:val="black"/>
              </w:rPr>
              <w:t>''''''''''''''''''''''''</w:t>
            </w:r>
          </w:p>
        </w:tc>
        <w:tc>
          <w:tcPr>
            <w:tcW w:w="649" w:type="pct"/>
          </w:tcPr>
          <w:p w:rsidR="00B65A3B" w:rsidRPr="00EC6E05" w:rsidRDefault="00B65A3B" w:rsidP="00712869">
            <w:pPr>
              <w:pStyle w:val="TableText0"/>
              <w:keepLines/>
              <w:widowControl w:val="0"/>
              <w:jc w:val="center"/>
            </w:pPr>
            <w:r w:rsidRPr="00EC6E05">
              <w:t>-$</w:t>
            </w:r>
            <w:r w:rsidR="006A083B">
              <w:rPr>
                <w:noProof/>
                <w:color w:val="000000"/>
                <w:highlight w:val="black"/>
              </w:rPr>
              <w:t>'''''''''''''''''''''''''''''</w:t>
            </w:r>
          </w:p>
        </w:tc>
      </w:tr>
      <w:tr w:rsidR="00B65A3B" w:rsidRPr="00EC6E05" w:rsidTr="00B65A3B">
        <w:tc>
          <w:tcPr>
            <w:tcW w:w="5000" w:type="pct"/>
            <w:gridSpan w:val="7"/>
            <w:shd w:val="clear" w:color="auto" w:fill="auto"/>
            <w:vAlign w:val="center"/>
          </w:tcPr>
          <w:p w:rsidR="00B65A3B" w:rsidRPr="00EC6E05" w:rsidRDefault="00B65A3B" w:rsidP="00712869">
            <w:pPr>
              <w:pStyle w:val="In-tableHeading"/>
              <w:keepLines/>
              <w:widowControl w:val="0"/>
              <w:rPr>
                <w:lang w:val="en-AU"/>
              </w:rPr>
            </w:pPr>
            <w:r w:rsidRPr="00EC6E05">
              <w:rPr>
                <w:lang w:val="en-AU"/>
              </w:rPr>
              <w:t>Net financial implications</w:t>
            </w:r>
            <w:r w:rsidRPr="00EC6E05">
              <w:rPr>
                <w:color w:val="4BACC6" w:themeColor="accent5"/>
                <w:lang w:val="en-AU"/>
              </w:rPr>
              <w:t xml:space="preserve"> </w:t>
            </w:r>
          </w:p>
        </w:tc>
      </w:tr>
      <w:tr w:rsidR="00B65A3B" w:rsidRPr="00EC6E05" w:rsidTr="00712869">
        <w:tc>
          <w:tcPr>
            <w:tcW w:w="1115" w:type="pct"/>
            <w:shd w:val="clear" w:color="auto" w:fill="auto"/>
            <w:vAlign w:val="center"/>
          </w:tcPr>
          <w:p w:rsidR="00B65A3B" w:rsidRPr="00EC6E05" w:rsidRDefault="00B65A3B" w:rsidP="00712869">
            <w:pPr>
              <w:pStyle w:val="TableText0"/>
              <w:keepLines/>
              <w:widowControl w:val="0"/>
              <w:rPr>
                <w:sz w:val="19"/>
                <w:szCs w:val="19"/>
              </w:rPr>
            </w:pPr>
            <w:r w:rsidRPr="00EC6E05">
              <w:rPr>
                <w:sz w:val="19"/>
                <w:szCs w:val="19"/>
              </w:rPr>
              <w:t>Net cost to PBS/RPBS</w:t>
            </w:r>
          </w:p>
        </w:tc>
        <w:tc>
          <w:tcPr>
            <w:tcW w:w="647" w:type="pct"/>
            <w:shd w:val="clear" w:color="auto" w:fill="auto"/>
          </w:tcPr>
          <w:p w:rsidR="00B65A3B" w:rsidRPr="00EC6E05" w:rsidRDefault="00B65A3B" w:rsidP="00712869">
            <w:pPr>
              <w:pStyle w:val="TableText0"/>
              <w:keepLines/>
              <w:widowControl w:val="0"/>
              <w:jc w:val="center"/>
            </w:pPr>
            <w:r w:rsidRPr="00EC6E05">
              <w:t>$</w:t>
            </w:r>
            <w:r w:rsidR="006A083B">
              <w:rPr>
                <w:noProof/>
                <w:color w:val="000000"/>
                <w:highlight w:val="black"/>
              </w:rPr>
              <w:t>''''''''''''''''''''''''</w:t>
            </w:r>
          </w:p>
        </w:tc>
        <w:tc>
          <w:tcPr>
            <w:tcW w:w="647" w:type="pct"/>
            <w:shd w:val="clear" w:color="auto" w:fill="auto"/>
          </w:tcPr>
          <w:p w:rsidR="00B65A3B" w:rsidRPr="00EC6E05" w:rsidRDefault="00B65A3B" w:rsidP="00712869">
            <w:pPr>
              <w:pStyle w:val="TableText0"/>
              <w:keepLines/>
              <w:widowControl w:val="0"/>
              <w:jc w:val="center"/>
            </w:pPr>
            <w:r w:rsidRPr="00EC6E05">
              <w:t>$</w:t>
            </w:r>
            <w:r w:rsidR="006A083B">
              <w:rPr>
                <w:noProof/>
                <w:color w:val="000000"/>
                <w:highlight w:val="black"/>
              </w:rPr>
              <w:t>''''''''''''''''''''''''''''</w:t>
            </w:r>
          </w:p>
        </w:tc>
        <w:tc>
          <w:tcPr>
            <w:tcW w:w="647" w:type="pct"/>
            <w:shd w:val="clear" w:color="auto" w:fill="auto"/>
          </w:tcPr>
          <w:p w:rsidR="00B65A3B" w:rsidRPr="00EC6E05" w:rsidRDefault="00B65A3B" w:rsidP="00712869">
            <w:pPr>
              <w:pStyle w:val="TableText0"/>
              <w:keepLines/>
              <w:widowControl w:val="0"/>
              <w:jc w:val="center"/>
            </w:pPr>
            <w:r w:rsidRPr="00EC6E05">
              <w:t>$</w:t>
            </w:r>
            <w:r w:rsidR="006A083B">
              <w:rPr>
                <w:noProof/>
                <w:color w:val="000000"/>
                <w:highlight w:val="black"/>
              </w:rPr>
              <w:t>'''''''''''''''''''''''''</w:t>
            </w:r>
          </w:p>
        </w:tc>
        <w:tc>
          <w:tcPr>
            <w:tcW w:w="647" w:type="pct"/>
            <w:shd w:val="clear" w:color="auto" w:fill="auto"/>
          </w:tcPr>
          <w:p w:rsidR="00B65A3B" w:rsidRPr="00EC6E05" w:rsidRDefault="00B65A3B" w:rsidP="00712869">
            <w:pPr>
              <w:pStyle w:val="TableText0"/>
              <w:keepLines/>
              <w:widowControl w:val="0"/>
              <w:jc w:val="center"/>
            </w:pPr>
            <w:r w:rsidRPr="00EC6E05">
              <w:t>$</w:t>
            </w:r>
            <w:r w:rsidR="006A083B">
              <w:rPr>
                <w:noProof/>
                <w:color w:val="000000"/>
                <w:highlight w:val="black"/>
              </w:rPr>
              <w:t>'''''''''''''''''''''''''</w:t>
            </w:r>
          </w:p>
        </w:tc>
        <w:tc>
          <w:tcPr>
            <w:tcW w:w="647" w:type="pct"/>
            <w:shd w:val="clear" w:color="auto" w:fill="auto"/>
          </w:tcPr>
          <w:p w:rsidR="00B65A3B" w:rsidRPr="00EC6E05" w:rsidRDefault="00B65A3B" w:rsidP="00712869">
            <w:pPr>
              <w:pStyle w:val="TableText0"/>
              <w:keepLines/>
              <w:widowControl w:val="0"/>
              <w:jc w:val="center"/>
            </w:pPr>
            <w:r w:rsidRPr="00EC6E05">
              <w:t>$</w:t>
            </w:r>
            <w:r w:rsidR="006A083B">
              <w:rPr>
                <w:noProof/>
                <w:color w:val="000000"/>
                <w:highlight w:val="black"/>
              </w:rPr>
              <w:t>'''''''''''''''''''''''''''</w:t>
            </w:r>
          </w:p>
        </w:tc>
        <w:tc>
          <w:tcPr>
            <w:tcW w:w="649" w:type="pct"/>
          </w:tcPr>
          <w:p w:rsidR="00B65A3B" w:rsidRPr="00EC6E05" w:rsidRDefault="00B65A3B" w:rsidP="00712869">
            <w:pPr>
              <w:pStyle w:val="TableText0"/>
              <w:keepLines/>
              <w:widowControl w:val="0"/>
              <w:jc w:val="center"/>
            </w:pPr>
            <w:r w:rsidRPr="00EC6E05">
              <w:t>$</w:t>
            </w:r>
            <w:r w:rsidR="006A083B">
              <w:rPr>
                <w:noProof/>
                <w:color w:val="000000"/>
                <w:highlight w:val="black"/>
              </w:rPr>
              <w:t>'''''''''''''''''''''''''</w:t>
            </w:r>
          </w:p>
        </w:tc>
      </w:tr>
      <w:tr w:rsidR="00B65A3B" w:rsidRPr="00EC6E05" w:rsidTr="00712869">
        <w:tc>
          <w:tcPr>
            <w:tcW w:w="1115" w:type="pct"/>
            <w:shd w:val="clear" w:color="auto" w:fill="auto"/>
            <w:vAlign w:val="center"/>
          </w:tcPr>
          <w:p w:rsidR="00B65A3B" w:rsidRPr="00EC6E05" w:rsidRDefault="00B65A3B" w:rsidP="00712869">
            <w:pPr>
              <w:pStyle w:val="TableText0"/>
              <w:keepLines/>
              <w:widowControl w:val="0"/>
              <w:rPr>
                <w:rFonts w:ascii="Times" w:hAnsi="Times"/>
              </w:rPr>
            </w:pPr>
            <w:r w:rsidRPr="00EC6E05">
              <w:rPr>
                <w:sz w:val="19"/>
                <w:szCs w:val="19"/>
              </w:rPr>
              <w:t>Net cost to MBS</w:t>
            </w:r>
          </w:p>
        </w:tc>
        <w:tc>
          <w:tcPr>
            <w:tcW w:w="647" w:type="pct"/>
            <w:shd w:val="clear" w:color="auto" w:fill="auto"/>
          </w:tcPr>
          <w:p w:rsidR="00B65A3B" w:rsidRPr="00EC6E05" w:rsidRDefault="00B65A3B" w:rsidP="00712869">
            <w:pPr>
              <w:pStyle w:val="TableText0"/>
              <w:keepLines/>
              <w:widowControl w:val="0"/>
              <w:jc w:val="center"/>
            </w:pPr>
            <w:r w:rsidRPr="00EC6E05">
              <w:t>$</w:t>
            </w:r>
            <w:r w:rsidR="006A083B">
              <w:rPr>
                <w:noProof/>
                <w:color w:val="000000"/>
                <w:highlight w:val="black"/>
              </w:rPr>
              <w:t>''''''''''''''''''</w:t>
            </w:r>
          </w:p>
        </w:tc>
        <w:tc>
          <w:tcPr>
            <w:tcW w:w="647" w:type="pct"/>
            <w:shd w:val="clear" w:color="auto" w:fill="auto"/>
          </w:tcPr>
          <w:p w:rsidR="00B65A3B" w:rsidRPr="00EC6E05" w:rsidRDefault="00B65A3B" w:rsidP="00712869">
            <w:pPr>
              <w:pStyle w:val="TableText0"/>
              <w:keepLines/>
              <w:widowControl w:val="0"/>
              <w:jc w:val="center"/>
            </w:pPr>
            <w:r w:rsidRPr="00EC6E05">
              <w:t>$</w:t>
            </w:r>
            <w:r w:rsidR="006A083B">
              <w:rPr>
                <w:noProof/>
                <w:color w:val="000000"/>
                <w:highlight w:val="black"/>
              </w:rPr>
              <w:t>'''''''''''''''''</w:t>
            </w:r>
          </w:p>
        </w:tc>
        <w:tc>
          <w:tcPr>
            <w:tcW w:w="647" w:type="pct"/>
            <w:shd w:val="clear" w:color="auto" w:fill="auto"/>
          </w:tcPr>
          <w:p w:rsidR="00B65A3B" w:rsidRPr="00EC6E05" w:rsidRDefault="00B65A3B" w:rsidP="00712869">
            <w:pPr>
              <w:pStyle w:val="TableText0"/>
              <w:keepLines/>
              <w:widowControl w:val="0"/>
              <w:jc w:val="center"/>
            </w:pPr>
            <w:r w:rsidRPr="00EC6E05">
              <w:t>$</w:t>
            </w:r>
            <w:r w:rsidR="006A083B">
              <w:rPr>
                <w:noProof/>
                <w:color w:val="000000"/>
                <w:highlight w:val="black"/>
              </w:rPr>
              <w:t>''''''''''''''''''</w:t>
            </w:r>
          </w:p>
        </w:tc>
        <w:tc>
          <w:tcPr>
            <w:tcW w:w="647" w:type="pct"/>
            <w:shd w:val="clear" w:color="auto" w:fill="auto"/>
          </w:tcPr>
          <w:p w:rsidR="00B65A3B" w:rsidRPr="00EC6E05" w:rsidRDefault="00B65A3B" w:rsidP="00712869">
            <w:pPr>
              <w:pStyle w:val="TableText0"/>
              <w:keepLines/>
              <w:widowControl w:val="0"/>
              <w:jc w:val="center"/>
            </w:pPr>
            <w:r w:rsidRPr="00EC6E05">
              <w:t>$</w:t>
            </w:r>
            <w:r w:rsidR="006A083B">
              <w:rPr>
                <w:noProof/>
                <w:color w:val="000000"/>
                <w:highlight w:val="black"/>
              </w:rPr>
              <w:t>''''''''''''''''</w:t>
            </w:r>
          </w:p>
        </w:tc>
        <w:tc>
          <w:tcPr>
            <w:tcW w:w="647" w:type="pct"/>
            <w:shd w:val="clear" w:color="auto" w:fill="auto"/>
          </w:tcPr>
          <w:p w:rsidR="00B65A3B" w:rsidRPr="00EC6E05" w:rsidRDefault="00B65A3B" w:rsidP="00712869">
            <w:pPr>
              <w:pStyle w:val="TableText0"/>
              <w:keepLines/>
              <w:widowControl w:val="0"/>
              <w:jc w:val="center"/>
            </w:pPr>
            <w:r w:rsidRPr="00EC6E05">
              <w:t>$</w:t>
            </w:r>
            <w:r w:rsidR="006A083B">
              <w:rPr>
                <w:noProof/>
                <w:color w:val="000000"/>
                <w:highlight w:val="black"/>
              </w:rPr>
              <w:t>''''''''''''''''</w:t>
            </w:r>
          </w:p>
        </w:tc>
        <w:tc>
          <w:tcPr>
            <w:tcW w:w="649" w:type="pct"/>
          </w:tcPr>
          <w:p w:rsidR="00B65A3B" w:rsidRPr="00EC6E05" w:rsidRDefault="00B65A3B" w:rsidP="00712869">
            <w:pPr>
              <w:pStyle w:val="TableText0"/>
              <w:keepLines/>
              <w:widowControl w:val="0"/>
              <w:jc w:val="center"/>
            </w:pPr>
            <w:r w:rsidRPr="00EC6E05">
              <w:t>$</w:t>
            </w:r>
            <w:r w:rsidR="006A083B">
              <w:rPr>
                <w:noProof/>
                <w:color w:val="000000"/>
                <w:highlight w:val="black"/>
              </w:rPr>
              <w:t>''''''''''''''''</w:t>
            </w:r>
          </w:p>
        </w:tc>
      </w:tr>
      <w:tr w:rsidR="00B65A3B" w:rsidRPr="00EC6E05" w:rsidTr="00712869">
        <w:tc>
          <w:tcPr>
            <w:tcW w:w="1115" w:type="pct"/>
            <w:tcBorders>
              <w:bottom w:val="single" w:sz="4" w:space="0" w:color="auto"/>
            </w:tcBorders>
            <w:shd w:val="clear" w:color="auto" w:fill="auto"/>
            <w:vAlign w:val="center"/>
          </w:tcPr>
          <w:p w:rsidR="00B65A3B" w:rsidRPr="00EC6E05" w:rsidRDefault="00B65A3B" w:rsidP="00712869">
            <w:pPr>
              <w:pStyle w:val="TableText0"/>
              <w:keepLines/>
              <w:widowControl w:val="0"/>
              <w:rPr>
                <w:sz w:val="19"/>
                <w:szCs w:val="19"/>
              </w:rPr>
            </w:pPr>
            <w:r w:rsidRPr="00EC6E05">
              <w:rPr>
                <w:sz w:val="19"/>
                <w:szCs w:val="19"/>
              </w:rPr>
              <w:t>Net cost to Health Budget</w:t>
            </w:r>
          </w:p>
        </w:tc>
        <w:tc>
          <w:tcPr>
            <w:tcW w:w="647" w:type="pct"/>
            <w:tcBorders>
              <w:bottom w:val="single" w:sz="4" w:space="0" w:color="auto"/>
            </w:tcBorders>
            <w:shd w:val="clear" w:color="auto" w:fill="auto"/>
          </w:tcPr>
          <w:p w:rsidR="00B65A3B" w:rsidRPr="00EC6E05" w:rsidRDefault="00B65A3B" w:rsidP="00712869">
            <w:pPr>
              <w:pStyle w:val="TableText0"/>
              <w:keepLines/>
              <w:widowControl w:val="0"/>
              <w:jc w:val="center"/>
            </w:pPr>
            <w:r w:rsidRPr="00EC6E05">
              <w:t>$</w:t>
            </w:r>
            <w:r w:rsidR="006A083B">
              <w:rPr>
                <w:noProof/>
                <w:color w:val="000000"/>
                <w:highlight w:val="black"/>
              </w:rPr>
              <w:t>'''''''''''''''''''''</w:t>
            </w:r>
          </w:p>
        </w:tc>
        <w:tc>
          <w:tcPr>
            <w:tcW w:w="647" w:type="pct"/>
            <w:tcBorders>
              <w:bottom w:val="single" w:sz="4" w:space="0" w:color="auto"/>
            </w:tcBorders>
            <w:shd w:val="clear" w:color="auto" w:fill="auto"/>
          </w:tcPr>
          <w:p w:rsidR="00B65A3B" w:rsidRPr="00EC6E05" w:rsidRDefault="00B65A3B" w:rsidP="00712869">
            <w:pPr>
              <w:pStyle w:val="TableText0"/>
              <w:keepLines/>
              <w:widowControl w:val="0"/>
              <w:jc w:val="center"/>
            </w:pPr>
            <w:r w:rsidRPr="00EC6E05">
              <w:t>$</w:t>
            </w:r>
            <w:r w:rsidR="006A083B">
              <w:rPr>
                <w:noProof/>
                <w:color w:val="000000"/>
                <w:highlight w:val="black"/>
              </w:rPr>
              <w:t>'''''''''''''''''''''''''''''</w:t>
            </w:r>
          </w:p>
        </w:tc>
        <w:tc>
          <w:tcPr>
            <w:tcW w:w="647" w:type="pct"/>
            <w:tcBorders>
              <w:bottom w:val="single" w:sz="4" w:space="0" w:color="auto"/>
            </w:tcBorders>
            <w:shd w:val="clear" w:color="auto" w:fill="auto"/>
          </w:tcPr>
          <w:p w:rsidR="00B65A3B" w:rsidRPr="00EC6E05" w:rsidRDefault="00B65A3B" w:rsidP="00712869">
            <w:pPr>
              <w:pStyle w:val="TableText0"/>
              <w:keepLines/>
              <w:widowControl w:val="0"/>
              <w:jc w:val="center"/>
            </w:pPr>
            <w:r w:rsidRPr="00EC6E05">
              <w:t>$</w:t>
            </w:r>
            <w:r w:rsidR="006A083B">
              <w:rPr>
                <w:noProof/>
                <w:color w:val="000000"/>
                <w:highlight w:val="black"/>
              </w:rPr>
              <w:t>'''''''''''''''''''''''''''''</w:t>
            </w:r>
          </w:p>
        </w:tc>
        <w:tc>
          <w:tcPr>
            <w:tcW w:w="647" w:type="pct"/>
            <w:tcBorders>
              <w:bottom w:val="single" w:sz="4" w:space="0" w:color="auto"/>
            </w:tcBorders>
            <w:shd w:val="clear" w:color="auto" w:fill="auto"/>
          </w:tcPr>
          <w:p w:rsidR="00B65A3B" w:rsidRPr="00EC6E05" w:rsidRDefault="00B65A3B" w:rsidP="00712869">
            <w:pPr>
              <w:pStyle w:val="TableText0"/>
              <w:keepLines/>
              <w:widowControl w:val="0"/>
              <w:jc w:val="center"/>
            </w:pPr>
            <w:r w:rsidRPr="00EC6E05">
              <w:t>$</w:t>
            </w:r>
            <w:r w:rsidR="006A083B">
              <w:rPr>
                <w:noProof/>
                <w:color w:val="000000"/>
                <w:highlight w:val="black"/>
              </w:rPr>
              <w:t>'''''''''''''''''''''''''</w:t>
            </w:r>
          </w:p>
        </w:tc>
        <w:tc>
          <w:tcPr>
            <w:tcW w:w="647" w:type="pct"/>
            <w:tcBorders>
              <w:bottom w:val="single" w:sz="4" w:space="0" w:color="auto"/>
            </w:tcBorders>
            <w:shd w:val="clear" w:color="auto" w:fill="auto"/>
          </w:tcPr>
          <w:p w:rsidR="00B65A3B" w:rsidRPr="00EC6E05" w:rsidRDefault="00B65A3B" w:rsidP="00712869">
            <w:pPr>
              <w:pStyle w:val="TableText0"/>
              <w:keepLines/>
              <w:widowControl w:val="0"/>
              <w:jc w:val="center"/>
            </w:pPr>
            <w:r w:rsidRPr="00EC6E05">
              <w:t>$</w:t>
            </w:r>
            <w:r w:rsidR="006A083B">
              <w:rPr>
                <w:noProof/>
                <w:color w:val="000000"/>
                <w:highlight w:val="black"/>
              </w:rPr>
              <w:t>'''''''''''''''''''''''''''''</w:t>
            </w:r>
          </w:p>
        </w:tc>
        <w:tc>
          <w:tcPr>
            <w:tcW w:w="649" w:type="pct"/>
            <w:tcBorders>
              <w:bottom w:val="single" w:sz="4" w:space="0" w:color="auto"/>
            </w:tcBorders>
          </w:tcPr>
          <w:p w:rsidR="00B65A3B" w:rsidRPr="00EC6E05" w:rsidRDefault="00B65A3B" w:rsidP="00712869">
            <w:pPr>
              <w:pStyle w:val="TableText0"/>
              <w:keepLines/>
              <w:widowControl w:val="0"/>
              <w:jc w:val="center"/>
            </w:pPr>
            <w:r w:rsidRPr="00EC6E05">
              <w:t>$</w:t>
            </w:r>
            <w:r w:rsidR="006A083B">
              <w:rPr>
                <w:noProof/>
                <w:color w:val="000000"/>
                <w:highlight w:val="black"/>
              </w:rPr>
              <w:t>''''''''''''''''''''''''</w:t>
            </w:r>
          </w:p>
        </w:tc>
      </w:tr>
    </w:tbl>
    <w:p w:rsidR="00B65A3B" w:rsidRPr="00EC6E05" w:rsidRDefault="00B65A3B" w:rsidP="00712869">
      <w:pPr>
        <w:pStyle w:val="TableFigureFooter"/>
        <w:keepNext/>
        <w:keepLines/>
      </w:pPr>
      <w:r w:rsidRPr="00EC6E05">
        <w:t>Source Table 4.1.4 p167, Table 4.1.5 p169, Table 4.2.2 p174, Table 4.2.4 p177, Table 4.2.5 p179 and Table 4.2.6 p181, Table 4.5.3 p192 of the submission.</w:t>
      </w:r>
    </w:p>
    <w:p w:rsidR="00B65A3B" w:rsidRPr="00177701" w:rsidRDefault="00B65A3B" w:rsidP="00712869">
      <w:pPr>
        <w:pStyle w:val="TableFigureFooter"/>
        <w:keepNext/>
        <w:keepLines/>
      </w:pPr>
      <w:r w:rsidRPr="00EC6E05">
        <w:t xml:space="preserve">Abbreviations: PBS = Pharmaceutical Benefits Scheme, RPBS = Repatriation Pharmaceutical Benefits Scheme, MBS = Medicare benefits schedule, </w:t>
      </w:r>
      <w:r w:rsidRPr="00177701">
        <w:t>DHS = Department of Human Services</w:t>
      </w:r>
      <w:proofErr w:type="gramStart"/>
      <w:r w:rsidRPr="00177701">
        <w:t>;</w:t>
      </w:r>
      <w:proofErr w:type="gramEnd"/>
      <w:r w:rsidRPr="00177701">
        <w:t xml:space="preserve"> Q4W = every four weeks. </w:t>
      </w:r>
    </w:p>
    <w:p w:rsidR="00B65A3B" w:rsidRPr="00EC6E05" w:rsidRDefault="00B65A3B" w:rsidP="00F036F0">
      <w:pPr>
        <w:pStyle w:val="TableFigureFooter"/>
        <w:keepNext/>
        <w:keepLines/>
        <w:spacing w:after="240"/>
      </w:pPr>
      <w:proofErr w:type="spellStart"/>
      <w:proofErr w:type="gramStart"/>
      <w:r w:rsidRPr="00177701">
        <w:rPr>
          <w:vertAlign w:val="superscript"/>
        </w:rPr>
        <w:t>a</w:t>
      </w:r>
      <w:proofErr w:type="spellEnd"/>
      <w:proofErr w:type="gramEnd"/>
      <w:r w:rsidRPr="00177701">
        <w:t xml:space="preserve"> Assuming </w:t>
      </w:r>
      <w:r w:rsidR="006A083B">
        <w:rPr>
          <w:noProof/>
          <w:color w:val="000000"/>
          <w:highlight w:val="black"/>
        </w:rPr>
        <w:t>''''''''''''</w:t>
      </w:r>
      <w:r w:rsidRPr="00177701">
        <w:t xml:space="preserve"> scripts per year of </w:t>
      </w:r>
      <w:proofErr w:type="spellStart"/>
      <w:r w:rsidRPr="00177701">
        <w:t>avelumab</w:t>
      </w:r>
      <w:proofErr w:type="spellEnd"/>
      <w:r w:rsidRPr="00177701">
        <w:t xml:space="preserve"> and </w:t>
      </w:r>
      <w:r w:rsidR="006A083B">
        <w:rPr>
          <w:noProof/>
          <w:color w:val="000000"/>
          <w:highlight w:val="black"/>
        </w:rPr>
        <w:t>'''''''''''''''</w:t>
      </w:r>
      <w:r w:rsidRPr="00177701">
        <w:t xml:space="preserve"> scripts</w:t>
      </w:r>
      <w:r w:rsidRPr="00EC6E05">
        <w:t xml:space="preserve"> per patient of </w:t>
      </w:r>
      <w:proofErr w:type="spellStart"/>
      <w:r w:rsidRPr="00EC6E05">
        <w:t>axitinib</w:t>
      </w:r>
      <w:proofErr w:type="spellEnd"/>
      <w:r w:rsidRPr="00EC6E05">
        <w:t xml:space="preserve"> as estimated by the submission.</w:t>
      </w:r>
    </w:p>
    <w:p w:rsidR="007B6894" w:rsidRPr="00E14968" w:rsidRDefault="007B6894" w:rsidP="00E14968">
      <w:pPr>
        <w:pStyle w:val="3-BodyText"/>
        <w:numPr>
          <w:ilvl w:val="0"/>
          <w:numId w:val="0"/>
        </w:numPr>
        <w:ind w:left="720"/>
        <w:rPr>
          <w:i/>
          <w:color w:val="0066FF"/>
        </w:rPr>
      </w:pPr>
      <w:r w:rsidRPr="00E14968">
        <w:rPr>
          <w:rFonts w:cs="Arial"/>
          <w:i/>
        </w:rPr>
        <w:t xml:space="preserve">The redacted table shows that at Year 6, the estimated number of patients was less than 10,000 and the net cost to the PBS would be </w:t>
      </w:r>
      <w:r w:rsidRPr="00E14968">
        <w:rPr>
          <w:i/>
        </w:rPr>
        <w:t>$10 - $20 million.</w:t>
      </w:r>
    </w:p>
    <w:p w:rsidR="008D158E" w:rsidRPr="00EC6E05" w:rsidRDefault="00712869" w:rsidP="00BF2EA7">
      <w:pPr>
        <w:pStyle w:val="3-BodyText"/>
        <w:rPr>
          <w:color w:val="0066FF"/>
        </w:rPr>
      </w:pPr>
      <w:r w:rsidRPr="00EC6E05">
        <w:t xml:space="preserve">The total cost to the PBS/RPBS of listing AVE + AXI </w:t>
      </w:r>
      <w:r w:rsidR="008D158E" w:rsidRPr="00EC6E05">
        <w:t xml:space="preserve">for intermediate to poor risk patients </w:t>
      </w:r>
      <w:r w:rsidRPr="00EC6E05">
        <w:t xml:space="preserve">was estimated to be  </w:t>
      </w:r>
      <w:r w:rsidR="00802558">
        <w:t xml:space="preserve">$10 - $20 </w:t>
      </w:r>
      <w:r w:rsidRPr="00EC6E05">
        <w:t xml:space="preserve">million in Year 6, and a total of  </w:t>
      </w:r>
      <w:r w:rsidR="00802558">
        <w:t xml:space="preserve">$60 - $100 </w:t>
      </w:r>
      <w:r w:rsidRPr="00EC6E05">
        <w:t>million in the first 6 years of listing (based on published prices).</w:t>
      </w:r>
      <w:r w:rsidR="008D158E" w:rsidRPr="00EC6E05">
        <w:t xml:space="preserve"> </w:t>
      </w:r>
      <w:r w:rsidR="00B65A3B" w:rsidRPr="00EC6E05">
        <w:t xml:space="preserve">The submission stated that AVE + AXI is proposed to be listed on a cost-minimisation basis to NIVO + IPI, and that the net financial implications for the health budget after accounting for </w:t>
      </w:r>
      <w:r w:rsidR="00F036F0">
        <w:t>effective prices</w:t>
      </w:r>
      <w:r w:rsidR="00B65A3B" w:rsidRPr="00EC6E05">
        <w:t xml:space="preserve"> is </w:t>
      </w:r>
      <w:r w:rsidR="00F036F0">
        <w:t xml:space="preserve">intended </w:t>
      </w:r>
      <w:r w:rsidR="00B65A3B" w:rsidRPr="00EC6E05">
        <w:t>to be nil for each cohort of patients that newly commence treatment over a two-year period.</w:t>
      </w:r>
    </w:p>
    <w:p w:rsidR="00B65A3B" w:rsidRPr="00EC6E05" w:rsidRDefault="00B65A3B" w:rsidP="00BF2EA7">
      <w:pPr>
        <w:pStyle w:val="3-BodyText"/>
      </w:pPr>
      <w:r w:rsidRPr="00EC6E05">
        <w:t xml:space="preserve">The submission included </w:t>
      </w:r>
      <w:r w:rsidR="00802558">
        <w:t xml:space="preserve">less than </w:t>
      </w:r>
      <w:proofErr w:type="gramStart"/>
      <w:r w:rsidR="00802558">
        <w:t>10,000</w:t>
      </w:r>
      <w:r w:rsidRPr="00EC6E05">
        <w:t xml:space="preserve"> grandfathered</w:t>
      </w:r>
      <w:proofErr w:type="gramEnd"/>
      <w:r w:rsidRPr="00EC6E05">
        <w:t xml:space="preserve"> patients in the financial estimates. </w:t>
      </w:r>
      <w:r w:rsidR="008D158E" w:rsidRPr="00EC6E05">
        <w:rPr>
          <w:iCs/>
        </w:rPr>
        <w:t>T</w:t>
      </w:r>
      <w:r w:rsidR="00A576E6" w:rsidRPr="00EC6E05">
        <w:rPr>
          <w:iCs/>
        </w:rPr>
        <w:t>he submission did not adjust the estimates to account for the duration of prior therapy of grandfathered patients (a potential source of overestimating AVE + AXI use in the submission)</w:t>
      </w:r>
      <w:r w:rsidRPr="00EC6E05">
        <w:rPr>
          <w:iCs/>
        </w:rPr>
        <w:t>.</w:t>
      </w:r>
    </w:p>
    <w:p w:rsidR="00B65A3B" w:rsidRPr="00EC6E05" w:rsidRDefault="00B65A3B" w:rsidP="00B65A3B">
      <w:pPr>
        <w:pStyle w:val="4-SubsectionHeading"/>
      </w:pPr>
      <w:bookmarkStart w:id="51" w:name="_Toc22897648"/>
      <w:bookmarkStart w:id="52" w:name="_Toc30600768"/>
      <w:r w:rsidRPr="00EC6E05">
        <w:t>Quality Use of Medicines</w:t>
      </w:r>
      <w:bookmarkEnd w:id="51"/>
      <w:bookmarkEnd w:id="52"/>
    </w:p>
    <w:p w:rsidR="008D158E" w:rsidRPr="00EC6E05" w:rsidRDefault="00B65A3B" w:rsidP="00BF2EA7">
      <w:pPr>
        <w:pStyle w:val="3-BodyText"/>
      </w:pPr>
      <w:r w:rsidRPr="00EC6E05">
        <w:t xml:space="preserve">The submission stated that educational materials targeted for clinicians, healthcare providers and patients </w:t>
      </w:r>
      <w:proofErr w:type="gramStart"/>
      <w:r w:rsidRPr="00EC6E05">
        <w:t>will be developed</w:t>
      </w:r>
      <w:proofErr w:type="gramEnd"/>
      <w:r w:rsidRPr="00EC6E05">
        <w:t xml:space="preserve">. The submission also stated that sponsors </w:t>
      </w:r>
      <w:r w:rsidR="00281E88" w:rsidRPr="00EC6E05">
        <w:t xml:space="preserve">for </w:t>
      </w:r>
      <w:proofErr w:type="spellStart"/>
      <w:r w:rsidR="00281E88" w:rsidRPr="00EC6E05">
        <w:t>avelumab</w:t>
      </w:r>
      <w:proofErr w:type="spellEnd"/>
      <w:r w:rsidR="00281E88" w:rsidRPr="00EC6E05">
        <w:t xml:space="preserve"> and </w:t>
      </w:r>
      <w:proofErr w:type="spellStart"/>
      <w:r w:rsidR="00281E88" w:rsidRPr="00EC6E05">
        <w:t>axitinib</w:t>
      </w:r>
      <w:proofErr w:type="spellEnd"/>
      <w:r w:rsidR="00281E88" w:rsidRPr="00EC6E05">
        <w:t xml:space="preserve"> </w:t>
      </w:r>
      <w:r w:rsidRPr="00EC6E05">
        <w:t xml:space="preserve">will support Kidney Cancer Australia Registry and Biobank </w:t>
      </w:r>
      <w:r w:rsidR="007E1607" w:rsidRPr="00EC6E05">
        <w:t xml:space="preserve">database </w:t>
      </w:r>
      <w:r w:rsidRPr="00EC6E05">
        <w:t>through the Walter &amp; Eliza Hall Medical Research Institute</w:t>
      </w:r>
      <w:r w:rsidR="00281E88" w:rsidRPr="00EC6E05">
        <w:t xml:space="preserve"> </w:t>
      </w:r>
      <w:r w:rsidR="007E1607" w:rsidRPr="00EC6E05">
        <w:t xml:space="preserve">so that </w:t>
      </w:r>
      <w:r w:rsidR="00281E88" w:rsidRPr="00EC6E05">
        <w:t>data about patients’ experiences</w:t>
      </w:r>
      <w:r w:rsidR="007E1607" w:rsidRPr="00EC6E05">
        <w:t xml:space="preserve"> are measured</w:t>
      </w:r>
      <w:r w:rsidRPr="00EC6E05">
        <w:t xml:space="preserve">. </w:t>
      </w:r>
    </w:p>
    <w:p w:rsidR="00B65A3B" w:rsidRPr="00EC6E05" w:rsidRDefault="00B65A3B" w:rsidP="00BF2EA7">
      <w:pPr>
        <w:pStyle w:val="3-BodyText"/>
      </w:pPr>
      <w:r w:rsidRPr="00EC6E05">
        <w:t xml:space="preserve">There is a potential for confusion </w:t>
      </w:r>
      <w:r w:rsidR="00FB0645" w:rsidRPr="00EC6E05">
        <w:t>regarding</w:t>
      </w:r>
      <w:r w:rsidRPr="00EC6E05">
        <w:t xml:space="preserve"> dosing </w:t>
      </w:r>
      <w:r w:rsidR="00FB0645" w:rsidRPr="00EC6E05">
        <w:t xml:space="preserve">of </w:t>
      </w:r>
      <w:proofErr w:type="spellStart"/>
      <w:r w:rsidRPr="00EC6E05">
        <w:t>axitinib</w:t>
      </w:r>
      <w:proofErr w:type="spellEnd"/>
      <w:r w:rsidRPr="00EC6E05">
        <w:t xml:space="preserve"> given the recommended doses in the </w:t>
      </w:r>
      <w:proofErr w:type="spellStart"/>
      <w:r w:rsidRPr="00EC6E05">
        <w:t>avelumab</w:t>
      </w:r>
      <w:proofErr w:type="spellEnd"/>
      <w:r w:rsidRPr="00EC6E05">
        <w:t xml:space="preserve"> draft PI and </w:t>
      </w:r>
      <w:proofErr w:type="spellStart"/>
      <w:r w:rsidRPr="00EC6E05">
        <w:t>axitinib</w:t>
      </w:r>
      <w:proofErr w:type="spellEnd"/>
      <w:r w:rsidRPr="00EC6E05">
        <w:t xml:space="preserve"> PI differ. </w:t>
      </w:r>
      <w:r w:rsidR="00FB0645" w:rsidRPr="00EC6E05">
        <w:t xml:space="preserve">Further, the lack of clinical information </w:t>
      </w:r>
      <w:r w:rsidR="00FB0645" w:rsidRPr="00EC6E05">
        <w:rPr>
          <w:iCs/>
        </w:rPr>
        <w:t xml:space="preserve">in the </w:t>
      </w:r>
      <w:proofErr w:type="spellStart"/>
      <w:r w:rsidR="00FB0645" w:rsidRPr="00EC6E05">
        <w:rPr>
          <w:iCs/>
        </w:rPr>
        <w:t>axitinib</w:t>
      </w:r>
      <w:proofErr w:type="spellEnd"/>
      <w:r w:rsidR="00FB0645" w:rsidRPr="00EC6E05">
        <w:rPr>
          <w:iCs/>
        </w:rPr>
        <w:t xml:space="preserve"> PI </w:t>
      </w:r>
      <w:r w:rsidR="00FB0645" w:rsidRPr="00EC6E05">
        <w:t xml:space="preserve">regarding this indication </w:t>
      </w:r>
      <w:r w:rsidR="00FB0645" w:rsidRPr="00EC6E05">
        <w:rPr>
          <w:iCs/>
        </w:rPr>
        <w:t>raises quality use of medicines issues.</w:t>
      </w:r>
      <w:r w:rsidR="00C62E9E">
        <w:rPr>
          <w:iCs/>
        </w:rPr>
        <w:t xml:space="preserve"> </w:t>
      </w:r>
    </w:p>
    <w:p w:rsidR="00B65A3B" w:rsidRPr="00EC6E05" w:rsidRDefault="00B65A3B" w:rsidP="00B65A3B">
      <w:pPr>
        <w:pStyle w:val="4-SubsectionHeading"/>
      </w:pPr>
      <w:bookmarkStart w:id="53" w:name="_Toc22897649"/>
      <w:bookmarkStart w:id="54" w:name="_Toc30600769"/>
      <w:r w:rsidRPr="00EC6E05">
        <w:lastRenderedPageBreak/>
        <w:t>Financial Management – Risk Sharing Arrangements</w:t>
      </w:r>
      <w:bookmarkEnd w:id="53"/>
      <w:bookmarkEnd w:id="54"/>
    </w:p>
    <w:p w:rsidR="008423EE" w:rsidRPr="00EC6E05" w:rsidRDefault="00B65A3B" w:rsidP="008423EE">
      <w:pPr>
        <w:pStyle w:val="3-BodyText"/>
      </w:pPr>
      <w:r w:rsidRPr="00EC6E05">
        <w:t xml:space="preserve">No risk sharing arrangements </w:t>
      </w:r>
      <w:proofErr w:type="gramStart"/>
      <w:r w:rsidRPr="00EC6E05">
        <w:t>were proposed</w:t>
      </w:r>
      <w:proofErr w:type="gramEnd"/>
      <w:r w:rsidRPr="00EC6E05">
        <w:t xml:space="preserve"> for the listing of AVE + AXI. </w:t>
      </w:r>
      <w:r w:rsidR="008423EE" w:rsidRPr="00EC6E05">
        <w:t xml:space="preserve">The PBAC previously considered that an RSA would be required for the first-line listing of NIVO + IPI (paragraph 6.16, NIVO + IPI PSD, November 2018). </w:t>
      </w:r>
    </w:p>
    <w:p w:rsidR="00731257" w:rsidRPr="00EC6E05" w:rsidRDefault="007F0FCD" w:rsidP="00BF2EA7">
      <w:pPr>
        <w:pStyle w:val="3-BodyText"/>
      </w:pPr>
      <w:r w:rsidRPr="00EC6E05">
        <w:t xml:space="preserve">There is a risk of </w:t>
      </w:r>
      <w:r w:rsidR="008423EE">
        <w:t xml:space="preserve">leakage in </w:t>
      </w:r>
      <w:r w:rsidRPr="00EC6E05">
        <w:t>patients with a favourable IMDC risk profile</w:t>
      </w:r>
      <w:r w:rsidR="002234BB" w:rsidRPr="00EC6E05">
        <w:t>.</w:t>
      </w:r>
      <w:r w:rsidRPr="00EC6E05">
        <w:t xml:space="preserve"> </w:t>
      </w:r>
    </w:p>
    <w:p w:rsidR="008D7B30" w:rsidRPr="00EC6E05" w:rsidRDefault="008D7B30" w:rsidP="005978B4">
      <w:pPr>
        <w:pStyle w:val="ListParagraph"/>
        <w:keepNext/>
        <w:spacing w:after="160"/>
        <w:ind w:left="720" w:firstLine="0"/>
        <w:rPr>
          <w:rFonts w:cs="Times New Roman"/>
          <w:i/>
        </w:rPr>
      </w:pPr>
      <w:r w:rsidRPr="00EC6E05">
        <w:rPr>
          <w:i/>
        </w:rPr>
        <w:t>For more detail on PBAC’s view, see section 7 PBAC outcome.</w:t>
      </w:r>
    </w:p>
    <w:p w:rsidR="00B118A8" w:rsidRPr="00EC6E05" w:rsidRDefault="00BF3F60" w:rsidP="00BF3F60">
      <w:pPr>
        <w:pStyle w:val="2-SectionHeading"/>
      </w:pPr>
      <w:r w:rsidRPr="00EC6E05">
        <w:t>PBAC Outcome</w:t>
      </w:r>
    </w:p>
    <w:p w:rsidR="00A57D21" w:rsidRPr="00EC6E05" w:rsidRDefault="00A57D21" w:rsidP="00AB307D">
      <w:pPr>
        <w:pStyle w:val="3-BodyText"/>
      </w:pPr>
      <w:r w:rsidRPr="00EC6E05">
        <w:t xml:space="preserve">The PBAC </w:t>
      </w:r>
      <w:r w:rsidR="00C15F1F">
        <w:t>did not recommend the listing</w:t>
      </w:r>
      <w:r w:rsidRPr="00EC6E05">
        <w:t xml:space="preserve"> of </w:t>
      </w:r>
      <w:proofErr w:type="spellStart"/>
      <w:r w:rsidRPr="00EC6E05">
        <w:t>avelumab</w:t>
      </w:r>
      <w:proofErr w:type="spellEnd"/>
      <w:r w:rsidRPr="00EC6E05">
        <w:t xml:space="preserve"> in combination with </w:t>
      </w:r>
      <w:proofErr w:type="spellStart"/>
      <w:r w:rsidRPr="00EC6E05">
        <w:t>axitinib</w:t>
      </w:r>
      <w:proofErr w:type="spellEnd"/>
      <w:r w:rsidRPr="00EC6E05">
        <w:t xml:space="preserve"> (</w:t>
      </w:r>
      <w:r w:rsidR="002E124D">
        <w:t>AVE + AXI</w:t>
      </w:r>
      <w:r w:rsidRPr="00EC6E05">
        <w:t>) for the first</w:t>
      </w:r>
      <w:r w:rsidR="00BC588C">
        <w:t>-</w:t>
      </w:r>
      <w:r w:rsidRPr="00EC6E05">
        <w:t xml:space="preserve">line treatment of </w:t>
      </w:r>
      <w:r w:rsidR="00BC588C">
        <w:t>advance</w:t>
      </w:r>
      <w:r w:rsidR="00883C66">
        <w:t>d</w:t>
      </w:r>
      <w:r w:rsidR="00BC588C">
        <w:t xml:space="preserve"> (s</w:t>
      </w:r>
      <w:r w:rsidRPr="00EC6E05">
        <w:t>tage VI</w:t>
      </w:r>
      <w:r w:rsidR="00BC588C">
        <w:t>)</w:t>
      </w:r>
      <w:r w:rsidRPr="00EC6E05">
        <w:t xml:space="preserve"> </w:t>
      </w:r>
      <w:r w:rsidR="0087134F" w:rsidRPr="00EC6E05">
        <w:t xml:space="preserve">clear cell variant </w:t>
      </w:r>
      <w:r w:rsidR="000B7F20">
        <w:t>RCC</w:t>
      </w:r>
      <w:r w:rsidRPr="00EC6E05">
        <w:t xml:space="preserve">. </w:t>
      </w:r>
      <w:r w:rsidR="005978B4">
        <w:t xml:space="preserve">The PBAC noted that </w:t>
      </w:r>
      <w:r w:rsidR="00F437C2" w:rsidRPr="00F437C2">
        <w:t xml:space="preserve">AVE + AXI did not demonstrate a statistically significant difference in OS versus </w:t>
      </w:r>
      <w:proofErr w:type="spellStart"/>
      <w:r w:rsidR="00F437C2" w:rsidRPr="00F437C2">
        <w:t>sunitinib</w:t>
      </w:r>
      <w:proofErr w:type="spellEnd"/>
      <w:r w:rsidR="005978B4">
        <w:t xml:space="preserve">, which was </w:t>
      </w:r>
      <w:r w:rsidR="005978B4" w:rsidRPr="005978B4">
        <w:t xml:space="preserve">in contrast to the statistically significant OS gains reported for NIVO + IPI versus </w:t>
      </w:r>
      <w:proofErr w:type="spellStart"/>
      <w:r w:rsidR="005978B4" w:rsidRPr="00184B10">
        <w:t>sunitinib</w:t>
      </w:r>
      <w:proofErr w:type="spellEnd"/>
      <w:r w:rsidR="005978B4" w:rsidRPr="00184B10">
        <w:t xml:space="preserve">. </w:t>
      </w:r>
      <w:r w:rsidR="00184B10">
        <w:t>Further, t</w:t>
      </w:r>
      <w:r w:rsidR="00AB307D" w:rsidRPr="00184B10">
        <w:t xml:space="preserve">he PBAC considered that PFS may not be a reliable measure of the clinical effectiveness of immunotherapies </w:t>
      </w:r>
      <w:r w:rsidR="00184B10" w:rsidRPr="00184B10">
        <w:t>in this setting</w:t>
      </w:r>
      <w:r w:rsidR="001922A7">
        <w:t>,</w:t>
      </w:r>
      <w:r w:rsidR="00184B10" w:rsidRPr="00184B10">
        <w:t xml:space="preserve"> and noted that </w:t>
      </w:r>
      <w:r w:rsidR="00AB307D" w:rsidRPr="00184B10">
        <w:t xml:space="preserve">AVE + AXI was not associated with an improvement in quality of life versus </w:t>
      </w:r>
      <w:proofErr w:type="spellStart"/>
      <w:r w:rsidR="00AB307D" w:rsidRPr="00184B10">
        <w:t>sunitinib</w:t>
      </w:r>
      <w:proofErr w:type="spellEnd"/>
      <w:r w:rsidR="00AB307D" w:rsidRPr="00184B10">
        <w:t xml:space="preserve">. </w:t>
      </w:r>
      <w:r w:rsidR="00184B10" w:rsidRPr="00184B10">
        <w:t>Overall, t</w:t>
      </w:r>
      <w:r w:rsidR="00AB307D" w:rsidRPr="00184B10">
        <w:t>he PBAC considered</w:t>
      </w:r>
      <w:r w:rsidR="00AB307D" w:rsidRPr="00EC6E05">
        <w:t xml:space="preserve"> that the </w:t>
      </w:r>
      <w:r w:rsidR="00AB307D">
        <w:t>submission had not adequately demonstrated non-inferiority versus NIVO + IPI</w:t>
      </w:r>
      <w:r w:rsidR="00AB307D" w:rsidRPr="00EC6E05">
        <w:t>.</w:t>
      </w:r>
    </w:p>
    <w:p w:rsidR="0049087E" w:rsidRPr="00EC6E05" w:rsidRDefault="00657D16" w:rsidP="00FC647D">
      <w:pPr>
        <w:pStyle w:val="3-BodyText"/>
      </w:pPr>
      <w:r>
        <w:t>The PBAC noted that the submission also included an ‘informal’ request for listing in favourable risk patients</w:t>
      </w:r>
      <w:r w:rsidR="00102B9A">
        <w:t xml:space="preserve"> </w:t>
      </w:r>
      <w:r w:rsidR="00102B9A" w:rsidRPr="00EC6E05">
        <w:t>(who are estimated to represen</w:t>
      </w:r>
      <w:r w:rsidR="00102B9A">
        <w:t xml:space="preserve">t 24% of patients with </w:t>
      </w:r>
      <w:r w:rsidR="00C8516A">
        <w:t xml:space="preserve">previously untreated </w:t>
      </w:r>
      <w:r w:rsidR="00102B9A">
        <w:t xml:space="preserve">advanced </w:t>
      </w:r>
      <w:r w:rsidR="00102B9A" w:rsidRPr="00EC6E05">
        <w:t xml:space="preserve">clear cell variant </w:t>
      </w:r>
      <w:r w:rsidR="00102B9A">
        <w:t>RCC</w:t>
      </w:r>
      <w:r w:rsidR="00102B9A" w:rsidRPr="00EC6E05">
        <w:t>)</w:t>
      </w:r>
      <w:r>
        <w:t xml:space="preserve">. The </w:t>
      </w:r>
      <w:r w:rsidR="00102B9A">
        <w:t xml:space="preserve">PBAC considered that </w:t>
      </w:r>
      <w:r w:rsidR="0049087E" w:rsidRPr="00EC6E05">
        <w:rPr>
          <w:iCs/>
        </w:rPr>
        <w:t xml:space="preserve">monotherapy with </w:t>
      </w:r>
      <w:proofErr w:type="spellStart"/>
      <w:r w:rsidR="0049087E" w:rsidRPr="00EC6E05">
        <w:rPr>
          <w:iCs/>
        </w:rPr>
        <w:t>sunitinib</w:t>
      </w:r>
      <w:proofErr w:type="spellEnd"/>
      <w:r w:rsidR="0049087E" w:rsidRPr="00EC6E05">
        <w:rPr>
          <w:iCs/>
        </w:rPr>
        <w:t xml:space="preserve"> </w:t>
      </w:r>
      <w:r w:rsidR="002C5ACF">
        <w:rPr>
          <w:iCs/>
        </w:rPr>
        <w:t>or</w:t>
      </w:r>
      <w:r w:rsidR="0049087E" w:rsidRPr="00EC6E05">
        <w:rPr>
          <w:iCs/>
        </w:rPr>
        <w:t xml:space="preserve"> </w:t>
      </w:r>
      <w:proofErr w:type="spellStart"/>
      <w:r w:rsidR="0049087E" w:rsidRPr="00EC6E05">
        <w:rPr>
          <w:iCs/>
        </w:rPr>
        <w:t>pazopanib</w:t>
      </w:r>
      <w:proofErr w:type="spellEnd"/>
      <w:r w:rsidR="0049087E" w:rsidRPr="00EC6E05">
        <w:rPr>
          <w:iCs/>
        </w:rPr>
        <w:t xml:space="preserve"> </w:t>
      </w:r>
      <w:r w:rsidR="00102B9A">
        <w:rPr>
          <w:iCs/>
        </w:rPr>
        <w:t>would be the appropriate comparators in this setting</w:t>
      </w:r>
      <w:r w:rsidR="00876B57">
        <w:rPr>
          <w:iCs/>
        </w:rPr>
        <w:t>,</w:t>
      </w:r>
      <w:r w:rsidR="00102B9A">
        <w:rPr>
          <w:iCs/>
        </w:rPr>
        <w:t xml:space="preserve"> </w:t>
      </w:r>
      <w:r w:rsidR="0049087E" w:rsidRPr="00EC6E05">
        <w:rPr>
          <w:iCs/>
        </w:rPr>
        <w:t xml:space="preserve">and </w:t>
      </w:r>
      <w:r w:rsidR="00102B9A">
        <w:rPr>
          <w:iCs/>
        </w:rPr>
        <w:t xml:space="preserve">noted that the submission </w:t>
      </w:r>
      <w:r w:rsidR="0049087E" w:rsidRPr="00EC6E05">
        <w:rPr>
          <w:iCs/>
        </w:rPr>
        <w:t xml:space="preserve">did not make a clinical claim </w:t>
      </w:r>
      <w:r w:rsidR="00EA1838">
        <w:rPr>
          <w:iCs/>
        </w:rPr>
        <w:t>regarding</w:t>
      </w:r>
      <w:r w:rsidR="0049087E" w:rsidRPr="00EC6E05">
        <w:rPr>
          <w:iCs/>
        </w:rPr>
        <w:t xml:space="preserve"> comparative efficacy or safety </w:t>
      </w:r>
      <w:r w:rsidR="00102B9A">
        <w:rPr>
          <w:iCs/>
        </w:rPr>
        <w:t>or present an economic analysis against</w:t>
      </w:r>
      <w:r w:rsidR="0049087E" w:rsidRPr="00EC6E05">
        <w:rPr>
          <w:iCs/>
        </w:rPr>
        <w:t xml:space="preserve"> </w:t>
      </w:r>
      <w:proofErr w:type="spellStart"/>
      <w:r w:rsidR="002C5ACF" w:rsidRPr="00EC6E05">
        <w:rPr>
          <w:iCs/>
        </w:rPr>
        <w:t>sunitinib</w:t>
      </w:r>
      <w:proofErr w:type="spellEnd"/>
      <w:r w:rsidR="002C5ACF" w:rsidRPr="00EC6E05">
        <w:rPr>
          <w:iCs/>
        </w:rPr>
        <w:t xml:space="preserve"> </w:t>
      </w:r>
      <w:r w:rsidR="002C5ACF">
        <w:rPr>
          <w:iCs/>
        </w:rPr>
        <w:t>or</w:t>
      </w:r>
      <w:r w:rsidR="002C5ACF" w:rsidRPr="00EC6E05">
        <w:rPr>
          <w:iCs/>
        </w:rPr>
        <w:t xml:space="preserve"> </w:t>
      </w:r>
      <w:proofErr w:type="spellStart"/>
      <w:r w:rsidR="002C5ACF" w:rsidRPr="00EC6E05">
        <w:rPr>
          <w:iCs/>
        </w:rPr>
        <w:t>pazopanib</w:t>
      </w:r>
      <w:proofErr w:type="spellEnd"/>
      <w:r w:rsidR="0049087E" w:rsidRPr="00EC6E05">
        <w:rPr>
          <w:iCs/>
        </w:rPr>
        <w:t xml:space="preserve">. The </w:t>
      </w:r>
      <w:r w:rsidR="00102B9A">
        <w:rPr>
          <w:iCs/>
        </w:rPr>
        <w:t xml:space="preserve">PBAC noted that the OS </w:t>
      </w:r>
      <w:r w:rsidR="0049087E" w:rsidRPr="00EC6E05">
        <w:rPr>
          <w:iCs/>
        </w:rPr>
        <w:t xml:space="preserve">results from JAVELIN are </w:t>
      </w:r>
      <w:r w:rsidR="00102B9A">
        <w:rPr>
          <w:iCs/>
        </w:rPr>
        <w:t xml:space="preserve">very </w:t>
      </w:r>
      <w:r w:rsidR="0049087E" w:rsidRPr="00EC6E05">
        <w:rPr>
          <w:iCs/>
        </w:rPr>
        <w:t xml:space="preserve">immature in the favourable risk group (with </w:t>
      </w:r>
      <w:r w:rsidR="006A083B">
        <w:rPr>
          <w:iCs/>
          <w:noProof/>
          <w:color w:val="000000"/>
          <w:highlight w:val="black"/>
        </w:rPr>
        <w:t>'''''''</w:t>
      </w:r>
      <w:r w:rsidR="0049087E" w:rsidRPr="00EC6E05">
        <w:rPr>
          <w:iCs/>
        </w:rPr>
        <w:t xml:space="preserve">% of patients in the </w:t>
      </w:r>
      <w:proofErr w:type="spellStart"/>
      <w:r w:rsidR="0049087E" w:rsidRPr="00EC6E05">
        <w:rPr>
          <w:iCs/>
        </w:rPr>
        <w:t>sunitinib</w:t>
      </w:r>
      <w:proofErr w:type="spellEnd"/>
      <w:r w:rsidR="0049087E" w:rsidRPr="00EC6E05">
        <w:rPr>
          <w:iCs/>
        </w:rPr>
        <w:t xml:space="preserve"> arm having died at the data-cut presented)</w:t>
      </w:r>
      <w:r w:rsidR="002C5ACF">
        <w:rPr>
          <w:iCs/>
        </w:rPr>
        <w:t xml:space="preserve">, </w:t>
      </w:r>
      <w:r w:rsidR="00790143">
        <w:rPr>
          <w:iCs/>
        </w:rPr>
        <w:t>with</w:t>
      </w:r>
      <w:r w:rsidR="002C5ACF">
        <w:rPr>
          <w:iCs/>
        </w:rPr>
        <w:t xml:space="preserve"> updated </w:t>
      </w:r>
      <w:r w:rsidR="00FC647D">
        <w:rPr>
          <w:iCs/>
        </w:rPr>
        <w:t xml:space="preserve">OS </w:t>
      </w:r>
      <w:r w:rsidR="002C5ACF">
        <w:rPr>
          <w:iCs/>
        </w:rPr>
        <w:t xml:space="preserve">data </w:t>
      </w:r>
      <w:r w:rsidR="00790143">
        <w:rPr>
          <w:iCs/>
        </w:rPr>
        <w:t>likely to</w:t>
      </w:r>
      <w:r w:rsidR="002C5ACF">
        <w:rPr>
          <w:iCs/>
        </w:rPr>
        <w:t xml:space="preserve"> be available </w:t>
      </w:r>
      <w:r w:rsidR="00FC647D">
        <w:rPr>
          <w:iCs/>
        </w:rPr>
        <w:t>in the near futur</w:t>
      </w:r>
      <w:r w:rsidR="00790143">
        <w:rPr>
          <w:iCs/>
        </w:rPr>
        <w:t>e</w:t>
      </w:r>
      <w:r w:rsidR="0049087E" w:rsidRPr="00EC6E05">
        <w:rPr>
          <w:iCs/>
        </w:rPr>
        <w:t>.</w:t>
      </w:r>
    </w:p>
    <w:p w:rsidR="00883C66" w:rsidRDefault="000B7F20" w:rsidP="009E758F">
      <w:pPr>
        <w:pStyle w:val="3-BodyText"/>
      </w:pPr>
      <w:r>
        <w:t xml:space="preserve">The PBAC noted that </w:t>
      </w:r>
      <w:r w:rsidR="00883C66">
        <w:t xml:space="preserve">patients </w:t>
      </w:r>
      <w:r w:rsidR="00102B9A">
        <w:t xml:space="preserve">with intermediate and poor risk advanced RCC </w:t>
      </w:r>
      <w:r w:rsidR="00883C66">
        <w:t xml:space="preserve">have access to effective immunotherapy in the first-line </w:t>
      </w:r>
      <w:r w:rsidR="00102B9A">
        <w:t>setting</w:t>
      </w:r>
      <w:r w:rsidR="00883C66">
        <w:t xml:space="preserve">, </w:t>
      </w:r>
      <w:r>
        <w:t>NIVO+IPI</w:t>
      </w:r>
      <w:r w:rsidR="00883C66">
        <w:t xml:space="preserve">, and thus the clinical need for an alternative </w:t>
      </w:r>
      <w:r w:rsidR="00876B57">
        <w:t>immuno</w:t>
      </w:r>
      <w:r w:rsidR="00883C66">
        <w:t xml:space="preserve">therapy </w:t>
      </w:r>
      <w:r w:rsidR="00876B57">
        <w:t xml:space="preserve">combination </w:t>
      </w:r>
      <w:r w:rsidR="00883C66">
        <w:t>was modest</w:t>
      </w:r>
      <w:r>
        <w:t xml:space="preserve">. </w:t>
      </w:r>
    </w:p>
    <w:p w:rsidR="009E758F" w:rsidRDefault="00E31165" w:rsidP="009E758F">
      <w:pPr>
        <w:pStyle w:val="3-BodyText"/>
      </w:pPr>
      <w:r>
        <w:t xml:space="preserve">The PBAC considered </w:t>
      </w:r>
      <w:r w:rsidR="005978B4">
        <w:t>that</w:t>
      </w:r>
      <w:r>
        <w:t xml:space="preserve"> NIVO + IPI </w:t>
      </w:r>
      <w:r w:rsidR="005978B4">
        <w:t>w</w:t>
      </w:r>
      <w:r>
        <w:t xml:space="preserve">as the </w:t>
      </w:r>
      <w:r w:rsidR="005978B4">
        <w:t xml:space="preserve">appropriate </w:t>
      </w:r>
      <w:r>
        <w:t>comparator for RCC patients with an intermediate to poor risk.</w:t>
      </w:r>
    </w:p>
    <w:p w:rsidR="00883C66" w:rsidRPr="00EC6E05" w:rsidRDefault="00883C66" w:rsidP="00883C66">
      <w:pPr>
        <w:pStyle w:val="3-BodyText"/>
        <w:rPr>
          <w:snapToGrid/>
          <w:color w:val="0066FF"/>
        </w:rPr>
      </w:pPr>
      <w:r>
        <w:t xml:space="preserve">The PBAC noted that, while PEM + AXI was not an appropriate comparator in this submission as it is not TGA-registered or PBS-listed, the NCCN Guidelines </w:t>
      </w:r>
      <w:r w:rsidR="00102B9A">
        <w:t>(v</w:t>
      </w:r>
      <w:r>
        <w:t>ersion 2.2020</w:t>
      </w:r>
      <w:r w:rsidR="00102B9A">
        <w:t>)</w:t>
      </w:r>
      <w:r>
        <w:t xml:space="preserve"> list NIVO + IPI or </w:t>
      </w:r>
      <w:r w:rsidRPr="00EC6E05">
        <w:t>PEM + AXI</w:t>
      </w:r>
      <w:r>
        <w:t xml:space="preserve"> as preferred immunotherapy regimens in </w:t>
      </w:r>
      <w:r w:rsidRPr="00EC6E05">
        <w:rPr>
          <w:iCs/>
        </w:rPr>
        <w:t>intermediate to poor risk</w:t>
      </w:r>
      <w:r>
        <w:rPr>
          <w:iCs/>
        </w:rPr>
        <w:t xml:space="preserve"> patients, while AVE + AXI is listed as an ‘other recommended regimen’. Similarly, the TGA Delegate</w:t>
      </w:r>
      <w:r w:rsidR="0001565D">
        <w:rPr>
          <w:iCs/>
        </w:rPr>
        <w:t>’s</w:t>
      </w:r>
      <w:r>
        <w:rPr>
          <w:iCs/>
        </w:rPr>
        <w:t xml:space="preserve"> Overview stated that </w:t>
      </w:r>
      <w:r w:rsidRPr="00883C66">
        <w:rPr>
          <w:iCs/>
        </w:rPr>
        <w:t xml:space="preserve">‘the current recommended standard first line treatment for this patient population is </w:t>
      </w:r>
      <w:r>
        <w:t xml:space="preserve">PEM + AXI </w:t>
      </w:r>
      <w:r w:rsidRPr="00883C66">
        <w:rPr>
          <w:iCs/>
        </w:rPr>
        <w:t xml:space="preserve">(or, alternatively NIVO + IPI in patients with intermediate or poor risk disease). This change in algorithm raises uncertainty of the role of first line AVE + AXI in view of the </w:t>
      </w:r>
      <w:r w:rsidRPr="00883C66">
        <w:rPr>
          <w:iCs/>
        </w:rPr>
        <w:lastRenderedPageBreak/>
        <w:t>new standard of care; longer follow up for mature overall survival data will be informative’</w:t>
      </w:r>
      <w:r>
        <w:rPr>
          <w:iCs/>
        </w:rPr>
        <w:t>.</w:t>
      </w:r>
      <w:r w:rsidRPr="00883C66">
        <w:rPr>
          <w:iCs/>
        </w:rPr>
        <w:t xml:space="preserve"> </w:t>
      </w:r>
    </w:p>
    <w:p w:rsidR="00E143D5" w:rsidRDefault="005978B4" w:rsidP="00865FD3">
      <w:pPr>
        <w:pStyle w:val="3-BodyText"/>
      </w:pPr>
      <w:r>
        <w:t xml:space="preserve">AVE + AXI </w:t>
      </w:r>
      <w:r w:rsidR="00B11CD3">
        <w:t>did not demonstrate</w:t>
      </w:r>
      <w:r>
        <w:t xml:space="preserve"> a </w:t>
      </w:r>
      <w:r w:rsidRPr="005978B4">
        <w:t xml:space="preserve">statistically significant difference in OS versus </w:t>
      </w:r>
      <w:proofErr w:type="spellStart"/>
      <w:r w:rsidRPr="005978B4">
        <w:t>sunitinib</w:t>
      </w:r>
      <w:proofErr w:type="spellEnd"/>
      <w:r w:rsidRPr="005978B4">
        <w:t xml:space="preserve"> in the JAVELIN trial</w:t>
      </w:r>
      <w:r>
        <w:t xml:space="preserve"> (</w:t>
      </w:r>
      <w:r w:rsidR="004F7E03">
        <w:t xml:space="preserve">based on the </w:t>
      </w:r>
      <w:r>
        <w:t>second interim analysis presented in the submission) with a HR of 0.80 (95% CI: 0.62, 1.03)</w:t>
      </w:r>
      <w:r w:rsidR="00C85D9D">
        <w:t xml:space="preserve"> in the ITT population</w:t>
      </w:r>
      <w:r w:rsidRPr="005978B4">
        <w:t xml:space="preserve">. This was in contrast to the statistically significant OS gains reported for NIVO + IPI versus </w:t>
      </w:r>
      <w:proofErr w:type="spellStart"/>
      <w:r w:rsidRPr="005978B4">
        <w:t>sunitinib</w:t>
      </w:r>
      <w:proofErr w:type="spellEnd"/>
      <w:r w:rsidRPr="005978B4">
        <w:t xml:space="preserve"> in the </w:t>
      </w:r>
      <w:proofErr w:type="spellStart"/>
      <w:r w:rsidRPr="005978B4">
        <w:t>CheckMate</w:t>
      </w:r>
      <w:proofErr w:type="spellEnd"/>
      <w:r w:rsidRPr="005978B4">
        <w:t xml:space="preserve"> 214 trial</w:t>
      </w:r>
      <w:r w:rsidR="00C85D9D">
        <w:t xml:space="preserve"> </w:t>
      </w:r>
      <w:r w:rsidR="00D707DE">
        <w:t>ITT population</w:t>
      </w:r>
      <w:r w:rsidR="00D707DE" w:rsidRPr="00EC6E05">
        <w:t xml:space="preserve"> </w:t>
      </w:r>
      <w:r w:rsidR="00C85D9D" w:rsidRPr="00EC6E05">
        <w:t>(HR: 0.68; 99.8% CI 0.49, 0.95</w:t>
      </w:r>
      <w:r w:rsidR="00C85D9D">
        <w:t>)</w:t>
      </w:r>
      <w:r w:rsidRPr="005978B4">
        <w:t xml:space="preserve">. The PBAC </w:t>
      </w:r>
      <w:r w:rsidR="00C85D9D">
        <w:t xml:space="preserve">recalled that it had </w:t>
      </w:r>
      <w:r w:rsidRPr="005978B4">
        <w:t xml:space="preserve">previously accepted the claim of clinical superiority of NIVO + IPI versus </w:t>
      </w:r>
      <w:proofErr w:type="spellStart"/>
      <w:r w:rsidRPr="005978B4">
        <w:t>sunitinib</w:t>
      </w:r>
      <w:proofErr w:type="spellEnd"/>
      <w:r w:rsidRPr="005978B4">
        <w:t xml:space="preserve"> on the basis of the statistically significant improvement in OS observed in </w:t>
      </w:r>
      <w:proofErr w:type="spellStart"/>
      <w:r w:rsidRPr="005978B4">
        <w:t>CheckMate</w:t>
      </w:r>
      <w:proofErr w:type="spellEnd"/>
      <w:r w:rsidRPr="005978B4">
        <w:t xml:space="preserve"> 214 (para 6.8, </w:t>
      </w:r>
      <w:proofErr w:type="spellStart"/>
      <w:r w:rsidRPr="005978B4">
        <w:t>nivolumab</w:t>
      </w:r>
      <w:proofErr w:type="spellEnd"/>
      <w:r w:rsidRPr="005978B4">
        <w:t xml:space="preserve"> and </w:t>
      </w:r>
      <w:proofErr w:type="spellStart"/>
      <w:r w:rsidRPr="005978B4">
        <w:t>ipilimumab</w:t>
      </w:r>
      <w:proofErr w:type="spellEnd"/>
      <w:r w:rsidRPr="005978B4">
        <w:t>, November 2018 PBAC meeting).</w:t>
      </w:r>
      <w:r w:rsidR="0001565D">
        <w:t xml:space="preserve"> </w:t>
      </w:r>
      <w:r w:rsidR="00865FD3" w:rsidRPr="00865FD3">
        <w:t>The PBAC considered that, in the absence of a statistically significant improvement in OS for AVE + AXI versus the common comparator (</w:t>
      </w:r>
      <w:proofErr w:type="spellStart"/>
      <w:r w:rsidR="00865FD3" w:rsidRPr="00865FD3">
        <w:t>sunitinib</w:t>
      </w:r>
      <w:proofErr w:type="spellEnd"/>
      <w:r w:rsidR="00865FD3" w:rsidRPr="00865FD3">
        <w:t>), the submission had not adequately demonstrated that AVE + AXI was non-inferior to NIVO + IPI</w:t>
      </w:r>
      <w:r w:rsidR="00865FD3">
        <w:t>.</w:t>
      </w:r>
      <w:r w:rsidR="00865FD3" w:rsidRPr="00865FD3">
        <w:t xml:space="preserve"> </w:t>
      </w:r>
    </w:p>
    <w:p w:rsidR="00D707DE" w:rsidRDefault="00D707DE" w:rsidP="00D707DE">
      <w:pPr>
        <w:pStyle w:val="3-BodyText"/>
      </w:pPr>
      <w:r w:rsidRPr="00865FD3">
        <w:t xml:space="preserve">The indirect comparison of AVE + AXI versus NIVO + IPI (using </w:t>
      </w:r>
      <w:proofErr w:type="spellStart"/>
      <w:r w:rsidRPr="00865FD3">
        <w:t>sunitinib</w:t>
      </w:r>
      <w:proofErr w:type="spellEnd"/>
      <w:r w:rsidRPr="00865FD3">
        <w:t xml:space="preserve"> as the common comparator) found a HR for OS of </w:t>
      </w:r>
      <w:r w:rsidR="006A083B">
        <w:rPr>
          <w:noProof/>
          <w:color w:val="000000"/>
          <w:highlight w:val="black"/>
        </w:rPr>
        <w:t>'''''''' ''''''''''' '''''' ''''''''' ''''''''''</w:t>
      </w:r>
      <w:r w:rsidRPr="00865FD3">
        <w:t xml:space="preserve"> for the comparison based on the intermediate or poor risk subgroups. The PBAC noted the transitivity issues between JAVELIN and </w:t>
      </w:r>
      <w:proofErr w:type="spellStart"/>
      <w:r w:rsidRPr="00865FD3">
        <w:t>CheckMate</w:t>
      </w:r>
      <w:proofErr w:type="spellEnd"/>
      <w:r w:rsidRPr="00865FD3">
        <w:t xml:space="preserve"> 214 (notably due to differences in study follow-up, differences in post-progression treatment and baseline disease characteristics</w:t>
      </w:r>
      <w:r>
        <w:t>) and the</w:t>
      </w:r>
      <w:r w:rsidRPr="00865FD3">
        <w:t xml:space="preserve"> pre-PBAC response’s argument that JAVELIN </w:t>
      </w:r>
      <w:proofErr w:type="gramStart"/>
      <w:r w:rsidRPr="00865FD3">
        <w:t>was not powered</w:t>
      </w:r>
      <w:proofErr w:type="gramEnd"/>
      <w:r w:rsidRPr="00865FD3">
        <w:t xml:space="preserve"> to detect a difference in the inte</w:t>
      </w:r>
      <w:r>
        <w:t>rmediate or poor risk subgroups.</w:t>
      </w:r>
      <w:r w:rsidR="0032160A">
        <w:t xml:space="preserve"> T</w:t>
      </w:r>
      <w:r>
        <w:t xml:space="preserve">he PBAC noted that the </w:t>
      </w:r>
      <w:r w:rsidRPr="0041457D">
        <w:t>upper 95% confidence limit was</w:t>
      </w:r>
      <w:r>
        <w:t xml:space="preserve"> </w:t>
      </w:r>
      <w:r w:rsidR="006A083B">
        <w:rPr>
          <w:noProof/>
          <w:color w:val="000000"/>
          <w:highlight w:val="black"/>
        </w:rPr>
        <w:t>'''''''''</w:t>
      </w:r>
      <w:r>
        <w:t xml:space="preserve">, which it considered was </w:t>
      </w:r>
      <w:r w:rsidR="0032160A">
        <w:t xml:space="preserve">too high to </w:t>
      </w:r>
      <w:r>
        <w:t>support a conclusion of non-inferiority</w:t>
      </w:r>
      <w:r w:rsidR="0032160A">
        <w:t xml:space="preserve">, especially in the context of a significant difference in OS for AVE + AXI versus </w:t>
      </w:r>
      <w:proofErr w:type="spellStart"/>
      <w:r w:rsidR="0032160A">
        <w:t>sunitinib</w:t>
      </w:r>
      <w:proofErr w:type="spellEnd"/>
      <w:r w:rsidR="0032160A">
        <w:t xml:space="preserve"> not having been demonstrated</w:t>
      </w:r>
      <w:r>
        <w:t xml:space="preserve">. </w:t>
      </w:r>
    </w:p>
    <w:p w:rsidR="00E8197B" w:rsidRDefault="00A57D21" w:rsidP="00E1152D">
      <w:pPr>
        <w:pStyle w:val="3-BodyText"/>
      </w:pPr>
      <w:r w:rsidRPr="00EC6E05">
        <w:t xml:space="preserve">The PBAC considered that the OS results </w:t>
      </w:r>
      <w:r w:rsidR="00C85D9D">
        <w:t xml:space="preserve">from JAVELIN </w:t>
      </w:r>
      <w:r w:rsidRPr="00EC6E05">
        <w:t>were immature</w:t>
      </w:r>
      <w:r w:rsidR="00C85D9D">
        <w:t xml:space="preserve"> with </w:t>
      </w:r>
      <w:r w:rsidR="00C85D9D" w:rsidRPr="00C85D9D">
        <w:t xml:space="preserve">24.7% of participants in the </w:t>
      </w:r>
      <w:r w:rsidR="00C85D9D">
        <w:t>AVE + AXI</w:t>
      </w:r>
      <w:r w:rsidR="00C85D9D" w:rsidRPr="00C85D9D">
        <w:t xml:space="preserve"> arm </w:t>
      </w:r>
      <w:r w:rsidR="00E1152D">
        <w:t>(and</w:t>
      </w:r>
      <w:r w:rsidR="00C85D9D" w:rsidRPr="00C85D9D">
        <w:t xml:space="preserve"> 29.1% in the </w:t>
      </w:r>
      <w:proofErr w:type="spellStart"/>
      <w:r w:rsidR="00C85D9D" w:rsidRPr="00C85D9D">
        <w:t>sunitinib</w:t>
      </w:r>
      <w:proofErr w:type="spellEnd"/>
      <w:r w:rsidR="00C85D9D" w:rsidRPr="00C85D9D">
        <w:t xml:space="preserve"> arm</w:t>
      </w:r>
      <w:r w:rsidR="00E1152D">
        <w:t>)</w:t>
      </w:r>
      <w:r w:rsidR="00E8197B">
        <w:t xml:space="preserve"> having died at the data-cut presented in the submission</w:t>
      </w:r>
      <w:r w:rsidR="00646529">
        <w:t xml:space="preserve">. </w:t>
      </w:r>
      <w:r w:rsidR="00E8197B">
        <w:t>The PBAC agreed with the Delegate’s Overview that ‘l</w:t>
      </w:r>
      <w:r w:rsidR="00E8197B" w:rsidRPr="00C85D9D">
        <w:t xml:space="preserve">onger follow up is required to assess for any </w:t>
      </w:r>
      <w:r w:rsidR="00465A50">
        <w:t>OS</w:t>
      </w:r>
      <w:r w:rsidR="00E8197B" w:rsidRPr="00C85D9D">
        <w:t xml:space="preserve"> benefit</w:t>
      </w:r>
      <w:r w:rsidR="00E8197B">
        <w:t>’</w:t>
      </w:r>
      <w:r w:rsidR="00E8197B" w:rsidRPr="00C85D9D">
        <w:t>.</w:t>
      </w:r>
      <w:r w:rsidR="00E8197B">
        <w:t xml:space="preserve"> The PBAC noted </w:t>
      </w:r>
      <w:r w:rsidR="0001565D">
        <w:t xml:space="preserve">that </w:t>
      </w:r>
      <w:r w:rsidR="008423EE">
        <w:t xml:space="preserve">updated OS data may be available in the near future, </w:t>
      </w:r>
      <w:r w:rsidR="006A083B">
        <w:rPr>
          <w:noProof/>
          <w:color w:val="000000"/>
          <w:highlight w:val="black"/>
        </w:rPr>
        <w:t>'''''''' ''''''' '''''''' '''''''' ''''''''''''' ''''' '''''''''''''' ''''''''''''''' '''''' '''''' '''''''''' '''''''''''</w:t>
      </w:r>
      <w:r w:rsidR="00956A44">
        <w:t>.</w:t>
      </w:r>
    </w:p>
    <w:p w:rsidR="008C76ED" w:rsidRPr="00EC6E05" w:rsidRDefault="00310BC1" w:rsidP="00465978">
      <w:pPr>
        <w:pStyle w:val="3-BodyText"/>
      </w:pPr>
      <w:r>
        <w:t xml:space="preserve">The PBAC noted </w:t>
      </w:r>
      <w:r w:rsidR="00612806">
        <w:t xml:space="preserve">there was </w:t>
      </w:r>
      <w:r>
        <w:t xml:space="preserve">a statistically significant difference in PFS </w:t>
      </w:r>
      <w:r w:rsidR="00612806">
        <w:t>for</w:t>
      </w:r>
      <w:r>
        <w:t xml:space="preserve"> AVE + AXI </w:t>
      </w:r>
      <w:r w:rsidR="00612806">
        <w:t>versus</w:t>
      </w:r>
      <w:r>
        <w:t xml:space="preserve"> </w:t>
      </w:r>
      <w:proofErr w:type="spellStart"/>
      <w:r>
        <w:t>sunitinib</w:t>
      </w:r>
      <w:proofErr w:type="spellEnd"/>
      <w:r>
        <w:t xml:space="preserve"> in the JAVELIN trial</w:t>
      </w:r>
      <w:r w:rsidR="00612806">
        <w:t>, with a HR of 0.69 (95% CI: 0.57, 0.83) in the ITT population</w:t>
      </w:r>
      <w:r>
        <w:t>.</w:t>
      </w:r>
      <w:r w:rsidR="00623CDB" w:rsidRPr="00612806">
        <w:rPr>
          <w:iCs/>
        </w:rPr>
        <w:t xml:space="preserve"> </w:t>
      </w:r>
      <w:r w:rsidR="00612806">
        <w:rPr>
          <w:iCs/>
        </w:rPr>
        <w:t xml:space="preserve">In the indirect comparison versus NIVO + IPI, the HR was 0.86 (95% CI: 0.65, 1.13) for the comparison based on the intermediate and poor risk patients. </w:t>
      </w:r>
      <w:r w:rsidR="00BC588C">
        <w:t>However</w:t>
      </w:r>
      <w:r w:rsidR="0071529B" w:rsidRPr="00EC6E05">
        <w:t xml:space="preserve">, the PBAC considered that PFS </w:t>
      </w:r>
      <w:proofErr w:type="gramStart"/>
      <w:r w:rsidR="0071529B" w:rsidRPr="00EC6E05">
        <w:t>may</w:t>
      </w:r>
      <w:proofErr w:type="gramEnd"/>
      <w:r w:rsidR="0071529B" w:rsidRPr="00EC6E05">
        <w:t xml:space="preserve"> not be </w:t>
      </w:r>
      <w:r w:rsidR="002D2F97">
        <w:t xml:space="preserve">a </w:t>
      </w:r>
      <w:r w:rsidR="0071529B" w:rsidRPr="00EC6E05">
        <w:t xml:space="preserve">reliable measure of the clinical effectiveness of immunotherapies </w:t>
      </w:r>
      <w:r w:rsidR="0041457D">
        <w:t xml:space="preserve">in this setting </w:t>
      </w:r>
      <w:r w:rsidR="0071529B" w:rsidRPr="00EC6E05">
        <w:t>as tumour responses can occur after conventional RECIST-defined progressive disease (i.e. the tumour flare effect).</w:t>
      </w:r>
      <w:r w:rsidR="00BC588C">
        <w:t xml:space="preserve"> The PBAC also </w:t>
      </w:r>
      <w:r w:rsidR="00956A44">
        <w:t>noted</w:t>
      </w:r>
      <w:r w:rsidR="00BC588C">
        <w:t xml:space="preserve"> that AVE + AXI was not associated </w:t>
      </w:r>
      <w:proofErr w:type="gramStart"/>
      <w:r w:rsidR="00BC588C">
        <w:t xml:space="preserve">with an improvement in quality of life versus </w:t>
      </w:r>
      <w:proofErr w:type="spellStart"/>
      <w:r w:rsidR="00BC588C">
        <w:t>sunitinib</w:t>
      </w:r>
      <w:proofErr w:type="spellEnd"/>
      <w:r w:rsidR="00956A44" w:rsidRPr="00956A44">
        <w:t xml:space="preserve"> </w:t>
      </w:r>
      <w:r w:rsidR="00956A44">
        <w:t>in the JAVELIN trial</w:t>
      </w:r>
      <w:proofErr w:type="gramEnd"/>
      <w:r w:rsidR="00BC588C">
        <w:t xml:space="preserve">. </w:t>
      </w:r>
    </w:p>
    <w:p w:rsidR="00956A44" w:rsidRPr="00EC6E05" w:rsidRDefault="00956A44" w:rsidP="00956A44">
      <w:pPr>
        <w:pStyle w:val="3-BodyText"/>
      </w:pPr>
      <w:r w:rsidRPr="00EC6E05">
        <w:t xml:space="preserve">The PBAC considered that the claim of </w:t>
      </w:r>
      <w:r w:rsidRPr="009232B1">
        <w:t xml:space="preserve">different but non-inferior safety </w:t>
      </w:r>
      <w:r>
        <w:t>for AVE + AXI versus NIVO + IPI was reasonable</w:t>
      </w:r>
      <w:r w:rsidRPr="00EC6E05">
        <w:t>.</w:t>
      </w:r>
    </w:p>
    <w:p w:rsidR="00F873E7" w:rsidRPr="00EC6E05" w:rsidRDefault="00F873E7" w:rsidP="002D2F97">
      <w:pPr>
        <w:pStyle w:val="3-BodyText"/>
      </w:pPr>
      <w:proofErr w:type="gramStart"/>
      <w:r>
        <w:lastRenderedPageBreak/>
        <w:t>The PBAC considered that the</w:t>
      </w:r>
      <w:r w:rsidR="002D2F97">
        <w:t xml:space="preserve"> </w:t>
      </w:r>
      <w:proofErr w:type="spellStart"/>
      <w:r w:rsidR="002D2F97">
        <w:t>equi</w:t>
      </w:r>
      <w:proofErr w:type="spellEnd"/>
      <w:r w:rsidR="002D2F97">
        <w:t xml:space="preserve">-effective doses estimated in the submission may not be reliable, as </w:t>
      </w:r>
      <w:r w:rsidR="00824853">
        <w:t xml:space="preserve">(a) </w:t>
      </w:r>
      <w:r w:rsidR="002D2F97">
        <w:t xml:space="preserve">it was unclear whether the </w:t>
      </w:r>
      <w:proofErr w:type="spellStart"/>
      <w:r w:rsidR="002D2F97">
        <w:t>equi</w:t>
      </w:r>
      <w:proofErr w:type="spellEnd"/>
      <w:r w:rsidR="002D2F97">
        <w:t xml:space="preserve">-effective dose of </w:t>
      </w:r>
      <w:proofErr w:type="spellStart"/>
      <w:r w:rsidR="002D2F97">
        <w:t>axitinib</w:t>
      </w:r>
      <w:proofErr w:type="spellEnd"/>
      <w:r w:rsidR="002D2F97">
        <w:t xml:space="preserve"> adequately accounted for wastage of the 1 mg tablets in temporary dose reductions and </w:t>
      </w:r>
      <w:r w:rsidR="00824853">
        <w:t xml:space="preserve">(b) </w:t>
      </w:r>
      <w:r w:rsidR="002D2F97" w:rsidRPr="002D2F97">
        <w:t xml:space="preserve">the majority of patients would be prescribed the </w:t>
      </w:r>
      <w:proofErr w:type="spellStart"/>
      <w:r w:rsidR="002D2F97" w:rsidRPr="002D2F97">
        <w:t>nivolumab</w:t>
      </w:r>
      <w:proofErr w:type="spellEnd"/>
      <w:r w:rsidR="002D2F97" w:rsidRPr="002D2F97">
        <w:t xml:space="preserve"> 480 mg Q4W dosing regimen</w:t>
      </w:r>
      <w:r w:rsidR="002D2F97">
        <w:t xml:space="preserve"> (as outlined in Paragraph 6.48 and 6.49).</w:t>
      </w:r>
      <w:proofErr w:type="gramEnd"/>
      <w:r w:rsidR="002D2F97">
        <w:t xml:space="preserve"> </w:t>
      </w:r>
    </w:p>
    <w:p w:rsidR="00263B53" w:rsidRDefault="00263B53" w:rsidP="00263B53">
      <w:pPr>
        <w:pStyle w:val="3-BodyText"/>
      </w:pPr>
      <w:r w:rsidRPr="00263B53">
        <w:t xml:space="preserve">The PBAC noted that a </w:t>
      </w:r>
      <w:r>
        <w:t>CMA</w:t>
      </w:r>
      <w:r w:rsidRPr="00263B53">
        <w:t xml:space="preserve"> should result in the cost of AVE + AXI being no more than the cost of NIVO </w:t>
      </w:r>
      <w:r>
        <w:t>+ IPI based on effective prices,</w:t>
      </w:r>
      <w:r w:rsidRPr="00263B53">
        <w:t xml:space="preserve"> and, noting </w:t>
      </w:r>
      <w:proofErr w:type="spellStart"/>
      <w:r w:rsidRPr="00263B53">
        <w:t>axitinib</w:t>
      </w:r>
      <w:proofErr w:type="spellEnd"/>
      <w:r w:rsidRPr="00263B53">
        <w:t xml:space="preserve"> is supplied by a different sponsor, that it was not specified in the submission how the total cost should be apportioned across </w:t>
      </w:r>
      <w:proofErr w:type="spellStart"/>
      <w:r w:rsidRPr="00263B53">
        <w:t>avelumab</w:t>
      </w:r>
      <w:proofErr w:type="spellEnd"/>
      <w:r w:rsidRPr="00263B53">
        <w:t xml:space="preserve"> and </w:t>
      </w:r>
      <w:proofErr w:type="spellStart"/>
      <w:r w:rsidRPr="00263B53">
        <w:t>axitinib</w:t>
      </w:r>
      <w:proofErr w:type="spellEnd"/>
      <w:r w:rsidRPr="00263B53">
        <w:t>.</w:t>
      </w:r>
    </w:p>
    <w:p w:rsidR="007E7182" w:rsidRPr="007E7182" w:rsidRDefault="00A83534" w:rsidP="007E7182">
      <w:pPr>
        <w:pStyle w:val="3-BodyText"/>
      </w:pPr>
      <w:r w:rsidRPr="00EC6E05">
        <w:t xml:space="preserve">The PBAC </w:t>
      </w:r>
      <w:r w:rsidR="007E7182" w:rsidRPr="007E7182">
        <w:t xml:space="preserve">considered there should be no financial implications to the Commonwealth associated with the listing of </w:t>
      </w:r>
      <w:r w:rsidR="007E7182">
        <w:t>AVE + AXI in the intermediate and poor risk population</w:t>
      </w:r>
      <w:r w:rsidR="007E7182" w:rsidRPr="007E7182">
        <w:t xml:space="preserve">, as </w:t>
      </w:r>
      <w:r w:rsidR="007E7182">
        <w:t>it</w:t>
      </w:r>
      <w:r w:rsidR="007E7182" w:rsidRPr="007E7182">
        <w:t xml:space="preserve"> would substitute for</w:t>
      </w:r>
      <w:r w:rsidR="007E7182">
        <w:t xml:space="preserve"> NIVO + IPI. </w:t>
      </w:r>
      <w:r w:rsidR="007E7182" w:rsidRPr="007E7182">
        <w:t>The PBAC advised that</w:t>
      </w:r>
      <w:r w:rsidR="007E7182">
        <w:t>, if recommended in the future,</w:t>
      </w:r>
      <w:r w:rsidR="007E7182" w:rsidRPr="007E7182">
        <w:t xml:space="preserve"> </w:t>
      </w:r>
      <w:r w:rsidR="007E7182">
        <w:t>AVE + AXI shoul</w:t>
      </w:r>
      <w:r w:rsidR="007E7182" w:rsidRPr="007E7182">
        <w:t xml:space="preserve">d join the RSA for </w:t>
      </w:r>
      <w:r w:rsidR="007E7182">
        <w:t>NIVO + IPI</w:t>
      </w:r>
      <w:r w:rsidR="007E7182" w:rsidRPr="007E7182">
        <w:t xml:space="preserve"> for the same indication with no changes to the cap. </w:t>
      </w:r>
    </w:p>
    <w:p w:rsidR="00F87368" w:rsidRDefault="0001565D" w:rsidP="007E7182">
      <w:pPr>
        <w:pStyle w:val="3-BodyText"/>
      </w:pPr>
      <w:r>
        <w:t xml:space="preserve">The PBAC considered that any resubmission would need to be a major submission and </w:t>
      </w:r>
      <w:r w:rsidR="007E7182">
        <w:t>would need to provide u</w:t>
      </w:r>
      <w:r w:rsidR="00F87368">
        <w:t xml:space="preserve">pdated OS data. </w:t>
      </w:r>
      <w:r w:rsidR="007E7182">
        <w:t xml:space="preserve">The PBAC foreshadowed that </w:t>
      </w:r>
      <w:r w:rsidR="00F87368" w:rsidRPr="00F87368">
        <w:t>acceptance o</w:t>
      </w:r>
      <w:r w:rsidR="007E7182">
        <w:t xml:space="preserve">f non-inferior efficacy versus NIVO + IPI in patients with intermediate or </w:t>
      </w:r>
      <w:r w:rsidR="00F87368" w:rsidRPr="00F87368">
        <w:t xml:space="preserve">poor-risk disease would require more compelling evidence of </w:t>
      </w:r>
      <w:r w:rsidR="008029BB">
        <w:t>superior</w:t>
      </w:r>
      <w:r w:rsidR="00F87368" w:rsidRPr="00F87368">
        <w:t xml:space="preserve"> overall survival </w:t>
      </w:r>
      <w:r w:rsidR="007E7182">
        <w:t xml:space="preserve">versus </w:t>
      </w:r>
      <w:proofErr w:type="spellStart"/>
      <w:r w:rsidR="007E7182">
        <w:t>sunitinib</w:t>
      </w:r>
      <w:proofErr w:type="spellEnd"/>
      <w:r w:rsidR="007E7182">
        <w:t xml:space="preserve">. </w:t>
      </w:r>
    </w:p>
    <w:p w:rsidR="00964D7D" w:rsidRPr="00EC6E05" w:rsidRDefault="00964D7D" w:rsidP="00453AC3">
      <w:pPr>
        <w:pStyle w:val="3-BodyText"/>
      </w:pPr>
      <w:r w:rsidRPr="00EC6E05">
        <w:t xml:space="preserve">The PBAC </w:t>
      </w:r>
      <w:r w:rsidR="00453AC3" w:rsidRPr="00EC6E05">
        <w:t>noted that this submission is eligible for an Independent Review.</w:t>
      </w:r>
    </w:p>
    <w:p w:rsidR="00BF3F60" w:rsidRPr="00484B6B" w:rsidRDefault="00BF3F60" w:rsidP="00484B6B">
      <w:pPr>
        <w:rPr>
          <w:b/>
          <w:snapToGrid w:val="0"/>
        </w:rPr>
      </w:pPr>
      <w:r w:rsidRPr="00484B6B">
        <w:rPr>
          <w:b/>
          <w:snapToGrid w:val="0"/>
        </w:rPr>
        <w:t>Outcome:</w:t>
      </w:r>
    </w:p>
    <w:p w:rsidR="00BF3F60" w:rsidRDefault="00BF3F60" w:rsidP="00BF3F60">
      <w:pPr>
        <w:pStyle w:val="3-BodyText"/>
        <w:numPr>
          <w:ilvl w:val="0"/>
          <w:numId w:val="0"/>
        </w:numPr>
      </w:pPr>
      <w:r w:rsidRPr="00EC6E05">
        <w:t>Rejected</w:t>
      </w:r>
      <w:bookmarkEnd w:id="2"/>
      <w:bookmarkEnd w:id="3"/>
      <w:bookmarkEnd w:id="4"/>
      <w:bookmarkEnd w:id="5"/>
      <w:bookmarkEnd w:id="6"/>
      <w:bookmarkEnd w:id="7"/>
      <w:bookmarkEnd w:id="8"/>
      <w:bookmarkEnd w:id="9"/>
    </w:p>
    <w:p w:rsidR="00E54E68" w:rsidRPr="00E54E68" w:rsidRDefault="00E54E68" w:rsidP="00E54E68">
      <w:pPr>
        <w:pStyle w:val="2-SectionHeading"/>
        <w:rPr>
          <w:rFonts w:eastAsiaTheme="minorHAnsi"/>
          <w:szCs w:val="22"/>
          <w:lang w:eastAsia="en-US"/>
        </w:rPr>
      </w:pPr>
      <w:r w:rsidRPr="00E54E68">
        <w:rPr>
          <w:rFonts w:eastAsiaTheme="minorHAnsi"/>
          <w:szCs w:val="22"/>
          <w:lang w:eastAsia="en-US"/>
        </w:rPr>
        <w:t>Context for Decision</w:t>
      </w:r>
    </w:p>
    <w:p w:rsidR="00E54E68" w:rsidRPr="00E54E68" w:rsidRDefault="002324FB" w:rsidP="00E54E68">
      <w:pPr>
        <w:spacing w:line="276" w:lineRule="auto"/>
        <w:rPr>
          <w:rFonts w:asciiTheme="minorHAnsi" w:eastAsiaTheme="minorHAnsi" w:hAnsiTheme="minorHAnsi"/>
          <w:szCs w:val="22"/>
          <w:lang w:eastAsia="en-US"/>
        </w:rPr>
      </w:pPr>
      <w:r w:rsidRPr="002324FB">
        <w:rPr>
          <w:rFonts w:asciiTheme="minorHAnsi" w:eastAsiaTheme="minorHAnsi" w:hAnsiTheme="minorHAnsi"/>
          <w:szCs w:val="22"/>
          <w:lang w:eastAsia="en-US"/>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w:t>
      </w:r>
      <w:proofErr w:type="gramStart"/>
      <w:r w:rsidRPr="002324FB">
        <w:rPr>
          <w:rFonts w:asciiTheme="minorHAnsi" w:eastAsiaTheme="minorHAnsi" w:hAnsiTheme="minorHAnsi"/>
          <w:szCs w:val="22"/>
          <w:lang w:eastAsia="en-US"/>
        </w:rPr>
        <w:t>should be made</w:t>
      </w:r>
      <w:proofErr w:type="gramEnd"/>
      <w:r w:rsidRPr="002324FB">
        <w:rPr>
          <w:rFonts w:asciiTheme="minorHAnsi" w:eastAsiaTheme="minorHAnsi" w:hAnsiTheme="minorHAnsi"/>
          <w:szCs w:val="22"/>
          <w:lang w:eastAsia="en-US"/>
        </w:rPr>
        <w:t xml:space="preserve"> available through the PBS. The PBAC welcomes applications containing new information at any time.</w:t>
      </w:r>
    </w:p>
    <w:p w:rsidR="00E54E68" w:rsidRPr="00E54E68" w:rsidRDefault="00E54E68" w:rsidP="00E54E68">
      <w:pPr>
        <w:pStyle w:val="2-SectionHeading"/>
        <w:rPr>
          <w:rFonts w:eastAsiaTheme="minorHAnsi"/>
          <w:szCs w:val="22"/>
          <w:lang w:eastAsia="en-US"/>
        </w:rPr>
      </w:pPr>
      <w:r w:rsidRPr="00E54E68">
        <w:rPr>
          <w:rFonts w:eastAsiaTheme="minorHAnsi"/>
          <w:szCs w:val="22"/>
          <w:lang w:eastAsia="en-US"/>
        </w:rPr>
        <w:t>Sponsor’s Comment</w:t>
      </w:r>
    </w:p>
    <w:p w:rsidR="00E54E68" w:rsidRPr="00F66945" w:rsidRDefault="00F66945" w:rsidP="00F66945">
      <w:pPr>
        <w:spacing w:line="276" w:lineRule="auto"/>
        <w:rPr>
          <w:rFonts w:asciiTheme="minorHAnsi" w:eastAsiaTheme="minorHAnsi" w:hAnsiTheme="minorHAnsi"/>
          <w:szCs w:val="22"/>
          <w:lang w:eastAsia="en-US"/>
        </w:rPr>
      </w:pPr>
      <w:proofErr w:type="gramStart"/>
      <w:r w:rsidRPr="00F66945">
        <w:rPr>
          <w:rFonts w:asciiTheme="minorHAnsi" w:eastAsiaTheme="minorHAnsi" w:hAnsiTheme="minorHAnsi"/>
          <w:szCs w:val="22"/>
          <w:lang w:eastAsia="en-US"/>
        </w:rPr>
        <w:t xml:space="preserve">Merck Healthcare is disappointed with the PBAC decision and will continue to work with the PBAC and the Department of Health to pursue reimbursement for </w:t>
      </w:r>
      <w:proofErr w:type="spellStart"/>
      <w:r w:rsidRPr="00F66945">
        <w:rPr>
          <w:rFonts w:asciiTheme="minorHAnsi" w:eastAsiaTheme="minorHAnsi" w:hAnsiTheme="minorHAnsi"/>
          <w:szCs w:val="22"/>
          <w:lang w:eastAsia="en-US"/>
        </w:rPr>
        <w:t>Bavencio</w:t>
      </w:r>
      <w:proofErr w:type="spellEnd"/>
      <w:r w:rsidRPr="00F66945">
        <w:rPr>
          <w:rFonts w:asciiTheme="minorHAnsi" w:eastAsiaTheme="minorHAnsi" w:hAnsiTheme="minorHAnsi"/>
          <w:szCs w:val="22"/>
          <w:lang w:eastAsia="en-US"/>
        </w:rPr>
        <w:t xml:space="preserve"> in combination with </w:t>
      </w:r>
      <w:proofErr w:type="spellStart"/>
      <w:r w:rsidRPr="00F66945">
        <w:rPr>
          <w:rFonts w:asciiTheme="minorHAnsi" w:eastAsiaTheme="minorHAnsi" w:hAnsiTheme="minorHAnsi"/>
          <w:szCs w:val="22"/>
          <w:lang w:eastAsia="en-US"/>
        </w:rPr>
        <w:t>axitinib</w:t>
      </w:r>
      <w:proofErr w:type="spellEnd"/>
      <w:r w:rsidRPr="00F66945">
        <w:rPr>
          <w:rFonts w:asciiTheme="minorHAnsi" w:eastAsiaTheme="minorHAnsi" w:hAnsiTheme="minorHAnsi"/>
          <w:szCs w:val="22"/>
          <w:lang w:eastAsia="en-US"/>
        </w:rPr>
        <w:t xml:space="preserve"> for the first line treatment of patients with advanced renal cell carcinoma in line with the TGA registration (effective 6 May 2020).</w:t>
      </w:r>
      <w:proofErr w:type="gramEnd"/>
    </w:p>
    <w:sectPr w:rsidR="00E54E68" w:rsidRPr="00F66945" w:rsidSect="00B118A8">
      <w:headerReference w:type="default" r:id="rId14"/>
      <w:footerReference w:type="default" r:id="rId15"/>
      <w:pgSz w:w="11906" w:h="16838"/>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174" w:rsidRDefault="008E2174" w:rsidP="00124A51">
      <w:r>
        <w:separator/>
      </w:r>
    </w:p>
    <w:p w:rsidR="008E2174" w:rsidRDefault="008E2174"/>
  </w:endnote>
  <w:endnote w:type="continuationSeparator" w:id="0">
    <w:p w:rsidR="008E2174" w:rsidRDefault="008E2174" w:rsidP="00124A51">
      <w:r>
        <w:continuationSeparator/>
      </w:r>
    </w:p>
    <w:p w:rsidR="008E2174" w:rsidRDefault="008E21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TNEJMQuadraat">
    <w:altName w:val="MS Gothic"/>
    <w:panose1 w:val="00000000000000000000"/>
    <w:charset w:val="80"/>
    <w:family w:val="roman"/>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TimesNewRoman,Bold">
    <w:altName w:val="Yu Gothic"/>
    <w:charset w:val="80"/>
    <w:family w:val="auto"/>
    <w:pitch w:val="default"/>
    <w:sig w:usb0="00000001" w:usb1="08070000" w:usb2="00000010" w:usb3="00000000" w:csb0="00020000" w:csb1="00000000"/>
  </w:font>
  <w:font w:name="TimesNewRoman">
    <w:altName w:val="Yu Gothic UI"/>
    <w:panose1 w:val="00000000000000000000"/>
    <w:charset w:val="00"/>
    <w:family w:val="roman"/>
    <w:notTrueType/>
    <w:pitch w:val="default"/>
    <w:sig w:usb0="00000003" w:usb1="08070000" w:usb2="00000010" w:usb3="00000000" w:csb0="00020001" w:csb1="00000000"/>
  </w:font>
  <w:font w:name="ScalaLancetPro">
    <w:altName w:val="Yu Gothic"/>
    <w:charset w:val="80"/>
    <w:family w:val="roman"/>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DEF" w:rsidRDefault="007F5DEF">
    <w:pPr>
      <w:pStyle w:val="Footer"/>
    </w:pPr>
  </w:p>
  <w:p w:rsidR="007F5DEF" w:rsidRPr="00C649FC" w:rsidRDefault="007F5DEF" w:rsidP="00C649FC">
    <w:pPr>
      <w:pStyle w:val="Footer"/>
      <w:jc w:val="center"/>
      <w:rPr>
        <w:b/>
      </w:rPr>
    </w:pPr>
    <w:r w:rsidRPr="00C649FC">
      <w:rPr>
        <w:b/>
      </w:rPr>
      <w:fldChar w:fldCharType="begin"/>
    </w:r>
    <w:r w:rsidRPr="00C649FC">
      <w:rPr>
        <w:b/>
      </w:rPr>
      <w:instrText xml:space="preserve"> PAGE  \* Arabic  \* MERGEFORMAT </w:instrText>
    </w:r>
    <w:r w:rsidRPr="00C649FC">
      <w:rPr>
        <w:b/>
      </w:rPr>
      <w:fldChar w:fldCharType="separate"/>
    </w:r>
    <w:r w:rsidR="008C7082">
      <w:rPr>
        <w:b/>
        <w:noProof/>
      </w:rPr>
      <w:t>32</w:t>
    </w:r>
    <w:r w:rsidRPr="00C649FC">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174" w:rsidRDefault="008E2174" w:rsidP="00124A51">
      <w:r>
        <w:separator/>
      </w:r>
    </w:p>
    <w:p w:rsidR="008E2174" w:rsidRDefault="008E2174"/>
  </w:footnote>
  <w:footnote w:type="continuationSeparator" w:id="0">
    <w:p w:rsidR="008E2174" w:rsidRDefault="008E2174" w:rsidP="00124A51">
      <w:r>
        <w:continuationSeparator/>
      </w:r>
    </w:p>
    <w:p w:rsidR="008E2174" w:rsidRDefault="008E2174"/>
  </w:footnote>
  <w:footnote w:id="1">
    <w:p w:rsidR="007F5DEF" w:rsidRDefault="007F5DEF">
      <w:pPr>
        <w:pStyle w:val="FootnoteText"/>
      </w:pPr>
      <w:r>
        <w:rPr>
          <w:rStyle w:val="FootnoteReference"/>
        </w:rPr>
        <w:footnoteRef/>
      </w:r>
      <w:r>
        <w:t xml:space="preserve"> NCCN Clinical Practice Guidelines in Oncology (NCCN Guidelines), Kidney Cancer, NCCN Evidence Blocks, Version 2.2020, August 2019, Principles of systemic therapy for relapse or Stage IV disease. Table titled ‘First-line therapy for clear cell histology’.</w:t>
      </w:r>
    </w:p>
  </w:footnote>
  <w:footnote w:id="2">
    <w:p w:rsidR="007F5DEF" w:rsidRDefault="007F5DEF">
      <w:pPr>
        <w:pStyle w:val="FootnoteText"/>
      </w:pPr>
      <w:r>
        <w:rPr>
          <w:rStyle w:val="FootnoteReference"/>
        </w:rPr>
        <w:footnoteRef/>
      </w:r>
      <w:r>
        <w:t xml:space="preserve"> </w:t>
      </w:r>
      <w:proofErr w:type="spellStart"/>
      <w:r w:rsidRPr="003C498E">
        <w:t>Cherny</w:t>
      </w:r>
      <w:proofErr w:type="spellEnd"/>
      <w:r w:rsidRPr="003C498E">
        <w:t xml:space="preserve"> NI, Dafni U, </w:t>
      </w:r>
      <w:proofErr w:type="spellStart"/>
      <w:r w:rsidRPr="003C498E">
        <w:t>Bogaerts</w:t>
      </w:r>
      <w:proofErr w:type="spellEnd"/>
      <w:r w:rsidRPr="003C498E">
        <w:t xml:space="preserve"> J, et al: ESMO-Magnitude of Clinical Benefit Scale version 1.1. Annals of Oncology 28:2340-2366, 2017]</w:t>
      </w:r>
    </w:p>
  </w:footnote>
  <w:footnote w:id="3">
    <w:p w:rsidR="007F5DEF" w:rsidRPr="00EE1C27" w:rsidRDefault="007F5DEF">
      <w:pPr>
        <w:pStyle w:val="FootnoteText"/>
        <w:rPr>
          <w:rFonts w:ascii="Arial Narrow" w:hAnsi="Arial Narrow"/>
        </w:rPr>
      </w:pPr>
      <w:r w:rsidRPr="00EE1C27">
        <w:rPr>
          <w:rStyle w:val="FootnoteReference"/>
          <w:rFonts w:ascii="Arial Narrow" w:hAnsi="Arial Narrow"/>
        </w:rPr>
        <w:footnoteRef/>
      </w:r>
      <w:r w:rsidRPr="00EE1C27">
        <w:rPr>
          <w:rFonts w:ascii="Arial Narrow" w:hAnsi="Arial Narrow"/>
        </w:rPr>
        <w:t xml:space="preserve"> </w:t>
      </w:r>
      <w:r>
        <w:rPr>
          <w:rFonts w:ascii="Arial Narrow" w:hAnsi="Arial Narrow"/>
        </w:rPr>
        <w:t xml:space="preserve">In </w:t>
      </w:r>
      <w:proofErr w:type="spellStart"/>
      <w:r>
        <w:rPr>
          <w:rFonts w:ascii="Arial Narrow" w:hAnsi="Arial Narrow"/>
        </w:rPr>
        <w:t>CheckMate</w:t>
      </w:r>
      <w:proofErr w:type="spellEnd"/>
      <w:r>
        <w:rPr>
          <w:rFonts w:ascii="Arial Narrow" w:hAnsi="Arial Narrow"/>
        </w:rPr>
        <w:t xml:space="preserve"> 214, p</w:t>
      </w:r>
      <w:r w:rsidRPr="00EE1C27">
        <w:rPr>
          <w:rFonts w:ascii="Arial Narrow" w:hAnsi="Arial Narrow"/>
        </w:rPr>
        <w:t xml:space="preserve">atients </w:t>
      </w:r>
      <w:proofErr w:type="gramStart"/>
      <w:r w:rsidRPr="00EE1C27">
        <w:rPr>
          <w:rFonts w:ascii="Arial Narrow" w:hAnsi="Arial Narrow"/>
        </w:rPr>
        <w:t>were allowed</w:t>
      </w:r>
      <w:proofErr w:type="gramEnd"/>
      <w:r w:rsidRPr="00EE1C27">
        <w:rPr>
          <w:rFonts w:ascii="Arial Narrow" w:hAnsi="Arial Narrow"/>
        </w:rPr>
        <w:t xml:space="preserve"> to receive subsequent systemic anticancer therapies before disease progression. For PFS analyses, patients </w:t>
      </w:r>
      <w:proofErr w:type="gramStart"/>
      <w:r w:rsidRPr="00EE1C27">
        <w:rPr>
          <w:rFonts w:ascii="Arial Narrow" w:hAnsi="Arial Narrow"/>
        </w:rPr>
        <w:t>were censored</w:t>
      </w:r>
      <w:proofErr w:type="gramEnd"/>
      <w:r w:rsidRPr="00EE1C27">
        <w:rPr>
          <w:rFonts w:ascii="Arial Narrow" w:hAnsi="Arial Narrow"/>
        </w:rPr>
        <w:t xml:space="preserve"> at the date of the last tumour assessment, conducted prior to the initiation of new therapies</w:t>
      </w:r>
      <w:r>
        <w:rPr>
          <w:rFonts w:ascii="Arial Narrow" w:hAnsi="Arial Narrow"/>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DEF" w:rsidRPr="00E54E68" w:rsidRDefault="007F5DEF" w:rsidP="00C649FC">
    <w:pPr>
      <w:pStyle w:val="Footer"/>
      <w:jc w:val="center"/>
      <w:rPr>
        <w:i/>
      </w:rPr>
    </w:pPr>
    <w:r w:rsidRPr="00E54E68">
      <w:rPr>
        <w:rFonts w:asciiTheme="minorHAnsi" w:hAnsiTheme="minorHAnsi" w:cstheme="minorHAnsi"/>
        <w:i/>
        <w:sz w:val="22"/>
      </w:rPr>
      <w:t xml:space="preserve">Public Summary Document </w:t>
    </w:r>
    <w:r w:rsidRPr="00E54E68">
      <w:rPr>
        <w:i/>
      </w:rPr>
      <w:t>– March 2020 PBAC meeting</w:t>
    </w:r>
  </w:p>
  <w:p w:rsidR="007F5DEF" w:rsidRDefault="007F5D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2B041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3504F5"/>
    <w:multiLevelType w:val="hybridMultilevel"/>
    <w:tmpl w:val="9AC4EF70"/>
    <w:lvl w:ilvl="0" w:tplc="0C090001">
      <w:start w:val="1"/>
      <w:numFmt w:val="bullet"/>
      <w:lvlText w:val=""/>
      <w:lvlJc w:val="left"/>
      <w:pPr>
        <w:ind w:left="1118" w:hanging="360"/>
      </w:pPr>
      <w:rPr>
        <w:rFonts w:ascii="Symbol" w:hAnsi="Symbol" w:hint="default"/>
      </w:rPr>
    </w:lvl>
    <w:lvl w:ilvl="1" w:tplc="0C090003" w:tentative="1">
      <w:start w:val="1"/>
      <w:numFmt w:val="bullet"/>
      <w:lvlText w:val="o"/>
      <w:lvlJc w:val="left"/>
      <w:pPr>
        <w:ind w:left="1838" w:hanging="360"/>
      </w:pPr>
      <w:rPr>
        <w:rFonts w:ascii="Courier New" w:hAnsi="Courier New" w:cs="Courier New" w:hint="default"/>
      </w:rPr>
    </w:lvl>
    <w:lvl w:ilvl="2" w:tplc="0C090005" w:tentative="1">
      <w:start w:val="1"/>
      <w:numFmt w:val="bullet"/>
      <w:lvlText w:val=""/>
      <w:lvlJc w:val="left"/>
      <w:pPr>
        <w:ind w:left="2558" w:hanging="360"/>
      </w:pPr>
      <w:rPr>
        <w:rFonts w:ascii="Wingdings" w:hAnsi="Wingdings" w:hint="default"/>
      </w:rPr>
    </w:lvl>
    <w:lvl w:ilvl="3" w:tplc="0C090001" w:tentative="1">
      <w:start w:val="1"/>
      <w:numFmt w:val="bullet"/>
      <w:lvlText w:val=""/>
      <w:lvlJc w:val="left"/>
      <w:pPr>
        <w:ind w:left="3278" w:hanging="360"/>
      </w:pPr>
      <w:rPr>
        <w:rFonts w:ascii="Symbol" w:hAnsi="Symbol" w:hint="default"/>
      </w:rPr>
    </w:lvl>
    <w:lvl w:ilvl="4" w:tplc="0C090003" w:tentative="1">
      <w:start w:val="1"/>
      <w:numFmt w:val="bullet"/>
      <w:lvlText w:val="o"/>
      <w:lvlJc w:val="left"/>
      <w:pPr>
        <w:ind w:left="3998" w:hanging="360"/>
      </w:pPr>
      <w:rPr>
        <w:rFonts w:ascii="Courier New" w:hAnsi="Courier New" w:cs="Courier New" w:hint="default"/>
      </w:rPr>
    </w:lvl>
    <w:lvl w:ilvl="5" w:tplc="0C090005" w:tentative="1">
      <w:start w:val="1"/>
      <w:numFmt w:val="bullet"/>
      <w:lvlText w:val=""/>
      <w:lvlJc w:val="left"/>
      <w:pPr>
        <w:ind w:left="4718" w:hanging="360"/>
      </w:pPr>
      <w:rPr>
        <w:rFonts w:ascii="Wingdings" w:hAnsi="Wingdings" w:hint="default"/>
      </w:rPr>
    </w:lvl>
    <w:lvl w:ilvl="6" w:tplc="0C090001" w:tentative="1">
      <w:start w:val="1"/>
      <w:numFmt w:val="bullet"/>
      <w:lvlText w:val=""/>
      <w:lvlJc w:val="left"/>
      <w:pPr>
        <w:ind w:left="5438" w:hanging="360"/>
      </w:pPr>
      <w:rPr>
        <w:rFonts w:ascii="Symbol" w:hAnsi="Symbol" w:hint="default"/>
      </w:rPr>
    </w:lvl>
    <w:lvl w:ilvl="7" w:tplc="0C090003" w:tentative="1">
      <w:start w:val="1"/>
      <w:numFmt w:val="bullet"/>
      <w:lvlText w:val="o"/>
      <w:lvlJc w:val="left"/>
      <w:pPr>
        <w:ind w:left="6158" w:hanging="360"/>
      </w:pPr>
      <w:rPr>
        <w:rFonts w:ascii="Courier New" w:hAnsi="Courier New" w:cs="Courier New" w:hint="default"/>
      </w:rPr>
    </w:lvl>
    <w:lvl w:ilvl="8" w:tplc="0C090005" w:tentative="1">
      <w:start w:val="1"/>
      <w:numFmt w:val="bullet"/>
      <w:lvlText w:val=""/>
      <w:lvlJc w:val="left"/>
      <w:pPr>
        <w:ind w:left="6878" w:hanging="360"/>
      </w:pPr>
      <w:rPr>
        <w:rFonts w:ascii="Wingdings" w:hAnsi="Wingdings" w:hint="default"/>
      </w:rPr>
    </w:lvl>
  </w:abstractNum>
  <w:abstractNum w:abstractNumId="2" w15:restartNumberingAfterBreak="0">
    <w:nsid w:val="29D17C5F"/>
    <w:multiLevelType w:val="hybridMultilevel"/>
    <w:tmpl w:val="326E0038"/>
    <w:lvl w:ilvl="0" w:tplc="9C446BA6">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346AD7"/>
    <w:multiLevelType w:val="hybridMultilevel"/>
    <w:tmpl w:val="1C72B826"/>
    <w:lvl w:ilvl="0" w:tplc="A22E5F30">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AD54E01"/>
    <w:multiLevelType w:val="hybridMultilevel"/>
    <w:tmpl w:val="8A266C50"/>
    <w:lvl w:ilvl="0" w:tplc="0C090001">
      <w:start w:val="1"/>
      <w:numFmt w:val="bullet"/>
      <w:lvlText w:val=""/>
      <w:lvlJc w:val="left"/>
      <w:pPr>
        <w:ind w:left="1492" w:hanging="360"/>
      </w:pPr>
      <w:rPr>
        <w:rFonts w:ascii="Symbol" w:hAnsi="Symbol" w:hint="default"/>
      </w:rPr>
    </w:lvl>
    <w:lvl w:ilvl="1" w:tplc="0C090003">
      <w:start w:val="1"/>
      <w:numFmt w:val="bullet"/>
      <w:lvlText w:val="o"/>
      <w:lvlJc w:val="left"/>
      <w:pPr>
        <w:ind w:left="2212" w:hanging="360"/>
      </w:pPr>
      <w:rPr>
        <w:rFonts w:ascii="Courier New" w:hAnsi="Courier New" w:cs="Courier New" w:hint="default"/>
      </w:rPr>
    </w:lvl>
    <w:lvl w:ilvl="2" w:tplc="0C090005" w:tentative="1">
      <w:start w:val="1"/>
      <w:numFmt w:val="bullet"/>
      <w:lvlText w:val=""/>
      <w:lvlJc w:val="left"/>
      <w:pPr>
        <w:ind w:left="2932" w:hanging="360"/>
      </w:pPr>
      <w:rPr>
        <w:rFonts w:ascii="Wingdings" w:hAnsi="Wingdings" w:hint="default"/>
      </w:rPr>
    </w:lvl>
    <w:lvl w:ilvl="3" w:tplc="0C090001" w:tentative="1">
      <w:start w:val="1"/>
      <w:numFmt w:val="bullet"/>
      <w:lvlText w:val=""/>
      <w:lvlJc w:val="left"/>
      <w:pPr>
        <w:ind w:left="3652" w:hanging="360"/>
      </w:pPr>
      <w:rPr>
        <w:rFonts w:ascii="Symbol" w:hAnsi="Symbol" w:hint="default"/>
      </w:rPr>
    </w:lvl>
    <w:lvl w:ilvl="4" w:tplc="0C090003" w:tentative="1">
      <w:start w:val="1"/>
      <w:numFmt w:val="bullet"/>
      <w:lvlText w:val="o"/>
      <w:lvlJc w:val="left"/>
      <w:pPr>
        <w:ind w:left="4372" w:hanging="360"/>
      </w:pPr>
      <w:rPr>
        <w:rFonts w:ascii="Courier New" w:hAnsi="Courier New" w:cs="Courier New" w:hint="default"/>
      </w:rPr>
    </w:lvl>
    <w:lvl w:ilvl="5" w:tplc="0C090005" w:tentative="1">
      <w:start w:val="1"/>
      <w:numFmt w:val="bullet"/>
      <w:lvlText w:val=""/>
      <w:lvlJc w:val="left"/>
      <w:pPr>
        <w:ind w:left="5092" w:hanging="360"/>
      </w:pPr>
      <w:rPr>
        <w:rFonts w:ascii="Wingdings" w:hAnsi="Wingdings" w:hint="default"/>
      </w:rPr>
    </w:lvl>
    <w:lvl w:ilvl="6" w:tplc="0C090001" w:tentative="1">
      <w:start w:val="1"/>
      <w:numFmt w:val="bullet"/>
      <w:lvlText w:val=""/>
      <w:lvlJc w:val="left"/>
      <w:pPr>
        <w:ind w:left="5812" w:hanging="360"/>
      </w:pPr>
      <w:rPr>
        <w:rFonts w:ascii="Symbol" w:hAnsi="Symbol" w:hint="default"/>
      </w:rPr>
    </w:lvl>
    <w:lvl w:ilvl="7" w:tplc="0C090003" w:tentative="1">
      <w:start w:val="1"/>
      <w:numFmt w:val="bullet"/>
      <w:lvlText w:val="o"/>
      <w:lvlJc w:val="left"/>
      <w:pPr>
        <w:ind w:left="6532" w:hanging="360"/>
      </w:pPr>
      <w:rPr>
        <w:rFonts w:ascii="Courier New" w:hAnsi="Courier New" w:cs="Courier New" w:hint="default"/>
      </w:rPr>
    </w:lvl>
    <w:lvl w:ilvl="8" w:tplc="0C090005" w:tentative="1">
      <w:start w:val="1"/>
      <w:numFmt w:val="bullet"/>
      <w:lvlText w:val=""/>
      <w:lvlJc w:val="left"/>
      <w:pPr>
        <w:ind w:left="7252" w:hanging="360"/>
      </w:pPr>
      <w:rPr>
        <w:rFonts w:ascii="Wingdings" w:hAnsi="Wingdings" w:hint="default"/>
      </w:rPr>
    </w:lvl>
  </w:abstractNum>
  <w:abstractNum w:abstractNumId="5" w15:restartNumberingAfterBreak="0">
    <w:nsid w:val="3D0E708A"/>
    <w:multiLevelType w:val="hybridMultilevel"/>
    <w:tmpl w:val="74B49F28"/>
    <w:lvl w:ilvl="0" w:tplc="F86AA20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8A28E6"/>
    <w:multiLevelType w:val="hybridMultilevel"/>
    <w:tmpl w:val="9B02260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458D67A6"/>
    <w:multiLevelType w:val="hybridMultilevel"/>
    <w:tmpl w:val="2800023E"/>
    <w:lvl w:ilvl="0" w:tplc="04090001">
      <w:start w:val="1"/>
      <w:numFmt w:val="bullet"/>
      <w:lvlText w:val=""/>
      <w:lvlJc w:val="left"/>
      <w:pPr>
        <w:ind w:left="720" w:hanging="360"/>
      </w:pPr>
      <w:rPr>
        <w:rFonts w:ascii="Symbol" w:hAnsi="Symbol" w:hint="default"/>
      </w:rPr>
    </w:lvl>
    <w:lvl w:ilvl="1" w:tplc="669E4332">
      <w:start w:val="1"/>
      <w:numFmt w:val="decimal"/>
      <w:lvlText w:val="1.%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D77663"/>
    <w:multiLevelType w:val="hybridMultilevel"/>
    <w:tmpl w:val="2048E8EE"/>
    <w:lvl w:ilvl="0" w:tplc="55B6AA02">
      <w:start w:val="1"/>
      <w:numFmt w:val="decimal"/>
      <w:pStyle w:val="Ntabletext"/>
      <w:lvlText w:val="%1"/>
      <w:lvlJc w:val="left"/>
      <w:pPr>
        <w:ind w:left="360" w:hanging="360"/>
      </w:pPr>
      <w:rPr>
        <w:rFonts w:ascii="Calibri" w:hAnsi="Calibri" w:hint="default"/>
        <w:b w:val="0"/>
        <w:i w:val="0"/>
        <w:color w:val="auto"/>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EDC0CED"/>
    <w:multiLevelType w:val="hybridMultilevel"/>
    <w:tmpl w:val="F12CBA2A"/>
    <w:lvl w:ilvl="0" w:tplc="69289594">
      <w:numFmt w:val="bullet"/>
      <w:lvlText w:val="-"/>
      <w:lvlJc w:val="left"/>
      <w:pPr>
        <w:ind w:left="410" w:hanging="360"/>
      </w:pPr>
      <w:rPr>
        <w:rFonts w:ascii="Times New Roman" w:eastAsia="Times New Roman" w:hAnsi="Times New Roman" w:cs="Times New Roman"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11" w15:restartNumberingAfterBreak="0">
    <w:nsid w:val="4F1D638E"/>
    <w:multiLevelType w:val="multilevel"/>
    <w:tmpl w:val="2E7811DC"/>
    <w:styleLink w:val="SectionBi"/>
    <w:lvl w:ilvl="0">
      <w:start w:val="2"/>
      <w:numFmt w:val="upperLetter"/>
      <w:lvlText w:val="%1(i)."/>
      <w:lvlJc w:val="left"/>
      <w:pPr>
        <w:ind w:left="1134" w:hanging="1134"/>
      </w:pPr>
      <w:rPr>
        <w:rFonts w:ascii="Arial" w:hAnsi="Arial" w:hint="default"/>
        <w:b/>
        <w:sz w:val="22"/>
        <w:szCs w:val="22"/>
      </w:rPr>
    </w:lvl>
    <w:lvl w:ilvl="1">
      <w:start w:val="1"/>
      <w:numFmt w:val="decimal"/>
      <w:lvlText w:val="%1(i).%2"/>
      <w:lvlJc w:val="left"/>
      <w:pPr>
        <w:ind w:left="1134" w:hanging="1134"/>
      </w:pPr>
      <w:rPr>
        <w:rFonts w:ascii="Arial" w:hAnsi="Arial" w:hint="default"/>
        <w:sz w:val="22"/>
      </w:rPr>
    </w:lvl>
    <w:lvl w:ilvl="2">
      <w:start w:val="1"/>
      <w:numFmt w:val="decimal"/>
      <w:lvlText w:val="%1(i).%2.%3"/>
      <w:lvlJc w:val="left"/>
      <w:pPr>
        <w:ind w:left="1134" w:hanging="1134"/>
      </w:pPr>
      <w:rPr>
        <w:rFonts w:ascii="Arial" w:hAnsi="Arial" w:hint="default"/>
        <w:sz w:val="22"/>
      </w:rPr>
    </w:lvl>
    <w:lvl w:ilvl="3">
      <w:start w:val="1"/>
      <w:numFmt w:val="decimal"/>
      <w:lvlText w:val="%1(i).%2.%3.%4"/>
      <w:lvlJc w:val="left"/>
      <w:pPr>
        <w:ind w:left="1134" w:hanging="1134"/>
      </w:pPr>
      <w:rPr>
        <w:rFonts w:ascii="Arial" w:hAnsi="Arial" w:hint="default"/>
        <w:sz w:val="22"/>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2" w15:restartNumberingAfterBreak="0">
    <w:nsid w:val="53400AF7"/>
    <w:multiLevelType w:val="hybridMultilevel"/>
    <w:tmpl w:val="DE18EA4E"/>
    <w:lvl w:ilvl="0" w:tplc="CE644E5E">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4" w15:restartNumberingAfterBreak="0">
    <w:nsid w:val="55C2451B"/>
    <w:multiLevelType w:val="multilevel"/>
    <w:tmpl w:val="A3A47A84"/>
    <w:lvl w:ilvl="0">
      <w:start w:val="2"/>
      <w:numFmt w:val="decimal"/>
      <w:lvlText w:val="%1"/>
      <w:lvlJc w:val="left"/>
      <w:pPr>
        <w:ind w:left="360" w:hanging="360"/>
      </w:pPr>
      <w:rPr>
        <w:rFonts w:ascii="Times New Roman" w:hAnsi="Times New Roman" w:cs="Times New Roman" w:hint="default"/>
        <w:sz w:val="20"/>
      </w:rPr>
    </w:lvl>
    <w:lvl w:ilvl="1">
      <w:start w:val="5"/>
      <w:numFmt w:val="decimal"/>
      <w:lvlText w:val="%1.%2"/>
      <w:lvlJc w:val="left"/>
      <w:pPr>
        <w:ind w:left="360" w:hanging="360"/>
      </w:pPr>
      <w:rPr>
        <w:rFonts w:ascii="Times New Roman" w:hAnsi="Times New Roman" w:cs="Times New Roman" w:hint="default"/>
        <w:sz w:val="20"/>
      </w:rPr>
    </w:lvl>
    <w:lvl w:ilvl="2">
      <w:start w:val="1"/>
      <w:numFmt w:val="decimal"/>
      <w:lvlText w:val="%1.%2.%3"/>
      <w:lvlJc w:val="left"/>
      <w:pPr>
        <w:ind w:left="720" w:hanging="720"/>
      </w:pPr>
      <w:rPr>
        <w:rFonts w:ascii="Times New Roman" w:hAnsi="Times New Roman" w:cs="Times New Roman" w:hint="default"/>
        <w:sz w:val="20"/>
      </w:rPr>
    </w:lvl>
    <w:lvl w:ilvl="3">
      <w:start w:val="1"/>
      <w:numFmt w:val="decimal"/>
      <w:lvlText w:val="%1.%2.%3.%4"/>
      <w:lvlJc w:val="left"/>
      <w:pPr>
        <w:ind w:left="720" w:hanging="720"/>
      </w:pPr>
      <w:rPr>
        <w:rFonts w:ascii="Times New Roman" w:hAnsi="Times New Roman" w:cs="Times New Roman" w:hint="default"/>
        <w:sz w:val="20"/>
      </w:rPr>
    </w:lvl>
    <w:lvl w:ilvl="4">
      <w:start w:val="1"/>
      <w:numFmt w:val="decimal"/>
      <w:lvlText w:val="%1.%2.%3.%4.%5"/>
      <w:lvlJc w:val="left"/>
      <w:pPr>
        <w:ind w:left="1080" w:hanging="1080"/>
      </w:pPr>
      <w:rPr>
        <w:rFonts w:ascii="Times New Roman" w:hAnsi="Times New Roman" w:cs="Times New Roman" w:hint="default"/>
        <w:sz w:val="20"/>
      </w:rPr>
    </w:lvl>
    <w:lvl w:ilvl="5">
      <w:start w:val="1"/>
      <w:numFmt w:val="decimal"/>
      <w:lvlText w:val="%1.%2.%3.%4.%5.%6"/>
      <w:lvlJc w:val="left"/>
      <w:pPr>
        <w:ind w:left="1080" w:hanging="1080"/>
      </w:pPr>
      <w:rPr>
        <w:rFonts w:ascii="Times New Roman" w:hAnsi="Times New Roman" w:cs="Times New Roman" w:hint="default"/>
        <w:sz w:val="20"/>
      </w:rPr>
    </w:lvl>
    <w:lvl w:ilvl="6">
      <w:start w:val="1"/>
      <w:numFmt w:val="decimal"/>
      <w:lvlText w:val="%1.%2.%3.%4.%5.%6.%7"/>
      <w:lvlJc w:val="left"/>
      <w:pPr>
        <w:ind w:left="1440" w:hanging="1440"/>
      </w:pPr>
      <w:rPr>
        <w:rFonts w:ascii="Times New Roman" w:hAnsi="Times New Roman" w:cs="Times New Roman" w:hint="default"/>
        <w:sz w:val="20"/>
      </w:rPr>
    </w:lvl>
    <w:lvl w:ilvl="7">
      <w:start w:val="1"/>
      <w:numFmt w:val="decimal"/>
      <w:lvlText w:val="%1.%2.%3.%4.%5.%6.%7.%8"/>
      <w:lvlJc w:val="left"/>
      <w:pPr>
        <w:ind w:left="1440" w:hanging="1440"/>
      </w:pPr>
      <w:rPr>
        <w:rFonts w:ascii="Times New Roman" w:hAnsi="Times New Roman" w:cs="Times New Roman" w:hint="default"/>
        <w:sz w:val="20"/>
      </w:rPr>
    </w:lvl>
    <w:lvl w:ilvl="8">
      <w:start w:val="1"/>
      <w:numFmt w:val="decimal"/>
      <w:lvlText w:val="%1.%2.%3.%4.%5.%6.%7.%8.%9"/>
      <w:lvlJc w:val="left"/>
      <w:pPr>
        <w:ind w:left="1800" w:hanging="1800"/>
      </w:pPr>
      <w:rPr>
        <w:rFonts w:ascii="Times New Roman" w:hAnsi="Times New Roman" w:cs="Times New Roman" w:hint="default"/>
        <w:sz w:val="20"/>
      </w:rPr>
    </w:lvl>
  </w:abstractNum>
  <w:abstractNum w:abstractNumId="15" w15:restartNumberingAfterBreak="0">
    <w:nsid w:val="5D862EFB"/>
    <w:multiLevelType w:val="hybridMultilevel"/>
    <w:tmpl w:val="F6549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FF87E60"/>
    <w:multiLevelType w:val="hybridMultilevel"/>
    <w:tmpl w:val="E3FE16E8"/>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7" w15:restartNumberingAfterBreak="0">
    <w:nsid w:val="63B86374"/>
    <w:multiLevelType w:val="hybridMultilevel"/>
    <w:tmpl w:val="6B86507A"/>
    <w:lvl w:ilvl="0" w:tplc="590C8758">
      <w:start w:val="1"/>
      <w:numFmt w:val="decimal"/>
      <w:lvlText w:val="%1."/>
      <w:lvlJc w:val="left"/>
      <w:pPr>
        <w:ind w:left="3054" w:hanging="360"/>
      </w:pPr>
      <w:rPr>
        <w:b w:val="0"/>
        <w:i/>
      </w:rPr>
    </w:lvl>
    <w:lvl w:ilvl="1" w:tplc="ED7AED50">
      <w:start w:val="1"/>
      <w:numFmt w:val="lowerLetter"/>
      <w:lvlText w:val="%2."/>
      <w:lvlJc w:val="left"/>
      <w:pPr>
        <w:ind w:left="1440" w:hanging="360"/>
      </w:pPr>
      <w:rPr>
        <w: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C6951EF"/>
    <w:multiLevelType w:val="multilevel"/>
    <w:tmpl w:val="2C30BB9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8495772"/>
    <w:multiLevelType w:val="hybridMultilevel"/>
    <w:tmpl w:val="6B1A60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784D033C"/>
    <w:multiLevelType w:val="multilevel"/>
    <w:tmpl w:val="177A2776"/>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i w:val="0"/>
        <w:color w:val="auto"/>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DC95B7A"/>
    <w:multiLevelType w:val="hybridMultilevel"/>
    <w:tmpl w:val="C32AB40C"/>
    <w:lvl w:ilvl="0" w:tplc="BA20F958">
      <w:numFmt w:val="bullet"/>
      <w:pStyle w:val="Table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8"/>
  </w:num>
  <w:num w:numId="4">
    <w:abstractNumId w:val="0"/>
  </w:num>
  <w:num w:numId="5">
    <w:abstractNumId w:val="20"/>
  </w:num>
  <w:num w:numId="6">
    <w:abstractNumId w:val="9"/>
  </w:num>
  <w:num w:numId="7">
    <w:abstractNumId w:val="21"/>
  </w:num>
  <w:num w:numId="8">
    <w:abstractNumId w:val="11"/>
  </w:num>
  <w:num w:numId="9">
    <w:abstractNumId w:val="16"/>
  </w:num>
  <w:num w:numId="10">
    <w:abstractNumId w:val="7"/>
  </w:num>
  <w:num w:numId="11">
    <w:abstractNumId w:val="15"/>
  </w:num>
  <w:num w:numId="12">
    <w:abstractNumId w:val="17"/>
  </w:num>
  <w:num w:numId="13">
    <w:abstractNumId w:val="5"/>
  </w:num>
  <w:num w:numId="14">
    <w:abstractNumId w:val="14"/>
  </w:num>
  <w:num w:numId="15">
    <w:abstractNumId w:val="4"/>
  </w:num>
  <w:num w:numId="16">
    <w:abstractNumId w:val="0"/>
  </w:num>
  <w:num w:numId="17">
    <w:abstractNumId w:val="1"/>
  </w:num>
  <w:num w:numId="18">
    <w:abstractNumId w:val="18"/>
  </w:num>
  <w:num w:numId="19">
    <w:abstractNumId w:val="8"/>
  </w:num>
  <w:num w:numId="20">
    <w:abstractNumId w:val="3"/>
  </w:num>
  <w:num w:numId="21">
    <w:abstractNumId w:val="20"/>
  </w:num>
  <w:num w:numId="22">
    <w:abstractNumId w:val="20"/>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9"/>
  </w:num>
  <w:num w:numId="26">
    <w:abstractNumId w:val="20"/>
  </w:num>
  <w:num w:numId="27">
    <w:abstractNumId w:val="20"/>
  </w:num>
  <w:num w:numId="28">
    <w:abstractNumId w:val="12"/>
  </w:num>
  <w:num w:numId="29">
    <w:abstractNumId w:val="20"/>
  </w:num>
  <w:num w:numId="30">
    <w:abstractNumId w:val="20"/>
  </w:num>
  <w:num w:numId="31">
    <w:abstractNumId w:val="20"/>
  </w:num>
  <w:num w:numId="32">
    <w:abstractNumId w:val="20"/>
  </w:num>
  <w:num w:numId="33">
    <w:abstractNumId w:val="20"/>
  </w:num>
  <w:num w:numId="34">
    <w:abstractNumId w:val="20"/>
  </w:num>
  <w:num w:numId="35">
    <w:abstractNumId w:val="2"/>
  </w:num>
  <w:num w:numId="36">
    <w:abstractNumId w:val="20"/>
  </w:num>
  <w:num w:numId="37">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AyMzUwMbIwMTCyNDFV0lEKTi0uzszPAykwNKsFACCaI0ktAAAA"/>
  </w:docVars>
  <w:rsids>
    <w:rsidRoot w:val="00E65E79"/>
    <w:rsid w:val="000005A2"/>
    <w:rsid w:val="00000790"/>
    <w:rsid w:val="00001005"/>
    <w:rsid w:val="0000110B"/>
    <w:rsid w:val="00003280"/>
    <w:rsid w:val="0000333F"/>
    <w:rsid w:val="00003499"/>
    <w:rsid w:val="00003595"/>
    <w:rsid w:val="000035F1"/>
    <w:rsid w:val="000039B7"/>
    <w:rsid w:val="00003DA1"/>
    <w:rsid w:val="00004668"/>
    <w:rsid w:val="00004828"/>
    <w:rsid w:val="000049BD"/>
    <w:rsid w:val="00004E24"/>
    <w:rsid w:val="000054E6"/>
    <w:rsid w:val="00005707"/>
    <w:rsid w:val="00005877"/>
    <w:rsid w:val="00006251"/>
    <w:rsid w:val="0000639A"/>
    <w:rsid w:val="00006FD7"/>
    <w:rsid w:val="0000733D"/>
    <w:rsid w:val="00007F89"/>
    <w:rsid w:val="000100A2"/>
    <w:rsid w:val="00010946"/>
    <w:rsid w:val="00010B34"/>
    <w:rsid w:val="00011EC2"/>
    <w:rsid w:val="00011F40"/>
    <w:rsid w:val="00012B13"/>
    <w:rsid w:val="00012DEC"/>
    <w:rsid w:val="00013247"/>
    <w:rsid w:val="000138B4"/>
    <w:rsid w:val="00013E5B"/>
    <w:rsid w:val="00014C3B"/>
    <w:rsid w:val="00014E7F"/>
    <w:rsid w:val="0001515F"/>
    <w:rsid w:val="0001565D"/>
    <w:rsid w:val="00015886"/>
    <w:rsid w:val="00015AED"/>
    <w:rsid w:val="0001619D"/>
    <w:rsid w:val="000162EF"/>
    <w:rsid w:val="0001666B"/>
    <w:rsid w:val="00016751"/>
    <w:rsid w:val="00016B6C"/>
    <w:rsid w:val="00016D57"/>
    <w:rsid w:val="00016F9D"/>
    <w:rsid w:val="0001713C"/>
    <w:rsid w:val="000175D2"/>
    <w:rsid w:val="0001767F"/>
    <w:rsid w:val="0001771E"/>
    <w:rsid w:val="00017C64"/>
    <w:rsid w:val="00017DE6"/>
    <w:rsid w:val="0002018B"/>
    <w:rsid w:val="000207C9"/>
    <w:rsid w:val="00020863"/>
    <w:rsid w:val="00020E99"/>
    <w:rsid w:val="00020F60"/>
    <w:rsid w:val="00021249"/>
    <w:rsid w:val="00022110"/>
    <w:rsid w:val="0002225F"/>
    <w:rsid w:val="000223F6"/>
    <w:rsid w:val="00023763"/>
    <w:rsid w:val="00023B62"/>
    <w:rsid w:val="00023B8D"/>
    <w:rsid w:val="00023B92"/>
    <w:rsid w:val="00024396"/>
    <w:rsid w:val="00025380"/>
    <w:rsid w:val="00025E80"/>
    <w:rsid w:val="000261E9"/>
    <w:rsid w:val="00026635"/>
    <w:rsid w:val="0002679A"/>
    <w:rsid w:val="00026A5E"/>
    <w:rsid w:val="000274B8"/>
    <w:rsid w:val="0002765D"/>
    <w:rsid w:val="00027BFF"/>
    <w:rsid w:val="0003052C"/>
    <w:rsid w:val="000305EC"/>
    <w:rsid w:val="00031A49"/>
    <w:rsid w:val="00031A94"/>
    <w:rsid w:val="00031C98"/>
    <w:rsid w:val="00031CD9"/>
    <w:rsid w:val="00031F83"/>
    <w:rsid w:val="00032B95"/>
    <w:rsid w:val="00033863"/>
    <w:rsid w:val="00035DB0"/>
    <w:rsid w:val="00035DC0"/>
    <w:rsid w:val="000362AD"/>
    <w:rsid w:val="00036829"/>
    <w:rsid w:val="00036D2E"/>
    <w:rsid w:val="00037231"/>
    <w:rsid w:val="00037335"/>
    <w:rsid w:val="00037659"/>
    <w:rsid w:val="000406CA"/>
    <w:rsid w:val="00040895"/>
    <w:rsid w:val="00042E4E"/>
    <w:rsid w:val="000430A4"/>
    <w:rsid w:val="00043317"/>
    <w:rsid w:val="000435EE"/>
    <w:rsid w:val="00043955"/>
    <w:rsid w:val="00043BB9"/>
    <w:rsid w:val="00043C37"/>
    <w:rsid w:val="00043C4E"/>
    <w:rsid w:val="00043CA5"/>
    <w:rsid w:val="0004423D"/>
    <w:rsid w:val="00044693"/>
    <w:rsid w:val="000448C2"/>
    <w:rsid w:val="00044F97"/>
    <w:rsid w:val="00045017"/>
    <w:rsid w:val="00045A2B"/>
    <w:rsid w:val="00045E63"/>
    <w:rsid w:val="00046085"/>
    <w:rsid w:val="0004609C"/>
    <w:rsid w:val="0004698F"/>
    <w:rsid w:val="00047098"/>
    <w:rsid w:val="00050149"/>
    <w:rsid w:val="0005041B"/>
    <w:rsid w:val="00050479"/>
    <w:rsid w:val="0005097A"/>
    <w:rsid w:val="00050A50"/>
    <w:rsid w:val="00050AE1"/>
    <w:rsid w:val="00050FE1"/>
    <w:rsid w:val="00051258"/>
    <w:rsid w:val="0005148E"/>
    <w:rsid w:val="00052050"/>
    <w:rsid w:val="000524AE"/>
    <w:rsid w:val="000526E2"/>
    <w:rsid w:val="000532F9"/>
    <w:rsid w:val="000539D0"/>
    <w:rsid w:val="00054621"/>
    <w:rsid w:val="000546D7"/>
    <w:rsid w:val="00054785"/>
    <w:rsid w:val="0005479E"/>
    <w:rsid w:val="00054F01"/>
    <w:rsid w:val="000554C9"/>
    <w:rsid w:val="0005568A"/>
    <w:rsid w:val="00055C1D"/>
    <w:rsid w:val="00055E10"/>
    <w:rsid w:val="00055FB1"/>
    <w:rsid w:val="00056142"/>
    <w:rsid w:val="00056ECF"/>
    <w:rsid w:val="00056F77"/>
    <w:rsid w:val="0005717D"/>
    <w:rsid w:val="00057278"/>
    <w:rsid w:val="00060304"/>
    <w:rsid w:val="000604DF"/>
    <w:rsid w:val="0006050C"/>
    <w:rsid w:val="0006097D"/>
    <w:rsid w:val="00060D11"/>
    <w:rsid w:val="0006142E"/>
    <w:rsid w:val="00061459"/>
    <w:rsid w:val="00061AC2"/>
    <w:rsid w:val="0006205E"/>
    <w:rsid w:val="000621EB"/>
    <w:rsid w:val="00062D1A"/>
    <w:rsid w:val="00063B69"/>
    <w:rsid w:val="00063F57"/>
    <w:rsid w:val="00064816"/>
    <w:rsid w:val="000652B2"/>
    <w:rsid w:val="000653B5"/>
    <w:rsid w:val="000658C2"/>
    <w:rsid w:val="00065E72"/>
    <w:rsid w:val="00066360"/>
    <w:rsid w:val="00066AF8"/>
    <w:rsid w:val="00066B75"/>
    <w:rsid w:val="00067C11"/>
    <w:rsid w:val="000701D7"/>
    <w:rsid w:val="0007047D"/>
    <w:rsid w:val="00070678"/>
    <w:rsid w:val="00071248"/>
    <w:rsid w:val="00071AD3"/>
    <w:rsid w:val="00071E1B"/>
    <w:rsid w:val="000720B9"/>
    <w:rsid w:val="00072990"/>
    <w:rsid w:val="000737F7"/>
    <w:rsid w:val="00073B39"/>
    <w:rsid w:val="0007518E"/>
    <w:rsid w:val="000765E3"/>
    <w:rsid w:val="0007672F"/>
    <w:rsid w:val="00076B54"/>
    <w:rsid w:val="00077135"/>
    <w:rsid w:val="000772F2"/>
    <w:rsid w:val="000774F0"/>
    <w:rsid w:val="0007766D"/>
    <w:rsid w:val="00077BCA"/>
    <w:rsid w:val="0008014C"/>
    <w:rsid w:val="000801D0"/>
    <w:rsid w:val="000803D3"/>
    <w:rsid w:val="000806C0"/>
    <w:rsid w:val="0008076F"/>
    <w:rsid w:val="000808BF"/>
    <w:rsid w:val="00080909"/>
    <w:rsid w:val="00080EE3"/>
    <w:rsid w:val="00080F50"/>
    <w:rsid w:val="000812CA"/>
    <w:rsid w:val="00081DD2"/>
    <w:rsid w:val="00081E37"/>
    <w:rsid w:val="00081E63"/>
    <w:rsid w:val="0008258D"/>
    <w:rsid w:val="0008289F"/>
    <w:rsid w:val="00082CF7"/>
    <w:rsid w:val="00082D59"/>
    <w:rsid w:val="00082DA3"/>
    <w:rsid w:val="0008383F"/>
    <w:rsid w:val="00083E13"/>
    <w:rsid w:val="00083E99"/>
    <w:rsid w:val="00083FB7"/>
    <w:rsid w:val="000843C1"/>
    <w:rsid w:val="000848A6"/>
    <w:rsid w:val="00084FA8"/>
    <w:rsid w:val="000856C5"/>
    <w:rsid w:val="00085839"/>
    <w:rsid w:val="00085BB9"/>
    <w:rsid w:val="00085C31"/>
    <w:rsid w:val="0008603B"/>
    <w:rsid w:val="00086B5B"/>
    <w:rsid w:val="0008763D"/>
    <w:rsid w:val="00087886"/>
    <w:rsid w:val="00087BC9"/>
    <w:rsid w:val="000902D9"/>
    <w:rsid w:val="0009032C"/>
    <w:rsid w:val="0009079C"/>
    <w:rsid w:val="00090923"/>
    <w:rsid w:val="00090C7E"/>
    <w:rsid w:val="000922B3"/>
    <w:rsid w:val="00092600"/>
    <w:rsid w:val="0009262B"/>
    <w:rsid w:val="00092AC5"/>
    <w:rsid w:val="00092F4A"/>
    <w:rsid w:val="00093310"/>
    <w:rsid w:val="00093ADE"/>
    <w:rsid w:val="00093C27"/>
    <w:rsid w:val="00093CDC"/>
    <w:rsid w:val="00093E7E"/>
    <w:rsid w:val="000942EC"/>
    <w:rsid w:val="0009445C"/>
    <w:rsid w:val="00094682"/>
    <w:rsid w:val="00094902"/>
    <w:rsid w:val="00095200"/>
    <w:rsid w:val="00095FE5"/>
    <w:rsid w:val="00096284"/>
    <w:rsid w:val="00096684"/>
    <w:rsid w:val="00096C0F"/>
    <w:rsid w:val="00096E33"/>
    <w:rsid w:val="00097264"/>
    <w:rsid w:val="000974F2"/>
    <w:rsid w:val="00097568"/>
    <w:rsid w:val="000A016F"/>
    <w:rsid w:val="000A0192"/>
    <w:rsid w:val="000A1BC0"/>
    <w:rsid w:val="000A1E7C"/>
    <w:rsid w:val="000A21E1"/>
    <w:rsid w:val="000A2D94"/>
    <w:rsid w:val="000A304F"/>
    <w:rsid w:val="000A3818"/>
    <w:rsid w:val="000A4195"/>
    <w:rsid w:val="000A4426"/>
    <w:rsid w:val="000A48E8"/>
    <w:rsid w:val="000A5195"/>
    <w:rsid w:val="000A6039"/>
    <w:rsid w:val="000A62D8"/>
    <w:rsid w:val="000A652C"/>
    <w:rsid w:val="000A655B"/>
    <w:rsid w:val="000A6A35"/>
    <w:rsid w:val="000A6A8E"/>
    <w:rsid w:val="000A7075"/>
    <w:rsid w:val="000A7453"/>
    <w:rsid w:val="000A7568"/>
    <w:rsid w:val="000A7872"/>
    <w:rsid w:val="000A7A95"/>
    <w:rsid w:val="000A7CD3"/>
    <w:rsid w:val="000A7D08"/>
    <w:rsid w:val="000B0121"/>
    <w:rsid w:val="000B0670"/>
    <w:rsid w:val="000B09C5"/>
    <w:rsid w:val="000B0E75"/>
    <w:rsid w:val="000B15AE"/>
    <w:rsid w:val="000B1979"/>
    <w:rsid w:val="000B1EF5"/>
    <w:rsid w:val="000B2083"/>
    <w:rsid w:val="000B2DCB"/>
    <w:rsid w:val="000B3705"/>
    <w:rsid w:val="000B38BA"/>
    <w:rsid w:val="000B41A0"/>
    <w:rsid w:val="000B45FE"/>
    <w:rsid w:val="000B4D23"/>
    <w:rsid w:val="000B5A66"/>
    <w:rsid w:val="000B5B01"/>
    <w:rsid w:val="000B5B1C"/>
    <w:rsid w:val="000B5C29"/>
    <w:rsid w:val="000B5CE0"/>
    <w:rsid w:val="000B66E2"/>
    <w:rsid w:val="000B678A"/>
    <w:rsid w:val="000B6BB8"/>
    <w:rsid w:val="000B6CAC"/>
    <w:rsid w:val="000B7033"/>
    <w:rsid w:val="000B71F8"/>
    <w:rsid w:val="000B73F8"/>
    <w:rsid w:val="000B74E5"/>
    <w:rsid w:val="000B7612"/>
    <w:rsid w:val="000B78AE"/>
    <w:rsid w:val="000B7C8C"/>
    <w:rsid w:val="000B7E4F"/>
    <w:rsid w:val="000B7F20"/>
    <w:rsid w:val="000C01E2"/>
    <w:rsid w:val="000C0AFE"/>
    <w:rsid w:val="000C0B4F"/>
    <w:rsid w:val="000C1581"/>
    <w:rsid w:val="000C1774"/>
    <w:rsid w:val="000C25C0"/>
    <w:rsid w:val="000C268E"/>
    <w:rsid w:val="000C288A"/>
    <w:rsid w:val="000C2AAC"/>
    <w:rsid w:val="000C30F5"/>
    <w:rsid w:val="000C33E0"/>
    <w:rsid w:val="000C3DF9"/>
    <w:rsid w:val="000C4270"/>
    <w:rsid w:val="000C4623"/>
    <w:rsid w:val="000C46A5"/>
    <w:rsid w:val="000C4A5B"/>
    <w:rsid w:val="000C5302"/>
    <w:rsid w:val="000C5C42"/>
    <w:rsid w:val="000C60C4"/>
    <w:rsid w:val="000C6430"/>
    <w:rsid w:val="000C6713"/>
    <w:rsid w:val="000C6EEA"/>
    <w:rsid w:val="000C79F8"/>
    <w:rsid w:val="000C7F16"/>
    <w:rsid w:val="000D01FF"/>
    <w:rsid w:val="000D0CB3"/>
    <w:rsid w:val="000D0F39"/>
    <w:rsid w:val="000D17BB"/>
    <w:rsid w:val="000D1BFC"/>
    <w:rsid w:val="000D1C5D"/>
    <w:rsid w:val="000D1D5D"/>
    <w:rsid w:val="000D2362"/>
    <w:rsid w:val="000D281A"/>
    <w:rsid w:val="000D2848"/>
    <w:rsid w:val="000D2F4A"/>
    <w:rsid w:val="000D326A"/>
    <w:rsid w:val="000D3300"/>
    <w:rsid w:val="000D3C71"/>
    <w:rsid w:val="000D3F31"/>
    <w:rsid w:val="000D423A"/>
    <w:rsid w:val="000D4ECD"/>
    <w:rsid w:val="000D51AC"/>
    <w:rsid w:val="000D51FB"/>
    <w:rsid w:val="000D54EE"/>
    <w:rsid w:val="000D55A0"/>
    <w:rsid w:val="000D5827"/>
    <w:rsid w:val="000D5EAA"/>
    <w:rsid w:val="000D5F41"/>
    <w:rsid w:val="000E0640"/>
    <w:rsid w:val="000E071D"/>
    <w:rsid w:val="000E0CCF"/>
    <w:rsid w:val="000E135D"/>
    <w:rsid w:val="000E13BC"/>
    <w:rsid w:val="000E1B56"/>
    <w:rsid w:val="000E280F"/>
    <w:rsid w:val="000E355D"/>
    <w:rsid w:val="000E3C15"/>
    <w:rsid w:val="000E3C69"/>
    <w:rsid w:val="000E4708"/>
    <w:rsid w:val="000E47B3"/>
    <w:rsid w:val="000E5448"/>
    <w:rsid w:val="000E54CC"/>
    <w:rsid w:val="000E5E1A"/>
    <w:rsid w:val="000E7496"/>
    <w:rsid w:val="000F00BA"/>
    <w:rsid w:val="000F0EDC"/>
    <w:rsid w:val="000F159E"/>
    <w:rsid w:val="000F1624"/>
    <w:rsid w:val="000F1B8B"/>
    <w:rsid w:val="000F1DA8"/>
    <w:rsid w:val="000F1F22"/>
    <w:rsid w:val="000F2A2C"/>
    <w:rsid w:val="000F2EDE"/>
    <w:rsid w:val="000F2FFB"/>
    <w:rsid w:val="000F316A"/>
    <w:rsid w:val="000F32E4"/>
    <w:rsid w:val="000F350B"/>
    <w:rsid w:val="000F3875"/>
    <w:rsid w:val="000F3C3B"/>
    <w:rsid w:val="000F3C74"/>
    <w:rsid w:val="000F3E6B"/>
    <w:rsid w:val="000F3F0A"/>
    <w:rsid w:val="000F408E"/>
    <w:rsid w:val="000F4BB8"/>
    <w:rsid w:val="000F4FA9"/>
    <w:rsid w:val="000F4FAE"/>
    <w:rsid w:val="000F50DC"/>
    <w:rsid w:val="000F521F"/>
    <w:rsid w:val="000F53FB"/>
    <w:rsid w:val="000F5B2B"/>
    <w:rsid w:val="000F6197"/>
    <w:rsid w:val="000F6C65"/>
    <w:rsid w:val="000F6E7E"/>
    <w:rsid w:val="000F7127"/>
    <w:rsid w:val="000F7333"/>
    <w:rsid w:val="000F7B54"/>
    <w:rsid w:val="000F7EC2"/>
    <w:rsid w:val="000F7FDA"/>
    <w:rsid w:val="001005CF"/>
    <w:rsid w:val="001008F6"/>
    <w:rsid w:val="00100F4B"/>
    <w:rsid w:val="00100F8A"/>
    <w:rsid w:val="0010212D"/>
    <w:rsid w:val="00102220"/>
    <w:rsid w:val="00102B5D"/>
    <w:rsid w:val="00102B9A"/>
    <w:rsid w:val="00102BD8"/>
    <w:rsid w:val="00102F02"/>
    <w:rsid w:val="001031D4"/>
    <w:rsid w:val="001031D8"/>
    <w:rsid w:val="001034AE"/>
    <w:rsid w:val="001034C8"/>
    <w:rsid w:val="0010444E"/>
    <w:rsid w:val="0010452E"/>
    <w:rsid w:val="0010556C"/>
    <w:rsid w:val="001056E6"/>
    <w:rsid w:val="00105A34"/>
    <w:rsid w:val="00105AE2"/>
    <w:rsid w:val="00105B4F"/>
    <w:rsid w:val="00105EEC"/>
    <w:rsid w:val="001060C6"/>
    <w:rsid w:val="00106A13"/>
    <w:rsid w:val="00106AB6"/>
    <w:rsid w:val="00106B80"/>
    <w:rsid w:val="00106C52"/>
    <w:rsid w:val="00106CF8"/>
    <w:rsid w:val="00107522"/>
    <w:rsid w:val="0010764B"/>
    <w:rsid w:val="00107B7D"/>
    <w:rsid w:val="00107C93"/>
    <w:rsid w:val="00107CBF"/>
    <w:rsid w:val="0011032E"/>
    <w:rsid w:val="001108CD"/>
    <w:rsid w:val="001111C0"/>
    <w:rsid w:val="00111384"/>
    <w:rsid w:val="001117FB"/>
    <w:rsid w:val="00111944"/>
    <w:rsid w:val="00111AFC"/>
    <w:rsid w:val="00111FF7"/>
    <w:rsid w:val="00112115"/>
    <w:rsid w:val="00112A58"/>
    <w:rsid w:val="00112D5B"/>
    <w:rsid w:val="001130F9"/>
    <w:rsid w:val="001132A3"/>
    <w:rsid w:val="0011348B"/>
    <w:rsid w:val="0011371D"/>
    <w:rsid w:val="0011385E"/>
    <w:rsid w:val="00113C54"/>
    <w:rsid w:val="00113F94"/>
    <w:rsid w:val="00114526"/>
    <w:rsid w:val="001145EE"/>
    <w:rsid w:val="001154A6"/>
    <w:rsid w:val="00115815"/>
    <w:rsid w:val="001158C0"/>
    <w:rsid w:val="00115982"/>
    <w:rsid w:val="0011648B"/>
    <w:rsid w:val="00116531"/>
    <w:rsid w:val="00116C53"/>
    <w:rsid w:val="00116C77"/>
    <w:rsid w:val="00116D94"/>
    <w:rsid w:val="00116DE7"/>
    <w:rsid w:val="00116E7F"/>
    <w:rsid w:val="00116FD8"/>
    <w:rsid w:val="00117FCE"/>
    <w:rsid w:val="0012027A"/>
    <w:rsid w:val="001207CD"/>
    <w:rsid w:val="00120C00"/>
    <w:rsid w:val="00121323"/>
    <w:rsid w:val="00121799"/>
    <w:rsid w:val="00121B8B"/>
    <w:rsid w:val="00121D16"/>
    <w:rsid w:val="001222FC"/>
    <w:rsid w:val="00123902"/>
    <w:rsid w:val="00124A51"/>
    <w:rsid w:val="00124DD0"/>
    <w:rsid w:val="001257E1"/>
    <w:rsid w:val="00125A4F"/>
    <w:rsid w:val="00126621"/>
    <w:rsid w:val="00126B1D"/>
    <w:rsid w:val="00126C09"/>
    <w:rsid w:val="001275D9"/>
    <w:rsid w:val="001301E9"/>
    <w:rsid w:val="0013058D"/>
    <w:rsid w:val="00130AEB"/>
    <w:rsid w:val="00130DC7"/>
    <w:rsid w:val="001310D8"/>
    <w:rsid w:val="00131258"/>
    <w:rsid w:val="0013125A"/>
    <w:rsid w:val="00131857"/>
    <w:rsid w:val="00131A48"/>
    <w:rsid w:val="00131D82"/>
    <w:rsid w:val="00132818"/>
    <w:rsid w:val="00132B22"/>
    <w:rsid w:val="00132C91"/>
    <w:rsid w:val="00132D10"/>
    <w:rsid w:val="00132EC6"/>
    <w:rsid w:val="001332C9"/>
    <w:rsid w:val="001332E1"/>
    <w:rsid w:val="001335B6"/>
    <w:rsid w:val="00133BA3"/>
    <w:rsid w:val="00133D36"/>
    <w:rsid w:val="001350B7"/>
    <w:rsid w:val="00135341"/>
    <w:rsid w:val="0013538D"/>
    <w:rsid w:val="00135758"/>
    <w:rsid w:val="001357D0"/>
    <w:rsid w:val="001357E6"/>
    <w:rsid w:val="001358E2"/>
    <w:rsid w:val="00136648"/>
    <w:rsid w:val="00136C8A"/>
    <w:rsid w:val="00137645"/>
    <w:rsid w:val="001376DC"/>
    <w:rsid w:val="00137B7D"/>
    <w:rsid w:val="00137B91"/>
    <w:rsid w:val="00137D2D"/>
    <w:rsid w:val="00137F31"/>
    <w:rsid w:val="0014015A"/>
    <w:rsid w:val="0014031B"/>
    <w:rsid w:val="00140A9C"/>
    <w:rsid w:val="00140B2B"/>
    <w:rsid w:val="00140E99"/>
    <w:rsid w:val="001410D6"/>
    <w:rsid w:val="001413CC"/>
    <w:rsid w:val="0014173C"/>
    <w:rsid w:val="00141CBC"/>
    <w:rsid w:val="00141D99"/>
    <w:rsid w:val="0014239E"/>
    <w:rsid w:val="00142F7D"/>
    <w:rsid w:val="00143072"/>
    <w:rsid w:val="001439C2"/>
    <w:rsid w:val="00143CA1"/>
    <w:rsid w:val="00143F67"/>
    <w:rsid w:val="00143FDE"/>
    <w:rsid w:val="00144645"/>
    <w:rsid w:val="00144BD1"/>
    <w:rsid w:val="001452F5"/>
    <w:rsid w:val="00145540"/>
    <w:rsid w:val="001456B0"/>
    <w:rsid w:val="00146B24"/>
    <w:rsid w:val="00147580"/>
    <w:rsid w:val="0014770B"/>
    <w:rsid w:val="0015177B"/>
    <w:rsid w:val="0015179C"/>
    <w:rsid w:val="001519A6"/>
    <w:rsid w:val="00151A2A"/>
    <w:rsid w:val="001520FC"/>
    <w:rsid w:val="001524A4"/>
    <w:rsid w:val="00154489"/>
    <w:rsid w:val="001545AB"/>
    <w:rsid w:val="0015473C"/>
    <w:rsid w:val="00154C1E"/>
    <w:rsid w:val="001556DA"/>
    <w:rsid w:val="00155C69"/>
    <w:rsid w:val="00155E20"/>
    <w:rsid w:val="0015624A"/>
    <w:rsid w:val="0015672D"/>
    <w:rsid w:val="0015678B"/>
    <w:rsid w:val="001569AE"/>
    <w:rsid w:val="00156F8F"/>
    <w:rsid w:val="00157130"/>
    <w:rsid w:val="0015740E"/>
    <w:rsid w:val="001576B1"/>
    <w:rsid w:val="0016047B"/>
    <w:rsid w:val="00160634"/>
    <w:rsid w:val="00160A4C"/>
    <w:rsid w:val="0016117D"/>
    <w:rsid w:val="00161461"/>
    <w:rsid w:val="0016191D"/>
    <w:rsid w:val="00161A67"/>
    <w:rsid w:val="0016200A"/>
    <w:rsid w:val="001623FF"/>
    <w:rsid w:val="00162913"/>
    <w:rsid w:val="00162B11"/>
    <w:rsid w:val="00162EBA"/>
    <w:rsid w:val="001633C1"/>
    <w:rsid w:val="0016340F"/>
    <w:rsid w:val="00163EFF"/>
    <w:rsid w:val="00163F66"/>
    <w:rsid w:val="00164477"/>
    <w:rsid w:val="001644B3"/>
    <w:rsid w:val="00164746"/>
    <w:rsid w:val="00165BB4"/>
    <w:rsid w:val="001661FB"/>
    <w:rsid w:val="00166419"/>
    <w:rsid w:val="001671A0"/>
    <w:rsid w:val="0016767F"/>
    <w:rsid w:val="00167B0C"/>
    <w:rsid w:val="0017091B"/>
    <w:rsid w:val="0017115B"/>
    <w:rsid w:val="00171638"/>
    <w:rsid w:val="001716DE"/>
    <w:rsid w:val="001718C6"/>
    <w:rsid w:val="00172044"/>
    <w:rsid w:val="00173294"/>
    <w:rsid w:val="00173565"/>
    <w:rsid w:val="00173B07"/>
    <w:rsid w:val="00173B37"/>
    <w:rsid w:val="001747CE"/>
    <w:rsid w:val="00174945"/>
    <w:rsid w:val="001751FA"/>
    <w:rsid w:val="0017638F"/>
    <w:rsid w:val="001766EC"/>
    <w:rsid w:val="00176D47"/>
    <w:rsid w:val="00176E3C"/>
    <w:rsid w:val="00177094"/>
    <w:rsid w:val="001775CB"/>
    <w:rsid w:val="00177701"/>
    <w:rsid w:val="00177F08"/>
    <w:rsid w:val="00180ED3"/>
    <w:rsid w:val="00181667"/>
    <w:rsid w:val="0018189B"/>
    <w:rsid w:val="00181D9C"/>
    <w:rsid w:val="00181DCB"/>
    <w:rsid w:val="00182ECD"/>
    <w:rsid w:val="00182F87"/>
    <w:rsid w:val="00183D66"/>
    <w:rsid w:val="00184AF2"/>
    <w:rsid w:val="00184B0E"/>
    <w:rsid w:val="00184B10"/>
    <w:rsid w:val="00184BA2"/>
    <w:rsid w:val="001851C5"/>
    <w:rsid w:val="00185E0B"/>
    <w:rsid w:val="00185EDA"/>
    <w:rsid w:val="00187427"/>
    <w:rsid w:val="0018752F"/>
    <w:rsid w:val="00190462"/>
    <w:rsid w:val="001904FF"/>
    <w:rsid w:val="00190801"/>
    <w:rsid w:val="00190C65"/>
    <w:rsid w:val="00190EBF"/>
    <w:rsid w:val="00191511"/>
    <w:rsid w:val="00191FC1"/>
    <w:rsid w:val="001922A7"/>
    <w:rsid w:val="00192371"/>
    <w:rsid w:val="001927BF"/>
    <w:rsid w:val="00192A2D"/>
    <w:rsid w:val="00192C9E"/>
    <w:rsid w:val="00193783"/>
    <w:rsid w:val="00193838"/>
    <w:rsid w:val="00193DBA"/>
    <w:rsid w:val="00194AD8"/>
    <w:rsid w:val="00194E8C"/>
    <w:rsid w:val="00195171"/>
    <w:rsid w:val="00195222"/>
    <w:rsid w:val="001955EE"/>
    <w:rsid w:val="001964B4"/>
    <w:rsid w:val="001975D8"/>
    <w:rsid w:val="001A04B8"/>
    <w:rsid w:val="001A04FD"/>
    <w:rsid w:val="001A0A35"/>
    <w:rsid w:val="001A0D41"/>
    <w:rsid w:val="001A10E0"/>
    <w:rsid w:val="001A1347"/>
    <w:rsid w:val="001A178E"/>
    <w:rsid w:val="001A2280"/>
    <w:rsid w:val="001A2EC5"/>
    <w:rsid w:val="001A301B"/>
    <w:rsid w:val="001A3473"/>
    <w:rsid w:val="001A3542"/>
    <w:rsid w:val="001A3681"/>
    <w:rsid w:val="001A41DC"/>
    <w:rsid w:val="001A43FA"/>
    <w:rsid w:val="001A47C5"/>
    <w:rsid w:val="001A5453"/>
    <w:rsid w:val="001A5812"/>
    <w:rsid w:val="001A59FB"/>
    <w:rsid w:val="001A5E9E"/>
    <w:rsid w:val="001A6106"/>
    <w:rsid w:val="001A6354"/>
    <w:rsid w:val="001A6366"/>
    <w:rsid w:val="001A7650"/>
    <w:rsid w:val="001A7717"/>
    <w:rsid w:val="001A775B"/>
    <w:rsid w:val="001A7882"/>
    <w:rsid w:val="001A7A41"/>
    <w:rsid w:val="001A7AE8"/>
    <w:rsid w:val="001A7B75"/>
    <w:rsid w:val="001B005F"/>
    <w:rsid w:val="001B0303"/>
    <w:rsid w:val="001B0F0A"/>
    <w:rsid w:val="001B0F6D"/>
    <w:rsid w:val="001B115D"/>
    <w:rsid w:val="001B1249"/>
    <w:rsid w:val="001B1FB2"/>
    <w:rsid w:val="001B204E"/>
    <w:rsid w:val="001B22C5"/>
    <w:rsid w:val="001B2372"/>
    <w:rsid w:val="001B2510"/>
    <w:rsid w:val="001B28AD"/>
    <w:rsid w:val="001B2E3E"/>
    <w:rsid w:val="001B3443"/>
    <w:rsid w:val="001B3BE7"/>
    <w:rsid w:val="001B3F16"/>
    <w:rsid w:val="001B42E1"/>
    <w:rsid w:val="001B4AA2"/>
    <w:rsid w:val="001B4D20"/>
    <w:rsid w:val="001B5751"/>
    <w:rsid w:val="001B597E"/>
    <w:rsid w:val="001B5A7F"/>
    <w:rsid w:val="001B61D7"/>
    <w:rsid w:val="001B6465"/>
    <w:rsid w:val="001B69F3"/>
    <w:rsid w:val="001B6A85"/>
    <w:rsid w:val="001C0184"/>
    <w:rsid w:val="001C08D6"/>
    <w:rsid w:val="001C0D6B"/>
    <w:rsid w:val="001C10DA"/>
    <w:rsid w:val="001C129F"/>
    <w:rsid w:val="001C1B71"/>
    <w:rsid w:val="001C1E7D"/>
    <w:rsid w:val="001C25AD"/>
    <w:rsid w:val="001C2A9B"/>
    <w:rsid w:val="001C365E"/>
    <w:rsid w:val="001C3754"/>
    <w:rsid w:val="001C3FB0"/>
    <w:rsid w:val="001C3FC6"/>
    <w:rsid w:val="001C4299"/>
    <w:rsid w:val="001C4874"/>
    <w:rsid w:val="001C4D9F"/>
    <w:rsid w:val="001C5018"/>
    <w:rsid w:val="001C548C"/>
    <w:rsid w:val="001C555C"/>
    <w:rsid w:val="001C5744"/>
    <w:rsid w:val="001C5B9A"/>
    <w:rsid w:val="001C5E20"/>
    <w:rsid w:val="001C5F94"/>
    <w:rsid w:val="001C67B2"/>
    <w:rsid w:val="001C6892"/>
    <w:rsid w:val="001C6E66"/>
    <w:rsid w:val="001C7306"/>
    <w:rsid w:val="001C747C"/>
    <w:rsid w:val="001C74DF"/>
    <w:rsid w:val="001C7776"/>
    <w:rsid w:val="001C7837"/>
    <w:rsid w:val="001D07D6"/>
    <w:rsid w:val="001D087A"/>
    <w:rsid w:val="001D1100"/>
    <w:rsid w:val="001D1391"/>
    <w:rsid w:val="001D17E6"/>
    <w:rsid w:val="001D256A"/>
    <w:rsid w:val="001D25D7"/>
    <w:rsid w:val="001D2828"/>
    <w:rsid w:val="001D340F"/>
    <w:rsid w:val="001D416D"/>
    <w:rsid w:val="001D43B1"/>
    <w:rsid w:val="001D4FDE"/>
    <w:rsid w:val="001D50B2"/>
    <w:rsid w:val="001D5217"/>
    <w:rsid w:val="001D53E7"/>
    <w:rsid w:val="001D605B"/>
    <w:rsid w:val="001D60B7"/>
    <w:rsid w:val="001D6B2B"/>
    <w:rsid w:val="001D6BF1"/>
    <w:rsid w:val="001D6C4A"/>
    <w:rsid w:val="001D6F1D"/>
    <w:rsid w:val="001D6FF4"/>
    <w:rsid w:val="001D7311"/>
    <w:rsid w:val="001D7645"/>
    <w:rsid w:val="001D780B"/>
    <w:rsid w:val="001E014D"/>
    <w:rsid w:val="001E11B2"/>
    <w:rsid w:val="001E1414"/>
    <w:rsid w:val="001E175F"/>
    <w:rsid w:val="001E1B5C"/>
    <w:rsid w:val="001E1D55"/>
    <w:rsid w:val="001E1E86"/>
    <w:rsid w:val="001E238E"/>
    <w:rsid w:val="001E2483"/>
    <w:rsid w:val="001E27A9"/>
    <w:rsid w:val="001E289D"/>
    <w:rsid w:val="001E2B1E"/>
    <w:rsid w:val="001E2CFF"/>
    <w:rsid w:val="001E2D6F"/>
    <w:rsid w:val="001E2E3B"/>
    <w:rsid w:val="001E2F24"/>
    <w:rsid w:val="001E30D4"/>
    <w:rsid w:val="001E31D2"/>
    <w:rsid w:val="001E3395"/>
    <w:rsid w:val="001E34DF"/>
    <w:rsid w:val="001E384C"/>
    <w:rsid w:val="001E3ADD"/>
    <w:rsid w:val="001E4C6D"/>
    <w:rsid w:val="001E4EE7"/>
    <w:rsid w:val="001E52EB"/>
    <w:rsid w:val="001E5EC2"/>
    <w:rsid w:val="001E5F2A"/>
    <w:rsid w:val="001E61D2"/>
    <w:rsid w:val="001E740C"/>
    <w:rsid w:val="001E7CC1"/>
    <w:rsid w:val="001E7F97"/>
    <w:rsid w:val="001F0211"/>
    <w:rsid w:val="001F0534"/>
    <w:rsid w:val="001F1235"/>
    <w:rsid w:val="001F1258"/>
    <w:rsid w:val="001F197C"/>
    <w:rsid w:val="001F1CB3"/>
    <w:rsid w:val="001F2D44"/>
    <w:rsid w:val="001F3499"/>
    <w:rsid w:val="001F34BD"/>
    <w:rsid w:val="001F35A6"/>
    <w:rsid w:val="001F38B5"/>
    <w:rsid w:val="001F4081"/>
    <w:rsid w:val="001F4BE3"/>
    <w:rsid w:val="001F5482"/>
    <w:rsid w:val="001F5C31"/>
    <w:rsid w:val="001F651D"/>
    <w:rsid w:val="001F7298"/>
    <w:rsid w:val="001F7361"/>
    <w:rsid w:val="001F7BFD"/>
    <w:rsid w:val="002008F9"/>
    <w:rsid w:val="002011B0"/>
    <w:rsid w:val="00201907"/>
    <w:rsid w:val="002022AB"/>
    <w:rsid w:val="002022B3"/>
    <w:rsid w:val="00202456"/>
    <w:rsid w:val="00202D9A"/>
    <w:rsid w:val="00203150"/>
    <w:rsid w:val="00203181"/>
    <w:rsid w:val="0020369C"/>
    <w:rsid w:val="00203783"/>
    <w:rsid w:val="0020385F"/>
    <w:rsid w:val="00203CD5"/>
    <w:rsid w:val="00203D55"/>
    <w:rsid w:val="00204D13"/>
    <w:rsid w:val="0020503F"/>
    <w:rsid w:val="00205C7B"/>
    <w:rsid w:val="00205FF4"/>
    <w:rsid w:val="00206174"/>
    <w:rsid w:val="002061C5"/>
    <w:rsid w:val="0020649F"/>
    <w:rsid w:val="002068A0"/>
    <w:rsid w:val="00206905"/>
    <w:rsid w:val="00207021"/>
    <w:rsid w:val="0020732F"/>
    <w:rsid w:val="002075DA"/>
    <w:rsid w:val="0020795F"/>
    <w:rsid w:val="00207C3D"/>
    <w:rsid w:val="00207D00"/>
    <w:rsid w:val="00207D96"/>
    <w:rsid w:val="00207EB3"/>
    <w:rsid w:val="00210325"/>
    <w:rsid w:val="002103E2"/>
    <w:rsid w:val="00210425"/>
    <w:rsid w:val="002105C1"/>
    <w:rsid w:val="00210F18"/>
    <w:rsid w:val="00211343"/>
    <w:rsid w:val="00211919"/>
    <w:rsid w:val="00211A82"/>
    <w:rsid w:val="00211AEF"/>
    <w:rsid w:val="00211C2D"/>
    <w:rsid w:val="00211D43"/>
    <w:rsid w:val="00212640"/>
    <w:rsid w:val="00212F59"/>
    <w:rsid w:val="00212FA0"/>
    <w:rsid w:val="002131B3"/>
    <w:rsid w:val="0021327E"/>
    <w:rsid w:val="0021345E"/>
    <w:rsid w:val="002134BA"/>
    <w:rsid w:val="0021354B"/>
    <w:rsid w:val="00213B60"/>
    <w:rsid w:val="00213EF5"/>
    <w:rsid w:val="00213F2E"/>
    <w:rsid w:val="00214487"/>
    <w:rsid w:val="002144B4"/>
    <w:rsid w:val="002146AC"/>
    <w:rsid w:val="00214729"/>
    <w:rsid w:val="00214971"/>
    <w:rsid w:val="00214E2C"/>
    <w:rsid w:val="002152A3"/>
    <w:rsid w:val="00215598"/>
    <w:rsid w:val="0021559D"/>
    <w:rsid w:val="002158FB"/>
    <w:rsid w:val="00215AFE"/>
    <w:rsid w:val="00215BF3"/>
    <w:rsid w:val="0021607A"/>
    <w:rsid w:val="00216516"/>
    <w:rsid w:val="00216555"/>
    <w:rsid w:val="00216568"/>
    <w:rsid w:val="00216920"/>
    <w:rsid w:val="00216B51"/>
    <w:rsid w:val="00216BF5"/>
    <w:rsid w:val="00220365"/>
    <w:rsid w:val="002203AA"/>
    <w:rsid w:val="0022051E"/>
    <w:rsid w:val="00220752"/>
    <w:rsid w:val="00220983"/>
    <w:rsid w:val="002216A2"/>
    <w:rsid w:val="00221CA8"/>
    <w:rsid w:val="00221E3A"/>
    <w:rsid w:val="002220E1"/>
    <w:rsid w:val="0022272C"/>
    <w:rsid w:val="0022294A"/>
    <w:rsid w:val="00222C43"/>
    <w:rsid w:val="00223327"/>
    <w:rsid w:val="0022339E"/>
    <w:rsid w:val="002234BB"/>
    <w:rsid w:val="00223799"/>
    <w:rsid w:val="00223B49"/>
    <w:rsid w:val="00223D5A"/>
    <w:rsid w:val="00223FCF"/>
    <w:rsid w:val="00224DD4"/>
    <w:rsid w:val="0022581B"/>
    <w:rsid w:val="00225832"/>
    <w:rsid w:val="00225B95"/>
    <w:rsid w:val="00225C27"/>
    <w:rsid w:val="00225C57"/>
    <w:rsid w:val="00226848"/>
    <w:rsid w:val="00226968"/>
    <w:rsid w:val="00226B40"/>
    <w:rsid w:val="002270BA"/>
    <w:rsid w:val="002273BB"/>
    <w:rsid w:val="00227484"/>
    <w:rsid w:val="002278A0"/>
    <w:rsid w:val="002278E1"/>
    <w:rsid w:val="00227CD2"/>
    <w:rsid w:val="00227F53"/>
    <w:rsid w:val="002302FB"/>
    <w:rsid w:val="00230497"/>
    <w:rsid w:val="002307ED"/>
    <w:rsid w:val="002309CC"/>
    <w:rsid w:val="00230CDD"/>
    <w:rsid w:val="002316B6"/>
    <w:rsid w:val="0023209F"/>
    <w:rsid w:val="002324F5"/>
    <w:rsid w:val="002324FB"/>
    <w:rsid w:val="00232764"/>
    <w:rsid w:val="00232D6B"/>
    <w:rsid w:val="00232F4E"/>
    <w:rsid w:val="00232FDB"/>
    <w:rsid w:val="002334E3"/>
    <w:rsid w:val="00233689"/>
    <w:rsid w:val="00233808"/>
    <w:rsid w:val="00233C01"/>
    <w:rsid w:val="00233EB7"/>
    <w:rsid w:val="0023413C"/>
    <w:rsid w:val="002343D7"/>
    <w:rsid w:val="002346F0"/>
    <w:rsid w:val="00234ACA"/>
    <w:rsid w:val="00234B5E"/>
    <w:rsid w:val="00234E7D"/>
    <w:rsid w:val="00235B27"/>
    <w:rsid w:val="0023629D"/>
    <w:rsid w:val="00236A99"/>
    <w:rsid w:val="00236AC1"/>
    <w:rsid w:val="00237025"/>
    <w:rsid w:val="00237255"/>
    <w:rsid w:val="00237841"/>
    <w:rsid w:val="00237AC0"/>
    <w:rsid w:val="00240808"/>
    <w:rsid w:val="0024083A"/>
    <w:rsid w:val="0024086F"/>
    <w:rsid w:val="002411B9"/>
    <w:rsid w:val="002424AF"/>
    <w:rsid w:val="00242743"/>
    <w:rsid w:val="002434F4"/>
    <w:rsid w:val="002439DC"/>
    <w:rsid w:val="00243FFA"/>
    <w:rsid w:val="002441D2"/>
    <w:rsid w:val="0024479A"/>
    <w:rsid w:val="00244D0B"/>
    <w:rsid w:val="00244DC8"/>
    <w:rsid w:val="002452C7"/>
    <w:rsid w:val="002458BA"/>
    <w:rsid w:val="00245CE9"/>
    <w:rsid w:val="00245DDE"/>
    <w:rsid w:val="00245E59"/>
    <w:rsid w:val="0024636C"/>
    <w:rsid w:val="00246CB2"/>
    <w:rsid w:val="00246D21"/>
    <w:rsid w:val="00246EBC"/>
    <w:rsid w:val="00246F4B"/>
    <w:rsid w:val="002475A7"/>
    <w:rsid w:val="00247918"/>
    <w:rsid w:val="00247925"/>
    <w:rsid w:val="00247B3B"/>
    <w:rsid w:val="00251006"/>
    <w:rsid w:val="002510F0"/>
    <w:rsid w:val="002524D5"/>
    <w:rsid w:val="002528CE"/>
    <w:rsid w:val="00252956"/>
    <w:rsid w:val="0025321F"/>
    <w:rsid w:val="002534E7"/>
    <w:rsid w:val="00253AC1"/>
    <w:rsid w:val="00253AF8"/>
    <w:rsid w:val="00253B1D"/>
    <w:rsid w:val="0025404C"/>
    <w:rsid w:val="0025476F"/>
    <w:rsid w:val="0025496F"/>
    <w:rsid w:val="00254DA1"/>
    <w:rsid w:val="00254DCF"/>
    <w:rsid w:val="002551EB"/>
    <w:rsid w:val="00255226"/>
    <w:rsid w:val="0025534B"/>
    <w:rsid w:val="00255AA9"/>
    <w:rsid w:val="00255BB7"/>
    <w:rsid w:val="00255E7E"/>
    <w:rsid w:val="00256CA7"/>
    <w:rsid w:val="00256E6E"/>
    <w:rsid w:val="00257541"/>
    <w:rsid w:val="0025759C"/>
    <w:rsid w:val="00257A39"/>
    <w:rsid w:val="00257AB2"/>
    <w:rsid w:val="00257AC4"/>
    <w:rsid w:val="00257B71"/>
    <w:rsid w:val="002601F1"/>
    <w:rsid w:val="0026059B"/>
    <w:rsid w:val="0026095E"/>
    <w:rsid w:val="00261CBE"/>
    <w:rsid w:val="00261ECA"/>
    <w:rsid w:val="00261EEF"/>
    <w:rsid w:val="0026264F"/>
    <w:rsid w:val="00262780"/>
    <w:rsid w:val="00262845"/>
    <w:rsid w:val="00262A1A"/>
    <w:rsid w:val="00262A87"/>
    <w:rsid w:val="00262B76"/>
    <w:rsid w:val="0026320A"/>
    <w:rsid w:val="00263B53"/>
    <w:rsid w:val="002641DE"/>
    <w:rsid w:val="002642FD"/>
    <w:rsid w:val="002645AC"/>
    <w:rsid w:val="00264AF1"/>
    <w:rsid w:val="00264D26"/>
    <w:rsid w:val="00264DCB"/>
    <w:rsid w:val="00264EBC"/>
    <w:rsid w:val="00265AB5"/>
    <w:rsid w:val="00266773"/>
    <w:rsid w:val="00266A5F"/>
    <w:rsid w:val="00266BFA"/>
    <w:rsid w:val="00266E45"/>
    <w:rsid w:val="00266EB3"/>
    <w:rsid w:val="00267642"/>
    <w:rsid w:val="00267AEA"/>
    <w:rsid w:val="002700E6"/>
    <w:rsid w:val="00270C11"/>
    <w:rsid w:val="00270E54"/>
    <w:rsid w:val="00270EBE"/>
    <w:rsid w:val="002710DB"/>
    <w:rsid w:val="00271223"/>
    <w:rsid w:val="00271430"/>
    <w:rsid w:val="00271728"/>
    <w:rsid w:val="00271E71"/>
    <w:rsid w:val="0027232A"/>
    <w:rsid w:val="0027294B"/>
    <w:rsid w:val="00273577"/>
    <w:rsid w:val="00273EB4"/>
    <w:rsid w:val="00274682"/>
    <w:rsid w:val="0027471B"/>
    <w:rsid w:val="00274F5D"/>
    <w:rsid w:val="00275A34"/>
    <w:rsid w:val="00275C5A"/>
    <w:rsid w:val="00275CD8"/>
    <w:rsid w:val="0027643A"/>
    <w:rsid w:val="00276479"/>
    <w:rsid w:val="0027648E"/>
    <w:rsid w:val="00276A18"/>
    <w:rsid w:val="00277551"/>
    <w:rsid w:val="00277868"/>
    <w:rsid w:val="002778E5"/>
    <w:rsid w:val="00277F0B"/>
    <w:rsid w:val="002807AC"/>
    <w:rsid w:val="0028081D"/>
    <w:rsid w:val="002809F3"/>
    <w:rsid w:val="00281014"/>
    <w:rsid w:val="0028102F"/>
    <w:rsid w:val="00281E88"/>
    <w:rsid w:val="00282364"/>
    <w:rsid w:val="00282575"/>
    <w:rsid w:val="002825C0"/>
    <w:rsid w:val="00282665"/>
    <w:rsid w:val="002828AB"/>
    <w:rsid w:val="00282D90"/>
    <w:rsid w:val="0028345C"/>
    <w:rsid w:val="002838A6"/>
    <w:rsid w:val="00285F29"/>
    <w:rsid w:val="00285FEF"/>
    <w:rsid w:val="0028604E"/>
    <w:rsid w:val="00286475"/>
    <w:rsid w:val="002865C7"/>
    <w:rsid w:val="0028665D"/>
    <w:rsid w:val="002867C9"/>
    <w:rsid w:val="00286B17"/>
    <w:rsid w:val="00287938"/>
    <w:rsid w:val="00290381"/>
    <w:rsid w:val="0029069C"/>
    <w:rsid w:val="00290928"/>
    <w:rsid w:val="00290E66"/>
    <w:rsid w:val="00290EF8"/>
    <w:rsid w:val="002910B6"/>
    <w:rsid w:val="00291A90"/>
    <w:rsid w:val="00291D4B"/>
    <w:rsid w:val="00291FA9"/>
    <w:rsid w:val="00292968"/>
    <w:rsid w:val="002929A7"/>
    <w:rsid w:val="00292EBC"/>
    <w:rsid w:val="002941CD"/>
    <w:rsid w:val="00294555"/>
    <w:rsid w:val="00294832"/>
    <w:rsid w:val="00295098"/>
    <w:rsid w:val="00295202"/>
    <w:rsid w:val="00295251"/>
    <w:rsid w:val="002957CB"/>
    <w:rsid w:val="002959C5"/>
    <w:rsid w:val="00295B83"/>
    <w:rsid w:val="00295BE1"/>
    <w:rsid w:val="00297C1D"/>
    <w:rsid w:val="00297E4B"/>
    <w:rsid w:val="002A0427"/>
    <w:rsid w:val="002A060B"/>
    <w:rsid w:val="002A06A7"/>
    <w:rsid w:val="002A0736"/>
    <w:rsid w:val="002A0CD6"/>
    <w:rsid w:val="002A0DFC"/>
    <w:rsid w:val="002A12C5"/>
    <w:rsid w:val="002A14AB"/>
    <w:rsid w:val="002A14F6"/>
    <w:rsid w:val="002A2497"/>
    <w:rsid w:val="002A2ADE"/>
    <w:rsid w:val="002A2F50"/>
    <w:rsid w:val="002A3230"/>
    <w:rsid w:val="002A4069"/>
    <w:rsid w:val="002A49ED"/>
    <w:rsid w:val="002A4A12"/>
    <w:rsid w:val="002A4BCE"/>
    <w:rsid w:val="002A4C5E"/>
    <w:rsid w:val="002A6B10"/>
    <w:rsid w:val="002A6DB1"/>
    <w:rsid w:val="002A783B"/>
    <w:rsid w:val="002A7E4F"/>
    <w:rsid w:val="002B05A1"/>
    <w:rsid w:val="002B0666"/>
    <w:rsid w:val="002B0919"/>
    <w:rsid w:val="002B09A4"/>
    <w:rsid w:val="002B1497"/>
    <w:rsid w:val="002B1C1F"/>
    <w:rsid w:val="002B1CD1"/>
    <w:rsid w:val="002B1D12"/>
    <w:rsid w:val="002B1EC5"/>
    <w:rsid w:val="002B2A89"/>
    <w:rsid w:val="002B37CB"/>
    <w:rsid w:val="002B3991"/>
    <w:rsid w:val="002B3A6F"/>
    <w:rsid w:val="002B432F"/>
    <w:rsid w:val="002B4412"/>
    <w:rsid w:val="002B44D0"/>
    <w:rsid w:val="002B4631"/>
    <w:rsid w:val="002B48B8"/>
    <w:rsid w:val="002B5E35"/>
    <w:rsid w:val="002B62B3"/>
    <w:rsid w:val="002B6754"/>
    <w:rsid w:val="002B693F"/>
    <w:rsid w:val="002B6A18"/>
    <w:rsid w:val="002B6CCE"/>
    <w:rsid w:val="002B6E02"/>
    <w:rsid w:val="002B7653"/>
    <w:rsid w:val="002B7883"/>
    <w:rsid w:val="002B7E11"/>
    <w:rsid w:val="002C0E95"/>
    <w:rsid w:val="002C1800"/>
    <w:rsid w:val="002C18B8"/>
    <w:rsid w:val="002C1BFC"/>
    <w:rsid w:val="002C1C77"/>
    <w:rsid w:val="002C222D"/>
    <w:rsid w:val="002C2371"/>
    <w:rsid w:val="002C2510"/>
    <w:rsid w:val="002C276D"/>
    <w:rsid w:val="002C2775"/>
    <w:rsid w:val="002C27C1"/>
    <w:rsid w:val="002C281D"/>
    <w:rsid w:val="002C3A17"/>
    <w:rsid w:val="002C3E73"/>
    <w:rsid w:val="002C4897"/>
    <w:rsid w:val="002C4E37"/>
    <w:rsid w:val="002C5099"/>
    <w:rsid w:val="002C5889"/>
    <w:rsid w:val="002C5ACF"/>
    <w:rsid w:val="002C5BD7"/>
    <w:rsid w:val="002C5D07"/>
    <w:rsid w:val="002C606D"/>
    <w:rsid w:val="002C653F"/>
    <w:rsid w:val="002C65CA"/>
    <w:rsid w:val="002C65D4"/>
    <w:rsid w:val="002C71CE"/>
    <w:rsid w:val="002C727D"/>
    <w:rsid w:val="002C784A"/>
    <w:rsid w:val="002C7B47"/>
    <w:rsid w:val="002D08F8"/>
    <w:rsid w:val="002D0AB3"/>
    <w:rsid w:val="002D0D01"/>
    <w:rsid w:val="002D13C2"/>
    <w:rsid w:val="002D1744"/>
    <w:rsid w:val="002D1C3E"/>
    <w:rsid w:val="002D1E8D"/>
    <w:rsid w:val="002D1ED4"/>
    <w:rsid w:val="002D244F"/>
    <w:rsid w:val="002D25DB"/>
    <w:rsid w:val="002D2606"/>
    <w:rsid w:val="002D2F97"/>
    <w:rsid w:val="002D341E"/>
    <w:rsid w:val="002D3E5E"/>
    <w:rsid w:val="002D3FD2"/>
    <w:rsid w:val="002D4263"/>
    <w:rsid w:val="002D46BD"/>
    <w:rsid w:val="002D551B"/>
    <w:rsid w:val="002D577C"/>
    <w:rsid w:val="002D5791"/>
    <w:rsid w:val="002D5A21"/>
    <w:rsid w:val="002D68C7"/>
    <w:rsid w:val="002D6A68"/>
    <w:rsid w:val="002D6ADC"/>
    <w:rsid w:val="002D6DEC"/>
    <w:rsid w:val="002D7155"/>
    <w:rsid w:val="002E01B1"/>
    <w:rsid w:val="002E053F"/>
    <w:rsid w:val="002E05A7"/>
    <w:rsid w:val="002E0AF8"/>
    <w:rsid w:val="002E1071"/>
    <w:rsid w:val="002E124D"/>
    <w:rsid w:val="002E15B9"/>
    <w:rsid w:val="002E1844"/>
    <w:rsid w:val="002E2155"/>
    <w:rsid w:val="002E2158"/>
    <w:rsid w:val="002E22D3"/>
    <w:rsid w:val="002E2397"/>
    <w:rsid w:val="002E2609"/>
    <w:rsid w:val="002E3022"/>
    <w:rsid w:val="002E3128"/>
    <w:rsid w:val="002E320B"/>
    <w:rsid w:val="002E3565"/>
    <w:rsid w:val="002E39DE"/>
    <w:rsid w:val="002E410C"/>
    <w:rsid w:val="002E44E1"/>
    <w:rsid w:val="002E4A1D"/>
    <w:rsid w:val="002E4F02"/>
    <w:rsid w:val="002E5A47"/>
    <w:rsid w:val="002E6A37"/>
    <w:rsid w:val="002E6E00"/>
    <w:rsid w:val="002E727F"/>
    <w:rsid w:val="002E7722"/>
    <w:rsid w:val="002E7996"/>
    <w:rsid w:val="002F07BA"/>
    <w:rsid w:val="002F0916"/>
    <w:rsid w:val="002F0DA9"/>
    <w:rsid w:val="002F1014"/>
    <w:rsid w:val="002F1220"/>
    <w:rsid w:val="002F1574"/>
    <w:rsid w:val="002F174D"/>
    <w:rsid w:val="002F1924"/>
    <w:rsid w:val="002F1E3F"/>
    <w:rsid w:val="002F2074"/>
    <w:rsid w:val="002F2203"/>
    <w:rsid w:val="002F26FB"/>
    <w:rsid w:val="002F2CD8"/>
    <w:rsid w:val="002F3A7E"/>
    <w:rsid w:val="002F3EF7"/>
    <w:rsid w:val="002F4010"/>
    <w:rsid w:val="002F4142"/>
    <w:rsid w:val="002F5767"/>
    <w:rsid w:val="002F5A17"/>
    <w:rsid w:val="002F5A4B"/>
    <w:rsid w:val="002F5D5A"/>
    <w:rsid w:val="002F602B"/>
    <w:rsid w:val="002F6245"/>
    <w:rsid w:val="002F643C"/>
    <w:rsid w:val="002F6BF3"/>
    <w:rsid w:val="002F71C0"/>
    <w:rsid w:val="002F74F1"/>
    <w:rsid w:val="002F76BC"/>
    <w:rsid w:val="002F76EA"/>
    <w:rsid w:val="002F7D07"/>
    <w:rsid w:val="00301017"/>
    <w:rsid w:val="0030150D"/>
    <w:rsid w:val="0030155E"/>
    <w:rsid w:val="0030155F"/>
    <w:rsid w:val="003016B8"/>
    <w:rsid w:val="00301B97"/>
    <w:rsid w:val="00302021"/>
    <w:rsid w:val="00302031"/>
    <w:rsid w:val="00302A54"/>
    <w:rsid w:val="00302FFC"/>
    <w:rsid w:val="00303135"/>
    <w:rsid w:val="0030317B"/>
    <w:rsid w:val="00303A0A"/>
    <w:rsid w:val="00303F74"/>
    <w:rsid w:val="00304979"/>
    <w:rsid w:val="0030498B"/>
    <w:rsid w:val="00304D6D"/>
    <w:rsid w:val="0030587B"/>
    <w:rsid w:val="00305A74"/>
    <w:rsid w:val="00305C09"/>
    <w:rsid w:val="0030623A"/>
    <w:rsid w:val="00306D98"/>
    <w:rsid w:val="0030786C"/>
    <w:rsid w:val="00307A69"/>
    <w:rsid w:val="00307C7D"/>
    <w:rsid w:val="00307EE9"/>
    <w:rsid w:val="0031010E"/>
    <w:rsid w:val="0031031A"/>
    <w:rsid w:val="00310981"/>
    <w:rsid w:val="00310A97"/>
    <w:rsid w:val="00310BC1"/>
    <w:rsid w:val="00311077"/>
    <w:rsid w:val="00311165"/>
    <w:rsid w:val="00311266"/>
    <w:rsid w:val="003112B8"/>
    <w:rsid w:val="00311460"/>
    <w:rsid w:val="003120D6"/>
    <w:rsid w:val="003124D9"/>
    <w:rsid w:val="00312594"/>
    <w:rsid w:val="003127F2"/>
    <w:rsid w:val="00312C3E"/>
    <w:rsid w:val="00312C5F"/>
    <w:rsid w:val="00313529"/>
    <w:rsid w:val="003137CF"/>
    <w:rsid w:val="00314086"/>
    <w:rsid w:val="003147D2"/>
    <w:rsid w:val="00315498"/>
    <w:rsid w:val="0031559F"/>
    <w:rsid w:val="003157CE"/>
    <w:rsid w:val="0031628B"/>
    <w:rsid w:val="00316340"/>
    <w:rsid w:val="00316474"/>
    <w:rsid w:val="003166C7"/>
    <w:rsid w:val="00316A75"/>
    <w:rsid w:val="0032090D"/>
    <w:rsid w:val="0032160A"/>
    <w:rsid w:val="00321A53"/>
    <w:rsid w:val="00322107"/>
    <w:rsid w:val="00322355"/>
    <w:rsid w:val="00322561"/>
    <w:rsid w:val="00322846"/>
    <w:rsid w:val="00322D9E"/>
    <w:rsid w:val="00323A5A"/>
    <w:rsid w:val="00323C3C"/>
    <w:rsid w:val="00324183"/>
    <w:rsid w:val="00324208"/>
    <w:rsid w:val="0032428E"/>
    <w:rsid w:val="00324772"/>
    <w:rsid w:val="00324985"/>
    <w:rsid w:val="00324F38"/>
    <w:rsid w:val="00325378"/>
    <w:rsid w:val="00325752"/>
    <w:rsid w:val="0032585E"/>
    <w:rsid w:val="00325D43"/>
    <w:rsid w:val="00326293"/>
    <w:rsid w:val="00326CB2"/>
    <w:rsid w:val="00326D64"/>
    <w:rsid w:val="00326DA7"/>
    <w:rsid w:val="003270E4"/>
    <w:rsid w:val="00330183"/>
    <w:rsid w:val="00330768"/>
    <w:rsid w:val="00330CA8"/>
    <w:rsid w:val="00330D13"/>
    <w:rsid w:val="00330DAA"/>
    <w:rsid w:val="00330F5C"/>
    <w:rsid w:val="003319F5"/>
    <w:rsid w:val="003321D9"/>
    <w:rsid w:val="003329D4"/>
    <w:rsid w:val="00332F73"/>
    <w:rsid w:val="0033357D"/>
    <w:rsid w:val="00333E94"/>
    <w:rsid w:val="00333F5E"/>
    <w:rsid w:val="00334E5F"/>
    <w:rsid w:val="003352BB"/>
    <w:rsid w:val="0033636A"/>
    <w:rsid w:val="003363DF"/>
    <w:rsid w:val="003366C9"/>
    <w:rsid w:val="00336D97"/>
    <w:rsid w:val="003371B0"/>
    <w:rsid w:val="003379DA"/>
    <w:rsid w:val="00340576"/>
    <w:rsid w:val="003407F0"/>
    <w:rsid w:val="00340AB0"/>
    <w:rsid w:val="00340B4D"/>
    <w:rsid w:val="00340BF3"/>
    <w:rsid w:val="00340DF1"/>
    <w:rsid w:val="00340F12"/>
    <w:rsid w:val="0034279E"/>
    <w:rsid w:val="00342AE7"/>
    <w:rsid w:val="00342CF8"/>
    <w:rsid w:val="00342DFA"/>
    <w:rsid w:val="00342F12"/>
    <w:rsid w:val="00343AD8"/>
    <w:rsid w:val="00344727"/>
    <w:rsid w:val="00345489"/>
    <w:rsid w:val="003456FD"/>
    <w:rsid w:val="00345D9E"/>
    <w:rsid w:val="00345F44"/>
    <w:rsid w:val="0034617D"/>
    <w:rsid w:val="003462F5"/>
    <w:rsid w:val="003466FE"/>
    <w:rsid w:val="00347051"/>
    <w:rsid w:val="0034786C"/>
    <w:rsid w:val="00347D61"/>
    <w:rsid w:val="00347F13"/>
    <w:rsid w:val="003504E8"/>
    <w:rsid w:val="0035058C"/>
    <w:rsid w:val="00350676"/>
    <w:rsid w:val="00350C41"/>
    <w:rsid w:val="00351406"/>
    <w:rsid w:val="0035164C"/>
    <w:rsid w:val="0035176D"/>
    <w:rsid w:val="003517F9"/>
    <w:rsid w:val="00351BA9"/>
    <w:rsid w:val="00351BC0"/>
    <w:rsid w:val="003527F4"/>
    <w:rsid w:val="00353299"/>
    <w:rsid w:val="00353446"/>
    <w:rsid w:val="00353506"/>
    <w:rsid w:val="0035390C"/>
    <w:rsid w:val="00353CE4"/>
    <w:rsid w:val="0035413C"/>
    <w:rsid w:val="003543A2"/>
    <w:rsid w:val="00354533"/>
    <w:rsid w:val="00354F64"/>
    <w:rsid w:val="003551F4"/>
    <w:rsid w:val="003554D8"/>
    <w:rsid w:val="00355539"/>
    <w:rsid w:val="00355717"/>
    <w:rsid w:val="003559B0"/>
    <w:rsid w:val="00355A9F"/>
    <w:rsid w:val="00355AED"/>
    <w:rsid w:val="00355BC0"/>
    <w:rsid w:val="00355C9D"/>
    <w:rsid w:val="0035620E"/>
    <w:rsid w:val="003566A0"/>
    <w:rsid w:val="00356744"/>
    <w:rsid w:val="00356B7C"/>
    <w:rsid w:val="00357411"/>
    <w:rsid w:val="00357431"/>
    <w:rsid w:val="00357518"/>
    <w:rsid w:val="00357A98"/>
    <w:rsid w:val="00360345"/>
    <w:rsid w:val="00360351"/>
    <w:rsid w:val="00360828"/>
    <w:rsid w:val="0036126C"/>
    <w:rsid w:val="00361A05"/>
    <w:rsid w:val="00361EA0"/>
    <w:rsid w:val="003620E5"/>
    <w:rsid w:val="003624C4"/>
    <w:rsid w:val="003628C4"/>
    <w:rsid w:val="00362BFA"/>
    <w:rsid w:val="003630A4"/>
    <w:rsid w:val="00363B00"/>
    <w:rsid w:val="0036408C"/>
    <w:rsid w:val="00364D2E"/>
    <w:rsid w:val="00364DE1"/>
    <w:rsid w:val="003654AC"/>
    <w:rsid w:val="0036589B"/>
    <w:rsid w:val="00365B54"/>
    <w:rsid w:val="00365CF3"/>
    <w:rsid w:val="00366294"/>
    <w:rsid w:val="00366A1F"/>
    <w:rsid w:val="00366A65"/>
    <w:rsid w:val="00366F70"/>
    <w:rsid w:val="003679D6"/>
    <w:rsid w:val="00367C89"/>
    <w:rsid w:val="00367CED"/>
    <w:rsid w:val="00370276"/>
    <w:rsid w:val="003710CF"/>
    <w:rsid w:val="00371172"/>
    <w:rsid w:val="003715C6"/>
    <w:rsid w:val="00371A32"/>
    <w:rsid w:val="00371C01"/>
    <w:rsid w:val="00371E20"/>
    <w:rsid w:val="003724E0"/>
    <w:rsid w:val="003727A9"/>
    <w:rsid w:val="0037358A"/>
    <w:rsid w:val="00373982"/>
    <w:rsid w:val="0037398A"/>
    <w:rsid w:val="0037400D"/>
    <w:rsid w:val="00374C48"/>
    <w:rsid w:val="00374ED3"/>
    <w:rsid w:val="003750F6"/>
    <w:rsid w:val="0037542D"/>
    <w:rsid w:val="003760FC"/>
    <w:rsid w:val="00376F3D"/>
    <w:rsid w:val="00377173"/>
    <w:rsid w:val="00377419"/>
    <w:rsid w:val="00377EDD"/>
    <w:rsid w:val="0038243B"/>
    <w:rsid w:val="00382630"/>
    <w:rsid w:val="0038330D"/>
    <w:rsid w:val="00383547"/>
    <w:rsid w:val="0038365C"/>
    <w:rsid w:val="0038369B"/>
    <w:rsid w:val="003837AF"/>
    <w:rsid w:val="00383B78"/>
    <w:rsid w:val="00384691"/>
    <w:rsid w:val="00384C05"/>
    <w:rsid w:val="00384D5F"/>
    <w:rsid w:val="00385074"/>
    <w:rsid w:val="00385971"/>
    <w:rsid w:val="00385A9D"/>
    <w:rsid w:val="00385B9D"/>
    <w:rsid w:val="00386020"/>
    <w:rsid w:val="00386927"/>
    <w:rsid w:val="00386DB3"/>
    <w:rsid w:val="00387718"/>
    <w:rsid w:val="003877E3"/>
    <w:rsid w:val="00387C02"/>
    <w:rsid w:val="003902B1"/>
    <w:rsid w:val="00390B5A"/>
    <w:rsid w:val="00390BEB"/>
    <w:rsid w:val="0039149E"/>
    <w:rsid w:val="0039179C"/>
    <w:rsid w:val="0039258D"/>
    <w:rsid w:val="003925BD"/>
    <w:rsid w:val="00393478"/>
    <w:rsid w:val="00393694"/>
    <w:rsid w:val="00393DC5"/>
    <w:rsid w:val="00393E81"/>
    <w:rsid w:val="003943FB"/>
    <w:rsid w:val="00394928"/>
    <w:rsid w:val="00394A66"/>
    <w:rsid w:val="00395B20"/>
    <w:rsid w:val="00395EA7"/>
    <w:rsid w:val="00396896"/>
    <w:rsid w:val="00396923"/>
    <w:rsid w:val="00396A8E"/>
    <w:rsid w:val="00396FD0"/>
    <w:rsid w:val="003976BE"/>
    <w:rsid w:val="003977DA"/>
    <w:rsid w:val="00397CE8"/>
    <w:rsid w:val="003A0004"/>
    <w:rsid w:val="003A08A3"/>
    <w:rsid w:val="003A0988"/>
    <w:rsid w:val="003A0B08"/>
    <w:rsid w:val="003A14F9"/>
    <w:rsid w:val="003A1569"/>
    <w:rsid w:val="003A1A7A"/>
    <w:rsid w:val="003A1EED"/>
    <w:rsid w:val="003A2392"/>
    <w:rsid w:val="003A25CC"/>
    <w:rsid w:val="003A2831"/>
    <w:rsid w:val="003A3540"/>
    <w:rsid w:val="003A3CB6"/>
    <w:rsid w:val="003A3ED1"/>
    <w:rsid w:val="003A44DB"/>
    <w:rsid w:val="003A4527"/>
    <w:rsid w:val="003A4594"/>
    <w:rsid w:val="003A47A5"/>
    <w:rsid w:val="003A4D4D"/>
    <w:rsid w:val="003A4FF9"/>
    <w:rsid w:val="003A52DC"/>
    <w:rsid w:val="003A54DC"/>
    <w:rsid w:val="003A58EE"/>
    <w:rsid w:val="003A596F"/>
    <w:rsid w:val="003A611C"/>
    <w:rsid w:val="003A629A"/>
    <w:rsid w:val="003A64D2"/>
    <w:rsid w:val="003A7289"/>
    <w:rsid w:val="003B05B6"/>
    <w:rsid w:val="003B06B7"/>
    <w:rsid w:val="003B0B34"/>
    <w:rsid w:val="003B0E8B"/>
    <w:rsid w:val="003B129F"/>
    <w:rsid w:val="003B198C"/>
    <w:rsid w:val="003B1E14"/>
    <w:rsid w:val="003B20E7"/>
    <w:rsid w:val="003B2542"/>
    <w:rsid w:val="003B27BA"/>
    <w:rsid w:val="003B2D46"/>
    <w:rsid w:val="003B335A"/>
    <w:rsid w:val="003B3370"/>
    <w:rsid w:val="003B33C5"/>
    <w:rsid w:val="003B3971"/>
    <w:rsid w:val="003B3EA8"/>
    <w:rsid w:val="003B4468"/>
    <w:rsid w:val="003B51EF"/>
    <w:rsid w:val="003B54AE"/>
    <w:rsid w:val="003B55D1"/>
    <w:rsid w:val="003B5B61"/>
    <w:rsid w:val="003B5C36"/>
    <w:rsid w:val="003B5D18"/>
    <w:rsid w:val="003B63D9"/>
    <w:rsid w:val="003B6893"/>
    <w:rsid w:val="003B6EAF"/>
    <w:rsid w:val="003B7FD9"/>
    <w:rsid w:val="003C0678"/>
    <w:rsid w:val="003C07AC"/>
    <w:rsid w:val="003C0CD3"/>
    <w:rsid w:val="003C0CD5"/>
    <w:rsid w:val="003C0D35"/>
    <w:rsid w:val="003C10D2"/>
    <w:rsid w:val="003C1396"/>
    <w:rsid w:val="003C1654"/>
    <w:rsid w:val="003C1C01"/>
    <w:rsid w:val="003C1D0E"/>
    <w:rsid w:val="003C29F4"/>
    <w:rsid w:val="003C2DEC"/>
    <w:rsid w:val="003C3492"/>
    <w:rsid w:val="003C498E"/>
    <w:rsid w:val="003C49EE"/>
    <w:rsid w:val="003C4CB9"/>
    <w:rsid w:val="003C4DBF"/>
    <w:rsid w:val="003C5542"/>
    <w:rsid w:val="003C5C88"/>
    <w:rsid w:val="003C6204"/>
    <w:rsid w:val="003C6712"/>
    <w:rsid w:val="003C7357"/>
    <w:rsid w:val="003C7A94"/>
    <w:rsid w:val="003C7D19"/>
    <w:rsid w:val="003C7D2F"/>
    <w:rsid w:val="003D112F"/>
    <w:rsid w:val="003D1154"/>
    <w:rsid w:val="003D17CC"/>
    <w:rsid w:val="003D1828"/>
    <w:rsid w:val="003D19EC"/>
    <w:rsid w:val="003D1DE4"/>
    <w:rsid w:val="003D1E9A"/>
    <w:rsid w:val="003D2139"/>
    <w:rsid w:val="003D232A"/>
    <w:rsid w:val="003D2422"/>
    <w:rsid w:val="003D2A3B"/>
    <w:rsid w:val="003D2B49"/>
    <w:rsid w:val="003D3014"/>
    <w:rsid w:val="003D3577"/>
    <w:rsid w:val="003D39A1"/>
    <w:rsid w:val="003D3B1B"/>
    <w:rsid w:val="003D3FBF"/>
    <w:rsid w:val="003D4A30"/>
    <w:rsid w:val="003D5792"/>
    <w:rsid w:val="003D57F4"/>
    <w:rsid w:val="003D5D1A"/>
    <w:rsid w:val="003D602F"/>
    <w:rsid w:val="003D6A6A"/>
    <w:rsid w:val="003D71B0"/>
    <w:rsid w:val="003D7452"/>
    <w:rsid w:val="003D76A2"/>
    <w:rsid w:val="003D7876"/>
    <w:rsid w:val="003D79BB"/>
    <w:rsid w:val="003D7C98"/>
    <w:rsid w:val="003D7D9D"/>
    <w:rsid w:val="003D7F85"/>
    <w:rsid w:val="003E0543"/>
    <w:rsid w:val="003E0804"/>
    <w:rsid w:val="003E104B"/>
    <w:rsid w:val="003E1BBF"/>
    <w:rsid w:val="003E219F"/>
    <w:rsid w:val="003E2356"/>
    <w:rsid w:val="003E27CE"/>
    <w:rsid w:val="003E2AF1"/>
    <w:rsid w:val="003E3156"/>
    <w:rsid w:val="003E3841"/>
    <w:rsid w:val="003E39D2"/>
    <w:rsid w:val="003E4360"/>
    <w:rsid w:val="003E44FE"/>
    <w:rsid w:val="003E4B0A"/>
    <w:rsid w:val="003E564E"/>
    <w:rsid w:val="003E583A"/>
    <w:rsid w:val="003E5A2C"/>
    <w:rsid w:val="003E66F8"/>
    <w:rsid w:val="003E6929"/>
    <w:rsid w:val="003E6D3F"/>
    <w:rsid w:val="003E6F91"/>
    <w:rsid w:val="003E749E"/>
    <w:rsid w:val="003E75F8"/>
    <w:rsid w:val="003F0072"/>
    <w:rsid w:val="003F079C"/>
    <w:rsid w:val="003F0B73"/>
    <w:rsid w:val="003F266E"/>
    <w:rsid w:val="003F2EB4"/>
    <w:rsid w:val="003F3449"/>
    <w:rsid w:val="003F385E"/>
    <w:rsid w:val="003F4156"/>
    <w:rsid w:val="003F4491"/>
    <w:rsid w:val="003F44BB"/>
    <w:rsid w:val="003F4DC4"/>
    <w:rsid w:val="003F4F16"/>
    <w:rsid w:val="003F57D7"/>
    <w:rsid w:val="003F58D5"/>
    <w:rsid w:val="003F5ADF"/>
    <w:rsid w:val="003F5C12"/>
    <w:rsid w:val="003F74A5"/>
    <w:rsid w:val="003F75A9"/>
    <w:rsid w:val="003F7BBC"/>
    <w:rsid w:val="003F7F28"/>
    <w:rsid w:val="004005E3"/>
    <w:rsid w:val="00400617"/>
    <w:rsid w:val="00400692"/>
    <w:rsid w:val="004009D2"/>
    <w:rsid w:val="00400B29"/>
    <w:rsid w:val="00400B94"/>
    <w:rsid w:val="00400C45"/>
    <w:rsid w:val="00401D62"/>
    <w:rsid w:val="00402024"/>
    <w:rsid w:val="00402EE9"/>
    <w:rsid w:val="00402FC2"/>
    <w:rsid w:val="004033F1"/>
    <w:rsid w:val="004035A3"/>
    <w:rsid w:val="00403658"/>
    <w:rsid w:val="004041B4"/>
    <w:rsid w:val="004044E6"/>
    <w:rsid w:val="004045F9"/>
    <w:rsid w:val="0040504B"/>
    <w:rsid w:val="00405587"/>
    <w:rsid w:val="0040586D"/>
    <w:rsid w:val="004059F4"/>
    <w:rsid w:val="004059FD"/>
    <w:rsid w:val="00405A8F"/>
    <w:rsid w:val="004060B3"/>
    <w:rsid w:val="00407FE5"/>
    <w:rsid w:val="00410120"/>
    <w:rsid w:val="004101B0"/>
    <w:rsid w:val="00410326"/>
    <w:rsid w:val="00410708"/>
    <w:rsid w:val="00410E34"/>
    <w:rsid w:val="00410EC7"/>
    <w:rsid w:val="00411318"/>
    <w:rsid w:val="00411501"/>
    <w:rsid w:val="004117F9"/>
    <w:rsid w:val="00411A67"/>
    <w:rsid w:val="00411B39"/>
    <w:rsid w:val="004127A7"/>
    <w:rsid w:val="00412E25"/>
    <w:rsid w:val="00413562"/>
    <w:rsid w:val="004137A0"/>
    <w:rsid w:val="00413A1E"/>
    <w:rsid w:val="00413A28"/>
    <w:rsid w:val="00413AB0"/>
    <w:rsid w:val="00413E7B"/>
    <w:rsid w:val="00413F83"/>
    <w:rsid w:val="00414476"/>
    <w:rsid w:val="00414571"/>
    <w:rsid w:val="0041457D"/>
    <w:rsid w:val="004148A8"/>
    <w:rsid w:val="00414937"/>
    <w:rsid w:val="00414C2E"/>
    <w:rsid w:val="00414F68"/>
    <w:rsid w:val="004151CF"/>
    <w:rsid w:val="0041530E"/>
    <w:rsid w:val="004162B9"/>
    <w:rsid w:val="004162BD"/>
    <w:rsid w:val="00416364"/>
    <w:rsid w:val="00416CC3"/>
    <w:rsid w:val="0041774D"/>
    <w:rsid w:val="00417E11"/>
    <w:rsid w:val="0042009D"/>
    <w:rsid w:val="0042010E"/>
    <w:rsid w:val="0042047F"/>
    <w:rsid w:val="00420AA6"/>
    <w:rsid w:val="00420B9F"/>
    <w:rsid w:val="004212F3"/>
    <w:rsid w:val="00421444"/>
    <w:rsid w:val="004217CF"/>
    <w:rsid w:val="0042192C"/>
    <w:rsid w:val="00421A46"/>
    <w:rsid w:val="00422063"/>
    <w:rsid w:val="00422260"/>
    <w:rsid w:val="00422390"/>
    <w:rsid w:val="00422D80"/>
    <w:rsid w:val="00422E11"/>
    <w:rsid w:val="004230E3"/>
    <w:rsid w:val="0042336B"/>
    <w:rsid w:val="004233EA"/>
    <w:rsid w:val="00423757"/>
    <w:rsid w:val="0042398B"/>
    <w:rsid w:val="00423EB6"/>
    <w:rsid w:val="0042413F"/>
    <w:rsid w:val="0042472C"/>
    <w:rsid w:val="0042506A"/>
    <w:rsid w:val="004252B4"/>
    <w:rsid w:val="00425AFA"/>
    <w:rsid w:val="00425B69"/>
    <w:rsid w:val="00426317"/>
    <w:rsid w:val="00426A99"/>
    <w:rsid w:val="0042753B"/>
    <w:rsid w:val="0042759F"/>
    <w:rsid w:val="00427E4D"/>
    <w:rsid w:val="0043094D"/>
    <w:rsid w:val="004309EE"/>
    <w:rsid w:val="00430D87"/>
    <w:rsid w:val="004311E1"/>
    <w:rsid w:val="004319F8"/>
    <w:rsid w:val="00431E55"/>
    <w:rsid w:val="004321F6"/>
    <w:rsid w:val="004328D2"/>
    <w:rsid w:val="00433044"/>
    <w:rsid w:val="0043321A"/>
    <w:rsid w:val="004338EF"/>
    <w:rsid w:val="00434088"/>
    <w:rsid w:val="00434F93"/>
    <w:rsid w:val="00435050"/>
    <w:rsid w:val="0043546D"/>
    <w:rsid w:val="00435694"/>
    <w:rsid w:val="004375B9"/>
    <w:rsid w:val="004375EC"/>
    <w:rsid w:val="00437E05"/>
    <w:rsid w:val="0044190D"/>
    <w:rsid w:val="00441DEF"/>
    <w:rsid w:val="00442360"/>
    <w:rsid w:val="00442822"/>
    <w:rsid w:val="004428D0"/>
    <w:rsid w:val="004431EF"/>
    <w:rsid w:val="004432EF"/>
    <w:rsid w:val="00443383"/>
    <w:rsid w:val="00443D18"/>
    <w:rsid w:val="00443FCF"/>
    <w:rsid w:val="00444161"/>
    <w:rsid w:val="00444185"/>
    <w:rsid w:val="0044437E"/>
    <w:rsid w:val="004443A7"/>
    <w:rsid w:val="0044442C"/>
    <w:rsid w:val="004447D7"/>
    <w:rsid w:val="00444B9F"/>
    <w:rsid w:val="00445135"/>
    <w:rsid w:val="00445592"/>
    <w:rsid w:val="00445941"/>
    <w:rsid w:val="00445C88"/>
    <w:rsid w:val="004464EB"/>
    <w:rsid w:val="00446AAF"/>
    <w:rsid w:val="0044775B"/>
    <w:rsid w:val="00447D26"/>
    <w:rsid w:val="00447DFC"/>
    <w:rsid w:val="004500B3"/>
    <w:rsid w:val="00450EF1"/>
    <w:rsid w:val="004516D4"/>
    <w:rsid w:val="0045260C"/>
    <w:rsid w:val="00452D48"/>
    <w:rsid w:val="0045328E"/>
    <w:rsid w:val="00453AC3"/>
    <w:rsid w:val="00453D86"/>
    <w:rsid w:val="00453DFC"/>
    <w:rsid w:val="00453F9A"/>
    <w:rsid w:val="00454069"/>
    <w:rsid w:val="00454EB8"/>
    <w:rsid w:val="00455719"/>
    <w:rsid w:val="00455764"/>
    <w:rsid w:val="00455D45"/>
    <w:rsid w:val="00455E5C"/>
    <w:rsid w:val="00456302"/>
    <w:rsid w:val="00456E50"/>
    <w:rsid w:val="00456E51"/>
    <w:rsid w:val="004573ED"/>
    <w:rsid w:val="004578C6"/>
    <w:rsid w:val="00460E5B"/>
    <w:rsid w:val="0046133F"/>
    <w:rsid w:val="004614BE"/>
    <w:rsid w:val="00461D17"/>
    <w:rsid w:val="00461F5C"/>
    <w:rsid w:val="00462A2D"/>
    <w:rsid w:val="00462C7D"/>
    <w:rsid w:val="00463178"/>
    <w:rsid w:val="0046391C"/>
    <w:rsid w:val="004639EC"/>
    <w:rsid w:val="00463C63"/>
    <w:rsid w:val="00464541"/>
    <w:rsid w:val="00464595"/>
    <w:rsid w:val="004656B5"/>
    <w:rsid w:val="004658B5"/>
    <w:rsid w:val="00465978"/>
    <w:rsid w:val="00465A50"/>
    <w:rsid w:val="00465DE8"/>
    <w:rsid w:val="00465F8C"/>
    <w:rsid w:val="00466421"/>
    <w:rsid w:val="00466508"/>
    <w:rsid w:val="00466C25"/>
    <w:rsid w:val="00466C79"/>
    <w:rsid w:val="0046798B"/>
    <w:rsid w:val="00467AD5"/>
    <w:rsid w:val="00467E0B"/>
    <w:rsid w:val="0047003A"/>
    <w:rsid w:val="004709F5"/>
    <w:rsid w:val="00471158"/>
    <w:rsid w:val="00471294"/>
    <w:rsid w:val="0047167D"/>
    <w:rsid w:val="00471697"/>
    <w:rsid w:val="00471AA4"/>
    <w:rsid w:val="00471EA5"/>
    <w:rsid w:val="00471ECA"/>
    <w:rsid w:val="00472A79"/>
    <w:rsid w:val="00472D35"/>
    <w:rsid w:val="00473116"/>
    <w:rsid w:val="0047374F"/>
    <w:rsid w:val="00473757"/>
    <w:rsid w:val="00473CE5"/>
    <w:rsid w:val="00473F19"/>
    <w:rsid w:val="004742BB"/>
    <w:rsid w:val="00475029"/>
    <w:rsid w:val="00475191"/>
    <w:rsid w:val="00475513"/>
    <w:rsid w:val="00475735"/>
    <w:rsid w:val="00475E22"/>
    <w:rsid w:val="00476627"/>
    <w:rsid w:val="00476DFB"/>
    <w:rsid w:val="00476E11"/>
    <w:rsid w:val="00480382"/>
    <w:rsid w:val="004803C5"/>
    <w:rsid w:val="0048088E"/>
    <w:rsid w:val="00480F2B"/>
    <w:rsid w:val="00481157"/>
    <w:rsid w:val="004812C7"/>
    <w:rsid w:val="0048170A"/>
    <w:rsid w:val="00482126"/>
    <w:rsid w:val="00482596"/>
    <w:rsid w:val="00482720"/>
    <w:rsid w:val="00482B9D"/>
    <w:rsid w:val="004832BD"/>
    <w:rsid w:val="004833F6"/>
    <w:rsid w:val="004835E7"/>
    <w:rsid w:val="00483F30"/>
    <w:rsid w:val="0048451D"/>
    <w:rsid w:val="00484559"/>
    <w:rsid w:val="00484B6B"/>
    <w:rsid w:val="004852F1"/>
    <w:rsid w:val="004855AB"/>
    <w:rsid w:val="00485EDC"/>
    <w:rsid w:val="0048657E"/>
    <w:rsid w:val="004867E2"/>
    <w:rsid w:val="00486B3B"/>
    <w:rsid w:val="0048710D"/>
    <w:rsid w:val="004873DB"/>
    <w:rsid w:val="00487476"/>
    <w:rsid w:val="00487B2A"/>
    <w:rsid w:val="00487D36"/>
    <w:rsid w:val="00487DAA"/>
    <w:rsid w:val="0049002A"/>
    <w:rsid w:val="00490746"/>
    <w:rsid w:val="0049087E"/>
    <w:rsid w:val="00490B17"/>
    <w:rsid w:val="00491B3A"/>
    <w:rsid w:val="0049223E"/>
    <w:rsid w:val="00492260"/>
    <w:rsid w:val="00492CFD"/>
    <w:rsid w:val="00492D18"/>
    <w:rsid w:val="004930AF"/>
    <w:rsid w:val="0049331A"/>
    <w:rsid w:val="00493ABF"/>
    <w:rsid w:val="00494207"/>
    <w:rsid w:val="0049489D"/>
    <w:rsid w:val="00494DD5"/>
    <w:rsid w:val="00494E79"/>
    <w:rsid w:val="004954AF"/>
    <w:rsid w:val="00495B70"/>
    <w:rsid w:val="00495ED9"/>
    <w:rsid w:val="004962D2"/>
    <w:rsid w:val="004963C3"/>
    <w:rsid w:val="004967EA"/>
    <w:rsid w:val="00496B2C"/>
    <w:rsid w:val="00496CCD"/>
    <w:rsid w:val="00497369"/>
    <w:rsid w:val="00497408"/>
    <w:rsid w:val="00497492"/>
    <w:rsid w:val="00497551"/>
    <w:rsid w:val="004A0008"/>
    <w:rsid w:val="004A010C"/>
    <w:rsid w:val="004A0DA1"/>
    <w:rsid w:val="004A0E5C"/>
    <w:rsid w:val="004A13CA"/>
    <w:rsid w:val="004A13D6"/>
    <w:rsid w:val="004A16BB"/>
    <w:rsid w:val="004A1D38"/>
    <w:rsid w:val="004A2EBF"/>
    <w:rsid w:val="004A329D"/>
    <w:rsid w:val="004A33EE"/>
    <w:rsid w:val="004A3E5F"/>
    <w:rsid w:val="004A4AF4"/>
    <w:rsid w:val="004A50F4"/>
    <w:rsid w:val="004A52E9"/>
    <w:rsid w:val="004A5737"/>
    <w:rsid w:val="004A5CD8"/>
    <w:rsid w:val="004A6040"/>
    <w:rsid w:val="004A6597"/>
    <w:rsid w:val="004A6C2C"/>
    <w:rsid w:val="004A6D9A"/>
    <w:rsid w:val="004A755C"/>
    <w:rsid w:val="004A7848"/>
    <w:rsid w:val="004A7A23"/>
    <w:rsid w:val="004B0054"/>
    <w:rsid w:val="004B05DA"/>
    <w:rsid w:val="004B07E4"/>
    <w:rsid w:val="004B0C47"/>
    <w:rsid w:val="004B1299"/>
    <w:rsid w:val="004B12D0"/>
    <w:rsid w:val="004B1596"/>
    <w:rsid w:val="004B1A90"/>
    <w:rsid w:val="004B1CB4"/>
    <w:rsid w:val="004B2319"/>
    <w:rsid w:val="004B253D"/>
    <w:rsid w:val="004B261A"/>
    <w:rsid w:val="004B274C"/>
    <w:rsid w:val="004B2E0D"/>
    <w:rsid w:val="004B2E8C"/>
    <w:rsid w:val="004B2F18"/>
    <w:rsid w:val="004B32FA"/>
    <w:rsid w:val="004B36AE"/>
    <w:rsid w:val="004B39E0"/>
    <w:rsid w:val="004B3DDB"/>
    <w:rsid w:val="004B3F16"/>
    <w:rsid w:val="004B44FD"/>
    <w:rsid w:val="004B5000"/>
    <w:rsid w:val="004B577F"/>
    <w:rsid w:val="004B5CFC"/>
    <w:rsid w:val="004B602B"/>
    <w:rsid w:val="004B60CB"/>
    <w:rsid w:val="004B63FC"/>
    <w:rsid w:val="004B6F79"/>
    <w:rsid w:val="004B7640"/>
    <w:rsid w:val="004B774D"/>
    <w:rsid w:val="004B7BA1"/>
    <w:rsid w:val="004B7E67"/>
    <w:rsid w:val="004C0A8C"/>
    <w:rsid w:val="004C0ABC"/>
    <w:rsid w:val="004C13DA"/>
    <w:rsid w:val="004C1762"/>
    <w:rsid w:val="004C1A85"/>
    <w:rsid w:val="004C1BAB"/>
    <w:rsid w:val="004C1F04"/>
    <w:rsid w:val="004C1F08"/>
    <w:rsid w:val="004C21B3"/>
    <w:rsid w:val="004C222F"/>
    <w:rsid w:val="004C2441"/>
    <w:rsid w:val="004C2982"/>
    <w:rsid w:val="004C2B92"/>
    <w:rsid w:val="004C2EE3"/>
    <w:rsid w:val="004C3181"/>
    <w:rsid w:val="004C4AED"/>
    <w:rsid w:val="004C4D89"/>
    <w:rsid w:val="004C4FB6"/>
    <w:rsid w:val="004C50F8"/>
    <w:rsid w:val="004C5608"/>
    <w:rsid w:val="004C5F27"/>
    <w:rsid w:val="004C676C"/>
    <w:rsid w:val="004C73AC"/>
    <w:rsid w:val="004C743D"/>
    <w:rsid w:val="004C7B17"/>
    <w:rsid w:val="004C7D77"/>
    <w:rsid w:val="004D0123"/>
    <w:rsid w:val="004D052B"/>
    <w:rsid w:val="004D11CA"/>
    <w:rsid w:val="004D1C79"/>
    <w:rsid w:val="004D1D2D"/>
    <w:rsid w:val="004D205F"/>
    <w:rsid w:val="004D2153"/>
    <w:rsid w:val="004D2A6E"/>
    <w:rsid w:val="004D2C2D"/>
    <w:rsid w:val="004D313F"/>
    <w:rsid w:val="004D3227"/>
    <w:rsid w:val="004D3E1E"/>
    <w:rsid w:val="004D419D"/>
    <w:rsid w:val="004D42E2"/>
    <w:rsid w:val="004D5033"/>
    <w:rsid w:val="004D564A"/>
    <w:rsid w:val="004D56DF"/>
    <w:rsid w:val="004D57D2"/>
    <w:rsid w:val="004D5CCC"/>
    <w:rsid w:val="004D69B5"/>
    <w:rsid w:val="004D6CC7"/>
    <w:rsid w:val="004D6D14"/>
    <w:rsid w:val="004D6F6B"/>
    <w:rsid w:val="004D7227"/>
    <w:rsid w:val="004D7280"/>
    <w:rsid w:val="004D739C"/>
    <w:rsid w:val="004D73B5"/>
    <w:rsid w:val="004E0168"/>
    <w:rsid w:val="004E0791"/>
    <w:rsid w:val="004E0824"/>
    <w:rsid w:val="004E0E7F"/>
    <w:rsid w:val="004E0EB8"/>
    <w:rsid w:val="004E0F62"/>
    <w:rsid w:val="004E13E4"/>
    <w:rsid w:val="004E1822"/>
    <w:rsid w:val="004E18E9"/>
    <w:rsid w:val="004E1923"/>
    <w:rsid w:val="004E19A9"/>
    <w:rsid w:val="004E1B19"/>
    <w:rsid w:val="004E1DC6"/>
    <w:rsid w:val="004E2ADC"/>
    <w:rsid w:val="004E2FF2"/>
    <w:rsid w:val="004E3430"/>
    <w:rsid w:val="004E3E5D"/>
    <w:rsid w:val="004E43B2"/>
    <w:rsid w:val="004E4698"/>
    <w:rsid w:val="004E5763"/>
    <w:rsid w:val="004E5986"/>
    <w:rsid w:val="004E5CC3"/>
    <w:rsid w:val="004E60CA"/>
    <w:rsid w:val="004E63A1"/>
    <w:rsid w:val="004E6888"/>
    <w:rsid w:val="004F0452"/>
    <w:rsid w:val="004F04CA"/>
    <w:rsid w:val="004F09CB"/>
    <w:rsid w:val="004F12CD"/>
    <w:rsid w:val="004F1D02"/>
    <w:rsid w:val="004F203A"/>
    <w:rsid w:val="004F2172"/>
    <w:rsid w:val="004F2261"/>
    <w:rsid w:val="004F22E9"/>
    <w:rsid w:val="004F2304"/>
    <w:rsid w:val="004F2679"/>
    <w:rsid w:val="004F2708"/>
    <w:rsid w:val="004F29C6"/>
    <w:rsid w:val="004F29F5"/>
    <w:rsid w:val="004F2F21"/>
    <w:rsid w:val="004F3D15"/>
    <w:rsid w:val="004F3DE5"/>
    <w:rsid w:val="004F4537"/>
    <w:rsid w:val="004F4944"/>
    <w:rsid w:val="004F50DB"/>
    <w:rsid w:val="004F5E22"/>
    <w:rsid w:val="004F5F42"/>
    <w:rsid w:val="004F67F7"/>
    <w:rsid w:val="004F6913"/>
    <w:rsid w:val="004F7865"/>
    <w:rsid w:val="004F7995"/>
    <w:rsid w:val="004F7D5D"/>
    <w:rsid w:val="004F7E03"/>
    <w:rsid w:val="00500795"/>
    <w:rsid w:val="00500BE1"/>
    <w:rsid w:val="00501643"/>
    <w:rsid w:val="0050172E"/>
    <w:rsid w:val="0050174E"/>
    <w:rsid w:val="00501854"/>
    <w:rsid w:val="00501DAB"/>
    <w:rsid w:val="00501E45"/>
    <w:rsid w:val="0050219B"/>
    <w:rsid w:val="005023FC"/>
    <w:rsid w:val="00502BC0"/>
    <w:rsid w:val="00502C10"/>
    <w:rsid w:val="00503660"/>
    <w:rsid w:val="00503F17"/>
    <w:rsid w:val="00504AE4"/>
    <w:rsid w:val="00504BE9"/>
    <w:rsid w:val="00504F7C"/>
    <w:rsid w:val="00505105"/>
    <w:rsid w:val="00505B18"/>
    <w:rsid w:val="00505B74"/>
    <w:rsid w:val="00506396"/>
    <w:rsid w:val="005067B1"/>
    <w:rsid w:val="00506928"/>
    <w:rsid w:val="005069DF"/>
    <w:rsid w:val="00506A6E"/>
    <w:rsid w:val="00507317"/>
    <w:rsid w:val="005077EF"/>
    <w:rsid w:val="00507A9E"/>
    <w:rsid w:val="00507C86"/>
    <w:rsid w:val="0051044A"/>
    <w:rsid w:val="00510707"/>
    <w:rsid w:val="00510E6E"/>
    <w:rsid w:val="00511AC1"/>
    <w:rsid w:val="00511AD5"/>
    <w:rsid w:val="00511DC7"/>
    <w:rsid w:val="005120FC"/>
    <w:rsid w:val="005129FA"/>
    <w:rsid w:val="00512E25"/>
    <w:rsid w:val="005131D4"/>
    <w:rsid w:val="0051334F"/>
    <w:rsid w:val="005140B1"/>
    <w:rsid w:val="00514174"/>
    <w:rsid w:val="005142C5"/>
    <w:rsid w:val="005146A7"/>
    <w:rsid w:val="0051501B"/>
    <w:rsid w:val="005152B5"/>
    <w:rsid w:val="00515D16"/>
    <w:rsid w:val="0051637A"/>
    <w:rsid w:val="00516C66"/>
    <w:rsid w:val="00516F1A"/>
    <w:rsid w:val="0051747B"/>
    <w:rsid w:val="005175D2"/>
    <w:rsid w:val="00517A72"/>
    <w:rsid w:val="00517E31"/>
    <w:rsid w:val="005205C1"/>
    <w:rsid w:val="00521224"/>
    <w:rsid w:val="0052123C"/>
    <w:rsid w:val="00521319"/>
    <w:rsid w:val="005220FC"/>
    <w:rsid w:val="005225ED"/>
    <w:rsid w:val="0052271B"/>
    <w:rsid w:val="00522BC8"/>
    <w:rsid w:val="00523148"/>
    <w:rsid w:val="00523C28"/>
    <w:rsid w:val="005243F6"/>
    <w:rsid w:val="00524DC1"/>
    <w:rsid w:val="00524EAB"/>
    <w:rsid w:val="0052523B"/>
    <w:rsid w:val="005252AB"/>
    <w:rsid w:val="005252C8"/>
    <w:rsid w:val="00525316"/>
    <w:rsid w:val="005271B6"/>
    <w:rsid w:val="005273DA"/>
    <w:rsid w:val="0052782F"/>
    <w:rsid w:val="00527C88"/>
    <w:rsid w:val="00527CF8"/>
    <w:rsid w:val="00530064"/>
    <w:rsid w:val="0053176B"/>
    <w:rsid w:val="00531D33"/>
    <w:rsid w:val="0053202D"/>
    <w:rsid w:val="005325E8"/>
    <w:rsid w:val="005331CE"/>
    <w:rsid w:val="005332CD"/>
    <w:rsid w:val="00533CD3"/>
    <w:rsid w:val="00533F30"/>
    <w:rsid w:val="005340D4"/>
    <w:rsid w:val="005340D9"/>
    <w:rsid w:val="0053477D"/>
    <w:rsid w:val="00535853"/>
    <w:rsid w:val="00535A00"/>
    <w:rsid w:val="00535B22"/>
    <w:rsid w:val="00536383"/>
    <w:rsid w:val="00536F42"/>
    <w:rsid w:val="00537182"/>
    <w:rsid w:val="0053749E"/>
    <w:rsid w:val="005375ED"/>
    <w:rsid w:val="00537CA2"/>
    <w:rsid w:val="005405E9"/>
    <w:rsid w:val="00540B01"/>
    <w:rsid w:val="00541C1E"/>
    <w:rsid w:val="00541EDD"/>
    <w:rsid w:val="00542171"/>
    <w:rsid w:val="00542241"/>
    <w:rsid w:val="00542743"/>
    <w:rsid w:val="00542C2D"/>
    <w:rsid w:val="00543FFD"/>
    <w:rsid w:val="00544931"/>
    <w:rsid w:val="00544B94"/>
    <w:rsid w:val="00544BF2"/>
    <w:rsid w:val="00544F03"/>
    <w:rsid w:val="005455F9"/>
    <w:rsid w:val="00545C13"/>
    <w:rsid w:val="00546AA8"/>
    <w:rsid w:val="00546D03"/>
    <w:rsid w:val="00547250"/>
    <w:rsid w:val="005474FA"/>
    <w:rsid w:val="005477D4"/>
    <w:rsid w:val="005478BD"/>
    <w:rsid w:val="005479E3"/>
    <w:rsid w:val="00547DE4"/>
    <w:rsid w:val="0055021F"/>
    <w:rsid w:val="005503B8"/>
    <w:rsid w:val="0055059D"/>
    <w:rsid w:val="00550D98"/>
    <w:rsid w:val="00550E0C"/>
    <w:rsid w:val="0055110C"/>
    <w:rsid w:val="005516B7"/>
    <w:rsid w:val="005516D6"/>
    <w:rsid w:val="00551985"/>
    <w:rsid w:val="005522A2"/>
    <w:rsid w:val="0055237C"/>
    <w:rsid w:val="00552675"/>
    <w:rsid w:val="00552BD3"/>
    <w:rsid w:val="005532A0"/>
    <w:rsid w:val="0055388F"/>
    <w:rsid w:val="00553EF8"/>
    <w:rsid w:val="00554321"/>
    <w:rsid w:val="00554370"/>
    <w:rsid w:val="00554DB5"/>
    <w:rsid w:val="00555109"/>
    <w:rsid w:val="005554FD"/>
    <w:rsid w:val="00555CE3"/>
    <w:rsid w:val="005566B6"/>
    <w:rsid w:val="0055689E"/>
    <w:rsid w:val="00556B35"/>
    <w:rsid w:val="00556D91"/>
    <w:rsid w:val="0055741A"/>
    <w:rsid w:val="00557701"/>
    <w:rsid w:val="00560BCB"/>
    <w:rsid w:val="00560DD5"/>
    <w:rsid w:val="00560E4E"/>
    <w:rsid w:val="005611B7"/>
    <w:rsid w:val="005618D4"/>
    <w:rsid w:val="005623B2"/>
    <w:rsid w:val="005625D5"/>
    <w:rsid w:val="005628DA"/>
    <w:rsid w:val="00562DE6"/>
    <w:rsid w:val="00564B1F"/>
    <w:rsid w:val="005651D6"/>
    <w:rsid w:val="00565855"/>
    <w:rsid w:val="0056585F"/>
    <w:rsid w:val="00565ACC"/>
    <w:rsid w:val="00565DF0"/>
    <w:rsid w:val="00565E06"/>
    <w:rsid w:val="00565E91"/>
    <w:rsid w:val="00566238"/>
    <w:rsid w:val="0056696F"/>
    <w:rsid w:val="00567C91"/>
    <w:rsid w:val="0057117D"/>
    <w:rsid w:val="005713B1"/>
    <w:rsid w:val="00571529"/>
    <w:rsid w:val="00572160"/>
    <w:rsid w:val="00572269"/>
    <w:rsid w:val="0057244A"/>
    <w:rsid w:val="005725C0"/>
    <w:rsid w:val="00572E57"/>
    <w:rsid w:val="00572F1E"/>
    <w:rsid w:val="00572F26"/>
    <w:rsid w:val="0057386A"/>
    <w:rsid w:val="00573AB5"/>
    <w:rsid w:val="00573BD2"/>
    <w:rsid w:val="005748ED"/>
    <w:rsid w:val="005750C5"/>
    <w:rsid w:val="005752DE"/>
    <w:rsid w:val="005753FA"/>
    <w:rsid w:val="00575D8D"/>
    <w:rsid w:val="00576559"/>
    <w:rsid w:val="00576972"/>
    <w:rsid w:val="00576E08"/>
    <w:rsid w:val="0057719F"/>
    <w:rsid w:val="00577256"/>
    <w:rsid w:val="00577A40"/>
    <w:rsid w:val="00577A52"/>
    <w:rsid w:val="00580B55"/>
    <w:rsid w:val="005818DA"/>
    <w:rsid w:val="005823C6"/>
    <w:rsid w:val="00582C50"/>
    <w:rsid w:val="00582F4E"/>
    <w:rsid w:val="00583302"/>
    <w:rsid w:val="00583699"/>
    <w:rsid w:val="005838F1"/>
    <w:rsid w:val="00583AA2"/>
    <w:rsid w:val="00583D71"/>
    <w:rsid w:val="005842B4"/>
    <w:rsid w:val="00584B28"/>
    <w:rsid w:val="00584CDA"/>
    <w:rsid w:val="00584DD1"/>
    <w:rsid w:val="00584FA3"/>
    <w:rsid w:val="005852E9"/>
    <w:rsid w:val="00585CDD"/>
    <w:rsid w:val="00585FE0"/>
    <w:rsid w:val="0058619D"/>
    <w:rsid w:val="005862FD"/>
    <w:rsid w:val="00587058"/>
    <w:rsid w:val="005871A6"/>
    <w:rsid w:val="00587597"/>
    <w:rsid w:val="00587679"/>
    <w:rsid w:val="00587762"/>
    <w:rsid w:val="00587A34"/>
    <w:rsid w:val="00587C11"/>
    <w:rsid w:val="005904F3"/>
    <w:rsid w:val="00590669"/>
    <w:rsid w:val="00590802"/>
    <w:rsid w:val="00590A2D"/>
    <w:rsid w:val="00590B04"/>
    <w:rsid w:val="00590C91"/>
    <w:rsid w:val="00591957"/>
    <w:rsid w:val="00592553"/>
    <w:rsid w:val="00592696"/>
    <w:rsid w:val="00592B45"/>
    <w:rsid w:val="00593001"/>
    <w:rsid w:val="00593451"/>
    <w:rsid w:val="00593484"/>
    <w:rsid w:val="00593BA1"/>
    <w:rsid w:val="0059419F"/>
    <w:rsid w:val="00594270"/>
    <w:rsid w:val="005944E3"/>
    <w:rsid w:val="005946CE"/>
    <w:rsid w:val="00594DB7"/>
    <w:rsid w:val="00595EB8"/>
    <w:rsid w:val="00596DC2"/>
    <w:rsid w:val="0059712D"/>
    <w:rsid w:val="00597187"/>
    <w:rsid w:val="00597465"/>
    <w:rsid w:val="0059746E"/>
    <w:rsid w:val="005978B4"/>
    <w:rsid w:val="00597BF9"/>
    <w:rsid w:val="005A121E"/>
    <w:rsid w:val="005A1257"/>
    <w:rsid w:val="005A14AA"/>
    <w:rsid w:val="005A1B00"/>
    <w:rsid w:val="005A1B98"/>
    <w:rsid w:val="005A1F2B"/>
    <w:rsid w:val="005A2261"/>
    <w:rsid w:val="005A2C87"/>
    <w:rsid w:val="005A309A"/>
    <w:rsid w:val="005A330A"/>
    <w:rsid w:val="005A373D"/>
    <w:rsid w:val="005A4628"/>
    <w:rsid w:val="005A4AF8"/>
    <w:rsid w:val="005A4E8A"/>
    <w:rsid w:val="005A5772"/>
    <w:rsid w:val="005A60AC"/>
    <w:rsid w:val="005A6137"/>
    <w:rsid w:val="005A631B"/>
    <w:rsid w:val="005A6E5F"/>
    <w:rsid w:val="005A716E"/>
    <w:rsid w:val="005A77E3"/>
    <w:rsid w:val="005A7C49"/>
    <w:rsid w:val="005B01F5"/>
    <w:rsid w:val="005B04F7"/>
    <w:rsid w:val="005B07CC"/>
    <w:rsid w:val="005B0B58"/>
    <w:rsid w:val="005B1629"/>
    <w:rsid w:val="005B1C20"/>
    <w:rsid w:val="005B2BB3"/>
    <w:rsid w:val="005B2ED4"/>
    <w:rsid w:val="005B2F8B"/>
    <w:rsid w:val="005B3F24"/>
    <w:rsid w:val="005B4179"/>
    <w:rsid w:val="005B42FB"/>
    <w:rsid w:val="005B482F"/>
    <w:rsid w:val="005B4E53"/>
    <w:rsid w:val="005B53D4"/>
    <w:rsid w:val="005B5857"/>
    <w:rsid w:val="005B5B74"/>
    <w:rsid w:val="005B60EF"/>
    <w:rsid w:val="005B6268"/>
    <w:rsid w:val="005B62E4"/>
    <w:rsid w:val="005B6F9F"/>
    <w:rsid w:val="005B71E0"/>
    <w:rsid w:val="005B71FA"/>
    <w:rsid w:val="005B7DA3"/>
    <w:rsid w:val="005C033D"/>
    <w:rsid w:val="005C0930"/>
    <w:rsid w:val="005C1005"/>
    <w:rsid w:val="005C11CB"/>
    <w:rsid w:val="005C11D7"/>
    <w:rsid w:val="005C162C"/>
    <w:rsid w:val="005C189E"/>
    <w:rsid w:val="005C1A40"/>
    <w:rsid w:val="005C1AFE"/>
    <w:rsid w:val="005C1B83"/>
    <w:rsid w:val="005C1DFE"/>
    <w:rsid w:val="005C25FF"/>
    <w:rsid w:val="005C2D55"/>
    <w:rsid w:val="005C30C5"/>
    <w:rsid w:val="005C3138"/>
    <w:rsid w:val="005C346B"/>
    <w:rsid w:val="005C398E"/>
    <w:rsid w:val="005C3A4A"/>
    <w:rsid w:val="005C3C04"/>
    <w:rsid w:val="005C3E05"/>
    <w:rsid w:val="005C3F5B"/>
    <w:rsid w:val="005C3FD1"/>
    <w:rsid w:val="005C4164"/>
    <w:rsid w:val="005C4213"/>
    <w:rsid w:val="005C4AEC"/>
    <w:rsid w:val="005C5CA6"/>
    <w:rsid w:val="005C60CB"/>
    <w:rsid w:val="005C6382"/>
    <w:rsid w:val="005C6E8C"/>
    <w:rsid w:val="005C7634"/>
    <w:rsid w:val="005C7FF0"/>
    <w:rsid w:val="005D01C2"/>
    <w:rsid w:val="005D027E"/>
    <w:rsid w:val="005D044D"/>
    <w:rsid w:val="005D0897"/>
    <w:rsid w:val="005D096F"/>
    <w:rsid w:val="005D0ABD"/>
    <w:rsid w:val="005D0EF1"/>
    <w:rsid w:val="005D18AD"/>
    <w:rsid w:val="005D1D58"/>
    <w:rsid w:val="005D220A"/>
    <w:rsid w:val="005D26B4"/>
    <w:rsid w:val="005D27C3"/>
    <w:rsid w:val="005D2F9E"/>
    <w:rsid w:val="005D3070"/>
    <w:rsid w:val="005D35EE"/>
    <w:rsid w:val="005D38ED"/>
    <w:rsid w:val="005D3C2B"/>
    <w:rsid w:val="005D3FFC"/>
    <w:rsid w:val="005D4779"/>
    <w:rsid w:val="005D4949"/>
    <w:rsid w:val="005D4DEC"/>
    <w:rsid w:val="005D4DFE"/>
    <w:rsid w:val="005D4F9A"/>
    <w:rsid w:val="005D657F"/>
    <w:rsid w:val="005D67B5"/>
    <w:rsid w:val="005D69C2"/>
    <w:rsid w:val="005D763E"/>
    <w:rsid w:val="005D76F3"/>
    <w:rsid w:val="005D7B13"/>
    <w:rsid w:val="005E03F0"/>
    <w:rsid w:val="005E0975"/>
    <w:rsid w:val="005E0A05"/>
    <w:rsid w:val="005E0A61"/>
    <w:rsid w:val="005E0C78"/>
    <w:rsid w:val="005E0FC8"/>
    <w:rsid w:val="005E11F2"/>
    <w:rsid w:val="005E1402"/>
    <w:rsid w:val="005E239D"/>
    <w:rsid w:val="005E250A"/>
    <w:rsid w:val="005E271A"/>
    <w:rsid w:val="005E2B0A"/>
    <w:rsid w:val="005E2CE9"/>
    <w:rsid w:val="005E2F48"/>
    <w:rsid w:val="005E33BE"/>
    <w:rsid w:val="005E343B"/>
    <w:rsid w:val="005E382B"/>
    <w:rsid w:val="005E4086"/>
    <w:rsid w:val="005E42BA"/>
    <w:rsid w:val="005E5424"/>
    <w:rsid w:val="005E594B"/>
    <w:rsid w:val="005E5E54"/>
    <w:rsid w:val="005E6CBC"/>
    <w:rsid w:val="005E6D1E"/>
    <w:rsid w:val="005E7026"/>
    <w:rsid w:val="005E72FF"/>
    <w:rsid w:val="005E73C0"/>
    <w:rsid w:val="005E75F6"/>
    <w:rsid w:val="005E78BD"/>
    <w:rsid w:val="005E7E0E"/>
    <w:rsid w:val="005F02AB"/>
    <w:rsid w:val="005F07DB"/>
    <w:rsid w:val="005F09AA"/>
    <w:rsid w:val="005F0ED3"/>
    <w:rsid w:val="005F2644"/>
    <w:rsid w:val="005F2706"/>
    <w:rsid w:val="005F3369"/>
    <w:rsid w:val="005F398C"/>
    <w:rsid w:val="005F3B53"/>
    <w:rsid w:val="005F3EB8"/>
    <w:rsid w:val="005F408B"/>
    <w:rsid w:val="005F4395"/>
    <w:rsid w:val="005F4BFD"/>
    <w:rsid w:val="005F4D3D"/>
    <w:rsid w:val="005F5123"/>
    <w:rsid w:val="005F5279"/>
    <w:rsid w:val="005F5559"/>
    <w:rsid w:val="005F5EE9"/>
    <w:rsid w:val="005F6A8F"/>
    <w:rsid w:val="005F6BB7"/>
    <w:rsid w:val="005F6FA7"/>
    <w:rsid w:val="005F7077"/>
    <w:rsid w:val="005F7588"/>
    <w:rsid w:val="005F7EF8"/>
    <w:rsid w:val="005F7F26"/>
    <w:rsid w:val="006007A3"/>
    <w:rsid w:val="00601910"/>
    <w:rsid w:val="00602513"/>
    <w:rsid w:val="00602B8C"/>
    <w:rsid w:val="00603340"/>
    <w:rsid w:val="00603DB9"/>
    <w:rsid w:val="00603DF6"/>
    <w:rsid w:val="00603E8A"/>
    <w:rsid w:val="00603F1F"/>
    <w:rsid w:val="00604220"/>
    <w:rsid w:val="006043D2"/>
    <w:rsid w:val="0060456C"/>
    <w:rsid w:val="006058E1"/>
    <w:rsid w:val="006062BE"/>
    <w:rsid w:val="0060665E"/>
    <w:rsid w:val="00606C57"/>
    <w:rsid w:val="00606FBA"/>
    <w:rsid w:val="0060704B"/>
    <w:rsid w:val="00607669"/>
    <w:rsid w:val="006076F4"/>
    <w:rsid w:val="00607937"/>
    <w:rsid w:val="00607AFD"/>
    <w:rsid w:val="00607BD1"/>
    <w:rsid w:val="0061102D"/>
    <w:rsid w:val="00611349"/>
    <w:rsid w:val="00611A61"/>
    <w:rsid w:val="00612806"/>
    <w:rsid w:val="00612BF1"/>
    <w:rsid w:val="00612F97"/>
    <w:rsid w:val="00613056"/>
    <w:rsid w:val="006131C3"/>
    <w:rsid w:val="0061345D"/>
    <w:rsid w:val="00613AE3"/>
    <w:rsid w:val="00614C49"/>
    <w:rsid w:val="0061504A"/>
    <w:rsid w:val="0061510E"/>
    <w:rsid w:val="006151D4"/>
    <w:rsid w:val="0061549B"/>
    <w:rsid w:val="0061587D"/>
    <w:rsid w:val="006163BB"/>
    <w:rsid w:val="00616802"/>
    <w:rsid w:val="0061680E"/>
    <w:rsid w:val="00616AAB"/>
    <w:rsid w:val="00616D05"/>
    <w:rsid w:val="00617035"/>
    <w:rsid w:val="00617D50"/>
    <w:rsid w:val="00617E12"/>
    <w:rsid w:val="00620C25"/>
    <w:rsid w:val="00620DBB"/>
    <w:rsid w:val="00620FD2"/>
    <w:rsid w:val="006211C3"/>
    <w:rsid w:val="00621477"/>
    <w:rsid w:val="006215B7"/>
    <w:rsid w:val="00621ADA"/>
    <w:rsid w:val="00621FD4"/>
    <w:rsid w:val="006221A1"/>
    <w:rsid w:val="00622A55"/>
    <w:rsid w:val="00623CDB"/>
    <w:rsid w:val="00623F7B"/>
    <w:rsid w:val="00624816"/>
    <w:rsid w:val="00624AAB"/>
    <w:rsid w:val="006251C4"/>
    <w:rsid w:val="00625529"/>
    <w:rsid w:val="00625949"/>
    <w:rsid w:val="00625D9D"/>
    <w:rsid w:val="00626416"/>
    <w:rsid w:val="00626BDD"/>
    <w:rsid w:val="006275F4"/>
    <w:rsid w:val="0062761C"/>
    <w:rsid w:val="006277D5"/>
    <w:rsid w:val="00627B01"/>
    <w:rsid w:val="00627C1C"/>
    <w:rsid w:val="006300C7"/>
    <w:rsid w:val="00630831"/>
    <w:rsid w:val="00631565"/>
    <w:rsid w:val="0063158F"/>
    <w:rsid w:val="00631634"/>
    <w:rsid w:val="00631D6B"/>
    <w:rsid w:val="00632183"/>
    <w:rsid w:val="006330A1"/>
    <w:rsid w:val="006333D1"/>
    <w:rsid w:val="0063425F"/>
    <w:rsid w:val="006346D9"/>
    <w:rsid w:val="0063479F"/>
    <w:rsid w:val="00634F4B"/>
    <w:rsid w:val="006350ED"/>
    <w:rsid w:val="006353F0"/>
    <w:rsid w:val="006357B5"/>
    <w:rsid w:val="00635BF9"/>
    <w:rsid w:val="006361C4"/>
    <w:rsid w:val="006364A1"/>
    <w:rsid w:val="0063657C"/>
    <w:rsid w:val="00636680"/>
    <w:rsid w:val="0063678E"/>
    <w:rsid w:val="00636812"/>
    <w:rsid w:val="00636839"/>
    <w:rsid w:val="00636DD3"/>
    <w:rsid w:val="006372DB"/>
    <w:rsid w:val="00637484"/>
    <w:rsid w:val="006379B6"/>
    <w:rsid w:val="00637A74"/>
    <w:rsid w:val="00637BFD"/>
    <w:rsid w:val="0064004E"/>
    <w:rsid w:val="00640803"/>
    <w:rsid w:val="0064124C"/>
    <w:rsid w:val="006416C3"/>
    <w:rsid w:val="00641C4E"/>
    <w:rsid w:val="00641FB3"/>
    <w:rsid w:val="00642186"/>
    <w:rsid w:val="006426BB"/>
    <w:rsid w:val="00642868"/>
    <w:rsid w:val="00642D6D"/>
    <w:rsid w:val="0064302C"/>
    <w:rsid w:val="006430CB"/>
    <w:rsid w:val="006436C4"/>
    <w:rsid w:val="0064434C"/>
    <w:rsid w:val="0064441D"/>
    <w:rsid w:val="0064571E"/>
    <w:rsid w:val="00645F16"/>
    <w:rsid w:val="00646087"/>
    <w:rsid w:val="006462C9"/>
    <w:rsid w:val="00646529"/>
    <w:rsid w:val="00646BBE"/>
    <w:rsid w:val="00646E4E"/>
    <w:rsid w:val="006471CC"/>
    <w:rsid w:val="006471E9"/>
    <w:rsid w:val="00647378"/>
    <w:rsid w:val="006473F5"/>
    <w:rsid w:val="00647A29"/>
    <w:rsid w:val="0065079F"/>
    <w:rsid w:val="00651529"/>
    <w:rsid w:val="00652448"/>
    <w:rsid w:val="006528EB"/>
    <w:rsid w:val="00652A28"/>
    <w:rsid w:val="00652F94"/>
    <w:rsid w:val="006532C2"/>
    <w:rsid w:val="006532E3"/>
    <w:rsid w:val="0065379F"/>
    <w:rsid w:val="00653827"/>
    <w:rsid w:val="00653AAF"/>
    <w:rsid w:val="00653C85"/>
    <w:rsid w:val="00653E4A"/>
    <w:rsid w:val="00654168"/>
    <w:rsid w:val="00654360"/>
    <w:rsid w:val="0065466A"/>
    <w:rsid w:val="006547F9"/>
    <w:rsid w:val="00654E3F"/>
    <w:rsid w:val="00655753"/>
    <w:rsid w:val="0065579D"/>
    <w:rsid w:val="0065593F"/>
    <w:rsid w:val="00656188"/>
    <w:rsid w:val="00656282"/>
    <w:rsid w:val="00656CE1"/>
    <w:rsid w:val="0065715A"/>
    <w:rsid w:val="006571E5"/>
    <w:rsid w:val="00657389"/>
    <w:rsid w:val="006579A9"/>
    <w:rsid w:val="00657D16"/>
    <w:rsid w:val="00657F87"/>
    <w:rsid w:val="0066001D"/>
    <w:rsid w:val="00660146"/>
    <w:rsid w:val="00660499"/>
    <w:rsid w:val="00660ACF"/>
    <w:rsid w:val="00660C8C"/>
    <w:rsid w:val="006610F1"/>
    <w:rsid w:val="006611A2"/>
    <w:rsid w:val="00661C6B"/>
    <w:rsid w:val="00661E96"/>
    <w:rsid w:val="00661EF3"/>
    <w:rsid w:val="00662275"/>
    <w:rsid w:val="006625E9"/>
    <w:rsid w:val="006627F6"/>
    <w:rsid w:val="00663A8F"/>
    <w:rsid w:val="00664522"/>
    <w:rsid w:val="0066469A"/>
    <w:rsid w:val="006648BF"/>
    <w:rsid w:val="00664CD2"/>
    <w:rsid w:val="00665A16"/>
    <w:rsid w:val="00666081"/>
    <w:rsid w:val="0066710E"/>
    <w:rsid w:val="006671BA"/>
    <w:rsid w:val="00667548"/>
    <w:rsid w:val="00670225"/>
    <w:rsid w:val="00670B56"/>
    <w:rsid w:val="00670C50"/>
    <w:rsid w:val="00670D36"/>
    <w:rsid w:val="00671004"/>
    <w:rsid w:val="0067106D"/>
    <w:rsid w:val="00672070"/>
    <w:rsid w:val="00672646"/>
    <w:rsid w:val="006728EB"/>
    <w:rsid w:val="00673A72"/>
    <w:rsid w:val="00673B8A"/>
    <w:rsid w:val="00673CBF"/>
    <w:rsid w:val="0067456B"/>
    <w:rsid w:val="00674B67"/>
    <w:rsid w:val="00674E42"/>
    <w:rsid w:val="00674F10"/>
    <w:rsid w:val="00675CEE"/>
    <w:rsid w:val="00675E93"/>
    <w:rsid w:val="00675EF0"/>
    <w:rsid w:val="0067633E"/>
    <w:rsid w:val="00676637"/>
    <w:rsid w:val="00676AED"/>
    <w:rsid w:val="00676B5A"/>
    <w:rsid w:val="00676CA1"/>
    <w:rsid w:val="00677336"/>
    <w:rsid w:val="00677535"/>
    <w:rsid w:val="0067769D"/>
    <w:rsid w:val="00677CB6"/>
    <w:rsid w:val="00677FE5"/>
    <w:rsid w:val="00680062"/>
    <w:rsid w:val="00680173"/>
    <w:rsid w:val="0068017E"/>
    <w:rsid w:val="00680339"/>
    <w:rsid w:val="006803A3"/>
    <w:rsid w:val="00680574"/>
    <w:rsid w:val="0068089B"/>
    <w:rsid w:val="00680D88"/>
    <w:rsid w:val="006810B4"/>
    <w:rsid w:val="006813B0"/>
    <w:rsid w:val="006813F8"/>
    <w:rsid w:val="0068147D"/>
    <w:rsid w:val="0068185C"/>
    <w:rsid w:val="00681D36"/>
    <w:rsid w:val="00681D7B"/>
    <w:rsid w:val="00682112"/>
    <w:rsid w:val="006826A7"/>
    <w:rsid w:val="006829BB"/>
    <w:rsid w:val="00682BA6"/>
    <w:rsid w:val="006833D1"/>
    <w:rsid w:val="006834FF"/>
    <w:rsid w:val="006835F9"/>
    <w:rsid w:val="00683ABC"/>
    <w:rsid w:val="00683CF1"/>
    <w:rsid w:val="006844BF"/>
    <w:rsid w:val="00684EAC"/>
    <w:rsid w:val="00685679"/>
    <w:rsid w:val="00685A08"/>
    <w:rsid w:val="0068686E"/>
    <w:rsid w:val="00686957"/>
    <w:rsid w:val="00686AAC"/>
    <w:rsid w:val="00686BA6"/>
    <w:rsid w:val="006872BA"/>
    <w:rsid w:val="006879CB"/>
    <w:rsid w:val="00690484"/>
    <w:rsid w:val="00690795"/>
    <w:rsid w:val="00690C88"/>
    <w:rsid w:val="00690E4A"/>
    <w:rsid w:val="00691564"/>
    <w:rsid w:val="00691641"/>
    <w:rsid w:val="00691648"/>
    <w:rsid w:val="00691732"/>
    <w:rsid w:val="006917D7"/>
    <w:rsid w:val="00691A93"/>
    <w:rsid w:val="00691BC3"/>
    <w:rsid w:val="0069276B"/>
    <w:rsid w:val="00693443"/>
    <w:rsid w:val="00693DA2"/>
    <w:rsid w:val="0069434C"/>
    <w:rsid w:val="00694AA4"/>
    <w:rsid w:val="00694F44"/>
    <w:rsid w:val="00695117"/>
    <w:rsid w:val="00695CAA"/>
    <w:rsid w:val="00695E6D"/>
    <w:rsid w:val="0069636B"/>
    <w:rsid w:val="00696425"/>
    <w:rsid w:val="00696B28"/>
    <w:rsid w:val="00696BD8"/>
    <w:rsid w:val="00696F51"/>
    <w:rsid w:val="00697010"/>
    <w:rsid w:val="0069749C"/>
    <w:rsid w:val="006979A5"/>
    <w:rsid w:val="00697CE8"/>
    <w:rsid w:val="00697E22"/>
    <w:rsid w:val="006A0059"/>
    <w:rsid w:val="006A0307"/>
    <w:rsid w:val="006A034D"/>
    <w:rsid w:val="006A083B"/>
    <w:rsid w:val="006A085D"/>
    <w:rsid w:val="006A0913"/>
    <w:rsid w:val="006A16AE"/>
    <w:rsid w:val="006A17E3"/>
    <w:rsid w:val="006A22FB"/>
    <w:rsid w:val="006A23BD"/>
    <w:rsid w:val="006A2D0B"/>
    <w:rsid w:val="006A2E66"/>
    <w:rsid w:val="006A338A"/>
    <w:rsid w:val="006A33EC"/>
    <w:rsid w:val="006A4175"/>
    <w:rsid w:val="006A42B7"/>
    <w:rsid w:val="006A434A"/>
    <w:rsid w:val="006A4436"/>
    <w:rsid w:val="006A447F"/>
    <w:rsid w:val="006A4B2E"/>
    <w:rsid w:val="006A53AF"/>
    <w:rsid w:val="006A55C5"/>
    <w:rsid w:val="006A5C47"/>
    <w:rsid w:val="006A6AAE"/>
    <w:rsid w:val="006A6B32"/>
    <w:rsid w:val="006A6B99"/>
    <w:rsid w:val="006A7041"/>
    <w:rsid w:val="006A73B4"/>
    <w:rsid w:val="006A7A36"/>
    <w:rsid w:val="006A7E5F"/>
    <w:rsid w:val="006A7FC1"/>
    <w:rsid w:val="006B09CA"/>
    <w:rsid w:val="006B0DAC"/>
    <w:rsid w:val="006B1930"/>
    <w:rsid w:val="006B1DF6"/>
    <w:rsid w:val="006B2151"/>
    <w:rsid w:val="006B261B"/>
    <w:rsid w:val="006B28E0"/>
    <w:rsid w:val="006B2B15"/>
    <w:rsid w:val="006B2C90"/>
    <w:rsid w:val="006B2EC9"/>
    <w:rsid w:val="006B2FF9"/>
    <w:rsid w:val="006B3095"/>
    <w:rsid w:val="006B3375"/>
    <w:rsid w:val="006B33DE"/>
    <w:rsid w:val="006B35E6"/>
    <w:rsid w:val="006B4429"/>
    <w:rsid w:val="006B465A"/>
    <w:rsid w:val="006B4B27"/>
    <w:rsid w:val="006B504A"/>
    <w:rsid w:val="006B504C"/>
    <w:rsid w:val="006B52D3"/>
    <w:rsid w:val="006B5317"/>
    <w:rsid w:val="006B5D4C"/>
    <w:rsid w:val="006B69A0"/>
    <w:rsid w:val="006B6B06"/>
    <w:rsid w:val="006B6DD0"/>
    <w:rsid w:val="006B713F"/>
    <w:rsid w:val="006B7242"/>
    <w:rsid w:val="006B765C"/>
    <w:rsid w:val="006B7737"/>
    <w:rsid w:val="006C0399"/>
    <w:rsid w:val="006C040C"/>
    <w:rsid w:val="006C0D86"/>
    <w:rsid w:val="006C1286"/>
    <w:rsid w:val="006C173F"/>
    <w:rsid w:val="006C2127"/>
    <w:rsid w:val="006C22C9"/>
    <w:rsid w:val="006C298B"/>
    <w:rsid w:val="006C2A8E"/>
    <w:rsid w:val="006C2E04"/>
    <w:rsid w:val="006C30B5"/>
    <w:rsid w:val="006C3255"/>
    <w:rsid w:val="006C3435"/>
    <w:rsid w:val="006C3F26"/>
    <w:rsid w:val="006C53F8"/>
    <w:rsid w:val="006C58F1"/>
    <w:rsid w:val="006C5D42"/>
    <w:rsid w:val="006C65F3"/>
    <w:rsid w:val="006C669D"/>
    <w:rsid w:val="006C7846"/>
    <w:rsid w:val="006D03F0"/>
    <w:rsid w:val="006D0498"/>
    <w:rsid w:val="006D0D17"/>
    <w:rsid w:val="006D0E21"/>
    <w:rsid w:val="006D120F"/>
    <w:rsid w:val="006D2247"/>
    <w:rsid w:val="006D244F"/>
    <w:rsid w:val="006D3590"/>
    <w:rsid w:val="006D3C7D"/>
    <w:rsid w:val="006D3E2D"/>
    <w:rsid w:val="006D44E1"/>
    <w:rsid w:val="006D4659"/>
    <w:rsid w:val="006D5D5F"/>
    <w:rsid w:val="006D68FB"/>
    <w:rsid w:val="006D70F7"/>
    <w:rsid w:val="006D71EA"/>
    <w:rsid w:val="006D7AB8"/>
    <w:rsid w:val="006D7B2B"/>
    <w:rsid w:val="006D7C9D"/>
    <w:rsid w:val="006E00A7"/>
    <w:rsid w:val="006E00F1"/>
    <w:rsid w:val="006E04B5"/>
    <w:rsid w:val="006E0730"/>
    <w:rsid w:val="006E0C22"/>
    <w:rsid w:val="006E0F16"/>
    <w:rsid w:val="006E164C"/>
    <w:rsid w:val="006E2729"/>
    <w:rsid w:val="006E2868"/>
    <w:rsid w:val="006E2879"/>
    <w:rsid w:val="006E2C63"/>
    <w:rsid w:val="006E3204"/>
    <w:rsid w:val="006E356A"/>
    <w:rsid w:val="006E4051"/>
    <w:rsid w:val="006E4572"/>
    <w:rsid w:val="006E4B48"/>
    <w:rsid w:val="006E4F9A"/>
    <w:rsid w:val="006E5312"/>
    <w:rsid w:val="006E6AA2"/>
    <w:rsid w:val="006E756D"/>
    <w:rsid w:val="006E7D4C"/>
    <w:rsid w:val="006E7E32"/>
    <w:rsid w:val="006E7F5F"/>
    <w:rsid w:val="006F0414"/>
    <w:rsid w:val="006F08CC"/>
    <w:rsid w:val="006F0A0C"/>
    <w:rsid w:val="006F0AB1"/>
    <w:rsid w:val="006F0FCC"/>
    <w:rsid w:val="006F1FAB"/>
    <w:rsid w:val="006F2082"/>
    <w:rsid w:val="006F306C"/>
    <w:rsid w:val="006F3F74"/>
    <w:rsid w:val="006F477D"/>
    <w:rsid w:val="006F5FCA"/>
    <w:rsid w:val="006F63A5"/>
    <w:rsid w:val="006F680F"/>
    <w:rsid w:val="006F6BB0"/>
    <w:rsid w:val="006F7374"/>
    <w:rsid w:val="006F762A"/>
    <w:rsid w:val="006F772C"/>
    <w:rsid w:val="00700A5C"/>
    <w:rsid w:val="00700C79"/>
    <w:rsid w:val="0070127C"/>
    <w:rsid w:val="0070142B"/>
    <w:rsid w:val="00701F48"/>
    <w:rsid w:val="00702144"/>
    <w:rsid w:val="007024D6"/>
    <w:rsid w:val="00702572"/>
    <w:rsid w:val="007025EC"/>
    <w:rsid w:val="0070276E"/>
    <w:rsid w:val="00702F8F"/>
    <w:rsid w:val="00703AC7"/>
    <w:rsid w:val="00703E9A"/>
    <w:rsid w:val="00704364"/>
    <w:rsid w:val="0070469D"/>
    <w:rsid w:val="00704B25"/>
    <w:rsid w:val="00704B60"/>
    <w:rsid w:val="00704DB2"/>
    <w:rsid w:val="00704EC9"/>
    <w:rsid w:val="007050B4"/>
    <w:rsid w:val="0070524E"/>
    <w:rsid w:val="007056F5"/>
    <w:rsid w:val="00705A21"/>
    <w:rsid w:val="00706332"/>
    <w:rsid w:val="00706B5F"/>
    <w:rsid w:val="00706FB2"/>
    <w:rsid w:val="007071F1"/>
    <w:rsid w:val="00707663"/>
    <w:rsid w:val="0070767C"/>
    <w:rsid w:val="0070767E"/>
    <w:rsid w:val="007079FC"/>
    <w:rsid w:val="00707F97"/>
    <w:rsid w:val="0071033A"/>
    <w:rsid w:val="0071036E"/>
    <w:rsid w:val="007109DA"/>
    <w:rsid w:val="007117D3"/>
    <w:rsid w:val="00711A36"/>
    <w:rsid w:val="00711C0D"/>
    <w:rsid w:val="00711CE7"/>
    <w:rsid w:val="00711EFA"/>
    <w:rsid w:val="00712172"/>
    <w:rsid w:val="00712869"/>
    <w:rsid w:val="00713B23"/>
    <w:rsid w:val="007144DC"/>
    <w:rsid w:val="00714872"/>
    <w:rsid w:val="00714C26"/>
    <w:rsid w:val="0071529B"/>
    <w:rsid w:val="0071529C"/>
    <w:rsid w:val="00715B7F"/>
    <w:rsid w:val="00715B8A"/>
    <w:rsid w:val="0071630E"/>
    <w:rsid w:val="007169A4"/>
    <w:rsid w:val="00716C79"/>
    <w:rsid w:val="00716E2E"/>
    <w:rsid w:val="007170DA"/>
    <w:rsid w:val="007172AD"/>
    <w:rsid w:val="00717857"/>
    <w:rsid w:val="00720569"/>
    <w:rsid w:val="00720801"/>
    <w:rsid w:val="0072154A"/>
    <w:rsid w:val="007216F0"/>
    <w:rsid w:val="00722102"/>
    <w:rsid w:val="0072233B"/>
    <w:rsid w:val="00722B1B"/>
    <w:rsid w:val="007236FB"/>
    <w:rsid w:val="00723FEB"/>
    <w:rsid w:val="0072416F"/>
    <w:rsid w:val="00724401"/>
    <w:rsid w:val="007244BD"/>
    <w:rsid w:val="00724617"/>
    <w:rsid w:val="00724691"/>
    <w:rsid w:val="00724A06"/>
    <w:rsid w:val="00725828"/>
    <w:rsid w:val="00727B1E"/>
    <w:rsid w:val="00727C94"/>
    <w:rsid w:val="00727D73"/>
    <w:rsid w:val="0073043B"/>
    <w:rsid w:val="00730DB0"/>
    <w:rsid w:val="00730ECD"/>
    <w:rsid w:val="00731257"/>
    <w:rsid w:val="007315D7"/>
    <w:rsid w:val="00731B0A"/>
    <w:rsid w:val="00731EAE"/>
    <w:rsid w:val="0073214D"/>
    <w:rsid w:val="007326B0"/>
    <w:rsid w:val="007327BB"/>
    <w:rsid w:val="00733073"/>
    <w:rsid w:val="00733428"/>
    <w:rsid w:val="007337EC"/>
    <w:rsid w:val="00733FF9"/>
    <w:rsid w:val="0073473D"/>
    <w:rsid w:val="00735033"/>
    <w:rsid w:val="00735328"/>
    <w:rsid w:val="00735C50"/>
    <w:rsid w:val="00736137"/>
    <w:rsid w:val="007361BB"/>
    <w:rsid w:val="007367E3"/>
    <w:rsid w:val="007367F4"/>
    <w:rsid w:val="0073685B"/>
    <w:rsid w:val="00736C76"/>
    <w:rsid w:val="0074139A"/>
    <w:rsid w:val="00741E53"/>
    <w:rsid w:val="0074289C"/>
    <w:rsid w:val="00742EB6"/>
    <w:rsid w:val="00742ECE"/>
    <w:rsid w:val="00742EE5"/>
    <w:rsid w:val="0074306D"/>
    <w:rsid w:val="007432FC"/>
    <w:rsid w:val="00743561"/>
    <w:rsid w:val="0074369D"/>
    <w:rsid w:val="007442E4"/>
    <w:rsid w:val="0074438C"/>
    <w:rsid w:val="007448CE"/>
    <w:rsid w:val="00744900"/>
    <w:rsid w:val="007449BF"/>
    <w:rsid w:val="00744AF1"/>
    <w:rsid w:val="0074510E"/>
    <w:rsid w:val="00746212"/>
    <w:rsid w:val="0074636A"/>
    <w:rsid w:val="0074696A"/>
    <w:rsid w:val="00746BAF"/>
    <w:rsid w:val="00746BC0"/>
    <w:rsid w:val="00747D4A"/>
    <w:rsid w:val="00747E13"/>
    <w:rsid w:val="0075010F"/>
    <w:rsid w:val="00750112"/>
    <w:rsid w:val="00750128"/>
    <w:rsid w:val="007510B4"/>
    <w:rsid w:val="00751207"/>
    <w:rsid w:val="0075159F"/>
    <w:rsid w:val="00751FB4"/>
    <w:rsid w:val="00752142"/>
    <w:rsid w:val="007523F9"/>
    <w:rsid w:val="007533A0"/>
    <w:rsid w:val="0075357E"/>
    <w:rsid w:val="00753634"/>
    <w:rsid w:val="00754E6F"/>
    <w:rsid w:val="00754F5B"/>
    <w:rsid w:val="007556D1"/>
    <w:rsid w:val="00755BEE"/>
    <w:rsid w:val="007573E8"/>
    <w:rsid w:val="0075753F"/>
    <w:rsid w:val="00757D4B"/>
    <w:rsid w:val="00757F4F"/>
    <w:rsid w:val="0076092E"/>
    <w:rsid w:val="00760B9A"/>
    <w:rsid w:val="00760C4E"/>
    <w:rsid w:val="00760F9E"/>
    <w:rsid w:val="0076120B"/>
    <w:rsid w:val="00761416"/>
    <w:rsid w:val="00761AA8"/>
    <w:rsid w:val="00761D08"/>
    <w:rsid w:val="007625C3"/>
    <w:rsid w:val="007627BE"/>
    <w:rsid w:val="00763A70"/>
    <w:rsid w:val="00763CCF"/>
    <w:rsid w:val="00763EB6"/>
    <w:rsid w:val="00764278"/>
    <w:rsid w:val="00764487"/>
    <w:rsid w:val="0076487C"/>
    <w:rsid w:val="00764F03"/>
    <w:rsid w:val="00765B1A"/>
    <w:rsid w:val="00765DDB"/>
    <w:rsid w:val="00765EDF"/>
    <w:rsid w:val="0076640A"/>
    <w:rsid w:val="00766B68"/>
    <w:rsid w:val="00766BC2"/>
    <w:rsid w:val="00767265"/>
    <w:rsid w:val="00767B66"/>
    <w:rsid w:val="00767E61"/>
    <w:rsid w:val="00770409"/>
    <w:rsid w:val="00770C28"/>
    <w:rsid w:val="00770F36"/>
    <w:rsid w:val="00770F69"/>
    <w:rsid w:val="00771A6A"/>
    <w:rsid w:val="00771F22"/>
    <w:rsid w:val="0077254B"/>
    <w:rsid w:val="00772694"/>
    <w:rsid w:val="00772818"/>
    <w:rsid w:val="00773361"/>
    <w:rsid w:val="007733FA"/>
    <w:rsid w:val="0077345C"/>
    <w:rsid w:val="00773910"/>
    <w:rsid w:val="00774225"/>
    <w:rsid w:val="007748F2"/>
    <w:rsid w:val="00775C62"/>
    <w:rsid w:val="00776BFA"/>
    <w:rsid w:val="00776DC4"/>
    <w:rsid w:val="00776EE3"/>
    <w:rsid w:val="00777335"/>
    <w:rsid w:val="007777C4"/>
    <w:rsid w:val="00780224"/>
    <w:rsid w:val="0078022F"/>
    <w:rsid w:val="00780721"/>
    <w:rsid w:val="0078091A"/>
    <w:rsid w:val="00782240"/>
    <w:rsid w:val="007843F2"/>
    <w:rsid w:val="007846C4"/>
    <w:rsid w:val="00784752"/>
    <w:rsid w:val="00784AEE"/>
    <w:rsid w:val="00784D72"/>
    <w:rsid w:val="0078505A"/>
    <w:rsid w:val="00785A9F"/>
    <w:rsid w:val="00787A01"/>
    <w:rsid w:val="00790143"/>
    <w:rsid w:val="00790393"/>
    <w:rsid w:val="00790B1E"/>
    <w:rsid w:val="007911AA"/>
    <w:rsid w:val="00791225"/>
    <w:rsid w:val="00791C12"/>
    <w:rsid w:val="00791E8A"/>
    <w:rsid w:val="00792075"/>
    <w:rsid w:val="007923B9"/>
    <w:rsid w:val="00792547"/>
    <w:rsid w:val="007925DF"/>
    <w:rsid w:val="0079268B"/>
    <w:rsid w:val="007926C0"/>
    <w:rsid w:val="007928EC"/>
    <w:rsid w:val="00792921"/>
    <w:rsid w:val="007935D7"/>
    <w:rsid w:val="007942F6"/>
    <w:rsid w:val="0079495F"/>
    <w:rsid w:val="00794BA9"/>
    <w:rsid w:val="00795170"/>
    <w:rsid w:val="00795A45"/>
    <w:rsid w:val="00795E03"/>
    <w:rsid w:val="007962D4"/>
    <w:rsid w:val="00796F98"/>
    <w:rsid w:val="007A08AA"/>
    <w:rsid w:val="007A0A12"/>
    <w:rsid w:val="007A0DF6"/>
    <w:rsid w:val="007A0FE3"/>
    <w:rsid w:val="007A110E"/>
    <w:rsid w:val="007A12E8"/>
    <w:rsid w:val="007A132D"/>
    <w:rsid w:val="007A1345"/>
    <w:rsid w:val="007A1B3E"/>
    <w:rsid w:val="007A1F8A"/>
    <w:rsid w:val="007A2089"/>
    <w:rsid w:val="007A2316"/>
    <w:rsid w:val="007A27C8"/>
    <w:rsid w:val="007A2BB4"/>
    <w:rsid w:val="007A2DDB"/>
    <w:rsid w:val="007A307A"/>
    <w:rsid w:val="007A3297"/>
    <w:rsid w:val="007A3387"/>
    <w:rsid w:val="007A4EA4"/>
    <w:rsid w:val="007A59BD"/>
    <w:rsid w:val="007A5BCE"/>
    <w:rsid w:val="007A70BA"/>
    <w:rsid w:val="007A7461"/>
    <w:rsid w:val="007B0B4F"/>
    <w:rsid w:val="007B0D68"/>
    <w:rsid w:val="007B0F4C"/>
    <w:rsid w:val="007B113B"/>
    <w:rsid w:val="007B1553"/>
    <w:rsid w:val="007B19B4"/>
    <w:rsid w:val="007B1A08"/>
    <w:rsid w:val="007B1A49"/>
    <w:rsid w:val="007B251D"/>
    <w:rsid w:val="007B2678"/>
    <w:rsid w:val="007B2E82"/>
    <w:rsid w:val="007B34AC"/>
    <w:rsid w:val="007B3EFE"/>
    <w:rsid w:val="007B4F58"/>
    <w:rsid w:val="007B51C6"/>
    <w:rsid w:val="007B528D"/>
    <w:rsid w:val="007B63CA"/>
    <w:rsid w:val="007B6894"/>
    <w:rsid w:val="007B77D1"/>
    <w:rsid w:val="007B7CCD"/>
    <w:rsid w:val="007C014C"/>
    <w:rsid w:val="007C041A"/>
    <w:rsid w:val="007C07C7"/>
    <w:rsid w:val="007C08DE"/>
    <w:rsid w:val="007C0C70"/>
    <w:rsid w:val="007C136B"/>
    <w:rsid w:val="007C188D"/>
    <w:rsid w:val="007C1A18"/>
    <w:rsid w:val="007C1CD9"/>
    <w:rsid w:val="007C22BF"/>
    <w:rsid w:val="007C2C50"/>
    <w:rsid w:val="007C3136"/>
    <w:rsid w:val="007C32EF"/>
    <w:rsid w:val="007C3329"/>
    <w:rsid w:val="007C361D"/>
    <w:rsid w:val="007C3AEE"/>
    <w:rsid w:val="007C3C04"/>
    <w:rsid w:val="007C3F22"/>
    <w:rsid w:val="007C404B"/>
    <w:rsid w:val="007C42D1"/>
    <w:rsid w:val="007C45F3"/>
    <w:rsid w:val="007C4B84"/>
    <w:rsid w:val="007C5335"/>
    <w:rsid w:val="007C58A4"/>
    <w:rsid w:val="007C63A6"/>
    <w:rsid w:val="007C67F2"/>
    <w:rsid w:val="007C693E"/>
    <w:rsid w:val="007C6AA5"/>
    <w:rsid w:val="007C70FF"/>
    <w:rsid w:val="007C7211"/>
    <w:rsid w:val="007C744E"/>
    <w:rsid w:val="007C780F"/>
    <w:rsid w:val="007C7C25"/>
    <w:rsid w:val="007C7C46"/>
    <w:rsid w:val="007D004F"/>
    <w:rsid w:val="007D0604"/>
    <w:rsid w:val="007D0B38"/>
    <w:rsid w:val="007D143D"/>
    <w:rsid w:val="007D267A"/>
    <w:rsid w:val="007D2ABC"/>
    <w:rsid w:val="007D3A5D"/>
    <w:rsid w:val="007D493F"/>
    <w:rsid w:val="007D4C7D"/>
    <w:rsid w:val="007D4E54"/>
    <w:rsid w:val="007D5440"/>
    <w:rsid w:val="007D5951"/>
    <w:rsid w:val="007D5B56"/>
    <w:rsid w:val="007D5E25"/>
    <w:rsid w:val="007D64BF"/>
    <w:rsid w:val="007D686B"/>
    <w:rsid w:val="007D69EB"/>
    <w:rsid w:val="007D6F3E"/>
    <w:rsid w:val="007D70FD"/>
    <w:rsid w:val="007D752C"/>
    <w:rsid w:val="007D7599"/>
    <w:rsid w:val="007D7F3D"/>
    <w:rsid w:val="007D7FA7"/>
    <w:rsid w:val="007E015C"/>
    <w:rsid w:val="007E0CA5"/>
    <w:rsid w:val="007E0D1B"/>
    <w:rsid w:val="007E0FF7"/>
    <w:rsid w:val="007E128F"/>
    <w:rsid w:val="007E1324"/>
    <w:rsid w:val="007E15F3"/>
    <w:rsid w:val="007E1607"/>
    <w:rsid w:val="007E1B30"/>
    <w:rsid w:val="007E286F"/>
    <w:rsid w:val="007E2960"/>
    <w:rsid w:val="007E3770"/>
    <w:rsid w:val="007E38F8"/>
    <w:rsid w:val="007E3A47"/>
    <w:rsid w:val="007E4C2A"/>
    <w:rsid w:val="007E52B0"/>
    <w:rsid w:val="007E52DF"/>
    <w:rsid w:val="007E5A76"/>
    <w:rsid w:val="007E612E"/>
    <w:rsid w:val="007E6779"/>
    <w:rsid w:val="007E6D7A"/>
    <w:rsid w:val="007E7182"/>
    <w:rsid w:val="007F01DB"/>
    <w:rsid w:val="007F0432"/>
    <w:rsid w:val="007F0573"/>
    <w:rsid w:val="007F06EA"/>
    <w:rsid w:val="007F0FCD"/>
    <w:rsid w:val="007F1017"/>
    <w:rsid w:val="007F12F4"/>
    <w:rsid w:val="007F16B0"/>
    <w:rsid w:val="007F1A13"/>
    <w:rsid w:val="007F2AB9"/>
    <w:rsid w:val="007F2D8B"/>
    <w:rsid w:val="007F30A7"/>
    <w:rsid w:val="007F3145"/>
    <w:rsid w:val="007F3AE2"/>
    <w:rsid w:val="007F3EC6"/>
    <w:rsid w:val="007F4326"/>
    <w:rsid w:val="007F457B"/>
    <w:rsid w:val="007F4A3F"/>
    <w:rsid w:val="007F4A61"/>
    <w:rsid w:val="007F5233"/>
    <w:rsid w:val="007F5255"/>
    <w:rsid w:val="007F56CC"/>
    <w:rsid w:val="007F5B4D"/>
    <w:rsid w:val="007F5DEF"/>
    <w:rsid w:val="007F61C2"/>
    <w:rsid w:val="007F644E"/>
    <w:rsid w:val="007F6490"/>
    <w:rsid w:val="007F782C"/>
    <w:rsid w:val="007F7A41"/>
    <w:rsid w:val="007F7FF4"/>
    <w:rsid w:val="00800ACF"/>
    <w:rsid w:val="00800AF1"/>
    <w:rsid w:val="00800CF1"/>
    <w:rsid w:val="008010F2"/>
    <w:rsid w:val="008018FC"/>
    <w:rsid w:val="00802367"/>
    <w:rsid w:val="00802558"/>
    <w:rsid w:val="008025DC"/>
    <w:rsid w:val="008028E6"/>
    <w:rsid w:val="008029BB"/>
    <w:rsid w:val="00802A95"/>
    <w:rsid w:val="00803D66"/>
    <w:rsid w:val="00803E25"/>
    <w:rsid w:val="00803E76"/>
    <w:rsid w:val="0080420B"/>
    <w:rsid w:val="0080491D"/>
    <w:rsid w:val="00804BDC"/>
    <w:rsid w:val="00805142"/>
    <w:rsid w:val="00805381"/>
    <w:rsid w:val="00805654"/>
    <w:rsid w:val="008057F1"/>
    <w:rsid w:val="00805FCE"/>
    <w:rsid w:val="008061D6"/>
    <w:rsid w:val="00806371"/>
    <w:rsid w:val="008068D2"/>
    <w:rsid w:val="008074FA"/>
    <w:rsid w:val="0080773C"/>
    <w:rsid w:val="00807A8B"/>
    <w:rsid w:val="00807F57"/>
    <w:rsid w:val="00810246"/>
    <w:rsid w:val="00810D94"/>
    <w:rsid w:val="00811383"/>
    <w:rsid w:val="00812149"/>
    <w:rsid w:val="00812150"/>
    <w:rsid w:val="008128A5"/>
    <w:rsid w:val="008128AB"/>
    <w:rsid w:val="00812A00"/>
    <w:rsid w:val="00812CAC"/>
    <w:rsid w:val="008133C6"/>
    <w:rsid w:val="00813658"/>
    <w:rsid w:val="00813972"/>
    <w:rsid w:val="00813C17"/>
    <w:rsid w:val="00813CA8"/>
    <w:rsid w:val="0081480A"/>
    <w:rsid w:val="00815385"/>
    <w:rsid w:val="008154FA"/>
    <w:rsid w:val="00815B07"/>
    <w:rsid w:val="00815C94"/>
    <w:rsid w:val="00815D69"/>
    <w:rsid w:val="00815FD3"/>
    <w:rsid w:val="00816361"/>
    <w:rsid w:val="008166EF"/>
    <w:rsid w:val="00816920"/>
    <w:rsid w:val="00816EB4"/>
    <w:rsid w:val="00816FEF"/>
    <w:rsid w:val="008171E4"/>
    <w:rsid w:val="00817402"/>
    <w:rsid w:val="00817823"/>
    <w:rsid w:val="00820156"/>
    <w:rsid w:val="00820225"/>
    <w:rsid w:val="008205FD"/>
    <w:rsid w:val="008207B3"/>
    <w:rsid w:val="00820A8C"/>
    <w:rsid w:val="00820CE8"/>
    <w:rsid w:val="008215FB"/>
    <w:rsid w:val="00822AC0"/>
    <w:rsid w:val="00823174"/>
    <w:rsid w:val="008231D5"/>
    <w:rsid w:val="00823456"/>
    <w:rsid w:val="008238A6"/>
    <w:rsid w:val="00823D9C"/>
    <w:rsid w:val="00824853"/>
    <w:rsid w:val="00824C7F"/>
    <w:rsid w:val="00825751"/>
    <w:rsid w:val="00825A37"/>
    <w:rsid w:val="00825B56"/>
    <w:rsid w:val="008264EB"/>
    <w:rsid w:val="008278FF"/>
    <w:rsid w:val="00827EE4"/>
    <w:rsid w:val="008304AA"/>
    <w:rsid w:val="00830E68"/>
    <w:rsid w:val="00831543"/>
    <w:rsid w:val="008315E0"/>
    <w:rsid w:val="00831905"/>
    <w:rsid w:val="00831C3E"/>
    <w:rsid w:val="00832596"/>
    <w:rsid w:val="008329E9"/>
    <w:rsid w:val="00832A7D"/>
    <w:rsid w:val="008333A6"/>
    <w:rsid w:val="00833535"/>
    <w:rsid w:val="00833B05"/>
    <w:rsid w:val="00833F44"/>
    <w:rsid w:val="0083447C"/>
    <w:rsid w:val="00834E75"/>
    <w:rsid w:val="008352C4"/>
    <w:rsid w:val="0083573C"/>
    <w:rsid w:val="008362B4"/>
    <w:rsid w:val="0083631D"/>
    <w:rsid w:val="0083684B"/>
    <w:rsid w:val="00836FE4"/>
    <w:rsid w:val="008373EC"/>
    <w:rsid w:val="0084004F"/>
    <w:rsid w:val="0084043C"/>
    <w:rsid w:val="008404F2"/>
    <w:rsid w:val="00840CA2"/>
    <w:rsid w:val="008416D7"/>
    <w:rsid w:val="0084200F"/>
    <w:rsid w:val="00842011"/>
    <w:rsid w:val="008423EE"/>
    <w:rsid w:val="00842782"/>
    <w:rsid w:val="00842AA1"/>
    <w:rsid w:val="0084374F"/>
    <w:rsid w:val="00843840"/>
    <w:rsid w:val="00843E79"/>
    <w:rsid w:val="00843FA7"/>
    <w:rsid w:val="008440FD"/>
    <w:rsid w:val="008442CA"/>
    <w:rsid w:val="00844710"/>
    <w:rsid w:val="00844A22"/>
    <w:rsid w:val="00844BCE"/>
    <w:rsid w:val="00844D21"/>
    <w:rsid w:val="00844DB3"/>
    <w:rsid w:val="00845714"/>
    <w:rsid w:val="00845ACA"/>
    <w:rsid w:val="00845D9B"/>
    <w:rsid w:val="0084679B"/>
    <w:rsid w:val="008470EE"/>
    <w:rsid w:val="0084734F"/>
    <w:rsid w:val="00847703"/>
    <w:rsid w:val="00847DF5"/>
    <w:rsid w:val="008504F0"/>
    <w:rsid w:val="008508E6"/>
    <w:rsid w:val="0085092B"/>
    <w:rsid w:val="00851473"/>
    <w:rsid w:val="008515EC"/>
    <w:rsid w:val="008516AD"/>
    <w:rsid w:val="00851A58"/>
    <w:rsid w:val="00851E33"/>
    <w:rsid w:val="00852075"/>
    <w:rsid w:val="0085216E"/>
    <w:rsid w:val="00852911"/>
    <w:rsid w:val="00852A05"/>
    <w:rsid w:val="00852CB5"/>
    <w:rsid w:val="0085309D"/>
    <w:rsid w:val="00853793"/>
    <w:rsid w:val="00853C3D"/>
    <w:rsid w:val="00854119"/>
    <w:rsid w:val="0085446B"/>
    <w:rsid w:val="0085462C"/>
    <w:rsid w:val="00855144"/>
    <w:rsid w:val="00855335"/>
    <w:rsid w:val="00855349"/>
    <w:rsid w:val="0085620F"/>
    <w:rsid w:val="00856897"/>
    <w:rsid w:val="00856E9A"/>
    <w:rsid w:val="00856FA3"/>
    <w:rsid w:val="008602BC"/>
    <w:rsid w:val="0086075D"/>
    <w:rsid w:val="008608B0"/>
    <w:rsid w:val="00860D21"/>
    <w:rsid w:val="008619CF"/>
    <w:rsid w:val="00862502"/>
    <w:rsid w:val="008629BB"/>
    <w:rsid w:val="00862CC1"/>
    <w:rsid w:val="00862CFD"/>
    <w:rsid w:val="00862F9A"/>
    <w:rsid w:val="00863783"/>
    <w:rsid w:val="00864011"/>
    <w:rsid w:val="00864167"/>
    <w:rsid w:val="00865ADE"/>
    <w:rsid w:val="00865FD3"/>
    <w:rsid w:val="008660D4"/>
    <w:rsid w:val="00866ED5"/>
    <w:rsid w:val="008671BE"/>
    <w:rsid w:val="00867ADF"/>
    <w:rsid w:val="00867E61"/>
    <w:rsid w:val="00870325"/>
    <w:rsid w:val="00870452"/>
    <w:rsid w:val="00870BC4"/>
    <w:rsid w:val="00870C01"/>
    <w:rsid w:val="0087134F"/>
    <w:rsid w:val="00871FA9"/>
    <w:rsid w:val="0087249C"/>
    <w:rsid w:val="008728E9"/>
    <w:rsid w:val="0087325F"/>
    <w:rsid w:val="008741CF"/>
    <w:rsid w:val="00874484"/>
    <w:rsid w:val="00874A2C"/>
    <w:rsid w:val="00874F61"/>
    <w:rsid w:val="0087654C"/>
    <w:rsid w:val="0087659E"/>
    <w:rsid w:val="008765B8"/>
    <w:rsid w:val="00876878"/>
    <w:rsid w:val="00876B57"/>
    <w:rsid w:val="0087714A"/>
    <w:rsid w:val="0087766A"/>
    <w:rsid w:val="00880BDA"/>
    <w:rsid w:val="008820FB"/>
    <w:rsid w:val="0088256D"/>
    <w:rsid w:val="00882874"/>
    <w:rsid w:val="008829BF"/>
    <w:rsid w:val="00882E3C"/>
    <w:rsid w:val="00882EA2"/>
    <w:rsid w:val="00882F0B"/>
    <w:rsid w:val="00883140"/>
    <w:rsid w:val="00883787"/>
    <w:rsid w:val="00883B53"/>
    <w:rsid w:val="00883C66"/>
    <w:rsid w:val="00883FDD"/>
    <w:rsid w:val="0088430B"/>
    <w:rsid w:val="00884A77"/>
    <w:rsid w:val="008855E4"/>
    <w:rsid w:val="00886339"/>
    <w:rsid w:val="0088641A"/>
    <w:rsid w:val="00886960"/>
    <w:rsid w:val="00886A36"/>
    <w:rsid w:val="00886CD2"/>
    <w:rsid w:val="00887151"/>
    <w:rsid w:val="00890A00"/>
    <w:rsid w:val="00890CD9"/>
    <w:rsid w:val="00890F27"/>
    <w:rsid w:val="008915FD"/>
    <w:rsid w:val="00891BC0"/>
    <w:rsid w:val="00891E2C"/>
    <w:rsid w:val="00891E6F"/>
    <w:rsid w:val="0089275D"/>
    <w:rsid w:val="00892A36"/>
    <w:rsid w:val="00893226"/>
    <w:rsid w:val="00893239"/>
    <w:rsid w:val="00893412"/>
    <w:rsid w:val="008934C0"/>
    <w:rsid w:val="00894041"/>
    <w:rsid w:val="00894489"/>
    <w:rsid w:val="00894BC7"/>
    <w:rsid w:val="00894DDC"/>
    <w:rsid w:val="00895A69"/>
    <w:rsid w:val="008963A5"/>
    <w:rsid w:val="0089697C"/>
    <w:rsid w:val="008969CC"/>
    <w:rsid w:val="00896D5D"/>
    <w:rsid w:val="008977A8"/>
    <w:rsid w:val="00897D5D"/>
    <w:rsid w:val="00897F4A"/>
    <w:rsid w:val="008A0539"/>
    <w:rsid w:val="008A05B2"/>
    <w:rsid w:val="008A0B79"/>
    <w:rsid w:val="008A12B2"/>
    <w:rsid w:val="008A1D9A"/>
    <w:rsid w:val="008A24B3"/>
    <w:rsid w:val="008A281A"/>
    <w:rsid w:val="008A2CAA"/>
    <w:rsid w:val="008A3363"/>
    <w:rsid w:val="008A3371"/>
    <w:rsid w:val="008A3812"/>
    <w:rsid w:val="008A392B"/>
    <w:rsid w:val="008A3C3E"/>
    <w:rsid w:val="008A4DA0"/>
    <w:rsid w:val="008A500C"/>
    <w:rsid w:val="008A5472"/>
    <w:rsid w:val="008A6650"/>
    <w:rsid w:val="008A68BA"/>
    <w:rsid w:val="008A79DE"/>
    <w:rsid w:val="008A7D7E"/>
    <w:rsid w:val="008B072B"/>
    <w:rsid w:val="008B0990"/>
    <w:rsid w:val="008B0C80"/>
    <w:rsid w:val="008B1649"/>
    <w:rsid w:val="008B1757"/>
    <w:rsid w:val="008B1D9D"/>
    <w:rsid w:val="008B2648"/>
    <w:rsid w:val="008B2FAF"/>
    <w:rsid w:val="008B3FB5"/>
    <w:rsid w:val="008B50E9"/>
    <w:rsid w:val="008B5F09"/>
    <w:rsid w:val="008B644D"/>
    <w:rsid w:val="008B6455"/>
    <w:rsid w:val="008B6D53"/>
    <w:rsid w:val="008B7254"/>
    <w:rsid w:val="008B7992"/>
    <w:rsid w:val="008B7C0B"/>
    <w:rsid w:val="008B7D7E"/>
    <w:rsid w:val="008C0057"/>
    <w:rsid w:val="008C057D"/>
    <w:rsid w:val="008C0895"/>
    <w:rsid w:val="008C0FAA"/>
    <w:rsid w:val="008C1182"/>
    <w:rsid w:val="008C1B77"/>
    <w:rsid w:val="008C206B"/>
    <w:rsid w:val="008C2655"/>
    <w:rsid w:val="008C2893"/>
    <w:rsid w:val="008C2E86"/>
    <w:rsid w:val="008C378D"/>
    <w:rsid w:val="008C3C47"/>
    <w:rsid w:val="008C3ECA"/>
    <w:rsid w:val="008C4569"/>
    <w:rsid w:val="008C456C"/>
    <w:rsid w:val="008C4F3E"/>
    <w:rsid w:val="008C4F98"/>
    <w:rsid w:val="008C51AC"/>
    <w:rsid w:val="008C5204"/>
    <w:rsid w:val="008C5610"/>
    <w:rsid w:val="008C5739"/>
    <w:rsid w:val="008C6138"/>
    <w:rsid w:val="008C62E0"/>
    <w:rsid w:val="008C6992"/>
    <w:rsid w:val="008C6DFD"/>
    <w:rsid w:val="008C7082"/>
    <w:rsid w:val="008C7308"/>
    <w:rsid w:val="008C73FC"/>
    <w:rsid w:val="008C76ED"/>
    <w:rsid w:val="008C7724"/>
    <w:rsid w:val="008C7ECB"/>
    <w:rsid w:val="008D0EBB"/>
    <w:rsid w:val="008D127C"/>
    <w:rsid w:val="008D14CB"/>
    <w:rsid w:val="008D158E"/>
    <w:rsid w:val="008D1791"/>
    <w:rsid w:val="008D2128"/>
    <w:rsid w:val="008D220C"/>
    <w:rsid w:val="008D30C4"/>
    <w:rsid w:val="008D36B5"/>
    <w:rsid w:val="008D3B86"/>
    <w:rsid w:val="008D4755"/>
    <w:rsid w:val="008D4C3D"/>
    <w:rsid w:val="008D5149"/>
    <w:rsid w:val="008D518E"/>
    <w:rsid w:val="008D53C6"/>
    <w:rsid w:val="008D5794"/>
    <w:rsid w:val="008D5B68"/>
    <w:rsid w:val="008D6125"/>
    <w:rsid w:val="008D6CF0"/>
    <w:rsid w:val="008D700F"/>
    <w:rsid w:val="008D70B3"/>
    <w:rsid w:val="008D743C"/>
    <w:rsid w:val="008D756A"/>
    <w:rsid w:val="008D7A86"/>
    <w:rsid w:val="008D7B2A"/>
    <w:rsid w:val="008D7B30"/>
    <w:rsid w:val="008D7C43"/>
    <w:rsid w:val="008E0024"/>
    <w:rsid w:val="008E08DC"/>
    <w:rsid w:val="008E0C01"/>
    <w:rsid w:val="008E0D3C"/>
    <w:rsid w:val="008E102F"/>
    <w:rsid w:val="008E10F0"/>
    <w:rsid w:val="008E1AD5"/>
    <w:rsid w:val="008E1B73"/>
    <w:rsid w:val="008E1B9E"/>
    <w:rsid w:val="008E2174"/>
    <w:rsid w:val="008E235F"/>
    <w:rsid w:val="008E29A1"/>
    <w:rsid w:val="008E2C13"/>
    <w:rsid w:val="008E3005"/>
    <w:rsid w:val="008E315C"/>
    <w:rsid w:val="008E3331"/>
    <w:rsid w:val="008E3F26"/>
    <w:rsid w:val="008E4FAC"/>
    <w:rsid w:val="008E5265"/>
    <w:rsid w:val="008E55AB"/>
    <w:rsid w:val="008E5631"/>
    <w:rsid w:val="008E5D27"/>
    <w:rsid w:val="008E6320"/>
    <w:rsid w:val="008E6CA7"/>
    <w:rsid w:val="008E6F06"/>
    <w:rsid w:val="008E7466"/>
    <w:rsid w:val="008F02F0"/>
    <w:rsid w:val="008F055B"/>
    <w:rsid w:val="008F05D1"/>
    <w:rsid w:val="008F0B14"/>
    <w:rsid w:val="008F0D48"/>
    <w:rsid w:val="008F113D"/>
    <w:rsid w:val="008F120A"/>
    <w:rsid w:val="008F132B"/>
    <w:rsid w:val="008F191A"/>
    <w:rsid w:val="008F1AE6"/>
    <w:rsid w:val="008F2237"/>
    <w:rsid w:val="008F2425"/>
    <w:rsid w:val="008F27E0"/>
    <w:rsid w:val="008F2C8D"/>
    <w:rsid w:val="008F38D8"/>
    <w:rsid w:val="008F39E7"/>
    <w:rsid w:val="008F4023"/>
    <w:rsid w:val="008F42B6"/>
    <w:rsid w:val="008F48EB"/>
    <w:rsid w:val="008F4EED"/>
    <w:rsid w:val="008F4F0B"/>
    <w:rsid w:val="008F56FD"/>
    <w:rsid w:val="008F5791"/>
    <w:rsid w:val="008F6081"/>
    <w:rsid w:val="008F6F4B"/>
    <w:rsid w:val="008F759B"/>
    <w:rsid w:val="008F7B50"/>
    <w:rsid w:val="009000FB"/>
    <w:rsid w:val="00900338"/>
    <w:rsid w:val="00900502"/>
    <w:rsid w:val="00900BC0"/>
    <w:rsid w:val="00901615"/>
    <w:rsid w:val="00901632"/>
    <w:rsid w:val="0090239A"/>
    <w:rsid w:val="00902BF8"/>
    <w:rsid w:val="0090356F"/>
    <w:rsid w:val="009036F0"/>
    <w:rsid w:val="0090395E"/>
    <w:rsid w:val="00903B3C"/>
    <w:rsid w:val="0090424A"/>
    <w:rsid w:val="009046C4"/>
    <w:rsid w:val="00904A0F"/>
    <w:rsid w:val="00904C03"/>
    <w:rsid w:val="00905161"/>
    <w:rsid w:val="0090548D"/>
    <w:rsid w:val="009056FA"/>
    <w:rsid w:val="00905A53"/>
    <w:rsid w:val="00905E58"/>
    <w:rsid w:val="009062A5"/>
    <w:rsid w:val="0090663E"/>
    <w:rsid w:val="00906ECC"/>
    <w:rsid w:val="00906F7B"/>
    <w:rsid w:val="009100BB"/>
    <w:rsid w:val="0091098F"/>
    <w:rsid w:val="00910FA7"/>
    <w:rsid w:val="00911272"/>
    <w:rsid w:val="00911DA9"/>
    <w:rsid w:val="00912123"/>
    <w:rsid w:val="00912166"/>
    <w:rsid w:val="009131A6"/>
    <w:rsid w:val="009135D6"/>
    <w:rsid w:val="00913DFF"/>
    <w:rsid w:val="009141C3"/>
    <w:rsid w:val="00914888"/>
    <w:rsid w:val="00914C77"/>
    <w:rsid w:val="00914EFE"/>
    <w:rsid w:val="00915166"/>
    <w:rsid w:val="009154D2"/>
    <w:rsid w:val="00915503"/>
    <w:rsid w:val="0091591F"/>
    <w:rsid w:val="00915B9A"/>
    <w:rsid w:val="00916B5A"/>
    <w:rsid w:val="0091756D"/>
    <w:rsid w:val="009177DE"/>
    <w:rsid w:val="00917AA7"/>
    <w:rsid w:val="00917B0F"/>
    <w:rsid w:val="0092087B"/>
    <w:rsid w:val="00920AF9"/>
    <w:rsid w:val="00920BD8"/>
    <w:rsid w:val="00920C2E"/>
    <w:rsid w:val="0092197A"/>
    <w:rsid w:val="00921ACB"/>
    <w:rsid w:val="00921B11"/>
    <w:rsid w:val="00922AA2"/>
    <w:rsid w:val="00922DBA"/>
    <w:rsid w:val="009232B1"/>
    <w:rsid w:val="0092343B"/>
    <w:rsid w:val="0092369B"/>
    <w:rsid w:val="0092390D"/>
    <w:rsid w:val="00923EA0"/>
    <w:rsid w:val="009240CD"/>
    <w:rsid w:val="00924E2F"/>
    <w:rsid w:val="009254CA"/>
    <w:rsid w:val="00925920"/>
    <w:rsid w:val="0092701B"/>
    <w:rsid w:val="00927628"/>
    <w:rsid w:val="00927B7D"/>
    <w:rsid w:val="009307EF"/>
    <w:rsid w:val="00930DBB"/>
    <w:rsid w:val="00931CF5"/>
    <w:rsid w:val="009322BB"/>
    <w:rsid w:val="00932BC6"/>
    <w:rsid w:val="00933494"/>
    <w:rsid w:val="00933B06"/>
    <w:rsid w:val="009342F2"/>
    <w:rsid w:val="00934988"/>
    <w:rsid w:val="009359CF"/>
    <w:rsid w:val="00935D13"/>
    <w:rsid w:val="00936CA6"/>
    <w:rsid w:val="00937089"/>
    <w:rsid w:val="00937C8A"/>
    <w:rsid w:val="00940228"/>
    <w:rsid w:val="00941179"/>
    <w:rsid w:val="00941478"/>
    <w:rsid w:val="00941741"/>
    <w:rsid w:val="00942375"/>
    <w:rsid w:val="009428C6"/>
    <w:rsid w:val="00942D43"/>
    <w:rsid w:val="00943028"/>
    <w:rsid w:val="0094305D"/>
    <w:rsid w:val="00943367"/>
    <w:rsid w:val="00943707"/>
    <w:rsid w:val="00943A0D"/>
    <w:rsid w:val="00943CBF"/>
    <w:rsid w:val="00943F17"/>
    <w:rsid w:val="00944003"/>
    <w:rsid w:val="0094414F"/>
    <w:rsid w:val="00944C60"/>
    <w:rsid w:val="00944F8A"/>
    <w:rsid w:val="00945006"/>
    <w:rsid w:val="009458FB"/>
    <w:rsid w:val="00945939"/>
    <w:rsid w:val="009460C7"/>
    <w:rsid w:val="0094688E"/>
    <w:rsid w:val="00946F4E"/>
    <w:rsid w:val="00950B98"/>
    <w:rsid w:val="00950DD1"/>
    <w:rsid w:val="00951053"/>
    <w:rsid w:val="009510A2"/>
    <w:rsid w:val="0095127E"/>
    <w:rsid w:val="0095139D"/>
    <w:rsid w:val="00951676"/>
    <w:rsid w:val="009529F4"/>
    <w:rsid w:val="00953257"/>
    <w:rsid w:val="0095339A"/>
    <w:rsid w:val="0095474C"/>
    <w:rsid w:val="00954AD8"/>
    <w:rsid w:val="009551A8"/>
    <w:rsid w:val="009560EE"/>
    <w:rsid w:val="009563B4"/>
    <w:rsid w:val="009563DD"/>
    <w:rsid w:val="009566E6"/>
    <w:rsid w:val="009568B5"/>
    <w:rsid w:val="00956A44"/>
    <w:rsid w:val="00956E91"/>
    <w:rsid w:val="00957790"/>
    <w:rsid w:val="009578DE"/>
    <w:rsid w:val="009605D8"/>
    <w:rsid w:val="00960D09"/>
    <w:rsid w:val="00961C1D"/>
    <w:rsid w:val="00961D0A"/>
    <w:rsid w:val="00962CB9"/>
    <w:rsid w:val="00962E1D"/>
    <w:rsid w:val="00962EC3"/>
    <w:rsid w:val="0096325A"/>
    <w:rsid w:val="00963532"/>
    <w:rsid w:val="00963727"/>
    <w:rsid w:val="0096375D"/>
    <w:rsid w:val="00964312"/>
    <w:rsid w:val="00964D7D"/>
    <w:rsid w:val="00965B8A"/>
    <w:rsid w:val="00967161"/>
    <w:rsid w:val="00967A2C"/>
    <w:rsid w:val="00967AD1"/>
    <w:rsid w:val="0097071F"/>
    <w:rsid w:val="00971393"/>
    <w:rsid w:val="009717AC"/>
    <w:rsid w:val="00971B20"/>
    <w:rsid w:val="00971C92"/>
    <w:rsid w:val="00971D3E"/>
    <w:rsid w:val="0097219B"/>
    <w:rsid w:val="00972611"/>
    <w:rsid w:val="00972CE1"/>
    <w:rsid w:val="00973AA7"/>
    <w:rsid w:val="00974139"/>
    <w:rsid w:val="009742AE"/>
    <w:rsid w:val="00974F51"/>
    <w:rsid w:val="009751C1"/>
    <w:rsid w:val="00975788"/>
    <w:rsid w:val="00975C90"/>
    <w:rsid w:val="00976356"/>
    <w:rsid w:val="00976A7A"/>
    <w:rsid w:val="00977CD8"/>
    <w:rsid w:val="00980523"/>
    <w:rsid w:val="009806B0"/>
    <w:rsid w:val="00980B98"/>
    <w:rsid w:val="009811F1"/>
    <w:rsid w:val="0098146F"/>
    <w:rsid w:val="009816E6"/>
    <w:rsid w:val="009818C0"/>
    <w:rsid w:val="00981919"/>
    <w:rsid w:val="00981E82"/>
    <w:rsid w:val="0098208D"/>
    <w:rsid w:val="0098267A"/>
    <w:rsid w:val="009830AF"/>
    <w:rsid w:val="00983642"/>
    <w:rsid w:val="00983E57"/>
    <w:rsid w:val="00983F3F"/>
    <w:rsid w:val="009846B7"/>
    <w:rsid w:val="009849BC"/>
    <w:rsid w:val="00985DE2"/>
    <w:rsid w:val="0098675D"/>
    <w:rsid w:val="00986813"/>
    <w:rsid w:val="00986E54"/>
    <w:rsid w:val="00987045"/>
    <w:rsid w:val="009878C2"/>
    <w:rsid w:val="00987DD8"/>
    <w:rsid w:val="009900A2"/>
    <w:rsid w:val="00990CF0"/>
    <w:rsid w:val="00991648"/>
    <w:rsid w:val="009926E0"/>
    <w:rsid w:val="00992E7F"/>
    <w:rsid w:val="009932AD"/>
    <w:rsid w:val="0099451E"/>
    <w:rsid w:val="00994787"/>
    <w:rsid w:val="009947C2"/>
    <w:rsid w:val="00994AA4"/>
    <w:rsid w:val="009951A5"/>
    <w:rsid w:val="00995F30"/>
    <w:rsid w:val="0099631B"/>
    <w:rsid w:val="00996813"/>
    <w:rsid w:val="009968CA"/>
    <w:rsid w:val="00996B1A"/>
    <w:rsid w:val="00996DE3"/>
    <w:rsid w:val="00996E1A"/>
    <w:rsid w:val="009970C1"/>
    <w:rsid w:val="009976E1"/>
    <w:rsid w:val="00997806"/>
    <w:rsid w:val="009A0121"/>
    <w:rsid w:val="009A05D9"/>
    <w:rsid w:val="009A121F"/>
    <w:rsid w:val="009A1AB5"/>
    <w:rsid w:val="009A1CA3"/>
    <w:rsid w:val="009A2144"/>
    <w:rsid w:val="009A2DCC"/>
    <w:rsid w:val="009A32FA"/>
    <w:rsid w:val="009A3F97"/>
    <w:rsid w:val="009A431D"/>
    <w:rsid w:val="009A4A99"/>
    <w:rsid w:val="009A5001"/>
    <w:rsid w:val="009A55F2"/>
    <w:rsid w:val="009A57D3"/>
    <w:rsid w:val="009A5ABC"/>
    <w:rsid w:val="009A6897"/>
    <w:rsid w:val="009A7209"/>
    <w:rsid w:val="009A7721"/>
    <w:rsid w:val="009A7F10"/>
    <w:rsid w:val="009B00A9"/>
    <w:rsid w:val="009B02CE"/>
    <w:rsid w:val="009B0794"/>
    <w:rsid w:val="009B0BDA"/>
    <w:rsid w:val="009B1029"/>
    <w:rsid w:val="009B1CFA"/>
    <w:rsid w:val="009B213A"/>
    <w:rsid w:val="009B29DB"/>
    <w:rsid w:val="009B2BF9"/>
    <w:rsid w:val="009B3319"/>
    <w:rsid w:val="009B3E26"/>
    <w:rsid w:val="009B4758"/>
    <w:rsid w:val="009B4FDB"/>
    <w:rsid w:val="009B61EF"/>
    <w:rsid w:val="009B6EF2"/>
    <w:rsid w:val="009B73A0"/>
    <w:rsid w:val="009B752A"/>
    <w:rsid w:val="009B77D9"/>
    <w:rsid w:val="009C0306"/>
    <w:rsid w:val="009C0597"/>
    <w:rsid w:val="009C0B01"/>
    <w:rsid w:val="009C163C"/>
    <w:rsid w:val="009C1F57"/>
    <w:rsid w:val="009C1FF1"/>
    <w:rsid w:val="009C2CD8"/>
    <w:rsid w:val="009C2CE2"/>
    <w:rsid w:val="009C3502"/>
    <w:rsid w:val="009C3706"/>
    <w:rsid w:val="009C372C"/>
    <w:rsid w:val="009C3A3A"/>
    <w:rsid w:val="009C3F38"/>
    <w:rsid w:val="009C41A8"/>
    <w:rsid w:val="009C46AE"/>
    <w:rsid w:val="009C57AA"/>
    <w:rsid w:val="009C581F"/>
    <w:rsid w:val="009C68EA"/>
    <w:rsid w:val="009C6CEA"/>
    <w:rsid w:val="009C6EDD"/>
    <w:rsid w:val="009C7B85"/>
    <w:rsid w:val="009D0098"/>
    <w:rsid w:val="009D00D9"/>
    <w:rsid w:val="009D0254"/>
    <w:rsid w:val="009D0BBD"/>
    <w:rsid w:val="009D0E23"/>
    <w:rsid w:val="009D13C5"/>
    <w:rsid w:val="009D1427"/>
    <w:rsid w:val="009D1859"/>
    <w:rsid w:val="009D1946"/>
    <w:rsid w:val="009D1A64"/>
    <w:rsid w:val="009D27E2"/>
    <w:rsid w:val="009D2925"/>
    <w:rsid w:val="009D3001"/>
    <w:rsid w:val="009D4364"/>
    <w:rsid w:val="009D4E80"/>
    <w:rsid w:val="009D5B91"/>
    <w:rsid w:val="009D6EAC"/>
    <w:rsid w:val="009D792E"/>
    <w:rsid w:val="009E0BD4"/>
    <w:rsid w:val="009E0DFE"/>
    <w:rsid w:val="009E1AB8"/>
    <w:rsid w:val="009E1E5F"/>
    <w:rsid w:val="009E222E"/>
    <w:rsid w:val="009E23B3"/>
    <w:rsid w:val="009E249C"/>
    <w:rsid w:val="009E2729"/>
    <w:rsid w:val="009E2DD2"/>
    <w:rsid w:val="009E309C"/>
    <w:rsid w:val="009E31F6"/>
    <w:rsid w:val="009E3271"/>
    <w:rsid w:val="009E3FD3"/>
    <w:rsid w:val="009E40D3"/>
    <w:rsid w:val="009E4781"/>
    <w:rsid w:val="009E48AC"/>
    <w:rsid w:val="009E49D4"/>
    <w:rsid w:val="009E4BA9"/>
    <w:rsid w:val="009E4C07"/>
    <w:rsid w:val="009E4CC5"/>
    <w:rsid w:val="009E5115"/>
    <w:rsid w:val="009E558C"/>
    <w:rsid w:val="009E6A0B"/>
    <w:rsid w:val="009E6C71"/>
    <w:rsid w:val="009E758F"/>
    <w:rsid w:val="009E7A8D"/>
    <w:rsid w:val="009E7DED"/>
    <w:rsid w:val="009F033F"/>
    <w:rsid w:val="009F052A"/>
    <w:rsid w:val="009F1006"/>
    <w:rsid w:val="009F210A"/>
    <w:rsid w:val="009F2213"/>
    <w:rsid w:val="009F29E5"/>
    <w:rsid w:val="009F2B80"/>
    <w:rsid w:val="009F3361"/>
    <w:rsid w:val="009F4617"/>
    <w:rsid w:val="009F5A7D"/>
    <w:rsid w:val="009F618B"/>
    <w:rsid w:val="009F6F9C"/>
    <w:rsid w:val="009F7176"/>
    <w:rsid w:val="009F7491"/>
    <w:rsid w:val="009F790D"/>
    <w:rsid w:val="009F7C01"/>
    <w:rsid w:val="00A002BF"/>
    <w:rsid w:val="00A008CA"/>
    <w:rsid w:val="00A00AD7"/>
    <w:rsid w:val="00A01184"/>
    <w:rsid w:val="00A0194E"/>
    <w:rsid w:val="00A01AD5"/>
    <w:rsid w:val="00A01F4B"/>
    <w:rsid w:val="00A029C8"/>
    <w:rsid w:val="00A0374E"/>
    <w:rsid w:val="00A037A1"/>
    <w:rsid w:val="00A037C2"/>
    <w:rsid w:val="00A039B0"/>
    <w:rsid w:val="00A03CF4"/>
    <w:rsid w:val="00A03D43"/>
    <w:rsid w:val="00A03EB3"/>
    <w:rsid w:val="00A04380"/>
    <w:rsid w:val="00A04AD6"/>
    <w:rsid w:val="00A04DCF"/>
    <w:rsid w:val="00A05110"/>
    <w:rsid w:val="00A05390"/>
    <w:rsid w:val="00A05472"/>
    <w:rsid w:val="00A056BB"/>
    <w:rsid w:val="00A057D0"/>
    <w:rsid w:val="00A05BC0"/>
    <w:rsid w:val="00A05C32"/>
    <w:rsid w:val="00A0653F"/>
    <w:rsid w:val="00A067E6"/>
    <w:rsid w:val="00A06A1A"/>
    <w:rsid w:val="00A06DBC"/>
    <w:rsid w:val="00A0717E"/>
    <w:rsid w:val="00A072FD"/>
    <w:rsid w:val="00A10087"/>
    <w:rsid w:val="00A1008A"/>
    <w:rsid w:val="00A102F3"/>
    <w:rsid w:val="00A105AB"/>
    <w:rsid w:val="00A115DD"/>
    <w:rsid w:val="00A11C97"/>
    <w:rsid w:val="00A11CD0"/>
    <w:rsid w:val="00A11DF5"/>
    <w:rsid w:val="00A13948"/>
    <w:rsid w:val="00A13D60"/>
    <w:rsid w:val="00A1430A"/>
    <w:rsid w:val="00A1555B"/>
    <w:rsid w:val="00A155C5"/>
    <w:rsid w:val="00A156EC"/>
    <w:rsid w:val="00A16351"/>
    <w:rsid w:val="00A16574"/>
    <w:rsid w:val="00A16AD8"/>
    <w:rsid w:val="00A16C9C"/>
    <w:rsid w:val="00A16F07"/>
    <w:rsid w:val="00A1706D"/>
    <w:rsid w:val="00A172A4"/>
    <w:rsid w:val="00A17413"/>
    <w:rsid w:val="00A174DD"/>
    <w:rsid w:val="00A203C6"/>
    <w:rsid w:val="00A208A9"/>
    <w:rsid w:val="00A20A7D"/>
    <w:rsid w:val="00A21163"/>
    <w:rsid w:val="00A21203"/>
    <w:rsid w:val="00A21A87"/>
    <w:rsid w:val="00A21C95"/>
    <w:rsid w:val="00A21CF3"/>
    <w:rsid w:val="00A226BE"/>
    <w:rsid w:val="00A238DB"/>
    <w:rsid w:val="00A239B1"/>
    <w:rsid w:val="00A23B92"/>
    <w:rsid w:val="00A23C9D"/>
    <w:rsid w:val="00A23CC6"/>
    <w:rsid w:val="00A242E9"/>
    <w:rsid w:val="00A24714"/>
    <w:rsid w:val="00A247A3"/>
    <w:rsid w:val="00A24813"/>
    <w:rsid w:val="00A259B5"/>
    <w:rsid w:val="00A26201"/>
    <w:rsid w:val="00A26523"/>
    <w:rsid w:val="00A26A32"/>
    <w:rsid w:val="00A26E7E"/>
    <w:rsid w:val="00A27294"/>
    <w:rsid w:val="00A277E7"/>
    <w:rsid w:val="00A27AEC"/>
    <w:rsid w:val="00A27E50"/>
    <w:rsid w:val="00A30642"/>
    <w:rsid w:val="00A3096B"/>
    <w:rsid w:val="00A30B24"/>
    <w:rsid w:val="00A30C5B"/>
    <w:rsid w:val="00A30DE1"/>
    <w:rsid w:val="00A318BC"/>
    <w:rsid w:val="00A31AD0"/>
    <w:rsid w:val="00A320DB"/>
    <w:rsid w:val="00A326C6"/>
    <w:rsid w:val="00A32D77"/>
    <w:rsid w:val="00A3314F"/>
    <w:rsid w:val="00A33216"/>
    <w:rsid w:val="00A33F53"/>
    <w:rsid w:val="00A3476D"/>
    <w:rsid w:val="00A34F17"/>
    <w:rsid w:val="00A3589F"/>
    <w:rsid w:val="00A35D16"/>
    <w:rsid w:val="00A36108"/>
    <w:rsid w:val="00A36589"/>
    <w:rsid w:val="00A36E59"/>
    <w:rsid w:val="00A3703A"/>
    <w:rsid w:val="00A37175"/>
    <w:rsid w:val="00A37607"/>
    <w:rsid w:val="00A3784F"/>
    <w:rsid w:val="00A37BCD"/>
    <w:rsid w:val="00A400CD"/>
    <w:rsid w:val="00A401B9"/>
    <w:rsid w:val="00A4039E"/>
    <w:rsid w:val="00A40B75"/>
    <w:rsid w:val="00A41616"/>
    <w:rsid w:val="00A41689"/>
    <w:rsid w:val="00A41859"/>
    <w:rsid w:val="00A41A6F"/>
    <w:rsid w:val="00A41C2D"/>
    <w:rsid w:val="00A41D50"/>
    <w:rsid w:val="00A41DAE"/>
    <w:rsid w:val="00A420F1"/>
    <w:rsid w:val="00A4211A"/>
    <w:rsid w:val="00A4217D"/>
    <w:rsid w:val="00A42382"/>
    <w:rsid w:val="00A42592"/>
    <w:rsid w:val="00A425D6"/>
    <w:rsid w:val="00A432CC"/>
    <w:rsid w:val="00A43525"/>
    <w:rsid w:val="00A4360D"/>
    <w:rsid w:val="00A43C59"/>
    <w:rsid w:val="00A44807"/>
    <w:rsid w:val="00A450BA"/>
    <w:rsid w:val="00A45949"/>
    <w:rsid w:val="00A45B86"/>
    <w:rsid w:val="00A45FB5"/>
    <w:rsid w:val="00A46C68"/>
    <w:rsid w:val="00A477AF"/>
    <w:rsid w:val="00A47AF4"/>
    <w:rsid w:val="00A47FCD"/>
    <w:rsid w:val="00A50689"/>
    <w:rsid w:val="00A50DEB"/>
    <w:rsid w:val="00A50ECD"/>
    <w:rsid w:val="00A518F3"/>
    <w:rsid w:val="00A51DCC"/>
    <w:rsid w:val="00A5207B"/>
    <w:rsid w:val="00A520C9"/>
    <w:rsid w:val="00A521DE"/>
    <w:rsid w:val="00A52729"/>
    <w:rsid w:val="00A52D61"/>
    <w:rsid w:val="00A53618"/>
    <w:rsid w:val="00A53675"/>
    <w:rsid w:val="00A53B65"/>
    <w:rsid w:val="00A53FDC"/>
    <w:rsid w:val="00A54C09"/>
    <w:rsid w:val="00A54D7D"/>
    <w:rsid w:val="00A56417"/>
    <w:rsid w:val="00A564D7"/>
    <w:rsid w:val="00A56B6A"/>
    <w:rsid w:val="00A56DE6"/>
    <w:rsid w:val="00A56F52"/>
    <w:rsid w:val="00A576E6"/>
    <w:rsid w:val="00A578DC"/>
    <w:rsid w:val="00A57D21"/>
    <w:rsid w:val="00A57F4C"/>
    <w:rsid w:val="00A57FB0"/>
    <w:rsid w:val="00A606C2"/>
    <w:rsid w:val="00A60BEF"/>
    <w:rsid w:val="00A60FC6"/>
    <w:rsid w:val="00A6130B"/>
    <w:rsid w:val="00A61761"/>
    <w:rsid w:val="00A6252A"/>
    <w:rsid w:val="00A62AE9"/>
    <w:rsid w:val="00A62BDD"/>
    <w:rsid w:val="00A632B0"/>
    <w:rsid w:val="00A63F38"/>
    <w:rsid w:val="00A63F64"/>
    <w:rsid w:val="00A640E2"/>
    <w:rsid w:val="00A641D1"/>
    <w:rsid w:val="00A645AE"/>
    <w:rsid w:val="00A64B1F"/>
    <w:rsid w:val="00A64B89"/>
    <w:rsid w:val="00A64BDA"/>
    <w:rsid w:val="00A64D65"/>
    <w:rsid w:val="00A65508"/>
    <w:rsid w:val="00A65F40"/>
    <w:rsid w:val="00A6725B"/>
    <w:rsid w:val="00A6758D"/>
    <w:rsid w:val="00A675D3"/>
    <w:rsid w:val="00A678A1"/>
    <w:rsid w:val="00A7008F"/>
    <w:rsid w:val="00A70377"/>
    <w:rsid w:val="00A70605"/>
    <w:rsid w:val="00A70B5A"/>
    <w:rsid w:val="00A70EA3"/>
    <w:rsid w:val="00A715B5"/>
    <w:rsid w:val="00A717B7"/>
    <w:rsid w:val="00A71C5E"/>
    <w:rsid w:val="00A7211F"/>
    <w:rsid w:val="00A723C2"/>
    <w:rsid w:val="00A72D20"/>
    <w:rsid w:val="00A73134"/>
    <w:rsid w:val="00A732E6"/>
    <w:rsid w:val="00A737D2"/>
    <w:rsid w:val="00A74197"/>
    <w:rsid w:val="00A74D01"/>
    <w:rsid w:val="00A75AEC"/>
    <w:rsid w:val="00A76001"/>
    <w:rsid w:val="00A76C92"/>
    <w:rsid w:val="00A776A7"/>
    <w:rsid w:val="00A777B2"/>
    <w:rsid w:val="00A80850"/>
    <w:rsid w:val="00A80D97"/>
    <w:rsid w:val="00A80F59"/>
    <w:rsid w:val="00A8144E"/>
    <w:rsid w:val="00A8195D"/>
    <w:rsid w:val="00A81A24"/>
    <w:rsid w:val="00A81AA6"/>
    <w:rsid w:val="00A81D55"/>
    <w:rsid w:val="00A81F36"/>
    <w:rsid w:val="00A825D4"/>
    <w:rsid w:val="00A828F6"/>
    <w:rsid w:val="00A82AFD"/>
    <w:rsid w:val="00A82B73"/>
    <w:rsid w:val="00A83534"/>
    <w:rsid w:val="00A839F4"/>
    <w:rsid w:val="00A83AB0"/>
    <w:rsid w:val="00A83CD9"/>
    <w:rsid w:val="00A83E1D"/>
    <w:rsid w:val="00A84441"/>
    <w:rsid w:val="00A848CD"/>
    <w:rsid w:val="00A85ACA"/>
    <w:rsid w:val="00A864B3"/>
    <w:rsid w:val="00A86892"/>
    <w:rsid w:val="00A86C1D"/>
    <w:rsid w:val="00A86DA8"/>
    <w:rsid w:val="00A86DEF"/>
    <w:rsid w:val="00A86DF9"/>
    <w:rsid w:val="00A86E8B"/>
    <w:rsid w:val="00A87164"/>
    <w:rsid w:val="00A8728F"/>
    <w:rsid w:val="00A87397"/>
    <w:rsid w:val="00A8756F"/>
    <w:rsid w:val="00A87659"/>
    <w:rsid w:val="00A8779D"/>
    <w:rsid w:val="00A900F2"/>
    <w:rsid w:val="00A90936"/>
    <w:rsid w:val="00A911B8"/>
    <w:rsid w:val="00A9124B"/>
    <w:rsid w:val="00A91372"/>
    <w:rsid w:val="00A918A4"/>
    <w:rsid w:val="00A91C3C"/>
    <w:rsid w:val="00A91FD5"/>
    <w:rsid w:val="00A92FBC"/>
    <w:rsid w:val="00A93072"/>
    <w:rsid w:val="00A937A5"/>
    <w:rsid w:val="00A93829"/>
    <w:rsid w:val="00A938BD"/>
    <w:rsid w:val="00A93953"/>
    <w:rsid w:val="00A939B0"/>
    <w:rsid w:val="00A93B32"/>
    <w:rsid w:val="00A943E4"/>
    <w:rsid w:val="00A94F10"/>
    <w:rsid w:val="00A959D8"/>
    <w:rsid w:val="00A95C64"/>
    <w:rsid w:val="00A96015"/>
    <w:rsid w:val="00A966DE"/>
    <w:rsid w:val="00A97467"/>
    <w:rsid w:val="00AA113D"/>
    <w:rsid w:val="00AA199F"/>
    <w:rsid w:val="00AA2EBF"/>
    <w:rsid w:val="00AA302F"/>
    <w:rsid w:val="00AA3393"/>
    <w:rsid w:val="00AA3BEF"/>
    <w:rsid w:val="00AA480D"/>
    <w:rsid w:val="00AA4E5F"/>
    <w:rsid w:val="00AA5C42"/>
    <w:rsid w:val="00AA61A3"/>
    <w:rsid w:val="00AA6730"/>
    <w:rsid w:val="00AA6BD5"/>
    <w:rsid w:val="00AA6BD8"/>
    <w:rsid w:val="00AA6C7D"/>
    <w:rsid w:val="00AA73F7"/>
    <w:rsid w:val="00AA746D"/>
    <w:rsid w:val="00AA7563"/>
    <w:rsid w:val="00AA7B90"/>
    <w:rsid w:val="00AA7FD6"/>
    <w:rsid w:val="00AB03D7"/>
    <w:rsid w:val="00AB042A"/>
    <w:rsid w:val="00AB0A23"/>
    <w:rsid w:val="00AB0BC8"/>
    <w:rsid w:val="00AB127A"/>
    <w:rsid w:val="00AB13F8"/>
    <w:rsid w:val="00AB14F6"/>
    <w:rsid w:val="00AB18B5"/>
    <w:rsid w:val="00AB19EF"/>
    <w:rsid w:val="00AB220F"/>
    <w:rsid w:val="00AB2B32"/>
    <w:rsid w:val="00AB2D34"/>
    <w:rsid w:val="00AB307D"/>
    <w:rsid w:val="00AB307F"/>
    <w:rsid w:val="00AB320C"/>
    <w:rsid w:val="00AB3430"/>
    <w:rsid w:val="00AB37B9"/>
    <w:rsid w:val="00AB4827"/>
    <w:rsid w:val="00AB4AD1"/>
    <w:rsid w:val="00AB4FA6"/>
    <w:rsid w:val="00AB5187"/>
    <w:rsid w:val="00AB59BD"/>
    <w:rsid w:val="00AB5AF3"/>
    <w:rsid w:val="00AB5E07"/>
    <w:rsid w:val="00AB627C"/>
    <w:rsid w:val="00AB657A"/>
    <w:rsid w:val="00AB65C7"/>
    <w:rsid w:val="00AB67AB"/>
    <w:rsid w:val="00AB6BC1"/>
    <w:rsid w:val="00AB780E"/>
    <w:rsid w:val="00AB7CFA"/>
    <w:rsid w:val="00AC0A30"/>
    <w:rsid w:val="00AC1B17"/>
    <w:rsid w:val="00AC2327"/>
    <w:rsid w:val="00AC2695"/>
    <w:rsid w:val="00AC2A8C"/>
    <w:rsid w:val="00AC2C2D"/>
    <w:rsid w:val="00AC304B"/>
    <w:rsid w:val="00AC4002"/>
    <w:rsid w:val="00AC4DA4"/>
    <w:rsid w:val="00AC50AF"/>
    <w:rsid w:val="00AC5B48"/>
    <w:rsid w:val="00AC5ED8"/>
    <w:rsid w:val="00AC6096"/>
    <w:rsid w:val="00AC653E"/>
    <w:rsid w:val="00AC6BA5"/>
    <w:rsid w:val="00AC6E55"/>
    <w:rsid w:val="00AC78CB"/>
    <w:rsid w:val="00AC7A99"/>
    <w:rsid w:val="00AC7ACC"/>
    <w:rsid w:val="00AC7CD7"/>
    <w:rsid w:val="00AD10DF"/>
    <w:rsid w:val="00AD1450"/>
    <w:rsid w:val="00AD1628"/>
    <w:rsid w:val="00AD1905"/>
    <w:rsid w:val="00AD19AA"/>
    <w:rsid w:val="00AD19DB"/>
    <w:rsid w:val="00AD1EC6"/>
    <w:rsid w:val="00AD1FD5"/>
    <w:rsid w:val="00AD2F96"/>
    <w:rsid w:val="00AD5343"/>
    <w:rsid w:val="00AD5D7C"/>
    <w:rsid w:val="00AD61AD"/>
    <w:rsid w:val="00AD6502"/>
    <w:rsid w:val="00AD7C3E"/>
    <w:rsid w:val="00AE02AD"/>
    <w:rsid w:val="00AE03DB"/>
    <w:rsid w:val="00AE0695"/>
    <w:rsid w:val="00AE0849"/>
    <w:rsid w:val="00AE0C7C"/>
    <w:rsid w:val="00AE0D1F"/>
    <w:rsid w:val="00AE0EED"/>
    <w:rsid w:val="00AE105E"/>
    <w:rsid w:val="00AE1371"/>
    <w:rsid w:val="00AE1ABB"/>
    <w:rsid w:val="00AE24E6"/>
    <w:rsid w:val="00AE28CF"/>
    <w:rsid w:val="00AE364C"/>
    <w:rsid w:val="00AE3B18"/>
    <w:rsid w:val="00AE3E7E"/>
    <w:rsid w:val="00AE4766"/>
    <w:rsid w:val="00AE4E3E"/>
    <w:rsid w:val="00AE53C0"/>
    <w:rsid w:val="00AE6140"/>
    <w:rsid w:val="00AE67E4"/>
    <w:rsid w:val="00AE78A1"/>
    <w:rsid w:val="00AE7E8E"/>
    <w:rsid w:val="00AF00A4"/>
    <w:rsid w:val="00AF00DC"/>
    <w:rsid w:val="00AF04B7"/>
    <w:rsid w:val="00AF0A1C"/>
    <w:rsid w:val="00AF1211"/>
    <w:rsid w:val="00AF1315"/>
    <w:rsid w:val="00AF19BF"/>
    <w:rsid w:val="00AF2395"/>
    <w:rsid w:val="00AF2981"/>
    <w:rsid w:val="00AF2D22"/>
    <w:rsid w:val="00AF2DC3"/>
    <w:rsid w:val="00AF30D7"/>
    <w:rsid w:val="00AF33F4"/>
    <w:rsid w:val="00AF3603"/>
    <w:rsid w:val="00AF395A"/>
    <w:rsid w:val="00AF3D3E"/>
    <w:rsid w:val="00AF43FB"/>
    <w:rsid w:val="00AF4746"/>
    <w:rsid w:val="00AF52B7"/>
    <w:rsid w:val="00AF54AB"/>
    <w:rsid w:val="00AF5EE1"/>
    <w:rsid w:val="00AF61BD"/>
    <w:rsid w:val="00AF7F13"/>
    <w:rsid w:val="00B007A2"/>
    <w:rsid w:val="00B01574"/>
    <w:rsid w:val="00B01775"/>
    <w:rsid w:val="00B01789"/>
    <w:rsid w:val="00B01837"/>
    <w:rsid w:val="00B02059"/>
    <w:rsid w:val="00B029B6"/>
    <w:rsid w:val="00B02CFD"/>
    <w:rsid w:val="00B02D53"/>
    <w:rsid w:val="00B033CB"/>
    <w:rsid w:val="00B033E5"/>
    <w:rsid w:val="00B03677"/>
    <w:rsid w:val="00B03A63"/>
    <w:rsid w:val="00B03CC0"/>
    <w:rsid w:val="00B056C7"/>
    <w:rsid w:val="00B05D16"/>
    <w:rsid w:val="00B06123"/>
    <w:rsid w:val="00B06943"/>
    <w:rsid w:val="00B0695C"/>
    <w:rsid w:val="00B06AEB"/>
    <w:rsid w:val="00B07979"/>
    <w:rsid w:val="00B07C54"/>
    <w:rsid w:val="00B07E01"/>
    <w:rsid w:val="00B10181"/>
    <w:rsid w:val="00B111B4"/>
    <w:rsid w:val="00B118A8"/>
    <w:rsid w:val="00B11A1D"/>
    <w:rsid w:val="00B11CD3"/>
    <w:rsid w:val="00B11E9D"/>
    <w:rsid w:val="00B12009"/>
    <w:rsid w:val="00B1216E"/>
    <w:rsid w:val="00B1219C"/>
    <w:rsid w:val="00B121BF"/>
    <w:rsid w:val="00B12284"/>
    <w:rsid w:val="00B1267F"/>
    <w:rsid w:val="00B128A2"/>
    <w:rsid w:val="00B12904"/>
    <w:rsid w:val="00B1317F"/>
    <w:rsid w:val="00B1374B"/>
    <w:rsid w:val="00B13A4B"/>
    <w:rsid w:val="00B14524"/>
    <w:rsid w:val="00B1515F"/>
    <w:rsid w:val="00B15448"/>
    <w:rsid w:val="00B15A3A"/>
    <w:rsid w:val="00B15DD8"/>
    <w:rsid w:val="00B16163"/>
    <w:rsid w:val="00B16E2A"/>
    <w:rsid w:val="00B17719"/>
    <w:rsid w:val="00B17D91"/>
    <w:rsid w:val="00B2009A"/>
    <w:rsid w:val="00B201A4"/>
    <w:rsid w:val="00B201D1"/>
    <w:rsid w:val="00B20A6F"/>
    <w:rsid w:val="00B20CAC"/>
    <w:rsid w:val="00B20F1F"/>
    <w:rsid w:val="00B213A6"/>
    <w:rsid w:val="00B22C5C"/>
    <w:rsid w:val="00B235B0"/>
    <w:rsid w:val="00B23855"/>
    <w:rsid w:val="00B23B29"/>
    <w:rsid w:val="00B23F2C"/>
    <w:rsid w:val="00B23F3F"/>
    <w:rsid w:val="00B24050"/>
    <w:rsid w:val="00B24183"/>
    <w:rsid w:val="00B24DF6"/>
    <w:rsid w:val="00B25538"/>
    <w:rsid w:val="00B258D1"/>
    <w:rsid w:val="00B25B5A"/>
    <w:rsid w:val="00B25D82"/>
    <w:rsid w:val="00B25EDD"/>
    <w:rsid w:val="00B262C1"/>
    <w:rsid w:val="00B263B4"/>
    <w:rsid w:val="00B2651B"/>
    <w:rsid w:val="00B269E7"/>
    <w:rsid w:val="00B26B4B"/>
    <w:rsid w:val="00B26EB4"/>
    <w:rsid w:val="00B271EB"/>
    <w:rsid w:val="00B274B1"/>
    <w:rsid w:val="00B27A72"/>
    <w:rsid w:val="00B3003A"/>
    <w:rsid w:val="00B304D4"/>
    <w:rsid w:val="00B31DFF"/>
    <w:rsid w:val="00B32532"/>
    <w:rsid w:val="00B32AD6"/>
    <w:rsid w:val="00B33E2E"/>
    <w:rsid w:val="00B34EA7"/>
    <w:rsid w:val="00B34FE2"/>
    <w:rsid w:val="00B35166"/>
    <w:rsid w:val="00B35669"/>
    <w:rsid w:val="00B357D8"/>
    <w:rsid w:val="00B360F4"/>
    <w:rsid w:val="00B36758"/>
    <w:rsid w:val="00B36A00"/>
    <w:rsid w:val="00B36C45"/>
    <w:rsid w:val="00B36C5A"/>
    <w:rsid w:val="00B37346"/>
    <w:rsid w:val="00B3742C"/>
    <w:rsid w:val="00B37AD8"/>
    <w:rsid w:val="00B37BFC"/>
    <w:rsid w:val="00B37CA0"/>
    <w:rsid w:val="00B40358"/>
    <w:rsid w:val="00B403F1"/>
    <w:rsid w:val="00B407C6"/>
    <w:rsid w:val="00B40B2E"/>
    <w:rsid w:val="00B413F1"/>
    <w:rsid w:val="00B414BA"/>
    <w:rsid w:val="00B41614"/>
    <w:rsid w:val="00B4171B"/>
    <w:rsid w:val="00B41ABA"/>
    <w:rsid w:val="00B41DE9"/>
    <w:rsid w:val="00B42161"/>
    <w:rsid w:val="00B4260D"/>
    <w:rsid w:val="00B42851"/>
    <w:rsid w:val="00B42AF8"/>
    <w:rsid w:val="00B42F80"/>
    <w:rsid w:val="00B435CB"/>
    <w:rsid w:val="00B44B7D"/>
    <w:rsid w:val="00B44CDA"/>
    <w:rsid w:val="00B4531C"/>
    <w:rsid w:val="00B45484"/>
    <w:rsid w:val="00B45C5A"/>
    <w:rsid w:val="00B45FA2"/>
    <w:rsid w:val="00B462C4"/>
    <w:rsid w:val="00B4636A"/>
    <w:rsid w:val="00B46A45"/>
    <w:rsid w:val="00B46E25"/>
    <w:rsid w:val="00B4765B"/>
    <w:rsid w:val="00B479B1"/>
    <w:rsid w:val="00B5052A"/>
    <w:rsid w:val="00B505C8"/>
    <w:rsid w:val="00B50610"/>
    <w:rsid w:val="00B50840"/>
    <w:rsid w:val="00B50DB8"/>
    <w:rsid w:val="00B5126D"/>
    <w:rsid w:val="00B5173C"/>
    <w:rsid w:val="00B51B19"/>
    <w:rsid w:val="00B51B55"/>
    <w:rsid w:val="00B521F9"/>
    <w:rsid w:val="00B52593"/>
    <w:rsid w:val="00B528E7"/>
    <w:rsid w:val="00B52CA2"/>
    <w:rsid w:val="00B53294"/>
    <w:rsid w:val="00B5337A"/>
    <w:rsid w:val="00B53654"/>
    <w:rsid w:val="00B53905"/>
    <w:rsid w:val="00B54B5B"/>
    <w:rsid w:val="00B5562E"/>
    <w:rsid w:val="00B55A53"/>
    <w:rsid w:val="00B55D65"/>
    <w:rsid w:val="00B5630E"/>
    <w:rsid w:val="00B56462"/>
    <w:rsid w:val="00B569E5"/>
    <w:rsid w:val="00B56ABD"/>
    <w:rsid w:val="00B57000"/>
    <w:rsid w:val="00B5738F"/>
    <w:rsid w:val="00B60703"/>
    <w:rsid w:val="00B60939"/>
    <w:rsid w:val="00B609A1"/>
    <w:rsid w:val="00B60AFD"/>
    <w:rsid w:val="00B610D2"/>
    <w:rsid w:val="00B61114"/>
    <w:rsid w:val="00B614A4"/>
    <w:rsid w:val="00B62715"/>
    <w:rsid w:val="00B62E36"/>
    <w:rsid w:val="00B63AF8"/>
    <w:rsid w:val="00B6423B"/>
    <w:rsid w:val="00B64986"/>
    <w:rsid w:val="00B64F34"/>
    <w:rsid w:val="00B65611"/>
    <w:rsid w:val="00B657E7"/>
    <w:rsid w:val="00B65A3B"/>
    <w:rsid w:val="00B65AD5"/>
    <w:rsid w:val="00B66C0B"/>
    <w:rsid w:val="00B67140"/>
    <w:rsid w:val="00B6720A"/>
    <w:rsid w:val="00B672A3"/>
    <w:rsid w:val="00B67C2F"/>
    <w:rsid w:val="00B70137"/>
    <w:rsid w:val="00B70BA6"/>
    <w:rsid w:val="00B70E8E"/>
    <w:rsid w:val="00B7153C"/>
    <w:rsid w:val="00B71977"/>
    <w:rsid w:val="00B71AB0"/>
    <w:rsid w:val="00B71E42"/>
    <w:rsid w:val="00B71F32"/>
    <w:rsid w:val="00B725A2"/>
    <w:rsid w:val="00B73800"/>
    <w:rsid w:val="00B73DCC"/>
    <w:rsid w:val="00B73EC5"/>
    <w:rsid w:val="00B743FA"/>
    <w:rsid w:val="00B74D88"/>
    <w:rsid w:val="00B7540D"/>
    <w:rsid w:val="00B7552B"/>
    <w:rsid w:val="00B75D3B"/>
    <w:rsid w:val="00B75F13"/>
    <w:rsid w:val="00B764DB"/>
    <w:rsid w:val="00B765D0"/>
    <w:rsid w:val="00B7661A"/>
    <w:rsid w:val="00B76C09"/>
    <w:rsid w:val="00B76C92"/>
    <w:rsid w:val="00B77054"/>
    <w:rsid w:val="00B77A51"/>
    <w:rsid w:val="00B77F5A"/>
    <w:rsid w:val="00B808C3"/>
    <w:rsid w:val="00B80DCC"/>
    <w:rsid w:val="00B80E83"/>
    <w:rsid w:val="00B8124F"/>
    <w:rsid w:val="00B813D4"/>
    <w:rsid w:val="00B81586"/>
    <w:rsid w:val="00B818A4"/>
    <w:rsid w:val="00B81E15"/>
    <w:rsid w:val="00B829E1"/>
    <w:rsid w:val="00B82BAA"/>
    <w:rsid w:val="00B83301"/>
    <w:rsid w:val="00B837E5"/>
    <w:rsid w:val="00B83CBB"/>
    <w:rsid w:val="00B84117"/>
    <w:rsid w:val="00B8513F"/>
    <w:rsid w:val="00B856F2"/>
    <w:rsid w:val="00B858F0"/>
    <w:rsid w:val="00B85AA2"/>
    <w:rsid w:val="00B860EE"/>
    <w:rsid w:val="00B8648E"/>
    <w:rsid w:val="00B8649C"/>
    <w:rsid w:val="00B8695D"/>
    <w:rsid w:val="00B869B6"/>
    <w:rsid w:val="00B870B9"/>
    <w:rsid w:val="00B87654"/>
    <w:rsid w:val="00B87E8C"/>
    <w:rsid w:val="00B87F0A"/>
    <w:rsid w:val="00B90E2E"/>
    <w:rsid w:val="00B919B7"/>
    <w:rsid w:val="00B91BEE"/>
    <w:rsid w:val="00B91E96"/>
    <w:rsid w:val="00B92042"/>
    <w:rsid w:val="00B92253"/>
    <w:rsid w:val="00B92D0B"/>
    <w:rsid w:val="00B9449E"/>
    <w:rsid w:val="00B9470F"/>
    <w:rsid w:val="00B94945"/>
    <w:rsid w:val="00B94DD6"/>
    <w:rsid w:val="00B952FE"/>
    <w:rsid w:val="00B95468"/>
    <w:rsid w:val="00B954D1"/>
    <w:rsid w:val="00B95765"/>
    <w:rsid w:val="00B9587A"/>
    <w:rsid w:val="00B95E23"/>
    <w:rsid w:val="00B95EA6"/>
    <w:rsid w:val="00B96511"/>
    <w:rsid w:val="00B96BC4"/>
    <w:rsid w:val="00B97323"/>
    <w:rsid w:val="00B97E65"/>
    <w:rsid w:val="00BA1B08"/>
    <w:rsid w:val="00BA20EC"/>
    <w:rsid w:val="00BA2178"/>
    <w:rsid w:val="00BA21AC"/>
    <w:rsid w:val="00BA2628"/>
    <w:rsid w:val="00BA322D"/>
    <w:rsid w:val="00BA3ADE"/>
    <w:rsid w:val="00BA4565"/>
    <w:rsid w:val="00BA47B1"/>
    <w:rsid w:val="00BA4A5F"/>
    <w:rsid w:val="00BA53B4"/>
    <w:rsid w:val="00BA62D5"/>
    <w:rsid w:val="00BA63FA"/>
    <w:rsid w:val="00BA6435"/>
    <w:rsid w:val="00BA70A5"/>
    <w:rsid w:val="00BA72E0"/>
    <w:rsid w:val="00BB00B3"/>
    <w:rsid w:val="00BB078F"/>
    <w:rsid w:val="00BB0878"/>
    <w:rsid w:val="00BB09C7"/>
    <w:rsid w:val="00BB0AEB"/>
    <w:rsid w:val="00BB0BDD"/>
    <w:rsid w:val="00BB11EB"/>
    <w:rsid w:val="00BB15DC"/>
    <w:rsid w:val="00BB176C"/>
    <w:rsid w:val="00BB1C26"/>
    <w:rsid w:val="00BB25B8"/>
    <w:rsid w:val="00BB27D7"/>
    <w:rsid w:val="00BB2A73"/>
    <w:rsid w:val="00BB3A45"/>
    <w:rsid w:val="00BB3E2F"/>
    <w:rsid w:val="00BB4ACC"/>
    <w:rsid w:val="00BB4C40"/>
    <w:rsid w:val="00BB5DF9"/>
    <w:rsid w:val="00BB62B6"/>
    <w:rsid w:val="00BB703E"/>
    <w:rsid w:val="00BB732D"/>
    <w:rsid w:val="00BB7405"/>
    <w:rsid w:val="00BB75A3"/>
    <w:rsid w:val="00BB7F0D"/>
    <w:rsid w:val="00BC01B8"/>
    <w:rsid w:val="00BC0CCE"/>
    <w:rsid w:val="00BC0D0F"/>
    <w:rsid w:val="00BC1597"/>
    <w:rsid w:val="00BC1BF4"/>
    <w:rsid w:val="00BC2136"/>
    <w:rsid w:val="00BC2623"/>
    <w:rsid w:val="00BC29A7"/>
    <w:rsid w:val="00BC2D6C"/>
    <w:rsid w:val="00BC3631"/>
    <w:rsid w:val="00BC3B0B"/>
    <w:rsid w:val="00BC3BF1"/>
    <w:rsid w:val="00BC3CA0"/>
    <w:rsid w:val="00BC46C6"/>
    <w:rsid w:val="00BC4A5E"/>
    <w:rsid w:val="00BC51E1"/>
    <w:rsid w:val="00BC5836"/>
    <w:rsid w:val="00BC588C"/>
    <w:rsid w:val="00BC591F"/>
    <w:rsid w:val="00BC59AB"/>
    <w:rsid w:val="00BC5D5C"/>
    <w:rsid w:val="00BC67F1"/>
    <w:rsid w:val="00BC7B2B"/>
    <w:rsid w:val="00BC7D6D"/>
    <w:rsid w:val="00BC7E16"/>
    <w:rsid w:val="00BD01D7"/>
    <w:rsid w:val="00BD05A6"/>
    <w:rsid w:val="00BD0612"/>
    <w:rsid w:val="00BD0D39"/>
    <w:rsid w:val="00BD1539"/>
    <w:rsid w:val="00BD1E98"/>
    <w:rsid w:val="00BD20A0"/>
    <w:rsid w:val="00BD2108"/>
    <w:rsid w:val="00BD253E"/>
    <w:rsid w:val="00BD2821"/>
    <w:rsid w:val="00BD2A82"/>
    <w:rsid w:val="00BD2E53"/>
    <w:rsid w:val="00BD3494"/>
    <w:rsid w:val="00BD3827"/>
    <w:rsid w:val="00BD3979"/>
    <w:rsid w:val="00BD3C1C"/>
    <w:rsid w:val="00BD3DC1"/>
    <w:rsid w:val="00BD4858"/>
    <w:rsid w:val="00BD5297"/>
    <w:rsid w:val="00BD5918"/>
    <w:rsid w:val="00BD6231"/>
    <w:rsid w:val="00BD66E4"/>
    <w:rsid w:val="00BD68A3"/>
    <w:rsid w:val="00BD6938"/>
    <w:rsid w:val="00BD6A7A"/>
    <w:rsid w:val="00BD6B32"/>
    <w:rsid w:val="00BD6CF3"/>
    <w:rsid w:val="00BD731B"/>
    <w:rsid w:val="00BD781F"/>
    <w:rsid w:val="00BE05B9"/>
    <w:rsid w:val="00BE0795"/>
    <w:rsid w:val="00BE0997"/>
    <w:rsid w:val="00BE0ECA"/>
    <w:rsid w:val="00BE1422"/>
    <w:rsid w:val="00BE1B40"/>
    <w:rsid w:val="00BE2180"/>
    <w:rsid w:val="00BE21F2"/>
    <w:rsid w:val="00BE2532"/>
    <w:rsid w:val="00BE253C"/>
    <w:rsid w:val="00BE2672"/>
    <w:rsid w:val="00BE2868"/>
    <w:rsid w:val="00BE2913"/>
    <w:rsid w:val="00BE2AE2"/>
    <w:rsid w:val="00BE2C83"/>
    <w:rsid w:val="00BE2D06"/>
    <w:rsid w:val="00BE300F"/>
    <w:rsid w:val="00BE4275"/>
    <w:rsid w:val="00BE47DB"/>
    <w:rsid w:val="00BE4C59"/>
    <w:rsid w:val="00BE5D09"/>
    <w:rsid w:val="00BE5F4A"/>
    <w:rsid w:val="00BE63AD"/>
    <w:rsid w:val="00BE648C"/>
    <w:rsid w:val="00BE6707"/>
    <w:rsid w:val="00BE6CBB"/>
    <w:rsid w:val="00BE73BD"/>
    <w:rsid w:val="00BE74DD"/>
    <w:rsid w:val="00BE77FD"/>
    <w:rsid w:val="00BF06AE"/>
    <w:rsid w:val="00BF072C"/>
    <w:rsid w:val="00BF07EE"/>
    <w:rsid w:val="00BF0B86"/>
    <w:rsid w:val="00BF0F95"/>
    <w:rsid w:val="00BF1416"/>
    <w:rsid w:val="00BF17D7"/>
    <w:rsid w:val="00BF19D7"/>
    <w:rsid w:val="00BF1F8B"/>
    <w:rsid w:val="00BF2433"/>
    <w:rsid w:val="00BF2EA7"/>
    <w:rsid w:val="00BF2FCE"/>
    <w:rsid w:val="00BF32C3"/>
    <w:rsid w:val="00BF36DE"/>
    <w:rsid w:val="00BF3E6F"/>
    <w:rsid w:val="00BF3F60"/>
    <w:rsid w:val="00BF478D"/>
    <w:rsid w:val="00BF4A79"/>
    <w:rsid w:val="00BF4B95"/>
    <w:rsid w:val="00BF52EE"/>
    <w:rsid w:val="00BF59D8"/>
    <w:rsid w:val="00BF5C4E"/>
    <w:rsid w:val="00BF5CF6"/>
    <w:rsid w:val="00BF61C9"/>
    <w:rsid w:val="00BF6334"/>
    <w:rsid w:val="00BF6C94"/>
    <w:rsid w:val="00BF6F30"/>
    <w:rsid w:val="00BF74D2"/>
    <w:rsid w:val="00BF7B6E"/>
    <w:rsid w:val="00BF7D07"/>
    <w:rsid w:val="00C00424"/>
    <w:rsid w:val="00C0093A"/>
    <w:rsid w:val="00C00BB9"/>
    <w:rsid w:val="00C00D97"/>
    <w:rsid w:val="00C0112A"/>
    <w:rsid w:val="00C01934"/>
    <w:rsid w:val="00C01AFF"/>
    <w:rsid w:val="00C02118"/>
    <w:rsid w:val="00C021E3"/>
    <w:rsid w:val="00C023ED"/>
    <w:rsid w:val="00C0249C"/>
    <w:rsid w:val="00C02DB1"/>
    <w:rsid w:val="00C03207"/>
    <w:rsid w:val="00C037D6"/>
    <w:rsid w:val="00C043A6"/>
    <w:rsid w:val="00C045A2"/>
    <w:rsid w:val="00C055FC"/>
    <w:rsid w:val="00C05834"/>
    <w:rsid w:val="00C05A26"/>
    <w:rsid w:val="00C05E35"/>
    <w:rsid w:val="00C05F7F"/>
    <w:rsid w:val="00C06D37"/>
    <w:rsid w:val="00C072D7"/>
    <w:rsid w:val="00C0744F"/>
    <w:rsid w:val="00C07474"/>
    <w:rsid w:val="00C07755"/>
    <w:rsid w:val="00C07DA7"/>
    <w:rsid w:val="00C104BF"/>
    <w:rsid w:val="00C107DA"/>
    <w:rsid w:val="00C1108F"/>
    <w:rsid w:val="00C11562"/>
    <w:rsid w:val="00C1179F"/>
    <w:rsid w:val="00C11AFE"/>
    <w:rsid w:val="00C11E3B"/>
    <w:rsid w:val="00C12115"/>
    <w:rsid w:val="00C12C14"/>
    <w:rsid w:val="00C13490"/>
    <w:rsid w:val="00C13657"/>
    <w:rsid w:val="00C13D94"/>
    <w:rsid w:val="00C13F15"/>
    <w:rsid w:val="00C1404D"/>
    <w:rsid w:val="00C142AB"/>
    <w:rsid w:val="00C1478B"/>
    <w:rsid w:val="00C14DC9"/>
    <w:rsid w:val="00C15721"/>
    <w:rsid w:val="00C15B1A"/>
    <w:rsid w:val="00C15C01"/>
    <w:rsid w:val="00C15DB0"/>
    <w:rsid w:val="00C15F04"/>
    <w:rsid w:val="00C15F1F"/>
    <w:rsid w:val="00C164D0"/>
    <w:rsid w:val="00C16E2F"/>
    <w:rsid w:val="00C179B3"/>
    <w:rsid w:val="00C17AEE"/>
    <w:rsid w:val="00C17D37"/>
    <w:rsid w:val="00C17E3F"/>
    <w:rsid w:val="00C200AA"/>
    <w:rsid w:val="00C2065B"/>
    <w:rsid w:val="00C2097A"/>
    <w:rsid w:val="00C20B20"/>
    <w:rsid w:val="00C2139D"/>
    <w:rsid w:val="00C214C6"/>
    <w:rsid w:val="00C21744"/>
    <w:rsid w:val="00C21998"/>
    <w:rsid w:val="00C219AE"/>
    <w:rsid w:val="00C21C90"/>
    <w:rsid w:val="00C22F15"/>
    <w:rsid w:val="00C23045"/>
    <w:rsid w:val="00C231EA"/>
    <w:rsid w:val="00C237ED"/>
    <w:rsid w:val="00C23C2E"/>
    <w:rsid w:val="00C24230"/>
    <w:rsid w:val="00C24298"/>
    <w:rsid w:val="00C242FC"/>
    <w:rsid w:val="00C24632"/>
    <w:rsid w:val="00C24FA4"/>
    <w:rsid w:val="00C25418"/>
    <w:rsid w:val="00C25D9C"/>
    <w:rsid w:val="00C26146"/>
    <w:rsid w:val="00C2778B"/>
    <w:rsid w:val="00C30047"/>
    <w:rsid w:val="00C3028C"/>
    <w:rsid w:val="00C31649"/>
    <w:rsid w:val="00C31688"/>
    <w:rsid w:val="00C316ED"/>
    <w:rsid w:val="00C329E0"/>
    <w:rsid w:val="00C32D12"/>
    <w:rsid w:val="00C33657"/>
    <w:rsid w:val="00C338E8"/>
    <w:rsid w:val="00C33B4A"/>
    <w:rsid w:val="00C33CF1"/>
    <w:rsid w:val="00C33D80"/>
    <w:rsid w:val="00C3434C"/>
    <w:rsid w:val="00C350AF"/>
    <w:rsid w:val="00C352A6"/>
    <w:rsid w:val="00C352DC"/>
    <w:rsid w:val="00C358B0"/>
    <w:rsid w:val="00C358EA"/>
    <w:rsid w:val="00C36491"/>
    <w:rsid w:val="00C3679F"/>
    <w:rsid w:val="00C36902"/>
    <w:rsid w:val="00C375A1"/>
    <w:rsid w:val="00C377CB"/>
    <w:rsid w:val="00C37ECD"/>
    <w:rsid w:val="00C40385"/>
    <w:rsid w:val="00C40547"/>
    <w:rsid w:val="00C406B2"/>
    <w:rsid w:val="00C41678"/>
    <w:rsid w:val="00C41768"/>
    <w:rsid w:val="00C4183D"/>
    <w:rsid w:val="00C41B91"/>
    <w:rsid w:val="00C42242"/>
    <w:rsid w:val="00C42304"/>
    <w:rsid w:val="00C427EE"/>
    <w:rsid w:val="00C4302E"/>
    <w:rsid w:val="00C43648"/>
    <w:rsid w:val="00C447E3"/>
    <w:rsid w:val="00C44CCF"/>
    <w:rsid w:val="00C461AF"/>
    <w:rsid w:val="00C463A2"/>
    <w:rsid w:val="00C46801"/>
    <w:rsid w:val="00C47059"/>
    <w:rsid w:val="00C470C3"/>
    <w:rsid w:val="00C475AA"/>
    <w:rsid w:val="00C502D5"/>
    <w:rsid w:val="00C50830"/>
    <w:rsid w:val="00C50875"/>
    <w:rsid w:val="00C51522"/>
    <w:rsid w:val="00C51936"/>
    <w:rsid w:val="00C5237B"/>
    <w:rsid w:val="00C53448"/>
    <w:rsid w:val="00C539FC"/>
    <w:rsid w:val="00C53C98"/>
    <w:rsid w:val="00C53CBA"/>
    <w:rsid w:val="00C53E6A"/>
    <w:rsid w:val="00C543E0"/>
    <w:rsid w:val="00C552EE"/>
    <w:rsid w:val="00C556A6"/>
    <w:rsid w:val="00C558CF"/>
    <w:rsid w:val="00C55BB3"/>
    <w:rsid w:val="00C55DD2"/>
    <w:rsid w:val="00C564EF"/>
    <w:rsid w:val="00C56FCF"/>
    <w:rsid w:val="00C57B2B"/>
    <w:rsid w:val="00C57B6C"/>
    <w:rsid w:val="00C57E39"/>
    <w:rsid w:val="00C601F6"/>
    <w:rsid w:val="00C604B9"/>
    <w:rsid w:val="00C60848"/>
    <w:rsid w:val="00C61209"/>
    <w:rsid w:val="00C61C1B"/>
    <w:rsid w:val="00C62254"/>
    <w:rsid w:val="00C6254F"/>
    <w:rsid w:val="00C6266A"/>
    <w:rsid w:val="00C628A6"/>
    <w:rsid w:val="00C62E9E"/>
    <w:rsid w:val="00C63BFC"/>
    <w:rsid w:val="00C63CBE"/>
    <w:rsid w:val="00C63D5A"/>
    <w:rsid w:val="00C63D8E"/>
    <w:rsid w:val="00C64344"/>
    <w:rsid w:val="00C649FC"/>
    <w:rsid w:val="00C64D47"/>
    <w:rsid w:val="00C64FBA"/>
    <w:rsid w:val="00C65108"/>
    <w:rsid w:val="00C65114"/>
    <w:rsid w:val="00C651D3"/>
    <w:rsid w:val="00C65576"/>
    <w:rsid w:val="00C658A5"/>
    <w:rsid w:val="00C65925"/>
    <w:rsid w:val="00C65A3E"/>
    <w:rsid w:val="00C65BFF"/>
    <w:rsid w:val="00C66165"/>
    <w:rsid w:val="00C66202"/>
    <w:rsid w:val="00C67078"/>
    <w:rsid w:val="00C673AA"/>
    <w:rsid w:val="00C7060A"/>
    <w:rsid w:val="00C70632"/>
    <w:rsid w:val="00C7085E"/>
    <w:rsid w:val="00C7151A"/>
    <w:rsid w:val="00C7170F"/>
    <w:rsid w:val="00C717D9"/>
    <w:rsid w:val="00C717E3"/>
    <w:rsid w:val="00C71F60"/>
    <w:rsid w:val="00C71F79"/>
    <w:rsid w:val="00C72241"/>
    <w:rsid w:val="00C72732"/>
    <w:rsid w:val="00C72C82"/>
    <w:rsid w:val="00C7425A"/>
    <w:rsid w:val="00C74318"/>
    <w:rsid w:val="00C74C92"/>
    <w:rsid w:val="00C750C8"/>
    <w:rsid w:val="00C7560F"/>
    <w:rsid w:val="00C75A97"/>
    <w:rsid w:val="00C75C4D"/>
    <w:rsid w:val="00C76432"/>
    <w:rsid w:val="00C769FE"/>
    <w:rsid w:val="00C76A4C"/>
    <w:rsid w:val="00C76FB0"/>
    <w:rsid w:val="00C77D82"/>
    <w:rsid w:val="00C80A0E"/>
    <w:rsid w:val="00C81797"/>
    <w:rsid w:val="00C81912"/>
    <w:rsid w:val="00C81AEC"/>
    <w:rsid w:val="00C81C0A"/>
    <w:rsid w:val="00C81C97"/>
    <w:rsid w:val="00C8213F"/>
    <w:rsid w:val="00C8276E"/>
    <w:rsid w:val="00C834FB"/>
    <w:rsid w:val="00C835E3"/>
    <w:rsid w:val="00C843DA"/>
    <w:rsid w:val="00C8490B"/>
    <w:rsid w:val="00C84FD3"/>
    <w:rsid w:val="00C85154"/>
    <w:rsid w:val="00C8516A"/>
    <w:rsid w:val="00C85643"/>
    <w:rsid w:val="00C85D9D"/>
    <w:rsid w:val="00C862E6"/>
    <w:rsid w:val="00C86C90"/>
    <w:rsid w:val="00C877AD"/>
    <w:rsid w:val="00C8797A"/>
    <w:rsid w:val="00C87BF0"/>
    <w:rsid w:val="00C900B8"/>
    <w:rsid w:val="00C9071D"/>
    <w:rsid w:val="00C908A7"/>
    <w:rsid w:val="00C90C55"/>
    <w:rsid w:val="00C90C71"/>
    <w:rsid w:val="00C90C79"/>
    <w:rsid w:val="00C9110A"/>
    <w:rsid w:val="00C91735"/>
    <w:rsid w:val="00C91EB9"/>
    <w:rsid w:val="00C91FD1"/>
    <w:rsid w:val="00C91FE6"/>
    <w:rsid w:val="00C922D6"/>
    <w:rsid w:val="00C92755"/>
    <w:rsid w:val="00C929BB"/>
    <w:rsid w:val="00C92D87"/>
    <w:rsid w:val="00C931CF"/>
    <w:rsid w:val="00C938CF"/>
    <w:rsid w:val="00C93BF1"/>
    <w:rsid w:val="00C93CBE"/>
    <w:rsid w:val="00C93D1C"/>
    <w:rsid w:val="00C93D93"/>
    <w:rsid w:val="00C93DFF"/>
    <w:rsid w:val="00C93ECC"/>
    <w:rsid w:val="00C94053"/>
    <w:rsid w:val="00C9411D"/>
    <w:rsid w:val="00C95AC6"/>
    <w:rsid w:val="00C95CC9"/>
    <w:rsid w:val="00C960DF"/>
    <w:rsid w:val="00C9624D"/>
    <w:rsid w:val="00C9632A"/>
    <w:rsid w:val="00C969DA"/>
    <w:rsid w:val="00C96BB7"/>
    <w:rsid w:val="00C96E91"/>
    <w:rsid w:val="00C973AA"/>
    <w:rsid w:val="00C9752A"/>
    <w:rsid w:val="00C97764"/>
    <w:rsid w:val="00CA04DC"/>
    <w:rsid w:val="00CA09D7"/>
    <w:rsid w:val="00CA0B4D"/>
    <w:rsid w:val="00CA1522"/>
    <w:rsid w:val="00CA1923"/>
    <w:rsid w:val="00CA1AFB"/>
    <w:rsid w:val="00CA2008"/>
    <w:rsid w:val="00CA20BC"/>
    <w:rsid w:val="00CA2203"/>
    <w:rsid w:val="00CA26D0"/>
    <w:rsid w:val="00CA279E"/>
    <w:rsid w:val="00CA2C77"/>
    <w:rsid w:val="00CA2EC5"/>
    <w:rsid w:val="00CA35FB"/>
    <w:rsid w:val="00CA3BD8"/>
    <w:rsid w:val="00CA444F"/>
    <w:rsid w:val="00CA4B72"/>
    <w:rsid w:val="00CA5245"/>
    <w:rsid w:val="00CA5299"/>
    <w:rsid w:val="00CA5398"/>
    <w:rsid w:val="00CA5F56"/>
    <w:rsid w:val="00CA666C"/>
    <w:rsid w:val="00CA71F4"/>
    <w:rsid w:val="00CA771D"/>
    <w:rsid w:val="00CA7B09"/>
    <w:rsid w:val="00CB12A5"/>
    <w:rsid w:val="00CB169C"/>
    <w:rsid w:val="00CB17D9"/>
    <w:rsid w:val="00CB1CAC"/>
    <w:rsid w:val="00CB263D"/>
    <w:rsid w:val="00CB2B40"/>
    <w:rsid w:val="00CB2EB4"/>
    <w:rsid w:val="00CB2F2A"/>
    <w:rsid w:val="00CB3110"/>
    <w:rsid w:val="00CB338D"/>
    <w:rsid w:val="00CB3C94"/>
    <w:rsid w:val="00CB46CA"/>
    <w:rsid w:val="00CB4B8A"/>
    <w:rsid w:val="00CB5B1A"/>
    <w:rsid w:val="00CB5D5B"/>
    <w:rsid w:val="00CB6AAB"/>
    <w:rsid w:val="00CB6B22"/>
    <w:rsid w:val="00CB6CFA"/>
    <w:rsid w:val="00CB75B6"/>
    <w:rsid w:val="00CB7F5F"/>
    <w:rsid w:val="00CC0174"/>
    <w:rsid w:val="00CC0A74"/>
    <w:rsid w:val="00CC0FD0"/>
    <w:rsid w:val="00CC132D"/>
    <w:rsid w:val="00CC1670"/>
    <w:rsid w:val="00CC1B39"/>
    <w:rsid w:val="00CC2CFC"/>
    <w:rsid w:val="00CC35EA"/>
    <w:rsid w:val="00CC3848"/>
    <w:rsid w:val="00CC3AE3"/>
    <w:rsid w:val="00CC4166"/>
    <w:rsid w:val="00CC4A87"/>
    <w:rsid w:val="00CC4D62"/>
    <w:rsid w:val="00CC5857"/>
    <w:rsid w:val="00CC5C8B"/>
    <w:rsid w:val="00CC60E2"/>
    <w:rsid w:val="00CC7550"/>
    <w:rsid w:val="00CC7C49"/>
    <w:rsid w:val="00CD01F0"/>
    <w:rsid w:val="00CD0BD7"/>
    <w:rsid w:val="00CD0CB0"/>
    <w:rsid w:val="00CD0F66"/>
    <w:rsid w:val="00CD145B"/>
    <w:rsid w:val="00CD1A5F"/>
    <w:rsid w:val="00CD1C53"/>
    <w:rsid w:val="00CD20BD"/>
    <w:rsid w:val="00CD27F3"/>
    <w:rsid w:val="00CD2D41"/>
    <w:rsid w:val="00CD3127"/>
    <w:rsid w:val="00CD33CF"/>
    <w:rsid w:val="00CD3744"/>
    <w:rsid w:val="00CD375F"/>
    <w:rsid w:val="00CD3C98"/>
    <w:rsid w:val="00CD3F77"/>
    <w:rsid w:val="00CD4786"/>
    <w:rsid w:val="00CD506D"/>
    <w:rsid w:val="00CD53C8"/>
    <w:rsid w:val="00CD58BE"/>
    <w:rsid w:val="00CD5FF0"/>
    <w:rsid w:val="00CD61D2"/>
    <w:rsid w:val="00CD6298"/>
    <w:rsid w:val="00CD6ADC"/>
    <w:rsid w:val="00CD6D94"/>
    <w:rsid w:val="00CD7193"/>
    <w:rsid w:val="00CD769E"/>
    <w:rsid w:val="00CD7930"/>
    <w:rsid w:val="00CD7AC0"/>
    <w:rsid w:val="00CD7E48"/>
    <w:rsid w:val="00CE1C19"/>
    <w:rsid w:val="00CE1E48"/>
    <w:rsid w:val="00CE2926"/>
    <w:rsid w:val="00CE36F6"/>
    <w:rsid w:val="00CE38C8"/>
    <w:rsid w:val="00CE3EA3"/>
    <w:rsid w:val="00CE416B"/>
    <w:rsid w:val="00CE5410"/>
    <w:rsid w:val="00CE5698"/>
    <w:rsid w:val="00CE5A5C"/>
    <w:rsid w:val="00CE6274"/>
    <w:rsid w:val="00CE62F1"/>
    <w:rsid w:val="00CE6D0C"/>
    <w:rsid w:val="00CE77B6"/>
    <w:rsid w:val="00CE7BFE"/>
    <w:rsid w:val="00CE7E5A"/>
    <w:rsid w:val="00CF0556"/>
    <w:rsid w:val="00CF0C9E"/>
    <w:rsid w:val="00CF0CD1"/>
    <w:rsid w:val="00CF1588"/>
    <w:rsid w:val="00CF190D"/>
    <w:rsid w:val="00CF2656"/>
    <w:rsid w:val="00CF26C4"/>
    <w:rsid w:val="00CF2B8D"/>
    <w:rsid w:val="00CF2E23"/>
    <w:rsid w:val="00CF3148"/>
    <w:rsid w:val="00CF35BC"/>
    <w:rsid w:val="00CF456B"/>
    <w:rsid w:val="00CF45B9"/>
    <w:rsid w:val="00CF4E60"/>
    <w:rsid w:val="00CF5067"/>
    <w:rsid w:val="00CF50AF"/>
    <w:rsid w:val="00CF518D"/>
    <w:rsid w:val="00CF5759"/>
    <w:rsid w:val="00CF5A22"/>
    <w:rsid w:val="00CF5EF2"/>
    <w:rsid w:val="00CF60B9"/>
    <w:rsid w:val="00CF67C4"/>
    <w:rsid w:val="00CF68C4"/>
    <w:rsid w:val="00CF71C8"/>
    <w:rsid w:val="00CF755C"/>
    <w:rsid w:val="00CF7F2A"/>
    <w:rsid w:val="00D001E7"/>
    <w:rsid w:val="00D00965"/>
    <w:rsid w:val="00D00A6A"/>
    <w:rsid w:val="00D01296"/>
    <w:rsid w:val="00D01664"/>
    <w:rsid w:val="00D01C4B"/>
    <w:rsid w:val="00D01E4E"/>
    <w:rsid w:val="00D023B8"/>
    <w:rsid w:val="00D0262E"/>
    <w:rsid w:val="00D02835"/>
    <w:rsid w:val="00D049FA"/>
    <w:rsid w:val="00D04CA1"/>
    <w:rsid w:val="00D053F1"/>
    <w:rsid w:val="00D054B1"/>
    <w:rsid w:val="00D0556B"/>
    <w:rsid w:val="00D05AF0"/>
    <w:rsid w:val="00D05E3D"/>
    <w:rsid w:val="00D06139"/>
    <w:rsid w:val="00D062B3"/>
    <w:rsid w:val="00D0662A"/>
    <w:rsid w:val="00D07524"/>
    <w:rsid w:val="00D0763A"/>
    <w:rsid w:val="00D07969"/>
    <w:rsid w:val="00D07993"/>
    <w:rsid w:val="00D07E41"/>
    <w:rsid w:val="00D07F11"/>
    <w:rsid w:val="00D101A5"/>
    <w:rsid w:val="00D110BD"/>
    <w:rsid w:val="00D1165A"/>
    <w:rsid w:val="00D129A6"/>
    <w:rsid w:val="00D12F2D"/>
    <w:rsid w:val="00D13096"/>
    <w:rsid w:val="00D13675"/>
    <w:rsid w:val="00D1367C"/>
    <w:rsid w:val="00D14072"/>
    <w:rsid w:val="00D14099"/>
    <w:rsid w:val="00D1414B"/>
    <w:rsid w:val="00D141E1"/>
    <w:rsid w:val="00D14A31"/>
    <w:rsid w:val="00D15314"/>
    <w:rsid w:val="00D15556"/>
    <w:rsid w:val="00D15624"/>
    <w:rsid w:val="00D15F55"/>
    <w:rsid w:val="00D1690D"/>
    <w:rsid w:val="00D16957"/>
    <w:rsid w:val="00D16CF1"/>
    <w:rsid w:val="00D17353"/>
    <w:rsid w:val="00D17BB7"/>
    <w:rsid w:val="00D17D6C"/>
    <w:rsid w:val="00D20067"/>
    <w:rsid w:val="00D20419"/>
    <w:rsid w:val="00D2042F"/>
    <w:rsid w:val="00D21554"/>
    <w:rsid w:val="00D2155B"/>
    <w:rsid w:val="00D21C0E"/>
    <w:rsid w:val="00D2229C"/>
    <w:rsid w:val="00D230D5"/>
    <w:rsid w:val="00D23D11"/>
    <w:rsid w:val="00D244B6"/>
    <w:rsid w:val="00D24BE3"/>
    <w:rsid w:val="00D24DB4"/>
    <w:rsid w:val="00D25AD2"/>
    <w:rsid w:val="00D261EF"/>
    <w:rsid w:val="00D274C1"/>
    <w:rsid w:val="00D2754D"/>
    <w:rsid w:val="00D2762E"/>
    <w:rsid w:val="00D27B27"/>
    <w:rsid w:val="00D30536"/>
    <w:rsid w:val="00D3090B"/>
    <w:rsid w:val="00D30E40"/>
    <w:rsid w:val="00D31B57"/>
    <w:rsid w:val="00D32090"/>
    <w:rsid w:val="00D32B31"/>
    <w:rsid w:val="00D32D42"/>
    <w:rsid w:val="00D32EAD"/>
    <w:rsid w:val="00D33669"/>
    <w:rsid w:val="00D33BE9"/>
    <w:rsid w:val="00D33C03"/>
    <w:rsid w:val="00D33F93"/>
    <w:rsid w:val="00D3431F"/>
    <w:rsid w:val="00D343A7"/>
    <w:rsid w:val="00D34753"/>
    <w:rsid w:val="00D347C2"/>
    <w:rsid w:val="00D348BD"/>
    <w:rsid w:val="00D349E5"/>
    <w:rsid w:val="00D3547E"/>
    <w:rsid w:val="00D357FF"/>
    <w:rsid w:val="00D35FBF"/>
    <w:rsid w:val="00D360BF"/>
    <w:rsid w:val="00D36936"/>
    <w:rsid w:val="00D36979"/>
    <w:rsid w:val="00D36A6D"/>
    <w:rsid w:val="00D36F40"/>
    <w:rsid w:val="00D3746D"/>
    <w:rsid w:val="00D37F87"/>
    <w:rsid w:val="00D40710"/>
    <w:rsid w:val="00D4073E"/>
    <w:rsid w:val="00D414D9"/>
    <w:rsid w:val="00D415B9"/>
    <w:rsid w:val="00D416AD"/>
    <w:rsid w:val="00D41920"/>
    <w:rsid w:val="00D41D03"/>
    <w:rsid w:val="00D41ED5"/>
    <w:rsid w:val="00D424C7"/>
    <w:rsid w:val="00D4281F"/>
    <w:rsid w:val="00D4315D"/>
    <w:rsid w:val="00D432DE"/>
    <w:rsid w:val="00D4374E"/>
    <w:rsid w:val="00D43B2A"/>
    <w:rsid w:val="00D43CA3"/>
    <w:rsid w:val="00D43D83"/>
    <w:rsid w:val="00D43FAB"/>
    <w:rsid w:val="00D4413D"/>
    <w:rsid w:val="00D44E2A"/>
    <w:rsid w:val="00D45EA9"/>
    <w:rsid w:val="00D466C7"/>
    <w:rsid w:val="00D46A4E"/>
    <w:rsid w:val="00D46DAC"/>
    <w:rsid w:val="00D46ED9"/>
    <w:rsid w:val="00D4706C"/>
    <w:rsid w:val="00D47575"/>
    <w:rsid w:val="00D476EF"/>
    <w:rsid w:val="00D479A4"/>
    <w:rsid w:val="00D47B3F"/>
    <w:rsid w:val="00D50470"/>
    <w:rsid w:val="00D5086D"/>
    <w:rsid w:val="00D50A4E"/>
    <w:rsid w:val="00D51219"/>
    <w:rsid w:val="00D51B33"/>
    <w:rsid w:val="00D51E9E"/>
    <w:rsid w:val="00D5243B"/>
    <w:rsid w:val="00D52A20"/>
    <w:rsid w:val="00D533EC"/>
    <w:rsid w:val="00D535AA"/>
    <w:rsid w:val="00D53C03"/>
    <w:rsid w:val="00D53ECC"/>
    <w:rsid w:val="00D53FFB"/>
    <w:rsid w:val="00D5414A"/>
    <w:rsid w:val="00D54432"/>
    <w:rsid w:val="00D547CC"/>
    <w:rsid w:val="00D54B6D"/>
    <w:rsid w:val="00D54D81"/>
    <w:rsid w:val="00D54FF8"/>
    <w:rsid w:val="00D550A1"/>
    <w:rsid w:val="00D55371"/>
    <w:rsid w:val="00D555EC"/>
    <w:rsid w:val="00D56726"/>
    <w:rsid w:val="00D5674E"/>
    <w:rsid w:val="00D568D7"/>
    <w:rsid w:val="00D56A95"/>
    <w:rsid w:val="00D573BB"/>
    <w:rsid w:val="00D57715"/>
    <w:rsid w:val="00D60C21"/>
    <w:rsid w:val="00D60FD9"/>
    <w:rsid w:val="00D6133E"/>
    <w:rsid w:val="00D614E6"/>
    <w:rsid w:val="00D61797"/>
    <w:rsid w:val="00D618D6"/>
    <w:rsid w:val="00D61D48"/>
    <w:rsid w:val="00D625DB"/>
    <w:rsid w:val="00D62B68"/>
    <w:rsid w:val="00D62BF4"/>
    <w:rsid w:val="00D6314F"/>
    <w:rsid w:val="00D63346"/>
    <w:rsid w:val="00D64086"/>
    <w:rsid w:val="00D64A0B"/>
    <w:rsid w:val="00D64CEE"/>
    <w:rsid w:val="00D65620"/>
    <w:rsid w:val="00D65630"/>
    <w:rsid w:val="00D668CA"/>
    <w:rsid w:val="00D66ACA"/>
    <w:rsid w:val="00D66B2F"/>
    <w:rsid w:val="00D678E1"/>
    <w:rsid w:val="00D67B9F"/>
    <w:rsid w:val="00D70253"/>
    <w:rsid w:val="00D7030E"/>
    <w:rsid w:val="00D70617"/>
    <w:rsid w:val="00D707DE"/>
    <w:rsid w:val="00D707FF"/>
    <w:rsid w:val="00D70F16"/>
    <w:rsid w:val="00D71097"/>
    <w:rsid w:val="00D71EC6"/>
    <w:rsid w:val="00D728B5"/>
    <w:rsid w:val="00D72F57"/>
    <w:rsid w:val="00D733A5"/>
    <w:rsid w:val="00D73C03"/>
    <w:rsid w:val="00D741C3"/>
    <w:rsid w:val="00D74201"/>
    <w:rsid w:val="00D74F1D"/>
    <w:rsid w:val="00D7528D"/>
    <w:rsid w:val="00D757C9"/>
    <w:rsid w:val="00D75856"/>
    <w:rsid w:val="00D76121"/>
    <w:rsid w:val="00D765EF"/>
    <w:rsid w:val="00D76A44"/>
    <w:rsid w:val="00D76DA7"/>
    <w:rsid w:val="00D7705E"/>
    <w:rsid w:val="00D77222"/>
    <w:rsid w:val="00D7737A"/>
    <w:rsid w:val="00D7748A"/>
    <w:rsid w:val="00D77492"/>
    <w:rsid w:val="00D776B5"/>
    <w:rsid w:val="00D777E4"/>
    <w:rsid w:val="00D8008E"/>
    <w:rsid w:val="00D80176"/>
    <w:rsid w:val="00D802A6"/>
    <w:rsid w:val="00D80694"/>
    <w:rsid w:val="00D81008"/>
    <w:rsid w:val="00D81055"/>
    <w:rsid w:val="00D811E1"/>
    <w:rsid w:val="00D81551"/>
    <w:rsid w:val="00D815EF"/>
    <w:rsid w:val="00D8180D"/>
    <w:rsid w:val="00D81EBC"/>
    <w:rsid w:val="00D81ED5"/>
    <w:rsid w:val="00D81F26"/>
    <w:rsid w:val="00D821E8"/>
    <w:rsid w:val="00D82E70"/>
    <w:rsid w:val="00D8315B"/>
    <w:rsid w:val="00D8397F"/>
    <w:rsid w:val="00D83E8B"/>
    <w:rsid w:val="00D83F3A"/>
    <w:rsid w:val="00D841C5"/>
    <w:rsid w:val="00D84525"/>
    <w:rsid w:val="00D84613"/>
    <w:rsid w:val="00D847AA"/>
    <w:rsid w:val="00D84C33"/>
    <w:rsid w:val="00D850A4"/>
    <w:rsid w:val="00D859C1"/>
    <w:rsid w:val="00D85B2F"/>
    <w:rsid w:val="00D85CE7"/>
    <w:rsid w:val="00D860A2"/>
    <w:rsid w:val="00D86231"/>
    <w:rsid w:val="00D86F30"/>
    <w:rsid w:val="00D87216"/>
    <w:rsid w:val="00D87958"/>
    <w:rsid w:val="00D90255"/>
    <w:rsid w:val="00D9062E"/>
    <w:rsid w:val="00D90F63"/>
    <w:rsid w:val="00D913F2"/>
    <w:rsid w:val="00D91445"/>
    <w:rsid w:val="00D915E0"/>
    <w:rsid w:val="00D91923"/>
    <w:rsid w:val="00D91C22"/>
    <w:rsid w:val="00D92549"/>
    <w:rsid w:val="00D925B5"/>
    <w:rsid w:val="00D92825"/>
    <w:rsid w:val="00D928D1"/>
    <w:rsid w:val="00D92A10"/>
    <w:rsid w:val="00D932E7"/>
    <w:rsid w:val="00D93496"/>
    <w:rsid w:val="00D93753"/>
    <w:rsid w:val="00D93E8E"/>
    <w:rsid w:val="00D93FBA"/>
    <w:rsid w:val="00D94C13"/>
    <w:rsid w:val="00D94CB8"/>
    <w:rsid w:val="00D95740"/>
    <w:rsid w:val="00D95A46"/>
    <w:rsid w:val="00D961E0"/>
    <w:rsid w:val="00D96858"/>
    <w:rsid w:val="00D96AEF"/>
    <w:rsid w:val="00D96F5D"/>
    <w:rsid w:val="00D97024"/>
    <w:rsid w:val="00D971B4"/>
    <w:rsid w:val="00D973FD"/>
    <w:rsid w:val="00D97FB0"/>
    <w:rsid w:val="00DA005B"/>
    <w:rsid w:val="00DA0248"/>
    <w:rsid w:val="00DA032E"/>
    <w:rsid w:val="00DA0F59"/>
    <w:rsid w:val="00DA151B"/>
    <w:rsid w:val="00DA1D78"/>
    <w:rsid w:val="00DA2349"/>
    <w:rsid w:val="00DA3167"/>
    <w:rsid w:val="00DA3551"/>
    <w:rsid w:val="00DA370E"/>
    <w:rsid w:val="00DA39DD"/>
    <w:rsid w:val="00DA3F44"/>
    <w:rsid w:val="00DA4913"/>
    <w:rsid w:val="00DA4915"/>
    <w:rsid w:val="00DA4DC3"/>
    <w:rsid w:val="00DA5361"/>
    <w:rsid w:val="00DA5AAF"/>
    <w:rsid w:val="00DA670B"/>
    <w:rsid w:val="00DA69F4"/>
    <w:rsid w:val="00DA77A5"/>
    <w:rsid w:val="00DA7A40"/>
    <w:rsid w:val="00DB000D"/>
    <w:rsid w:val="00DB032A"/>
    <w:rsid w:val="00DB0686"/>
    <w:rsid w:val="00DB1E7F"/>
    <w:rsid w:val="00DB2A2B"/>
    <w:rsid w:val="00DB34D9"/>
    <w:rsid w:val="00DB378D"/>
    <w:rsid w:val="00DB3B98"/>
    <w:rsid w:val="00DB3C23"/>
    <w:rsid w:val="00DB3DBF"/>
    <w:rsid w:val="00DB3EC6"/>
    <w:rsid w:val="00DB4303"/>
    <w:rsid w:val="00DB484F"/>
    <w:rsid w:val="00DB48B0"/>
    <w:rsid w:val="00DB548F"/>
    <w:rsid w:val="00DB7E58"/>
    <w:rsid w:val="00DC04F6"/>
    <w:rsid w:val="00DC0506"/>
    <w:rsid w:val="00DC0690"/>
    <w:rsid w:val="00DC15CB"/>
    <w:rsid w:val="00DC1CF0"/>
    <w:rsid w:val="00DC1D65"/>
    <w:rsid w:val="00DC2EDF"/>
    <w:rsid w:val="00DC3C57"/>
    <w:rsid w:val="00DC5054"/>
    <w:rsid w:val="00DC52CC"/>
    <w:rsid w:val="00DC53A9"/>
    <w:rsid w:val="00DC5501"/>
    <w:rsid w:val="00DC5821"/>
    <w:rsid w:val="00DC638B"/>
    <w:rsid w:val="00DC6962"/>
    <w:rsid w:val="00DC6EC3"/>
    <w:rsid w:val="00DC6F67"/>
    <w:rsid w:val="00DC7154"/>
    <w:rsid w:val="00DC76D6"/>
    <w:rsid w:val="00DC7CA5"/>
    <w:rsid w:val="00DC7E8A"/>
    <w:rsid w:val="00DD046A"/>
    <w:rsid w:val="00DD0587"/>
    <w:rsid w:val="00DD082F"/>
    <w:rsid w:val="00DD084C"/>
    <w:rsid w:val="00DD09E2"/>
    <w:rsid w:val="00DD0F78"/>
    <w:rsid w:val="00DD0F95"/>
    <w:rsid w:val="00DD111A"/>
    <w:rsid w:val="00DD1AE3"/>
    <w:rsid w:val="00DD1BBF"/>
    <w:rsid w:val="00DD1D13"/>
    <w:rsid w:val="00DD1DAD"/>
    <w:rsid w:val="00DD273C"/>
    <w:rsid w:val="00DD2832"/>
    <w:rsid w:val="00DD29DE"/>
    <w:rsid w:val="00DD2D8E"/>
    <w:rsid w:val="00DD2DB9"/>
    <w:rsid w:val="00DD2E07"/>
    <w:rsid w:val="00DD2F1E"/>
    <w:rsid w:val="00DD2FB2"/>
    <w:rsid w:val="00DD3212"/>
    <w:rsid w:val="00DD3408"/>
    <w:rsid w:val="00DD3A4E"/>
    <w:rsid w:val="00DD3D1A"/>
    <w:rsid w:val="00DD3F28"/>
    <w:rsid w:val="00DD4537"/>
    <w:rsid w:val="00DD4E15"/>
    <w:rsid w:val="00DD4FA3"/>
    <w:rsid w:val="00DD5C40"/>
    <w:rsid w:val="00DD5FC9"/>
    <w:rsid w:val="00DD7065"/>
    <w:rsid w:val="00DD710C"/>
    <w:rsid w:val="00DD72CE"/>
    <w:rsid w:val="00DD74A8"/>
    <w:rsid w:val="00DD78E9"/>
    <w:rsid w:val="00DD7C25"/>
    <w:rsid w:val="00DD7FBA"/>
    <w:rsid w:val="00DE0162"/>
    <w:rsid w:val="00DE022F"/>
    <w:rsid w:val="00DE10D0"/>
    <w:rsid w:val="00DE1190"/>
    <w:rsid w:val="00DE18A9"/>
    <w:rsid w:val="00DE1A2E"/>
    <w:rsid w:val="00DE2304"/>
    <w:rsid w:val="00DE2EA2"/>
    <w:rsid w:val="00DE3138"/>
    <w:rsid w:val="00DE37F8"/>
    <w:rsid w:val="00DE3EC1"/>
    <w:rsid w:val="00DE3F21"/>
    <w:rsid w:val="00DE40D4"/>
    <w:rsid w:val="00DE4FCB"/>
    <w:rsid w:val="00DE5902"/>
    <w:rsid w:val="00DE5D07"/>
    <w:rsid w:val="00DE5FF9"/>
    <w:rsid w:val="00DE61EC"/>
    <w:rsid w:val="00DE6B98"/>
    <w:rsid w:val="00DE6BCA"/>
    <w:rsid w:val="00DE72A7"/>
    <w:rsid w:val="00DE74EE"/>
    <w:rsid w:val="00DE7832"/>
    <w:rsid w:val="00DE79DD"/>
    <w:rsid w:val="00DE7A75"/>
    <w:rsid w:val="00DF0AB6"/>
    <w:rsid w:val="00DF0D71"/>
    <w:rsid w:val="00DF18FC"/>
    <w:rsid w:val="00DF24C3"/>
    <w:rsid w:val="00DF2892"/>
    <w:rsid w:val="00DF2DE6"/>
    <w:rsid w:val="00DF300A"/>
    <w:rsid w:val="00DF34D8"/>
    <w:rsid w:val="00DF38F7"/>
    <w:rsid w:val="00DF3AC7"/>
    <w:rsid w:val="00DF3CBD"/>
    <w:rsid w:val="00DF3E40"/>
    <w:rsid w:val="00DF423F"/>
    <w:rsid w:val="00DF44DC"/>
    <w:rsid w:val="00DF47E9"/>
    <w:rsid w:val="00DF5D2B"/>
    <w:rsid w:val="00DF5D58"/>
    <w:rsid w:val="00DF6FE7"/>
    <w:rsid w:val="00DF741D"/>
    <w:rsid w:val="00DF7A93"/>
    <w:rsid w:val="00E00186"/>
    <w:rsid w:val="00E00408"/>
    <w:rsid w:val="00E00E8E"/>
    <w:rsid w:val="00E00EA7"/>
    <w:rsid w:val="00E011C5"/>
    <w:rsid w:val="00E02014"/>
    <w:rsid w:val="00E0213F"/>
    <w:rsid w:val="00E021ED"/>
    <w:rsid w:val="00E023B7"/>
    <w:rsid w:val="00E0247C"/>
    <w:rsid w:val="00E039BC"/>
    <w:rsid w:val="00E04964"/>
    <w:rsid w:val="00E04B21"/>
    <w:rsid w:val="00E05411"/>
    <w:rsid w:val="00E055C4"/>
    <w:rsid w:val="00E05630"/>
    <w:rsid w:val="00E05B40"/>
    <w:rsid w:val="00E064EC"/>
    <w:rsid w:val="00E06C81"/>
    <w:rsid w:val="00E06DBB"/>
    <w:rsid w:val="00E07001"/>
    <w:rsid w:val="00E07842"/>
    <w:rsid w:val="00E07E85"/>
    <w:rsid w:val="00E10149"/>
    <w:rsid w:val="00E1083A"/>
    <w:rsid w:val="00E10887"/>
    <w:rsid w:val="00E111A1"/>
    <w:rsid w:val="00E11340"/>
    <w:rsid w:val="00E1152D"/>
    <w:rsid w:val="00E11C03"/>
    <w:rsid w:val="00E122A1"/>
    <w:rsid w:val="00E123E7"/>
    <w:rsid w:val="00E1272B"/>
    <w:rsid w:val="00E12797"/>
    <w:rsid w:val="00E12ABB"/>
    <w:rsid w:val="00E12EEB"/>
    <w:rsid w:val="00E13A4E"/>
    <w:rsid w:val="00E13F91"/>
    <w:rsid w:val="00E143D5"/>
    <w:rsid w:val="00E14589"/>
    <w:rsid w:val="00E14968"/>
    <w:rsid w:val="00E15297"/>
    <w:rsid w:val="00E16372"/>
    <w:rsid w:val="00E168F9"/>
    <w:rsid w:val="00E16DEC"/>
    <w:rsid w:val="00E17398"/>
    <w:rsid w:val="00E17A46"/>
    <w:rsid w:val="00E17E4A"/>
    <w:rsid w:val="00E20073"/>
    <w:rsid w:val="00E2027D"/>
    <w:rsid w:val="00E202A4"/>
    <w:rsid w:val="00E20D02"/>
    <w:rsid w:val="00E20E4D"/>
    <w:rsid w:val="00E20ED6"/>
    <w:rsid w:val="00E21358"/>
    <w:rsid w:val="00E21684"/>
    <w:rsid w:val="00E21BA6"/>
    <w:rsid w:val="00E21E01"/>
    <w:rsid w:val="00E2249B"/>
    <w:rsid w:val="00E225DA"/>
    <w:rsid w:val="00E22821"/>
    <w:rsid w:val="00E229D9"/>
    <w:rsid w:val="00E22A0D"/>
    <w:rsid w:val="00E22B85"/>
    <w:rsid w:val="00E239EE"/>
    <w:rsid w:val="00E23B39"/>
    <w:rsid w:val="00E244F6"/>
    <w:rsid w:val="00E24582"/>
    <w:rsid w:val="00E2563C"/>
    <w:rsid w:val="00E25A1F"/>
    <w:rsid w:val="00E25E74"/>
    <w:rsid w:val="00E26997"/>
    <w:rsid w:val="00E26AAF"/>
    <w:rsid w:val="00E26ABE"/>
    <w:rsid w:val="00E26F5B"/>
    <w:rsid w:val="00E2771E"/>
    <w:rsid w:val="00E277DA"/>
    <w:rsid w:val="00E279B6"/>
    <w:rsid w:val="00E27E4E"/>
    <w:rsid w:val="00E27EE9"/>
    <w:rsid w:val="00E31165"/>
    <w:rsid w:val="00E311EF"/>
    <w:rsid w:val="00E31CBE"/>
    <w:rsid w:val="00E32180"/>
    <w:rsid w:val="00E3218B"/>
    <w:rsid w:val="00E323A3"/>
    <w:rsid w:val="00E32651"/>
    <w:rsid w:val="00E3274E"/>
    <w:rsid w:val="00E32B1B"/>
    <w:rsid w:val="00E32D02"/>
    <w:rsid w:val="00E3394D"/>
    <w:rsid w:val="00E3438A"/>
    <w:rsid w:val="00E34948"/>
    <w:rsid w:val="00E34A53"/>
    <w:rsid w:val="00E34F87"/>
    <w:rsid w:val="00E36B98"/>
    <w:rsid w:val="00E37569"/>
    <w:rsid w:val="00E37DE6"/>
    <w:rsid w:val="00E37F0C"/>
    <w:rsid w:val="00E401B2"/>
    <w:rsid w:val="00E4049E"/>
    <w:rsid w:val="00E404E2"/>
    <w:rsid w:val="00E40891"/>
    <w:rsid w:val="00E40911"/>
    <w:rsid w:val="00E40AC4"/>
    <w:rsid w:val="00E40BB6"/>
    <w:rsid w:val="00E40BB9"/>
    <w:rsid w:val="00E412C3"/>
    <w:rsid w:val="00E41A7C"/>
    <w:rsid w:val="00E41CBD"/>
    <w:rsid w:val="00E41E30"/>
    <w:rsid w:val="00E42342"/>
    <w:rsid w:val="00E4255B"/>
    <w:rsid w:val="00E427D0"/>
    <w:rsid w:val="00E42AD2"/>
    <w:rsid w:val="00E42B46"/>
    <w:rsid w:val="00E42F3B"/>
    <w:rsid w:val="00E42F73"/>
    <w:rsid w:val="00E433A2"/>
    <w:rsid w:val="00E43686"/>
    <w:rsid w:val="00E43D70"/>
    <w:rsid w:val="00E43DE4"/>
    <w:rsid w:val="00E44AD4"/>
    <w:rsid w:val="00E44E5E"/>
    <w:rsid w:val="00E4526E"/>
    <w:rsid w:val="00E45899"/>
    <w:rsid w:val="00E458B4"/>
    <w:rsid w:val="00E45E12"/>
    <w:rsid w:val="00E466F3"/>
    <w:rsid w:val="00E46AAE"/>
    <w:rsid w:val="00E46B80"/>
    <w:rsid w:val="00E46C09"/>
    <w:rsid w:val="00E46FA3"/>
    <w:rsid w:val="00E47A5D"/>
    <w:rsid w:val="00E47B2C"/>
    <w:rsid w:val="00E5015D"/>
    <w:rsid w:val="00E50FB4"/>
    <w:rsid w:val="00E51560"/>
    <w:rsid w:val="00E51761"/>
    <w:rsid w:val="00E5203D"/>
    <w:rsid w:val="00E52389"/>
    <w:rsid w:val="00E52673"/>
    <w:rsid w:val="00E52879"/>
    <w:rsid w:val="00E53632"/>
    <w:rsid w:val="00E53956"/>
    <w:rsid w:val="00E53BE2"/>
    <w:rsid w:val="00E53D98"/>
    <w:rsid w:val="00E53FC8"/>
    <w:rsid w:val="00E541BB"/>
    <w:rsid w:val="00E54347"/>
    <w:rsid w:val="00E549C6"/>
    <w:rsid w:val="00E54E68"/>
    <w:rsid w:val="00E55118"/>
    <w:rsid w:val="00E55424"/>
    <w:rsid w:val="00E558DA"/>
    <w:rsid w:val="00E55915"/>
    <w:rsid w:val="00E55BB5"/>
    <w:rsid w:val="00E55F65"/>
    <w:rsid w:val="00E56DD5"/>
    <w:rsid w:val="00E56EFD"/>
    <w:rsid w:val="00E5723D"/>
    <w:rsid w:val="00E57299"/>
    <w:rsid w:val="00E57640"/>
    <w:rsid w:val="00E603F6"/>
    <w:rsid w:val="00E60C8E"/>
    <w:rsid w:val="00E61835"/>
    <w:rsid w:val="00E61E87"/>
    <w:rsid w:val="00E62150"/>
    <w:rsid w:val="00E62DE6"/>
    <w:rsid w:val="00E63187"/>
    <w:rsid w:val="00E6346D"/>
    <w:rsid w:val="00E63E38"/>
    <w:rsid w:val="00E642CF"/>
    <w:rsid w:val="00E643C4"/>
    <w:rsid w:val="00E6458A"/>
    <w:rsid w:val="00E64A5E"/>
    <w:rsid w:val="00E64B2B"/>
    <w:rsid w:val="00E64B79"/>
    <w:rsid w:val="00E65E79"/>
    <w:rsid w:val="00E660AF"/>
    <w:rsid w:val="00E66145"/>
    <w:rsid w:val="00E6652C"/>
    <w:rsid w:val="00E66BA2"/>
    <w:rsid w:val="00E66DDF"/>
    <w:rsid w:val="00E66F33"/>
    <w:rsid w:val="00E673E8"/>
    <w:rsid w:val="00E67416"/>
    <w:rsid w:val="00E67C20"/>
    <w:rsid w:val="00E67D87"/>
    <w:rsid w:val="00E70BFC"/>
    <w:rsid w:val="00E71058"/>
    <w:rsid w:val="00E718B6"/>
    <w:rsid w:val="00E71D8D"/>
    <w:rsid w:val="00E723BA"/>
    <w:rsid w:val="00E72ADC"/>
    <w:rsid w:val="00E73581"/>
    <w:rsid w:val="00E7376D"/>
    <w:rsid w:val="00E742EC"/>
    <w:rsid w:val="00E755B7"/>
    <w:rsid w:val="00E75627"/>
    <w:rsid w:val="00E7582C"/>
    <w:rsid w:val="00E75C3A"/>
    <w:rsid w:val="00E75DFC"/>
    <w:rsid w:val="00E76273"/>
    <w:rsid w:val="00E76886"/>
    <w:rsid w:val="00E76A2F"/>
    <w:rsid w:val="00E771E3"/>
    <w:rsid w:val="00E77DC0"/>
    <w:rsid w:val="00E80D39"/>
    <w:rsid w:val="00E81221"/>
    <w:rsid w:val="00E81765"/>
    <w:rsid w:val="00E8197B"/>
    <w:rsid w:val="00E82005"/>
    <w:rsid w:val="00E833F7"/>
    <w:rsid w:val="00E83976"/>
    <w:rsid w:val="00E83BDF"/>
    <w:rsid w:val="00E83E28"/>
    <w:rsid w:val="00E842AE"/>
    <w:rsid w:val="00E8454D"/>
    <w:rsid w:val="00E8471B"/>
    <w:rsid w:val="00E8488B"/>
    <w:rsid w:val="00E84A65"/>
    <w:rsid w:val="00E84BA8"/>
    <w:rsid w:val="00E84C13"/>
    <w:rsid w:val="00E85353"/>
    <w:rsid w:val="00E85ABF"/>
    <w:rsid w:val="00E85ED9"/>
    <w:rsid w:val="00E8614A"/>
    <w:rsid w:val="00E86FFE"/>
    <w:rsid w:val="00E8705A"/>
    <w:rsid w:val="00E871B1"/>
    <w:rsid w:val="00E877FE"/>
    <w:rsid w:val="00E87A1D"/>
    <w:rsid w:val="00E87DC5"/>
    <w:rsid w:val="00E87F3B"/>
    <w:rsid w:val="00E900C4"/>
    <w:rsid w:val="00E902C3"/>
    <w:rsid w:val="00E9094A"/>
    <w:rsid w:val="00E90B54"/>
    <w:rsid w:val="00E90C24"/>
    <w:rsid w:val="00E90D76"/>
    <w:rsid w:val="00E91080"/>
    <w:rsid w:val="00E91943"/>
    <w:rsid w:val="00E91D35"/>
    <w:rsid w:val="00E926A5"/>
    <w:rsid w:val="00E92A13"/>
    <w:rsid w:val="00E92C47"/>
    <w:rsid w:val="00E93795"/>
    <w:rsid w:val="00E9404E"/>
    <w:rsid w:val="00E94F09"/>
    <w:rsid w:val="00E9501B"/>
    <w:rsid w:val="00E950B1"/>
    <w:rsid w:val="00E95D12"/>
    <w:rsid w:val="00E95D4B"/>
    <w:rsid w:val="00E9685B"/>
    <w:rsid w:val="00E978C0"/>
    <w:rsid w:val="00E97AA0"/>
    <w:rsid w:val="00EA030B"/>
    <w:rsid w:val="00EA0387"/>
    <w:rsid w:val="00EA06A6"/>
    <w:rsid w:val="00EA10A2"/>
    <w:rsid w:val="00EA11CA"/>
    <w:rsid w:val="00EA12AC"/>
    <w:rsid w:val="00EA1331"/>
    <w:rsid w:val="00EA1456"/>
    <w:rsid w:val="00EA17C3"/>
    <w:rsid w:val="00EA1838"/>
    <w:rsid w:val="00EA1B1C"/>
    <w:rsid w:val="00EA1D1B"/>
    <w:rsid w:val="00EA1EBB"/>
    <w:rsid w:val="00EA20DF"/>
    <w:rsid w:val="00EA22DD"/>
    <w:rsid w:val="00EA2CAA"/>
    <w:rsid w:val="00EA2F80"/>
    <w:rsid w:val="00EA3864"/>
    <w:rsid w:val="00EA4100"/>
    <w:rsid w:val="00EA4E3E"/>
    <w:rsid w:val="00EA5721"/>
    <w:rsid w:val="00EA5C13"/>
    <w:rsid w:val="00EA6145"/>
    <w:rsid w:val="00EA66F5"/>
    <w:rsid w:val="00EA6BCF"/>
    <w:rsid w:val="00EA71F5"/>
    <w:rsid w:val="00EA7F1C"/>
    <w:rsid w:val="00EB07E0"/>
    <w:rsid w:val="00EB1013"/>
    <w:rsid w:val="00EB15B6"/>
    <w:rsid w:val="00EB17AE"/>
    <w:rsid w:val="00EB1B33"/>
    <w:rsid w:val="00EB23AF"/>
    <w:rsid w:val="00EB3703"/>
    <w:rsid w:val="00EB3B7C"/>
    <w:rsid w:val="00EB3D06"/>
    <w:rsid w:val="00EB423D"/>
    <w:rsid w:val="00EB4590"/>
    <w:rsid w:val="00EB46A7"/>
    <w:rsid w:val="00EB4916"/>
    <w:rsid w:val="00EB5918"/>
    <w:rsid w:val="00EB5EAE"/>
    <w:rsid w:val="00EB6104"/>
    <w:rsid w:val="00EB65B1"/>
    <w:rsid w:val="00EB7278"/>
    <w:rsid w:val="00EB729D"/>
    <w:rsid w:val="00EB74CF"/>
    <w:rsid w:val="00EB7530"/>
    <w:rsid w:val="00EB76D3"/>
    <w:rsid w:val="00EC00C9"/>
    <w:rsid w:val="00EC03C5"/>
    <w:rsid w:val="00EC0D19"/>
    <w:rsid w:val="00EC0DD9"/>
    <w:rsid w:val="00EC0E40"/>
    <w:rsid w:val="00EC0F10"/>
    <w:rsid w:val="00EC1550"/>
    <w:rsid w:val="00EC20C1"/>
    <w:rsid w:val="00EC222F"/>
    <w:rsid w:val="00EC2649"/>
    <w:rsid w:val="00EC2A4E"/>
    <w:rsid w:val="00EC31ED"/>
    <w:rsid w:val="00EC41F6"/>
    <w:rsid w:val="00EC4F66"/>
    <w:rsid w:val="00EC4FA6"/>
    <w:rsid w:val="00EC547C"/>
    <w:rsid w:val="00EC5776"/>
    <w:rsid w:val="00EC5836"/>
    <w:rsid w:val="00EC5AFD"/>
    <w:rsid w:val="00EC6830"/>
    <w:rsid w:val="00EC688C"/>
    <w:rsid w:val="00EC6E05"/>
    <w:rsid w:val="00EC7C81"/>
    <w:rsid w:val="00EC7DFA"/>
    <w:rsid w:val="00ED0875"/>
    <w:rsid w:val="00ED173A"/>
    <w:rsid w:val="00ED1D61"/>
    <w:rsid w:val="00ED2846"/>
    <w:rsid w:val="00ED2A80"/>
    <w:rsid w:val="00ED3729"/>
    <w:rsid w:val="00ED3EC7"/>
    <w:rsid w:val="00ED3ECE"/>
    <w:rsid w:val="00ED481A"/>
    <w:rsid w:val="00ED4DA7"/>
    <w:rsid w:val="00ED522E"/>
    <w:rsid w:val="00ED56E5"/>
    <w:rsid w:val="00ED57EA"/>
    <w:rsid w:val="00ED58F5"/>
    <w:rsid w:val="00ED5BD4"/>
    <w:rsid w:val="00ED5DA8"/>
    <w:rsid w:val="00ED5E04"/>
    <w:rsid w:val="00ED6286"/>
    <w:rsid w:val="00ED64ED"/>
    <w:rsid w:val="00ED6579"/>
    <w:rsid w:val="00ED6589"/>
    <w:rsid w:val="00ED6B3B"/>
    <w:rsid w:val="00ED6EDA"/>
    <w:rsid w:val="00ED6F58"/>
    <w:rsid w:val="00ED7FF9"/>
    <w:rsid w:val="00EE0006"/>
    <w:rsid w:val="00EE0182"/>
    <w:rsid w:val="00EE0684"/>
    <w:rsid w:val="00EE07D3"/>
    <w:rsid w:val="00EE0927"/>
    <w:rsid w:val="00EE0985"/>
    <w:rsid w:val="00EE0AB7"/>
    <w:rsid w:val="00EE0B37"/>
    <w:rsid w:val="00EE0BF3"/>
    <w:rsid w:val="00EE0E1B"/>
    <w:rsid w:val="00EE1183"/>
    <w:rsid w:val="00EE152F"/>
    <w:rsid w:val="00EE1996"/>
    <w:rsid w:val="00EE1A3D"/>
    <w:rsid w:val="00EE1C01"/>
    <w:rsid w:val="00EE1C27"/>
    <w:rsid w:val="00EE22AF"/>
    <w:rsid w:val="00EE2590"/>
    <w:rsid w:val="00EE299C"/>
    <w:rsid w:val="00EE2C4C"/>
    <w:rsid w:val="00EE2D51"/>
    <w:rsid w:val="00EE326F"/>
    <w:rsid w:val="00EE404D"/>
    <w:rsid w:val="00EE40F4"/>
    <w:rsid w:val="00EE49ED"/>
    <w:rsid w:val="00EE4B69"/>
    <w:rsid w:val="00EE5773"/>
    <w:rsid w:val="00EE5A02"/>
    <w:rsid w:val="00EE6023"/>
    <w:rsid w:val="00EE71CE"/>
    <w:rsid w:val="00EE7D1A"/>
    <w:rsid w:val="00EE7E91"/>
    <w:rsid w:val="00EE7FEF"/>
    <w:rsid w:val="00EF0171"/>
    <w:rsid w:val="00EF0964"/>
    <w:rsid w:val="00EF13D9"/>
    <w:rsid w:val="00EF1452"/>
    <w:rsid w:val="00EF19F8"/>
    <w:rsid w:val="00EF1B25"/>
    <w:rsid w:val="00EF1DA0"/>
    <w:rsid w:val="00EF1E7F"/>
    <w:rsid w:val="00EF2432"/>
    <w:rsid w:val="00EF2819"/>
    <w:rsid w:val="00EF2DA7"/>
    <w:rsid w:val="00EF31CB"/>
    <w:rsid w:val="00EF344E"/>
    <w:rsid w:val="00EF3CC4"/>
    <w:rsid w:val="00EF4330"/>
    <w:rsid w:val="00EF4747"/>
    <w:rsid w:val="00EF4BF8"/>
    <w:rsid w:val="00EF5F48"/>
    <w:rsid w:val="00EF67DC"/>
    <w:rsid w:val="00EF73CE"/>
    <w:rsid w:val="00EF7B99"/>
    <w:rsid w:val="00F00D1C"/>
    <w:rsid w:val="00F01D66"/>
    <w:rsid w:val="00F02253"/>
    <w:rsid w:val="00F02D83"/>
    <w:rsid w:val="00F03205"/>
    <w:rsid w:val="00F036F0"/>
    <w:rsid w:val="00F03C2E"/>
    <w:rsid w:val="00F03E47"/>
    <w:rsid w:val="00F04286"/>
    <w:rsid w:val="00F043B1"/>
    <w:rsid w:val="00F046D9"/>
    <w:rsid w:val="00F04A66"/>
    <w:rsid w:val="00F04B4B"/>
    <w:rsid w:val="00F04D5C"/>
    <w:rsid w:val="00F0516C"/>
    <w:rsid w:val="00F052C0"/>
    <w:rsid w:val="00F05D18"/>
    <w:rsid w:val="00F05D86"/>
    <w:rsid w:val="00F064E1"/>
    <w:rsid w:val="00F064F1"/>
    <w:rsid w:val="00F066DD"/>
    <w:rsid w:val="00F067A2"/>
    <w:rsid w:val="00F07096"/>
    <w:rsid w:val="00F07A0E"/>
    <w:rsid w:val="00F07B9E"/>
    <w:rsid w:val="00F1055E"/>
    <w:rsid w:val="00F10B3F"/>
    <w:rsid w:val="00F10FBF"/>
    <w:rsid w:val="00F1116F"/>
    <w:rsid w:val="00F11728"/>
    <w:rsid w:val="00F12172"/>
    <w:rsid w:val="00F1263A"/>
    <w:rsid w:val="00F134B4"/>
    <w:rsid w:val="00F1358A"/>
    <w:rsid w:val="00F13ED2"/>
    <w:rsid w:val="00F1487F"/>
    <w:rsid w:val="00F14A7E"/>
    <w:rsid w:val="00F14D99"/>
    <w:rsid w:val="00F1522A"/>
    <w:rsid w:val="00F15B77"/>
    <w:rsid w:val="00F15E03"/>
    <w:rsid w:val="00F16057"/>
    <w:rsid w:val="00F16449"/>
    <w:rsid w:val="00F179A7"/>
    <w:rsid w:val="00F2052C"/>
    <w:rsid w:val="00F2063D"/>
    <w:rsid w:val="00F208E1"/>
    <w:rsid w:val="00F20B4E"/>
    <w:rsid w:val="00F20E6B"/>
    <w:rsid w:val="00F2107D"/>
    <w:rsid w:val="00F21785"/>
    <w:rsid w:val="00F21BA4"/>
    <w:rsid w:val="00F2278F"/>
    <w:rsid w:val="00F23699"/>
    <w:rsid w:val="00F23762"/>
    <w:rsid w:val="00F24295"/>
    <w:rsid w:val="00F2471E"/>
    <w:rsid w:val="00F24837"/>
    <w:rsid w:val="00F24B77"/>
    <w:rsid w:val="00F255F4"/>
    <w:rsid w:val="00F2575F"/>
    <w:rsid w:val="00F266B9"/>
    <w:rsid w:val="00F26BEA"/>
    <w:rsid w:val="00F27565"/>
    <w:rsid w:val="00F275B8"/>
    <w:rsid w:val="00F275F8"/>
    <w:rsid w:val="00F310D4"/>
    <w:rsid w:val="00F318C6"/>
    <w:rsid w:val="00F31D5A"/>
    <w:rsid w:val="00F32789"/>
    <w:rsid w:val="00F33169"/>
    <w:rsid w:val="00F3332A"/>
    <w:rsid w:val="00F33810"/>
    <w:rsid w:val="00F33975"/>
    <w:rsid w:val="00F33C54"/>
    <w:rsid w:val="00F33DE9"/>
    <w:rsid w:val="00F34096"/>
    <w:rsid w:val="00F34251"/>
    <w:rsid w:val="00F34D43"/>
    <w:rsid w:val="00F3549E"/>
    <w:rsid w:val="00F359E0"/>
    <w:rsid w:val="00F35BBF"/>
    <w:rsid w:val="00F35D07"/>
    <w:rsid w:val="00F35E6D"/>
    <w:rsid w:val="00F3619A"/>
    <w:rsid w:val="00F36A6F"/>
    <w:rsid w:val="00F37361"/>
    <w:rsid w:val="00F3792F"/>
    <w:rsid w:val="00F379E4"/>
    <w:rsid w:val="00F402ED"/>
    <w:rsid w:val="00F40A44"/>
    <w:rsid w:val="00F40AAA"/>
    <w:rsid w:val="00F40BA7"/>
    <w:rsid w:val="00F40C78"/>
    <w:rsid w:val="00F40F9D"/>
    <w:rsid w:val="00F41ACD"/>
    <w:rsid w:val="00F41FEA"/>
    <w:rsid w:val="00F4200A"/>
    <w:rsid w:val="00F437C2"/>
    <w:rsid w:val="00F4554F"/>
    <w:rsid w:val="00F456FE"/>
    <w:rsid w:val="00F46464"/>
    <w:rsid w:val="00F46A6F"/>
    <w:rsid w:val="00F46CB6"/>
    <w:rsid w:val="00F4756D"/>
    <w:rsid w:val="00F47A34"/>
    <w:rsid w:val="00F47DE8"/>
    <w:rsid w:val="00F47FAD"/>
    <w:rsid w:val="00F502D6"/>
    <w:rsid w:val="00F50762"/>
    <w:rsid w:val="00F51428"/>
    <w:rsid w:val="00F516D2"/>
    <w:rsid w:val="00F5232A"/>
    <w:rsid w:val="00F52925"/>
    <w:rsid w:val="00F52BFD"/>
    <w:rsid w:val="00F52E0B"/>
    <w:rsid w:val="00F53553"/>
    <w:rsid w:val="00F53585"/>
    <w:rsid w:val="00F53A95"/>
    <w:rsid w:val="00F53CAA"/>
    <w:rsid w:val="00F53E88"/>
    <w:rsid w:val="00F53FB8"/>
    <w:rsid w:val="00F542C1"/>
    <w:rsid w:val="00F5448B"/>
    <w:rsid w:val="00F54713"/>
    <w:rsid w:val="00F548BD"/>
    <w:rsid w:val="00F552DB"/>
    <w:rsid w:val="00F55845"/>
    <w:rsid w:val="00F55ABF"/>
    <w:rsid w:val="00F55E73"/>
    <w:rsid w:val="00F55EDA"/>
    <w:rsid w:val="00F56257"/>
    <w:rsid w:val="00F563C4"/>
    <w:rsid w:val="00F568DF"/>
    <w:rsid w:val="00F56C80"/>
    <w:rsid w:val="00F56DFF"/>
    <w:rsid w:val="00F57DF6"/>
    <w:rsid w:val="00F60092"/>
    <w:rsid w:val="00F616F6"/>
    <w:rsid w:val="00F61865"/>
    <w:rsid w:val="00F61C18"/>
    <w:rsid w:val="00F6208A"/>
    <w:rsid w:val="00F62681"/>
    <w:rsid w:val="00F62A1B"/>
    <w:rsid w:val="00F62FBC"/>
    <w:rsid w:val="00F63978"/>
    <w:rsid w:val="00F63AA5"/>
    <w:rsid w:val="00F64074"/>
    <w:rsid w:val="00F64E74"/>
    <w:rsid w:val="00F65553"/>
    <w:rsid w:val="00F65E47"/>
    <w:rsid w:val="00F65F4B"/>
    <w:rsid w:val="00F66101"/>
    <w:rsid w:val="00F66945"/>
    <w:rsid w:val="00F66AA4"/>
    <w:rsid w:val="00F67298"/>
    <w:rsid w:val="00F67A69"/>
    <w:rsid w:val="00F67B58"/>
    <w:rsid w:val="00F67CD0"/>
    <w:rsid w:val="00F70295"/>
    <w:rsid w:val="00F70565"/>
    <w:rsid w:val="00F7092B"/>
    <w:rsid w:val="00F70AC4"/>
    <w:rsid w:val="00F70BFF"/>
    <w:rsid w:val="00F70C9D"/>
    <w:rsid w:val="00F71193"/>
    <w:rsid w:val="00F71965"/>
    <w:rsid w:val="00F71AFD"/>
    <w:rsid w:val="00F72BBD"/>
    <w:rsid w:val="00F72C5E"/>
    <w:rsid w:val="00F73012"/>
    <w:rsid w:val="00F7359A"/>
    <w:rsid w:val="00F7381F"/>
    <w:rsid w:val="00F73826"/>
    <w:rsid w:val="00F7393D"/>
    <w:rsid w:val="00F73A92"/>
    <w:rsid w:val="00F73ABB"/>
    <w:rsid w:val="00F73BA2"/>
    <w:rsid w:val="00F73E82"/>
    <w:rsid w:val="00F74010"/>
    <w:rsid w:val="00F74CD9"/>
    <w:rsid w:val="00F74EA7"/>
    <w:rsid w:val="00F75205"/>
    <w:rsid w:val="00F75456"/>
    <w:rsid w:val="00F75458"/>
    <w:rsid w:val="00F7550B"/>
    <w:rsid w:val="00F75717"/>
    <w:rsid w:val="00F75B24"/>
    <w:rsid w:val="00F75F4C"/>
    <w:rsid w:val="00F76468"/>
    <w:rsid w:val="00F76EC1"/>
    <w:rsid w:val="00F76EE0"/>
    <w:rsid w:val="00F7715F"/>
    <w:rsid w:val="00F771E0"/>
    <w:rsid w:val="00F775D4"/>
    <w:rsid w:val="00F77E90"/>
    <w:rsid w:val="00F8023B"/>
    <w:rsid w:val="00F80277"/>
    <w:rsid w:val="00F80A7B"/>
    <w:rsid w:val="00F80E5D"/>
    <w:rsid w:val="00F81350"/>
    <w:rsid w:val="00F81E0F"/>
    <w:rsid w:val="00F81E78"/>
    <w:rsid w:val="00F82507"/>
    <w:rsid w:val="00F82A0E"/>
    <w:rsid w:val="00F83316"/>
    <w:rsid w:val="00F833AB"/>
    <w:rsid w:val="00F833E6"/>
    <w:rsid w:val="00F834F9"/>
    <w:rsid w:val="00F83E05"/>
    <w:rsid w:val="00F84018"/>
    <w:rsid w:val="00F8480E"/>
    <w:rsid w:val="00F84C2E"/>
    <w:rsid w:val="00F851CE"/>
    <w:rsid w:val="00F85C7D"/>
    <w:rsid w:val="00F86055"/>
    <w:rsid w:val="00F8612E"/>
    <w:rsid w:val="00F86530"/>
    <w:rsid w:val="00F86940"/>
    <w:rsid w:val="00F870F6"/>
    <w:rsid w:val="00F87368"/>
    <w:rsid w:val="00F873E7"/>
    <w:rsid w:val="00F8770F"/>
    <w:rsid w:val="00F87F61"/>
    <w:rsid w:val="00F90478"/>
    <w:rsid w:val="00F905AA"/>
    <w:rsid w:val="00F9079C"/>
    <w:rsid w:val="00F90D94"/>
    <w:rsid w:val="00F91048"/>
    <w:rsid w:val="00F91219"/>
    <w:rsid w:val="00F92444"/>
    <w:rsid w:val="00F926E5"/>
    <w:rsid w:val="00F92FA0"/>
    <w:rsid w:val="00F933BE"/>
    <w:rsid w:val="00F938AA"/>
    <w:rsid w:val="00F9393E"/>
    <w:rsid w:val="00F93A2A"/>
    <w:rsid w:val="00F93DB3"/>
    <w:rsid w:val="00F94C93"/>
    <w:rsid w:val="00F9503A"/>
    <w:rsid w:val="00F95346"/>
    <w:rsid w:val="00F95501"/>
    <w:rsid w:val="00F96094"/>
    <w:rsid w:val="00F960D2"/>
    <w:rsid w:val="00F96DE2"/>
    <w:rsid w:val="00F96FD0"/>
    <w:rsid w:val="00F97506"/>
    <w:rsid w:val="00F97A78"/>
    <w:rsid w:val="00F97BD5"/>
    <w:rsid w:val="00FA009A"/>
    <w:rsid w:val="00FA0764"/>
    <w:rsid w:val="00FA07E3"/>
    <w:rsid w:val="00FA0B20"/>
    <w:rsid w:val="00FA0E77"/>
    <w:rsid w:val="00FA13C5"/>
    <w:rsid w:val="00FA1CBE"/>
    <w:rsid w:val="00FA2204"/>
    <w:rsid w:val="00FA24E7"/>
    <w:rsid w:val="00FA2948"/>
    <w:rsid w:val="00FA30B4"/>
    <w:rsid w:val="00FA3553"/>
    <w:rsid w:val="00FA3951"/>
    <w:rsid w:val="00FA39F6"/>
    <w:rsid w:val="00FA4647"/>
    <w:rsid w:val="00FA5806"/>
    <w:rsid w:val="00FA5EE6"/>
    <w:rsid w:val="00FA636A"/>
    <w:rsid w:val="00FA7101"/>
    <w:rsid w:val="00FA784C"/>
    <w:rsid w:val="00FA7956"/>
    <w:rsid w:val="00FB023C"/>
    <w:rsid w:val="00FB04F2"/>
    <w:rsid w:val="00FB0645"/>
    <w:rsid w:val="00FB0C02"/>
    <w:rsid w:val="00FB1616"/>
    <w:rsid w:val="00FB17C9"/>
    <w:rsid w:val="00FB188E"/>
    <w:rsid w:val="00FB1A0E"/>
    <w:rsid w:val="00FB1A50"/>
    <w:rsid w:val="00FB2619"/>
    <w:rsid w:val="00FB2DFB"/>
    <w:rsid w:val="00FB2FCB"/>
    <w:rsid w:val="00FB394D"/>
    <w:rsid w:val="00FB42D4"/>
    <w:rsid w:val="00FB4320"/>
    <w:rsid w:val="00FB43EA"/>
    <w:rsid w:val="00FB44A8"/>
    <w:rsid w:val="00FB44E1"/>
    <w:rsid w:val="00FB4D34"/>
    <w:rsid w:val="00FB50B6"/>
    <w:rsid w:val="00FB521E"/>
    <w:rsid w:val="00FB5933"/>
    <w:rsid w:val="00FB6012"/>
    <w:rsid w:val="00FB6854"/>
    <w:rsid w:val="00FB6B8B"/>
    <w:rsid w:val="00FB7461"/>
    <w:rsid w:val="00FB7C55"/>
    <w:rsid w:val="00FB7DF2"/>
    <w:rsid w:val="00FC007C"/>
    <w:rsid w:val="00FC047A"/>
    <w:rsid w:val="00FC09A8"/>
    <w:rsid w:val="00FC1074"/>
    <w:rsid w:val="00FC1884"/>
    <w:rsid w:val="00FC1BA8"/>
    <w:rsid w:val="00FC2466"/>
    <w:rsid w:val="00FC2C20"/>
    <w:rsid w:val="00FC3136"/>
    <w:rsid w:val="00FC31FC"/>
    <w:rsid w:val="00FC32A6"/>
    <w:rsid w:val="00FC32AD"/>
    <w:rsid w:val="00FC371D"/>
    <w:rsid w:val="00FC3C6A"/>
    <w:rsid w:val="00FC4014"/>
    <w:rsid w:val="00FC45E9"/>
    <w:rsid w:val="00FC59E7"/>
    <w:rsid w:val="00FC5F0B"/>
    <w:rsid w:val="00FC606A"/>
    <w:rsid w:val="00FC647D"/>
    <w:rsid w:val="00FC6825"/>
    <w:rsid w:val="00FC6A73"/>
    <w:rsid w:val="00FC74B9"/>
    <w:rsid w:val="00FC7C22"/>
    <w:rsid w:val="00FD017E"/>
    <w:rsid w:val="00FD0532"/>
    <w:rsid w:val="00FD0AC9"/>
    <w:rsid w:val="00FD0DAE"/>
    <w:rsid w:val="00FD0E35"/>
    <w:rsid w:val="00FD108C"/>
    <w:rsid w:val="00FD2100"/>
    <w:rsid w:val="00FD322E"/>
    <w:rsid w:val="00FD32B2"/>
    <w:rsid w:val="00FD3AD3"/>
    <w:rsid w:val="00FD436C"/>
    <w:rsid w:val="00FD43BF"/>
    <w:rsid w:val="00FD446D"/>
    <w:rsid w:val="00FD44E5"/>
    <w:rsid w:val="00FD46E0"/>
    <w:rsid w:val="00FD4F2C"/>
    <w:rsid w:val="00FD5463"/>
    <w:rsid w:val="00FD5505"/>
    <w:rsid w:val="00FD5B4A"/>
    <w:rsid w:val="00FD5CC9"/>
    <w:rsid w:val="00FD62D2"/>
    <w:rsid w:val="00FD6394"/>
    <w:rsid w:val="00FD6409"/>
    <w:rsid w:val="00FD6B3E"/>
    <w:rsid w:val="00FD6E40"/>
    <w:rsid w:val="00FD716D"/>
    <w:rsid w:val="00FD7258"/>
    <w:rsid w:val="00FD7C6F"/>
    <w:rsid w:val="00FD7CFD"/>
    <w:rsid w:val="00FE03E1"/>
    <w:rsid w:val="00FE0668"/>
    <w:rsid w:val="00FE0684"/>
    <w:rsid w:val="00FE0E6C"/>
    <w:rsid w:val="00FE0EA9"/>
    <w:rsid w:val="00FE1078"/>
    <w:rsid w:val="00FE156B"/>
    <w:rsid w:val="00FE1CDC"/>
    <w:rsid w:val="00FE33C6"/>
    <w:rsid w:val="00FE4F0A"/>
    <w:rsid w:val="00FE5563"/>
    <w:rsid w:val="00FE592D"/>
    <w:rsid w:val="00FE5A0B"/>
    <w:rsid w:val="00FE5C75"/>
    <w:rsid w:val="00FE5FC8"/>
    <w:rsid w:val="00FE68A2"/>
    <w:rsid w:val="00FE6D57"/>
    <w:rsid w:val="00FE7020"/>
    <w:rsid w:val="00FE70C3"/>
    <w:rsid w:val="00FE7445"/>
    <w:rsid w:val="00FE7826"/>
    <w:rsid w:val="00FE78F2"/>
    <w:rsid w:val="00FF0279"/>
    <w:rsid w:val="00FF05EE"/>
    <w:rsid w:val="00FF0AB7"/>
    <w:rsid w:val="00FF0E73"/>
    <w:rsid w:val="00FF0F79"/>
    <w:rsid w:val="00FF2573"/>
    <w:rsid w:val="00FF2AD9"/>
    <w:rsid w:val="00FF32A5"/>
    <w:rsid w:val="00FF3498"/>
    <w:rsid w:val="00FF34A6"/>
    <w:rsid w:val="00FF3553"/>
    <w:rsid w:val="00FF359F"/>
    <w:rsid w:val="00FF362D"/>
    <w:rsid w:val="00FF3824"/>
    <w:rsid w:val="00FF3DCF"/>
    <w:rsid w:val="00FF468B"/>
    <w:rsid w:val="00FF492C"/>
    <w:rsid w:val="00FF4A21"/>
    <w:rsid w:val="00FF4CE4"/>
    <w:rsid w:val="00FF4FBE"/>
    <w:rsid w:val="00FF5889"/>
    <w:rsid w:val="00FF5A4B"/>
    <w:rsid w:val="00FF5AA3"/>
    <w:rsid w:val="00FF5AD8"/>
    <w:rsid w:val="00FF5F2E"/>
    <w:rsid w:val="00FF69F7"/>
    <w:rsid w:val="00FF6E2E"/>
    <w:rsid w:val="00FF6FA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lsdException w:name="heading 3" w:uiPriority="9"/>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EA7"/>
    <w:pPr>
      <w:jc w:val="both"/>
    </w:pPr>
    <w:rPr>
      <w:rFonts w:ascii="Calibri" w:hAnsi="Calibri" w:cs="Arial"/>
      <w:sz w:val="24"/>
      <w:szCs w:val="24"/>
    </w:rPr>
  </w:style>
  <w:style w:type="paragraph" w:styleId="Heading1">
    <w:name w:val="heading 1"/>
    <w:basedOn w:val="Normal"/>
    <w:next w:val="Normal"/>
    <w:link w:val="Heading1Char"/>
    <w:uiPriority w:val="1"/>
    <w:rsid w:val="001B204E"/>
    <w:pPr>
      <w:ind w:left="720" w:hanging="720"/>
      <w:outlineLvl w:val="0"/>
    </w:pPr>
    <w:rPr>
      <w:b/>
      <w:caps/>
      <w:sz w:val="32"/>
    </w:rPr>
  </w:style>
  <w:style w:type="paragraph" w:styleId="Heading2">
    <w:name w:val="heading 2"/>
    <w:aliases w:val="Subsection Headings"/>
    <w:basedOn w:val="Normal"/>
    <w:next w:val="Normal"/>
    <w:link w:val="Heading2Char"/>
    <w:uiPriority w:val="1"/>
    <w:rsid w:val="001B204E"/>
    <w:pPr>
      <w:outlineLvl w:val="1"/>
    </w:pPr>
    <w:rPr>
      <w:b/>
      <w:i/>
      <w:sz w:val="28"/>
    </w:rPr>
  </w:style>
  <w:style w:type="paragraph" w:styleId="Heading3">
    <w:name w:val="heading 3"/>
    <w:basedOn w:val="Normal"/>
    <w:next w:val="Normal"/>
    <w:link w:val="Heading3Char"/>
    <w:uiPriority w:val="9"/>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section Headings Char"/>
    <w:link w:val="Heading2"/>
    <w:uiPriority w:val="1"/>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PRIMA,Caption SYNEVi,Bayer Caption,IB Caption,Medical Caption,Char,CSR Caption,Caption Char1,Caption Char Char,Char Char Char,Char Char1,Char1,Table caption,Caption 3,c,appendix,Figure caption,Figure caption1 Char Char,Bayer,- H17,Bayer1"/>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aliases w:val="Caption PRIMA Char,Caption SYNEVi Char,Bayer Caption Char,IB Caption Char,Medical Caption Char,Char Char,CSR Caption Char,Caption Char1 Char,Caption Char Char Char,Char Char Char Char,Char Char1 Char,Char1 Char,Table caption Char,c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BULLET,_CC_Bullet,Bullet1,Bullet List,Section 5,Bullets Points,BulletList 1,Bulletlist1,BulletList1,L"/>
    <w:next w:val="ListBullet"/>
    <w:link w:val="ListParagraphChar"/>
    <w:uiPriority w:val="34"/>
    <w:qFormat/>
    <w:rsid w:val="00BF2EA7"/>
    <w:pPr>
      <w:spacing w:after="120"/>
      <w:ind w:left="1134" w:hanging="357"/>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 Char,_CC_Bullet Char,Bullet1 Char,L Char"/>
    <w:basedOn w:val="DefaultParagraphFont"/>
    <w:link w:val="ListParagraph"/>
    <w:uiPriority w:val="34"/>
    <w:qFormat/>
    <w:locked/>
    <w:rsid w:val="00BF2EA7"/>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BF2EA7"/>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BF2EA7"/>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 H19"/>
    <w:basedOn w:val="Normal"/>
    <w:link w:val="CommentTextChar"/>
    <w:uiPriority w:val="99"/>
    <w:rsid w:val="00FD2100"/>
    <w:rPr>
      <w:rFonts w:ascii="Times New Roman" w:hAnsi="Times New Roman" w:cs="Times New Roman"/>
      <w:sz w:val="20"/>
    </w:rPr>
  </w:style>
  <w:style w:type="character" w:customStyle="1" w:styleId="CommentTextChar">
    <w:name w:val="Comment Text Char"/>
    <w:aliases w:val="- H19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uiPriority w:val="99"/>
    <w:semiHidden/>
    <w:unhideWhenUsed/>
    <w:rsid w:val="00B34FE2"/>
    <w:rPr>
      <w:rFonts w:ascii="Tahoma" w:hAnsi="Tahoma" w:cs="Tahoma"/>
      <w:sz w:val="16"/>
      <w:szCs w:val="16"/>
    </w:rPr>
  </w:style>
  <w:style w:type="character" w:customStyle="1" w:styleId="BalloonTextChar">
    <w:name w:val="Balloon Text Char"/>
    <w:basedOn w:val="DefaultParagraphFont"/>
    <w:link w:val="BalloonText"/>
    <w:uiPriority w:val="99"/>
    <w:semiHidden/>
    <w:rsid w:val="00B34FE2"/>
    <w:rPr>
      <w:rFonts w:ascii="Tahoma" w:hAnsi="Tahoma" w:cs="Tahoma"/>
      <w:snapToGrid w:val="0"/>
      <w:sz w:val="16"/>
      <w:szCs w:val="16"/>
      <w:lang w:eastAsia="en-US"/>
    </w:rPr>
  </w:style>
  <w:style w:type="paragraph" w:customStyle="1" w:styleId="TableText0">
    <w:name w:val="Table Text"/>
    <w:link w:val="TableTextChar0"/>
    <w:qFormat/>
    <w:rsid w:val="00BF2EA7"/>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BF2EA7"/>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BF2EA7"/>
    <w:pPr>
      <w:keepNext/>
    </w:pPr>
    <w:rPr>
      <w:rFonts w:ascii="Arial Narrow" w:eastAsiaTheme="majorEastAsia" w:hAnsi="Arial Narrow"/>
      <w:b/>
      <w:szCs w:val="24"/>
      <w:lang w:val="en-US"/>
    </w:rPr>
  </w:style>
  <w:style w:type="paragraph" w:customStyle="1" w:styleId="2-SectionHeading">
    <w:name w:val="2-Section Heading"/>
    <w:qFormat/>
    <w:rsid w:val="00BF2EA7"/>
    <w:pPr>
      <w:keepNext/>
      <w:numPr>
        <w:numId w:val="22"/>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BF2EA7"/>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BF2EA7"/>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BF2EA7"/>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BF2EA7"/>
    <w:rPr>
      <w:rFonts w:ascii="Arial Narrow" w:eastAsiaTheme="majorEastAsia" w:hAnsi="Arial Narrow" w:cstheme="majorBidi"/>
      <w:b/>
      <w:bCs/>
      <w:szCs w:val="24"/>
    </w:rPr>
  </w:style>
  <w:style w:type="paragraph" w:customStyle="1" w:styleId="3-BodyText">
    <w:name w:val="3-Body Text"/>
    <w:basedOn w:val="ListParagraph"/>
    <w:link w:val="3-BodyTextChar"/>
    <w:qFormat/>
    <w:rsid w:val="00261ECA"/>
    <w:pPr>
      <w:numPr>
        <w:ilvl w:val="1"/>
        <w:numId w:val="1"/>
      </w:numPr>
      <w:jc w:val="both"/>
    </w:pPr>
    <w:rPr>
      <w:rFonts w:cs="Calibri"/>
      <w:bCs/>
    </w:rPr>
  </w:style>
  <w:style w:type="character" w:customStyle="1" w:styleId="3-BodyTextChar">
    <w:name w:val="3-Body Text Char"/>
    <w:basedOn w:val="ListParagraphChar"/>
    <w:link w:val="3-BodyText"/>
    <w:rsid w:val="00261ECA"/>
    <w:rPr>
      <w:rFonts w:asciiTheme="minorHAnsi" w:hAnsiTheme="minorHAnsi" w:cs="Calibri"/>
      <w:bCs/>
      <w:snapToGrid w:val="0"/>
      <w:sz w:val="24"/>
      <w:szCs w:val="24"/>
    </w:rPr>
  </w:style>
  <w:style w:type="paragraph" w:customStyle="1" w:styleId="PageFooter">
    <w:name w:val="Page Footer"/>
    <w:basedOn w:val="Normal"/>
    <w:link w:val="PageFooterChar"/>
    <w:qFormat/>
    <w:rsid w:val="00BF2EA7"/>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BF2EA7"/>
    <w:rPr>
      <w:rFonts w:ascii="Calibri" w:hAnsi="Calibri" w:cs="Arial"/>
      <w:b/>
      <w:sz w:val="24"/>
      <w:szCs w:val="24"/>
    </w:rPr>
  </w:style>
  <w:style w:type="paragraph" w:customStyle="1" w:styleId="TableFigureFooter">
    <w:name w:val="Table/Figure Footer"/>
    <w:basedOn w:val="Normal"/>
    <w:link w:val="TableFigureFooterChar"/>
    <w:qFormat/>
    <w:rsid w:val="00BF2EA7"/>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BF2EA7"/>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BF2EA7"/>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BF2EA7"/>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79268B"/>
    <w:pPr>
      <w:keepNext/>
      <w:keepLines/>
      <w:spacing w:before="4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Heading3Char"/>
    <w:link w:val="5-SubsectionSubheading"/>
    <w:rsid w:val="0079268B"/>
    <w:rPr>
      <w:rFonts w:asciiTheme="minorHAnsi" w:eastAsiaTheme="majorEastAsia" w:hAnsiTheme="minorHAnsi" w:cstheme="majorBidi"/>
      <w:b/>
      <w:color w:val="000000" w:themeColor="text1"/>
      <w:sz w:val="24"/>
      <w:szCs w:val="24"/>
      <w:u w:val="single"/>
    </w:rPr>
  </w:style>
  <w:style w:type="paragraph" w:styleId="ListBullet">
    <w:name w:val="List Bullet"/>
    <w:basedOn w:val="Normal"/>
    <w:uiPriority w:val="99"/>
    <w:unhideWhenUsed/>
    <w:rsid w:val="00EE1996"/>
    <w:pPr>
      <w:numPr>
        <w:numId w:val="4"/>
      </w:numPr>
      <w:contextualSpacing/>
    </w:pPr>
  </w:style>
  <w:style w:type="character" w:customStyle="1" w:styleId="TableTextChar0">
    <w:name w:val="Table Text Char"/>
    <w:basedOn w:val="DefaultParagraphFont"/>
    <w:link w:val="TableText0"/>
    <w:rsid w:val="00BF2EA7"/>
    <w:rPr>
      <w:rFonts w:ascii="Arial Narrow" w:eastAsiaTheme="majorEastAsia" w:hAnsi="Arial Narrow" w:cstheme="majorBidi"/>
      <w:bCs/>
      <w:szCs w:val="24"/>
    </w:rPr>
  </w:style>
  <w:style w:type="paragraph" w:customStyle="1" w:styleId="Source">
    <w:name w:val="Source"/>
    <w:basedOn w:val="Normal"/>
    <w:rsid w:val="00C908A7"/>
    <w:rPr>
      <w:rFonts w:eastAsiaTheme="minorHAnsi" w:cstheme="minorBidi"/>
      <w:sz w:val="18"/>
      <w:szCs w:val="22"/>
      <w:lang w:eastAsia="en-US"/>
    </w:rPr>
  </w:style>
  <w:style w:type="paragraph" w:customStyle="1" w:styleId="Ntabletext">
    <w:name w:val="N table text"/>
    <w:basedOn w:val="Tabletext"/>
    <w:rsid w:val="00C908A7"/>
    <w:pPr>
      <w:keepNext/>
      <w:numPr>
        <w:numId w:val="6"/>
      </w:numPr>
      <w:ind w:left="284" w:hanging="284"/>
      <w:contextualSpacing/>
      <w:jc w:val="both"/>
    </w:pPr>
    <w:rPr>
      <w:rFonts w:asciiTheme="minorHAnsi" w:eastAsiaTheme="minorHAnsi" w:hAnsiTheme="minorHAnsi" w:cstheme="minorBidi"/>
      <w:snapToGrid/>
      <w:szCs w:val="20"/>
      <w:lang w:eastAsia="en-US"/>
    </w:rPr>
  </w:style>
  <w:style w:type="character" w:customStyle="1" w:styleId="SmallBold">
    <w:name w:val="Small Bold"/>
    <w:basedOn w:val="DefaultParagraphFont"/>
    <w:uiPriority w:val="4"/>
    <w:rsid w:val="002220E1"/>
    <w:rPr>
      <w:rFonts w:ascii="Calibri" w:hAnsi="Calibri"/>
      <w:b/>
      <w:sz w:val="20"/>
      <w:lang w:val="en-AU"/>
    </w:rPr>
  </w:style>
  <w:style w:type="paragraph" w:customStyle="1" w:styleId="Default">
    <w:name w:val="Default"/>
    <w:rsid w:val="006671BA"/>
    <w:pPr>
      <w:autoSpaceDE w:val="0"/>
      <w:autoSpaceDN w:val="0"/>
      <w:adjustRightInd w:val="0"/>
    </w:pPr>
    <w:rPr>
      <w:rFonts w:ascii="Arial" w:hAnsi="Arial" w:cs="Arial"/>
      <w:color w:val="000000"/>
      <w:sz w:val="24"/>
      <w:szCs w:val="24"/>
    </w:rPr>
  </w:style>
  <w:style w:type="paragraph" w:customStyle="1" w:styleId="Tablebullet">
    <w:name w:val="Table bullet"/>
    <w:basedOn w:val="Tabletext"/>
    <w:qFormat/>
    <w:rsid w:val="00107B7D"/>
    <w:pPr>
      <w:numPr>
        <w:numId w:val="7"/>
      </w:numPr>
      <w:tabs>
        <w:tab w:val="left" w:pos="416"/>
        <w:tab w:val="left" w:pos="582"/>
      </w:tabs>
      <w:ind w:left="360"/>
      <w:contextualSpacing/>
      <w:jc w:val="both"/>
    </w:pPr>
    <w:rPr>
      <w:rFonts w:asciiTheme="minorHAnsi" w:hAnsiTheme="minorHAnsi"/>
      <w:snapToGrid/>
      <w:szCs w:val="20"/>
      <w:lang w:eastAsia="en-US"/>
    </w:rPr>
  </w:style>
  <w:style w:type="paragraph" w:customStyle="1" w:styleId="Tableheading0">
    <w:name w:val="Table heading"/>
    <w:basedOn w:val="Normal"/>
    <w:rsid w:val="00823456"/>
    <w:pPr>
      <w:jc w:val="center"/>
    </w:pPr>
    <w:rPr>
      <w:rFonts w:asciiTheme="minorHAnsi" w:eastAsiaTheme="minorHAnsi" w:hAnsiTheme="minorHAnsi" w:cstheme="minorBidi"/>
      <w:b/>
      <w:sz w:val="20"/>
      <w:szCs w:val="20"/>
      <w:lang w:eastAsia="en-US"/>
    </w:rPr>
  </w:style>
  <w:style w:type="paragraph" w:customStyle="1" w:styleId="Utabletext">
    <w:name w:val="U table text"/>
    <w:basedOn w:val="Tabletext"/>
    <w:rsid w:val="00823456"/>
    <w:pPr>
      <w:jc w:val="both"/>
    </w:pPr>
    <w:rPr>
      <w:rFonts w:asciiTheme="minorHAnsi" w:eastAsiaTheme="minorHAnsi" w:hAnsiTheme="minorHAnsi" w:cstheme="minorBidi"/>
      <w:iCs/>
      <w:snapToGrid/>
      <w:szCs w:val="20"/>
      <w:u w:val="single"/>
      <w:lang w:eastAsia="en-US"/>
    </w:rPr>
  </w:style>
  <w:style w:type="paragraph" w:customStyle="1" w:styleId="Tablecentre">
    <w:name w:val="Table centre"/>
    <w:basedOn w:val="Tabletext"/>
    <w:rsid w:val="004742BB"/>
    <w:pPr>
      <w:contextualSpacing/>
      <w:jc w:val="center"/>
    </w:pPr>
    <w:rPr>
      <w:rFonts w:asciiTheme="minorHAnsi" w:eastAsiaTheme="minorHAnsi" w:hAnsiTheme="minorHAnsi" w:cstheme="minorBidi"/>
      <w:snapToGrid/>
      <w:szCs w:val="20"/>
      <w:lang w:eastAsia="en-US"/>
    </w:rPr>
  </w:style>
  <w:style w:type="paragraph" w:customStyle="1" w:styleId="Btabletext">
    <w:name w:val="B table text"/>
    <w:basedOn w:val="Tabletext"/>
    <w:rsid w:val="00F64E74"/>
    <w:pPr>
      <w:contextualSpacing/>
      <w:jc w:val="both"/>
    </w:pPr>
    <w:rPr>
      <w:rFonts w:asciiTheme="minorHAnsi" w:eastAsiaTheme="minorHAnsi" w:hAnsiTheme="minorHAnsi" w:cstheme="minorBidi"/>
      <w:b/>
      <w:bCs/>
      <w:snapToGrid/>
      <w:szCs w:val="20"/>
      <w:lang w:eastAsia="en-US"/>
    </w:rPr>
  </w:style>
  <w:style w:type="table" w:customStyle="1" w:styleId="AZTable">
    <w:name w:val="AZ Table"/>
    <w:basedOn w:val="TableNormal"/>
    <w:uiPriority w:val="99"/>
    <w:rsid w:val="00F64E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vAlign w:val="center"/>
      </w:tcPr>
    </w:tblStylePr>
  </w:style>
  <w:style w:type="table" w:customStyle="1" w:styleId="Summarybox1">
    <w:name w:val="Summary box1"/>
    <w:basedOn w:val="TableNormal"/>
    <w:next w:val="TableGrid"/>
    <w:uiPriority w:val="59"/>
    <w:rsid w:val="00270EB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UL">
    <w:name w:val="Table UL"/>
    <w:basedOn w:val="Tabletext"/>
    <w:rsid w:val="003E3841"/>
    <w:pPr>
      <w:tabs>
        <w:tab w:val="left" w:pos="416"/>
        <w:tab w:val="left" w:pos="582"/>
      </w:tabs>
      <w:contextualSpacing/>
      <w:jc w:val="both"/>
    </w:pPr>
    <w:rPr>
      <w:rFonts w:asciiTheme="minorHAnsi" w:eastAsia="OTNEJMQuadraat" w:hAnsiTheme="minorHAnsi"/>
      <w:snapToGrid/>
      <w:szCs w:val="20"/>
      <w:u w:val="single"/>
      <w:lang w:eastAsia="en-US"/>
    </w:rPr>
  </w:style>
  <w:style w:type="numbering" w:customStyle="1" w:styleId="NoList3">
    <w:name w:val="No List3"/>
    <w:next w:val="NoList"/>
    <w:uiPriority w:val="99"/>
    <w:semiHidden/>
    <w:unhideWhenUsed/>
    <w:rsid w:val="006528EB"/>
  </w:style>
  <w:style w:type="paragraph" w:customStyle="1" w:styleId="BNormal">
    <w:name w:val="B Normal"/>
    <w:basedOn w:val="Normal"/>
    <w:rsid w:val="00C44CCF"/>
    <w:pPr>
      <w:keepNext/>
      <w:spacing w:line="360" w:lineRule="auto"/>
    </w:pPr>
    <w:rPr>
      <w:rFonts w:eastAsiaTheme="minorHAnsi" w:cstheme="minorBidi"/>
      <w:b/>
      <w:bCs/>
      <w:sz w:val="22"/>
      <w:szCs w:val="22"/>
      <w:lang w:eastAsia="en-US"/>
    </w:rPr>
  </w:style>
  <w:style w:type="table" w:customStyle="1" w:styleId="Summarybox61">
    <w:name w:val="Summary box61"/>
    <w:basedOn w:val="TableNormal"/>
    <w:next w:val="TableGrid"/>
    <w:uiPriority w:val="59"/>
    <w:rsid w:val="000C0B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2">
    <w:name w:val="Table bullet 2"/>
    <w:basedOn w:val="Tablebullet"/>
    <w:rsid w:val="00761AA8"/>
    <w:pPr>
      <w:numPr>
        <w:numId w:val="0"/>
      </w:numPr>
      <w:tabs>
        <w:tab w:val="clear" w:pos="416"/>
        <w:tab w:val="clear" w:pos="582"/>
      </w:tabs>
      <w:ind w:left="643" w:hanging="360"/>
    </w:pPr>
    <w:rPr>
      <w:rFonts w:eastAsiaTheme="minorHAnsi" w:cstheme="minorBidi"/>
    </w:rPr>
  </w:style>
  <w:style w:type="paragraph" w:customStyle="1" w:styleId="Tablebullet3">
    <w:name w:val="Table bullet 3"/>
    <w:basedOn w:val="Tablebullet2"/>
    <w:rsid w:val="00761AA8"/>
    <w:pPr>
      <w:ind w:left="1040"/>
    </w:pPr>
  </w:style>
  <w:style w:type="paragraph" w:customStyle="1" w:styleId="TableHeading1">
    <w:name w:val="Table Heading"/>
    <w:basedOn w:val="Normal"/>
    <w:rsid w:val="0098208D"/>
    <w:pPr>
      <w:keepNext/>
      <w:spacing w:after="60"/>
      <w:jc w:val="left"/>
    </w:pPr>
    <w:rPr>
      <w:rFonts w:ascii="Arial Narrow" w:eastAsiaTheme="minorHAnsi" w:hAnsi="Arial Narrow" w:cstheme="minorBidi"/>
      <w:b/>
      <w:sz w:val="20"/>
      <w:szCs w:val="22"/>
      <w:lang w:eastAsia="en-US"/>
    </w:rPr>
  </w:style>
  <w:style w:type="character" w:customStyle="1" w:styleId="UnresolvedMention1">
    <w:name w:val="Unresolved Mention1"/>
    <w:basedOn w:val="DefaultParagraphFont"/>
    <w:uiPriority w:val="99"/>
    <w:semiHidden/>
    <w:unhideWhenUsed/>
    <w:rsid w:val="00812150"/>
    <w:rPr>
      <w:color w:val="605E5C"/>
      <w:shd w:val="clear" w:color="auto" w:fill="E1DFDD"/>
    </w:rPr>
  </w:style>
  <w:style w:type="character" w:customStyle="1" w:styleId="Heading3Char">
    <w:name w:val="Heading 3 Char"/>
    <w:basedOn w:val="DefaultParagraphFont"/>
    <w:link w:val="Heading3"/>
    <w:uiPriority w:val="9"/>
    <w:rsid w:val="00303A0A"/>
    <w:rPr>
      <w:rFonts w:ascii="Calibri" w:hAnsi="Calibri" w:cs="Arial"/>
      <w:sz w:val="24"/>
      <w:szCs w:val="24"/>
      <w:u w:val="single"/>
    </w:rPr>
  </w:style>
  <w:style w:type="table" w:customStyle="1" w:styleId="Summarybox7">
    <w:name w:val="Summary box7"/>
    <w:basedOn w:val="TableNormal"/>
    <w:next w:val="TableGrid"/>
    <w:uiPriority w:val="59"/>
    <w:rsid w:val="00A776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Bold">
    <w:name w:val="Font Bold"/>
    <w:basedOn w:val="DefaultParagraphFont"/>
    <w:uiPriority w:val="1"/>
    <w:rsid w:val="005E5424"/>
    <w:rPr>
      <w:rFonts w:ascii="Calibri" w:hAnsi="Calibri"/>
      <w:b/>
      <w:i w:val="0"/>
      <w:sz w:val="24"/>
    </w:rPr>
  </w:style>
  <w:style w:type="table" w:customStyle="1" w:styleId="TableGrid7">
    <w:name w:val="Table Grid7"/>
    <w:basedOn w:val="TableNormal"/>
    <w:next w:val="TableGrid"/>
    <w:uiPriority w:val="59"/>
    <w:rsid w:val="005E542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yneviNormal">
    <w:name w:val="Synevi Normal"/>
    <w:basedOn w:val="Normal"/>
    <w:link w:val="SyneviNormalChar"/>
    <w:rsid w:val="005E5424"/>
    <w:pPr>
      <w:spacing w:line="360" w:lineRule="auto"/>
    </w:pPr>
    <w:rPr>
      <w:rFonts w:asciiTheme="minorHAnsi" w:hAnsiTheme="minorHAnsi" w:cs="Times New Roman"/>
      <w:sz w:val="22"/>
      <w:szCs w:val="20"/>
      <w:lang w:val="en-US" w:eastAsia="en-US"/>
    </w:rPr>
  </w:style>
  <w:style w:type="character" w:customStyle="1" w:styleId="SyneviNormalChar">
    <w:name w:val="Synevi Normal Char"/>
    <w:basedOn w:val="DefaultParagraphFont"/>
    <w:link w:val="SyneviNormal"/>
    <w:rsid w:val="005E5424"/>
    <w:rPr>
      <w:rFonts w:asciiTheme="minorHAnsi" w:hAnsiTheme="minorHAnsi"/>
      <w:sz w:val="22"/>
      <w:lang w:val="en-US" w:eastAsia="en-US"/>
    </w:rPr>
  </w:style>
  <w:style w:type="table" w:customStyle="1" w:styleId="Summarybox3">
    <w:name w:val="Summary box3"/>
    <w:basedOn w:val="TableNormal"/>
    <w:next w:val="TableGrid"/>
    <w:uiPriority w:val="59"/>
    <w:rsid w:val="005E542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ctionBi">
    <w:name w:val="Section Bi"/>
    <w:uiPriority w:val="99"/>
    <w:rsid w:val="00290E66"/>
    <w:pPr>
      <w:numPr>
        <w:numId w:val="8"/>
      </w:numPr>
    </w:pPr>
  </w:style>
  <w:style w:type="paragraph" w:styleId="FootnoteText">
    <w:name w:val="footnote text"/>
    <w:basedOn w:val="Normal"/>
    <w:link w:val="FootnoteTextChar"/>
    <w:semiHidden/>
    <w:unhideWhenUsed/>
    <w:rsid w:val="00EA030B"/>
    <w:rPr>
      <w:sz w:val="20"/>
      <w:szCs w:val="20"/>
    </w:rPr>
  </w:style>
  <w:style w:type="character" w:customStyle="1" w:styleId="FootnoteTextChar">
    <w:name w:val="Footnote Text Char"/>
    <w:basedOn w:val="DefaultParagraphFont"/>
    <w:link w:val="FootnoteText"/>
    <w:semiHidden/>
    <w:rsid w:val="00EA030B"/>
    <w:rPr>
      <w:rFonts w:ascii="Calibri" w:hAnsi="Calibri" w:cs="Arial"/>
    </w:rPr>
  </w:style>
  <w:style w:type="character" w:styleId="FootnoteReference">
    <w:name w:val="footnote reference"/>
    <w:basedOn w:val="DefaultParagraphFont"/>
    <w:semiHidden/>
    <w:unhideWhenUsed/>
    <w:rsid w:val="00EA030B"/>
    <w:rPr>
      <w:vertAlign w:val="superscript"/>
    </w:rPr>
  </w:style>
  <w:style w:type="paragraph" w:customStyle="1" w:styleId="V50Instructions">
    <w:name w:val="V5.0 Instructions"/>
    <w:basedOn w:val="Normal"/>
    <w:link w:val="V50InstructionsChar"/>
    <w:rsid w:val="002C276D"/>
    <w:pPr>
      <w:spacing w:before="120" w:after="160"/>
      <w:jc w:val="left"/>
    </w:pPr>
    <w:rPr>
      <w:rFonts w:asciiTheme="minorHAnsi" w:eastAsiaTheme="minorHAnsi" w:hAnsiTheme="minorHAnsi" w:cstheme="minorBidi"/>
      <w:color w:val="4BACC6" w:themeColor="accent5"/>
      <w:szCs w:val="22"/>
      <w:lang w:eastAsia="en-US"/>
    </w:rPr>
  </w:style>
  <w:style w:type="character" w:customStyle="1" w:styleId="V50InstructionsChar">
    <w:name w:val="V5.0 Instructions Char"/>
    <w:basedOn w:val="DefaultParagraphFont"/>
    <w:link w:val="V50Instructions"/>
    <w:rsid w:val="002C276D"/>
    <w:rPr>
      <w:rFonts w:asciiTheme="minorHAnsi" w:eastAsiaTheme="minorHAnsi" w:hAnsiTheme="minorHAnsi" w:cstheme="minorBidi"/>
      <w:color w:val="4BACC6" w:themeColor="accent5"/>
      <w:sz w:val="24"/>
      <w:szCs w:val="22"/>
      <w:lang w:eastAsia="en-US"/>
    </w:rPr>
  </w:style>
  <w:style w:type="table" w:customStyle="1" w:styleId="TableGrid1">
    <w:name w:val="Table Grid1"/>
    <w:basedOn w:val="TableNormal"/>
    <w:next w:val="TableGrid"/>
    <w:uiPriority w:val="59"/>
    <w:rsid w:val="00B65A3B"/>
    <w:rPr>
      <w:rFonts w:eastAsia="Batang"/>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Text1">
    <w:name w:val="Body Text1"/>
    <w:basedOn w:val="Normal"/>
    <w:link w:val="BodytextChar0"/>
    <w:rsid w:val="001C548C"/>
    <w:pPr>
      <w:spacing w:before="120" w:after="120" w:line="360" w:lineRule="auto"/>
    </w:pPr>
    <w:rPr>
      <w:rFonts w:asciiTheme="minorHAnsi" w:hAnsiTheme="minorHAnsi" w:cstheme="minorBidi"/>
      <w:sz w:val="22"/>
      <w:szCs w:val="22"/>
      <w:lang w:eastAsia="en-US"/>
    </w:rPr>
  </w:style>
  <w:style w:type="character" w:customStyle="1" w:styleId="BodytextChar0">
    <w:name w:val="Body text Char"/>
    <w:basedOn w:val="DefaultParagraphFont"/>
    <w:link w:val="BodyText1"/>
    <w:rsid w:val="001C548C"/>
    <w:rPr>
      <w:rFonts w:asciiTheme="minorHAnsi" w:hAnsiTheme="minorHAnsi" w:cstheme="minorBidi"/>
      <w:sz w:val="22"/>
      <w:szCs w:val="22"/>
      <w:lang w:eastAsia="en-US"/>
    </w:rPr>
  </w:style>
  <w:style w:type="character" w:customStyle="1" w:styleId="Heading1Char">
    <w:name w:val="Heading 1 Char"/>
    <w:basedOn w:val="DefaultParagraphFont"/>
    <w:link w:val="Heading1"/>
    <w:uiPriority w:val="1"/>
    <w:rsid w:val="001C548C"/>
    <w:rPr>
      <w:rFonts w:ascii="Calibri" w:hAnsi="Calibri" w:cs="Arial"/>
      <w:b/>
      <w:caps/>
      <w:sz w:val="32"/>
      <w:szCs w:val="24"/>
    </w:rPr>
  </w:style>
  <w:style w:type="character" w:styleId="SubtleReference">
    <w:name w:val="Subtle Reference"/>
    <w:basedOn w:val="DefaultParagraphFont"/>
    <w:uiPriority w:val="31"/>
    <w:rsid w:val="001C548C"/>
    <w:rPr>
      <w:smallCaps/>
      <w:color w:val="5A5A5A" w:themeColor="text1" w:themeTint="A5"/>
    </w:rPr>
  </w:style>
  <w:style w:type="character" w:customStyle="1" w:styleId="text-widget3">
    <w:name w:val="text-widget3"/>
    <w:basedOn w:val="DefaultParagraphFont"/>
    <w:rsid w:val="001C5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02643555">
      <w:bodyDiv w:val="1"/>
      <w:marLeft w:val="0"/>
      <w:marRight w:val="0"/>
      <w:marTop w:val="0"/>
      <w:marBottom w:val="0"/>
      <w:divBdr>
        <w:top w:val="none" w:sz="0" w:space="0" w:color="auto"/>
        <w:left w:val="none" w:sz="0" w:space="0" w:color="auto"/>
        <w:bottom w:val="none" w:sz="0" w:space="0" w:color="auto"/>
        <w:right w:val="none" w:sz="0" w:space="0" w:color="auto"/>
      </w:divBdr>
    </w:div>
    <w:div w:id="235481332">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19623704">
      <w:bodyDiv w:val="1"/>
      <w:marLeft w:val="0"/>
      <w:marRight w:val="0"/>
      <w:marTop w:val="0"/>
      <w:marBottom w:val="0"/>
      <w:divBdr>
        <w:top w:val="none" w:sz="0" w:space="0" w:color="auto"/>
        <w:left w:val="none" w:sz="0" w:space="0" w:color="auto"/>
        <w:bottom w:val="none" w:sz="0" w:space="0" w:color="auto"/>
        <w:right w:val="none" w:sz="0" w:space="0" w:color="auto"/>
      </w:divBdr>
    </w:div>
    <w:div w:id="331228361">
      <w:bodyDiv w:val="1"/>
      <w:marLeft w:val="0"/>
      <w:marRight w:val="0"/>
      <w:marTop w:val="0"/>
      <w:marBottom w:val="0"/>
      <w:divBdr>
        <w:top w:val="none" w:sz="0" w:space="0" w:color="auto"/>
        <w:left w:val="none" w:sz="0" w:space="0" w:color="auto"/>
        <w:bottom w:val="none" w:sz="0" w:space="0" w:color="auto"/>
        <w:right w:val="none" w:sz="0" w:space="0" w:color="auto"/>
      </w:divBdr>
    </w:div>
    <w:div w:id="404499455">
      <w:bodyDiv w:val="1"/>
      <w:marLeft w:val="0"/>
      <w:marRight w:val="0"/>
      <w:marTop w:val="0"/>
      <w:marBottom w:val="0"/>
      <w:divBdr>
        <w:top w:val="none" w:sz="0" w:space="0" w:color="auto"/>
        <w:left w:val="none" w:sz="0" w:space="0" w:color="auto"/>
        <w:bottom w:val="none" w:sz="0" w:space="0" w:color="auto"/>
        <w:right w:val="none" w:sz="0" w:space="0" w:color="auto"/>
      </w:divBdr>
    </w:div>
    <w:div w:id="448159122">
      <w:bodyDiv w:val="1"/>
      <w:marLeft w:val="0"/>
      <w:marRight w:val="0"/>
      <w:marTop w:val="0"/>
      <w:marBottom w:val="0"/>
      <w:divBdr>
        <w:top w:val="none" w:sz="0" w:space="0" w:color="auto"/>
        <w:left w:val="none" w:sz="0" w:space="0" w:color="auto"/>
        <w:bottom w:val="none" w:sz="0" w:space="0" w:color="auto"/>
        <w:right w:val="none" w:sz="0" w:space="0" w:color="auto"/>
      </w:divBdr>
    </w:div>
    <w:div w:id="611671598">
      <w:bodyDiv w:val="1"/>
      <w:marLeft w:val="0"/>
      <w:marRight w:val="0"/>
      <w:marTop w:val="0"/>
      <w:marBottom w:val="0"/>
      <w:divBdr>
        <w:top w:val="none" w:sz="0" w:space="0" w:color="auto"/>
        <w:left w:val="none" w:sz="0" w:space="0" w:color="auto"/>
        <w:bottom w:val="none" w:sz="0" w:space="0" w:color="auto"/>
        <w:right w:val="none" w:sz="0" w:space="0" w:color="auto"/>
      </w:divBdr>
      <w:divsChild>
        <w:div w:id="622686437">
          <w:marLeft w:val="547"/>
          <w:marRight w:val="0"/>
          <w:marTop w:val="120"/>
          <w:marBottom w:val="0"/>
          <w:divBdr>
            <w:top w:val="none" w:sz="0" w:space="0" w:color="auto"/>
            <w:left w:val="none" w:sz="0" w:space="0" w:color="auto"/>
            <w:bottom w:val="none" w:sz="0" w:space="0" w:color="auto"/>
            <w:right w:val="none" w:sz="0" w:space="0" w:color="auto"/>
          </w:divBdr>
        </w:div>
      </w:divsChild>
    </w:div>
    <w:div w:id="791022753">
      <w:bodyDiv w:val="1"/>
      <w:marLeft w:val="0"/>
      <w:marRight w:val="0"/>
      <w:marTop w:val="0"/>
      <w:marBottom w:val="0"/>
      <w:divBdr>
        <w:top w:val="none" w:sz="0" w:space="0" w:color="auto"/>
        <w:left w:val="none" w:sz="0" w:space="0" w:color="auto"/>
        <w:bottom w:val="none" w:sz="0" w:space="0" w:color="auto"/>
        <w:right w:val="none" w:sz="0" w:space="0" w:color="auto"/>
      </w:divBdr>
      <w:divsChild>
        <w:div w:id="405809059">
          <w:marLeft w:val="1166"/>
          <w:marRight w:val="0"/>
          <w:marTop w:val="86"/>
          <w:marBottom w:val="0"/>
          <w:divBdr>
            <w:top w:val="none" w:sz="0" w:space="0" w:color="auto"/>
            <w:left w:val="none" w:sz="0" w:space="0" w:color="auto"/>
            <w:bottom w:val="none" w:sz="0" w:space="0" w:color="auto"/>
            <w:right w:val="none" w:sz="0" w:space="0" w:color="auto"/>
          </w:divBdr>
        </w:div>
      </w:divsChild>
    </w:div>
    <w:div w:id="798644971">
      <w:bodyDiv w:val="1"/>
      <w:marLeft w:val="0"/>
      <w:marRight w:val="0"/>
      <w:marTop w:val="0"/>
      <w:marBottom w:val="0"/>
      <w:divBdr>
        <w:top w:val="none" w:sz="0" w:space="0" w:color="auto"/>
        <w:left w:val="none" w:sz="0" w:space="0" w:color="auto"/>
        <w:bottom w:val="none" w:sz="0" w:space="0" w:color="auto"/>
        <w:right w:val="none" w:sz="0" w:space="0" w:color="auto"/>
      </w:divBdr>
    </w:div>
    <w:div w:id="978145870">
      <w:bodyDiv w:val="1"/>
      <w:marLeft w:val="0"/>
      <w:marRight w:val="0"/>
      <w:marTop w:val="0"/>
      <w:marBottom w:val="0"/>
      <w:divBdr>
        <w:top w:val="none" w:sz="0" w:space="0" w:color="auto"/>
        <w:left w:val="none" w:sz="0" w:space="0" w:color="auto"/>
        <w:bottom w:val="none" w:sz="0" w:space="0" w:color="auto"/>
        <w:right w:val="none" w:sz="0" w:space="0" w:color="auto"/>
      </w:divBdr>
    </w:div>
    <w:div w:id="992292608">
      <w:bodyDiv w:val="1"/>
      <w:marLeft w:val="0"/>
      <w:marRight w:val="0"/>
      <w:marTop w:val="0"/>
      <w:marBottom w:val="0"/>
      <w:divBdr>
        <w:top w:val="none" w:sz="0" w:space="0" w:color="auto"/>
        <w:left w:val="none" w:sz="0" w:space="0" w:color="auto"/>
        <w:bottom w:val="none" w:sz="0" w:space="0" w:color="auto"/>
        <w:right w:val="none" w:sz="0" w:space="0" w:color="auto"/>
      </w:divBdr>
    </w:div>
    <w:div w:id="1022515416">
      <w:bodyDiv w:val="1"/>
      <w:marLeft w:val="0"/>
      <w:marRight w:val="0"/>
      <w:marTop w:val="0"/>
      <w:marBottom w:val="0"/>
      <w:divBdr>
        <w:top w:val="none" w:sz="0" w:space="0" w:color="auto"/>
        <w:left w:val="none" w:sz="0" w:space="0" w:color="auto"/>
        <w:bottom w:val="none" w:sz="0" w:space="0" w:color="auto"/>
        <w:right w:val="none" w:sz="0" w:space="0" w:color="auto"/>
      </w:divBdr>
      <w:divsChild>
        <w:div w:id="283081436">
          <w:marLeft w:val="1166"/>
          <w:marRight w:val="0"/>
          <w:marTop w:val="115"/>
          <w:marBottom w:val="0"/>
          <w:divBdr>
            <w:top w:val="none" w:sz="0" w:space="0" w:color="auto"/>
            <w:left w:val="none" w:sz="0" w:space="0" w:color="auto"/>
            <w:bottom w:val="none" w:sz="0" w:space="0" w:color="auto"/>
            <w:right w:val="none" w:sz="0" w:space="0" w:color="auto"/>
          </w:divBdr>
        </w:div>
        <w:div w:id="2033871244">
          <w:marLeft w:val="1166"/>
          <w:marRight w:val="0"/>
          <w:marTop w:val="115"/>
          <w:marBottom w:val="0"/>
          <w:divBdr>
            <w:top w:val="none" w:sz="0" w:space="0" w:color="auto"/>
            <w:left w:val="none" w:sz="0" w:space="0" w:color="auto"/>
            <w:bottom w:val="none" w:sz="0" w:space="0" w:color="auto"/>
            <w:right w:val="none" w:sz="0" w:space="0" w:color="auto"/>
          </w:divBdr>
        </w:div>
      </w:divsChild>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051547">
      <w:bodyDiv w:val="1"/>
      <w:marLeft w:val="0"/>
      <w:marRight w:val="0"/>
      <w:marTop w:val="0"/>
      <w:marBottom w:val="0"/>
      <w:divBdr>
        <w:top w:val="none" w:sz="0" w:space="0" w:color="auto"/>
        <w:left w:val="none" w:sz="0" w:space="0" w:color="auto"/>
        <w:bottom w:val="none" w:sz="0" w:space="0" w:color="auto"/>
        <w:right w:val="none" w:sz="0" w:space="0" w:color="auto"/>
      </w:divBdr>
    </w:div>
    <w:div w:id="1357002391">
      <w:bodyDiv w:val="1"/>
      <w:marLeft w:val="0"/>
      <w:marRight w:val="0"/>
      <w:marTop w:val="0"/>
      <w:marBottom w:val="0"/>
      <w:divBdr>
        <w:top w:val="none" w:sz="0" w:space="0" w:color="auto"/>
        <w:left w:val="none" w:sz="0" w:space="0" w:color="auto"/>
        <w:bottom w:val="none" w:sz="0" w:space="0" w:color="auto"/>
        <w:right w:val="none" w:sz="0" w:space="0" w:color="auto"/>
      </w:divBdr>
    </w:div>
    <w:div w:id="1361468725">
      <w:bodyDiv w:val="1"/>
      <w:marLeft w:val="0"/>
      <w:marRight w:val="0"/>
      <w:marTop w:val="0"/>
      <w:marBottom w:val="0"/>
      <w:divBdr>
        <w:top w:val="none" w:sz="0" w:space="0" w:color="auto"/>
        <w:left w:val="none" w:sz="0" w:space="0" w:color="auto"/>
        <w:bottom w:val="none" w:sz="0" w:space="0" w:color="auto"/>
        <w:right w:val="none" w:sz="0" w:space="0" w:color="auto"/>
      </w:divBdr>
    </w:div>
    <w:div w:id="1383678887">
      <w:bodyDiv w:val="1"/>
      <w:marLeft w:val="0"/>
      <w:marRight w:val="0"/>
      <w:marTop w:val="0"/>
      <w:marBottom w:val="0"/>
      <w:divBdr>
        <w:top w:val="none" w:sz="0" w:space="0" w:color="auto"/>
        <w:left w:val="none" w:sz="0" w:space="0" w:color="auto"/>
        <w:bottom w:val="none" w:sz="0" w:space="0" w:color="auto"/>
        <w:right w:val="none" w:sz="0" w:space="0" w:color="auto"/>
      </w:divBdr>
    </w:div>
    <w:div w:id="1510490110">
      <w:bodyDiv w:val="1"/>
      <w:marLeft w:val="0"/>
      <w:marRight w:val="0"/>
      <w:marTop w:val="0"/>
      <w:marBottom w:val="0"/>
      <w:divBdr>
        <w:top w:val="none" w:sz="0" w:space="0" w:color="auto"/>
        <w:left w:val="none" w:sz="0" w:space="0" w:color="auto"/>
        <w:bottom w:val="none" w:sz="0" w:space="0" w:color="auto"/>
        <w:right w:val="none" w:sz="0" w:space="0" w:color="auto"/>
      </w:divBdr>
    </w:div>
    <w:div w:id="1513184901">
      <w:bodyDiv w:val="1"/>
      <w:marLeft w:val="0"/>
      <w:marRight w:val="0"/>
      <w:marTop w:val="0"/>
      <w:marBottom w:val="0"/>
      <w:divBdr>
        <w:top w:val="none" w:sz="0" w:space="0" w:color="auto"/>
        <w:left w:val="none" w:sz="0" w:space="0" w:color="auto"/>
        <w:bottom w:val="none" w:sz="0" w:space="0" w:color="auto"/>
        <w:right w:val="none" w:sz="0" w:space="0" w:color="auto"/>
      </w:divBdr>
      <w:divsChild>
        <w:div w:id="680593020">
          <w:marLeft w:val="1267"/>
          <w:marRight w:val="0"/>
          <w:marTop w:val="0"/>
          <w:marBottom w:val="0"/>
          <w:divBdr>
            <w:top w:val="none" w:sz="0" w:space="0" w:color="auto"/>
            <w:left w:val="none" w:sz="0" w:space="0" w:color="auto"/>
            <w:bottom w:val="none" w:sz="0" w:space="0" w:color="auto"/>
            <w:right w:val="none" w:sz="0" w:space="0" w:color="auto"/>
          </w:divBdr>
        </w:div>
        <w:div w:id="1274551078">
          <w:marLeft w:val="547"/>
          <w:marRight w:val="0"/>
          <w:marTop w:val="0"/>
          <w:marBottom w:val="0"/>
          <w:divBdr>
            <w:top w:val="none" w:sz="0" w:space="0" w:color="auto"/>
            <w:left w:val="none" w:sz="0" w:space="0" w:color="auto"/>
            <w:bottom w:val="none" w:sz="0" w:space="0" w:color="auto"/>
            <w:right w:val="none" w:sz="0" w:space="0" w:color="auto"/>
          </w:divBdr>
        </w:div>
        <w:div w:id="1901866900">
          <w:marLeft w:val="1267"/>
          <w:marRight w:val="0"/>
          <w:marTop w:val="0"/>
          <w:marBottom w:val="0"/>
          <w:divBdr>
            <w:top w:val="none" w:sz="0" w:space="0" w:color="auto"/>
            <w:left w:val="none" w:sz="0" w:space="0" w:color="auto"/>
            <w:bottom w:val="none" w:sz="0" w:space="0" w:color="auto"/>
            <w:right w:val="none" w:sz="0" w:space="0" w:color="auto"/>
          </w:divBdr>
        </w:div>
      </w:divsChild>
    </w:div>
    <w:div w:id="1647782028">
      <w:bodyDiv w:val="1"/>
      <w:marLeft w:val="0"/>
      <w:marRight w:val="0"/>
      <w:marTop w:val="0"/>
      <w:marBottom w:val="0"/>
      <w:divBdr>
        <w:top w:val="none" w:sz="0" w:space="0" w:color="auto"/>
        <w:left w:val="none" w:sz="0" w:space="0" w:color="auto"/>
        <w:bottom w:val="none" w:sz="0" w:space="0" w:color="auto"/>
        <w:right w:val="none" w:sz="0" w:space="0" w:color="auto"/>
      </w:divBdr>
      <w:divsChild>
        <w:div w:id="140313739">
          <w:marLeft w:val="1166"/>
          <w:marRight w:val="0"/>
          <w:marTop w:val="96"/>
          <w:marBottom w:val="0"/>
          <w:divBdr>
            <w:top w:val="none" w:sz="0" w:space="0" w:color="auto"/>
            <w:left w:val="none" w:sz="0" w:space="0" w:color="auto"/>
            <w:bottom w:val="none" w:sz="0" w:space="0" w:color="auto"/>
            <w:right w:val="none" w:sz="0" w:space="0" w:color="auto"/>
          </w:divBdr>
        </w:div>
        <w:div w:id="486017466">
          <w:marLeft w:val="1166"/>
          <w:marRight w:val="0"/>
          <w:marTop w:val="96"/>
          <w:marBottom w:val="0"/>
          <w:divBdr>
            <w:top w:val="none" w:sz="0" w:space="0" w:color="auto"/>
            <w:left w:val="none" w:sz="0" w:space="0" w:color="auto"/>
            <w:bottom w:val="none" w:sz="0" w:space="0" w:color="auto"/>
            <w:right w:val="none" w:sz="0" w:space="0" w:color="auto"/>
          </w:divBdr>
        </w:div>
        <w:div w:id="530411333">
          <w:marLeft w:val="1166"/>
          <w:marRight w:val="0"/>
          <w:marTop w:val="96"/>
          <w:marBottom w:val="0"/>
          <w:divBdr>
            <w:top w:val="none" w:sz="0" w:space="0" w:color="auto"/>
            <w:left w:val="none" w:sz="0" w:space="0" w:color="auto"/>
            <w:bottom w:val="none" w:sz="0" w:space="0" w:color="auto"/>
            <w:right w:val="none" w:sz="0" w:space="0" w:color="auto"/>
          </w:divBdr>
        </w:div>
        <w:div w:id="605816962">
          <w:marLeft w:val="547"/>
          <w:marRight w:val="0"/>
          <w:marTop w:val="106"/>
          <w:marBottom w:val="0"/>
          <w:divBdr>
            <w:top w:val="none" w:sz="0" w:space="0" w:color="auto"/>
            <w:left w:val="none" w:sz="0" w:space="0" w:color="auto"/>
            <w:bottom w:val="none" w:sz="0" w:space="0" w:color="auto"/>
            <w:right w:val="none" w:sz="0" w:space="0" w:color="auto"/>
          </w:divBdr>
        </w:div>
        <w:div w:id="632173783">
          <w:marLeft w:val="547"/>
          <w:marRight w:val="0"/>
          <w:marTop w:val="106"/>
          <w:marBottom w:val="0"/>
          <w:divBdr>
            <w:top w:val="none" w:sz="0" w:space="0" w:color="auto"/>
            <w:left w:val="none" w:sz="0" w:space="0" w:color="auto"/>
            <w:bottom w:val="none" w:sz="0" w:space="0" w:color="auto"/>
            <w:right w:val="none" w:sz="0" w:space="0" w:color="auto"/>
          </w:divBdr>
        </w:div>
        <w:div w:id="650790129">
          <w:marLeft w:val="547"/>
          <w:marRight w:val="0"/>
          <w:marTop w:val="106"/>
          <w:marBottom w:val="0"/>
          <w:divBdr>
            <w:top w:val="none" w:sz="0" w:space="0" w:color="auto"/>
            <w:left w:val="none" w:sz="0" w:space="0" w:color="auto"/>
            <w:bottom w:val="none" w:sz="0" w:space="0" w:color="auto"/>
            <w:right w:val="none" w:sz="0" w:space="0" w:color="auto"/>
          </w:divBdr>
        </w:div>
        <w:div w:id="669411567">
          <w:marLeft w:val="547"/>
          <w:marRight w:val="0"/>
          <w:marTop w:val="106"/>
          <w:marBottom w:val="0"/>
          <w:divBdr>
            <w:top w:val="none" w:sz="0" w:space="0" w:color="auto"/>
            <w:left w:val="none" w:sz="0" w:space="0" w:color="auto"/>
            <w:bottom w:val="none" w:sz="0" w:space="0" w:color="auto"/>
            <w:right w:val="none" w:sz="0" w:space="0" w:color="auto"/>
          </w:divBdr>
        </w:div>
        <w:div w:id="1003702929">
          <w:marLeft w:val="1166"/>
          <w:marRight w:val="0"/>
          <w:marTop w:val="96"/>
          <w:marBottom w:val="0"/>
          <w:divBdr>
            <w:top w:val="none" w:sz="0" w:space="0" w:color="auto"/>
            <w:left w:val="none" w:sz="0" w:space="0" w:color="auto"/>
            <w:bottom w:val="none" w:sz="0" w:space="0" w:color="auto"/>
            <w:right w:val="none" w:sz="0" w:space="0" w:color="auto"/>
          </w:divBdr>
        </w:div>
        <w:div w:id="1152406518">
          <w:marLeft w:val="547"/>
          <w:marRight w:val="0"/>
          <w:marTop w:val="106"/>
          <w:marBottom w:val="0"/>
          <w:divBdr>
            <w:top w:val="none" w:sz="0" w:space="0" w:color="auto"/>
            <w:left w:val="none" w:sz="0" w:space="0" w:color="auto"/>
            <w:bottom w:val="none" w:sz="0" w:space="0" w:color="auto"/>
            <w:right w:val="none" w:sz="0" w:space="0" w:color="auto"/>
          </w:divBdr>
        </w:div>
        <w:div w:id="2005743414">
          <w:marLeft w:val="1166"/>
          <w:marRight w:val="0"/>
          <w:marTop w:val="96"/>
          <w:marBottom w:val="0"/>
          <w:divBdr>
            <w:top w:val="none" w:sz="0" w:space="0" w:color="auto"/>
            <w:left w:val="none" w:sz="0" w:space="0" w:color="auto"/>
            <w:bottom w:val="none" w:sz="0" w:space="0" w:color="auto"/>
            <w:right w:val="none" w:sz="0" w:space="0" w:color="auto"/>
          </w:divBdr>
        </w:div>
      </w:divsChild>
    </w:div>
    <w:div w:id="1733776181">
      <w:bodyDiv w:val="1"/>
      <w:marLeft w:val="0"/>
      <w:marRight w:val="0"/>
      <w:marTop w:val="0"/>
      <w:marBottom w:val="0"/>
      <w:divBdr>
        <w:top w:val="none" w:sz="0" w:space="0" w:color="auto"/>
        <w:left w:val="none" w:sz="0" w:space="0" w:color="auto"/>
        <w:bottom w:val="none" w:sz="0" w:space="0" w:color="auto"/>
        <w:right w:val="none" w:sz="0" w:space="0" w:color="auto"/>
      </w:divBdr>
    </w:div>
    <w:div w:id="1776318186">
      <w:bodyDiv w:val="1"/>
      <w:marLeft w:val="0"/>
      <w:marRight w:val="0"/>
      <w:marTop w:val="0"/>
      <w:marBottom w:val="0"/>
      <w:divBdr>
        <w:top w:val="none" w:sz="0" w:space="0" w:color="auto"/>
        <w:left w:val="none" w:sz="0" w:space="0" w:color="auto"/>
        <w:bottom w:val="none" w:sz="0" w:space="0" w:color="auto"/>
        <w:right w:val="none" w:sz="0" w:space="0" w:color="auto"/>
      </w:divBdr>
    </w:div>
    <w:div w:id="1823542142">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54051332">
      <w:bodyDiv w:val="1"/>
      <w:marLeft w:val="0"/>
      <w:marRight w:val="0"/>
      <w:marTop w:val="0"/>
      <w:marBottom w:val="0"/>
      <w:divBdr>
        <w:top w:val="none" w:sz="0" w:space="0" w:color="auto"/>
        <w:left w:val="none" w:sz="0" w:space="0" w:color="auto"/>
        <w:bottom w:val="none" w:sz="0" w:space="0" w:color="auto"/>
        <w:right w:val="none" w:sz="0" w:space="0" w:color="auto"/>
      </w:divBdr>
    </w:div>
    <w:div w:id="1975985764">
      <w:bodyDiv w:val="1"/>
      <w:marLeft w:val="0"/>
      <w:marRight w:val="0"/>
      <w:marTop w:val="0"/>
      <w:marBottom w:val="0"/>
      <w:divBdr>
        <w:top w:val="none" w:sz="0" w:space="0" w:color="auto"/>
        <w:left w:val="none" w:sz="0" w:space="0" w:color="auto"/>
        <w:bottom w:val="none" w:sz="0" w:space="0" w:color="auto"/>
        <w:right w:val="none" w:sz="0" w:space="0" w:color="auto"/>
      </w:divBdr>
      <w:divsChild>
        <w:div w:id="180047126">
          <w:marLeft w:val="1166"/>
          <w:marRight w:val="0"/>
          <w:marTop w:val="86"/>
          <w:marBottom w:val="0"/>
          <w:divBdr>
            <w:top w:val="none" w:sz="0" w:space="0" w:color="auto"/>
            <w:left w:val="none" w:sz="0" w:space="0" w:color="auto"/>
            <w:bottom w:val="none" w:sz="0" w:space="0" w:color="auto"/>
            <w:right w:val="none" w:sz="0" w:space="0" w:color="auto"/>
          </w:divBdr>
        </w:div>
      </w:divsChild>
    </w:div>
    <w:div w:id="1977026399">
      <w:bodyDiv w:val="1"/>
      <w:marLeft w:val="0"/>
      <w:marRight w:val="0"/>
      <w:marTop w:val="0"/>
      <w:marBottom w:val="0"/>
      <w:divBdr>
        <w:top w:val="none" w:sz="0" w:space="0" w:color="auto"/>
        <w:left w:val="none" w:sz="0" w:space="0" w:color="auto"/>
        <w:bottom w:val="none" w:sz="0" w:space="0" w:color="auto"/>
        <w:right w:val="none" w:sz="0" w:space="0" w:color="auto"/>
      </w:divBdr>
    </w:div>
    <w:div w:id="212700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76606-8E6D-4F4A-BC33-5C76C37D3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13501</Words>
  <Characters>75018</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2020-06-24T00:40:00Z</dcterms:created>
  <dcterms:modified xsi:type="dcterms:W3CDTF">2020-06-25T01:07:00Z</dcterms:modified>
</cp:coreProperties>
</file>