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BB" w:rsidRDefault="00D819F7" w:rsidP="00C446B3">
      <w:pPr>
        <w:pStyle w:val="1MainTitle"/>
      </w:pPr>
      <w:r w:rsidRPr="00AA09D8">
        <w:t>6.16</w:t>
      </w:r>
      <w:r w:rsidRPr="00AA09D8">
        <w:tab/>
        <w:t>TRIGLYCERIDES MEDIUM CHAIN FORMULA</w:t>
      </w:r>
      <w:r w:rsidR="00FC3647" w:rsidRPr="00AA09D8">
        <w:br/>
      </w:r>
      <w:r w:rsidRPr="00AA09D8">
        <w:t>Oral powder 400 g</w:t>
      </w:r>
      <w:r w:rsidR="009D135B" w:rsidRPr="00AA09D8">
        <w:t xml:space="preserve">, </w:t>
      </w:r>
      <w:bookmarkStart w:id="0" w:name="_GoBack"/>
      <w:bookmarkEnd w:id="0"/>
      <w:r w:rsidR="00FC3647" w:rsidRPr="00AA09D8">
        <w:br/>
      </w:r>
      <w:proofErr w:type="spellStart"/>
      <w:r w:rsidRPr="00AA09D8">
        <w:t>Peptamen</w:t>
      </w:r>
      <w:proofErr w:type="spellEnd"/>
      <w:r w:rsidRPr="00AA09D8">
        <w:t xml:space="preserve"> Junior</w:t>
      </w:r>
      <w:r w:rsidR="00FC3647" w:rsidRPr="00AA09D8">
        <w:rPr>
          <w:vertAlign w:val="superscript"/>
        </w:rPr>
        <w:t>®</w:t>
      </w:r>
      <w:r w:rsidRPr="00AA09D8">
        <w:t xml:space="preserve">, </w:t>
      </w:r>
    </w:p>
    <w:p w:rsidR="00C446B3" w:rsidRPr="00AA09D8" w:rsidRDefault="00D819F7" w:rsidP="00B733BB">
      <w:pPr>
        <w:pStyle w:val="1MainTitle"/>
        <w:ind w:firstLine="0"/>
      </w:pPr>
      <w:r w:rsidRPr="00AA09D8">
        <w:t>Nestle Health Science</w:t>
      </w:r>
    </w:p>
    <w:p w:rsidR="00FC3647" w:rsidRPr="00AA09D8" w:rsidRDefault="00FC3647" w:rsidP="00FC3647">
      <w:pPr>
        <w:pStyle w:val="2Sections"/>
        <w:numPr>
          <w:ilvl w:val="0"/>
          <w:numId w:val="5"/>
        </w:numPr>
      </w:pPr>
      <w:r w:rsidRPr="00AA09D8">
        <w:t xml:space="preserve">Purpose of Application </w:t>
      </w:r>
    </w:p>
    <w:p w:rsidR="00FC3647" w:rsidRPr="00AA09D8" w:rsidRDefault="00FC3647" w:rsidP="008D11BD">
      <w:pPr>
        <w:pStyle w:val="3Bodytext"/>
      </w:pPr>
      <w:proofErr w:type="gramStart"/>
      <w:r w:rsidRPr="00AA09D8">
        <w:t>The minor submission requested</w:t>
      </w:r>
      <w:r w:rsidR="00DE142C" w:rsidRPr="00AA09D8">
        <w:t xml:space="preserve"> a Restricted Benefit listing of a triglycerides medium chain formula</w:t>
      </w:r>
      <w:r w:rsidR="0003299A" w:rsidRPr="00AA09D8">
        <w:t xml:space="preserve">, </w:t>
      </w:r>
      <w:proofErr w:type="spellStart"/>
      <w:r w:rsidR="0003299A" w:rsidRPr="00AA09D8">
        <w:t>Peptamen</w:t>
      </w:r>
      <w:proofErr w:type="spellEnd"/>
      <w:r w:rsidR="0003299A" w:rsidRPr="00AA09D8">
        <w:t xml:space="preserve"> Junior</w:t>
      </w:r>
      <w:r w:rsidR="004579C8" w:rsidRPr="00AA09D8">
        <w:rPr>
          <w:rFonts w:cstheme="minorHAnsi"/>
        </w:rPr>
        <w:t>®</w:t>
      </w:r>
      <w:r w:rsidR="00CA7173" w:rsidRPr="00AA09D8">
        <w:rPr>
          <w:rFonts w:cstheme="minorHAnsi"/>
        </w:rPr>
        <w:t>,</w:t>
      </w:r>
      <w:r w:rsidR="004579C8" w:rsidRPr="00AA09D8">
        <w:t xml:space="preserve"> for the dietary management of </w:t>
      </w:r>
      <w:r w:rsidR="009E3F4F" w:rsidRPr="00AA09D8">
        <w:t xml:space="preserve">malnutrition and/or intolerance to conventional enteral nutrition formulas for critically or chronically ill paediatric patients who are dependent on nutritional therapy </w:t>
      </w:r>
      <w:r w:rsidR="003C39E0" w:rsidRPr="00AA09D8">
        <w:t>due to</w:t>
      </w:r>
      <w:r w:rsidR="009E3F4F" w:rsidRPr="00AA09D8">
        <w:t xml:space="preserve"> short bowel syndrome, neurological impairment (e.g. cerebral palsy), cystic fibrosis, Crohn’s disease, malabsorption, chronic diarrhoea, HIV/</w:t>
      </w:r>
      <w:r w:rsidR="00863D32" w:rsidRPr="00AA09D8">
        <w:t>AID</w:t>
      </w:r>
      <w:r w:rsidR="00863D32">
        <w:t>S</w:t>
      </w:r>
      <w:r w:rsidR="009E3F4F" w:rsidRPr="00AA09D8">
        <w:t>, burns and cancer.</w:t>
      </w:r>
      <w:proofErr w:type="gramEnd"/>
      <w:r w:rsidR="009E3F4F" w:rsidRPr="00AA09D8">
        <w:t xml:space="preserve"> </w:t>
      </w:r>
    </w:p>
    <w:p w:rsidR="00F57BED" w:rsidRPr="00AA09D8" w:rsidRDefault="00F57BED" w:rsidP="00F57BED">
      <w:pPr>
        <w:pStyle w:val="2Sections"/>
      </w:pPr>
      <w:r w:rsidRPr="00AA09D8">
        <w:t>Background</w:t>
      </w:r>
    </w:p>
    <w:p w:rsidR="00F57BED" w:rsidRPr="00AA09D8" w:rsidRDefault="00F57BED" w:rsidP="00F57BED">
      <w:pPr>
        <w:pStyle w:val="3Bodytext"/>
      </w:pPr>
      <w:proofErr w:type="spellStart"/>
      <w:r w:rsidRPr="00AA09D8">
        <w:t>Peptamen</w:t>
      </w:r>
      <w:proofErr w:type="spellEnd"/>
      <w:r w:rsidRPr="00AA09D8">
        <w:t xml:space="preserve"> Junior </w:t>
      </w:r>
      <w:proofErr w:type="gramStart"/>
      <w:r w:rsidRPr="00AA09D8">
        <w:t>is currently listed</w:t>
      </w:r>
      <w:proofErr w:type="gramEnd"/>
      <w:r w:rsidRPr="00AA09D8">
        <w:t xml:space="preserve"> on the PBS for fat malabsorption due to liver disease, short gut syndrome, cystic fibrosis and gastrointestinal disorders.</w:t>
      </w:r>
    </w:p>
    <w:p w:rsidR="00F57BED" w:rsidRPr="00AA09D8" w:rsidRDefault="00F57BED" w:rsidP="00F57BED">
      <w:pPr>
        <w:pStyle w:val="3Bodytext"/>
      </w:pPr>
      <w:r w:rsidRPr="00AA09D8">
        <w:t xml:space="preserve">In the minor submission, the sponsor confirmed that </w:t>
      </w:r>
      <w:proofErr w:type="spellStart"/>
      <w:r w:rsidRPr="00AA09D8">
        <w:t>Peptamen</w:t>
      </w:r>
      <w:proofErr w:type="spellEnd"/>
      <w:r w:rsidRPr="00AA09D8">
        <w:t xml:space="preserve"> Junior meets the requirements for foods for medical purposes as set out under </w:t>
      </w:r>
      <w:r w:rsidRPr="00AA09D8">
        <w:rPr>
          <w:i/>
        </w:rPr>
        <w:t>The Australia New Zealand Food Standards Code — Standard 2.9.5: Food for Special Medical Purposes.</w:t>
      </w:r>
    </w:p>
    <w:p w:rsidR="00F57BED" w:rsidRPr="00AA09D8" w:rsidRDefault="00F57BED" w:rsidP="00F57BED">
      <w:pPr>
        <w:pStyle w:val="3Bodytext"/>
        <w:numPr>
          <w:ilvl w:val="0"/>
          <w:numId w:val="0"/>
        </w:numPr>
        <w:ind w:left="720"/>
      </w:pPr>
      <w:r w:rsidRPr="00AA09D8">
        <w:rPr>
          <w:i/>
        </w:rPr>
        <w:t>For more detail on PBAC’s view, see section 6 PBAC outcome.</w:t>
      </w:r>
    </w:p>
    <w:p w:rsidR="00FC3647" w:rsidRPr="00AA09D8" w:rsidRDefault="00FC3647" w:rsidP="00B733BB">
      <w:pPr>
        <w:pStyle w:val="2Sections"/>
        <w:keepNext/>
        <w:numPr>
          <w:ilvl w:val="0"/>
          <w:numId w:val="5"/>
        </w:numPr>
      </w:pPr>
      <w:r w:rsidRPr="00AA09D8">
        <w:t>Requested listing</w:t>
      </w:r>
    </w:p>
    <w:p w:rsidR="00FC3647" w:rsidRPr="00AA09D8" w:rsidRDefault="00FC3647" w:rsidP="00B733BB">
      <w:pPr>
        <w:pStyle w:val="3Bodytext"/>
        <w:keepNext/>
        <w:numPr>
          <w:ilvl w:val="1"/>
          <w:numId w:val="5"/>
        </w:numPr>
      </w:pPr>
      <w:r w:rsidRPr="00AA09D8">
        <w:t>The submission requested the following new listing</w:t>
      </w:r>
      <w:r w:rsidR="00CC74B5" w:rsidRPr="00AA09D8">
        <w:t>.</w:t>
      </w:r>
    </w:p>
    <w:p w:rsidR="00D819F7" w:rsidRPr="00AA09D8" w:rsidRDefault="00FC3647" w:rsidP="00D819F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AA09D8">
        <w:rPr>
          <w:rFonts w:asciiTheme="minorHAnsi" w:eastAsiaTheme="minorHAnsi" w:hAnsiTheme="minorHAnsi" w:cstheme="minorBidi"/>
          <w:snapToGrid/>
          <w:sz w:val="24"/>
          <w:szCs w:val="22"/>
        </w:rPr>
        <w:t xml:space="preserve">Suggestions and additions proposed by the Secretariat to the requested listing </w:t>
      </w:r>
      <w:proofErr w:type="gramStart"/>
      <w:r w:rsidRPr="00AA09D8">
        <w:rPr>
          <w:rFonts w:asciiTheme="minorHAnsi" w:eastAsiaTheme="minorHAnsi" w:hAnsiTheme="minorHAnsi" w:cstheme="minorBidi"/>
          <w:snapToGrid/>
          <w:sz w:val="24"/>
          <w:szCs w:val="22"/>
        </w:rPr>
        <w:t>are added</w:t>
      </w:r>
      <w:proofErr w:type="gramEnd"/>
      <w:r w:rsidRPr="00AA09D8">
        <w:rPr>
          <w:rFonts w:asciiTheme="minorHAnsi" w:eastAsiaTheme="minorHAnsi" w:hAnsiTheme="minorHAnsi" w:cstheme="minorBidi"/>
          <w:snapToGrid/>
          <w:sz w:val="24"/>
          <w:szCs w:val="22"/>
        </w:rPr>
        <w:t xml:space="preserve"> in italics and suggested deletions are crossed out with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D819F7" w:rsidRPr="00AA09D8" w:rsidTr="00221A73">
        <w:trPr>
          <w:cantSplit/>
          <w:trHeight w:val="471"/>
        </w:trPr>
        <w:tc>
          <w:tcPr>
            <w:tcW w:w="2689" w:type="dxa"/>
          </w:tcPr>
          <w:p w:rsidR="00D819F7" w:rsidRPr="00AA09D8" w:rsidRDefault="00D819F7" w:rsidP="00221A73">
            <w:pPr>
              <w:keepNext/>
              <w:ind w:left="-108"/>
              <w:jc w:val="both"/>
              <w:rPr>
                <w:rFonts w:ascii="Arial Narrow" w:hAnsi="Arial Narrow" w:cs="Arial"/>
                <w:b/>
                <w:sz w:val="18"/>
                <w:szCs w:val="18"/>
              </w:rPr>
            </w:pPr>
            <w:r w:rsidRPr="00AA09D8">
              <w:rPr>
                <w:rFonts w:ascii="Arial Narrow" w:hAnsi="Arial Narrow" w:cs="Arial"/>
                <w:b/>
                <w:sz w:val="18"/>
                <w:szCs w:val="18"/>
              </w:rPr>
              <w:t>Name, Restriction,</w:t>
            </w:r>
          </w:p>
          <w:p w:rsidR="00D819F7" w:rsidRPr="00AA09D8" w:rsidRDefault="00D819F7" w:rsidP="00221A73">
            <w:pPr>
              <w:keepNext/>
              <w:ind w:left="-108"/>
              <w:jc w:val="both"/>
              <w:rPr>
                <w:rFonts w:ascii="Arial Narrow" w:hAnsi="Arial Narrow" w:cs="Arial"/>
                <w:b/>
                <w:sz w:val="18"/>
                <w:szCs w:val="18"/>
              </w:rPr>
            </w:pPr>
            <w:r w:rsidRPr="00AA09D8">
              <w:rPr>
                <w:rFonts w:ascii="Arial Narrow" w:hAnsi="Arial Narrow" w:cs="Arial"/>
                <w:b/>
                <w:sz w:val="18"/>
                <w:szCs w:val="18"/>
              </w:rPr>
              <w:t>Manner of administration and form</w:t>
            </w:r>
          </w:p>
        </w:tc>
        <w:tc>
          <w:tcPr>
            <w:tcW w:w="1275" w:type="dxa"/>
          </w:tcPr>
          <w:p w:rsidR="00D819F7" w:rsidRPr="00AA09D8" w:rsidRDefault="00D819F7" w:rsidP="00221A73">
            <w:pPr>
              <w:keepNext/>
              <w:ind w:left="-108"/>
              <w:jc w:val="center"/>
              <w:rPr>
                <w:rFonts w:ascii="Arial Narrow" w:hAnsi="Arial Narrow" w:cs="Arial"/>
                <w:b/>
                <w:sz w:val="18"/>
                <w:szCs w:val="18"/>
              </w:rPr>
            </w:pPr>
            <w:r w:rsidRPr="00AA09D8">
              <w:rPr>
                <w:rFonts w:ascii="Arial Narrow" w:hAnsi="Arial Narrow" w:cs="Arial"/>
                <w:b/>
                <w:sz w:val="18"/>
                <w:szCs w:val="18"/>
              </w:rPr>
              <w:t>PBS item code</w:t>
            </w:r>
          </w:p>
        </w:tc>
        <w:tc>
          <w:tcPr>
            <w:tcW w:w="851" w:type="dxa"/>
          </w:tcPr>
          <w:p w:rsidR="00D819F7" w:rsidRPr="00AA09D8" w:rsidRDefault="00D819F7" w:rsidP="00221A73">
            <w:pPr>
              <w:keepNext/>
              <w:ind w:left="-108"/>
              <w:jc w:val="center"/>
              <w:rPr>
                <w:rFonts w:ascii="Arial Narrow" w:hAnsi="Arial Narrow" w:cs="Arial"/>
                <w:b/>
                <w:sz w:val="18"/>
                <w:szCs w:val="18"/>
              </w:rPr>
            </w:pPr>
            <w:r w:rsidRPr="00AA09D8">
              <w:rPr>
                <w:rFonts w:ascii="Arial Narrow" w:hAnsi="Arial Narrow" w:cs="Arial"/>
                <w:b/>
                <w:sz w:val="18"/>
                <w:szCs w:val="18"/>
              </w:rPr>
              <w:t>Max. qty packs</w:t>
            </w:r>
          </w:p>
        </w:tc>
        <w:tc>
          <w:tcPr>
            <w:tcW w:w="850" w:type="dxa"/>
          </w:tcPr>
          <w:p w:rsidR="00D819F7" w:rsidRPr="00AA09D8" w:rsidRDefault="00D819F7" w:rsidP="00221A73">
            <w:pPr>
              <w:keepNext/>
              <w:ind w:left="-108"/>
              <w:jc w:val="center"/>
              <w:rPr>
                <w:rFonts w:ascii="Arial Narrow" w:hAnsi="Arial Narrow" w:cs="Arial"/>
                <w:b/>
                <w:sz w:val="18"/>
                <w:szCs w:val="18"/>
              </w:rPr>
            </w:pPr>
            <w:r w:rsidRPr="00AA09D8">
              <w:rPr>
                <w:rFonts w:ascii="Arial Narrow" w:hAnsi="Arial Narrow" w:cs="Arial"/>
                <w:b/>
                <w:sz w:val="18"/>
                <w:szCs w:val="18"/>
              </w:rPr>
              <w:t>Max. qty units</w:t>
            </w:r>
          </w:p>
        </w:tc>
        <w:tc>
          <w:tcPr>
            <w:tcW w:w="709" w:type="dxa"/>
          </w:tcPr>
          <w:p w:rsidR="00D819F7" w:rsidRPr="00AA09D8" w:rsidRDefault="00D819F7" w:rsidP="00221A73">
            <w:pPr>
              <w:keepNext/>
              <w:ind w:left="-108"/>
              <w:jc w:val="center"/>
              <w:rPr>
                <w:rFonts w:ascii="Arial Narrow" w:hAnsi="Arial Narrow" w:cs="Arial"/>
                <w:b/>
                <w:sz w:val="18"/>
                <w:szCs w:val="18"/>
              </w:rPr>
            </w:pPr>
            <w:r w:rsidRPr="00AA09D8">
              <w:rPr>
                <w:rFonts w:ascii="Arial Narrow" w:hAnsi="Arial Narrow" w:cs="Arial"/>
                <w:b/>
                <w:sz w:val="18"/>
                <w:szCs w:val="18"/>
              </w:rPr>
              <w:t>№.of</w:t>
            </w:r>
          </w:p>
          <w:p w:rsidR="00D819F7" w:rsidRPr="00AA09D8" w:rsidRDefault="00D819F7" w:rsidP="00221A73">
            <w:pPr>
              <w:keepNext/>
              <w:ind w:left="-108"/>
              <w:jc w:val="center"/>
              <w:rPr>
                <w:rFonts w:ascii="Arial Narrow" w:hAnsi="Arial Narrow" w:cs="Arial"/>
                <w:b/>
                <w:sz w:val="18"/>
                <w:szCs w:val="18"/>
              </w:rPr>
            </w:pPr>
            <w:r w:rsidRPr="00AA09D8">
              <w:rPr>
                <w:rFonts w:ascii="Arial Narrow" w:hAnsi="Arial Narrow" w:cs="Arial"/>
                <w:b/>
                <w:sz w:val="18"/>
                <w:szCs w:val="18"/>
              </w:rPr>
              <w:t>Rpts</w:t>
            </w:r>
          </w:p>
        </w:tc>
        <w:tc>
          <w:tcPr>
            <w:tcW w:w="2551" w:type="dxa"/>
            <w:gridSpan w:val="2"/>
          </w:tcPr>
          <w:p w:rsidR="00D819F7" w:rsidRPr="00AA09D8" w:rsidRDefault="00D819F7" w:rsidP="00221A73">
            <w:pPr>
              <w:keepNext/>
              <w:rPr>
                <w:rFonts w:ascii="Arial Narrow" w:hAnsi="Arial Narrow" w:cs="Arial"/>
                <w:b/>
                <w:sz w:val="18"/>
                <w:szCs w:val="18"/>
              </w:rPr>
            </w:pPr>
            <w:r w:rsidRPr="00AA09D8">
              <w:rPr>
                <w:rFonts w:ascii="Arial Narrow" w:hAnsi="Arial Narrow" w:cs="Arial"/>
                <w:b/>
                <w:sz w:val="18"/>
                <w:szCs w:val="18"/>
              </w:rPr>
              <w:t>Proprietary Name and Manufacturer</w:t>
            </w:r>
          </w:p>
        </w:tc>
      </w:tr>
      <w:tr w:rsidR="00D819F7" w:rsidRPr="00AA09D8" w:rsidTr="00221A73">
        <w:trPr>
          <w:cantSplit/>
          <w:trHeight w:val="761"/>
        </w:trPr>
        <w:tc>
          <w:tcPr>
            <w:tcW w:w="2689" w:type="dxa"/>
          </w:tcPr>
          <w:p w:rsidR="00B733BB" w:rsidRDefault="0003299A" w:rsidP="00B733BB">
            <w:pPr>
              <w:keepNext/>
              <w:ind w:left="-108"/>
              <w:rPr>
                <w:rFonts w:ascii="Arial Narrow" w:hAnsi="Arial Narrow" w:cs="Arial"/>
                <w:sz w:val="18"/>
                <w:szCs w:val="18"/>
              </w:rPr>
            </w:pPr>
            <w:r w:rsidRPr="00AA09D8">
              <w:rPr>
                <w:rFonts w:ascii="Arial Narrow" w:hAnsi="Arial Narrow" w:cs="Arial"/>
                <w:sz w:val="18"/>
                <w:szCs w:val="18"/>
              </w:rPr>
              <w:t>TRIGLYCERIDES MEDIUM CHAIN FORMULA</w:t>
            </w:r>
          </w:p>
          <w:p w:rsidR="00D819F7" w:rsidRPr="00AA09D8" w:rsidRDefault="0003299A" w:rsidP="00B733BB">
            <w:pPr>
              <w:keepNext/>
              <w:ind w:left="-108"/>
              <w:rPr>
                <w:rFonts w:ascii="Arial Narrow" w:hAnsi="Arial Narrow" w:cs="Arial"/>
                <w:sz w:val="18"/>
                <w:szCs w:val="18"/>
              </w:rPr>
            </w:pPr>
            <w:r w:rsidRPr="00AA09D8">
              <w:rPr>
                <w:rFonts w:ascii="Arial Narrow" w:hAnsi="Arial Narrow" w:cs="Arial"/>
                <w:sz w:val="18"/>
                <w:szCs w:val="18"/>
              </w:rPr>
              <w:t>oral powder 400 g</w:t>
            </w:r>
          </w:p>
        </w:tc>
        <w:tc>
          <w:tcPr>
            <w:tcW w:w="1275" w:type="dxa"/>
          </w:tcPr>
          <w:p w:rsidR="00D819F7" w:rsidRPr="00AA09D8" w:rsidRDefault="00D819F7" w:rsidP="00221A73">
            <w:pPr>
              <w:keepNext/>
              <w:ind w:left="-108"/>
              <w:jc w:val="center"/>
              <w:rPr>
                <w:rFonts w:ascii="Arial Narrow" w:hAnsi="Arial Narrow" w:cs="Arial"/>
                <w:sz w:val="18"/>
                <w:szCs w:val="18"/>
              </w:rPr>
            </w:pPr>
          </w:p>
          <w:p w:rsidR="0003299A" w:rsidRPr="00AA09D8" w:rsidRDefault="0003299A" w:rsidP="00221A73">
            <w:pPr>
              <w:keepNext/>
              <w:ind w:left="-108"/>
              <w:jc w:val="center"/>
              <w:rPr>
                <w:rFonts w:ascii="Arial Narrow" w:hAnsi="Arial Narrow" w:cs="Arial"/>
                <w:sz w:val="18"/>
                <w:szCs w:val="18"/>
              </w:rPr>
            </w:pPr>
          </w:p>
          <w:p w:rsidR="00D819F7" w:rsidRPr="00AA09D8" w:rsidRDefault="00D819F7" w:rsidP="00221A73">
            <w:pPr>
              <w:keepNext/>
              <w:ind w:left="-108"/>
              <w:jc w:val="center"/>
              <w:rPr>
                <w:rFonts w:ascii="Arial Narrow" w:hAnsi="Arial Narrow" w:cs="Arial"/>
                <w:sz w:val="18"/>
                <w:szCs w:val="18"/>
              </w:rPr>
            </w:pPr>
            <w:r w:rsidRPr="00AA09D8">
              <w:rPr>
                <w:rFonts w:ascii="Arial Narrow" w:hAnsi="Arial Narrow" w:cs="Arial"/>
                <w:sz w:val="18"/>
                <w:szCs w:val="18"/>
              </w:rPr>
              <w:t>NEW</w:t>
            </w:r>
          </w:p>
        </w:tc>
        <w:tc>
          <w:tcPr>
            <w:tcW w:w="851" w:type="dxa"/>
          </w:tcPr>
          <w:p w:rsidR="00D819F7" w:rsidRPr="00AA09D8" w:rsidRDefault="00D819F7" w:rsidP="00221A73">
            <w:pPr>
              <w:keepNext/>
              <w:jc w:val="center"/>
              <w:rPr>
                <w:rFonts w:ascii="Arial Narrow" w:hAnsi="Arial Narrow" w:cs="Arial"/>
                <w:sz w:val="18"/>
                <w:szCs w:val="18"/>
              </w:rPr>
            </w:pPr>
          </w:p>
          <w:p w:rsidR="0003299A" w:rsidRPr="00AA09D8" w:rsidRDefault="0003299A" w:rsidP="00221A73">
            <w:pPr>
              <w:keepNext/>
              <w:jc w:val="center"/>
              <w:rPr>
                <w:rFonts w:ascii="Arial Narrow" w:hAnsi="Arial Narrow" w:cs="Arial"/>
                <w:sz w:val="18"/>
                <w:szCs w:val="18"/>
              </w:rPr>
            </w:pPr>
          </w:p>
          <w:p w:rsidR="00D819F7" w:rsidRPr="00AA09D8" w:rsidRDefault="0025257D" w:rsidP="00221A73">
            <w:pPr>
              <w:keepNext/>
              <w:jc w:val="center"/>
              <w:rPr>
                <w:rFonts w:ascii="Arial Narrow" w:hAnsi="Arial Narrow" w:cs="Arial"/>
                <w:sz w:val="18"/>
                <w:szCs w:val="18"/>
              </w:rPr>
            </w:pPr>
            <w:r w:rsidRPr="00AA09D8">
              <w:rPr>
                <w:rFonts w:ascii="Arial Narrow" w:hAnsi="Arial Narrow" w:cs="Arial"/>
                <w:sz w:val="18"/>
                <w:szCs w:val="18"/>
              </w:rPr>
              <w:t>8</w:t>
            </w:r>
          </w:p>
        </w:tc>
        <w:tc>
          <w:tcPr>
            <w:tcW w:w="850" w:type="dxa"/>
          </w:tcPr>
          <w:p w:rsidR="00D819F7" w:rsidRPr="00AA09D8" w:rsidRDefault="00D819F7" w:rsidP="00221A73">
            <w:pPr>
              <w:keepNext/>
              <w:ind w:left="-108"/>
              <w:jc w:val="center"/>
              <w:rPr>
                <w:rFonts w:ascii="Arial Narrow" w:hAnsi="Arial Narrow" w:cs="Arial"/>
                <w:sz w:val="18"/>
                <w:szCs w:val="18"/>
              </w:rPr>
            </w:pPr>
          </w:p>
          <w:p w:rsidR="0003299A" w:rsidRPr="00AA09D8" w:rsidRDefault="0003299A" w:rsidP="00221A73">
            <w:pPr>
              <w:keepNext/>
              <w:ind w:left="-108"/>
              <w:jc w:val="center"/>
              <w:rPr>
                <w:rFonts w:ascii="Arial Narrow" w:hAnsi="Arial Narrow" w:cs="Arial"/>
                <w:sz w:val="18"/>
                <w:szCs w:val="18"/>
              </w:rPr>
            </w:pPr>
          </w:p>
          <w:p w:rsidR="00D819F7" w:rsidRPr="00AA09D8" w:rsidRDefault="0003299A" w:rsidP="00221A73">
            <w:pPr>
              <w:keepNext/>
              <w:ind w:left="-108"/>
              <w:jc w:val="center"/>
              <w:rPr>
                <w:rFonts w:ascii="Arial Narrow" w:hAnsi="Arial Narrow" w:cs="Arial"/>
                <w:sz w:val="18"/>
                <w:szCs w:val="18"/>
              </w:rPr>
            </w:pPr>
            <w:r w:rsidRPr="00AA09D8">
              <w:rPr>
                <w:rFonts w:ascii="Arial Narrow" w:hAnsi="Arial Narrow" w:cs="Arial"/>
                <w:sz w:val="18"/>
                <w:szCs w:val="18"/>
              </w:rPr>
              <w:t>8</w:t>
            </w:r>
          </w:p>
        </w:tc>
        <w:tc>
          <w:tcPr>
            <w:tcW w:w="709" w:type="dxa"/>
          </w:tcPr>
          <w:p w:rsidR="00D819F7" w:rsidRPr="00AA09D8" w:rsidRDefault="00D819F7" w:rsidP="00221A73">
            <w:pPr>
              <w:keepNext/>
              <w:ind w:left="-108"/>
              <w:jc w:val="center"/>
              <w:rPr>
                <w:rFonts w:ascii="Arial Narrow" w:hAnsi="Arial Narrow" w:cs="Arial"/>
                <w:sz w:val="18"/>
                <w:szCs w:val="18"/>
              </w:rPr>
            </w:pPr>
          </w:p>
          <w:p w:rsidR="0003299A" w:rsidRPr="00AA09D8" w:rsidRDefault="0003299A" w:rsidP="00221A73">
            <w:pPr>
              <w:keepNext/>
              <w:ind w:left="-108"/>
              <w:jc w:val="center"/>
              <w:rPr>
                <w:rFonts w:ascii="Arial Narrow" w:hAnsi="Arial Narrow" w:cs="Arial"/>
                <w:sz w:val="18"/>
                <w:szCs w:val="18"/>
              </w:rPr>
            </w:pPr>
          </w:p>
          <w:p w:rsidR="00D819F7" w:rsidRPr="00AA09D8" w:rsidRDefault="00D819F7" w:rsidP="00221A73">
            <w:pPr>
              <w:keepNext/>
              <w:ind w:left="-108"/>
              <w:jc w:val="center"/>
              <w:rPr>
                <w:rFonts w:ascii="Arial Narrow" w:hAnsi="Arial Narrow" w:cs="Arial"/>
                <w:sz w:val="18"/>
                <w:szCs w:val="18"/>
              </w:rPr>
            </w:pPr>
            <w:r w:rsidRPr="00AA09D8">
              <w:rPr>
                <w:rFonts w:ascii="Arial Narrow" w:hAnsi="Arial Narrow" w:cs="Arial"/>
                <w:sz w:val="18"/>
                <w:szCs w:val="18"/>
              </w:rPr>
              <w:t>5</w:t>
            </w:r>
          </w:p>
          <w:p w:rsidR="00D819F7" w:rsidRPr="00AA09D8" w:rsidRDefault="00D819F7" w:rsidP="00221A73">
            <w:pPr>
              <w:keepNext/>
              <w:rPr>
                <w:rFonts w:ascii="Arial Narrow" w:hAnsi="Arial Narrow" w:cs="Arial"/>
                <w:sz w:val="18"/>
                <w:szCs w:val="18"/>
              </w:rPr>
            </w:pPr>
          </w:p>
        </w:tc>
        <w:tc>
          <w:tcPr>
            <w:tcW w:w="1134" w:type="dxa"/>
          </w:tcPr>
          <w:p w:rsidR="00D819F7" w:rsidRPr="00AA09D8" w:rsidRDefault="00D819F7" w:rsidP="00221A73">
            <w:pPr>
              <w:keepNext/>
              <w:jc w:val="both"/>
              <w:rPr>
                <w:rFonts w:ascii="Arial Narrow" w:hAnsi="Arial Narrow" w:cs="Arial"/>
                <w:sz w:val="18"/>
                <w:szCs w:val="18"/>
              </w:rPr>
            </w:pPr>
          </w:p>
          <w:p w:rsidR="0003299A" w:rsidRPr="00AA09D8" w:rsidRDefault="0003299A" w:rsidP="00221A73">
            <w:pPr>
              <w:keepNext/>
              <w:jc w:val="both"/>
              <w:rPr>
                <w:rFonts w:ascii="Arial Narrow" w:hAnsi="Arial Narrow" w:cs="Arial"/>
                <w:sz w:val="18"/>
                <w:szCs w:val="18"/>
              </w:rPr>
            </w:pPr>
          </w:p>
          <w:p w:rsidR="00D819F7" w:rsidRPr="00AA09D8" w:rsidRDefault="0003299A" w:rsidP="00221A73">
            <w:pPr>
              <w:keepNext/>
              <w:jc w:val="both"/>
              <w:rPr>
                <w:rFonts w:ascii="Arial Narrow" w:hAnsi="Arial Narrow" w:cs="Arial"/>
                <w:sz w:val="18"/>
                <w:szCs w:val="18"/>
              </w:rPr>
            </w:pPr>
            <w:proofErr w:type="spellStart"/>
            <w:r w:rsidRPr="00AA09D8">
              <w:rPr>
                <w:rFonts w:ascii="Arial Narrow" w:hAnsi="Arial Narrow" w:cs="Arial"/>
                <w:sz w:val="18"/>
                <w:szCs w:val="18"/>
              </w:rPr>
              <w:t>Peptamen</w:t>
            </w:r>
            <w:proofErr w:type="spellEnd"/>
            <w:r w:rsidRPr="00AA09D8">
              <w:rPr>
                <w:rFonts w:ascii="Arial Narrow" w:hAnsi="Arial Narrow" w:cs="Arial"/>
                <w:sz w:val="18"/>
                <w:szCs w:val="18"/>
              </w:rPr>
              <w:t xml:space="preserve"> Junior</w:t>
            </w:r>
            <w:r w:rsidR="00D819F7" w:rsidRPr="00AA09D8">
              <w:rPr>
                <w:rFonts w:ascii="Arial Narrow" w:hAnsi="Arial Narrow" w:cs="Arial"/>
                <w:sz w:val="18"/>
                <w:szCs w:val="18"/>
                <w:vertAlign w:val="superscript"/>
              </w:rPr>
              <w:t>®</w:t>
            </w:r>
          </w:p>
        </w:tc>
        <w:tc>
          <w:tcPr>
            <w:tcW w:w="1417" w:type="dxa"/>
          </w:tcPr>
          <w:p w:rsidR="00D819F7" w:rsidRPr="00AA09D8" w:rsidRDefault="00D819F7" w:rsidP="00221A73">
            <w:pPr>
              <w:keepNext/>
              <w:rPr>
                <w:rFonts w:ascii="Arial Narrow" w:hAnsi="Arial Narrow" w:cs="Arial"/>
                <w:sz w:val="18"/>
                <w:szCs w:val="18"/>
              </w:rPr>
            </w:pPr>
          </w:p>
          <w:p w:rsidR="0003299A" w:rsidRPr="00AA09D8" w:rsidRDefault="0003299A" w:rsidP="00221A73">
            <w:pPr>
              <w:keepNext/>
              <w:rPr>
                <w:rFonts w:ascii="Arial Narrow" w:hAnsi="Arial Narrow" w:cs="Arial"/>
                <w:sz w:val="18"/>
                <w:szCs w:val="18"/>
              </w:rPr>
            </w:pPr>
          </w:p>
          <w:p w:rsidR="00D819F7" w:rsidRPr="00AA09D8" w:rsidRDefault="0003299A" w:rsidP="00221A73">
            <w:pPr>
              <w:keepNext/>
              <w:rPr>
                <w:rFonts w:ascii="Arial Narrow" w:hAnsi="Arial Narrow" w:cs="Arial"/>
                <w:sz w:val="18"/>
                <w:szCs w:val="18"/>
              </w:rPr>
            </w:pPr>
            <w:r w:rsidRPr="00AA09D8">
              <w:rPr>
                <w:rFonts w:ascii="Arial Narrow" w:hAnsi="Arial Narrow" w:cs="Arial"/>
                <w:sz w:val="18"/>
                <w:szCs w:val="18"/>
              </w:rPr>
              <w:t>Nestle Health Science</w:t>
            </w:r>
          </w:p>
        </w:tc>
      </w:tr>
    </w:tbl>
    <w:p w:rsidR="00D819F7" w:rsidRPr="00AA09D8" w:rsidRDefault="00D819F7" w:rsidP="00D819F7">
      <w:pPr>
        <w:rPr>
          <w:rFonts w:ascii="Arial Narrow" w:hAnsi="Arial Narrow"/>
          <w:b/>
          <w:sz w:val="18"/>
          <w:szCs w:val="18"/>
        </w:rPr>
      </w:pPr>
      <w:r w:rsidRPr="00AA09D8">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D819F7" w:rsidRPr="00AA09D8" w:rsidTr="00221A73">
        <w:tc>
          <w:tcPr>
            <w:tcW w:w="553" w:type="pct"/>
            <w:tcBorders>
              <w:top w:val="single" w:sz="4" w:space="0" w:color="auto"/>
              <w:left w:val="single" w:sz="4" w:space="0" w:color="auto"/>
              <w:bottom w:val="single" w:sz="4" w:space="0" w:color="auto"/>
              <w:right w:val="single" w:sz="4" w:space="0" w:color="auto"/>
            </w:tcBorders>
          </w:tcPr>
          <w:p w:rsidR="00D819F7" w:rsidRPr="00AA09D8" w:rsidRDefault="00D819F7" w:rsidP="00221A73">
            <w:pPr>
              <w:jc w:val="center"/>
              <w:rPr>
                <w:rFonts w:ascii="Arial Narrow" w:hAnsi="Arial Narrow" w:cs="Arial"/>
                <w:b/>
                <w:sz w:val="18"/>
                <w:szCs w:val="18"/>
              </w:rPr>
            </w:pPr>
            <w:r w:rsidRPr="00AA09D8">
              <w:rPr>
                <w:rFonts w:ascii="Arial Narrow" w:hAnsi="Arial Narrow" w:cs="Arial"/>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rsidR="00D819F7" w:rsidRPr="00AA09D8" w:rsidRDefault="00D819F7" w:rsidP="00221A73">
            <w:pPr>
              <w:jc w:val="both"/>
              <w:rPr>
                <w:rFonts w:ascii="Arial Narrow" w:hAnsi="Arial Narrow" w:cs="Arial"/>
                <w:sz w:val="18"/>
                <w:szCs w:val="18"/>
              </w:rPr>
            </w:pPr>
            <w:r w:rsidRPr="00AA09D8">
              <w:rPr>
                <w:rFonts w:ascii="Arial Narrow" w:hAnsi="Arial Narrow" w:cs="Arial"/>
                <w:b/>
                <w:sz w:val="18"/>
                <w:szCs w:val="18"/>
              </w:rPr>
              <w:t xml:space="preserve">Category / Program:  </w:t>
            </w:r>
          </w:p>
          <w:p w:rsidR="00D819F7" w:rsidRPr="00AA09D8" w:rsidRDefault="00D819F7" w:rsidP="00221A73">
            <w:pPr>
              <w:jc w:val="both"/>
              <w:rPr>
                <w:rFonts w:ascii="Arial Narrow" w:hAnsi="Arial Narrow" w:cs="Arial"/>
                <w:sz w:val="18"/>
                <w:szCs w:val="18"/>
              </w:rPr>
            </w:pPr>
            <w:r w:rsidRPr="00AA09D8">
              <w:rPr>
                <w:rFonts w:ascii="Arial Narrow" w:hAnsi="Arial Narrow" w:cs="Arial"/>
                <w:sz w:val="18"/>
                <w:szCs w:val="18"/>
              </w:rPr>
              <w:t xml:space="preserve">GENERAL – General Schedule (Code GE) </w:t>
            </w:r>
          </w:p>
        </w:tc>
      </w:tr>
      <w:tr w:rsidR="00D819F7" w:rsidRPr="00AA09D8" w:rsidTr="00221A73">
        <w:trPr>
          <w:trHeight w:val="366"/>
        </w:trPr>
        <w:tc>
          <w:tcPr>
            <w:tcW w:w="553" w:type="pct"/>
            <w:tcBorders>
              <w:top w:val="single" w:sz="4" w:space="0" w:color="auto"/>
              <w:left w:val="single" w:sz="4" w:space="0" w:color="auto"/>
              <w:bottom w:val="single" w:sz="4" w:space="0" w:color="auto"/>
              <w:right w:val="single" w:sz="4" w:space="0" w:color="auto"/>
            </w:tcBorders>
          </w:tcPr>
          <w:p w:rsidR="00D819F7" w:rsidRPr="00AA09D8" w:rsidRDefault="00D819F7" w:rsidP="00221A73">
            <w:pPr>
              <w:jc w:val="both"/>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D819F7" w:rsidRPr="00AA09D8" w:rsidRDefault="00D819F7" w:rsidP="00CB4479">
            <w:pPr>
              <w:jc w:val="both"/>
              <w:rPr>
                <w:rFonts w:ascii="Arial Narrow" w:hAnsi="Arial Narrow" w:cs="Arial"/>
                <w:sz w:val="18"/>
                <w:szCs w:val="18"/>
              </w:rPr>
            </w:pPr>
            <w:r w:rsidRPr="00AA09D8">
              <w:rPr>
                <w:rFonts w:ascii="Arial Narrow" w:hAnsi="Arial Narrow" w:cs="Arial"/>
                <w:b/>
                <w:sz w:val="18"/>
                <w:szCs w:val="18"/>
              </w:rPr>
              <w:t xml:space="preserve">Prescriber type:  </w:t>
            </w:r>
            <w:r w:rsidRPr="00AA09D8">
              <w:rPr>
                <w:rFonts w:ascii="Arial Narrow" w:hAnsi="Arial Narrow" w:cs="Arial"/>
                <w:sz w:val="18"/>
                <w:szCs w:val="18"/>
              </w:rPr>
              <w:fldChar w:fldCharType="begin">
                <w:ffData>
                  <w:name w:val="Check1"/>
                  <w:enabled/>
                  <w:calcOnExit w:val="0"/>
                  <w:checkBox>
                    <w:sizeAuto/>
                    <w:default w:val="0"/>
                  </w:checkBox>
                </w:ffData>
              </w:fldChar>
            </w:r>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r w:rsidRPr="00AA09D8">
              <w:rPr>
                <w:rFonts w:ascii="Arial Narrow" w:hAnsi="Arial Narrow" w:cs="Arial"/>
                <w:sz w:val="18"/>
                <w:szCs w:val="18"/>
              </w:rPr>
              <w:t xml:space="preserve">Dental  </w:t>
            </w:r>
            <w:r w:rsidR="00CB4479" w:rsidRPr="00AA09D8">
              <w:rPr>
                <w:rFonts w:ascii="Arial Narrow" w:hAnsi="Arial Narrow" w:cs="Arial"/>
                <w:sz w:val="18"/>
                <w:szCs w:val="18"/>
              </w:rPr>
              <w:fldChar w:fldCharType="begin">
                <w:ffData>
                  <w:name w:val=""/>
                  <w:enabled/>
                  <w:calcOnExit w:val="0"/>
                  <w:checkBox>
                    <w:sizeAuto/>
                    <w:default w:val="1"/>
                  </w:checkBox>
                </w:ffData>
              </w:fldChar>
            </w:r>
            <w:r w:rsidR="00CB4479"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00CB4479" w:rsidRPr="00AA09D8">
              <w:rPr>
                <w:rFonts w:ascii="Arial Narrow" w:hAnsi="Arial Narrow" w:cs="Arial"/>
                <w:sz w:val="18"/>
                <w:szCs w:val="18"/>
              </w:rPr>
              <w:fldChar w:fldCharType="end"/>
            </w:r>
            <w:r w:rsidRPr="00AA09D8">
              <w:rPr>
                <w:rFonts w:ascii="Arial Narrow" w:hAnsi="Arial Narrow" w:cs="Arial"/>
                <w:sz w:val="18"/>
                <w:szCs w:val="18"/>
              </w:rPr>
              <w:t xml:space="preserve">Medical Practitioners  </w:t>
            </w:r>
            <w:r w:rsidR="00CB4479" w:rsidRPr="00AA09D8">
              <w:rPr>
                <w:rFonts w:ascii="Arial Narrow" w:hAnsi="Arial Narrow" w:cs="Arial"/>
                <w:sz w:val="18"/>
                <w:szCs w:val="18"/>
              </w:rPr>
              <w:fldChar w:fldCharType="begin">
                <w:ffData>
                  <w:name w:val="Check3"/>
                  <w:enabled/>
                  <w:calcOnExit w:val="0"/>
                  <w:checkBox>
                    <w:sizeAuto/>
                    <w:default w:val="1"/>
                  </w:checkBox>
                </w:ffData>
              </w:fldChar>
            </w:r>
            <w:bookmarkStart w:id="1" w:name="Check3"/>
            <w:r w:rsidR="00CB4479"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00CB4479" w:rsidRPr="00AA09D8">
              <w:rPr>
                <w:rFonts w:ascii="Arial Narrow" w:hAnsi="Arial Narrow" w:cs="Arial"/>
                <w:sz w:val="18"/>
                <w:szCs w:val="18"/>
              </w:rPr>
              <w:fldChar w:fldCharType="end"/>
            </w:r>
            <w:bookmarkEnd w:id="1"/>
            <w:r w:rsidRPr="00AA09D8">
              <w:rPr>
                <w:rFonts w:ascii="Arial Narrow" w:hAnsi="Arial Narrow" w:cs="Arial"/>
                <w:sz w:val="18"/>
                <w:szCs w:val="18"/>
              </w:rPr>
              <w:t xml:space="preserve">Nurse practitioners  </w:t>
            </w:r>
            <w:r w:rsidRPr="00AA09D8">
              <w:rPr>
                <w:rFonts w:ascii="Arial Narrow" w:hAnsi="Arial Narrow" w:cs="Arial"/>
                <w:sz w:val="18"/>
                <w:szCs w:val="18"/>
              </w:rPr>
              <w:fldChar w:fldCharType="begin">
                <w:ffData>
                  <w:name w:val=""/>
                  <w:enabled/>
                  <w:calcOnExit w:val="0"/>
                  <w:checkBox>
                    <w:sizeAuto/>
                    <w:default w:val="0"/>
                  </w:checkBox>
                </w:ffData>
              </w:fldChar>
            </w:r>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r w:rsidRPr="00AA09D8">
              <w:rPr>
                <w:rFonts w:ascii="Arial Narrow" w:hAnsi="Arial Narrow" w:cs="Arial"/>
                <w:sz w:val="18"/>
                <w:szCs w:val="18"/>
              </w:rPr>
              <w:t>Optometrists</w:t>
            </w:r>
            <w:r w:rsidR="00815B20">
              <w:rPr>
                <w:rFonts w:ascii="Arial Narrow" w:hAnsi="Arial Narrow" w:cs="Arial"/>
                <w:sz w:val="18"/>
                <w:szCs w:val="18"/>
              </w:rPr>
              <w:t xml:space="preserve">  </w:t>
            </w:r>
            <w:r w:rsidRPr="00AA09D8">
              <w:rPr>
                <w:rFonts w:ascii="Arial Narrow" w:hAnsi="Arial Narrow" w:cs="Arial"/>
                <w:sz w:val="18"/>
                <w:szCs w:val="18"/>
              </w:rPr>
              <w:t xml:space="preserve"> </w:t>
            </w:r>
            <w:r w:rsidRPr="00AA09D8">
              <w:rPr>
                <w:rFonts w:ascii="Arial Narrow" w:hAnsi="Arial Narrow" w:cs="Arial"/>
                <w:sz w:val="18"/>
                <w:szCs w:val="18"/>
              </w:rPr>
              <w:fldChar w:fldCharType="begin">
                <w:ffData>
                  <w:name w:val="Check5"/>
                  <w:enabled/>
                  <w:calcOnExit w:val="0"/>
                  <w:checkBox>
                    <w:sizeAuto/>
                    <w:default w:val="0"/>
                  </w:checkBox>
                </w:ffData>
              </w:fldChar>
            </w:r>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r w:rsidRPr="00AA09D8">
              <w:rPr>
                <w:rFonts w:ascii="Arial Narrow" w:hAnsi="Arial Narrow" w:cs="Arial"/>
                <w:sz w:val="18"/>
                <w:szCs w:val="18"/>
              </w:rPr>
              <w:t>Midwives</w:t>
            </w:r>
          </w:p>
        </w:tc>
      </w:tr>
      <w:tr w:rsidR="00D819F7" w:rsidRPr="00AA09D8" w:rsidTr="00221A73">
        <w:tc>
          <w:tcPr>
            <w:tcW w:w="553" w:type="pct"/>
            <w:tcBorders>
              <w:top w:val="single" w:sz="4" w:space="0" w:color="auto"/>
              <w:left w:val="single" w:sz="4" w:space="0" w:color="auto"/>
              <w:bottom w:val="single" w:sz="4" w:space="0" w:color="auto"/>
              <w:right w:val="single" w:sz="4" w:space="0" w:color="auto"/>
            </w:tcBorders>
          </w:tcPr>
          <w:p w:rsidR="00D819F7" w:rsidRPr="00AA09D8" w:rsidRDefault="00D819F7" w:rsidP="00221A73">
            <w:pPr>
              <w:jc w:val="both"/>
              <w:rPr>
                <w:rFonts w:ascii="Arial Narrow" w:hAnsi="Arial Narrow" w:cs="Arial"/>
                <w:i/>
                <w:sz w:val="18"/>
                <w:szCs w:val="18"/>
              </w:rPr>
            </w:pPr>
          </w:p>
          <w:p w:rsidR="00D819F7" w:rsidRPr="00AA09D8" w:rsidRDefault="00D819F7" w:rsidP="00221A73">
            <w:pPr>
              <w:jc w:val="both"/>
              <w:rPr>
                <w:rFonts w:ascii="Arial Narrow" w:hAnsi="Arial Narrow" w:cs="Arial"/>
                <w:i/>
                <w:sz w:val="18"/>
                <w:szCs w:val="18"/>
              </w:rPr>
            </w:pPr>
          </w:p>
          <w:p w:rsidR="00D819F7" w:rsidRPr="00AA09D8" w:rsidRDefault="00D819F7" w:rsidP="00221A73">
            <w:pPr>
              <w:jc w:val="both"/>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D819F7" w:rsidRPr="00AA09D8" w:rsidRDefault="00D819F7" w:rsidP="00221A73">
            <w:pPr>
              <w:jc w:val="both"/>
              <w:rPr>
                <w:rFonts w:ascii="Arial Narrow" w:hAnsi="Arial Narrow" w:cs="Arial"/>
                <w:b/>
                <w:sz w:val="18"/>
                <w:szCs w:val="18"/>
              </w:rPr>
            </w:pPr>
            <w:r w:rsidRPr="00AA09D8">
              <w:rPr>
                <w:rFonts w:ascii="Arial Narrow" w:hAnsi="Arial Narrow" w:cs="Arial"/>
                <w:b/>
                <w:sz w:val="18"/>
                <w:szCs w:val="18"/>
              </w:rPr>
              <w:t>Restriction Level / Method:</w:t>
            </w:r>
          </w:p>
          <w:p w:rsidR="00D819F7" w:rsidRPr="00AA09D8" w:rsidRDefault="00D819F7" w:rsidP="00221A73">
            <w:pPr>
              <w:jc w:val="both"/>
              <w:rPr>
                <w:rFonts w:ascii="Arial Narrow" w:hAnsi="Arial Narrow" w:cs="Arial"/>
                <w:sz w:val="18"/>
                <w:szCs w:val="18"/>
              </w:rPr>
            </w:pPr>
            <w:r w:rsidRPr="00AA09D8">
              <w:rPr>
                <w:rFonts w:ascii="Arial Narrow" w:hAnsi="Arial Narrow" w:cs="Arial"/>
                <w:sz w:val="18"/>
                <w:szCs w:val="18"/>
              </w:rPr>
              <w:fldChar w:fldCharType="begin">
                <w:ffData>
                  <w:name w:val="Check1"/>
                  <w:enabled/>
                  <w:calcOnExit w:val="0"/>
                  <w:checkBox>
                    <w:sizeAuto/>
                    <w:default w:val="0"/>
                  </w:checkBox>
                </w:ffData>
              </w:fldChar>
            </w:r>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r w:rsidRPr="00AA09D8">
              <w:rPr>
                <w:rFonts w:ascii="Arial Narrow" w:hAnsi="Arial Narrow" w:cs="Arial"/>
                <w:sz w:val="18"/>
                <w:szCs w:val="18"/>
              </w:rPr>
              <w:t>Unrestricted benefit</w:t>
            </w:r>
          </w:p>
          <w:p w:rsidR="00D819F7" w:rsidRPr="00AA09D8" w:rsidRDefault="00CB4479" w:rsidP="00221A73">
            <w:pPr>
              <w:jc w:val="both"/>
              <w:rPr>
                <w:rFonts w:ascii="Arial Narrow" w:hAnsi="Arial Narrow" w:cs="Arial"/>
                <w:sz w:val="18"/>
                <w:szCs w:val="18"/>
              </w:rPr>
            </w:pPr>
            <w:r w:rsidRPr="00AA09D8">
              <w:rPr>
                <w:rFonts w:ascii="Arial Narrow" w:hAnsi="Arial Narrow" w:cs="Arial"/>
                <w:sz w:val="18"/>
                <w:szCs w:val="18"/>
              </w:rPr>
              <w:fldChar w:fldCharType="begin">
                <w:ffData>
                  <w:name w:val="Check1"/>
                  <w:enabled/>
                  <w:calcOnExit w:val="0"/>
                  <w:checkBox>
                    <w:sizeAuto/>
                    <w:default w:val="1"/>
                  </w:checkBox>
                </w:ffData>
              </w:fldChar>
            </w:r>
            <w:bookmarkStart w:id="2" w:name="Check1"/>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bookmarkEnd w:id="2"/>
            <w:r w:rsidR="00D819F7" w:rsidRPr="00AA09D8">
              <w:rPr>
                <w:rFonts w:ascii="Arial Narrow" w:hAnsi="Arial Narrow" w:cs="Arial"/>
                <w:sz w:val="18"/>
                <w:szCs w:val="18"/>
              </w:rPr>
              <w:t>Restricted benefit</w:t>
            </w:r>
          </w:p>
          <w:p w:rsidR="00D819F7" w:rsidRPr="00AA09D8" w:rsidRDefault="00D819F7" w:rsidP="00221A73">
            <w:pPr>
              <w:jc w:val="both"/>
              <w:rPr>
                <w:rFonts w:ascii="Arial Narrow" w:hAnsi="Arial Narrow" w:cs="Arial"/>
                <w:sz w:val="18"/>
                <w:szCs w:val="18"/>
              </w:rPr>
            </w:pPr>
            <w:r w:rsidRPr="00AA09D8">
              <w:rPr>
                <w:rFonts w:ascii="Arial Narrow" w:hAnsi="Arial Narrow" w:cs="Arial"/>
                <w:sz w:val="18"/>
                <w:szCs w:val="18"/>
              </w:rPr>
              <w:fldChar w:fldCharType="begin">
                <w:ffData>
                  <w:name w:val=""/>
                  <w:enabled/>
                  <w:calcOnExit w:val="0"/>
                  <w:checkBox>
                    <w:sizeAuto/>
                    <w:default w:val="0"/>
                  </w:checkBox>
                </w:ffData>
              </w:fldChar>
            </w:r>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r w:rsidRPr="00AA09D8">
              <w:rPr>
                <w:rFonts w:ascii="Arial Narrow" w:hAnsi="Arial Narrow" w:cs="Arial"/>
                <w:sz w:val="18"/>
                <w:szCs w:val="18"/>
              </w:rPr>
              <w:t>Authority Required – In Writing</w:t>
            </w:r>
          </w:p>
          <w:p w:rsidR="00D819F7" w:rsidRPr="00AA09D8" w:rsidRDefault="00D819F7" w:rsidP="00221A73">
            <w:pPr>
              <w:jc w:val="both"/>
              <w:rPr>
                <w:rFonts w:ascii="Arial Narrow" w:hAnsi="Arial Narrow" w:cs="Arial"/>
                <w:sz w:val="18"/>
                <w:szCs w:val="18"/>
              </w:rPr>
            </w:pPr>
            <w:r w:rsidRPr="00AA09D8">
              <w:rPr>
                <w:rFonts w:ascii="Arial Narrow" w:hAnsi="Arial Narrow" w:cs="Arial"/>
                <w:sz w:val="18"/>
                <w:szCs w:val="18"/>
              </w:rPr>
              <w:fldChar w:fldCharType="begin">
                <w:ffData>
                  <w:name w:val="Check3"/>
                  <w:enabled/>
                  <w:calcOnExit w:val="0"/>
                  <w:checkBox>
                    <w:sizeAuto/>
                    <w:default w:val="0"/>
                  </w:checkBox>
                </w:ffData>
              </w:fldChar>
            </w:r>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r w:rsidRPr="00AA09D8">
              <w:rPr>
                <w:rFonts w:ascii="Arial Narrow" w:hAnsi="Arial Narrow" w:cs="Arial"/>
                <w:sz w:val="18"/>
                <w:szCs w:val="18"/>
              </w:rPr>
              <w:t>Authority Required – Telephone/Electronic/Emergency</w:t>
            </w:r>
          </w:p>
          <w:p w:rsidR="00D819F7" w:rsidRPr="00AA09D8" w:rsidRDefault="00D819F7" w:rsidP="00221A73">
            <w:pPr>
              <w:jc w:val="both"/>
              <w:rPr>
                <w:rFonts w:ascii="Arial Narrow" w:hAnsi="Arial Narrow" w:cs="Arial"/>
                <w:sz w:val="18"/>
                <w:szCs w:val="18"/>
              </w:rPr>
            </w:pPr>
            <w:r w:rsidRPr="00AA09D8">
              <w:rPr>
                <w:rFonts w:ascii="Arial Narrow" w:hAnsi="Arial Narrow" w:cs="Arial"/>
                <w:sz w:val="18"/>
                <w:szCs w:val="18"/>
              </w:rPr>
              <w:fldChar w:fldCharType="begin">
                <w:ffData>
                  <w:name w:val=""/>
                  <w:enabled/>
                  <w:calcOnExit w:val="0"/>
                  <w:checkBox>
                    <w:sizeAuto/>
                    <w:default w:val="0"/>
                  </w:checkBox>
                </w:ffData>
              </w:fldChar>
            </w:r>
            <w:r w:rsidRPr="00AA09D8">
              <w:rPr>
                <w:rFonts w:ascii="Arial Narrow" w:hAnsi="Arial Narrow" w:cs="Arial"/>
                <w:sz w:val="18"/>
                <w:szCs w:val="18"/>
              </w:rPr>
              <w:instrText xml:space="preserve"> FORMCHECKBOX </w:instrText>
            </w:r>
            <w:r w:rsidR="00E7296F">
              <w:rPr>
                <w:rFonts w:ascii="Arial Narrow" w:hAnsi="Arial Narrow" w:cs="Arial"/>
                <w:sz w:val="18"/>
                <w:szCs w:val="18"/>
              </w:rPr>
            </w:r>
            <w:r w:rsidR="00E7296F">
              <w:rPr>
                <w:rFonts w:ascii="Arial Narrow" w:hAnsi="Arial Narrow" w:cs="Arial"/>
                <w:sz w:val="18"/>
                <w:szCs w:val="18"/>
              </w:rPr>
              <w:fldChar w:fldCharType="separate"/>
            </w:r>
            <w:r w:rsidRPr="00AA09D8">
              <w:rPr>
                <w:rFonts w:ascii="Arial Narrow" w:hAnsi="Arial Narrow" w:cs="Arial"/>
                <w:sz w:val="18"/>
                <w:szCs w:val="18"/>
              </w:rPr>
              <w:fldChar w:fldCharType="end"/>
            </w:r>
            <w:r w:rsidRPr="00AA09D8">
              <w:rPr>
                <w:rFonts w:ascii="Arial Narrow" w:hAnsi="Arial Narrow" w:cs="Arial"/>
                <w:sz w:val="18"/>
                <w:szCs w:val="18"/>
              </w:rPr>
              <w:t xml:space="preserve">Authority Required </w:t>
            </w:r>
            <w:r w:rsidR="00CA7173" w:rsidRPr="00AA09D8">
              <w:rPr>
                <w:rFonts w:ascii="Arial Narrow" w:hAnsi="Arial Narrow" w:cs="Arial"/>
                <w:sz w:val="18"/>
                <w:szCs w:val="18"/>
              </w:rPr>
              <w:t>–</w:t>
            </w:r>
            <w:r w:rsidRPr="00AA09D8">
              <w:rPr>
                <w:rFonts w:ascii="Arial Narrow" w:hAnsi="Arial Narrow" w:cs="Arial"/>
                <w:sz w:val="18"/>
                <w:szCs w:val="18"/>
              </w:rPr>
              <w:t xml:space="preserve"> Streamlined</w:t>
            </w:r>
          </w:p>
        </w:tc>
      </w:tr>
      <w:tr w:rsidR="00D819F7" w:rsidRPr="00AA09D8" w:rsidTr="00221A73">
        <w:tc>
          <w:tcPr>
            <w:tcW w:w="553" w:type="pct"/>
            <w:vAlign w:val="center"/>
          </w:tcPr>
          <w:p w:rsidR="00D819F7" w:rsidRPr="00AA09D8" w:rsidRDefault="00D819F7" w:rsidP="00221A73">
            <w:pPr>
              <w:jc w:val="center"/>
              <w:rPr>
                <w:rFonts w:ascii="Arial Narrow" w:hAnsi="Arial Narrow"/>
                <w:color w:val="333333"/>
                <w:sz w:val="18"/>
                <w:szCs w:val="18"/>
              </w:rPr>
            </w:pPr>
          </w:p>
        </w:tc>
        <w:tc>
          <w:tcPr>
            <w:tcW w:w="4447" w:type="pct"/>
            <w:vAlign w:val="center"/>
          </w:tcPr>
          <w:p w:rsidR="00D819F7" w:rsidRPr="00AA09D8" w:rsidRDefault="00D819F7" w:rsidP="006A4D08">
            <w:pPr>
              <w:rPr>
                <w:rFonts w:ascii="Arial Narrow" w:hAnsi="Arial Narrow"/>
                <w:b/>
                <w:bCs/>
                <w:color w:val="333333"/>
                <w:sz w:val="18"/>
                <w:szCs w:val="18"/>
              </w:rPr>
            </w:pPr>
            <w:r w:rsidRPr="00AA09D8">
              <w:rPr>
                <w:rFonts w:ascii="Arial Narrow" w:hAnsi="Arial Narrow"/>
                <w:b/>
                <w:bCs/>
                <w:color w:val="333333"/>
                <w:sz w:val="18"/>
                <w:szCs w:val="18"/>
              </w:rPr>
              <w:t xml:space="preserve">Condition: </w:t>
            </w:r>
            <w:r w:rsidR="006A4D08" w:rsidRPr="00AA09D8">
              <w:rPr>
                <w:rFonts w:ascii="Arial Narrow" w:hAnsi="Arial Narrow"/>
                <w:bCs/>
                <w:i/>
                <w:color w:val="333333"/>
                <w:sz w:val="18"/>
                <w:szCs w:val="18"/>
              </w:rPr>
              <w:t>Malnutrition and/or intolerance to conventional enteral nutrition formulas</w:t>
            </w:r>
          </w:p>
        </w:tc>
      </w:tr>
      <w:tr w:rsidR="00D819F7" w:rsidRPr="00AA09D8" w:rsidTr="00221A73">
        <w:tc>
          <w:tcPr>
            <w:tcW w:w="553" w:type="pct"/>
            <w:vAlign w:val="center"/>
            <w:hideMark/>
          </w:tcPr>
          <w:p w:rsidR="00D819F7" w:rsidRPr="00AA09D8" w:rsidRDefault="009C3FAC" w:rsidP="009C3FAC">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hideMark/>
          </w:tcPr>
          <w:p w:rsidR="00D819F7" w:rsidRPr="00AA09D8" w:rsidRDefault="00D819F7" w:rsidP="00835040">
            <w:pPr>
              <w:rPr>
                <w:rFonts w:ascii="Arial Narrow" w:hAnsi="Arial Narrow"/>
                <w:color w:val="333333"/>
                <w:sz w:val="18"/>
                <w:szCs w:val="18"/>
              </w:rPr>
            </w:pPr>
            <w:r w:rsidRPr="00AA09D8">
              <w:rPr>
                <w:rFonts w:ascii="Arial Narrow" w:hAnsi="Arial Narrow"/>
                <w:b/>
                <w:bCs/>
                <w:color w:val="333333"/>
                <w:sz w:val="18"/>
                <w:szCs w:val="18"/>
              </w:rPr>
              <w:t>Indication:</w:t>
            </w:r>
            <w:r w:rsidRPr="00AA09D8">
              <w:rPr>
                <w:rFonts w:ascii="Arial Narrow" w:hAnsi="Arial Narrow"/>
                <w:color w:val="333333"/>
                <w:sz w:val="18"/>
                <w:szCs w:val="18"/>
              </w:rPr>
              <w:t xml:space="preserve"> </w:t>
            </w:r>
            <w:r w:rsidR="00CB4479" w:rsidRPr="00AA09D8">
              <w:rPr>
                <w:rFonts w:ascii="Arial Narrow" w:hAnsi="Arial Narrow"/>
                <w:i/>
                <w:color w:val="333333"/>
                <w:sz w:val="18"/>
                <w:szCs w:val="18"/>
              </w:rPr>
              <w:t>Dietary management of malnutrition and/or intolerance to conventional enteral nutrition formulas for critically or chronically ill paediatric patients aged 1 to 10 years, who are dependent on nutritional support therapy</w:t>
            </w:r>
          </w:p>
        </w:tc>
      </w:tr>
      <w:tr w:rsidR="00D819F7" w:rsidRPr="00AA09D8" w:rsidTr="00221A73">
        <w:tc>
          <w:tcPr>
            <w:tcW w:w="553" w:type="pct"/>
            <w:vAlign w:val="center"/>
            <w:hideMark/>
          </w:tcPr>
          <w:p w:rsidR="00D819F7" w:rsidRPr="00AA09D8" w:rsidRDefault="00D819F7" w:rsidP="00221A73">
            <w:pPr>
              <w:jc w:val="center"/>
              <w:rPr>
                <w:rFonts w:ascii="Arial Narrow" w:hAnsi="Arial Narrow"/>
                <w:color w:val="333333"/>
                <w:sz w:val="18"/>
                <w:szCs w:val="18"/>
              </w:rPr>
            </w:pPr>
          </w:p>
        </w:tc>
        <w:tc>
          <w:tcPr>
            <w:tcW w:w="4447" w:type="pct"/>
            <w:vAlign w:val="center"/>
            <w:hideMark/>
          </w:tcPr>
          <w:p w:rsidR="00D819F7" w:rsidRPr="00AA09D8" w:rsidRDefault="00D819F7" w:rsidP="00221A73">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D819F7" w:rsidRPr="00AA09D8" w:rsidTr="00221A73">
        <w:tc>
          <w:tcPr>
            <w:tcW w:w="553" w:type="pct"/>
            <w:vAlign w:val="center"/>
            <w:hideMark/>
          </w:tcPr>
          <w:p w:rsidR="00D819F7" w:rsidRPr="00AA09D8" w:rsidRDefault="008A4E63" w:rsidP="00221A73">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hideMark/>
          </w:tcPr>
          <w:p w:rsidR="00D819F7" w:rsidRPr="00AA09D8" w:rsidRDefault="00835040" w:rsidP="00221A73">
            <w:pPr>
              <w:rPr>
                <w:rFonts w:ascii="Arial Narrow" w:hAnsi="Arial Narrow"/>
                <w:i/>
                <w:color w:val="333333"/>
                <w:sz w:val="18"/>
                <w:szCs w:val="18"/>
              </w:rPr>
            </w:pPr>
            <w:r w:rsidRPr="00AA09D8">
              <w:rPr>
                <w:rFonts w:ascii="Arial Narrow" w:hAnsi="Arial Narrow"/>
                <w:i/>
                <w:color w:val="333333"/>
                <w:sz w:val="18"/>
                <w:szCs w:val="18"/>
              </w:rPr>
              <w:t>Patient must have malnutrition caused by short bowel syndrome</w:t>
            </w:r>
          </w:p>
        </w:tc>
      </w:tr>
      <w:tr w:rsidR="00D819F7" w:rsidRPr="00AA09D8" w:rsidTr="00221A73">
        <w:tc>
          <w:tcPr>
            <w:tcW w:w="553" w:type="pct"/>
            <w:vAlign w:val="center"/>
            <w:hideMark/>
          </w:tcPr>
          <w:p w:rsidR="00D819F7" w:rsidRPr="00AA09D8" w:rsidRDefault="00D819F7" w:rsidP="00221A73">
            <w:pPr>
              <w:jc w:val="center"/>
              <w:rPr>
                <w:rFonts w:ascii="Arial Narrow" w:hAnsi="Arial Narrow"/>
                <w:color w:val="333333"/>
                <w:sz w:val="18"/>
                <w:szCs w:val="18"/>
              </w:rPr>
            </w:pPr>
          </w:p>
        </w:tc>
        <w:tc>
          <w:tcPr>
            <w:tcW w:w="4447" w:type="pct"/>
            <w:vAlign w:val="center"/>
            <w:hideMark/>
          </w:tcPr>
          <w:p w:rsidR="00D819F7" w:rsidRPr="00AA09D8" w:rsidRDefault="00835040" w:rsidP="00221A73">
            <w:pPr>
              <w:rPr>
                <w:rFonts w:ascii="Arial Narrow" w:hAnsi="Arial Narrow"/>
                <w:color w:val="333333"/>
                <w:sz w:val="18"/>
                <w:szCs w:val="18"/>
              </w:rPr>
            </w:pPr>
            <w:r w:rsidRPr="00AA09D8">
              <w:rPr>
                <w:rFonts w:ascii="Arial Narrow" w:hAnsi="Arial Narrow"/>
                <w:b/>
                <w:bCs/>
                <w:color w:val="333333"/>
                <w:sz w:val="18"/>
                <w:szCs w:val="18"/>
              </w:rPr>
              <w:t>OR</w:t>
            </w:r>
          </w:p>
        </w:tc>
      </w:tr>
      <w:tr w:rsidR="00D819F7" w:rsidRPr="00AA09D8" w:rsidTr="00221A73">
        <w:tc>
          <w:tcPr>
            <w:tcW w:w="553" w:type="pct"/>
            <w:vAlign w:val="center"/>
          </w:tcPr>
          <w:p w:rsidR="00D819F7" w:rsidRPr="00AA09D8" w:rsidRDefault="00D819F7" w:rsidP="00221A73">
            <w:pPr>
              <w:jc w:val="center"/>
              <w:rPr>
                <w:rFonts w:ascii="Arial Narrow" w:hAnsi="Arial Narrow"/>
                <w:color w:val="333333"/>
                <w:sz w:val="18"/>
                <w:szCs w:val="18"/>
              </w:rPr>
            </w:pPr>
          </w:p>
        </w:tc>
        <w:tc>
          <w:tcPr>
            <w:tcW w:w="4447" w:type="pct"/>
            <w:vAlign w:val="center"/>
            <w:hideMark/>
          </w:tcPr>
          <w:p w:rsidR="00D819F7" w:rsidRPr="00AA09D8" w:rsidRDefault="00D819F7" w:rsidP="00221A73">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D819F7" w:rsidRPr="00AA09D8" w:rsidTr="00221A73">
        <w:tc>
          <w:tcPr>
            <w:tcW w:w="553" w:type="pct"/>
            <w:vAlign w:val="center"/>
          </w:tcPr>
          <w:p w:rsidR="00D819F7" w:rsidRPr="00AA09D8" w:rsidRDefault="008A4E63" w:rsidP="00221A73">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hideMark/>
          </w:tcPr>
          <w:p w:rsidR="00D819F7"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Patient must have malnutrition caused by neurological impairment</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OR</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835040" w:rsidRPr="00AA09D8" w:rsidTr="00221A73">
        <w:tc>
          <w:tcPr>
            <w:tcW w:w="553" w:type="pct"/>
            <w:vAlign w:val="center"/>
          </w:tcPr>
          <w:p w:rsidR="00835040" w:rsidRPr="00AA09D8" w:rsidRDefault="008A4E63" w:rsidP="00835040">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tcPr>
          <w:p w:rsidR="00835040"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Patient must have malnutrition caused by cystic fibrosis</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OR</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835040" w:rsidRPr="00AA09D8" w:rsidTr="00221A73">
        <w:tc>
          <w:tcPr>
            <w:tcW w:w="553" w:type="pct"/>
            <w:vAlign w:val="center"/>
          </w:tcPr>
          <w:p w:rsidR="00835040" w:rsidRPr="00AA09D8" w:rsidRDefault="008A4E63" w:rsidP="00835040">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tcPr>
          <w:p w:rsidR="00835040"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Patient must have malnutrition caused by Crohn’s disease</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OR</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835040" w:rsidRPr="00AA09D8" w:rsidTr="00221A73">
        <w:tc>
          <w:tcPr>
            <w:tcW w:w="553" w:type="pct"/>
            <w:vAlign w:val="center"/>
          </w:tcPr>
          <w:p w:rsidR="00835040" w:rsidRPr="00AA09D8" w:rsidRDefault="008A4E63" w:rsidP="00835040">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tcPr>
          <w:p w:rsidR="00835040"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 xml:space="preserve">Patient must have malnutrition caused by malabsorption </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OR</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835040" w:rsidRPr="00AA09D8" w:rsidTr="00221A73">
        <w:tc>
          <w:tcPr>
            <w:tcW w:w="553" w:type="pct"/>
            <w:vAlign w:val="center"/>
          </w:tcPr>
          <w:p w:rsidR="00835040" w:rsidRPr="00AA09D8" w:rsidRDefault="008A4E63" w:rsidP="00835040">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tcPr>
          <w:p w:rsidR="00835040"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Patient must have malnutrition caused by chronic diarrhoea</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OR</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835040" w:rsidRPr="00AA09D8" w:rsidTr="00221A73">
        <w:tc>
          <w:tcPr>
            <w:tcW w:w="553" w:type="pct"/>
            <w:vAlign w:val="center"/>
          </w:tcPr>
          <w:p w:rsidR="00835040" w:rsidRPr="00AA09D8" w:rsidRDefault="008A4E63" w:rsidP="00835040">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tcPr>
          <w:p w:rsidR="00835040"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Patient must have malnutrition caused by HIV/</w:t>
            </w:r>
            <w:r w:rsidR="00863D32">
              <w:rPr>
                <w:rFonts w:ascii="Arial Narrow" w:hAnsi="Arial Narrow"/>
                <w:i/>
                <w:color w:val="333333"/>
                <w:sz w:val="18"/>
                <w:szCs w:val="18"/>
              </w:rPr>
              <w:t>AIDS</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OR</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835040" w:rsidRPr="00AA09D8" w:rsidTr="00221A73">
        <w:tc>
          <w:tcPr>
            <w:tcW w:w="553" w:type="pct"/>
            <w:vAlign w:val="center"/>
          </w:tcPr>
          <w:p w:rsidR="00835040" w:rsidRPr="00AA09D8" w:rsidRDefault="008A4E63" w:rsidP="00835040">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tcPr>
          <w:p w:rsidR="00835040"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Patient must have malnutrition caused by burns</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OR</w:t>
            </w:r>
          </w:p>
        </w:tc>
      </w:tr>
      <w:tr w:rsidR="00835040" w:rsidRPr="00AA09D8" w:rsidTr="00221A73">
        <w:tc>
          <w:tcPr>
            <w:tcW w:w="553" w:type="pct"/>
            <w:vAlign w:val="center"/>
          </w:tcPr>
          <w:p w:rsidR="00835040" w:rsidRPr="00AA09D8" w:rsidRDefault="00835040" w:rsidP="00835040">
            <w:pPr>
              <w:jc w:val="center"/>
              <w:rPr>
                <w:rFonts w:ascii="Arial Narrow" w:hAnsi="Arial Narrow"/>
                <w:color w:val="333333"/>
                <w:sz w:val="18"/>
                <w:szCs w:val="18"/>
              </w:rPr>
            </w:pPr>
          </w:p>
        </w:tc>
        <w:tc>
          <w:tcPr>
            <w:tcW w:w="4447" w:type="pct"/>
            <w:vAlign w:val="center"/>
          </w:tcPr>
          <w:p w:rsidR="00835040" w:rsidRPr="00AA09D8" w:rsidRDefault="00835040" w:rsidP="00835040">
            <w:pPr>
              <w:rPr>
                <w:rFonts w:ascii="Arial Narrow" w:hAnsi="Arial Narrow"/>
                <w:color w:val="333333"/>
                <w:sz w:val="18"/>
                <w:szCs w:val="18"/>
              </w:rPr>
            </w:pPr>
            <w:r w:rsidRPr="00AA09D8">
              <w:rPr>
                <w:rFonts w:ascii="Arial Narrow" w:hAnsi="Arial Narrow"/>
                <w:b/>
                <w:bCs/>
                <w:color w:val="333333"/>
                <w:sz w:val="18"/>
                <w:szCs w:val="18"/>
              </w:rPr>
              <w:t>Clinical criteria:</w:t>
            </w:r>
          </w:p>
        </w:tc>
      </w:tr>
      <w:tr w:rsidR="00835040" w:rsidRPr="00AA09D8" w:rsidTr="00221A73">
        <w:tc>
          <w:tcPr>
            <w:tcW w:w="553" w:type="pct"/>
            <w:vAlign w:val="center"/>
          </w:tcPr>
          <w:p w:rsidR="00835040" w:rsidRPr="00AA09D8" w:rsidRDefault="008A4E63" w:rsidP="00835040">
            <w:pPr>
              <w:jc w:val="center"/>
              <w:rPr>
                <w:rFonts w:ascii="Arial Narrow" w:hAnsi="Arial Narrow"/>
                <w:color w:val="333333"/>
                <w:sz w:val="18"/>
                <w:szCs w:val="18"/>
              </w:rPr>
            </w:pPr>
            <w:r w:rsidRPr="00AA09D8">
              <w:rPr>
                <w:rFonts w:ascii="Arial Narrow" w:hAnsi="Arial Narrow"/>
                <w:color w:val="333333"/>
                <w:sz w:val="18"/>
                <w:szCs w:val="18"/>
              </w:rPr>
              <w:t>NEW</w:t>
            </w:r>
          </w:p>
        </w:tc>
        <w:tc>
          <w:tcPr>
            <w:tcW w:w="4447" w:type="pct"/>
            <w:vAlign w:val="center"/>
          </w:tcPr>
          <w:p w:rsidR="00835040" w:rsidRPr="00AA09D8" w:rsidRDefault="00835040" w:rsidP="00835040">
            <w:pPr>
              <w:rPr>
                <w:rFonts w:ascii="Arial Narrow" w:hAnsi="Arial Narrow"/>
                <w:i/>
                <w:color w:val="333333"/>
                <w:sz w:val="18"/>
                <w:szCs w:val="18"/>
              </w:rPr>
            </w:pPr>
            <w:r w:rsidRPr="00AA09D8">
              <w:rPr>
                <w:rFonts w:ascii="Arial Narrow" w:hAnsi="Arial Narrow"/>
                <w:i/>
                <w:color w:val="333333"/>
                <w:sz w:val="18"/>
                <w:szCs w:val="18"/>
              </w:rPr>
              <w:t>Patient must have malnutrition caused by cancer</w:t>
            </w:r>
          </w:p>
        </w:tc>
      </w:tr>
    </w:tbl>
    <w:p w:rsidR="00B733BB" w:rsidRDefault="00B733BB" w:rsidP="00FE7936">
      <w:pPr>
        <w:spacing w:after="120"/>
        <w:ind w:left="66"/>
        <w:rPr>
          <w:rFonts w:asciiTheme="minorHAnsi" w:hAnsiTheme="minorHAnsi"/>
          <w:b/>
          <w:i/>
        </w:rPr>
      </w:pPr>
    </w:p>
    <w:p w:rsidR="00424E56" w:rsidRPr="00AA09D8" w:rsidRDefault="00424E56" w:rsidP="00FE7936">
      <w:pPr>
        <w:spacing w:after="120"/>
        <w:ind w:left="66"/>
        <w:rPr>
          <w:rFonts w:asciiTheme="minorHAnsi" w:hAnsiTheme="minorHAnsi"/>
          <w:b/>
          <w:i/>
        </w:rPr>
      </w:pPr>
      <w:r w:rsidRPr="00AA09D8">
        <w:rPr>
          <w:rFonts w:asciiTheme="minorHAnsi" w:hAnsiTheme="minorHAnsi"/>
          <w:b/>
          <w:i/>
        </w:rPr>
        <w:t>N</w:t>
      </w:r>
      <w:r w:rsidR="00FE7936" w:rsidRPr="00AA09D8">
        <w:rPr>
          <w:rFonts w:asciiTheme="minorHAnsi" w:hAnsiTheme="minorHAnsi"/>
          <w:b/>
          <w:i/>
        </w:rPr>
        <w:t>PWP advice on requested listing and population</w:t>
      </w:r>
    </w:p>
    <w:p w:rsidR="00424E56" w:rsidRPr="00AA09D8" w:rsidRDefault="00424E56" w:rsidP="00424E56">
      <w:pPr>
        <w:pStyle w:val="3Bodytext"/>
      </w:pPr>
      <w:proofErr w:type="gramStart"/>
      <w:r w:rsidRPr="00AA09D8">
        <w:t xml:space="preserve">The NPWP noted the request for an additional PBS listing for </w:t>
      </w:r>
      <w:proofErr w:type="spellStart"/>
      <w:r w:rsidRPr="00AA09D8">
        <w:t>Peptamen</w:t>
      </w:r>
      <w:proofErr w:type="spellEnd"/>
      <w:r w:rsidRPr="00AA09D8">
        <w:t xml:space="preserve"> Junior for the dietary management of malnutrition and/or intolerance to conventional enteral nutrition formulas for critically or chronically ill paediatric patients who are dependent on nutritional therapy due to short bowel syndrome, neurological impairment (e.g. cerebral palsy), cystic fibrosis, Crohn’s disease, malabsorption, chronic diarrhoea, HIV/</w:t>
      </w:r>
      <w:r w:rsidR="00863D32">
        <w:t>AIDS</w:t>
      </w:r>
      <w:r w:rsidRPr="00AA09D8">
        <w:t>, burns and cancer.</w:t>
      </w:r>
      <w:proofErr w:type="gramEnd"/>
    </w:p>
    <w:p w:rsidR="00424E56" w:rsidRPr="00AA09D8" w:rsidRDefault="00424E56" w:rsidP="00424E56">
      <w:pPr>
        <w:pStyle w:val="3Bodytext"/>
      </w:pPr>
      <w:r w:rsidRPr="00AA09D8">
        <w:t>The NPWP considered that the proposed population was not well defined and that it would be difficult to de</w:t>
      </w:r>
      <w:r w:rsidR="00122D48">
        <w:t xml:space="preserve">termine which patients </w:t>
      </w:r>
      <w:proofErr w:type="gramStart"/>
      <w:r w:rsidR="00122D48">
        <w:t xml:space="preserve">could be </w:t>
      </w:r>
      <w:r w:rsidRPr="00AA09D8">
        <w:t>considered</w:t>
      </w:r>
      <w:proofErr w:type="gramEnd"/>
      <w:r w:rsidRPr="00AA09D8">
        <w:t xml:space="preserve"> ‘critically or chronically ill’. The NPWP was concerned that this could lead to inappropriate use and a large cost to the PBS. </w:t>
      </w:r>
    </w:p>
    <w:p w:rsidR="00E63B54" w:rsidRPr="002E7CDE" w:rsidRDefault="00E63B54" w:rsidP="00E63B54">
      <w:pPr>
        <w:pStyle w:val="3Bodytext"/>
        <w:rPr>
          <w:snapToGrid w:val="0"/>
        </w:rPr>
      </w:pPr>
      <w:proofErr w:type="gramStart"/>
      <w:r w:rsidRPr="002E7CDE">
        <w:rPr>
          <w:snapToGrid w:val="0"/>
        </w:rPr>
        <w:t xml:space="preserve">The Sponsor adjusted the wording of the indication in the pre-PBAC response to ‘For the dietary management of malnutrition </w:t>
      </w:r>
      <w:r w:rsidRPr="002E7CDE">
        <w:rPr>
          <w:b/>
          <w:snapToGrid w:val="0"/>
        </w:rPr>
        <w:t xml:space="preserve">and </w:t>
      </w:r>
      <w:r w:rsidRPr="002E7CDE">
        <w:rPr>
          <w:snapToGrid w:val="0"/>
        </w:rPr>
        <w:t xml:space="preserve">intolerance to conventional enteral nutrition formulas for critically or chronically ill paediatric patients who are dependent on nutritional therapy due to short bowel syndrome, neurological impairment (e.g. </w:t>
      </w:r>
      <w:r w:rsidRPr="002E7CDE">
        <w:rPr>
          <w:snapToGrid w:val="0"/>
        </w:rPr>
        <w:lastRenderedPageBreak/>
        <w:t>cerebral palsy), cystic fibrosis, Crohn’s disease, malabsorption, chronic diarrhoea, HIV/</w:t>
      </w:r>
      <w:r w:rsidR="00863D32">
        <w:rPr>
          <w:snapToGrid w:val="0"/>
        </w:rPr>
        <w:t>AIDS</w:t>
      </w:r>
      <w:r w:rsidRPr="002E7CDE">
        <w:rPr>
          <w:snapToGrid w:val="0"/>
        </w:rPr>
        <w:t>, burns and cancer.’</w:t>
      </w:r>
      <w:proofErr w:type="gramEnd"/>
      <w:r w:rsidRPr="002E7CDE">
        <w:rPr>
          <w:snapToGrid w:val="0"/>
        </w:rPr>
        <w:t xml:space="preserve"> </w:t>
      </w:r>
    </w:p>
    <w:p w:rsidR="00F57BED" w:rsidRPr="00AA09D8" w:rsidRDefault="00F57BED" w:rsidP="00F57BED">
      <w:pPr>
        <w:pStyle w:val="3Bodytext"/>
        <w:numPr>
          <w:ilvl w:val="0"/>
          <w:numId w:val="0"/>
        </w:numPr>
        <w:ind w:left="720"/>
        <w:rPr>
          <w:i/>
        </w:rPr>
      </w:pPr>
      <w:r w:rsidRPr="00AA09D8">
        <w:rPr>
          <w:i/>
        </w:rPr>
        <w:t>For more detail on PBAC’s view, see section 6 PBAC outcome.</w:t>
      </w:r>
    </w:p>
    <w:p w:rsidR="00E663E9" w:rsidRPr="00AA09D8" w:rsidRDefault="00E663E9" w:rsidP="008D11BD">
      <w:pPr>
        <w:pStyle w:val="2Sections"/>
      </w:pPr>
      <w:r w:rsidRPr="00AA09D8">
        <w:t>Comparator</w:t>
      </w:r>
    </w:p>
    <w:p w:rsidR="00FE7936" w:rsidRPr="00AA09D8" w:rsidRDefault="001A1649" w:rsidP="00E77B1A">
      <w:pPr>
        <w:pStyle w:val="3Bodytext"/>
        <w:rPr>
          <w:i/>
        </w:rPr>
      </w:pPr>
      <w:r w:rsidRPr="00863D32">
        <w:t>The submission stated that th</w:t>
      </w:r>
      <w:r w:rsidR="008E79DE" w:rsidRPr="00863D32">
        <w:t xml:space="preserve">ere </w:t>
      </w:r>
      <w:r w:rsidR="00CA7173" w:rsidRPr="00863D32">
        <w:t>were no</w:t>
      </w:r>
      <w:r w:rsidR="008E79DE" w:rsidRPr="00863D32">
        <w:t xml:space="preserve"> </w:t>
      </w:r>
      <w:r w:rsidR="00EB118A" w:rsidRPr="00863D32">
        <w:t>comparators currently</w:t>
      </w:r>
      <w:r w:rsidR="008E79DE" w:rsidRPr="00863D32">
        <w:t xml:space="preserve"> PBS listed</w:t>
      </w:r>
      <w:r w:rsidR="009278BC" w:rsidRPr="00863D32">
        <w:t xml:space="preserve"> for the </w:t>
      </w:r>
      <w:r w:rsidR="00976960" w:rsidRPr="00AA09D8">
        <w:t xml:space="preserve">requested </w:t>
      </w:r>
      <w:r w:rsidR="009278BC" w:rsidRPr="00AA09D8">
        <w:t>indication</w:t>
      </w:r>
      <w:r w:rsidR="007A5A8D" w:rsidRPr="00AA09D8">
        <w:t xml:space="preserve">. The submission nominated </w:t>
      </w:r>
      <w:proofErr w:type="spellStart"/>
      <w:r w:rsidR="007A5A8D" w:rsidRPr="00AA09D8">
        <w:t>Peptamen</w:t>
      </w:r>
      <w:proofErr w:type="spellEnd"/>
      <w:r w:rsidR="007A5A8D" w:rsidRPr="00AA09D8">
        <w:t xml:space="preserve"> Junior used in the private market as the comparator</w:t>
      </w:r>
      <w:r w:rsidR="008E79DE" w:rsidRPr="00AA09D8">
        <w:t xml:space="preserve">. </w:t>
      </w:r>
      <w:r w:rsidR="002903EC" w:rsidRPr="00AA09D8">
        <w:t xml:space="preserve">However, the submission did list a number of enteral nutrition products that </w:t>
      </w:r>
      <w:proofErr w:type="gramStart"/>
      <w:r w:rsidR="002903EC" w:rsidRPr="00AA09D8">
        <w:t>had been approved</w:t>
      </w:r>
      <w:proofErr w:type="gramEnd"/>
      <w:r w:rsidR="002903EC" w:rsidRPr="00AA09D8">
        <w:t xml:space="preserve"> for use in Queensland Health public hospitals and institutions, as assessed by the Queensland Health Medicines Advisory Committee (QHMAC), with advice from the Nutrition Subcommittee (</w:t>
      </w:r>
      <w:proofErr w:type="spellStart"/>
      <w:r w:rsidR="002903EC" w:rsidRPr="00AA09D8">
        <w:t>NUSCo</w:t>
      </w:r>
      <w:proofErr w:type="spellEnd"/>
      <w:r w:rsidR="002903EC" w:rsidRPr="00AA09D8">
        <w:t>). These prod</w:t>
      </w:r>
      <w:r w:rsidR="00F537C0" w:rsidRPr="00AA09D8">
        <w:t>u</w:t>
      </w:r>
      <w:r w:rsidR="002903EC" w:rsidRPr="00AA09D8">
        <w:t xml:space="preserve">cts include </w:t>
      </w:r>
      <w:proofErr w:type="spellStart"/>
      <w:r w:rsidR="00F537C0" w:rsidRPr="00AA09D8">
        <w:t>Fortini</w:t>
      </w:r>
      <w:proofErr w:type="spellEnd"/>
      <w:r w:rsidR="0008337B" w:rsidRPr="00AA09D8">
        <w:rPr>
          <w:rFonts w:cstheme="minorHAnsi"/>
        </w:rPr>
        <w:t>®</w:t>
      </w:r>
      <w:r w:rsidR="00F537C0" w:rsidRPr="00AA09D8">
        <w:t xml:space="preserve">, </w:t>
      </w:r>
      <w:proofErr w:type="spellStart"/>
      <w:r w:rsidR="00F537C0" w:rsidRPr="00AA09D8">
        <w:t>Neocate</w:t>
      </w:r>
      <w:proofErr w:type="spellEnd"/>
      <w:r w:rsidR="00F537C0" w:rsidRPr="00AA09D8">
        <w:t xml:space="preserve"> Junior</w:t>
      </w:r>
      <w:r w:rsidR="0008337B" w:rsidRPr="00AA09D8">
        <w:rPr>
          <w:rFonts w:cstheme="minorHAnsi"/>
        </w:rPr>
        <w:t>®</w:t>
      </w:r>
      <w:r w:rsidR="00F537C0" w:rsidRPr="00AA09D8">
        <w:t xml:space="preserve">, </w:t>
      </w:r>
      <w:proofErr w:type="spellStart"/>
      <w:r w:rsidR="00F537C0" w:rsidRPr="00AA09D8">
        <w:t>Nutrini</w:t>
      </w:r>
      <w:proofErr w:type="spellEnd"/>
      <w:r w:rsidR="00F537C0" w:rsidRPr="00AA09D8">
        <w:t xml:space="preserve"> </w:t>
      </w:r>
      <w:proofErr w:type="spellStart"/>
      <w:r w:rsidR="00F537C0" w:rsidRPr="00AA09D8">
        <w:t>Peptisorb</w:t>
      </w:r>
      <w:proofErr w:type="spellEnd"/>
      <w:r w:rsidR="0008337B" w:rsidRPr="00AA09D8">
        <w:rPr>
          <w:rFonts w:cstheme="minorHAnsi"/>
        </w:rPr>
        <w:t>®</w:t>
      </w:r>
      <w:r w:rsidR="00F537C0" w:rsidRPr="00AA09D8">
        <w:t xml:space="preserve">, </w:t>
      </w:r>
      <w:proofErr w:type="spellStart"/>
      <w:r w:rsidR="00F537C0" w:rsidRPr="00AA09D8">
        <w:t>Nutrini</w:t>
      </w:r>
      <w:proofErr w:type="spellEnd"/>
      <w:r w:rsidR="00F537C0" w:rsidRPr="00AA09D8">
        <w:t xml:space="preserve"> </w:t>
      </w:r>
      <w:proofErr w:type="spellStart"/>
      <w:r w:rsidR="00F537C0" w:rsidRPr="00AA09D8">
        <w:t>Peptisorb</w:t>
      </w:r>
      <w:proofErr w:type="spellEnd"/>
      <w:r w:rsidR="00713DC9" w:rsidRPr="00AA09D8">
        <w:t xml:space="preserve"> Energy</w:t>
      </w:r>
      <w:r w:rsidR="0008337B" w:rsidRPr="00AA09D8">
        <w:rPr>
          <w:rFonts w:cstheme="minorHAnsi"/>
        </w:rPr>
        <w:t>®</w:t>
      </w:r>
      <w:r w:rsidR="00713DC9" w:rsidRPr="00AA09D8">
        <w:t xml:space="preserve">, </w:t>
      </w:r>
      <w:proofErr w:type="spellStart"/>
      <w:r w:rsidR="00713DC9" w:rsidRPr="00AA09D8">
        <w:t>Peptamen</w:t>
      </w:r>
      <w:proofErr w:type="spellEnd"/>
      <w:r w:rsidR="00713DC9" w:rsidRPr="00AA09D8">
        <w:t xml:space="preserve"> Junior</w:t>
      </w:r>
      <w:r w:rsidR="0008337B" w:rsidRPr="00AA09D8">
        <w:rPr>
          <w:rFonts w:cstheme="minorHAnsi"/>
        </w:rPr>
        <w:t>®</w:t>
      </w:r>
      <w:r w:rsidR="00713DC9" w:rsidRPr="00AA09D8">
        <w:t xml:space="preserve">, </w:t>
      </w:r>
      <w:proofErr w:type="spellStart"/>
      <w:r w:rsidR="00713DC9" w:rsidRPr="00AA09D8">
        <w:t>PediaS</w:t>
      </w:r>
      <w:r w:rsidR="00F537C0" w:rsidRPr="00AA09D8">
        <w:t>ure</w:t>
      </w:r>
      <w:proofErr w:type="spellEnd"/>
      <w:r w:rsidR="0008337B" w:rsidRPr="00AA09D8">
        <w:rPr>
          <w:rFonts w:cstheme="minorHAnsi"/>
        </w:rPr>
        <w:t>®</w:t>
      </w:r>
      <w:r w:rsidR="00F537C0" w:rsidRPr="00AA09D8">
        <w:t xml:space="preserve">, and </w:t>
      </w:r>
      <w:proofErr w:type="spellStart"/>
      <w:r w:rsidR="00F537C0" w:rsidRPr="00AA09D8">
        <w:t>Ketocal</w:t>
      </w:r>
      <w:proofErr w:type="spellEnd"/>
      <w:r w:rsidR="0008337B" w:rsidRPr="00AA09D8">
        <w:rPr>
          <w:rFonts w:cstheme="minorHAnsi"/>
        </w:rPr>
        <w:t>®</w:t>
      </w:r>
      <w:r w:rsidR="00F537C0" w:rsidRPr="00AA09D8">
        <w:t>.</w:t>
      </w:r>
      <w:r w:rsidR="00F537C0" w:rsidRPr="00AA09D8">
        <w:rPr>
          <w:i/>
        </w:rPr>
        <w:t xml:space="preserve"> </w:t>
      </w:r>
      <w:proofErr w:type="spellStart"/>
      <w:r w:rsidR="00BE0FE8" w:rsidRPr="00AA09D8">
        <w:t>N</w:t>
      </w:r>
      <w:r w:rsidR="00F537C0" w:rsidRPr="00AA09D8">
        <w:t>utrini</w:t>
      </w:r>
      <w:proofErr w:type="spellEnd"/>
      <w:r w:rsidR="00F537C0" w:rsidRPr="00AA09D8">
        <w:t xml:space="preserve"> </w:t>
      </w:r>
      <w:proofErr w:type="spellStart"/>
      <w:r w:rsidR="00F537C0" w:rsidRPr="00AA09D8">
        <w:t>Peptisorb</w:t>
      </w:r>
      <w:proofErr w:type="spellEnd"/>
      <w:r w:rsidR="00F537C0" w:rsidRPr="00AA09D8">
        <w:t xml:space="preserve">, </w:t>
      </w:r>
      <w:proofErr w:type="spellStart"/>
      <w:r w:rsidR="00F537C0" w:rsidRPr="00AA09D8">
        <w:t>Nutrini</w:t>
      </w:r>
      <w:proofErr w:type="spellEnd"/>
      <w:r w:rsidR="00F537C0" w:rsidRPr="00AA09D8">
        <w:t xml:space="preserve"> </w:t>
      </w:r>
      <w:proofErr w:type="spellStart"/>
      <w:r w:rsidR="00F537C0" w:rsidRPr="00AA09D8">
        <w:t>Peptisorb</w:t>
      </w:r>
      <w:proofErr w:type="spellEnd"/>
      <w:r w:rsidR="00F537C0" w:rsidRPr="00AA09D8">
        <w:t xml:space="preserve"> Energy and </w:t>
      </w:r>
      <w:proofErr w:type="spellStart"/>
      <w:r w:rsidR="00F537C0" w:rsidRPr="00AA09D8">
        <w:t>Peptamen</w:t>
      </w:r>
      <w:proofErr w:type="spellEnd"/>
      <w:r w:rsidR="00F537C0" w:rsidRPr="00AA09D8">
        <w:t xml:space="preserve"> Junior are all PBS listed for ‘dietary management of conditions requiring a source of medium chain triglycerides’, </w:t>
      </w:r>
      <w:proofErr w:type="spellStart"/>
      <w:r w:rsidR="00F537C0" w:rsidRPr="00AA09D8">
        <w:t>Neocate</w:t>
      </w:r>
      <w:proofErr w:type="spellEnd"/>
      <w:r w:rsidR="00F537C0" w:rsidRPr="00AA09D8">
        <w:t xml:space="preserve"> Junior is PBS listed for ‘severe intestinal malabsorption including short bowel syndrome’, and </w:t>
      </w:r>
      <w:proofErr w:type="spellStart"/>
      <w:r w:rsidR="00F537C0" w:rsidRPr="00AA09D8">
        <w:t>Ketocal</w:t>
      </w:r>
      <w:proofErr w:type="spellEnd"/>
      <w:r w:rsidR="00F537C0" w:rsidRPr="00AA09D8">
        <w:t xml:space="preserve"> is PBS listed for a ‘ketogenic diet’.</w:t>
      </w:r>
    </w:p>
    <w:p w:rsidR="00F5313B" w:rsidRPr="00AA09D8" w:rsidRDefault="00F5313B" w:rsidP="00E77B1A">
      <w:pPr>
        <w:pStyle w:val="3Bodytext"/>
        <w:rPr>
          <w:i/>
        </w:rPr>
      </w:pPr>
      <w:r w:rsidRPr="002E7CDE">
        <w:rPr>
          <w:rFonts w:cs="Arial"/>
          <w:bCs/>
          <w:snapToGrid w:val="0"/>
        </w:rPr>
        <w:t>The pre-PBAC response argued that not all patients have access to cost neutral supply through hospitals as they could be located in rural or remote settings, and delivery or travel and accommodation could be costly.</w:t>
      </w:r>
    </w:p>
    <w:p w:rsidR="00E77B1A" w:rsidRPr="00AA09D8" w:rsidRDefault="00E77B1A" w:rsidP="00B733BB">
      <w:pPr>
        <w:keepNext/>
        <w:spacing w:after="120"/>
        <w:ind w:left="66"/>
        <w:rPr>
          <w:rFonts w:asciiTheme="minorHAnsi" w:hAnsiTheme="minorHAnsi"/>
          <w:b/>
          <w:i/>
        </w:rPr>
      </w:pPr>
      <w:r w:rsidRPr="00AA09D8">
        <w:rPr>
          <w:rFonts w:asciiTheme="minorHAnsi" w:hAnsiTheme="minorHAnsi"/>
          <w:b/>
          <w:i/>
        </w:rPr>
        <w:t>NPWP advice on comparator</w:t>
      </w:r>
    </w:p>
    <w:p w:rsidR="00F5313B" w:rsidRPr="00863D32" w:rsidRDefault="00FE7936" w:rsidP="00B733BB">
      <w:pPr>
        <w:pStyle w:val="3Bodytext"/>
        <w:keepNext/>
      </w:pPr>
      <w:r w:rsidRPr="00863D32">
        <w:t xml:space="preserve">The NPWP considered that standard enteral nutrition products, such as Ensure or </w:t>
      </w:r>
      <w:proofErr w:type="spellStart"/>
      <w:r w:rsidRPr="00863D32">
        <w:t>PediaSure</w:t>
      </w:r>
      <w:proofErr w:type="spellEnd"/>
      <w:r w:rsidRPr="00863D32">
        <w:t xml:space="preserve">, were the appropriate comparators. The NPWP noted that these products are available through hospital programs on a cost neutral basis to patients and families (i.e. at the cost of regular diet), and that these mechanisms were effective and equitable. The NPWP also considered that the majority of patients tolerate standard enteral formulas, and there was no clear evidence presented in the minor submission to show that </w:t>
      </w:r>
      <w:proofErr w:type="spellStart"/>
      <w:r w:rsidRPr="00863D32">
        <w:t>Peptamen</w:t>
      </w:r>
      <w:proofErr w:type="spellEnd"/>
      <w:r w:rsidRPr="00863D32">
        <w:t xml:space="preserve"> Junior was superior to standard enteral nutrition. The NPWP also considered that patients who are intolerant to standard enteral formula </w:t>
      </w:r>
      <w:proofErr w:type="gramStart"/>
      <w:r w:rsidRPr="00863D32">
        <w:t>were adequately managed</w:t>
      </w:r>
      <w:proofErr w:type="gramEnd"/>
      <w:r w:rsidRPr="00863D32">
        <w:t xml:space="preserve"> through current PBS arrangements. </w:t>
      </w:r>
    </w:p>
    <w:p w:rsidR="00F57BED" w:rsidRPr="00AA09D8" w:rsidRDefault="00F57BED" w:rsidP="00F57BED">
      <w:pPr>
        <w:pStyle w:val="3Bodytext"/>
        <w:numPr>
          <w:ilvl w:val="0"/>
          <w:numId w:val="0"/>
        </w:numPr>
        <w:ind w:left="720"/>
        <w:rPr>
          <w:i/>
        </w:rPr>
      </w:pPr>
      <w:r w:rsidRPr="00AA09D8">
        <w:rPr>
          <w:i/>
        </w:rPr>
        <w:t>For more detail on PBAC’s view, see section 6 PBAC outcome.</w:t>
      </w:r>
    </w:p>
    <w:p w:rsidR="00FC3647" w:rsidRPr="00AA09D8" w:rsidRDefault="00FC3647" w:rsidP="008D11BD">
      <w:pPr>
        <w:pStyle w:val="2Sections"/>
        <w:keepNext/>
      </w:pPr>
      <w:r w:rsidRPr="00AA09D8">
        <w:t>Consideration of the evidence</w:t>
      </w:r>
    </w:p>
    <w:p w:rsidR="00F57BED" w:rsidRPr="00AA09D8" w:rsidRDefault="00F57BED" w:rsidP="00F57BED">
      <w:pPr>
        <w:pStyle w:val="Heading2"/>
        <w:spacing w:before="240" w:after="120"/>
        <w:rPr>
          <w:rFonts w:asciiTheme="minorHAnsi" w:eastAsiaTheme="majorEastAsia" w:hAnsiTheme="minorHAnsi" w:cstheme="majorBidi"/>
          <w:sz w:val="28"/>
          <w:szCs w:val="28"/>
          <w:lang w:eastAsia="en-US"/>
        </w:rPr>
      </w:pPr>
      <w:r w:rsidRPr="00AA09D8">
        <w:rPr>
          <w:rFonts w:asciiTheme="minorHAnsi" w:eastAsiaTheme="majorEastAsia" w:hAnsiTheme="minorHAnsi" w:cstheme="majorBidi"/>
          <w:sz w:val="28"/>
          <w:szCs w:val="28"/>
          <w:lang w:eastAsia="en-US"/>
        </w:rPr>
        <w:t xml:space="preserve">Sponsor hearing </w:t>
      </w:r>
    </w:p>
    <w:p w:rsidR="00F57BED" w:rsidRPr="00AA09D8" w:rsidRDefault="00F57BED" w:rsidP="00F57BED">
      <w:pPr>
        <w:pStyle w:val="3Bodytext"/>
        <w:numPr>
          <w:ilvl w:val="1"/>
          <w:numId w:val="5"/>
        </w:numPr>
      </w:pPr>
      <w:r w:rsidRPr="00AA09D8">
        <w:t>There was no hearing for this item as it was a minor submission.</w:t>
      </w:r>
    </w:p>
    <w:p w:rsidR="00F57BED" w:rsidRPr="00AA09D8" w:rsidRDefault="00F57BED" w:rsidP="00F57BED">
      <w:pPr>
        <w:pStyle w:val="Heading2"/>
        <w:spacing w:before="240" w:after="120"/>
        <w:rPr>
          <w:rFonts w:asciiTheme="minorHAnsi" w:eastAsiaTheme="majorEastAsia" w:hAnsiTheme="minorHAnsi" w:cstheme="majorBidi"/>
          <w:sz w:val="28"/>
          <w:szCs w:val="28"/>
          <w:lang w:eastAsia="en-US"/>
        </w:rPr>
      </w:pPr>
      <w:r w:rsidRPr="00AA09D8">
        <w:rPr>
          <w:rFonts w:asciiTheme="minorHAnsi" w:eastAsiaTheme="majorEastAsia" w:hAnsiTheme="minorHAnsi" w:cstheme="majorBidi"/>
          <w:sz w:val="28"/>
          <w:szCs w:val="28"/>
          <w:lang w:eastAsia="en-US"/>
        </w:rPr>
        <w:t>Consumer comments</w:t>
      </w:r>
    </w:p>
    <w:p w:rsidR="00F57BED" w:rsidRPr="00AA09D8" w:rsidRDefault="00F57BED" w:rsidP="00F57BED">
      <w:pPr>
        <w:pStyle w:val="3Bodytext"/>
        <w:numPr>
          <w:ilvl w:val="1"/>
          <w:numId w:val="5"/>
        </w:numPr>
      </w:pPr>
      <w:r w:rsidRPr="00AA09D8">
        <w:t xml:space="preserve">The PBAC noted that no consumer comments </w:t>
      </w:r>
      <w:proofErr w:type="gramStart"/>
      <w:r w:rsidRPr="00AA09D8">
        <w:t>were received</w:t>
      </w:r>
      <w:proofErr w:type="gramEnd"/>
      <w:r w:rsidRPr="00AA09D8">
        <w:t xml:space="preserve"> for this item.</w:t>
      </w:r>
    </w:p>
    <w:p w:rsidR="00FC3647" w:rsidRPr="00AA09D8" w:rsidRDefault="00FC3647" w:rsidP="008D11BD">
      <w:pPr>
        <w:pStyle w:val="Heading2"/>
        <w:spacing w:before="240" w:after="120"/>
        <w:rPr>
          <w:rFonts w:asciiTheme="minorHAnsi" w:eastAsiaTheme="majorEastAsia" w:hAnsiTheme="minorHAnsi" w:cstheme="majorBidi"/>
          <w:sz w:val="28"/>
          <w:szCs w:val="28"/>
          <w:lang w:eastAsia="en-US"/>
        </w:rPr>
      </w:pPr>
      <w:r w:rsidRPr="00AA09D8">
        <w:rPr>
          <w:rFonts w:asciiTheme="minorHAnsi" w:eastAsiaTheme="majorEastAsia" w:hAnsiTheme="minorHAnsi" w:cstheme="majorBidi"/>
          <w:sz w:val="28"/>
          <w:szCs w:val="28"/>
          <w:lang w:eastAsia="en-US"/>
        </w:rPr>
        <w:lastRenderedPageBreak/>
        <w:t>Clinical trials</w:t>
      </w:r>
    </w:p>
    <w:p w:rsidR="00586C4E" w:rsidRPr="00AA09D8" w:rsidRDefault="00173657" w:rsidP="008D11BD">
      <w:pPr>
        <w:pStyle w:val="3Bodytext"/>
        <w:keepNext/>
        <w:numPr>
          <w:ilvl w:val="1"/>
          <w:numId w:val="5"/>
        </w:numPr>
      </w:pPr>
      <w:r w:rsidRPr="00AA09D8">
        <w:t xml:space="preserve">The submission </w:t>
      </w:r>
      <w:r w:rsidR="00FC3647" w:rsidRPr="00AA09D8">
        <w:t xml:space="preserve">presented </w:t>
      </w:r>
      <w:r w:rsidRPr="00AA09D8">
        <w:t>a number of cl</w:t>
      </w:r>
      <w:r w:rsidR="00FC3647" w:rsidRPr="00AA09D8">
        <w:t>in</w:t>
      </w:r>
      <w:r w:rsidR="00A905A0" w:rsidRPr="00AA09D8">
        <w:t xml:space="preserve">ical trials </w:t>
      </w:r>
      <w:r w:rsidRPr="00AA09D8">
        <w:t>to support the use</w:t>
      </w:r>
      <w:r w:rsidR="00A905A0" w:rsidRPr="00AA09D8">
        <w:t xml:space="preserve"> of </w:t>
      </w:r>
      <w:proofErr w:type="spellStart"/>
      <w:r w:rsidR="00A905A0" w:rsidRPr="00AA09D8">
        <w:t>Peptamen</w:t>
      </w:r>
      <w:proofErr w:type="spellEnd"/>
      <w:r w:rsidR="00A905A0" w:rsidRPr="00AA09D8">
        <w:t xml:space="preserve"> Junior for the proposed PBS indication.</w:t>
      </w:r>
      <w:r w:rsidR="00FC3647" w:rsidRPr="00AA09D8">
        <w:t xml:space="preserve"> </w:t>
      </w:r>
      <w:r w:rsidRPr="00AA09D8">
        <w:t xml:space="preserve">Details of the trials </w:t>
      </w:r>
      <w:proofErr w:type="gramStart"/>
      <w:r w:rsidR="00FC3647" w:rsidRPr="00AA09D8">
        <w:t>are provided</w:t>
      </w:r>
      <w:proofErr w:type="gramEnd"/>
      <w:r w:rsidR="00FC3647" w:rsidRPr="00AA09D8">
        <w:t xml:space="preserve"> in </w:t>
      </w:r>
      <w:r w:rsidR="008D11BD" w:rsidRPr="00AA09D8">
        <w:t xml:space="preserve">Table </w:t>
      </w:r>
      <w:r w:rsidR="008D11BD" w:rsidRPr="002E7CDE">
        <w:t>1</w:t>
      </w:r>
      <w:r w:rsidR="00FC3647" w:rsidRPr="00AA09D8">
        <w:t>.</w:t>
      </w:r>
    </w:p>
    <w:p w:rsidR="00586C4E" w:rsidRPr="00AA09D8" w:rsidRDefault="00586C4E">
      <w:pPr>
        <w:rPr>
          <w:rFonts w:ascii="Arial Narrow" w:hAnsi="Arial Narrow"/>
          <w:b/>
          <w:sz w:val="20"/>
          <w:szCs w:val="22"/>
        </w:rPr>
      </w:pPr>
      <w:r w:rsidRPr="00AA09D8">
        <w:br w:type="page"/>
      </w:r>
    </w:p>
    <w:p w:rsidR="00586C4E" w:rsidRPr="00AA09D8" w:rsidRDefault="00586C4E" w:rsidP="00FC3647">
      <w:pPr>
        <w:pStyle w:val="Tabletitles"/>
        <w:sectPr w:rsidR="00586C4E" w:rsidRPr="00AA09D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pPr>
    </w:p>
    <w:p w:rsidR="00FC3647" w:rsidRPr="00AA09D8" w:rsidRDefault="00E04D82" w:rsidP="00FC3647">
      <w:pPr>
        <w:pStyle w:val="Tabletitles"/>
      </w:pPr>
      <w:bookmarkStart w:id="3" w:name="_Ref33443654"/>
      <w:r w:rsidRPr="00AA09D8">
        <w:lastRenderedPageBreak/>
        <w:t xml:space="preserve">Table </w:t>
      </w:r>
      <w:r w:rsidR="008D11BD" w:rsidRPr="002E7CDE">
        <w:t>1</w:t>
      </w:r>
      <w:bookmarkEnd w:id="3"/>
      <w:r w:rsidR="00FC3647" w:rsidRPr="00AA09D8">
        <w:t>: Trials and associated reports presented in</w:t>
      </w:r>
      <w:r w:rsidR="002B2A66" w:rsidRPr="00AA09D8">
        <w:t xml:space="preserve"> the </w:t>
      </w:r>
      <w:r w:rsidR="00FC3647" w:rsidRPr="00AA09D8">
        <w:t>submission</w:t>
      </w:r>
    </w:p>
    <w:tbl>
      <w:tblPr>
        <w:tblStyle w:val="TableGrid"/>
        <w:tblW w:w="5000" w:type="pct"/>
        <w:tblLook w:val="04A0" w:firstRow="1" w:lastRow="0" w:firstColumn="1" w:lastColumn="0" w:noHBand="0" w:noVBand="1"/>
        <w:tblCaption w:val="Table 1: Trials and associated reports presented in the submission"/>
      </w:tblPr>
      <w:tblGrid>
        <w:gridCol w:w="1574"/>
        <w:gridCol w:w="1481"/>
        <w:gridCol w:w="1559"/>
        <w:gridCol w:w="2187"/>
        <w:gridCol w:w="2410"/>
        <w:gridCol w:w="4737"/>
      </w:tblGrid>
      <w:tr w:rsidR="00173657" w:rsidRPr="00AA09D8" w:rsidTr="00B733BB">
        <w:trPr>
          <w:cantSplit/>
          <w:tblHeader/>
        </w:trPr>
        <w:tc>
          <w:tcPr>
            <w:tcW w:w="564" w:type="pct"/>
          </w:tcPr>
          <w:p w:rsidR="00586C4E" w:rsidRPr="00863D32" w:rsidRDefault="00586C4E" w:rsidP="00EB118A">
            <w:pPr>
              <w:pStyle w:val="tablenotes"/>
              <w:spacing w:after="120"/>
              <w:jc w:val="center"/>
              <w:rPr>
                <w:rFonts w:ascii="Arial Narrow" w:hAnsi="Arial Narrow"/>
                <w:b/>
              </w:rPr>
            </w:pPr>
            <w:r w:rsidRPr="00863D32">
              <w:rPr>
                <w:rFonts w:ascii="Arial Narrow" w:hAnsi="Arial Narrow"/>
                <w:b/>
              </w:rPr>
              <w:t>Indication relevant to proposed PBS listing</w:t>
            </w:r>
          </w:p>
        </w:tc>
        <w:tc>
          <w:tcPr>
            <w:tcW w:w="531" w:type="pct"/>
          </w:tcPr>
          <w:p w:rsidR="00586C4E" w:rsidRPr="00863D32" w:rsidRDefault="00586C4E" w:rsidP="00EB118A">
            <w:pPr>
              <w:pStyle w:val="tablenotes"/>
              <w:spacing w:after="120"/>
              <w:jc w:val="center"/>
              <w:rPr>
                <w:rFonts w:ascii="Arial Narrow" w:hAnsi="Arial Narrow"/>
                <w:b/>
              </w:rPr>
            </w:pPr>
            <w:r w:rsidRPr="00863D32">
              <w:rPr>
                <w:rFonts w:ascii="Arial Narrow" w:hAnsi="Arial Narrow"/>
                <w:b/>
              </w:rPr>
              <w:t>Citation</w:t>
            </w:r>
          </w:p>
        </w:tc>
        <w:tc>
          <w:tcPr>
            <w:tcW w:w="559" w:type="pct"/>
          </w:tcPr>
          <w:p w:rsidR="00586C4E" w:rsidRPr="00AA09D8" w:rsidRDefault="00586C4E" w:rsidP="00EB118A">
            <w:pPr>
              <w:pStyle w:val="tablenotes"/>
              <w:spacing w:after="120"/>
              <w:jc w:val="center"/>
              <w:rPr>
                <w:rFonts w:ascii="Arial Narrow" w:hAnsi="Arial Narrow"/>
                <w:b/>
              </w:rPr>
            </w:pPr>
            <w:r w:rsidRPr="00AA09D8">
              <w:rPr>
                <w:rFonts w:ascii="Arial Narrow" w:hAnsi="Arial Narrow"/>
                <w:b/>
              </w:rPr>
              <w:t>Study design</w:t>
            </w:r>
          </w:p>
        </w:tc>
        <w:tc>
          <w:tcPr>
            <w:tcW w:w="784" w:type="pct"/>
          </w:tcPr>
          <w:p w:rsidR="00586C4E" w:rsidRPr="00AA09D8" w:rsidRDefault="00586C4E" w:rsidP="00EB118A">
            <w:pPr>
              <w:pStyle w:val="tablenotes"/>
              <w:spacing w:after="120"/>
              <w:jc w:val="center"/>
              <w:rPr>
                <w:rFonts w:ascii="Arial Narrow" w:hAnsi="Arial Narrow"/>
                <w:b/>
              </w:rPr>
            </w:pPr>
            <w:r w:rsidRPr="00AA09D8">
              <w:rPr>
                <w:rFonts w:ascii="Arial Narrow" w:hAnsi="Arial Narrow"/>
                <w:b/>
              </w:rPr>
              <w:t>Study population</w:t>
            </w:r>
          </w:p>
        </w:tc>
        <w:tc>
          <w:tcPr>
            <w:tcW w:w="864" w:type="pct"/>
          </w:tcPr>
          <w:p w:rsidR="00586C4E" w:rsidRPr="00AA09D8" w:rsidRDefault="00586C4E" w:rsidP="00EB118A">
            <w:pPr>
              <w:pStyle w:val="tablenotes"/>
              <w:spacing w:after="120"/>
              <w:jc w:val="center"/>
              <w:rPr>
                <w:rFonts w:ascii="Arial Narrow" w:hAnsi="Arial Narrow"/>
                <w:b/>
              </w:rPr>
            </w:pPr>
            <w:r w:rsidRPr="00AA09D8">
              <w:rPr>
                <w:rFonts w:ascii="Arial Narrow" w:hAnsi="Arial Narrow"/>
                <w:b/>
              </w:rPr>
              <w:t>Intervention and duration</w:t>
            </w:r>
          </w:p>
        </w:tc>
        <w:tc>
          <w:tcPr>
            <w:tcW w:w="1698" w:type="pct"/>
          </w:tcPr>
          <w:p w:rsidR="00586C4E" w:rsidRPr="00AA09D8" w:rsidRDefault="00586C4E" w:rsidP="00EB118A">
            <w:pPr>
              <w:pStyle w:val="tablenotes"/>
              <w:spacing w:after="120"/>
              <w:jc w:val="center"/>
              <w:rPr>
                <w:rFonts w:ascii="Arial Narrow" w:hAnsi="Arial Narrow"/>
                <w:b/>
              </w:rPr>
            </w:pPr>
            <w:r w:rsidRPr="00AA09D8">
              <w:rPr>
                <w:rFonts w:ascii="Arial Narrow" w:hAnsi="Arial Narrow"/>
                <w:b/>
              </w:rPr>
              <w:t>Key results</w:t>
            </w:r>
          </w:p>
        </w:tc>
      </w:tr>
      <w:tr w:rsidR="00173657" w:rsidRPr="00AA09D8" w:rsidTr="00B733BB">
        <w:trPr>
          <w:cantSplit/>
        </w:trPr>
        <w:tc>
          <w:tcPr>
            <w:tcW w:w="564" w:type="pct"/>
          </w:tcPr>
          <w:p w:rsidR="00586C4E" w:rsidRPr="00AA09D8" w:rsidRDefault="00586C4E" w:rsidP="008D11BD">
            <w:pPr>
              <w:pStyle w:val="TableText0"/>
            </w:pPr>
            <w:r w:rsidRPr="00AA09D8">
              <w:t>Crohn’s disease</w:t>
            </w:r>
          </w:p>
        </w:tc>
        <w:tc>
          <w:tcPr>
            <w:tcW w:w="531" w:type="pct"/>
          </w:tcPr>
          <w:p w:rsidR="00586C4E" w:rsidRPr="00AA09D8" w:rsidRDefault="00586C4E" w:rsidP="008D11BD">
            <w:pPr>
              <w:pStyle w:val="TableText0"/>
            </w:pPr>
            <w:r w:rsidRPr="00AA09D8">
              <w:t xml:space="preserve">Polk DB. </w:t>
            </w:r>
            <w:proofErr w:type="spellStart"/>
            <w:r w:rsidRPr="00AA09D8">
              <w:t>Hattner</w:t>
            </w:r>
            <w:proofErr w:type="spellEnd"/>
            <w:r w:rsidRPr="00AA09D8">
              <w:t xml:space="preserve"> JAT, 1992</w:t>
            </w:r>
          </w:p>
        </w:tc>
        <w:tc>
          <w:tcPr>
            <w:tcW w:w="559" w:type="pct"/>
          </w:tcPr>
          <w:p w:rsidR="00586C4E" w:rsidRPr="00AA09D8" w:rsidRDefault="00586C4E" w:rsidP="008D11BD">
            <w:pPr>
              <w:pStyle w:val="TableText0"/>
            </w:pPr>
            <w:r w:rsidRPr="00AA09D8">
              <w:t>1-year prospective study</w:t>
            </w:r>
          </w:p>
        </w:tc>
        <w:tc>
          <w:tcPr>
            <w:tcW w:w="784" w:type="pct"/>
          </w:tcPr>
          <w:p w:rsidR="00586C4E" w:rsidRPr="00AA09D8" w:rsidRDefault="00586C4E" w:rsidP="008D11BD">
            <w:pPr>
              <w:pStyle w:val="TableText0"/>
            </w:pPr>
            <w:r w:rsidRPr="00AA09D8">
              <w:t>6 children with Crohn’s disease</w:t>
            </w:r>
          </w:p>
        </w:tc>
        <w:tc>
          <w:tcPr>
            <w:tcW w:w="864" w:type="pct"/>
          </w:tcPr>
          <w:p w:rsidR="00586C4E" w:rsidRPr="00AA09D8" w:rsidRDefault="00586C4E" w:rsidP="008D11BD">
            <w:pPr>
              <w:pStyle w:val="TableText0"/>
            </w:pPr>
            <w:r w:rsidRPr="00AA09D8">
              <w:t>100% whey peptide formula with MCTs by nocturnal nasogastric infusion at a caloric equivalent of 50</w:t>
            </w:r>
            <w:r w:rsidRPr="00AA09D8">
              <w:rPr>
                <w:vertAlign w:val="superscript"/>
              </w:rPr>
              <w:t>th</w:t>
            </w:r>
            <w:r w:rsidRPr="00AA09D8">
              <w:t xml:space="preserve"> percentile for age, as the exclusive nutrient source 1 out of 4 months during a 1-year period</w:t>
            </w:r>
          </w:p>
        </w:tc>
        <w:tc>
          <w:tcPr>
            <w:tcW w:w="1698" w:type="pct"/>
          </w:tcPr>
          <w:p w:rsidR="00586C4E" w:rsidRPr="00AA09D8" w:rsidRDefault="00586C4E" w:rsidP="008D11BD">
            <w:pPr>
              <w:pStyle w:val="TableText0"/>
            </w:pPr>
            <w:proofErr w:type="gramStart"/>
            <w:r w:rsidRPr="00AA09D8">
              <w:t>In a cohort of six children with Crohn’s disease and growth failure (height &lt;5</w:t>
            </w:r>
            <w:r w:rsidRPr="00AA09D8">
              <w:rPr>
                <w:vertAlign w:val="superscript"/>
              </w:rPr>
              <w:t>th</w:t>
            </w:r>
            <w:r w:rsidRPr="00AA09D8">
              <w:t xml:space="preserve"> percentile), intermittent supplemental feeding with 100% whey peptide formula with MCTs followed by an exclusion </w:t>
            </w:r>
            <w:r w:rsidR="00332BEE" w:rsidRPr="00AA09D8">
              <w:t>diet for 12 months resulted in significant improvements in height (height velocity accelerated from 2.6 ±0.8 to 9.3±0. cm/year; p&lt;0.0001) and weight (weight velocity increased from 3.0±1.2 to 6.63±1.2 kg/year; p&lt;0.02) from baseline.</w:t>
            </w:r>
            <w:proofErr w:type="gramEnd"/>
          </w:p>
        </w:tc>
      </w:tr>
      <w:tr w:rsidR="00173657" w:rsidRPr="00AA09D8" w:rsidTr="00B733BB">
        <w:trPr>
          <w:cantSplit/>
        </w:trPr>
        <w:tc>
          <w:tcPr>
            <w:tcW w:w="564" w:type="pct"/>
          </w:tcPr>
          <w:p w:rsidR="00586C4E" w:rsidRPr="00AA09D8" w:rsidRDefault="00332BEE" w:rsidP="008D11BD">
            <w:pPr>
              <w:pStyle w:val="TableText0"/>
            </w:pPr>
            <w:r w:rsidRPr="00AA09D8">
              <w:t xml:space="preserve">Gastrointestinal </w:t>
            </w:r>
            <w:proofErr w:type="spellStart"/>
            <w:r w:rsidRPr="00AA09D8">
              <w:t>dysmotility</w:t>
            </w:r>
            <w:proofErr w:type="spellEnd"/>
            <w:r w:rsidRPr="00AA09D8">
              <w:t>, Crohn’s disease, short bowel syndrome</w:t>
            </w:r>
          </w:p>
        </w:tc>
        <w:tc>
          <w:tcPr>
            <w:tcW w:w="531" w:type="pct"/>
          </w:tcPr>
          <w:p w:rsidR="00586C4E" w:rsidRPr="00AA09D8" w:rsidRDefault="00332BEE" w:rsidP="008D11BD">
            <w:pPr>
              <w:pStyle w:val="TableText0"/>
            </w:pPr>
            <w:proofErr w:type="spellStart"/>
            <w:r w:rsidRPr="00AA09D8">
              <w:t>Vikram</w:t>
            </w:r>
            <w:proofErr w:type="spellEnd"/>
            <w:r w:rsidRPr="00AA09D8">
              <w:t xml:space="preserve"> </w:t>
            </w:r>
            <w:proofErr w:type="spellStart"/>
            <w:r w:rsidRPr="00AA09D8">
              <w:t>Khoshoo</w:t>
            </w:r>
            <w:proofErr w:type="spellEnd"/>
            <w:r w:rsidRPr="00AA09D8">
              <w:t>, Sun, &amp; Storm, 2010</w:t>
            </w:r>
          </w:p>
        </w:tc>
        <w:tc>
          <w:tcPr>
            <w:tcW w:w="559" w:type="pct"/>
          </w:tcPr>
          <w:p w:rsidR="00586C4E" w:rsidRPr="00AA09D8" w:rsidRDefault="00332BEE" w:rsidP="008D11BD">
            <w:pPr>
              <w:pStyle w:val="TableText0"/>
            </w:pPr>
            <w:r w:rsidRPr="00AA09D8">
              <w:t>6-week randomised, double-blind, crossover study</w:t>
            </w:r>
          </w:p>
        </w:tc>
        <w:tc>
          <w:tcPr>
            <w:tcW w:w="784" w:type="pct"/>
          </w:tcPr>
          <w:p w:rsidR="00586C4E" w:rsidRPr="00AA09D8" w:rsidRDefault="00332BEE" w:rsidP="008D11BD">
            <w:pPr>
              <w:pStyle w:val="TableText0"/>
            </w:pPr>
            <w:r w:rsidRPr="00AA09D8">
              <w:t xml:space="preserve">12 children with gastrointestinal </w:t>
            </w:r>
            <w:proofErr w:type="spellStart"/>
            <w:r w:rsidRPr="00AA09D8">
              <w:t>dysmotility</w:t>
            </w:r>
            <w:proofErr w:type="spellEnd"/>
            <w:r w:rsidRPr="00AA09D8">
              <w:t xml:space="preserve"> (n=9), Crohn’s disease (n=3), or mild short bowel syndrome (n=2)</w:t>
            </w:r>
          </w:p>
        </w:tc>
        <w:tc>
          <w:tcPr>
            <w:tcW w:w="864" w:type="pct"/>
          </w:tcPr>
          <w:p w:rsidR="00586C4E" w:rsidRPr="00AA09D8" w:rsidRDefault="00332BEE" w:rsidP="008D11BD">
            <w:pPr>
              <w:pStyle w:val="TableText0"/>
            </w:pPr>
            <w:r w:rsidRPr="00AA09D8">
              <w:t>Children received one of two formulas for 2 weeks followed by a 5-day washout period and then the second diet for another 2 weeks:</w:t>
            </w:r>
          </w:p>
          <w:p w:rsidR="00332BEE" w:rsidRPr="00AA09D8" w:rsidRDefault="00CA484D" w:rsidP="008D11BD">
            <w:pPr>
              <w:pStyle w:val="TableText0"/>
              <w:numPr>
                <w:ilvl w:val="0"/>
                <w:numId w:val="30"/>
              </w:numPr>
            </w:pPr>
            <w:r w:rsidRPr="00AA09D8">
              <w:t>A 100% whey, peptide-based formula without fibre (control)</w:t>
            </w:r>
          </w:p>
          <w:p w:rsidR="00CA484D" w:rsidRPr="00AA09D8" w:rsidRDefault="00CA484D" w:rsidP="008D11BD">
            <w:pPr>
              <w:pStyle w:val="TableText0"/>
              <w:numPr>
                <w:ilvl w:val="0"/>
                <w:numId w:val="30"/>
              </w:numPr>
            </w:pPr>
            <w:r w:rsidRPr="00AA09D8">
              <w:t>A 100% whey, peptide-based formula with fibre and prebiotic</w:t>
            </w:r>
          </w:p>
          <w:p w:rsidR="00CA484D" w:rsidRPr="00AA09D8" w:rsidRDefault="00CA484D" w:rsidP="008D11BD">
            <w:pPr>
              <w:pStyle w:val="TableText0"/>
            </w:pPr>
            <w:r w:rsidRPr="00AA09D8">
              <w:t xml:space="preserve">During the run-in and washout periods, participants </w:t>
            </w:r>
            <w:proofErr w:type="gramStart"/>
            <w:r w:rsidRPr="00AA09D8">
              <w:t>were fed</w:t>
            </w:r>
            <w:proofErr w:type="gramEnd"/>
            <w:r w:rsidRPr="00AA09D8">
              <w:t xml:space="preserve"> the fibre-free formula, </w:t>
            </w:r>
            <w:proofErr w:type="spellStart"/>
            <w:r w:rsidRPr="00AA09D8">
              <w:t>Peptamen</w:t>
            </w:r>
            <w:proofErr w:type="spellEnd"/>
            <w:r w:rsidRPr="00AA09D8">
              <w:t xml:space="preserve"> Junior, similar to the control formula used.</w:t>
            </w:r>
          </w:p>
        </w:tc>
        <w:tc>
          <w:tcPr>
            <w:tcW w:w="1698" w:type="pct"/>
          </w:tcPr>
          <w:p w:rsidR="00586C4E" w:rsidRPr="00AA09D8" w:rsidRDefault="00CA484D" w:rsidP="008D11BD">
            <w:pPr>
              <w:pStyle w:val="TableText0"/>
            </w:pPr>
            <w:r w:rsidRPr="00AA09D8">
              <w:t xml:space="preserve">Feeding with </w:t>
            </w:r>
            <w:proofErr w:type="spellStart"/>
            <w:r w:rsidRPr="00AA09D8">
              <w:t>Peptamen</w:t>
            </w:r>
            <w:proofErr w:type="spellEnd"/>
            <w:r w:rsidRPr="00AA09D8">
              <w:t xml:space="preserve"> Junior with added fibre was associated with improved </w:t>
            </w:r>
            <w:r w:rsidR="003D3936" w:rsidRPr="00AA09D8">
              <w:t>stool</w:t>
            </w:r>
            <w:r w:rsidRPr="00AA09D8">
              <w:t xml:space="preserve"> consistency, decreased abdominal distension, and decreased flatulence compared with when the same formula without fibre </w:t>
            </w:r>
            <w:proofErr w:type="gramStart"/>
            <w:r w:rsidRPr="00AA09D8">
              <w:t>was administered</w:t>
            </w:r>
            <w:proofErr w:type="gramEnd"/>
            <w:r w:rsidRPr="00AA09D8">
              <w:t xml:space="preserve">. No significant differences </w:t>
            </w:r>
            <w:proofErr w:type="gramStart"/>
            <w:r w:rsidRPr="00AA09D8">
              <w:t>were observed</w:t>
            </w:r>
            <w:proofErr w:type="gramEnd"/>
            <w:r w:rsidRPr="00AA09D8">
              <w:t xml:space="preserve"> </w:t>
            </w:r>
            <w:r w:rsidR="003D3936" w:rsidRPr="00AA09D8">
              <w:t>in vomiting, abdominal pain, fee</w:t>
            </w:r>
            <w:r w:rsidRPr="00AA09D8">
              <w:t xml:space="preserve">ding intake, or weight gain between the two formulas. This study showed that </w:t>
            </w:r>
            <w:proofErr w:type="spellStart"/>
            <w:r w:rsidRPr="00AA09D8">
              <w:t>Peptamen</w:t>
            </w:r>
            <w:proofErr w:type="spellEnd"/>
            <w:r w:rsidRPr="00AA09D8">
              <w:t xml:space="preserve"> Junior </w:t>
            </w:r>
            <w:proofErr w:type="gramStart"/>
            <w:r w:rsidRPr="00AA09D8">
              <w:t>was as well tolerated</w:t>
            </w:r>
            <w:proofErr w:type="gramEnd"/>
            <w:r w:rsidRPr="00AA09D8">
              <w:t xml:space="preserve"> as a peptide-based formula containing fibre in a small population of children with gastrointestinal impairments.</w:t>
            </w:r>
          </w:p>
        </w:tc>
      </w:tr>
      <w:tr w:rsidR="00173657" w:rsidRPr="00AA09D8" w:rsidTr="00B733BB">
        <w:trPr>
          <w:cantSplit/>
        </w:trPr>
        <w:tc>
          <w:tcPr>
            <w:tcW w:w="564" w:type="pct"/>
          </w:tcPr>
          <w:p w:rsidR="00586C4E" w:rsidRPr="00AA09D8" w:rsidRDefault="00326274" w:rsidP="008D11BD">
            <w:pPr>
              <w:pStyle w:val="TableText0"/>
            </w:pPr>
            <w:r w:rsidRPr="00AA09D8">
              <w:lastRenderedPageBreak/>
              <w:t>Short bowel syndrome, neurological impairment, cystic fibrosis, cancer and other conditions associated with malabsorption</w:t>
            </w:r>
          </w:p>
        </w:tc>
        <w:tc>
          <w:tcPr>
            <w:tcW w:w="531" w:type="pct"/>
          </w:tcPr>
          <w:p w:rsidR="00586C4E" w:rsidRPr="00AA09D8" w:rsidRDefault="00326274" w:rsidP="008D11BD">
            <w:pPr>
              <w:pStyle w:val="TableText0"/>
            </w:pPr>
            <w:r w:rsidRPr="00AA09D8">
              <w:t>Leonard et al., 2019</w:t>
            </w:r>
          </w:p>
        </w:tc>
        <w:tc>
          <w:tcPr>
            <w:tcW w:w="559" w:type="pct"/>
          </w:tcPr>
          <w:p w:rsidR="00586C4E" w:rsidRPr="00AA09D8" w:rsidRDefault="00326274" w:rsidP="008D11BD">
            <w:pPr>
              <w:pStyle w:val="TableText0"/>
            </w:pPr>
            <w:r w:rsidRPr="00AA09D8">
              <w:t>Retrospective multicentre survey on a cohort of patients between 2010 and 2015 in 12 tertiary paediatric French centres</w:t>
            </w:r>
          </w:p>
        </w:tc>
        <w:tc>
          <w:tcPr>
            <w:tcW w:w="784" w:type="pct"/>
          </w:tcPr>
          <w:p w:rsidR="00586C4E" w:rsidRPr="00AA09D8" w:rsidRDefault="00326274" w:rsidP="008D11BD">
            <w:pPr>
              <w:pStyle w:val="TableText0"/>
            </w:pPr>
            <w:r w:rsidRPr="00AA09D8">
              <w:t xml:space="preserve">136 children with digestive tract disease (including short bowel syndrome), neurological impairment, cystic fibrosis, </w:t>
            </w:r>
            <w:r w:rsidR="003D3936" w:rsidRPr="00AA09D8">
              <w:t>haematological</w:t>
            </w:r>
            <w:r w:rsidRPr="00AA09D8">
              <w:t xml:space="preserve">/oncological disease, cholestasis, ear, nose, and throat disease or unsafe to </w:t>
            </w:r>
            <w:r w:rsidR="003D3936" w:rsidRPr="00AA09D8">
              <w:t>swallow</w:t>
            </w:r>
            <w:r w:rsidRPr="00AA09D8">
              <w:t>, respiratory failure, heart disease and/or other pathology</w:t>
            </w:r>
          </w:p>
        </w:tc>
        <w:tc>
          <w:tcPr>
            <w:tcW w:w="864" w:type="pct"/>
          </w:tcPr>
          <w:p w:rsidR="00586C4E" w:rsidRPr="00AA09D8" w:rsidRDefault="00326274" w:rsidP="008D11BD">
            <w:pPr>
              <w:pStyle w:val="TableText0"/>
            </w:pPr>
            <w:r w:rsidRPr="00AA09D8">
              <w:t>Patients received a large amount of their daily caloric intake in the for</w:t>
            </w:r>
            <w:r w:rsidR="003D3936" w:rsidRPr="00AA09D8">
              <w:t>m</w:t>
            </w:r>
            <w:r w:rsidRPr="00AA09D8">
              <w:t xml:space="preserve"> of </w:t>
            </w:r>
            <w:proofErr w:type="spellStart"/>
            <w:r w:rsidRPr="00AA09D8">
              <w:t>Peptamen</w:t>
            </w:r>
            <w:proofErr w:type="spellEnd"/>
            <w:r w:rsidRPr="00AA09D8">
              <w:t xml:space="preserve"> Junior between 2010 and 2015</w:t>
            </w:r>
          </w:p>
        </w:tc>
        <w:tc>
          <w:tcPr>
            <w:tcW w:w="1698" w:type="pct"/>
          </w:tcPr>
          <w:p w:rsidR="00586C4E" w:rsidRPr="00AA09D8" w:rsidRDefault="00326274" w:rsidP="008D11BD">
            <w:pPr>
              <w:pStyle w:val="TableText0"/>
            </w:pPr>
            <w:r w:rsidRPr="00AA09D8">
              <w:t>Body mass index improved or remained normal</w:t>
            </w:r>
            <w:r w:rsidR="003D3936" w:rsidRPr="00AA09D8">
              <w:t xml:space="preserve"> </w:t>
            </w:r>
            <w:r w:rsidRPr="00AA09D8">
              <w:t xml:space="preserve">in 88.3% of children. Home enteral nutrition with </w:t>
            </w:r>
            <w:proofErr w:type="spellStart"/>
            <w:r w:rsidRPr="00AA09D8">
              <w:t>Peptamen</w:t>
            </w:r>
            <w:proofErr w:type="spellEnd"/>
            <w:r w:rsidRPr="00AA09D8">
              <w:t xml:space="preserve"> Junior was well tolerated and efficient in children</w:t>
            </w:r>
            <w:r w:rsidR="003D3936" w:rsidRPr="00AA09D8">
              <w:t xml:space="preserve"> </w:t>
            </w:r>
            <w:r w:rsidRPr="00AA09D8">
              <w:t>with complex diseases featuring malabsorption and/or after failure of polymeric diet</w:t>
            </w:r>
          </w:p>
        </w:tc>
      </w:tr>
      <w:tr w:rsidR="00173657" w:rsidRPr="00AA09D8" w:rsidTr="00B733BB">
        <w:trPr>
          <w:cantSplit/>
        </w:trPr>
        <w:tc>
          <w:tcPr>
            <w:tcW w:w="564" w:type="pct"/>
          </w:tcPr>
          <w:p w:rsidR="00586C4E" w:rsidRPr="00AA09D8" w:rsidRDefault="00326274" w:rsidP="008D11BD">
            <w:pPr>
              <w:pStyle w:val="TableText0"/>
            </w:pPr>
            <w:r w:rsidRPr="00AA09D8">
              <w:lastRenderedPageBreak/>
              <w:t>Cancer</w:t>
            </w:r>
          </w:p>
        </w:tc>
        <w:tc>
          <w:tcPr>
            <w:tcW w:w="531" w:type="pct"/>
          </w:tcPr>
          <w:p w:rsidR="00586C4E" w:rsidRPr="00AA09D8" w:rsidRDefault="00326274" w:rsidP="008D11BD">
            <w:pPr>
              <w:pStyle w:val="TableText0"/>
            </w:pPr>
            <w:r w:rsidRPr="00AA09D8">
              <w:t xml:space="preserve">Hu </w:t>
            </w:r>
            <w:proofErr w:type="spellStart"/>
            <w:r w:rsidRPr="00AA09D8">
              <w:t>Qun</w:t>
            </w:r>
            <w:proofErr w:type="spellEnd"/>
            <w:r w:rsidRPr="00AA09D8">
              <w:t xml:space="preserve">, Sun Y. Effects of a Peptide-Based </w:t>
            </w:r>
            <w:r w:rsidR="003D3936" w:rsidRPr="00AA09D8">
              <w:t>Enteral</w:t>
            </w:r>
            <w:r w:rsidRPr="00AA09D8">
              <w:t xml:space="preserve"> Formula </w:t>
            </w:r>
            <w:proofErr w:type="gramStart"/>
            <w:r w:rsidRPr="00AA09D8">
              <w:t>on Tolerance to Chemotherapy in Children with ALL Receiving an L-ASP Containing Combination Regimen</w:t>
            </w:r>
            <w:proofErr w:type="gramEnd"/>
            <w:r w:rsidRPr="00AA09D8">
              <w:t>. WCPGHAN 2012, November 14-18 Taipei, Taiwan (Poster).</w:t>
            </w:r>
          </w:p>
        </w:tc>
        <w:tc>
          <w:tcPr>
            <w:tcW w:w="559" w:type="pct"/>
          </w:tcPr>
          <w:p w:rsidR="00586C4E" w:rsidRPr="00AA09D8" w:rsidRDefault="00326274" w:rsidP="008D11BD">
            <w:pPr>
              <w:pStyle w:val="TableText0"/>
            </w:pPr>
            <w:r w:rsidRPr="00AA09D8">
              <w:t>Cohort study</w:t>
            </w:r>
          </w:p>
        </w:tc>
        <w:tc>
          <w:tcPr>
            <w:tcW w:w="784" w:type="pct"/>
          </w:tcPr>
          <w:p w:rsidR="00586C4E" w:rsidRPr="00AA09D8" w:rsidRDefault="00326274" w:rsidP="008D11BD">
            <w:pPr>
              <w:pStyle w:val="TableText0"/>
            </w:pPr>
            <w:r w:rsidRPr="00AA09D8">
              <w:t>Paediatric patients with acute lymphoblastic leukaemia (ALL)</w:t>
            </w:r>
          </w:p>
        </w:tc>
        <w:tc>
          <w:tcPr>
            <w:tcW w:w="864" w:type="pct"/>
          </w:tcPr>
          <w:p w:rsidR="00586C4E" w:rsidRPr="00AA09D8" w:rsidRDefault="00326274" w:rsidP="008D11BD">
            <w:pPr>
              <w:pStyle w:val="TableText0"/>
            </w:pPr>
            <w:proofErr w:type="spellStart"/>
            <w:r w:rsidRPr="00AA09D8">
              <w:t>Peptamen</w:t>
            </w:r>
            <w:proofErr w:type="spellEnd"/>
            <w:r w:rsidRPr="00AA09D8">
              <w:t xml:space="preserve"> Junior duration</w:t>
            </w:r>
          </w:p>
        </w:tc>
        <w:tc>
          <w:tcPr>
            <w:tcW w:w="1698" w:type="pct"/>
          </w:tcPr>
          <w:p w:rsidR="00586C4E" w:rsidRPr="00AA09D8" w:rsidRDefault="00D477D8" w:rsidP="008D11BD">
            <w:pPr>
              <w:pStyle w:val="TableText0"/>
            </w:pPr>
            <w:r w:rsidRPr="00AA09D8">
              <w:t xml:space="preserve">In a cohort of paediatric patients with ALL (n=54), dietary supplementation with </w:t>
            </w:r>
            <w:proofErr w:type="spellStart"/>
            <w:r w:rsidRPr="00AA09D8">
              <w:t>Peptamen</w:t>
            </w:r>
            <w:proofErr w:type="spellEnd"/>
            <w:r w:rsidRPr="00AA09D8">
              <w:t xml:space="preserve"> Junior (n=36) was associated with improved tolerance to chemotherapy compared with non-supplemented controls (n=18), as indicated by:</w:t>
            </w:r>
          </w:p>
          <w:p w:rsidR="00D477D8" w:rsidRPr="00AA09D8" w:rsidRDefault="00D477D8" w:rsidP="008D11BD">
            <w:pPr>
              <w:pStyle w:val="TableText0"/>
              <w:numPr>
                <w:ilvl w:val="0"/>
                <w:numId w:val="27"/>
              </w:numPr>
            </w:pPr>
            <w:r w:rsidRPr="00AA09D8">
              <w:t>A significantly smaller decrease in blood serum albumin following chemotherapy versus control patients (serum albumin levels after chemotherapy: 35.26 g/L ± 3.62 versus 31.07 g/L ± 3.32, respectively; t=4.091; p&lt;0.05)</w:t>
            </w:r>
            <w:r w:rsidR="00CE5831" w:rsidRPr="00AA09D8">
              <w:t>.</w:t>
            </w:r>
          </w:p>
          <w:p w:rsidR="00D477D8" w:rsidRPr="00AA09D8" w:rsidRDefault="00D477D8" w:rsidP="008D11BD">
            <w:pPr>
              <w:pStyle w:val="TableText0"/>
              <w:numPr>
                <w:ilvl w:val="0"/>
                <w:numId w:val="27"/>
              </w:numPr>
            </w:pPr>
            <w:r w:rsidRPr="00AA09D8">
              <w:t>A significantly better blood coagulation profile following chemotherapy versus control patients, measured by prothrombin times and activated partial thromboplastin time:</w:t>
            </w:r>
          </w:p>
          <w:p w:rsidR="00D477D8" w:rsidRPr="00AA09D8" w:rsidRDefault="00D477D8" w:rsidP="008D11BD">
            <w:pPr>
              <w:pStyle w:val="TableText0"/>
              <w:numPr>
                <w:ilvl w:val="1"/>
                <w:numId w:val="28"/>
              </w:numPr>
            </w:pPr>
            <w:r w:rsidRPr="00AA09D8">
              <w:t>Prothrombin time: 11.47 s ± 1.75 versus 13.23 s ± 1.98, respectively (t=3.135; p&lt;0.05)</w:t>
            </w:r>
          </w:p>
          <w:p w:rsidR="00D477D8" w:rsidRPr="00AA09D8" w:rsidRDefault="00D477D8" w:rsidP="008D11BD">
            <w:pPr>
              <w:pStyle w:val="TableText0"/>
              <w:numPr>
                <w:ilvl w:val="1"/>
                <w:numId w:val="28"/>
              </w:numPr>
            </w:pPr>
            <w:r w:rsidRPr="00AA09D8">
              <w:t>Activated partial thromboplastin time: 32.81 s ± 7.12 versus 47.68 s ± 14.37, respectively (t=3.995; p&lt;0.05)</w:t>
            </w:r>
          </w:p>
          <w:p w:rsidR="00D477D8" w:rsidRPr="00AA09D8" w:rsidRDefault="00D477D8" w:rsidP="008D11BD">
            <w:pPr>
              <w:pStyle w:val="TableText0"/>
              <w:numPr>
                <w:ilvl w:val="0"/>
                <w:numId w:val="28"/>
              </w:numPr>
            </w:pPr>
            <w:r w:rsidRPr="00AA09D8">
              <w:t>A significantly higher absolute neutrophil count following chemotherapy versus control patients (1.20 ±</w:t>
            </w:r>
            <w:r w:rsidR="00CE5831" w:rsidRPr="00AA09D8">
              <w:t xml:space="preserve"> 1.15 versus 0.50 ± 0.79, respectively; p&lt;0.05). </w:t>
            </w:r>
          </w:p>
          <w:p w:rsidR="00CE5831" w:rsidRPr="00AA09D8" w:rsidRDefault="00CE5831" w:rsidP="008D11BD">
            <w:pPr>
              <w:pStyle w:val="TableText0"/>
              <w:numPr>
                <w:ilvl w:val="0"/>
                <w:numId w:val="28"/>
              </w:numPr>
            </w:pPr>
            <w:r w:rsidRPr="00AA09D8">
              <w:t>A significantly shorter time to neutrophil recovery versus control patients (4.18 days ± 2.92 versus 7.29 days ± 2.16; p&lt;0.05).</w:t>
            </w:r>
          </w:p>
        </w:tc>
      </w:tr>
      <w:tr w:rsidR="00173657" w:rsidRPr="00AA09D8" w:rsidTr="00B733BB">
        <w:trPr>
          <w:cantSplit/>
        </w:trPr>
        <w:tc>
          <w:tcPr>
            <w:tcW w:w="564" w:type="pct"/>
          </w:tcPr>
          <w:p w:rsidR="00586C4E" w:rsidRPr="00AA09D8" w:rsidRDefault="00434DCA" w:rsidP="008D11BD">
            <w:pPr>
              <w:pStyle w:val="TableText0"/>
            </w:pPr>
            <w:r w:rsidRPr="00AA09D8">
              <w:lastRenderedPageBreak/>
              <w:t>HIV/AIDS</w:t>
            </w:r>
          </w:p>
        </w:tc>
        <w:tc>
          <w:tcPr>
            <w:tcW w:w="531" w:type="pct"/>
          </w:tcPr>
          <w:p w:rsidR="00586C4E" w:rsidRPr="00AA09D8" w:rsidRDefault="00434DCA" w:rsidP="008D11BD">
            <w:pPr>
              <w:pStyle w:val="TableText0"/>
            </w:pPr>
            <w:proofErr w:type="spellStart"/>
            <w:r w:rsidRPr="00AA09D8">
              <w:t>Hampsey</w:t>
            </w:r>
            <w:proofErr w:type="spellEnd"/>
            <w:r w:rsidRPr="00AA09D8">
              <w:t xml:space="preserve"> J, </w:t>
            </w:r>
            <w:proofErr w:type="spellStart"/>
            <w:r w:rsidRPr="00AA09D8">
              <w:t>Sleasman</w:t>
            </w:r>
            <w:proofErr w:type="spellEnd"/>
            <w:r w:rsidRPr="00AA09D8">
              <w:t xml:space="preserve"> J and </w:t>
            </w:r>
            <w:proofErr w:type="spellStart"/>
            <w:r w:rsidRPr="00AA09D8">
              <w:t>Borum</w:t>
            </w:r>
            <w:proofErr w:type="spellEnd"/>
            <w:r w:rsidRPr="00AA09D8">
              <w:t xml:space="preserve"> P. Nutrition intervention with HIV infected children. </w:t>
            </w:r>
            <w:r w:rsidRPr="00AA09D8">
              <w:rPr>
                <w:i/>
              </w:rPr>
              <w:t>The FASEB Journal</w:t>
            </w:r>
            <w:r w:rsidRPr="00AA09D8">
              <w:t xml:space="preserve">, 1997;11(3):A187 (Abstract presented </w:t>
            </w:r>
            <w:r w:rsidR="00715204" w:rsidRPr="00AA09D8">
              <w:t>at: Environmental</w:t>
            </w:r>
            <w:r w:rsidRPr="00AA09D8">
              <w:t xml:space="preserve"> Biology 1997, April 6-9, New Orleans, USA)</w:t>
            </w:r>
          </w:p>
        </w:tc>
        <w:tc>
          <w:tcPr>
            <w:tcW w:w="559" w:type="pct"/>
          </w:tcPr>
          <w:p w:rsidR="00586C4E" w:rsidRPr="00AA09D8" w:rsidRDefault="00586C4E" w:rsidP="008D11BD">
            <w:pPr>
              <w:pStyle w:val="TableText0"/>
            </w:pPr>
          </w:p>
        </w:tc>
        <w:tc>
          <w:tcPr>
            <w:tcW w:w="784" w:type="pct"/>
          </w:tcPr>
          <w:p w:rsidR="00586C4E" w:rsidRPr="00AA09D8" w:rsidRDefault="00586C4E" w:rsidP="008D11BD">
            <w:pPr>
              <w:pStyle w:val="TableText0"/>
            </w:pPr>
          </w:p>
        </w:tc>
        <w:tc>
          <w:tcPr>
            <w:tcW w:w="864" w:type="pct"/>
          </w:tcPr>
          <w:p w:rsidR="00586C4E" w:rsidRPr="00AA09D8" w:rsidRDefault="00434DCA" w:rsidP="008D11BD">
            <w:pPr>
              <w:pStyle w:val="TableText0"/>
            </w:pPr>
            <w:r w:rsidRPr="00AA09D8">
              <w:t>Yes</w:t>
            </w:r>
          </w:p>
        </w:tc>
        <w:tc>
          <w:tcPr>
            <w:tcW w:w="1698" w:type="pct"/>
          </w:tcPr>
          <w:p w:rsidR="00586C4E" w:rsidRPr="00AA09D8" w:rsidRDefault="00434DCA" w:rsidP="008D11BD">
            <w:pPr>
              <w:pStyle w:val="TableText0"/>
            </w:pPr>
            <w:r w:rsidRPr="00AA09D8">
              <w:t xml:space="preserve">Intervention study enrolling 10 symptomatic HIV-infected children. Weight gain was significantly greater during six months of dietary supplementation with </w:t>
            </w:r>
            <w:proofErr w:type="spellStart"/>
            <w:r w:rsidRPr="00AA09D8">
              <w:t>Peptamen</w:t>
            </w:r>
            <w:proofErr w:type="spellEnd"/>
            <w:r w:rsidRPr="00AA09D8">
              <w:t xml:space="preserve"> Junior than in an equal </w:t>
            </w:r>
            <w:proofErr w:type="gramStart"/>
            <w:r w:rsidRPr="00AA09D8">
              <w:t>time period</w:t>
            </w:r>
            <w:proofErr w:type="gramEnd"/>
            <w:r w:rsidRPr="00AA09D8">
              <w:t xml:space="preserve"> before the study. </w:t>
            </w:r>
          </w:p>
          <w:p w:rsidR="00434DCA" w:rsidRPr="00AA09D8" w:rsidRDefault="00434DCA" w:rsidP="008D11BD">
            <w:pPr>
              <w:pStyle w:val="TableText0"/>
            </w:pPr>
            <w:r w:rsidRPr="00AA09D8">
              <w:t xml:space="preserve">Supplementation with </w:t>
            </w:r>
            <w:proofErr w:type="spellStart"/>
            <w:r w:rsidRPr="00AA09D8">
              <w:t>Peptamen</w:t>
            </w:r>
            <w:proofErr w:type="spellEnd"/>
            <w:r w:rsidRPr="00AA09D8">
              <w:t xml:space="preserve"> Junior also resulted </w:t>
            </w:r>
            <w:r w:rsidR="00EB3317" w:rsidRPr="00AA09D8">
              <w:t xml:space="preserve">in significantly increased triceps </w:t>
            </w:r>
            <w:r w:rsidR="004D26BB" w:rsidRPr="00AA09D8">
              <w:t xml:space="preserve">skinfold from baseline (p=0.021). </w:t>
            </w:r>
          </w:p>
          <w:p w:rsidR="004D26BB" w:rsidRPr="00AA09D8" w:rsidRDefault="004D26BB" w:rsidP="008D11BD">
            <w:pPr>
              <w:pStyle w:val="TableText0"/>
            </w:pPr>
            <w:r w:rsidRPr="00AA09D8">
              <w:t xml:space="preserve">Furthermore, children who consumed </w:t>
            </w:r>
            <w:proofErr w:type="spellStart"/>
            <w:r w:rsidRPr="00AA09D8">
              <w:t>Peptamen</w:t>
            </w:r>
            <w:proofErr w:type="spellEnd"/>
            <w:r w:rsidRPr="00AA09D8">
              <w:t xml:space="preserve"> Junior daily </w:t>
            </w:r>
            <w:r w:rsidR="008A45D1" w:rsidRPr="00AA09D8">
              <w:t>for ≥65% of the time throughout the study increased to or maintained a haematocrit of 35%, whereas those who were less compliant did not.</w:t>
            </w:r>
          </w:p>
        </w:tc>
      </w:tr>
      <w:tr w:rsidR="00173657" w:rsidRPr="00AA09D8" w:rsidTr="00B733BB">
        <w:trPr>
          <w:cantSplit/>
        </w:trPr>
        <w:tc>
          <w:tcPr>
            <w:tcW w:w="564" w:type="pct"/>
          </w:tcPr>
          <w:p w:rsidR="00586C4E" w:rsidRPr="00AA09D8" w:rsidRDefault="008A45D1" w:rsidP="008D11BD">
            <w:pPr>
              <w:pStyle w:val="TableText0"/>
            </w:pPr>
            <w:r w:rsidRPr="00AA09D8">
              <w:t>Chronic diarrhoea</w:t>
            </w:r>
          </w:p>
        </w:tc>
        <w:tc>
          <w:tcPr>
            <w:tcW w:w="531" w:type="pct"/>
          </w:tcPr>
          <w:p w:rsidR="00586C4E" w:rsidRPr="00AA09D8" w:rsidRDefault="008A45D1" w:rsidP="008D11BD">
            <w:pPr>
              <w:pStyle w:val="TableText0"/>
            </w:pPr>
            <w:r w:rsidRPr="00AA09D8">
              <w:t>Flack S, Lawson M, 2003)</w:t>
            </w:r>
          </w:p>
        </w:tc>
        <w:tc>
          <w:tcPr>
            <w:tcW w:w="559" w:type="pct"/>
          </w:tcPr>
          <w:p w:rsidR="00586C4E" w:rsidRPr="00AA09D8" w:rsidRDefault="008A45D1" w:rsidP="008D11BD">
            <w:pPr>
              <w:pStyle w:val="TableText0"/>
            </w:pPr>
            <w:r w:rsidRPr="00AA09D8">
              <w:t>Prospective study</w:t>
            </w:r>
          </w:p>
        </w:tc>
        <w:tc>
          <w:tcPr>
            <w:tcW w:w="784" w:type="pct"/>
          </w:tcPr>
          <w:p w:rsidR="00586C4E" w:rsidRPr="00AA09D8" w:rsidRDefault="008A45D1" w:rsidP="008D11BD">
            <w:pPr>
              <w:pStyle w:val="TableText0"/>
            </w:pPr>
            <w:r w:rsidRPr="00AA09D8">
              <w:t xml:space="preserve">15 children with eosinophilic </w:t>
            </w:r>
            <w:r w:rsidR="003D3936" w:rsidRPr="00AA09D8">
              <w:t>enteropathy</w:t>
            </w:r>
            <w:r w:rsidRPr="00AA09D8">
              <w:t xml:space="preserve"> or food intolerance of </w:t>
            </w:r>
            <w:r w:rsidR="003D3936" w:rsidRPr="00AA09D8">
              <w:t>unknown</w:t>
            </w:r>
            <w:r w:rsidRPr="00AA09D8">
              <w:t xml:space="preserve"> aetiology</w:t>
            </w:r>
          </w:p>
        </w:tc>
        <w:tc>
          <w:tcPr>
            <w:tcW w:w="864" w:type="pct"/>
          </w:tcPr>
          <w:p w:rsidR="00586C4E" w:rsidRPr="00AA09D8" w:rsidRDefault="008A45D1" w:rsidP="008D11BD">
            <w:pPr>
              <w:pStyle w:val="TableText0"/>
            </w:pPr>
            <w:r w:rsidRPr="00AA09D8">
              <w:t xml:space="preserve">Subjects were established on </w:t>
            </w:r>
            <w:proofErr w:type="spellStart"/>
            <w:r w:rsidRPr="00AA09D8">
              <w:t>Peptamen</w:t>
            </w:r>
            <w:proofErr w:type="spellEnd"/>
            <w:r w:rsidRPr="00AA09D8">
              <w:t xml:space="preserve"> Junior over 4 days and were reviewed after 28 days</w:t>
            </w:r>
          </w:p>
        </w:tc>
        <w:tc>
          <w:tcPr>
            <w:tcW w:w="1698" w:type="pct"/>
          </w:tcPr>
          <w:p w:rsidR="00586C4E" w:rsidRPr="00AA09D8" w:rsidRDefault="008A45D1" w:rsidP="008D11BD">
            <w:pPr>
              <w:pStyle w:val="TableText0"/>
            </w:pPr>
            <w:proofErr w:type="spellStart"/>
            <w:r w:rsidRPr="00AA09D8">
              <w:t>Peptamen</w:t>
            </w:r>
            <w:proofErr w:type="spellEnd"/>
            <w:r w:rsidRPr="00AA09D8">
              <w:t xml:space="preserve"> Junior was associated with improvement in diarrhoea, vomiting and abdominal pain. Seven of eight children (88%) with diarrhoea </w:t>
            </w:r>
            <w:proofErr w:type="gramStart"/>
            <w:r w:rsidRPr="00AA09D8">
              <w:t>improved,</w:t>
            </w:r>
            <w:proofErr w:type="gramEnd"/>
            <w:r w:rsidRPr="00AA09D8">
              <w:t xml:space="preserve"> three of three children (100%) with vomiting improved and five of six children (83%) with abdominal pain improved during the 28-day trial period. </w:t>
            </w:r>
          </w:p>
          <w:p w:rsidR="008A45D1" w:rsidRPr="00AA09D8" w:rsidRDefault="008A45D1" w:rsidP="008D11BD">
            <w:pPr>
              <w:pStyle w:val="TableText0"/>
            </w:pPr>
            <w:r w:rsidRPr="00AA09D8">
              <w:t xml:space="preserve">It </w:t>
            </w:r>
            <w:proofErr w:type="gramStart"/>
            <w:r w:rsidRPr="00AA09D8">
              <w:t>was concluded</w:t>
            </w:r>
            <w:proofErr w:type="gramEnd"/>
            <w:r w:rsidRPr="00AA09D8">
              <w:t xml:space="preserve"> that </w:t>
            </w:r>
            <w:proofErr w:type="spellStart"/>
            <w:r w:rsidRPr="00AA09D8">
              <w:t>Peptamen</w:t>
            </w:r>
            <w:proofErr w:type="spellEnd"/>
            <w:r w:rsidRPr="00AA09D8">
              <w:t xml:space="preserve"> Junior is well accepted and tolerated and provides a more suitable nutrient profile than existing products designed for adults or infants.</w:t>
            </w:r>
          </w:p>
        </w:tc>
      </w:tr>
      <w:tr w:rsidR="00173657" w:rsidRPr="00AA09D8" w:rsidTr="00B733BB">
        <w:trPr>
          <w:cantSplit/>
        </w:trPr>
        <w:tc>
          <w:tcPr>
            <w:tcW w:w="564" w:type="pct"/>
          </w:tcPr>
          <w:p w:rsidR="00586C4E" w:rsidRPr="00AA09D8" w:rsidRDefault="008A45D1" w:rsidP="008D11BD">
            <w:pPr>
              <w:pStyle w:val="TableText0"/>
            </w:pPr>
            <w:r w:rsidRPr="00AA09D8">
              <w:lastRenderedPageBreak/>
              <w:t>Neurological impairment (e.g. cerebral palsy)</w:t>
            </w:r>
          </w:p>
        </w:tc>
        <w:tc>
          <w:tcPr>
            <w:tcW w:w="531" w:type="pct"/>
          </w:tcPr>
          <w:p w:rsidR="00586C4E" w:rsidRPr="00AA09D8" w:rsidRDefault="008A45D1" w:rsidP="008D11BD">
            <w:pPr>
              <w:pStyle w:val="TableText0"/>
            </w:pPr>
            <w:r w:rsidRPr="00AA09D8">
              <w:t xml:space="preserve">Minor, Ochoa, Storm, &amp; </w:t>
            </w:r>
            <w:proofErr w:type="spellStart"/>
            <w:r w:rsidRPr="00AA09D8">
              <w:t>Periman</w:t>
            </w:r>
            <w:proofErr w:type="spellEnd"/>
            <w:r w:rsidRPr="00AA09D8">
              <w:t>, 2016)</w:t>
            </w:r>
          </w:p>
        </w:tc>
        <w:tc>
          <w:tcPr>
            <w:tcW w:w="559" w:type="pct"/>
          </w:tcPr>
          <w:p w:rsidR="00586C4E" w:rsidRPr="00AA09D8" w:rsidRDefault="00A00CE6" w:rsidP="008D11BD">
            <w:pPr>
              <w:pStyle w:val="TableText0"/>
            </w:pPr>
            <w:r w:rsidRPr="00AA09D8">
              <w:t>Retrospective chart review</w:t>
            </w:r>
          </w:p>
        </w:tc>
        <w:tc>
          <w:tcPr>
            <w:tcW w:w="784" w:type="pct"/>
          </w:tcPr>
          <w:p w:rsidR="00A00CE6" w:rsidRPr="00AA09D8" w:rsidRDefault="00A00CE6" w:rsidP="008D11BD">
            <w:pPr>
              <w:pStyle w:val="TableText0"/>
            </w:pPr>
            <w:r w:rsidRPr="00AA09D8">
              <w:t>13 children with developmental delays who were failing to reach adequate nutritional goals on standard polymeric formulas</w:t>
            </w:r>
          </w:p>
        </w:tc>
        <w:tc>
          <w:tcPr>
            <w:tcW w:w="864" w:type="pct"/>
          </w:tcPr>
          <w:p w:rsidR="00586C4E" w:rsidRPr="00AA09D8" w:rsidRDefault="00A00CE6" w:rsidP="008D11BD">
            <w:pPr>
              <w:pStyle w:val="TableText0"/>
            </w:pPr>
            <w:r w:rsidRPr="00AA09D8">
              <w:t>Patients were switched from an intact polymeric formula to one of the following peptide-based, 100% whey formulas for a minimum of 2 weeks:</w:t>
            </w:r>
          </w:p>
          <w:p w:rsidR="00A00CE6" w:rsidRPr="00AA09D8" w:rsidRDefault="00A00CE6" w:rsidP="008D11BD">
            <w:pPr>
              <w:pStyle w:val="TableText0"/>
              <w:numPr>
                <w:ilvl w:val="0"/>
                <w:numId w:val="25"/>
              </w:numPr>
            </w:pPr>
            <w:proofErr w:type="spellStart"/>
            <w:r w:rsidRPr="00AA09D8">
              <w:t>Peptamen</w:t>
            </w:r>
            <w:proofErr w:type="spellEnd"/>
            <w:r w:rsidRPr="00AA09D8">
              <w:t xml:space="preserve"> Junior (n=6)</w:t>
            </w:r>
          </w:p>
          <w:p w:rsidR="00A00CE6" w:rsidRPr="00AA09D8" w:rsidRDefault="00A00CE6" w:rsidP="008D11BD">
            <w:pPr>
              <w:pStyle w:val="TableText0"/>
              <w:numPr>
                <w:ilvl w:val="0"/>
                <w:numId w:val="25"/>
              </w:numPr>
            </w:pPr>
            <w:proofErr w:type="spellStart"/>
            <w:r w:rsidRPr="00AA09D8">
              <w:t>Peptamen</w:t>
            </w:r>
            <w:proofErr w:type="spellEnd"/>
            <w:r w:rsidRPr="00AA09D8">
              <w:t xml:space="preserve"> Junior 1.5 (n=6)</w:t>
            </w:r>
          </w:p>
          <w:p w:rsidR="00A00CE6" w:rsidRPr="00AA09D8" w:rsidRDefault="00A00CE6" w:rsidP="008D11BD">
            <w:pPr>
              <w:pStyle w:val="TableText0"/>
              <w:numPr>
                <w:ilvl w:val="0"/>
                <w:numId w:val="25"/>
              </w:numPr>
            </w:pPr>
            <w:proofErr w:type="spellStart"/>
            <w:r w:rsidRPr="00AA09D8">
              <w:t>Peptamen</w:t>
            </w:r>
            <w:proofErr w:type="spellEnd"/>
            <w:r w:rsidRPr="00AA09D8">
              <w:t xml:space="preserve"> Junior </w:t>
            </w:r>
            <w:proofErr w:type="spellStart"/>
            <w:r w:rsidRPr="00AA09D8">
              <w:t>Prebio</w:t>
            </w:r>
            <w:proofErr w:type="spellEnd"/>
            <w:r w:rsidRPr="00AA09D8">
              <w:t xml:space="preserve"> (n=1)</w:t>
            </w:r>
          </w:p>
        </w:tc>
        <w:tc>
          <w:tcPr>
            <w:tcW w:w="1698" w:type="pct"/>
          </w:tcPr>
          <w:p w:rsidR="00586C4E" w:rsidRPr="00AA09D8" w:rsidRDefault="00A00CE6" w:rsidP="008D11BD">
            <w:pPr>
              <w:pStyle w:val="TableText0"/>
            </w:pPr>
            <w:r w:rsidRPr="00AA09D8">
              <w:t xml:space="preserve">This </w:t>
            </w:r>
            <w:r w:rsidR="003D3936" w:rsidRPr="00AA09D8">
              <w:t>retrospective</w:t>
            </w:r>
            <w:r w:rsidRPr="00AA09D8">
              <w:t xml:space="preserve"> study of 13 children with developmental delays evaluated the effects of switching children with developmental delays who were experiencing feeding intolerance from intact protein containing formulas to a 100% whey peptide-based formula. </w:t>
            </w:r>
          </w:p>
          <w:p w:rsidR="00A00CE6" w:rsidRPr="00AA09D8" w:rsidRDefault="00A00CE6" w:rsidP="008D11BD">
            <w:pPr>
              <w:pStyle w:val="TableText0"/>
            </w:pPr>
            <w:r w:rsidRPr="00AA09D8">
              <w:t>Of the 13 subjects assessed, 92% had improved feeding</w:t>
            </w:r>
            <w:r w:rsidR="003D3936" w:rsidRPr="00AA09D8">
              <w:t xml:space="preserve"> </w:t>
            </w:r>
            <w:r w:rsidRPr="00AA09D8">
              <w:t xml:space="preserve">tolerance, and 75% of these reported the time to improvement within one week after formula switch. Feeding tolerance parameters that improved were vomiting (86%). Gagging and retching (75%), high residual volumes (63%), constipation (43%), diarrhoea (100%), and poor weight gain (100%). In addition, 71% of the patients tolerated increased feeding volumes. </w:t>
            </w:r>
          </w:p>
          <w:p w:rsidR="00421B97" w:rsidRPr="00AA09D8" w:rsidRDefault="00421B97" w:rsidP="008D11BD">
            <w:pPr>
              <w:pStyle w:val="TableText0"/>
            </w:pPr>
            <w:r w:rsidRPr="00AA09D8">
              <w:t xml:space="preserve">Changing to </w:t>
            </w:r>
            <w:proofErr w:type="spellStart"/>
            <w:r w:rsidRPr="00AA09D8">
              <w:t>Peptamen</w:t>
            </w:r>
            <w:proofErr w:type="spellEnd"/>
            <w:r w:rsidRPr="00AA09D8">
              <w:t xml:space="preserve"> Junior from intake protein formula improved multiple symptoms of feeding intolerance in the majority of these developmentally delayed children.</w:t>
            </w:r>
          </w:p>
        </w:tc>
      </w:tr>
    </w:tbl>
    <w:p w:rsidR="00586C4E" w:rsidRPr="00AA09D8" w:rsidRDefault="00FC3647" w:rsidP="008D11BD">
      <w:pPr>
        <w:pStyle w:val="TableFooter"/>
      </w:pPr>
      <w:r w:rsidRPr="00AA09D8">
        <w:t xml:space="preserve">Source: </w:t>
      </w:r>
      <w:r w:rsidR="00421B97" w:rsidRPr="00AA09D8">
        <w:t xml:space="preserve">Table 2.2: Summary of clinical evidence for </w:t>
      </w:r>
      <w:proofErr w:type="spellStart"/>
      <w:r w:rsidR="00421B97" w:rsidRPr="00AA09D8">
        <w:t>Peptamen</w:t>
      </w:r>
      <w:proofErr w:type="spellEnd"/>
      <w:r w:rsidR="00421B97" w:rsidRPr="00AA09D8">
        <w:t xml:space="preserve"> Junior in proposed PBS indication, </w:t>
      </w:r>
      <w:r w:rsidR="00715204" w:rsidRPr="00AA09D8">
        <w:t>pg.</w:t>
      </w:r>
      <w:r w:rsidR="00421B97" w:rsidRPr="00AA09D8">
        <w:t xml:space="preserve"> 31 of the submission.</w:t>
      </w:r>
    </w:p>
    <w:p w:rsidR="00FC3647" w:rsidRPr="00AA09D8" w:rsidRDefault="00586C4E" w:rsidP="00586C4E">
      <w:pPr>
        <w:rPr>
          <w:rFonts w:ascii="Arial Narrow" w:hAnsi="Arial Narrow"/>
          <w:snapToGrid w:val="0"/>
          <w:sz w:val="18"/>
          <w:szCs w:val="18"/>
          <w:lang w:eastAsia="en-US"/>
        </w:rPr>
      </w:pPr>
      <w:r w:rsidRPr="00AA09D8">
        <w:rPr>
          <w:rFonts w:ascii="Arial Narrow" w:hAnsi="Arial Narrow"/>
          <w:sz w:val="18"/>
          <w:szCs w:val="18"/>
        </w:rPr>
        <w:br w:type="page"/>
      </w:r>
    </w:p>
    <w:p w:rsidR="00586C4E" w:rsidRPr="00AA09D8" w:rsidRDefault="00586C4E" w:rsidP="00FC3647">
      <w:pPr>
        <w:pStyle w:val="ListParagraph"/>
        <w:widowControl/>
        <w:numPr>
          <w:ilvl w:val="1"/>
          <w:numId w:val="5"/>
        </w:numPr>
        <w:spacing w:after="120"/>
        <w:contextualSpacing w:val="0"/>
        <w:rPr>
          <w:rFonts w:asciiTheme="minorHAnsi" w:eastAsiaTheme="minorHAnsi" w:hAnsiTheme="minorHAnsi" w:cstheme="minorBidi"/>
          <w:snapToGrid/>
          <w:sz w:val="24"/>
          <w:szCs w:val="22"/>
        </w:rPr>
        <w:sectPr w:rsidR="00586C4E" w:rsidRPr="00AA09D8" w:rsidSect="006961CD">
          <w:pgSz w:w="16838" w:h="11906" w:orient="landscape" w:code="9"/>
          <w:pgMar w:top="1440" w:right="1440" w:bottom="1440" w:left="1440" w:header="1440" w:footer="1440" w:gutter="0"/>
          <w:cols w:space="708"/>
          <w:docGrid w:linePitch="360"/>
        </w:sectPr>
      </w:pPr>
    </w:p>
    <w:p w:rsidR="00E77B1A" w:rsidRPr="00AA09D8" w:rsidRDefault="00E83317" w:rsidP="00E77B1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AA09D8">
        <w:rPr>
          <w:rFonts w:asciiTheme="minorHAnsi" w:hAnsiTheme="minorHAnsi"/>
          <w:sz w:val="24"/>
          <w:szCs w:val="24"/>
        </w:rPr>
        <w:lastRenderedPageBreak/>
        <w:t>The submission also presented seven studies that</w:t>
      </w:r>
      <w:r w:rsidR="00BE0FE8" w:rsidRPr="00AA09D8">
        <w:rPr>
          <w:rFonts w:asciiTheme="minorHAnsi" w:hAnsiTheme="minorHAnsi"/>
          <w:sz w:val="24"/>
          <w:szCs w:val="24"/>
        </w:rPr>
        <w:t xml:space="preserve"> the sponsor claimed</w:t>
      </w:r>
      <w:r w:rsidRPr="00AA09D8">
        <w:rPr>
          <w:rFonts w:asciiTheme="minorHAnsi" w:hAnsiTheme="minorHAnsi"/>
          <w:sz w:val="24"/>
          <w:szCs w:val="24"/>
        </w:rPr>
        <w:t xml:space="preserve"> </w:t>
      </w:r>
      <w:r w:rsidR="007A5D57" w:rsidRPr="00AA09D8">
        <w:rPr>
          <w:rFonts w:asciiTheme="minorHAnsi" w:hAnsiTheme="minorHAnsi"/>
          <w:sz w:val="24"/>
          <w:szCs w:val="24"/>
        </w:rPr>
        <w:t xml:space="preserve">provided evidence in support of the effectiveness of some of </w:t>
      </w:r>
      <w:r w:rsidRPr="00AA09D8">
        <w:rPr>
          <w:rFonts w:asciiTheme="minorHAnsi" w:hAnsiTheme="minorHAnsi"/>
          <w:sz w:val="24"/>
          <w:szCs w:val="24"/>
        </w:rPr>
        <w:t>highlight</w:t>
      </w:r>
      <w:r w:rsidR="00A30D6D" w:rsidRPr="00AA09D8">
        <w:rPr>
          <w:rFonts w:asciiTheme="minorHAnsi" w:hAnsiTheme="minorHAnsi"/>
          <w:sz w:val="24"/>
          <w:szCs w:val="24"/>
        </w:rPr>
        <w:t>ed</w:t>
      </w:r>
      <w:r w:rsidRPr="00AA09D8">
        <w:rPr>
          <w:rFonts w:asciiTheme="minorHAnsi" w:hAnsiTheme="minorHAnsi"/>
          <w:sz w:val="24"/>
          <w:szCs w:val="24"/>
        </w:rPr>
        <w:t xml:space="preserve"> the key features of the </w:t>
      </w:r>
      <w:proofErr w:type="spellStart"/>
      <w:r w:rsidRPr="00AA09D8">
        <w:rPr>
          <w:rFonts w:asciiTheme="minorHAnsi" w:hAnsiTheme="minorHAnsi"/>
          <w:sz w:val="24"/>
          <w:szCs w:val="24"/>
        </w:rPr>
        <w:t>Peptamen</w:t>
      </w:r>
      <w:proofErr w:type="spellEnd"/>
      <w:r w:rsidRPr="00AA09D8">
        <w:rPr>
          <w:rFonts w:asciiTheme="minorHAnsi" w:hAnsiTheme="minorHAnsi"/>
          <w:sz w:val="24"/>
          <w:szCs w:val="24"/>
        </w:rPr>
        <w:t xml:space="preserve"> Junior formulation (</w:t>
      </w:r>
      <w:proofErr w:type="spellStart"/>
      <w:r w:rsidRPr="00AA09D8">
        <w:rPr>
          <w:rFonts w:asciiTheme="minorHAnsi" w:hAnsiTheme="minorHAnsi"/>
          <w:sz w:val="24"/>
          <w:szCs w:val="24"/>
        </w:rPr>
        <w:t>Peptamen</w:t>
      </w:r>
      <w:proofErr w:type="spellEnd"/>
      <w:r w:rsidRPr="00AA09D8">
        <w:rPr>
          <w:rFonts w:asciiTheme="minorHAnsi" w:hAnsiTheme="minorHAnsi"/>
          <w:sz w:val="24"/>
          <w:szCs w:val="24"/>
        </w:rPr>
        <w:t xml:space="preserve"> Junior minor submission, table 2.3, page 35).</w:t>
      </w:r>
      <w:r w:rsidR="00BE0FE8" w:rsidRPr="00AA09D8">
        <w:rPr>
          <w:rFonts w:asciiTheme="minorHAnsi" w:hAnsiTheme="minorHAnsi"/>
          <w:sz w:val="24"/>
          <w:szCs w:val="24"/>
        </w:rPr>
        <w:t xml:space="preserve"> These</w:t>
      </w:r>
      <w:r w:rsidR="00A92441" w:rsidRPr="00AA09D8">
        <w:rPr>
          <w:rFonts w:asciiTheme="minorHAnsi" w:hAnsiTheme="minorHAnsi"/>
          <w:sz w:val="24"/>
          <w:szCs w:val="24"/>
        </w:rPr>
        <w:t xml:space="preserve"> studies</w:t>
      </w:r>
      <w:r w:rsidR="005A3BC4" w:rsidRPr="00AA09D8">
        <w:rPr>
          <w:rFonts w:asciiTheme="minorHAnsi" w:hAnsiTheme="minorHAnsi"/>
          <w:sz w:val="24"/>
          <w:szCs w:val="24"/>
        </w:rPr>
        <w:t xml:space="preserve"> were not conducted using </w:t>
      </w:r>
      <w:proofErr w:type="spellStart"/>
      <w:r w:rsidR="005A3BC4" w:rsidRPr="00AA09D8">
        <w:rPr>
          <w:rFonts w:asciiTheme="minorHAnsi" w:hAnsiTheme="minorHAnsi"/>
          <w:sz w:val="24"/>
          <w:szCs w:val="24"/>
        </w:rPr>
        <w:t>Peptamen</w:t>
      </w:r>
      <w:proofErr w:type="spellEnd"/>
      <w:r w:rsidR="005A3BC4" w:rsidRPr="00AA09D8">
        <w:rPr>
          <w:rFonts w:asciiTheme="minorHAnsi" w:hAnsiTheme="minorHAnsi"/>
          <w:sz w:val="24"/>
          <w:szCs w:val="24"/>
        </w:rPr>
        <w:t xml:space="preserve"> Junior and</w:t>
      </w:r>
      <w:r w:rsidR="00BE0FE8" w:rsidRPr="00AA09D8">
        <w:rPr>
          <w:rFonts w:asciiTheme="minorHAnsi" w:hAnsiTheme="minorHAnsi"/>
          <w:sz w:val="24"/>
          <w:szCs w:val="24"/>
        </w:rPr>
        <w:t xml:space="preserve"> have not been summarised here.</w:t>
      </w:r>
    </w:p>
    <w:p w:rsidR="00E77B1A" w:rsidRPr="00AA09D8" w:rsidRDefault="00E77B1A" w:rsidP="00E77B1A">
      <w:pPr>
        <w:spacing w:after="120"/>
        <w:ind w:left="66"/>
        <w:rPr>
          <w:rFonts w:asciiTheme="minorHAnsi" w:hAnsiTheme="minorHAnsi"/>
          <w:b/>
          <w:i/>
        </w:rPr>
      </w:pPr>
      <w:r w:rsidRPr="00AA09D8">
        <w:rPr>
          <w:rFonts w:asciiTheme="minorHAnsi" w:hAnsiTheme="minorHAnsi"/>
          <w:b/>
          <w:i/>
        </w:rPr>
        <w:t>NPWP advice on clinical evidence</w:t>
      </w:r>
    </w:p>
    <w:p w:rsidR="00BD4D42" w:rsidRPr="00AA09D8" w:rsidRDefault="00E77B1A" w:rsidP="00D623D7">
      <w:pPr>
        <w:pStyle w:val="3Bodytext"/>
      </w:pPr>
      <w:r w:rsidRPr="00AA09D8">
        <w:t xml:space="preserve">The NPWP considered that there was inadequate evidence provided in the minor submission to support broadening the current listing. The NPWP noted that the defining characteristic of </w:t>
      </w:r>
      <w:proofErr w:type="spellStart"/>
      <w:r w:rsidRPr="00AA09D8">
        <w:t>Peptamen</w:t>
      </w:r>
      <w:proofErr w:type="spellEnd"/>
      <w:r w:rsidRPr="00AA09D8">
        <w:t xml:space="preserve"> Junior is its medium chain triglycerides (MCT) component and recalled that patients who have a MCT deficiency due to short gut syndrome, Crohn’s disease and chronic diarrhoea are already able to access </w:t>
      </w:r>
      <w:proofErr w:type="spellStart"/>
      <w:r w:rsidRPr="00AA09D8">
        <w:t>Peptamen</w:t>
      </w:r>
      <w:proofErr w:type="spellEnd"/>
      <w:r w:rsidRPr="00AA09D8">
        <w:t xml:space="preserve"> Junior through its current PBS listing. </w:t>
      </w:r>
    </w:p>
    <w:p w:rsidR="0091173B" w:rsidRPr="00AA09D8" w:rsidRDefault="004662F5" w:rsidP="0091173B">
      <w:pPr>
        <w:pStyle w:val="Heading2"/>
        <w:keepLines/>
        <w:spacing w:before="240" w:after="120"/>
        <w:rPr>
          <w:rFonts w:asciiTheme="minorHAnsi" w:eastAsiaTheme="majorEastAsia" w:hAnsiTheme="minorHAnsi" w:cstheme="majorBidi"/>
          <w:sz w:val="28"/>
          <w:szCs w:val="28"/>
          <w:lang w:eastAsia="en-US"/>
        </w:rPr>
      </w:pPr>
      <w:r w:rsidRPr="00AA09D8">
        <w:rPr>
          <w:rFonts w:asciiTheme="minorHAnsi" w:eastAsiaTheme="majorEastAsia" w:hAnsiTheme="minorHAnsi" w:cstheme="majorBidi"/>
          <w:sz w:val="28"/>
          <w:szCs w:val="28"/>
          <w:lang w:eastAsia="en-US"/>
        </w:rPr>
        <w:t>Economic e</w:t>
      </w:r>
      <w:r w:rsidR="001F6381" w:rsidRPr="00AA09D8">
        <w:rPr>
          <w:rFonts w:asciiTheme="minorHAnsi" w:eastAsiaTheme="majorEastAsia" w:hAnsiTheme="minorHAnsi" w:cstheme="majorBidi"/>
          <w:sz w:val="28"/>
          <w:szCs w:val="28"/>
          <w:lang w:eastAsia="en-US"/>
        </w:rPr>
        <w:t>valuation</w:t>
      </w:r>
    </w:p>
    <w:p w:rsidR="001F6381" w:rsidRPr="00AA09D8" w:rsidRDefault="00DA3B36" w:rsidP="007A5A8D">
      <w:pPr>
        <w:pStyle w:val="3Bodytext"/>
      </w:pPr>
      <w:r w:rsidRPr="00AA09D8">
        <w:t xml:space="preserve">The submission </w:t>
      </w:r>
      <w:r w:rsidR="00976960" w:rsidRPr="00AA09D8">
        <w:t xml:space="preserve">requested </w:t>
      </w:r>
      <w:r w:rsidR="00CD656D" w:rsidRPr="00AA09D8">
        <w:t xml:space="preserve">the </w:t>
      </w:r>
      <w:r w:rsidR="00976960" w:rsidRPr="00AA09D8">
        <w:t xml:space="preserve">same </w:t>
      </w:r>
      <w:r w:rsidR="001F6381" w:rsidRPr="00AA09D8">
        <w:t>AEMP</w:t>
      </w:r>
      <w:r w:rsidR="00CD656D" w:rsidRPr="00AA09D8">
        <w:t xml:space="preserve"> </w:t>
      </w:r>
      <w:r w:rsidR="00976960" w:rsidRPr="00AA09D8">
        <w:t xml:space="preserve">as </w:t>
      </w:r>
      <w:proofErr w:type="spellStart"/>
      <w:r w:rsidR="00F527AC" w:rsidRPr="00AA09D8">
        <w:t>Peptamen</w:t>
      </w:r>
      <w:proofErr w:type="spellEnd"/>
      <w:r w:rsidR="00F527AC" w:rsidRPr="00AA09D8">
        <w:t xml:space="preserve"> Junior on the private market</w:t>
      </w:r>
      <w:r w:rsidR="00976960" w:rsidRPr="00AA09D8">
        <w:t xml:space="preserve"> and the current PBS listing for </w:t>
      </w:r>
      <w:proofErr w:type="spellStart"/>
      <w:r w:rsidR="00976960" w:rsidRPr="00AA09D8">
        <w:t>Peptamen</w:t>
      </w:r>
      <w:proofErr w:type="spellEnd"/>
      <w:r w:rsidR="00976960" w:rsidRPr="00AA09D8">
        <w:t xml:space="preserve"> Junior, of </w:t>
      </w:r>
      <w:r w:rsidR="001F6381" w:rsidRPr="00AA09D8">
        <w:t>$36.55 per 400</w:t>
      </w:r>
      <w:r w:rsidR="00A41A67" w:rsidRPr="00AA09D8">
        <w:t xml:space="preserve"> </w:t>
      </w:r>
      <w:r w:rsidR="001F6381" w:rsidRPr="00AA09D8">
        <w:t>g tin.</w:t>
      </w:r>
      <w:r w:rsidR="008350D5" w:rsidRPr="00AA09D8">
        <w:t xml:space="preserve"> </w:t>
      </w:r>
    </w:p>
    <w:p w:rsidR="006E6553" w:rsidRPr="00AA09D8" w:rsidRDefault="00CD656D" w:rsidP="0091173B">
      <w:pPr>
        <w:pStyle w:val="3Bodytext"/>
      </w:pPr>
      <w:r w:rsidRPr="00AA09D8">
        <w:t xml:space="preserve">The submission </w:t>
      </w:r>
      <w:r w:rsidR="00A8466F" w:rsidRPr="00AA09D8">
        <w:t xml:space="preserve">claimed </w:t>
      </w:r>
      <w:r w:rsidRPr="00AA09D8">
        <w:t xml:space="preserve">that </w:t>
      </w:r>
      <w:r w:rsidR="00A8466F" w:rsidRPr="00AA09D8">
        <w:t xml:space="preserve">it </w:t>
      </w:r>
      <w:r w:rsidRPr="00AA09D8">
        <w:t xml:space="preserve">used a conservative approach regarding the duration of treatment, with </w:t>
      </w:r>
      <w:proofErr w:type="spellStart"/>
      <w:r w:rsidRPr="00AA09D8">
        <w:t>Peptamen</w:t>
      </w:r>
      <w:proofErr w:type="spellEnd"/>
      <w:r w:rsidRPr="00AA09D8">
        <w:t xml:space="preserve"> Junior being used as a sole source of nutrition for 2</w:t>
      </w:r>
      <w:r w:rsidR="00405F24" w:rsidRPr="00AA09D8">
        <w:t> </w:t>
      </w:r>
      <w:r w:rsidRPr="00AA09D8">
        <w:t>months, then being used as 1 meal per day (one third of nutrition) for 2 months.</w:t>
      </w:r>
      <w:r w:rsidR="00A30D6D" w:rsidRPr="00AA09D8">
        <w:rPr>
          <w:color w:val="FF0000"/>
        </w:rPr>
        <w:t xml:space="preserve"> </w:t>
      </w:r>
      <w:r w:rsidR="009F4737" w:rsidRPr="00AA09D8">
        <w:t xml:space="preserve">The minor submission stated that this was consistent with therapeutic guidelines for paediatric Crohn’s </w:t>
      </w:r>
      <w:r w:rsidR="00863D32" w:rsidRPr="00AA09D8">
        <w:t>disease that</w:t>
      </w:r>
      <w:r w:rsidR="009F4737" w:rsidRPr="00AA09D8">
        <w:t xml:space="preserve"> recommends 6-8 weeks of exclusive enteral nutrition to induce remission.</w:t>
      </w:r>
    </w:p>
    <w:p w:rsidR="004662F5" w:rsidRPr="00863D32" w:rsidRDefault="00BE6E61" w:rsidP="0091173B">
      <w:pPr>
        <w:pStyle w:val="3Bodytext"/>
      </w:pPr>
      <w:r w:rsidRPr="00AA09D8">
        <w:t xml:space="preserve">The estimated cost for the treatment </w:t>
      </w:r>
      <w:proofErr w:type="gramStart"/>
      <w:r w:rsidRPr="00AA09D8">
        <w:t>was calculated</w:t>
      </w:r>
      <w:proofErr w:type="gramEnd"/>
      <w:r w:rsidRPr="00AA09D8">
        <w:t xml:space="preserve"> by the submission for its use as a sole source of nutrition as well as for a maintenance dose and is presented in </w:t>
      </w:r>
      <w:r w:rsidR="00B615F0" w:rsidRPr="00AA09D8">
        <w:t>Table 2</w:t>
      </w:r>
      <w:r w:rsidRPr="00AA09D8">
        <w:t xml:space="preserve"> and </w:t>
      </w:r>
      <w:r w:rsidR="00B615F0" w:rsidRPr="00AA09D8">
        <w:t>Table 3</w:t>
      </w:r>
      <w:r w:rsidRPr="00AA09D8">
        <w:t>. The submission used the average dose for the population aged 1-10 years of 1340.82</w:t>
      </w:r>
      <w:r w:rsidR="0089468E" w:rsidRPr="00AA09D8">
        <w:t xml:space="preserve"> </w:t>
      </w:r>
      <w:r w:rsidRPr="00AA09D8">
        <w:t>k</w:t>
      </w:r>
      <w:r w:rsidR="008350D5" w:rsidRPr="00AA09D8">
        <w:t>ca</w:t>
      </w:r>
      <w:r w:rsidR="00487DF5" w:rsidRPr="00863D32">
        <w:t>l</w:t>
      </w:r>
      <w:r w:rsidR="008350D5" w:rsidRPr="00863D32">
        <w:t xml:space="preserve"> (Table 3.1, page 42, </w:t>
      </w:r>
      <w:proofErr w:type="spellStart"/>
      <w:r w:rsidR="008350D5" w:rsidRPr="00863D32">
        <w:t>Peptamen</w:t>
      </w:r>
      <w:proofErr w:type="spellEnd"/>
      <w:r w:rsidR="008350D5" w:rsidRPr="00863D32">
        <w:t xml:space="preserve"> Junior minor submission).</w:t>
      </w:r>
      <w:r w:rsidRPr="00863D32">
        <w:t xml:space="preserve"> </w:t>
      </w:r>
    </w:p>
    <w:p w:rsidR="008350D5" w:rsidRPr="00AA09D8" w:rsidRDefault="008350D5" w:rsidP="005430AC">
      <w:pPr>
        <w:pStyle w:val="Tabletitles"/>
      </w:pPr>
      <w:bookmarkStart w:id="4" w:name="_Ref33444284"/>
      <w:r w:rsidRPr="00863D32">
        <w:t xml:space="preserve">Table </w:t>
      </w:r>
      <w:r w:rsidR="00B615F0" w:rsidRPr="002E7CDE">
        <w:t>2</w:t>
      </w:r>
      <w:bookmarkEnd w:id="4"/>
      <w:r w:rsidRPr="00AA09D8">
        <w:t>: Calculation of mean treatment cost when used as a sole source of nutritional needs</w:t>
      </w:r>
    </w:p>
    <w:tbl>
      <w:tblPr>
        <w:tblStyle w:val="Submissionstandard"/>
        <w:tblW w:w="5000" w:type="pct"/>
        <w:tblLook w:val="04A0" w:firstRow="1" w:lastRow="0" w:firstColumn="1" w:lastColumn="0" w:noHBand="0" w:noVBand="1"/>
        <w:tblCaption w:val="Table 2: Calculation of mean treatment cost when used as a sole source of nutritional needs"/>
      </w:tblPr>
      <w:tblGrid>
        <w:gridCol w:w="7083"/>
        <w:gridCol w:w="1933"/>
      </w:tblGrid>
      <w:tr w:rsidR="008350D5" w:rsidRPr="00AA09D8" w:rsidTr="00815B20">
        <w:trPr>
          <w:cnfStyle w:val="100000000000" w:firstRow="1" w:lastRow="0" w:firstColumn="0" w:lastColumn="0" w:oddVBand="0" w:evenVBand="0" w:oddHBand="0" w:evenHBand="0" w:firstRowFirstColumn="0" w:firstRowLastColumn="0" w:lastRowFirstColumn="0" w:lastRowLastColumn="0"/>
          <w:trHeight w:val="300"/>
          <w:tblHeader/>
        </w:trPr>
        <w:tc>
          <w:tcPr>
            <w:tcW w:w="3928" w:type="pct"/>
            <w:shd w:val="clear" w:color="auto" w:fill="auto"/>
            <w:noWrap/>
            <w:hideMark/>
          </w:tcPr>
          <w:p w:rsidR="008350D5" w:rsidRPr="00863D32" w:rsidRDefault="008350D5" w:rsidP="005430AC">
            <w:pPr>
              <w:pStyle w:val="TableText0"/>
              <w:rPr>
                <w:lang w:val="en-AU"/>
              </w:rPr>
            </w:pPr>
            <w:r w:rsidRPr="00863D32">
              <w:rPr>
                <w:lang w:val="en-AU"/>
              </w:rPr>
              <w:t>Sole source of nutrition</w:t>
            </w:r>
          </w:p>
        </w:tc>
        <w:tc>
          <w:tcPr>
            <w:tcW w:w="1072" w:type="pct"/>
            <w:shd w:val="clear" w:color="auto" w:fill="auto"/>
            <w:noWrap/>
            <w:hideMark/>
          </w:tcPr>
          <w:p w:rsidR="008350D5" w:rsidRPr="00863D32" w:rsidRDefault="008350D5" w:rsidP="005430AC">
            <w:pPr>
              <w:pStyle w:val="TableText0"/>
              <w:rPr>
                <w:lang w:val="en-AU"/>
              </w:rPr>
            </w:pPr>
            <w:r w:rsidRPr="00863D32">
              <w:rPr>
                <w:lang w:val="en-AU"/>
              </w:rPr>
              <w:t>Tins</w:t>
            </w:r>
          </w:p>
        </w:tc>
      </w:tr>
      <w:tr w:rsidR="008350D5" w:rsidRPr="00AA09D8" w:rsidTr="002E7CDE">
        <w:trPr>
          <w:trHeight w:val="305"/>
        </w:trPr>
        <w:tc>
          <w:tcPr>
            <w:tcW w:w="3928" w:type="pct"/>
            <w:noWrap/>
            <w:hideMark/>
          </w:tcPr>
          <w:p w:rsidR="008350D5" w:rsidRPr="00AA09D8" w:rsidRDefault="008350D5" w:rsidP="005430AC">
            <w:pPr>
              <w:pStyle w:val="TableText0"/>
              <w:rPr>
                <w:lang w:val="en-AU"/>
              </w:rPr>
            </w:pPr>
            <w:r w:rsidRPr="00AA09D8">
              <w:t>Average daily requirement</w:t>
            </w:r>
          </w:p>
        </w:tc>
        <w:tc>
          <w:tcPr>
            <w:tcW w:w="1072" w:type="pct"/>
            <w:noWrap/>
            <w:hideMark/>
          </w:tcPr>
          <w:p w:rsidR="008350D5" w:rsidRPr="00AA09D8" w:rsidRDefault="008350D5" w:rsidP="002E7CDE">
            <w:pPr>
              <w:pStyle w:val="TableText0"/>
              <w:jc w:val="right"/>
              <w:rPr>
                <w:lang w:val="en-AU"/>
              </w:rPr>
            </w:pPr>
            <w:r w:rsidRPr="00AA09D8">
              <w:t>0.72</w:t>
            </w:r>
          </w:p>
        </w:tc>
      </w:tr>
      <w:tr w:rsidR="008350D5" w:rsidRPr="00AA09D8" w:rsidTr="002E7CDE">
        <w:trPr>
          <w:trHeight w:val="300"/>
        </w:trPr>
        <w:tc>
          <w:tcPr>
            <w:tcW w:w="3928" w:type="pct"/>
            <w:noWrap/>
            <w:hideMark/>
          </w:tcPr>
          <w:p w:rsidR="008350D5" w:rsidRPr="00AA09D8" w:rsidRDefault="008350D5" w:rsidP="005430AC">
            <w:pPr>
              <w:pStyle w:val="TableText0"/>
              <w:rPr>
                <w:lang w:val="en-AU"/>
              </w:rPr>
            </w:pPr>
            <w:r w:rsidRPr="00AA09D8">
              <w:t>Per week</w:t>
            </w:r>
          </w:p>
        </w:tc>
        <w:tc>
          <w:tcPr>
            <w:tcW w:w="1072" w:type="pct"/>
            <w:noWrap/>
            <w:hideMark/>
          </w:tcPr>
          <w:p w:rsidR="008350D5" w:rsidRPr="00AA09D8" w:rsidRDefault="008350D5" w:rsidP="002E7CDE">
            <w:pPr>
              <w:pStyle w:val="TableText0"/>
              <w:jc w:val="right"/>
              <w:rPr>
                <w:lang w:val="en-AU"/>
              </w:rPr>
            </w:pPr>
            <w:r w:rsidRPr="00AA09D8">
              <w:t>5.05</w:t>
            </w:r>
          </w:p>
        </w:tc>
      </w:tr>
      <w:tr w:rsidR="008350D5" w:rsidRPr="00AA09D8" w:rsidTr="002E7CDE">
        <w:trPr>
          <w:trHeight w:val="300"/>
        </w:trPr>
        <w:tc>
          <w:tcPr>
            <w:tcW w:w="3928" w:type="pct"/>
            <w:noWrap/>
            <w:hideMark/>
          </w:tcPr>
          <w:p w:rsidR="008350D5" w:rsidRPr="00AA09D8" w:rsidRDefault="008350D5" w:rsidP="005430AC">
            <w:pPr>
              <w:pStyle w:val="TableText0"/>
              <w:rPr>
                <w:lang w:val="en-AU"/>
              </w:rPr>
            </w:pPr>
            <w:r w:rsidRPr="00AA09D8">
              <w:t>Per month (28 days)</w:t>
            </w:r>
          </w:p>
        </w:tc>
        <w:tc>
          <w:tcPr>
            <w:tcW w:w="1072" w:type="pct"/>
            <w:noWrap/>
            <w:hideMark/>
          </w:tcPr>
          <w:p w:rsidR="008350D5" w:rsidRPr="00AA09D8" w:rsidRDefault="008350D5" w:rsidP="002E7CDE">
            <w:pPr>
              <w:pStyle w:val="TableText0"/>
              <w:jc w:val="right"/>
              <w:rPr>
                <w:lang w:val="en-AU"/>
              </w:rPr>
            </w:pPr>
            <w:r w:rsidRPr="00AA09D8">
              <w:t>20.18</w:t>
            </w:r>
          </w:p>
        </w:tc>
      </w:tr>
      <w:tr w:rsidR="008350D5" w:rsidRPr="00AA09D8" w:rsidTr="002E7CDE">
        <w:trPr>
          <w:trHeight w:val="300"/>
        </w:trPr>
        <w:tc>
          <w:tcPr>
            <w:tcW w:w="3928" w:type="pct"/>
            <w:noWrap/>
            <w:hideMark/>
          </w:tcPr>
          <w:p w:rsidR="008350D5" w:rsidRPr="00AA09D8" w:rsidRDefault="008350D5" w:rsidP="005430AC">
            <w:pPr>
              <w:pStyle w:val="TableText0"/>
              <w:rPr>
                <w:lang w:val="en-AU"/>
              </w:rPr>
            </w:pPr>
            <w:r w:rsidRPr="00AA09D8">
              <w:t>Total cost per month (ex-manufacturer price)</w:t>
            </w:r>
          </w:p>
        </w:tc>
        <w:tc>
          <w:tcPr>
            <w:tcW w:w="1072" w:type="pct"/>
            <w:noWrap/>
            <w:hideMark/>
          </w:tcPr>
          <w:p w:rsidR="008350D5" w:rsidRPr="00AA09D8" w:rsidRDefault="008350D5" w:rsidP="002E7CDE">
            <w:pPr>
              <w:pStyle w:val="TableText0"/>
              <w:jc w:val="right"/>
              <w:rPr>
                <w:lang w:val="en-AU"/>
              </w:rPr>
            </w:pPr>
            <w:r w:rsidRPr="00AA09D8">
              <w:t>$737.74</w:t>
            </w:r>
          </w:p>
        </w:tc>
      </w:tr>
    </w:tbl>
    <w:p w:rsidR="006B49E6" w:rsidRDefault="006B49E6" w:rsidP="005430AC">
      <w:pPr>
        <w:pStyle w:val="TableFooter"/>
      </w:pPr>
      <w:r w:rsidRPr="00AA09D8">
        <w:t xml:space="preserve">Source: Table 3.2, </w:t>
      </w:r>
      <w:proofErr w:type="spellStart"/>
      <w:r w:rsidRPr="00AA09D8">
        <w:t>Peptamen</w:t>
      </w:r>
      <w:proofErr w:type="spellEnd"/>
      <w:r w:rsidRPr="00AA09D8">
        <w:t xml:space="preserve"> Junior minor </w:t>
      </w:r>
      <w:r w:rsidRPr="00AE582C">
        <w:t xml:space="preserve">submission, </w:t>
      </w:r>
      <w:r w:rsidR="00715204" w:rsidRPr="00AE582C">
        <w:t>pg.</w:t>
      </w:r>
      <w:r w:rsidRPr="00AE582C">
        <w:t xml:space="preserve"> 42</w:t>
      </w:r>
    </w:p>
    <w:p w:rsidR="00B733BB" w:rsidRPr="00AA09D8" w:rsidRDefault="00B733BB" w:rsidP="005430AC">
      <w:pPr>
        <w:pStyle w:val="TableFooter"/>
      </w:pPr>
    </w:p>
    <w:p w:rsidR="007A5D57" w:rsidRPr="00AA09D8" w:rsidRDefault="006B49E6" w:rsidP="00B733BB">
      <w:pPr>
        <w:pStyle w:val="Tabletitles"/>
        <w:keepNext/>
        <w:widowControl w:val="0"/>
        <w:spacing w:after="0"/>
        <w:rPr>
          <w:sz w:val="18"/>
        </w:rPr>
      </w:pPr>
      <w:bookmarkStart w:id="5" w:name="_Ref33444289"/>
      <w:r w:rsidRPr="00AA09D8">
        <w:t xml:space="preserve">Table </w:t>
      </w:r>
      <w:r w:rsidR="00B615F0" w:rsidRPr="002E7CDE">
        <w:t>3</w:t>
      </w:r>
      <w:bookmarkEnd w:id="5"/>
      <w:r w:rsidRPr="00AA09D8">
        <w:t>: Calculation of mean treatment cost when used as a maintenance dose (one-third of daily needs)</w:t>
      </w:r>
    </w:p>
    <w:tbl>
      <w:tblPr>
        <w:tblStyle w:val="Submissionstandard"/>
        <w:tblpPr w:leftFromText="180" w:rightFromText="180" w:vertAnchor="text" w:horzAnchor="margin" w:tblpY="66"/>
        <w:tblW w:w="5000" w:type="pct"/>
        <w:tblLook w:val="04A0" w:firstRow="1" w:lastRow="0" w:firstColumn="1" w:lastColumn="0" w:noHBand="0" w:noVBand="1"/>
        <w:tblCaption w:val="Table 3: Calculation of mean treatment cost when used as a maintenance dose (one-third of daily needs)"/>
      </w:tblPr>
      <w:tblGrid>
        <w:gridCol w:w="7083"/>
        <w:gridCol w:w="1933"/>
      </w:tblGrid>
      <w:tr w:rsidR="006B49E6" w:rsidRPr="00AA09D8" w:rsidTr="00815B20">
        <w:trPr>
          <w:cnfStyle w:val="100000000000" w:firstRow="1" w:lastRow="0" w:firstColumn="0" w:lastColumn="0" w:oddVBand="0" w:evenVBand="0" w:oddHBand="0" w:evenHBand="0" w:firstRowFirstColumn="0" w:firstRowLastColumn="0" w:lastRowFirstColumn="0" w:lastRowLastColumn="0"/>
          <w:cantSplit/>
          <w:trHeight w:val="300"/>
          <w:tblHeader/>
        </w:trPr>
        <w:tc>
          <w:tcPr>
            <w:tcW w:w="3928" w:type="pct"/>
            <w:shd w:val="clear" w:color="auto" w:fill="auto"/>
            <w:noWrap/>
            <w:hideMark/>
          </w:tcPr>
          <w:p w:rsidR="006B49E6" w:rsidRPr="00AA09D8" w:rsidRDefault="006B49E6" w:rsidP="005430AC">
            <w:pPr>
              <w:pStyle w:val="TableText0"/>
              <w:keepNext/>
              <w:widowControl w:val="0"/>
              <w:rPr>
                <w:lang w:val="en-AU"/>
              </w:rPr>
            </w:pPr>
            <w:r w:rsidRPr="00AA09D8">
              <w:rPr>
                <w:lang w:val="en-AU"/>
              </w:rPr>
              <w:t>Maintenance dose</w:t>
            </w:r>
          </w:p>
        </w:tc>
        <w:tc>
          <w:tcPr>
            <w:tcW w:w="1072" w:type="pct"/>
            <w:shd w:val="clear" w:color="auto" w:fill="auto"/>
            <w:noWrap/>
            <w:hideMark/>
          </w:tcPr>
          <w:p w:rsidR="006B49E6" w:rsidRPr="00863D32" w:rsidRDefault="006B49E6" w:rsidP="005430AC">
            <w:pPr>
              <w:pStyle w:val="TableText0"/>
              <w:keepNext/>
              <w:widowControl w:val="0"/>
              <w:rPr>
                <w:lang w:val="en-AU"/>
              </w:rPr>
            </w:pPr>
            <w:r w:rsidRPr="00863D32">
              <w:rPr>
                <w:lang w:val="en-AU"/>
              </w:rPr>
              <w:t>Tins</w:t>
            </w:r>
          </w:p>
        </w:tc>
      </w:tr>
      <w:tr w:rsidR="006B49E6" w:rsidRPr="00AA09D8" w:rsidTr="002E7CDE">
        <w:trPr>
          <w:cantSplit/>
          <w:trHeight w:val="300"/>
        </w:trPr>
        <w:tc>
          <w:tcPr>
            <w:tcW w:w="3928" w:type="pct"/>
            <w:noWrap/>
            <w:hideMark/>
          </w:tcPr>
          <w:p w:rsidR="006B49E6" w:rsidRPr="00AA09D8" w:rsidRDefault="006B49E6" w:rsidP="005430AC">
            <w:pPr>
              <w:pStyle w:val="TableText0"/>
              <w:keepNext/>
              <w:widowControl w:val="0"/>
              <w:rPr>
                <w:lang w:val="en-AU"/>
              </w:rPr>
            </w:pPr>
            <w:r w:rsidRPr="00AA09D8">
              <w:t>Maintenance dose per day</w:t>
            </w:r>
          </w:p>
        </w:tc>
        <w:tc>
          <w:tcPr>
            <w:tcW w:w="1072" w:type="pct"/>
            <w:noWrap/>
            <w:hideMark/>
          </w:tcPr>
          <w:p w:rsidR="006B49E6" w:rsidRPr="00AA09D8" w:rsidRDefault="006B49E6" w:rsidP="002E7CDE">
            <w:pPr>
              <w:pStyle w:val="TableText0"/>
              <w:keepNext/>
              <w:widowControl w:val="0"/>
              <w:jc w:val="right"/>
              <w:rPr>
                <w:lang w:val="en-AU"/>
              </w:rPr>
            </w:pPr>
            <w:r w:rsidRPr="00AA09D8">
              <w:t>0.24</w:t>
            </w:r>
          </w:p>
        </w:tc>
      </w:tr>
      <w:tr w:rsidR="006B49E6" w:rsidRPr="00AA09D8" w:rsidTr="002E7CDE">
        <w:trPr>
          <w:cantSplit/>
          <w:trHeight w:val="300"/>
        </w:trPr>
        <w:tc>
          <w:tcPr>
            <w:tcW w:w="3928" w:type="pct"/>
            <w:noWrap/>
            <w:hideMark/>
          </w:tcPr>
          <w:p w:rsidR="006B49E6" w:rsidRPr="00AA09D8" w:rsidRDefault="006B49E6" w:rsidP="005430AC">
            <w:pPr>
              <w:pStyle w:val="TableText0"/>
              <w:keepNext/>
              <w:widowControl w:val="0"/>
              <w:rPr>
                <w:lang w:val="en-AU"/>
              </w:rPr>
            </w:pPr>
            <w:r w:rsidRPr="00AA09D8">
              <w:t>Per week</w:t>
            </w:r>
          </w:p>
        </w:tc>
        <w:tc>
          <w:tcPr>
            <w:tcW w:w="1072" w:type="pct"/>
            <w:noWrap/>
            <w:hideMark/>
          </w:tcPr>
          <w:p w:rsidR="006B49E6" w:rsidRPr="00AA09D8" w:rsidRDefault="006B49E6" w:rsidP="002E7CDE">
            <w:pPr>
              <w:pStyle w:val="TableText0"/>
              <w:keepNext/>
              <w:widowControl w:val="0"/>
              <w:jc w:val="right"/>
              <w:rPr>
                <w:lang w:val="en-AU"/>
              </w:rPr>
            </w:pPr>
            <w:r w:rsidRPr="00AA09D8">
              <w:t>1.68</w:t>
            </w:r>
          </w:p>
        </w:tc>
      </w:tr>
      <w:tr w:rsidR="006B49E6" w:rsidRPr="00AA09D8" w:rsidTr="002E7CDE">
        <w:trPr>
          <w:cantSplit/>
          <w:trHeight w:val="300"/>
        </w:trPr>
        <w:tc>
          <w:tcPr>
            <w:tcW w:w="3928" w:type="pct"/>
            <w:noWrap/>
            <w:hideMark/>
          </w:tcPr>
          <w:p w:rsidR="006B49E6" w:rsidRPr="00AA09D8" w:rsidRDefault="006B49E6" w:rsidP="005430AC">
            <w:pPr>
              <w:pStyle w:val="TableText0"/>
              <w:keepNext/>
              <w:widowControl w:val="0"/>
              <w:rPr>
                <w:lang w:val="en-AU"/>
              </w:rPr>
            </w:pPr>
            <w:r w:rsidRPr="00AA09D8">
              <w:t>Per month (28 days)</w:t>
            </w:r>
          </w:p>
        </w:tc>
        <w:tc>
          <w:tcPr>
            <w:tcW w:w="1072" w:type="pct"/>
            <w:noWrap/>
            <w:hideMark/>
          </w:tcPr>
          <w:p w:rsidR="006B49E6" w:rsidRPr="00AA09D8" w:rsidRDefault="006B49E6" w:rsidP="002E7CDE">
            <w:pPr>
              <w:pStyle w:val="TableText0"/>
              <w:keepNext/>
              <w:widowControl w:val="0"/>
              <w:jc w:val="right"/>
              <w:rPr>
                <w:lang w:val="en-AU"/>
              </w:rPr>
            </w:pPr>
            <w:r w:rsidRPr="00AA09D8">
              <w:t>6.73</w:t>
            </w:r>
          </w:p>
        </w:tc>
      </w:tr>
      <w:tr w:rsidR="006B49E6" w:rsidRPr="00AA09D8" w:rsidTr="002E7CDE">
        <w:trPr>
          <w:cantSplit/>
          <w:trHeight w:val="300"/>
        </w:trPr>
        <w:tc>
          <w:tcPr>
            <w:tcW w:w="3928" w:type="pct"/>
            <w:noWrap/>
            <w:hideMark/>
          </w:tcPr>
          <w:p w:rsidR="006B49E6" w:rsidRPr="00AA09D8" w:rsidRDefault="006B49E6" w:rsidP="005430AC">
            <w:pPr>
              <w:pStyle w:val="TableText0"/>
              <w:keepNext/>
              <w:widowControl w:val="0"/>
              <w:rPr>
                <w:lang w:val="en-AU"/>
              </w:rPr>
            </w:pPr>
            <w:r w:rsidRPr="00AA09D8">
              <w:t>Total cost per month (ex-manufacturer price)</w:t>
            </w:r>
          </w:p>
        </w:tc>
        <w:tc>
          <w:tcPr>
            <w:tcW w:w="1072" w:type="pct"/>
            <w:noWrap/>
            <w:hideMark/>
          </w:tcPr>
          <w:p w:rsidR="006B49E6" w:rsidRPr="00AA09D8" w:rsidRDefault="006B49E6" w:rsidP="002E7CDE">
            <w:pPr>
              <w:pStyle w:val="TableText0"/>
              <w:keepNext/>
              <w:widowControl w:val="0"/>
              <w:jc w:val="right"/>
              <w:rPr>
                <w:lang w:val="en-AU"/>
              </w:rPr>
            </w:pPr>
            <w:r w:rsidRPr="00AA09D8">
              <w:t>$245.91</w:t>
            </w:r>
          </w:p>
        </w:tc>
      </w:tr>
    </w:tbl>
    <w:p w:rsidR="006B49E6" w:rsidRPr="00AA09D8" w:rsidRDefault="006B49E6" w:rsidP="005430AC">
      <w:pPr>
        <w:pStyle w:val="TableFooter"/>
        <w:keepNext/>
      </w:pPr>
      <w:r w:rsidRPr="00AA09D8">
        <w:t xml:space="preserve">Source: Table 3.3, </w:t>
      </w:r>
      <w:proofErr w:type="spellStart"/>
      <w:r w:rsidRPr="00AA09D8">
        <w:t>Peptamen</w:t>
      </w:r>
      <w:proofErr w:type="spellEnd"/>
      <w:r w:rsidRPr="00AA09D8">
        <w:t xml:space="preserve"> Junior minor </w:t>
      </w:r>
      <w:r w:rsidRPr="00AE582C">
        <w:t>submission, page</w:t>
      </w:r>
      <w:r w:rsidR="00764B2D" w:rsidRPr="00AE582C">
        <w:t xml:space="preserve"> </w:t>
      </w:r>
      <w:r w:rsidRPr="00AE582C">
        <w:t>43</w:t>
      </w:r>
    </w:p>
    <w:p w:rsidR="006B49E6" w:rsidRPr="00AA09D8" w:rsidRDefault="006B49E6" w:rsidP="00EB118A">
      <w:pPr>
        <w:pStyle w:val="3Bodytext"/>
        <w:numPr>
          <w:ilvl w:val="0"/>
          <w:numId w:val="0"/>
        </w:numPr>
        <w:sectPr w:rsidR="006B49E6" w:rsidRPr="00AA09D8" w:rsidSect="006961CD">
          <w:pgSz w:w="11906" w:h="16838" w:code="9"/>
          <w:pgMar w:top="1440" w:right="1440" w:bottom="1440" w:left="1440" w:header="1440" w:footer="1440" w:gutter="0"/>
          <w:cols w:space="708"/>
          <w:docGrid w:linePitch="360"/>
        </w:sectPr>
      </w:pPr>
    </w:p>
    <w:p w:rsidR="00FC3647" w:rsidRPr="00AA09D8" w:rsidRDefault="00FC3647" w:rsidP="00FC3647">
      <w:pPr>
        <w:pStyle w:val="Heading2"/>
        <w:keepLines/>
        <w:spacing w:before="240" w:after="120"/>
        <w:rPr>
          <w:rFonts w:asciiTheme="minorHAnsi" w:eastAsiaTheme="majorEastAsia" w:hAnsiTheme="minorHAnsi" w:cstheme="majorBidi"/>
          <w:sz w:val="28"/>
          <w:szCs w:val="28"/>
          <w:lang w:eastAsia="en-US"/>
        </w:rPr>
      </w:pPr>
      <w:r w:rsidRPr="00AA09D8">
        <w:rPr>
          <w:rFonts w:asciiTheme="minorHAnsi" w:eastAsiaTheme="majorEastAsia" w:hAnsiTheme="minorHAnsi" w:cstheme="majorBidi"/>
          <w:sz w:val="28"/>
          <w:szCs w:val="28"/>
          <w:lang w:eastAsia="en-US"/>
        </w:rPr>
        <w:lastRenderedPageBreak/>
        <w:t>Estimated PBS usage &amp; financial implications</w:t>
      </w:r>
    </w:p>
    <w:p w:rsidR="00977C66" w:rsidRPr="00863D32" w:rsidRDefault="00F71DCD" w:rsidP="00977C66">
      <w:pPr>
        <w:pStyle w:val="3Bodytext"/>
      </w:pPr>
      <w:r w:rsidRPr="00AA09D8">
        <w:t>The submission estimated the number of patients treated by using the prevalence data on the paediatric malnutrition population from the World Health Organisation (WHO) and assumed that 5% of this population were severely or chronically malnourished. Of this p</w:t>
      </w:r>
      <w:r w:rsidRPr="00FD0A3C">
        <w:t>opulation</w:t>
      </w:r>
      <w:r w:rsidR="009D417B" w:rsidRPr="00FD0A3C">
        <w:t>,</w:t>
      </w:r>
      <w:r w:rsidRPr="00FD0A3C">
        <w:t xml:space="preserve"> the</w:t>
      </w:r>
      <w:r w:rsidR="009C3F0B" w:rsidRPr="00FD0A3C">
        <w:t xml:space="preserve"> submission</w:t>
      </w:r>
      <w:r w:rsidRPr="00FD0A3C">
        <w:t xml:space="preserve"> estimated the uptake rate would be 35% in the first year, which resulted in</w:t>
      </w:r>
      <w:r w:rsidR="009D417B" w:rsidRPr="00FD0A3C">
        <w:t xml:space="preserve"> an estimate of</w:t>
      </w:r>
      <w:r w:rsidRPr="00FD0A3C">
        <w:t xml:space="preserve"> </w:t>
      </w:r>
      <w:r w:rsidR="00FD0A3C">
        <w:t>less than 10,000</w:t>
      </w:r>
      <w:r w:rsidRPr="00FD0A3C">
        <w:t xml:space="preserve"> children receiving treatment</w:t>
      </w:r>
      <w:r w:rsidR="009D417B" w:rsidRPr="00FD0A3C">
        <w:t xml:space="preserve"> in Year 1</w:t>
      </w:r>
      <w:r w:rsidRPr="00FD0A3C">
        <w:t xml:space="preserve"> (</w:t>
      </w:r>
      <w:proofErr w:type="spellStart"/>
      <w:r w:rsidRPr="00FD0A3C">
        <w:t>Peptamen</w:t>
      </w:r>
      <w:proofErr w:type="spellEnd"/>
      <w:r w:rsidRPr="00FD0A3C">
        <w:t xml:space="preserve"> Junior Minor Submission, page 46)</w:t>
      </w:r>
      <w:r w:rsidR="00977C66" w:rsidRPr="00FD0A3C">
        <w:t>.</w:t>
      </w:r>
      <w:r w:rsidR="00977C66" w:rsidRPr="00AA09D8">
        <w:t xml:space="preserve"> </w:t>
      </w:r>
      <w:r w:rsidR="00B615F0" w:rsidRPr="00AA09D8">
        <w:t xml:space="preserve">Table 4 </w:t>
      </w:r>
      <w:r w:rsidR="00977C66" w:rsidRPr="00AA09D8">
        <w:t xml:space="preserve">provides further details of the </w:t>
      </w:r>
      <w:r w:rsidR="00471DCD" w:rsidRPr="00AA09D8">
        <w:t xml:space="preserve">estimated </w:t>
      </w:r>
      <w:r w:rsidR="00977C66" w:rsidRPr="00863D32">
        <w:t xml:space="preserve">number of </w:t>
      </w:r>
      <w:r w:rsidR="00471DCD" w:rsidRPr="00863D32">
        <w:t>scripts of</w:t>
      </w:r>
      <w:r w:rsidR="00977C66" w:rsidRPr="00863D32">
        <w:t xml:space="preserve"> </w:t>
      </w:r>
      <w:proofErr w:type="spellStart"/>
      <w:r w:rsidR="00977C66" w:rsidRPr="00863D32">
        <w:t>Peptamen</w:t>
      </w:r>
      <w:proofErr w:type="spellEnd"/>
      <w:r w:rsidR="00977C66" w:rsidRPr="00863D32">
        <w:t xml:space="preserve"> Junior </w:t>
      </w:r>
      <w:r w:rsidR="00471DCD" w:rsidRPr="00863D32">
        <w:t xml:space="preserve">likely to </w:t>
      </w:r>
      <w:proofErr w:type="gramStart"/>
      <w:r w:rsidR="00471DCD" w:rsidRPr="00863D32">
        <w:t>be dispensed</w:t>
      </w:r>
      <w:proofErr w:type="gramEnd"/>
      <w:r w:rsidR="00471DCD" w:rsidRPr="00863D32">
        <w:t xml:space="preserve"> in the first six years of listing across </w:t>
      </w:r>
      <w:r w:rsidR="00977C66" w:rsidRPr="00863D32">
        <w:t>the two phases (sole source of nutrition and maintenance dosing).</w:t>
      </w:r>
    </w:p>
    <w:p w:rsidR="00977C66" w:rsidRPr="00AA09D8" w:rsidRDefault="00977C66" w:rsidP="005430AC">
      <w:pPr>
        <w:pStyle w:val="Tabletitles"/>
      </w:pPr>
      <w:bookmarkStart w:id="6" w:name="_Ref33444356"/>
      <w:r w:rsidRPr="00863D32">
        <w:t xml:space="preserve">Table </w:t>
      </w:r>
      <w:r w:rsidR="00B615F0" w:rsidRPr="002E7CDE">
        <w:t>4</w:t>
      </w:r>
      <w:bookmarkEnd w:id="6"/>
      <w:r w:rsidRPr="00AA09D8">
        <w:t xml:space="preserve">: PBS script volumes for </w:t>
      </w:r>
      <w:proofErr w:type="spellStart"/>
      <w:r w:rsidRPr="00AA09D8">
        <w:t>Peptamen</w:t>
      </w:r>
      <w:proofErr w:type="spellEnd"/>
      <w:r w:rsidRPr="00AA09D8">
        <w:t xml:space="preserve"> Junior (at maximum quantity of 8)</w:t>
      </w:r>
    </w:p>
    <w:tbl>
      <w:tblPr>
        <w:tblStyle w:val="Submissionstandard"/>
        <w:tblW w:w="5000" w:type="pct"/>
        <w:tblLook w:val="04A0" w:firstRow="1" w:lastRow="0" w:firstColumn="1" w:lastColumn="0" w:noHBand="0" w:noVBand="1"/>
        <w:tblCaption w:val="Table 4: PBS script volumes for Peptamen Junior (at maximum quantity of 8)"/>
      </w:tblPr>
      <w:tblGrid>
        <w:gridCol w:w="5488"/>
        <w:gridCol w:w="588"/>
        <w:gridCol w:w="588"/>
        <w:gridCol w:w="588"/>
        <w:gridCol w:w="588"/>
        <w:gridCol w:w="588"/>
        <w:gridCol w:w="588"/>
      </w:tblGrid>
      <w:tr w:rsidR="00977C66" w:rsidRPr="00AA09D8" w:rsidTr="00815B20">
        <w:trPr>
          <w:cnfStyle w:val="100000000000" w:firstRow="1" w:lastRow="0" w:firstColumn="0" w:lastColumn="0" w:oddVBand="0" w:evenVBand="0" w:oddHBand="0" w:evenHBand="0" w:firstRowFirstColumn="0" w:firstRowLastColumn="0" w:lastRowFirstColumn="0" w:lastRowLastColumn="0"/>
          <w:trHeight w:val="255"/>
          <w:tblHeader/>
        </w:trPr>
        <w:tc>
          <w:tcPr>
            <w:tcW w:w="3043" w:type="pct"/>
            <w:shd w:val="clear" w:color="auto" w:fill="auto"/>
            <w:noWrap/>
            <w:hideMark/>
          </w:tcPr>
          <w:p w:rsidR="00977C66" w:rsidRPr="00863D32" w:rsidRDefault="00977C66" w:rsidP="005430AC">
            <w:pPr>
              <w:pStyle w:val="TableText0"/>
              <w:rPr>
                <w:lang w:val="en-AU" w:eastAsia="ja-JP" w:bidi="ar-SA"/>
              </w:rPr>
            </w:pPr>
            <w:r w:rsidRPr="00863D32">
              <w:rPr>
                <w:lang w:val="en-AU" w:eastAsia="ja-JP" w:bidi="ar-SA"/>
              </w:rPr>
              <w:t>Drug / molecule</w:t>
            </w:r>
          </w:p>
        </w:tc>
        <w:tc>
          <w:tcPr>
            <w:tcW w:w="326" w:type="pct"/>
            <w:shd w:val="clear" w:color="auto" w:fill="auto"/>
            <w:noWrap/>
            <w:hideMark/>
          </w:tcPr>
          <w:p w:rsidR="00977C66" w:rsidRPr="00863D32" w:rsidRDefault="00977C66" w:rsidP="005430AC">
            <w:pPr>
              <w:pStyle w:val="TableText0"/>
              <w:rPr>
                <w:lang w:val="en-AU" w:eastAsia="ja-JP" w:bidi="ar-SA"/>
              </w:rPr>
            </w:pPr>
            <w:r w:rsidRPr="00863D32">
              <w:rPr>
                <w:lang w:val="en-AU" w:eastAsia="ja-JP" w:bidi="ar-SA"/>
              </w:rPr>
              <w:t>2020</w:t>
            </w:r>
          </w:p>
        </w:tc>
        <w:tc>
          <w:tcPr>
            <w:tcW w:w="326" w:type="pct"/>
            <w:shd w:val="clear" w:color="auto" w:fill="auto"/>
            <w:noWrap/>
            <w:hideMark/>
          </w:tcPr>
          <w:p w:rsidR="00977C66" w:rsidRPr="00AA09D8" w:rsidRDefault="00977C66" w:rsidP="005430AC">
            <w:pPr>
              <w:pStyle w:val="TableText0"/>
              <w:rPr>
                <w:lang w:val="en-AU" w:eastAsia="ja-JP" w:bidi="ar-SA"/>
              </w:rPr>
            </w:pPr>
            <w:r w:rsidRPr="00AA09D8">
              <w:rPr>
                <w:lang w:eastAsia="ja-JP"/>
              </w:rPr>
              <w:t>2021</w:t>
            </w:r>
          </w:p>
        </w:tc>
        <w:tc>
          <w:tcPr>
            <w:tcW w:w="326" w:type="pct"/>
            <w:shd w:val="clear" w:color="auto" w:fill="auto"/>
            <w:noWrap/>
            <w:hideMark/>
          </w:tcPr>
          <w:p w:rsidR="00977C66" w:rsidRPr="00AA09D8" w:rsidRDefault="00977C66" w:rsidP="005430AC">
            <w:pPr>
              <w:pStyle w:val="TableText0"/>
              <w:rPr>
                <w:lang w:val="en-AU" w:eastAsia="ja-JP" w:bidi="ar-SA"/>
              </w:rPr>
            </w:pPr>
            <w:r w:rsidRPr="00AA09D8">
              <w:rPr>
                <w:lang w:eastAsia="ja-JP"/>
              </w:rPr>
              <w:t>2022</w:t>
            </w:r>
          </w:p>
        </w:tc>
        <w:tc>
          <w:tcPr>
            <w:tcW w:w="326" w:type="pct"/>
            <w:shd w:val="clear" w:color="auto" w:fill="auto"/>
            <w:noWrap/>
            <w:hideMark/>
          </w:tcPr>
          <w:p w:rsidR="00977C66" w:rsidRPr="00AA09D8" w:rsidRDefault="00977C66" w:rsidP="005430AC">
            <w:pPr>
              <w:pStyle w:val="TableText0"/>
              <w:rPr>
                <w:lang w:val="en-AU" w:eastAsia="ja-JP" w:bidi="ar-SA"/>
              </w:rPr>
            </w:pPr>
            <w:r w:rsidRPr="00AA09D8">
              <w:rPr>
                <w:lang w:eastAsia="ja-JP"/>
              </w:rPr>
              <w:t>2023</w:t>
            </w:r>
          </w:p>
        </w:tc>
        <w:tc>
          <w:tcPr>
            <w:tcW w:w="326" w:type="pct"/>
            <w:shd w:val="clear" w:color="auto" w:fill="auto"/>
            <w:noWrap/>
            <w:hideMark/>
          </w:tcPr>
          <w:p w:rsidR="00977C66" w:rsidRPr="00AA09D8" w:rsidRDefault="00977C66" w:rsidP="005430AC">
            <w:pPr>
              <w:pStyle w:val="TableText0"/>
              <w:rPr>
                <w:lang w:val="en-AU" w:eastAsia="ja-JP" w:bidi="ar-SA"/>
              </w:rPr>
            </w:pPr>
            <w:r w:rsidRPr="00AA09D8">
              <w:rPr>
                <w:lang w:eastAsia="ja-JP"/>
              </w:rPr>
              <w:t>2024</w:t>
            </w:r>
          </w:p>
        </w:tc>
        <w:tc>
          <w:tcPr>
            <w:tcW w:w="326" w:type="pct"/>
            <w:shd w:val="clear" w:color="auto" w:fill="auto"/>
            <w:noWrap/>
            <w:hideMark/>
          </w:tcPr>
          <w:p w:rsidR="00977C66" w:rsidRPr="00AA09D8" w:rsidRDefault="00977C66" w:rsidP="005430AC">
            <w:pPr>
              <w:pStyle w:val="TableText0"/>
              <w:rPr>
                <w:lang w:val="en-AU" w:eastAsia="ja-JP" w:bidi="ar-SA"/>
              </w:rPr>
            </w:pPr>
            <w:r w:rsidRPr="00AA09D8">
              <w:rPr>
                <w:lang w:eastAsia="ja-JP"/>
              </w:rPr>
              <w:t>2025</w:t>
            </w:r>
          </w:p>
        </w:tc>
      </w:tr>
      <w:tr w:rsidR="00977C66" w:rsidRPr="00AA09D8" w:rsidTr="0044386C">
        <w:trPr>
          <w:trHeight w:val="255"/>
        </w:trPr>
        <w:tc>
          <w:tcPr>
            <w:tcW w:w="3043" w:type="pct"/>
            <w:noWrap/>
            <w:hideMark/>
          </w:tcPr>
          <w:p w:rsidR="00977C66" w:rsidRPr="00AA09D8" w:rsidRDefault="00977C66" w:rsidP="005430AC">
            <w:pPr>
              <w:pStyle w:val="TableText0"/>
              <w:rPr>
                <w:lang w:val="en-AU" w:eastAsia="ja-JP" w:bidi="ar-SA"/>
              </w:rPr>
            </w:pPr>
            <w:r w:rsidRPr="00AA09D8">
              <w:rPr>
                <w:lang w:eastAsia="ja-JP"/>
              </w:rPr>
              <w:t xml:space="preserve">PEPTAMEN® Junior as sole source of nutrition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r>
      <w:tr w:rsidR="00977C66" w:rsidRPr="00AA09D8" w:rsidTr="0044386C">
        <w:trPr>
          <w:trHeight w:val="255"/>
        </w:trPr>
        <w:tc>
          <w:tcPr>
            <w:tcW w:w="3043" w:type="pct"/>
            <w:noWrap/>
            <w:hideMark/>
          </w:tcPr>
          <w:p w:rsidR="00977C66" w:rsidRPr="00AA09D8" w:rsidRDefault="00977C66" w:rsidP="005430AC">
            <w:pPr>
              <w:pStyle w:val="TableText0"/>
              <w:rPr>
                <w:lang w:val="en-AU" w:eastAsia="ja-JP" w:bidi="ar-SA"/>
              </w:rPr>
            </w:pPr>
            <w:r w:rsidRPr="00AA09D8">
              <w:rPr>
                <w:lang w:eastAsia="ja-JP"/>
              </w:rPr>
              <w:t xml:space="preserve">PEPTAMEN® Junior as maintenance dose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c>
          <w:tcPr>
            <w:tcW w:w="326" w:type="pct"/>
            <w:noWrap/>
            <w:hideMark/>
          </w:tcPr>
          <w:p w:rsidR="00977C66" w:rsidRPr="00C76DAF" w:rsidRDefault="00C76DAF" w:rsidP="002E7CDE">
            <w:pPr>
              <w:pStyle w:val="TableText0"/>
              <w:jc w:val="right"/>
              <w:rPr>
                <w:highlight w:val="black"/>
                <w:lang w:val="en-AU" w:eastAsia="ja-JP" w:bidi="ar-SA"/>
              </w:rPr>
            </w:pPr>
            <w:r>
              <w:rPr>
                <w:noProof/>
                <w:color w:val="000000"/>
                <w:highlight w:val="black"/>
              </w:rPr>
              <w:t xml:space="preserve">''''''''' </w:t>
            </w:r>
          </w:p>
        </w:tc>
      </w:tr>
      <w:tr w:rsidR="00977C66" w:rsidRPr="00AA09D8" w:rsidTr="0044386C">
        <w:trPr>
          <w:trHeight w:val="255"/>
        </w:trPr>
        <w:tc>
          <w:tcPr>
            <w:tcW w:w="3043" w:type="pct"/>
            <w:noWrap/>
            <w:hideMark/>
          </w:tcPr>
          <w:p w:rsidR="00977C66" w:rsidRPr="00AA09D8" w:rsidRDefault="00977C66" w:rsidP="005430AC">
            <w:pPr>
              <w:pStyle w:val="TableText0"/>
              <w:rPr>
                <w:b/>
                <w:lang w:val="en-AU" w:eastAsia="ja-JP" w:bidi="ar-SA"/>
              </w:rPr>
            </w:pPr>
            <w:r w:rsidRPr="00AA09D8">
              <w:rPr>
                <w:b/>
                <w:lang w:eastAsia="ja-JP"/>
              </w:rPr>
              <w:t>Aggregate volumes</w:t>
            </w:r>
          </w:p>
        </w:tc>
        <w:tc>
          <w:tcPr>
            <w:tcW w:w="326" w:type="pct"/>
            <w:noWrap/>
            <w:hideMark/>
          </w:tcPr>
          <w:p w:rsidR="00977C66" w:rsidRPr="00C76DAF" w:rsidRDefault="00C76DAF" w:rsidP="002E7CDE">
            <w:pPr>
              <w:pStyle w:val="TableText0"/>
              <w:jc w:val="right"/>
              <w:rPr>
                <w:b/>
                <w:highlight w:val="black"/>
                <w:lang w:val="en-AU" w:eastAsia="ja-JP" w:bidi="ar-SA"/>
              </w:rPr>
            </w:pPr>
            <w:r>
              <w:rPr>
                <w:b/>
                <w:noProof/>
                <w:color w:val="000000"/>
                <w:highlight w:val="black"/>
              </w:rPr>
              <w:t xml:space="preserve">'''''''' </w:t>
            </w:r>
          </w:p>
        </w:tc>
        <w:tc>
          <w:tcPr>
            <w:tcW w:w="326" w:type="pct"/>
            <w:noWrap/>
            <w:hideMark/>
          </w:tcPr>
          <w:p w:rsidR="00977C66" w:rsidRPr="00C76DAF" w:rsidRDefault="00C76DAF" w:rsidP="002E7CDE">
            <w:pPr>
              <w:pStyle w:val="TableText0"/>
              <w:jc w:val="right"/>
              <w:rPr>
                <w:b/>
                <w:highlight w:val="black"/>
                <w:lang w:val="en-AU" w:eastAsia="ja-JP" w:bidi="ar-SA"/>
              </w:rPr>
            </w:pPr>
            <w:r>
              <w:rPr>
                <w:b/>
                <w:noProof/>
                <w:color w:val="000000"/>
                <w:highlight w:val="black"/>
              </w:rPr>
              <w:t xml:space="preserve">'''''''' </w:t>
            </w:r>
          </w:p>
        </w:tc>
        <w:tc>
          <w:tcPr>
            <w:tcW w:w="326" w:type="pct"/>
            <w:noWrap/>
            <w:hideMark/>
          </w:tcPr>
          <w:p w:rsidR="00977C66" w:rsidRPr="00C76DAF" w:rsidRDefault="00C76DAF" w:rsidP="002E7CDE">
            <w:pPr>
              <w:pStyle w:val="TableText0"/>
              <w:jc w:val="right"/>
              <w:rPr>
                <w:b/>
                <w:highlight w:val="black"/>
                <w:lang w:val="en-AU" w:eastAsia="ja-JP" w:bidi="ar-SA"/>
              </w:rPr>
            </w:pPr>
            <w:r>
              <w:rPr>
                <w:b/>
                <w:noProof/>
                <w:color w:val="000000"/>
                <w:highlight w:val="black"/>
              </w:rPr>
              <w:t xml:space="preserve">''''''' </w:t>
            </w:r>
          </w:p>
        </w:tc>
        <w:tc>
          <w:tcPr>
            <w:tcW w:w="326" w:type="pct"/>
            <w:noWrap/>
            <w:hideMark/>
          </w:tcPr>
          <w:p w:rsidR="00977C66" w:rsidRPr="00C76DAF" w:rsidRDefault="00C76DAF" w:rsidP="002E7CDE">
            <w:pPr>
              <w:pStyle w:val="TableText0"/>
              <w:jc w:val="right"/>
              <w:rPr>
                <w:b/>
                <w:highlight w:val="black"/>
                <w:lang w:val="en-AU" w:eastAsia="ja-JP" w:bidi="ar-SA"/>
              </w:rPr>
            </w:pPr>
            <w:r>
              <w:rPr>
                <w:b/>
                <w:noProof/>
                <w:color w:val="000000"/>
                <w:highlight w:val="black"/>
              </w:rPr>
              <w:t xml:space="preserve">'''''''' </w:t>
            </w:r>
          </w:p>
        </w:tc>
        <w:tc>
          <w:tcPr>
            <w:tcW w:w="326" w:type="pct"/>
            <w:noWrap/>
            <w:hideMark/>
          </w:tcPr>
          <w:p w:rsidR="00977C66" w:rsidRPr="00C76DAF" w:rsidRDefault="00C76DAF" w:rsidP="002E7CDE">
            <w:pPr>
              <w:pStyle w:val="TableText0"/>
              <w:jc w:val="right"/>
              <w:rPr>
                <w:b/>
                <w:highlight w:val="black"/>
                <w:lang w:val="en-AU" w:eastAsia="ja-JP" w:bidi="ar-SA"/>
              </w:rPr>
            </w:pPr>
            <w:r>
              <w:rPr>
                <w:b/>
                <w:noProof/>
                <w:color w:val="000000"/>
                <w:highlight w:val="black"/>
              </w:rPr>
              <w:t xml:space="preserve">'''''''' </w:t>
            </w:r>
          </w:p>
        </w:tc>
        <w:tc>
          <w:tcPr>
            <w:tcW w:w="326" w:type="pct"/>
            <w:noWrap/>
            <w:hideMark/>
          </w:tcPr>
          <w:p w:rsidR="00977C66" w:rsidRPr="00C76DAF" w:rsidRDefault="00C76DAF" w:rsidP="002E7CDE">
            <w:pPr>
              <w:pStyle w:val="TableText0"/>
              <w:jc w:val="right"/>
              <w:rPr>
                <w:b/>
                <w:highlight w:val="black"/>
                <w:lang w:val="en-AU" w:eastAsia="ja-JP" w:bidi="ar-SA"/>
              </w:rPr>
            </w:pPr>
            <w:r>
              <w:rPr>
                <w:b/>
                <w:noProof/>
                <w:color w:val="000000"/>
                <w:highlight w:val="black"/>
              </w:rPr>
              <w:t xml:space="preserve">''''''' </w:t>
            </w:r>
          </w:p>
        </w:tc>
      </w:tr>
    </w:tbl>
    <w:p w:rsidR="00FC3647" w:rsidRPr="00AA09D8" w:rsidRDefault="00977C66" w:rsidP="005430AC">
      <w:pPr>
        <w:pStyle w:val="TableFooter"/>
        <w:spacing w:after="120"/>
      </w:pPr>
      <w:r w:rsidRPr="00AA09D8">
        <w:t xml:space="preserve">Source: Table 4.5, </w:t>
      </w:r>
      <w:proofErr w:type="spellStart"/>
      <w:r w:rsidRPr="00AA09D8">
        <w:t>Peptamen</w:t>
      </w:r>
      <w:proofErr w:type="spellEnd"/>
      <w:r w:rsidRPr="00AA09D8">
        <w:t xml:space="preserve"> Junior minor </w:t>
      </w:r>
      <w:r w:rsidRPr="00AE582C">
        <w:t>submission, page 49</w:t>
      </w:r>
    </w:p>
    <w:p w:rsidR="00B36180" w:rsidRPr="00396B86" w:rsidRDefault="00B36180" w:rsidP="009F781C">
      <w:pPr>
        <w:pStyle w:val="3Bodytext"/>
        <w:numPr>
          <w:ilvl w:val="0"/>
          <w:numId w:val="0"/>
        </w:numPr>
        <w:rPr>
          <w:i/>
        </w:rPr>
      </w:pPr>
      <w:r w:rsidRPr="00396B86">
        <w:rPr>
          <w:i/>
        </w:rPr>
        <w:t>The redacted table shows that at Year 6, the estimated</w:t>
      </w:r>
      <w:r w:rsidR="002A57E7">
        <w:rPr>
          <w:i/>
        </w:rPr>
        <w:t xml:space="preserve"> total</w:t>
      </w:r>
      <w:r w:rsidRPr="00396B86">
        <w:rPr>
          <w:i/>
        </w:rPr>
        <w:t xml:space="preserve"> number of scripts was less than 10,000. </w:t>
      </w:r>
    </w:p>
    <w:p w:rsidR="009D417B" w:rsidRPr="00AA09D8" w:rsidRDefault="009D417B" w:rsidP="009D417B">
      <w:pPr>
        <w:pStyle w:val="3Bodytext"/>
      </w:pPr>
      <w:r w:rsidRPr="00AA09D8">
        <w:t xml:space="preserve">The minor submission estimated a net cost to the PBS of </w:t>
      </w:r>
      <w:r w:rsidR="007974E2">
        <w:t>less than $10 million</w:t>
      </w:r>
      <w:r w:rsidRPr="00AA09D8">
        <w:t xml:space="preserve"> in Year 6 of listing, with a total net cost to the PBS of </w:t>
      </w:r>
      <w:r w:rsidR="007974E2">
        <w:t>less than $10 million</w:t>
      </w:r>
      <w:r w:rsidRPr="00AA09D8">
        <w:t xml:space="preserve"> over the first 6 years of listing. This is summarised in </w:t>
      </w:r>
      <w:r w:rsidR="00B615F0" w:rsidRPr="00AA09D8">
        <w:t xml:space="preserve">Table 5 </w:t>
      </w:r>
      <w:r w:rsidRPr="00AA09D8">
        <w:t xml:space="preserve">with the expected patient and prescription numbers. </w:t>
      </w:r>
    </w:p>
    <w:p w:rsidR="00DA3B36" w:rsidRPr="00863D32" w:rsidRDefault="00487DF5" w:rsidP="00893450">
      <w:pPr>
        <w:pStyle w:val="3Bodytext"/>
      </w:pPr>
      <w:r w:rsidRPr="00863D32">
        <w:t xml:space="preserve">The submission stated that the listing would not have any impact on any current PBS </w:t>
      </w:r>
      <w:r w:rsidR="00863D32" w:rsidRPr="00863D32">
        <w:t>listing,</w:t>
      </w:r>
      <w:r w:rsidRPr="00863D32">
        <w:t xml:space="preserve"> as it will be the first product to </w:t>
      </w:r>
      <w:proofErr w:type="gramStart"/>
      <w:r w:rsidRPr="00863D32">
        <w:t>be listed</w:t>
      </w:r>
      <w:proofErr w:type="gramEnd"/>
      <w:r w:rsidRPr="00863D32">
        <w:t xml:space="preserve"> for this indication.</w:t>
      </w:r>
    </w:p>
    <w:p w:rsidR="00FC3647" w:rsidRPr="00AA09D8" w:rsidRDefault="00FC3647" w:rsidP="005430AC">
      <w:pPr>
        <w:pStyle w:val="Tabletitles"/>
      </w:pPr>
      <w:bookmarkStart w:id="7" w:name="_Ref33444400"/>
      <w:r w:rsidRPr="00863D32">
        <w:rPr>
          <w:rStyle w:val="CommentReference"/>
          <w:sz w:val="20"/>
          <w:szCs w:val="20"/>
        </w:rPr>
        <w:t xml:space="preserve">Table </w:t>
      </w:r>
      <w:r w:rsidR="00B615F0" w:rsidRPr="002E7CDE">
        <w:rPr>
          <w:rStyle w:val="CommentReference"/>
          <w:sz w:val="20"/>
          <w:szCs w:val="20"/>
        </w:rPr>
        <w:t>5</w:t>
      </w:r>
      <w:bookmarkEnd w:id="7"/>
      <w:r w:rsidRPr="00AA09D8">
        <w:rPr>
          <w:rStyle w:val="CommentReference"/>
          <w:sz w:val="20"/>
          <w:szCs w:val="20"/>
        </w:rPr>
        <w:t>: 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5"/>
        <w:gridCol w:w="1166"/>
        <w:gridCol w:w="1167"/>
        <w:gridCol w:w="1167"/>
        <w:gridCol w:w="1167"/>
        <w:gridCol w:w="1167"/>
        <w:gridCol w:w="1167"/>
      </w:tblGrid>
      <w:tr w:rsidR="00FC3647" w:rsidRPr="00AA09D8" w:rsidTr="0044386C">
        <w:trPr>
          <w:tblHeader/>
          <w:jc w:val="center"/>
        </w:trPr>
        <w:tc>
          <w:tcPr>
            <w:tcW w:w="1118" w:type="pct"/>
            <w:shd w:val="clear" w:color="auto" w:fill="auto"/>
            <w:vAlign w:val="center"/>
          </w:tcPr>
          <w:p w:rsidR="00FC3647" w:rsidRPr="00AA09D8" w:rsidRDefault="00FC3647" w:rsidP="00221A73">
            <w:pPr>
              <w:pStyle w:val="Tabletext"/>
              <w:spacing w:after="0"/>
              <w:rPr>
                <w:rFonts w:ascii="Arial Narrow" w:hAnsi="Arial Narrow"/>
              </w:rPr>
            </w:pPr>
          </w:p>
        </w:tc>
        <w:tc>
          <w:tcPr>
            <w:tcW w:w="647" w:type="pct"/>
            <w:shd w:val="clear" w:color="auto" w:fill="auto"/>
            <w:vAlign w:val="center"/>
          </w:tcPr>
          <w:p w:rsidR="00FC3647" w:rsidRPr="00863D32" w:rsidRDefault="00FC3647" w:rsidP="00221A73">
            <w:pPr>
              <w:pStyle w:val="Tabletext"/>
              <w:spacing w:after="0"/>
              <w:jc w:val="center"/>
              <w:rPr>
                <w:rFonts w:ascii="Arial Narrow" w:hAnsi="Arial Narrow"/>
                <w:b/>
              </w:rPr>
            </w:pPr>
            <w:r w:rsidRPr="00863D32">
              <w:rPr>
                <w:rFonts w:ascii="Arial Narrow" w:hAnsi="Arial Narrow"/>
                <w:b/>
              </w:rPr>
              <w:t>Year 1</w:t>
            </w:r>
          </w:p>
        </w:tc>
        <w:tc>
          <w:tcPr>
            <w:tcW w:w="647" w:type="pct"/>
            <w:shd w:val="clear" w:color="auto" w:fill="auto"/>
            <w:vAlign w:val="center"/>
          </w:tcPr>
          <w:p w:rsidR="00FC3647" w:rsidRPr="00863D32" w:rsidRDefault="00FC3647" w:rsidP="00221A73">
            <w:pPr>
              <w:pStyle w:val="Tabletext"/>
              <w:spacing w:after="0"/>
              <w:jc w:val="center"/>
              <w:rPr>
                <w:rFonts w:ascii="Arial Narrow" w:hAnsi="Arial Narrow"/>
                <w:b/>
              </w:rPr>
            </w:pPr>
            <w:r w:rsidRPr="00863D32">
              <w:rPr>
                <w:rFonts w:ascii="Arial Narrow" w:hAnsi="Arial Narrow"/>
                <w:b/>
              </w:rPr>
              <w:t>Year 2</w:t>
            </w:r>
          </w:p>
        </w:tc>
        <w:tc>
          <w:tcPr>
            <w:tcW w:w="647" w:type="pct"/>
            <w:shd w:val="clear" w:color="auto" w:fill="auto"/>
            <w:vAlign w:val="center"/>
          </w:tcPr>
          <w:p w:rsidR="00FC3647" w:rsidRPr="00AA09D8" w:rsidRDefault="00FC3647" w:rsidP="00221A73">
            <w:pPr>
              <w:pStyle w:val="Tabletext"/>
              <w:spacing w:after="0"/>
              <w:jc w:val="center"/>
              <w:rPr>
                <w:rFonts w:ascii="Arial Narrow" w:hAnsi="Arial Narrow"/>
                <w:b/>
              </w:rPr>
            </w:pPr>
            <w:r w:rsidRPr="00AA09D8">
              <w:rPr>
                <w:rFonts w:ascii="Arial Narrow" w:hAnsi="Arial Narrow"/>
                <w:b/>
              </w:rPr>
              <w:t>Year 3</w:t>
            </w:r>
          </w:p>
        </w:tc>
        <w:tc>
          <w:tcPr>
            <w:tcW w:w="647" w:type="pct"/>
            <w:shd w:val="clear" w:color="auto" w:fill="auto"/>
            <w:vAlign w:val="center"/>
          </w:tcPr>
          <w:p w:rsidR="00FC3647" w:rsidRPr="00AA09D8" w:rsidRDefault="00FC3647" w:rsidP="00221A73">
            <w:pPr>
              <w:pStyle w:val="Tabletext"/>
              <w:spacing w:after="0"/>
              <w:jc w:val="center"/>
              <w:rPr>
                <w:rFonts w:ascii="Arial Narrow" w:hAnsi="Arial Narrow"/>
                <w:b/>
              </w:rPr>
            </w:pPr>
            <w:r w:rsidRPr="00AA09D8">
              <w:rPr>
                <w:rFonts w:ascii="Arial Narrow" w:hAnsi="Arial Narrow"/>
                <w:b/>
              </w:rPr>
              <w:t>Year 4</w:t>
            </w:r>
          </w:p>
        </w:tc>
        <w:tc>
          <w:tcPr>
            <w:tcW w:w="647" w:type="pct"/>
            <w:shd w:val="clear" w:color="auto" w:fill="auto"/>
            <w:vAlign w:val="center"/>
          </w:tcPr>
          <w:p w:rsidR="00FC3647" w:rsidRPr="00AA09D8" w:rsidRDefault="00FC3647" w:rsidP="00221A73">
            <w:pPr>
              <w:pStyle w:val="Tabletext"/>
              <w:spacing w:after="0"/>
              <w:jc w:val="center"/>
              <w:rPr>
                <w:rFonts w:ascii="Arial Narrow" w:hAnsi="Arial Narrow"/>
                <w:b/>
              </w:rPr>
            </w:pPr>
            <w:r w:rsidRPr="00AA09D8">
              <w:rPr>
                <w:rFonts w:ascii="Arial Narrow" w:hAnsi="Arial Narrow"/>
                <w:b/>
              </w:rPr>
              <w:t>Year 5</w:t>
            </w:r>
          </w:p>
        </w:tc>
        <w:tc>
          <w:tcPr>
            <w:tcW w:w="647" w:type="pct"/>
          </w:tcPr>
          <w:p w:rsidR="00FC3647" w:rsidRPr="00AA09D8" w:rsidRDefault="00FC3647" w:rsidP="00221A73">
            <w:pPr>
              <w:pStyle w:val="Tabletext"/>
              <w:spacing w:after="0"/>
              <w:jc w:val="center"/>
              <w:rPr>
                <w:rFonts w:ascii="Arial Narrow" w:hAnsi="Arial Narrow"/>
                <w:b/>
              </w:rPr>
            </w:pPr>
            <w:r w:rsidRPr="00AA09D8">
              <w:rPr>
                <w:rFonts w:ascii="Arial Narrow" w:hAnsi="Arial Narrow"/>
                <w:b/>
              </w:rPr>
              <w:t>Year 6</w:t>
            </w:r>
          </w:p>
        </w:tc>
      </w:tr>
      <w:tr w:rsidR="00FC3647" w:rsidRPr="00AA09D8" w:rsidTr="0044386C">
        <w:trPr>
          <w:jc w:val="center"/>
        </w:trPr>
        <w:tc>
          <w:tcPr>
            <w:tcW w:w="5000" w:type="pct"/>
            <w:gridSpan w:val="7"/>
            <w:shd w:val="clear" w:color="auto" w:fill="auto"/>
            <w:vAlign w:val="center"/>
          </w:tcPr>
          <w:p w:rsidR="00FC3647" w:rsidRPr="00AA09D8" w:rsidRDefault="00FC3647" w:rsidP="00221A73">
            <w:pPr>
              <w:pStyle w:val="Tabletext"/>
              <w:spacing w:after="0"/>
              <w:rPr>
                <w:rFonts w:ascii="Arial Narrow" w:hAnsi="Arial Narrow"/>
                <w:b/>
                <w:bCs/>
                <w:color w:val="000000"/>
              </w:rPr>
            </w:pPr>
            <w:r w:rsidRPr="00AA09D8">
              <w:rPr>
                <w:rFonts w:ascii="Arial Narrow" w:hAnsi="Arial Narrow"/>
                <w:b/>
                <w:bCs/>
                <w:color w:val="000000"/>
              </w:rPr>
              <w:t>Estimated extent of use</w:t>
            </w:r>
          </w:p>
        </w:tc>
      </w:tr>
      <w:tr w:rsidR="00FC3647" w:rsidRPr="00AA09D8" w:rsidTr="0044386C">
        <w:trPr>
          <w:jc w:val="center"/>
        </w:trPr>
        <w:tc>
          <w:tcPr>
            <w:tcW w:w="1118" w:type="pct"/>
            <w:shd w:val="clear" w:color="auto" w:fill="auto"/>
            <w:vAlign w:val="center"/>
          </w:tcPr>
          <w:p w:rsidR="00FC3647" w:rsidRPr="00AA09D8" w:rsidRDefault="00FC3647" w:rsidP="00221A73">
            <w:pPr>
              <w:pStyle w:val="Tabletext"/>
              <w:spacing w:after="0"/>
              <w:rPr>
                <w:rFonts w:ascii="Arial Narrow" w:hAnsi="Arial Narrow"/>
              </w:rPr>
            </w:pPr>
            <w:r w:rsidRPr="00AA09D8">
              <w:rPr>
                <w:rFonts w:ascii="Arial Narrow" w:hAnsi="Arial Narrow"/>
              </w:rPr>
              <w:t>Number of patients treated</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C3647" w:rsidRPr="00AA09D8" w:rsidTr="0044386C">
        <w:trPr>
          <w:jc w:val="center"/>
        </w:trPr>
        <w:tc>
          <w:tcPr>
            <w:tcW w:w="1118" w:type="pct"/>
            <w:shd w:val="clear" w:color="auto" w:fill="auto"/>
            <w:vAlign w:val="center"/>
          </w:tcPr>
          <w:p w:rsidR="00FC3647" w:rsidRPr="00AA09D8" w:rsidRDefault="00FC3647" w:rsidP="00221A73">
            <w:pPr>
              <w:pStyle w:val="Tabletext"/>
              <w:spacing w:after="0"/>
              <w:rPr>
                <w:rFonts w:ascii="Arial Narrow" w:hAnsi="Arial Narrow"/>
              </w:rPr>
            </w:pPr>
            <w:r w:rsidRPr="00AA09D8">
              <w:rPr>
                <w:rFonts w:ascii="Arial Narrow" w:hAnsi="Arial Narrow"/>
              </w:rPr>
              <w:t xml:space="preserve">Number of scripts </w:t>
            </w:r>
            <w:proofErr w:type="spellStart"/>
            <w:r w:rsidRPr="00AA09D8">
              <w:rPr>
                <w:rFonts w:ascii="Arial Narrow" w:hAnsi="Arial Narrow"/>
              </w:rPr>
              <w:t>dispensed</w:t>
            </w:r>
            <w:r w:rsidRPr="00AA09D8">
              <w:rPr>
                <w:rFonts w:ascii="Arial Narrow" w:hAnsi="Arial Narrow"/>
                <w:vertAlign w:val="superscript"/>
              </w:rPr>
              <w:t>a</w:t>
            </w:r>
            <w:proofErr w:type="spellEnd"/>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C3647" w:rsidRPr="00C76DAF" w:rsidRDefault="00C76DAF" w:rsidP="00221A7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FC3647" w:rsidRPr="00C76DAF" w:rsidRDefault="00C76DAF" w:rsidP="00F14C2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C3647" w:rsidRPr="00AA09D8" w:rsidTr="0044386C">
        <w:trPr>
          <w:jc w:val="center"/>
        </w:trPr>
        <w:tc>
          <w:tcPr>
            <w:tcW w:w="5000" w:type="pct"/>
            <w:gridSpan w:val="7"/>
            <w:shd w:val="clear" w:color="auto" w:fill="auto"/>
            <w:vAlign w:val="center"/>
          </w:tcPr>
          <w:p w:rsidR="00FC3647" w:rsidRPr="00AA09D8" w:rsidRDefault="00FC3647" w:rsidP="0012657E">
            <w:pPr>
              <w:pStyle w:val="Tabletext"/>
              <w:spacing w:after="0"/>
              <w:rPr>
                <w:rFonts w:ascii="Arial Narrow" w:hAnsi="Arial Narrow"/>
                <w:b/>
                <w:bCs/>
                <w:color w:val="000000"/>
              </w:rPr>
            </w:pPr>
            <w:r w:rsidRPr="00AA09D8">
              <w:rPr>
                <w:rFonts w:ascii="Arial Narrow" w:hAnsi="Arial Narrow"/>
                <w:b/>
                <w:bCs/>
                <w:color w:val="000000"/>
              </w:rPr>
              <w:t xml:space="preserve">Estimated financial implications of </w:t>
            </w:r>
            <w:proofErr w:type="spellStart"/>
            <w:r w:rsidR="0012657E" w:rsidRPr="00AA09D8">
              <w:rPr>
                <w:rFonts w:ascii="Arial Narrow" w:hAnsi="Arial Narrow"/>
                <w:b/>
                <w:bCs/>
                <w:color w:val="000000"/>
              </w:rPr>
              <w:t>Peptamen</w:t>
            </w:r>
            <w:proofErr w:type="spellEnd"/>
            <w:r w:rsidR="0012657E" w:rsidRPr="00AA09D8">
              <w:rPr>
                <w:rFonts w:ascii="Arial Narrow" w:hAnsi="Arial Narrow"/>
                <w:b/>
                <w:bCs/>
                <w:color w:val="000000"/>
              </w:rPr>
              <w:t xml:space="preserve"> Junior</w:t>
            </w:r>
          </w:p>
        </w:tc>
      </w:tr>
      <w:tr w:rsidR="00FC3647" w:rsidRPr="00AA09D8" w:rsidTr="0044386C">
        <w:trPr>
          <w:jc w:val="center"/>
        </w:trPr>
        <w:tc>
          <w:tcPr>
            <w:tcW w:w="1118" w:type="pct"/>
            <w:shd w:val="clear" w:color="auto" w:fill="auto"/>
            <w:vAlign w:val="center"/>
          </w:tcPr>
          <w:p w:rsidR="00FC3647" w:rsidRPr="00AA09D8" w:rsidRDefault="00FC3647" w:rsidP="00221A73">
            <w:pPr>
              <w:pStyle w:val="Tabletext"/>
              <w:spacing w:after="0"/>
              <w:rPr>
                <w:rFonts w:ascii="Arial Narrow" w:hAnsi="Arial Narrow"/>
              </w:rPr>
            </w:pPr>
            <w:r w:rsidRPr="00AA09D8">
              <w:rPr>
                <w:rFonts w:ascii="Arial Narrow" w:hAnsi="Arial Narrow"/>
              </w:rPr>
              <w:t>Cost to PBS/RPBS</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r>
      <w:tr w:rsidR="00FC3647" w:rsidRPr="00AA09D8" w:rsidTr="0044386C">
        <w:trPr>
          <w:jc w:val="center"/>
        </w:trPr>
        <w:tc>
          <w:tcPr>
            <w:tcW w:w="1118" w:type="pct"/>
            <w:shd w:val="clear" w:color="auto" w:fill="auto"/>
            <w:vAlign w:val="center"/>
          </w:tcPr>
          <w:p w:rsidR="00FC3647" w:rsidRPr="00AA09D8" w:rsidRDefault="00FC3647" w:rsidP="00221A73">
            <w:pPr>
              <w:pStyle w:val="Tabletext"/>
              <w:spacing w:after="0"/>
              <w:rPr>
                <w:rFonts w:ascii="Arial Narrow" w:hAnsi="Arial Narrow"/>
              </w:rPr>
            </w:pPr>
            <w:r w:rsidRPr="00AA09D8">
              <w:rPr>
                <w:rFonts w:ascii="Arial Narrow" w:hAnsi="Arial Narrow"/>
              </w:rPr>
              <w:t>Copayments</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r>
      <w:tr w:rsidR="00FC3647" w:rsidRPr="00AA09D8" w:rsidTr="0044386C">
        <w:trPr>
          <w:jc w:val="center"/>
        </w:trPr>
        <w:tc>
          <w:tcPr>
            <w:tcW w:w="1118" w:type="pct"/>
            <w:shd w:val="clear" w:color="auto" w:fill="auto"/>
            <w:vAlign w:val="center"/>
          </w:tcPr>
          <w:p w:rsidR="00FC3647" w:rsidRPr="00AA09D8" w:rsidRDefault="00FC3647" w:rsidP="00221A73">
            <w:pPr>
              <w:pStyle w:val="Tabletext"/>
              <w:spacing w:after="0"/>
              <w:rPr>
                <w:rFonts w:ascii="Arial Narrow" w:hAnsi="Arial Narrow"/>
              </w:rPr>
            </w:pPr>
            <w:r w:rsidRPr="00AA09D8">
              <w:rPr>
                <w:rFonts w:ascii="Arial Narrow" w:hAnsi="Arial Narrow"/>
              </w:rPr>
              <w:t>Cost to PBS/RPBS less copayments</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vAlign w:val="center"/>
          </w:tcPr>
          <w:p w:rsidR="00FC3647" w:rsidRPr="00C76DAF" w:rsidRDefault="0012657E" w:rsidP="00221A73">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r>
      <w:tr w:rsidR="00F62BCB" w:rsidRPr="00AA09D8" w:rsidTr="0044386C">
        <w:trPr>
          <w:jc w:val="center"/>
        </w:trPr>
        <w:tc>
          <w:tcPr>
            <w:tcW w:w="1118" w:type="pct"/>
            <w:shd w:val="clear" w:color="auto" w:fill="auto"/>
            <w:vAlign w:val="center"/>
          </w:tcPr>
          <w:p w:rsidR="00F62BCB" w:rsidRPr="00AA09D8" w:rsidRDefault="00F62BCB" w:rsidP="00F62BCB">
            <w:pPr>
              <w:pStyle w:val="Tabletext"/>
              <w:spacing w:after="0"/>
              <w:rPr>
                <w:rFonts w:ascii="Arial Narrow" w:hAnsi="Arial Narrow"/>
              </w:rPr>
            </w:pPr>
            <w:r w:rsidRPr="00AA09D8">
              <w:rPr>
                <w:rFonts w:ascii="Arial Narrow" w:hAnsi="Arial Narrow"/>
              </w:rPr>
              <w:t>Net cost to {PBS/RPBS/MBS/DHS}</w:t>
            </w:r>
          </w:p>
        </w:tc>
        <w:tc>
          <w:tcPr>
            <w:tcW w:w="647" w:type="pct"/>
            <w:shd w:val="clear" w:color="auto" w:fill="auto"/>
            <w:vAlign w:val="center"/>
          </w:tcPr>
          <w:p w:rsidR="00F62BCB" w:rsidRPr="00C76DAF" w:rsidRDefault="00F62BCB" w:rsidP="00F62BCB">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62BCB" w:rsidRPr="00C76DAF" w:rsidRDefault="00F62BCB" w:rsidP="00F62BCB">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62BCB" w:rsidRPr="00C76DAF" w:rsidRDefault="00F62BCB" w:rsidP="00F62BCB">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62BCB" w:rsidRPr="00C76DAF" w:rsidRDefault="00F62BCB" w:rsidP="00F62BCB">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shd w:val="clear" w:color="auto" w:fill="auto"/>
            <w:vAlign w:val="center"/>
          </w:tcPr>
          <w:p w:rsidR="00F62BCB" w:rsidRPr="00C76DAF" w:rsidRDefault="00F62BCB" w:rsidP="00F62BCB">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c>
          <w:tcPr>
            <w:tcW w:w="647" w:type="pct"/>
            <w:vAlign w:val="center"/>
          </w:tcPr>
          <w:p w:rsidR="00F62BCB" w:rsidRPr="00C76DAF" w:rsidRDefault="00F62BCB" w:rsidP="00F62BCB">
            <w:pPr>
              <w:pStyle w:val="Tabletext"/>
              <w:spacing w:after="0"/>
              <w:jc w:val="center"/>
              <w:rPr>
                <w:rFonts w:ascii="Arial Narrow" w:hAnsi="Arial Narrow"/>
                <w:bCs/>
                <w:color w:val="000000"/>
              </w:rPr>
            </w:pPr>
            <w:r w:rsidRPr="004E0139">
              <w:rPr>
                <w:rFonts w:ascii="Arial Narrow" w:hAnsi="Arial Narrow"/>
                <w:bCs/>
                <w:color w:val="000000"/>
              </w:rPr>
              <w:t>$</w:t>
            </w:r>
            <w:r w:rsidR="00C76DAF">
              <w:rPr>
                <w:rFonts w:ascii="Arial Narrow" w:hAnsi="Arial Narrow"/>
                <w:bCs/>
                <w:noProof/>
                <w:color w:val="000000"/>
                <w:highlight w:val="black"/>
              </w:rPr>
              <w:t>''''''''''''''''''</w:t>
            </w:r>
          </w:p>
        </w:tc>
      </w:tr>
    </w:tbl>
    <w:p w:rsidR="00FC3647" w:rsidRPr="00AA09D8" w:rsidRDefault="00FC3647" w:rsidP="005430AC">
      <w:pPr>
        <w:pStyle w:val="TableFooter"/>
        <w:jc w:val="left"/>
      </w:pPr>
      <w:proofErr w:type="spellStart"/>
      <w:proofErr w:type="gramStart"/>
      <w:r w:rsidRPr="00AA09D8">
        <w:rPr>
          <w:vertAlign w:val="superscript"/>
        </w:rPr>
        <w:t>a</w:t>
      </w:r>
      <w:proofErr w:type="spellEnd"/>
      <w:proofErr w:type="gramEnd"/>
      <w:r w:rsidR="005430AC" w:rsidRPr="00AA09D8">
        <w:t xml:space="preserve"> </w:t>
      </w:r>
      <w:r w:rsidR="00AC2DE0" w:rsidRPr="00AA09D8">
        <w:t>Assuming 693-739</w:t>
      </w:r>
      <w:r w:rsidRPr="00AA09D8">
        <w:t xml:space="preserve"> per year as estimated by the submission.</w:t>
      </w:r>
    </w:p>
    <w:p w:rsidR="00FC3647" w:rsidRPr="00AA09D8" w:rsidRDefault="001F68B9" w:rsidP="005430AC">
      <w:pPr>
        <w:pStyle w:val="TableFooter"/>
      </w:pPr>
      <w:r w:rsidRPr="00AA09D8">
        <w:t xml:space="preserve">Sources: Table 4.4: Number of patients electing treatment, page 49 of the submission. Table 4.5: PBS script volumes for </w:t>
      </w:r>
      <w:proofErr w:type="spellStart"/>
      <w:r w:rsidRPr="00AA09D8">
        <w:t>Peptamen</w:t>
      </w:r>
      <w:proofErr w:type="spellEnd"/>
      <w:r w:rsidRPr="00AA09D8">
        <w:t xml:space="preserve"> Junior (at maximum quantity of 8), page 49 of the submission. Table 4.7: </w:t>
      </w:r>
      <w:r w:rsidR="003D3936" w:rsidRPr="00AA09D8">
        <w:t xml:space="preserve">Net cost to PBS for </w:t>
      </w:r>
      <w:proofErr w:type="spellStart"/>
      <w:r w:rsidR="003D3936" w:rsidRPr="00AA09D8">
        <w:t>Peptamen</w:t>
      </w:r>
      <w:proofErr w:type="spellEnd"/>
      <w:r w:rsidR="003D077F" w:rsidRPr="00AA09D8">
        <w:t xml:space="preserve"> Junior, page 50 of the submission.</w:t>
      </w:r>
    </w:p>
    <w:p w:rsidR="00E77B1A" w:rsidRPr="00AA09D8" w:rsidRDefault="00FC3647" w:rsidP="00E77B1A">
      <w:pPr>
        <w:pStyle w:val="ListParagraph"/>
        <w:widowControl/>
        <w:numPr>
          <w:ilvl w:val="1"/>
          <w:numId w:val="5"/>
        </w:numPr>
        <w:spacing w:before="120" w:after="120"/>
        <w:contextualSpacing w:val="0"/>
        <w:rPr>
          <w:rFonts w:asciiTheme="minorHAnsi" w:hAnsiTheme="minorHAnsi"/>
          <w:sz w:val="24"/>
          <w:szCs w:val="24"/>
        </w:rPr>
      </w:pPr>
      <w:r w:rsidRPr="00AA09D8">
        <w:rPr>
          <w:rFonts w:asciiTheme="minorHAnsi" w:hAnsiTheme="minorHAnsi"/>
          <w:sz w:val="24"/>
          <w:szCs w:val="24"/>
        </w:rPr>
        <w:t xml:space="preserve">As a minor submission, the financial estimates have </w:t>
      </w:r>
      <w:proofErr w:type="gramStart"/>
      <w:r w:rsidRPr="00AA09D8">
        <w:rPr>
          <w:rFonts w:asciiTheme="minorHAnsi" w:hAnsiTheme="minorHAnsi"/>
          <w:sz w:val="24"/>
          <w:szCs w:val="24"/>
        </w:rPr>
        <w:t>not been independently</w:t>
      </w:r>
      <w:proofErr w:type="gramEnd"/>
      <w:r w:rsidRPr="00AA09D8">
        <w:rPr>
          <w:rFonts w:asciiTheme="minorHAnsi" w:hAnsiTheme="minorHAnsi"/>
          <w:sz w:val="24"/>
          <w:szCs w:val="24"/>
        </w:rPr>
        <w:t xml:space="preserve"> evaluated.</w:t>
      </w:r>
    </w:p>
    <w:p w:rsidR="00E77B1A" w:rsidRPr="00AA09D8" w:rsidRDefault="00E77B1A" w:rsidP="00B733BB">
      <w:pPr>
        <w:keepNext/>
        <w:spacing w:after="120"/>
        <w:ind w:left="66"/>
        <w:rPr>
          <w:rFonts w:asciiTheme="minorHAnsi" w:hAnsiTheme="minorHAnsi"/>
          <w:b/>
          <w:i/>
        </w:rPr>
      </w:pPr>
      <w:r w:rsidRPr="00AA09D8">
        <w:rPr>
          <w:rFonts w:asciiTheme="minorHAnsi" w:hAnsiTheme="minorHAnsi"/>
          <w:b/>
          <w:i/>
        </w:rPr>
        <w:lastRenderedPageBreak/>
        <w:t>NPWP advice to PBAC</w:t>
      </w:r>
    </w:p>
    <w:p w:rsidR="009C0196" w:rsidRPr="00AA09D8" w:rsidRDefault="00CE7EC2" w:rsidP="00B733BB">
      <w:pPr>
        <w:pStyle w:val="3Bodytext"/>
        <w:keepNext/>
      </w:pPr>
      <w:proofErr w:type="gramStart"/>
      <w:r w:rsidRPr="00AA09D8">
        <w:t xml:space="preserve">The NPWP did not support the Restricted Benefit listing of </w:t>
      </w:r>
      <w:proofErr w:type="spellStart"/>
      <w:r w:rsidRPr="00AA09D8">
        <w:t>Peptamen</w:t>
      </w:r>
      <w:proofErr w:type="spellEnd"/>
      <w:r w:rsidRPr="00AA09D8">
        <w:t xml:space="preserve"> Junior for the dietary management of malnutrition and/or intolerance to conventional enteral nutrition formulas for critically or chronically ill </w:t>
      </w:r>
      <w:r w:rsidR="00715204" w:rsidRPr="00AA09D8">
        <w:t>paediatric</w:t>
      </w:r>
      <w:r w:rsidRPr="00AA09D8">
        <w:t xml:space="preserve"> patients who are dependent on nutritional therapy due to short bowel syndrome, neurological impairment (e.g. cerebral palsy), cystic fibrosis, Crohn’s disease, malabsorption, chronic diarrhoea, HIV/</w:t>
      </w:r>
      <w:r w:rsidR="00863D32">
        <w:t>AIDS</w:t>
      </w:r>
      <w:r w:rsidRPr="00863D32">
        <w:t>, burns and cancer.</w:t>
      </w:r>
      <w:proofErr w:type="gramEnd"/>
      <w:r w:rsidRPr="00863D32">
        <w:t xml:space="preserve"> The NPWP considered that the minor submission had failed to identify the appropriate comparator, </w:t>
      </w:r>
      <w:proofErr w:type="gramStart"/>
      <w:r w:rsidRPr="00863D32">
        <w:t>to adequately define</w:t>
      </w:r>
      <w:proofErr w:type="gramEnd"/>
      <w:r w:rsidRPr="00863D32">
        <w:t xml:space="preserve"> its target population or to demonstrate that the</w:t>
      </w:r>
      <w:r w:rsidRPr="00AA09D8">
        <w:t xml:space="preserve">re was a clinical need to list </w:t>
      </w:r>
      <w:proofErr w:type="spellStart"/>
      <w:r w:rsidRPr="00AA09D8">
        <w:t>Peptamen</w:t>
      </w:r>
      <w:proofErr w:type="spellEnd"/>
      <w:r w:rsidRPr="00AA09D8">
        <w:t xml:space="preserve"> Junior on the PBS for the proposed indications.</w:t>
      </w:r>
    </w:p>
    <w:p w:rsidR="00F57BED" w:rsidRPr="00AA09D8" w:rsidRDefault="00F57BED" w:rsidP="00F57BED">
      <w:pPr>
        <w:pStyle w:val="3Bodytext"/>
        <w:numPr>
          <w:ilvl w:val="0"/>
          <w:numId w:val="0"/>
        </w:numPr>
        <w:ind w:left="720"/>
        <w:rPr>
          <w:i/>
        </w:rPr>
      </w:pPr>
      <w:r w:rsidRPr="00AA09D8">
        <w:rPr>
          <w:i/>
        </w:rPr>
        <w:t>For more detail on PBAC’s view, see section 6 PBAC outcome.</w:t>
      </w:r>
    </w:p>
    <w:p w:rsidR="00F57BED" w:rsidRPr="00AA09D8" w:rsidRDefault="00F57BED" w:rsidP="005475C9">
      <w:pPr>
        <w:pStyle w:val="2Sections"/>
      </w:pPr>
      <w:r w:rsidRPr="00AA09D8">
        <w:t>PBAC Outcome</w:t>
      </w:r>
    </w:p>
    <w:p w:rsidR="000F17B4" w:rsidRPr="002E7CDE" w:rsidRDefault="000F17B4" w:rsidP="00F57BED">
      <w:pPr>
        <w:widowControl w:val="0"/>
        <w:numPr>
          <w:ilvl w:val="1"/>
          <w:numId w:val="5"/>
        </w:numPr>
        <w:spacing w:after="120"/>
        <w:jc w:val="both"/>
        <w:rPr>
          <w:rFonts w:asciiTheme="minorHAnsi" w:hAnsiTheme="minorHAnsi" w:cs="Arial"/>
          <w:bCs/>
          <w:snapToGrid w:val="0"/>
        </w:rPr>
      </w:pPr>
      <w:proofErr w:type="gramStart"/>
      <w:r w:rsidRPr="002E7CDE">
        <w:rPr>
          <w:rFonts w:asciiTheme="minorHAnsi" w:hAnsiTheme="minorHAnsi" w:cs="Arial"/>
          <w:bCs/>
          <w:snapToGrid w:val="0"/>
        </w:rPr>
        <w:t xml:space="preserve">The PBAC </w:t>
      </w:r>
      <w:r w:rsidR="00680DF2" w:rsidRPr="002E7CDE">
        <w:rPr>
          <w:rFonts w:asciiTheme="minorHAnsi" w:hAnsiTheme="minorHAnsi" w:cs="Arial"/>
          <w:bCs/>
          <w:snapToGrid w:val="0"/>
        </w:rPr>
        <w:t xml:space="preserve">did not recommend the </w:t>
      </w:r>
      <w:r w:rsidR="00A90BF9" w:rsidRPr="002E7CDE">
        <w:rPr>
          <w:rFonts w:asciiTheme="minorHAnsi" w:hAnsiTheme="minorHAnsi" w:cs="Arial"/>
          <w:bCs/>
          <w:snapToGrid w:val="0"/>
        </w:rPr>
        <w:t xml:space="preserve">restricted benefit </w:t>
      </w:r>
      <w:r w:rsidR="00680DF2" w:rsidRPr="002E7CDE">
        <w:rPr>
          <w:rFonts w:asciiTheme="minorHAnsi" w:hAnsiTheme="minorHAnsi" w:cs="Arial"/>
          <w:bCs/>
          <w:snapToGrid w:val="0"/>
        </w:rPr>
        <w:t>listing of triglycerides medium chain formu</w:t>
      </w:r>
      <w:r w:rsidR="00E86437" w:rsidRPr="002E7CDE">
        <w:rPr>
          <w:rFonts w:asciiTheme="minorHAnsi" w:hAnsiTheme="minorHAnsi" w:cs="Arial"/>
          <w:bCs/>
          <w:snapToGrid w:val="0"/>
        </w:rPr>
        <w:t>la (</w:t>
      </w:r>
      <w:proofErr w:type="spellStart"/>
      <w:r w:rsidR="00E86437" w:rsidRPr="002E7CDE">
        <w:rPr>
          <w:rFonts w:asciiTheme="minorHAnsi" w:hAnsiTheme="minorHAnsi" w:cs="Arial"/>
          <w:bCs/>
          <w:snapToGrid w:val="0"/>
        </w:rPr>
        <w:t>Peptamen</w:t>
      </w:r>
      <w:proofErr w:type="spellEnd"/>
      <w:r w:rsidR="00E86437" w:rsidRPr="002E7CDE">
        <w:rPr>
          <w:rFonts w:asciiTheme="minorHAnsi" w:hAnsiTheme="minorHAnsi" w:cs="Arial"/>
          <w:bCs/>
          <w:snapToGrid w:val="0"/>
        </w:rPr>
        <w:t xml:space="preserve"> Junior) for the dietary management of malnutrition and intolerance to conventional enteral nutrition formulas for critically or chronically ill paediatric patients who are dependent on nutritional therapy due to short bowel syndrome, neurological impairment (e.g. cerebral palsy), cystic fibrosis, Crohn’s disease, malabsorption, chronic diarrhoea, HIV/</w:t>
      </w:r>
      <w:r w:rsidR="00863D32">
        <w:rPr>
          <w:rFonts w:asciiTheme="minorHAnsi" w:hAnsiTheme="minorHAnsi" w:cs="Arial"/>
          <w:bCs/>
          <w:snapToGrid w:val="0"/>
        </w:rPr>
        <w:t>AIDS</w:t>
      </w:r>
      <w:r w:rsidR="00E86437" w:rsidRPr="002E7CDE">
        <w:rPr>
          <w:rFonts w:asciiTheme="minorHAnsi" w:hAnsiTheme="minorHAnsi" w:cs="Arial"/>
          <w:bCs/>
          <w:snapToGrid w:val="0"/>
        </w:rPr>
        <w:t>, burns and cancer</w:t>
      </w:r>
      <w:r w:rsidR="00680DF2" w:rsidRPr="002E7CDE">
        <w:rPr>
          <w:rFonts w:asciiTheme="minorHAnsi" w:hAnsiTheme="minorHAnsi" w:cs="Arial"/>
          <w:bCs/>
          <w:snapToGrid w:val="0"/>
        </w:rPr>
        <w:t>.</w:t>
      </w:r>
      <w:proofErr w:type="gramEnd"/>
      <w:r w:rsidR="00680DF2" w:rsidRPr="002E7CDE">
        <w:rPr>
          <w:rFonts w:asciiTheme="minorHAnsi" w:hAnsiTheme="minorHAnsi" w:cs="Arial"/>
          <w:bCs/>
          <w:snapToGrid w:val="0"/>
        </w:rPr>
        <w:t xml:space="preserve"> The PBAC considered that the population </w:t>
      </w:r>
      <w:proofErr w:type="gramStart"/>
      <w:r w:rsidR="00680DF2" w:rsidRPr="002E7CDE">
        <w:rPr>
          <w:rFonts w:asciiTheme="minorHAnsi" w:hAnsiTheme="minorHAnsi" w:cs="Arial"/>
          <w:bCs/>
          <w:snapToGrid w:val="0"/>
        </w:rPr>
        <w:t>was poorly defined</w:t>
      </w:r>
      <w:proofErr w:type="gramEnd"/>
      <w:r w:rsidR="00677E72" w:rsidRPr="002E7CDE">
        <w:rPr>
          <w:rFonts w:asciiTheme="minorHAnsi" w:hAnsiTheme="minorHAnsi" w:cs="Arial"/>
          <w:bCs/>
          <w:snapToGrid w:val="0"/>
        </w:rPr>
        <w:t xml:space="preserve"> and that the submission had nominated an</w:t>
      </w:r>
      <w:r w:rsidR="009D6BF9" w:rsidRPr="002E7CDE">
        <w:rPr>
          <w:rFonts w:asciiTheme="minorHAnsi" w:hAnsiTheme="minorHAnsi" w:cs="Arial"/>
          <w:bCs/>
          <w:snapToGrid w:val="0"/>
        </w:rPr>
        <w:t xml:space="preserve"> </w:t>
      </w:r>
      <w:r w:rsidR="00A41A67" w:rsidRPr="002E7CDE">
        <w:rPr>
          <w:rFonts w:asciiTheme="minorHAnsi" w:hAnsiTheme="minorHAnsi" w:cs="Arial"/>
          <w:bCs/>
          <w:snapToGrid w:val="0"/>
        </w:rPr>
        <w:t>incorrect</w:t>
      </w:r>
      <w:r w:rsidR="009D6BF9" w:rsidRPr="002E7CDE">
        <w:rPr>
          <w:rFonts w:asciiTheme="minorHAnsi" w:hAnsiTheme="minorHAnsi" w:cs="Arial"/>
          <w:bCs/>
          <w:snapToGrid w:val="0"/>
        </w:rPr>
        <w:t xml:space="preserve"> comparator</w:t>
      </w:r>
      <w:r w:rsidR="00677E72" w:rsidRPr="002E7CDE">
        <w:rPr>
          <w:rFonts w:asciiTheme="minorHAnsi" w:hAnsiTheme="minorHAnsi" w:cs="Arial"/>
          <w:bCs/>
          <w:snapToGrid w:val="0"/>
        </w:rPr>
        <w:t xml:space="preserve"> and</w:t>
      </w:r>
      <w:r w:rsidR="001733B1" w:rsidRPr="002E7CDE">
        <w:rPr>
          <w:rFonts w:asciiTheme="minorHAnsi" w:hAnsiTheme="minorHAnsi" w:cs="Arial"/>
          <w:bCs/>
          <w:snapToGrid w:val="0"/>
        </w:rPr>
        <w:t xml:space="preserve"> failed to demonstrate a clinical need</w:t>
      </w:r>
      <w:r w:rsidR="00A41A67" w:rsidRPr="002E7CDE">
        <w:rPr>
          <w:rFonts w:asciiTheme="minorHAnsi" w:hAnsiTheme="minorHAnsi" w:cs="Arial"/>
          <w:bCs/>
          <w:snapToGrid w:val="0"/>
        </w:rPr>
        <w:t xml:space="preserve"> for the proposed listing</w:t>
      </w:r>
      <w:r w:rsidR="001733B1" w:rsidRPr="002E7CDE">
        <w:rPr>
          <w:rFonts w:asciiTheme="minorHAnsi" w:hAnsiTheme="minorHAnsi" w:cs="Arial"/>
          <w:bCs/>
          <w:snapToGrid w:val="0"/>
        </w:rPr>
        <w:t>.</w:t>
      </w:r>
    </w:p>
    <w:p w:rsidR="008532E6" w:rsidRPr="002E7CDE" w:rsidRDefault="00E63B54" w:rsidP="00F57BED">
      <w:pPr>
        <w:widowControl w:val="0"/>
        <w:numPr>
          <w:ilvl w:val="1"/>
          <w:numId w:val="5"/>
        </w:numPr>
        <w:spacing w:after="120"/>
        <w:jc w:val="both"/>
        <w:rPr>
          <w:rFonts w:asciiTheme="minorHAnsi" w:hAnsiTheme="minorHAnsi" w:cs="Arial"/>
          <w:bCs/>
          <w:snapToGrid w:val="0"/>
        </w:rPr>
      </w:pPr>
      <w:r w:rsidRPr="002E7CDE">
        <w:rPr>
          <w:rFonts w:asciiTheme="minorHAnsi" w:hAnsiTheme="minorHAnsi" w:cs="Arial"/>
          <w:bCs/>
          <w:snapToGrid w:val="0"/>
        </w:rPr>
        <w:t>The PBAC noted that the Sponsor’s pre-PBAC response had adjusted the wording of the indication (see paragraph 3.5), but agreed</w:t>
      </w:r>
      <w:r w:rsidR="00315FD1" w:rsidRPr="002E7CDE">
        <w:rPr>
          <w:rFonts w:asciiTheme="minorHAnsi" w:hAnsiTheme="minorHAnsi" w:cs="Arial"/>
          <w:bCs/>
          <w:snapToGrid w:val="0"/>
        </w:rPr>
        <w:t xml:space="preserve"> with the NPWP that the population was poorly defined, and considered that this could lea</w:t>
      </w:r>
      <w:r w:rsidR="000F29CF" w:rsidRPr="002E7CDE">
        <w:rPr>
          <w:rFonts w:asciiTheme="minorHAnsi" w:hAnsiTheme="minorHAnsi" w:cs="Arial"/>
          <w:bCs/>
          <w:snapToGrid w:val="0"/>
        </w:rPr>
        <w:t>d to inappropriate prescribing</w:t>
      </w:r>
      <w:r w:rsidR="00A41A67" w:rsidRPr="002E7CDE">
        <w:rPr>
          <w:rFonts w:asciiTheme="minorHAnsi" w:hAnsiTheme="minorHAnsi" w:cs="Arial"/>
          <w:bCs/>
          <w:snapToGrid w:val="0"/>
        </w:rPr>
        <w:t xml:space="preserve"> and </w:t>
      </w:r>
      <w:r w:rsidR="00B162BB" w:rsidRPr="002E7CDE">
        <w:rPr>
          <w:rFonts w:asciiTheme="minorHAnsi" w:hAnsiTheme="minorHAnsi" w:cs="Arial"/>
          <w:bCs/>
          <w:snapToGrid w:val="0"/>
        </w:rPr>
        <w:t>an increased cost to the PBS.</w:t>
      </w:r>
    </w:p>
    <w:p w:rsidR="0080693C" w:rsidRPr="002E7CDE" w:rsidRDefault="0080693C" w:rsidP="00F57BED">
      <w:pPr>
        <w:widowControl w:val="0"/>
        <w:numPr>
          <w:ilvl w:val="1"/>
          <w:numId w:val="5"/>
        </w:numPr>
        <w:spacing w:after="120"/>
        <w:jc w:val="both"/>
        <w:rPr>
          <w:rFonts w:asciiTheme="minorHAnsi" w:hAnsiTheme="minorHAnsi" w:cs="Arial"/>
          <w:bCs/>
          <w:snapToGrid w:val="0"/>
        </w:rPr>
      </w:pPr>
      <w:r w:rsidRPr="002E7CDE">
        <w:rPr>
          <w:rFonts w:asciiTheme="minorHAnsi" w:hAnsiTheme="minorHAnsi" w:cs="Arial"/>
          <w:bCs/>
          <w:snapToGrid w:val="0"/>
        </w:rPr>
        <w:t xml:space="preserve">The PBAC </w:t>
      </w:r>
      <w:r w:rsidR="001625A1" w:rsidRPr="002E7CDE">
        <w:rPr>
          <w:rFonts w:asciiTheme="minorHAnsi" w:hAnsiTheme="minorHAnsi" w:cs="Arial"/>
          <w:bCs/>
          <w:snapToGrid w:val="0"/>
        </w:rPr>
        <w:t>noted the NPWP considered</w:t>
      </w:r>
      <w:r w:rsidR="00E00923" w:rsidRPr="002E7CDE">
        <w:rPr>
          <w:rFonts w:asciiTheme="minorHAnsi" w:hAnsiTheme="minorHAnsi" w:cs="Arial"/>
          <w:bCs/>
          <w:snapToGrid w:val="0"/>
        </w:rPr>
        <w:t xml:space="preserve"> the nominated comparator to be inappropriate, and considered that the comparators nominated by the NPWP, </w:t>
      </w:r>
      <w:proofErr w:type="spellStart"/>
      <w:r w:rsidR="00E00923" w:rsidRPr="002E7CDE">
        <w:rPr>
          <w:rFonts w:asciiTheme="minorHAnsi" w:hAnsiTheme="minorHAnsi" w:cs="Arial"/>
          <w:bCs/>
          <w:snapToGrid w:val="0"/>
        </w:rPr>
        <w:t>PediaSure</w:t>
      </w:r>
      <w:proofErr w:type="spellEnd"/>
      <w:r w:rsidR="00E00923" w:rsidRPr="002E7CDE">
        <w:rPr>
          <w:rFonts w:asciiTheme="minorHAnsi" w:hAnsiTheme="minorHAnsi" w:cs="Arial"/>
          <w:bCs/>
          <w:snapToGrid w:val="0"/>
        </w:rPr>
        <w:t xml:space="preserve"> and Ensure, were appropriate.</w:t>
      </w:r>
    </w:p>
    <w:p w:rsidR="00F5313B" w:rsidRPr="002E7CDE" w:rsidRDefault="00AA017C" w:rsidP="00F5313B">
      <w:pPr>
        <w:widowControl w:val="0"/>
        <w:numPr>
          <w:ilvl w:val="1"/>
          <w:numId w:val="5"/>
        </w:numPr>
        <w:spacing w:after="120"/>
        <w:jc w:val="both"/>
        <w:rPr>
          <w:rFonts w:asciiTheme="minorHAnsi" w:hAnsiTheme="minorHAnsi" w:cs="Arial"/>
          <w:bCs/>
          <w:snapToGrid w:val="0"/>
        </w:rPr>
      </w:pPr>
      <w:proofErr w:type="gramStart"/>
      <w:r w:rsidRPr="002E7CDE">
        <w:rPr>
          <w:rFonts w:asciiTheme="minorHAnsi" w:hAnsiTheme="minorHAnsi" w:cs="Arial"/>
          <w:bCs/>
          <w:snapToGrid w:val="0"/>
        </w:rPr>
        <w:t>T</w:t>
      </w:r>
      <w:r w:rsidR="00F94701" w:rsidRPr="002E7CDE">
        <w:rPr>
          <w:rFonts w:asciiTheme="minorHAnsi" w:hAnsiTheme="minorHAnsi" w:cs="Arial"/>
          <w:bCs/>
          <w:snapToGrid w:val="0"/>
        </w:rPr>
        <w:t xml:space="preserve">he PBAC </w:t>
      </w:r>
      <w:r w:rsidR="00F5313B" w:rsidRPr="002E7CDE">
        <w:rPr>
          <w:rFonts w:asciiTheme="minorHAnsi" w:hAnsiTheme="minorHAnsi" w:cs="Arial"/>
          <w:bCs/>
          <w:snapToGrid w:val="0"/>
        </w:rPr>
        <w:t xml:space="preserve">noted that the pre-PBAC response argued that not all patients have access to cost neutral supply through hospitals (see paragraph 4.2), but </w:t>
      </w:r>
      <w:r w:rsidR="00F9774C" w:rsidRPr="002E7CDE">
        <w:rPr>
          <w:rFonts w:asciiTheme="minorHAnsi" w:hAnsiTheme="minorHAnsi" w:cs="Arial"/>
          <w:bCs/>
          <w:snapToGrid w:val="0"/>
        </w:rPr>
        <w:t xml:space="preserve">agreed with the NPWP that the </w:t>
      </w:r>
      <w:r w:rsidR="003563FD" w:rsidRPr="002E7CDE">
        <w:rPr>
          <w:rFonts w:asciiTheme="minorHAnsi" w:hAnsiTheme="minorHAnsi" w:cs="Arial"/>
          <w:bCs/>
          <w:snapToGrid w:val="0"/>
        </w:rPr>
        <w:t xml:space="preserve">defining characteristic of </w:t>
      </w:r>
      <w:proofErr w:type="spellStart"/>
      <w:r w:rsidR="003563FD" w:rsidRPr="002E7CDE">
        <w:rPr>
          <w:rFonts w:asciiTheme="minorHAnsi" w:hAnsiTheme="minorHAnsi" w:cs="Arial"/>
          <w:bCs/>
          <w:snapToGrid w:val="0"/>
        </w:rPr>
        <w:t>Peptamen</w:t>
      </w:r>
      <w:proofErr w:type="spellEnd"/>
      <w:r w:rsidR="003563FD" w:rsidRPr="002E7CDE">
        <w:rPr>
          <w:rFonts w:asciiTheme="minorHAnsi" w:hAnsiTheme="minorHAnsi" w:cs="Arial"/>
          <w:bCs/>
          <w:snapToGrid w:val="0"/>
        </w:rPr>
        <w:t xml:space="preserve"> Junior is its MCT content, and that the </w:t>
      </w:r>
      <w:r w:rsidR="00F9774C" w:rsidRPr="002E7CDE">
        <w:rPr>
          <w:rFonts w:asciiTheme="minorHAnsi" w:hAnsiTheme="minorHAnsi" w:cs="Arial"/>
          <w:bCs/>
          <w:snapToGrid w:val="0"/>
        </w:rPr>
        <w:t>majority of patients who required MCT or were intolerant to standard enteral nutrition were adequately managed through current PBS listings.</w:t>
      </w:r>
      <w:proofErr w:type="gramEnd"/>
      <w:r w:rsidR="002E5AB4" w:rsidRPr="002E7CDE">
        <w:rPr>
          <w:rFonts w:asciiTheme="minorHAnsi" w:hAnsiTheme="minorHAnsi" w:cs="Arial"/>
          <w:bCs/>
          <w:snapToGrid w:val="0"/>
        </w:rPr>
        <w:t xml:space="preserve"> The PBAC </w:t>
      </w:r>
      <w:r w:rsidRPr="002E7CDE">
        <w:rPr>
          <w:rFonts w:asciiTheme="minorHAnsi" w:hAnsiTheme="minorHAnsi" w:cs="Arial"/>
          <w:bCs/>
          <w:snapToGrid w:val="0"/>
        </w:rPr>
        <w:t xml:space="preserve">also </w:t>
      </w:r>
      <w:r w:rsidR="002C4A62" w:rsidRPr="002E7CDE">
        <w:rPr>
          <w:rFonts w:asciiTheme="minorHAnsi" w:hAnsiTheme="minorHAnsi" w:cs="Arial"/>
          <w:bCs/>
          <w:snapToGrid w:val="0"/>
        </w:rPr>
        <w:t>agreed with the NPWP that there was inadequate evidence provided in the minor submission to support broadening the PBS listing.</w:t>
      </w:r>
    </w:p>
    <w:p w:rsidR="008D6309" w:rsidRPr="002E7CDE" w:rsidRDefault="008D6309" w:rsidP="00F5313B">
      <w:pPr>
        <w:widowControl w:val="0"/>
        <w:numPr>
          <w:ilvl w:val="1"/>
          <w:numId w:val="5"/>
        </w:numPr>
        <w:spacing w:after="120"/>
        <w:jc w:val="both"/>
        <w:rPr>
          <w:rFonts w:asciiTheme="minorHAnsi" w:hAnsiTheme="minorHAnsi" w:cs="Arial"/>
          <w:bCs/>
          <w:snapToGrid w:val="0"/>
        </w:rPr>
      </w:pPr>
      <w:r w:rsidRPr="002E7CDE">
        <w:rPr>
          <w:rFonts w:asciiTheme="minorHAnsi" w:hAnsiTheme="minorHAnsi" w:cs="Arial"/>
          <w:bCs/>
          <w:snapToGrid w:val="0"/>
        </w:rPr>
        <w:t>The PBAC noted that this submission is eligible for Independent Review.</w:t>
      </w:r>
      <w:r w:rsidRPr="002E7CDE" w:rsidDel="008D6309">
        <w:rPr>
          <w:rFonts w:asciiTheme="minorHAnsi" w:hAnsiTheme="minorHAnsi" w:cs="Arial"/>
          <w:bCs/>
          <w:snapToGrid w:val="0"/>
        </w:rPr>
        <w:t xml:space="preserve"> </w:t>
      </w:r>
    </w:p>
    <w:p w:rsidR="00F57BED" w:rsidRPr="002E7CDE" w:rsidRDefault="00F57BED" w:rsidP="00B733BB">
      <w:pPr>
        <w:keepNext/>
        <w:widowControl w:val="0"/>
        <w:spacing w:after="120"/>
        <w:jc w:val="both"/>
        <w:rPr>
          <w:rFonts w:asciiTheme="minorHAnsi" w:hAnsiTheme="minorHAnsi" w:cs="Arial"/>
          <w:b/>
          <w:bCs/>
          <w:snapToGrid w:val="0"/>
        </w:rPr>
      </w:pPr>
      <w:r w:rsidRPr="002E7CDE">
        <w:rPr>
          <w:rFonts w:asciiTheme="minorHAnsi" w:hAnsiTheme="minorHAnsi" w:cs="Arial"/>
          <w:b/>
          <w:bCs/>
          <w:snapToGrid w:val="0"/>
        </w:rPr>
        <w:lastRenderedPageBreak/>
        <w:t>Outcome:</w:t>
      </w:r>
    </w:p>
    <w:p w:rsidR="00F57BED" w:rsidRDefault="008D6309" w:rsidP="00B733BB">
      <w:pPr>
        <w:keepNext/>
        <w:widowControl w:val="0"/>
        <w:spacing w:after="120"/>
        <w:jc w:val="both"/>
        <w:rPr>
          <w:rFonts w:asciiTheme="minorHAnsi" w:hAnsiTheme="minorHAnsi" w:cs="Arial"/>
          <w:bCs/>
          <w:snapToGrid w:val="0"/>
        </w:rPr>
      </w:pPr>
      <w:r w:rsidRPr="002E7CDE">
        <w:rPr>
          <w:rFonts w:asciiTheme="minorHAnsi" w:hAnsiTheme="minorHAnsi" w:cs="Arial"/>
          <w:bCs/>
          <w:snapToGrid w:val="0"/>
        </w:rPr>
        <w:t xml:space="preserve">Rejected </w:t>
      </w:r>
    </w:p>
    <w:p w:rsidR="004E1D6D" w:rsidRDefault="004E1D6D" w:rsidP="00B733BB">
      <w:pPr>
        <w:keepNext/>
        <w:widowControl w:val="0"/>
        <w:spacing w:after="120"/>
        <w:jc w:val="both"/>
        <w:rPr>
          <w:rFonts w:asciiTheme="minorHAnsi" w:hAnsiTheme="minorHAnsi" w:cs="Arial"/>
          <w:bCs/>
          <w:snapToGrid w:val="0"/>
        </w:rPr>
      </w:pPr>
    </w:p>
    <w:p w:rsidR="004E1D6D" w:rsidRPr="00920A65" w:rsidRDefault="004E1D6D" w:rsidP="004E1D6D">
      <w:pPr>
        <w:pStyle w:val="PBACHeading1"/>
        <w:numPr>
          <w:ilvl w:val="0"/>
          <w:numId w:val="5"/>
        </w:numPr>
        <w:spacing w:before="240" w:after="120"/>
        <w:ind w:left="709" w:hanging="709"/>
        <w:jc w:val="both"/>
        <w:rPr>
          <w:rFonts w:asciiTheme="minorHAnsi" w:hAnsiTheme="minorHAnsi"/>
          <w:sz w:val="32"/>
          <w:szCs w:val="32"/>
        </w:rPr>
      </w:pPr>
      <w:r w:rsidRPr="00920A65">
        <w:rPr>
          <w:rFonts w:asciiTheme="minorHAnsi" w:hAnsiTheme="minorHAnsi"/>
          <w:sz w:val="32"/>
          <w:szCs w:val="32"/>
        </w:rPr>
        <w:t>Context for Decision</w:t>
      </w:r>
    </w:p>
    <w:p w:rsidR="004E1D6D" w:rsidRPr="007129F2" w:rsidRDefault="004E1D6D" w:rsidP="004E1D6D">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4E1D6D" w:rsidRDefault="004E1D6D" w:rsidP="004E1D6D">
      <w:pPr>
        <w:jc w:val="both"/>
        <w:rPr>
          <w:rFonts w:ascii="Calibri" w:hAnsi="Calibri" w:cs="Calibri"/>
        </w:rPr>
      </w:pPr>
    </w:p>
    <w:p w:rsidR="004E1D6D" w:rsidRPr="00920A65" w:rsidRDefault="004E1D6D" w:rsidP="004E1D6D">
      <w:pPr>
        <w:pStyle w:val="PBACHeading1"/>
        <w:numPr>
          <w:ilvl w:val="0"/>
          <w:numId w:val="5"/>
        </w:numPr>
        <w:spacing w:before="240" w:after="120"/>
        <w:ind w:left="709" w:hanging="709"/>
        <w:jc w:val="both"/>
        <w:rPr>
          <w:rFonts w:asciiTheme="minorHAnsi" w:hAnsiTheme="minorHAnsi"/>
          <w:sz w:val="32"/>
          <w:szCs w:val="32"/>
        </w:rPr>
      </w:pPr>
      <w:r w:rsidRPr="00920A65">
        <w:rPr>
          <w:rFonts w:asciiTheme="minorHAnsi" w:hAnsiTheme="minorHAnsi"/>
          <w:sz w:val="32"/>
          <w:szCs w:val="32"/>
        </w:rPr>
        <w:t>Sponsor’s Comment</w:t>
      </w:r>
    </w:p>
    <w:p w:rsidR="004E1D6D" w:rsidRPr="001179AC" w:rsidRDefault="004E1D6D" w:rsidP="004E1D6D">
      <w:pPr>
        <w:spacing w:after="120"/>
        <w:jc w:val="both"/>
        <w:rPr>
          <w:rFonts w:asciiTheme="minorHAnsi" w:hAnsiTheme="minorHAnsi" w:cs="Arial"/>
          <w:bCs/>
        </w:rPr>
      </w:pPr>
      <w:r w:rsidRPr="00C07617">
        <w:rPr>
          <w:rFonts w:asciiTheme="minorHAnsi" w:hAnsiTheme="minorHAnsi" w:cs="Arial"/>
          <w:bCs/>
        </w:rPr>
        <w:t>The sponsor had no comment.</w:t>
      </w:r>
    </w:p>
    <w:p w:rsidR="004E1D6D" w:rsidRPr="00AA09D8" w:rsidRDefault="004E1D6D" w:rsidP="00B733BB">
      <w:pPr>
        <w:keepNext/>
        <w:widowControl w:val="0"/>
        <w:spacing w:after="120"/>
        <w:jc w:val="both"/>
      </w:pPr>
    </w:p>
    <w:sectPr w:rsidR="004E1D6D" w:rsidRPr="00AA09D8" w:rsidSect="006961CD">
      <w:type w:val="continuous"/>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AF" w:rsidRDefault="00C76DAF">
      <w:r>
        <w:separator/>
      </w:r>
    </w:p>
    <w:p w:rsidR="00C76DAF" w:rsidRDefault="00C76DAF"/>
  </w:endnote>
  <w:endnote w:type="continuationSeparator" w:id="0">
    <w:p w:rsidR="00C76DAF" w:rsidRDefault="00C76DAF">
      <w:r>
        <w:continuationSeparator/>
      </w:r>
    </w:p>
    <w:p w:rsidR="00C76DAF" w:rsidRDefault="00C7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A09D8" w:rsidTr="005A3173">
      <w:trPr>
        <w:trHeight w:val="151"/>
      </w:trPr>
      <w:tc>
        <w:tcPr>
          <w:tcW w:w="2250" w:type="pct"/>
          <w:tcBorders>
            <w:top w:val="nil"/>
            <w:left w:val="nil"/>
            <w:bottom w:val="single" w:sz="4" w:space="0" w:color="4F81BD"/>
            <w:right w:val="nil"/>
          </w:tcBorders>
        </w:tcPr>
        <w:p w:rsidR="00AA09D8" w:rsidRPr="005A3173" w:rsidRDefault="00AA09D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A09D8" w:rsidRPr="005A3173" w:rsidRDefault="00AA09D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A09D8" w:rsidRPr="005A3173" w:rsidRDefault="00AA09D8" w:rsidP="005A3173">
          <w:pPr>
            <w:pStyle w:val="Header"/>
            <w:spacing w:line="276" w:lineRule="auto"/>
            <w:rPr>
              <w:rFonts w:ascii="Calibri" w:eastAsia="MS Gothic" w:hAnsi="Calibri"/>
              <w:b/>
              <w:bCs/>
              <w:color w:val="4F81BD"/>
            </w:rPr>
          </w:pPr>
        </w:p>
      </w:tc>
    </w:tr>
    <w:tr w:rsidR="00AA09D8" w:rsidTr="005A3173">
      <w:trPr>
        <w:trHeight w:val="150"/>
      </w:trPr>
      <w:tc>
        <w:tcPr>
          <w:tcW w:w="2250" w:type="pct"/>
          <w:tcBorders>
            <w:top w:val="single" w:sz="4" w:space="0" w:color="4F81BD"/>
            <w:left w:val="nil"/>
            <w:bottom w:val="nil"/>
            <w:right w:val="nil"/>
          </w:tcBorders>
        </w:tcPr>
        <w:p w:rsidR="00AA09D8" w:rsidRPr="005A3173" w:rsidRDefault="00AA09D8" w:rsidP="005A3173">
          <w:pPr>
            <w:pStyle w:val="Header"/>
            <w:spacing w:line="276" w:lineRule="auto"/>
            <w:rPr>
              <w:rFonts w:ascii="Calibri" w:eastAsia="MS Gothic" w:hAnsi="Calibri"/>
              <w:b/>
              <w:bCs/>
              <w:color w:val="4F81BD"/>
            </w:rPr>
          </w:pPr>
        </w:p>
      </w:tc>
      <w:tc>
        <w:tcPr>
          <w:tcW w:w="0" w:type="auto"/>
          <w:vMerge/>
          <w:vAlign w:val="center"/>
          <w:hideMark/>
        </w:tcPr>
        <w:p w:rsidR="00AA09D8" w:rsidRPr="005A3173" w:rsidRDefault="00AA09D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A09D8" w:rsidRPr="005A3173" w:rsidRDefault="00AA09D8" w:rsidP="005A3173">
          <w:pPr>
            <w:pStyle w:val="Header"/>
            <w:spacing w:line="276" w:lineRule="auto"/>
            <w:rPr>
              <w:rFonts w:ascii="Calibri" w:eastAsia="MS Gothic" w:hAnsi="Calibri"/>
              <w:b/>
              <w:bCs/>
              <w:color w:val="4F81BD"/>
            </w:rPr>
          </w:pPr>
        </w:p>
      </w:tc>
    </w:tr>
  </w:tbl>
  <w:p w:rsidR="00AA09D8" w:rsidRDefault="00AA09D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9D8" w:rsidRDefault="00AA09D8">
    <w:pPr>
      <w:pStyle w:val="Footer"/>
    </w:pPr>
  </w:p>
  <w:p w:rsidR="00AA09D8" w:rsidRDefault="00AA09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D8" w:rsidRDefault="00AA09D8">
    <w:pPr>
      <w:pStyle w:val="Footer"/>
      <w:jc w:val="center"/>
    </w:pPr>
  </w:p>
  <w:p w:rsidR="00AA09D8" w:rsidRPr="003A1347" w:rsidRDefault="00E7296F" w:rsidP="003A1347">
    <w:pPr>
      <w:pStyle w:val="Footer"/>
      <w:jc w:val="center"/>
      <w:rPr>
        <w:rFonts w:asciiTheme="minorHAnsi" w:hAnsiTheme="minorHAnsi" w:cstheme="minorHAnsi"/>
        <w:b/>
      </w:rPr>
    </w:pPr>
    <w:sdt>
      <w:sdtPr>
        <w:rPr>
          <w:rFonts w:asciiTheme="minorHAnsi" w:hAnsiTheme="minorHAnsi" w:cstheme="minorHAnsi"/>
          <w:b/>
        </w:rPr>
        <w:id w:val="-1901437181"/>
        <w:docPartObj>
          <w:docPartGallery w:val="Page Numbers (Bottom of Page)"/>
          <w:docPartUnique/>
        </w:docPartObj>
      </w:sdtPr>
      <w:sdtEndPr>
        <w:rPr>
          <w:noProof/>
        </w:rPr>
      </w:sdtEndPr>
      <w:sdtContent>
        <w:r w:rsidR="00AA09D8" w:rsidRPr="003A1347">
          <w:rPr>
            <w:rFonts w:asciiTheme="minorHAnsi" w:hAnsiTheme="minorHAnsi" w:cstheme="minorHAnsi"/>
            <w:b/>
          </w:rPr>
          <w:fldChar w:fldCharType="begin"/>
        </w:r>
        <w:r w:rsidR="00AA09D8" w:rsidRPr="003A1347">
          <w:rPr>
            <w:rFonts w:asciiTheme="minorHAnsi" w:hAnsiTheme="minorHAnsi" w:cstheme="minorHAnsi"/>
            <w:b/>
          </w:rPr>
          <w:instrText xml:space="preserve"> PAGE   \* MERGEFORMAT </w:instrText>
        </w:r>
        <w:r w:rsidR="00AA09D8" w:rsidRPr="003A1347">
          <w:rPr>
            <w:rFonts w:asciiTheme="minorHAnsi" w:hAnsiTheme="minorHAnsi" w:cstheme="minorHAnsi"/>
            <w:b/>
          </w:rPr>
          <w:fldChar w:fldCharType="separate"/>
        </w:r>
        <w:r>
          <w:rPr>
            <w:rFonts w:asciiTheme="minorHAnsi" w:hAnsiTheme="minorHAnsi" w:cstheme="minorHAnsi"/>
            <w:b/>
            <w:noProof/>
          </w:rPr>
          <w:t>1</w:t>
        </w:r>
        <w:r w:rsidR="00AA09D8" w:rsidRPr="003A1347">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AA09D8" w:rsidTr="005A3173">
      <w:trPr>
        <w:trHeight w:val="151"/>
      </w:trPr>
      <w:tc>
        <w:tcPr>
          <w:tcW w:w="2250" w:type="pct"/>
          <w:tcBorders>
            <w:top w:val="nil"/>
            <w:left w:val="nil"/>
            <w:bottom w:val="single" w:sz="4" w:space="0" w:color="4F81BD"/>
            <w:right w:val="nil"/>
          </w:tcBorders>
        </w:tcPr>
        <w:p w:rsidR="00AA09D8" w:rsidRPr="005A3173" w:rsidRDefault="00AA09D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A09D8" w:rsidRPr="005A3173" w:rsidRDefault="00AA09D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A09D8" w:rsidRPr="005A3173" w:rsidRDefault="00AA09D8" w:rsidP="005A3173">
          <w:pPr>
            <w:pStyle w:val="Header"/>
            <w:spacing w:line="276" w:lineRule="auto"/>
            <w:rPr>
              <w:rFonts w:ascii="Calibri" w:eastAsia="MS Gothic" w:hAnsi="Calibri"/>
              <w:b/>
              <w:bCs/>
              <w:color w:val="4F81BD"/>
            </w:rPr>
          </w:pPr>
        </w:p>
      </w:tc>
    </w:tr>
    <w:tr w:rsidR="00AA09D8" w:rsidTr="005A3173">
      <w:trPr>
        <w:trHeight w:val="150"/>
      </w:trPr>
      <w:tc>
        <w:tcPr>
          <w:tcW w:w="2250" w:type="pct"/>
          <w:tcBorders>
            <w:top w:val="single" w:sz="4" w:space="0" w:color="4F81BD"/>
            <w:left w:val="nil"/>
            <w:bottom w:val="nil"/>
            <w:right w:val="nil"/>
          </w:tcBorders>
        </w:tcPr>
        <w:p w:rsidR="00AA09D8" w:rsidRPr="005A3173" w:rsidRDefault="00AA09D8" w:rsidP="005A3173">
          <w:pPr>
            <w:pStyle w:val="Header"/>
            <w:spacing w:line="276" w:lineRule="auto"/>
            <w:rPr>
              <w:rFonts w:ascii="Calibri" w:eastAsia="MS Gothic" w:hAnsi="Calibri"/>
              <w:b/>
              <w:bCs/>
              <w:color w:val="4F81BD"/>
            </w:rPr>
          </w:pPr>
        </w:p>
      </w:tc>
      <w:tc>
        <w:tcPr>
          <w:tcW w:w="0" w:type="auto"/>
          <w:vMerge/>
          <w:vAlign w:val="center"/>
          <w:hideMark/>
        </w:tcPr>
        <w:p w:rsidR="00AA09D8" w:rsidRPr="005A3173" w:rsidRDefault="00AA09D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A09D8" w:rsidRPr="005A3173" w:rsidRDefault="00AA09D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A09D8" w:rsidTr="005A3173">
      <w:trPr>
        <w:trHeight w:val="151"/>
      </w:trPr>
      <w:tc>
        <w:tcPr>
          <w:tcW w:w="2250" w:type="pct"/>
          <w:tcBorders>
            <w:top w:val="nil"/>
            <w:left w:val="nil"/>
            <w:bottom w:val="single" w:sz="4" w:space="0" w:color="4F81BD"/>
            <w:right w:val="nil"/>
          </w:tcBorders>
        </w:tcPr>
        <w:p w:rsidR="00AA09D8" w:rsidRPr="005A3173" w:rsidRDefault="00AA09D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A09D8" w:rsidRPr="005A3173" w:rsidRDefault="00AA09D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A09D8" w:rsidRPr="005A3173" w:rsidRDefault="00AA09D8" w:rsidP="005A3173">
          <w:pPr>
            <w:pStyle w:val="Header"/>
            <w:spacing w:line="276" w:lineRule="auto"/>
            <w:rPr>
              <w:rFonts w:ascii="Calibri" w:eastAsia="MS Gothic" w:hAnsi="Calibri"/>
              <w:b/>
              <w:bCs/>
              <w:color w:val="4F81BD"/>
            </w:rPr>
          </w:pPr>
        </w:p>
      </w:tc>
    </w:tr>
    <w:tr w:rsidR="00AA09D8" w:rsidTr="005A3173">
      <w:trPr>
        <w:trHeight w:val="150"/>
      </w:trPr>
      <w:tc>
        <w:tcPr>
          <w:tcW w:w="2250" w:type="pct"/>
          <w:tcBorders>
            <w:top w:val="single" w:sz="4" w:space="0" w:color="4F81BD"/>
            <w:left w:val="nil"/>
            <w:bottom w:val="nil"/>
            <w:right w:val="nil"/>
          </w:tcBorders>
        </w:tcPr>
        <w:p w:rsidR="00AA09D8" w:rsidRPr="005A3173" w:rsidRDefault="00AA09D8" w:rsidP="005A3173">
          <w:pPr>
            <w:pStyle w:val="Header"/>
            <w:spacing w:line="276" w:lineRule="auto"/>
            <w:rPr>
              <w:rFonts w:ascii="Calibri" w:eastAsia="MS Gothic" w:hAnsi="Calibri"/>
              <w:b/>
              <w:bCs/>
              <w:color w:val="4F81BD"/>
            </w:rPr>
          </w:pPr>
        </w:p>
      </w:tc>
      <w:tc>
        <w:tcPr>
          <w:tcW w:w="0" w:type="auto"/>
          <w:vMerge/>
          <w:vAlign w:val="center"/>
          <w:hideMark/>
        </w:tcPr>
        <w:p w:rsidR="00AA09D8" w:rsidRPr="005A3173" w:rsidRDefault="00AA09D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A09D8" w:rsidRPr="005A3173" w:rsidRDefault="00AA09D8" w:rsidP="005A3173">
          <w:pPr>
            <w:pStyle w:val="Header"/>
            <w:spacing w:line="276" w:lineRule="auto"/>
            <w:rPr>
              <w:rFonts w:ascii="Calibri" w:eastAsia="MS Gothic" w:hAnsi="Calibri"/>
              <w:b/>
              <w:bCs/>
              <w:color w:val="4F81BD"/>
            </w:rPr>
          </w:pPr>
        </w:p>
      </w:tc>
    </w:tr>
  </w:tbl>
  <w:p w:rsidR="00AA09D8" w:rsidRPr="007C0F57" w:rsidRDefault="00AA09D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A09D8" w:rsidRPr="007C0F57" w:rsidRDefault="00AA09D8" w:rsidP="007C0F57">
    <w:pPr>
      <w:pStyle w:val="Footer"/>
      <w:jc w:val="center"/>
      <w:rPr>
        <w:b/>
        <w:i/>
        <w:sz w:val="20"/>
        <w:szCs w:val="20"/>
      </w:rPr>
    </w:pPr>
    <w:r w:rsidRPr="007C0F57">
      <w:rPr>
        <w:b/>
        <w:i/>
        <w:sz w:val="20"/>
        <w:szCs w:val="20"/>
      </w:rPr>
      <w:t>Commercial-in-Confidence</w:t>
    </w:r>
  </w:p>
  <w:p w:rsidR="00AA09D8" w:rsidRDefault="00AA09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AF" w:rsidRDefault="00C76DAF">
      <w:r>
        <w:separator/>
      </w:r>
    </w:p>
    <w:p w:rsidR="00C76DAF" w:rsidRDefault="00C76DAF"/>
  </w:footnote>
  <w:footnote w:type="continuationSeparator" w:id="0">
    <w:p w:rsidR="00C76DAF" w:rsidRDefault="00C76DAF">
      <w:r>
        <w:continuationSeparator/>
      </w:r>
    </w:p>
    <w:p w:rsidR="00C76DAF" w:rsidRDefault="00C76D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A09D8" w:rsidRPr="008E0D90" w:rsidTr="00A06225">
      <w:trPr>
        <w:trHeight w:val="151"/>
      </w:trPr>
      <w:tc>
        <w:tcPr>
          <w:tcW w:w="2389" w:type="pct"/>
          <w:tcBorders>
            <w:top w:val="nil"/>
            <w:left w:val="nil"/>
            <w:bottom w:val="single" w:sz="4" w:space="0" w:color="4F81BD"/>
            <w:right w:val="nil"/>
          </w:tcBorders>
        </w:tcPr>
        <w:p w:rsidR="00AA09D8" w:rsidRPr="00A06225" w:rsidRDefault="00AA09D8">
          <w:pPr>
            <w:pStyle w:val="Header"/>
            <w:spacing w:line="276" w:lineRule="auto"/>
            <w:rPr>
              <w:rFonts w:ascii="Cambria" w:eastAsia="MS Gothic" w:hAnsi="Cambria"/>
              <w:b/>
              <w:bCs/>
              <w:color w:val="4F81BD"/>
            </w:rPr>
          </w:pPr>
        </w:p>
      </w:tc>
      <w:tc>
        <w:tcPr>
          <w:tcW w:w="333" w:type="pct"/>
          <w:vMerge w:val="restart"/>
          <w:noWrap/>
          <w:vAlign w:val="center"/>
          <w:hideMark/>
        </w:tcPr>
        <w:p w:rsidR="00AA09D8" w:rsidRPr="00A06225" w:rsidRDefault="00AA09D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A09D8" w:rsidRPr="00A06225" w:rsidRDefault="00AA09D8">
          <w:pPr>
            <w:pStyle w:val="Header"/>
            <w:spacing w:line="276" w:lineRule="auto"/>
            <w:rPr>
              <w:rFonts w:ascii="Cambria" w:eastAsia="MS Gothic" w:hAnsi="Cambria"/>
              <w:b/>
              <w:bCs/>
              <w:color w:val="4F81BD"/>
            </w:rPr>
          </w:pPr>
        </w:p>
      </w:tc>
    </w:tr>
    <w:tr w:rsidR="00AA09D8" w:rsidRPr="008E0D90" w:rsidTr="00A06225">
      <w:trPr>
        <w:trHeight w:val="150"/>
      </w:trPr>
      <w:tc>
        <w:tcPr>
          <w:tcW w:w="2389" w:type="pct"/>
          <w:tcBorders>
            <w:top w:val="single" w:sz="4" w:space="0" w:color="4F81BD"/>
            <w:left w:val="nil"/>
            <w:bottom w:val="nil"/>
            <w:right w:val="nil"/>
          </w:tcBorders>
        </w:tcPr>
        <w:p w:rsidR="00AA09D8" w:rsidRPr="00A06225" w:rsidRDefault="00AA09D8">
          <w:pPr>
            <w:pStyle w:val="Header"/>
            <w:spacing w:line="276" w:lineRule="auto"/>
            <w:rPr>
              <w:rFonts w:ascii="Cambria" w:eastAsia="MS Gothic" w:hAnsi="Cambria"/>
              <w:b/>
              <w:bCs/>
              <w:color w:val="4F81BD"/>
            </w:rPr>
          </w:pPr>
        </w:p>
      </w:tc>
      <w:tc>
        <w:tcPr>
          <w:tcW w:w="0" w:type="auto"/>
          <w:vMerge/>
          <w:vAlign w:val="center"/>
          <w:hideMark/>
        </w:tcPr>
        <w:p w:rsidR="00AA09D8" w:rsidRPr="00A06225" w:rsidRDefault="00AA09D8">
          <w:pPr>
            <w:rPr>
              <w:rFonts w:ascii="Cambria" w:hAnsi="Cambria"/>
              <w:color w:val="4F81BD"/>
              <w:sz w:val="22"/>
              <w:szCs w:val="22"/>
            </w:rPr>
          </w:pPr>
        </w:p>
      </w:tc>
      <w:tc>
        <w:tcPr>
          <w:tcW w:w="2278" w:type="pct"/>
          <w:tcBorders>
            <w:top w:val="single" w:sz="4" w:space="0" w:color="4F81BD"/>
            <w:left w:val="nil"/>
            <w:bottom w:val="nil"/>
            <w:right w:val="nil"/>
          </w:tcBorders>
        </w:tcPr>
        <w:p w:rsidR="00AA09D8" w:rsidRPr="00A06225" w:rsidRDefault="00AA09D8">
          <w:pPr>
            <w:pStyle w:val="Header"/>
            <w:spacing w:line="276" w:lineRule="auto"/>
            <w:rPr>
              <w:rFonts w:ascii="Cambria" w:eastAsia="MS Gothic" w:hAnsi="Cambria"/>
              <w:b/>
              <w:bCs/>
              <w:color w:val="4F81BD"/>
            </w:rPr>
          </w:pPr>
        </w:p>
      </w:tc>
    </w:tr>
  </w:tbl>
  <w:p w:rsidR="00AA09D8" w:rsidRDefault="00AA09D8">
    <w:pPr>
      <w:pStyle w:val="Header"/>
    </w:pPr>
  </w:p>
  <w:p w:rsidR="00AA09D8" w:rsidRDefault="00AA09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D8" w:rsidRPr="003A1347" w:rsidRDefault="004E1D6D" w:rsidP="003A1347">
    <w:pPr>
      <w:pStyle w:val="NoSpacing"/>
      <w:jc w:val="center"/>
      <w:rPr>
        <w:rFonts w:asciiTheme="minorHAnsi" w:hAnsiTheme="minorHAnsi"/>
        <w:i/>
        <w:sz w:val="24"/>
        <w:lang w:val="en-US"/>
      </w:rPr>
    </w:pPr>
    <w:r>
      <w:rPr>
        <w:rFonts w:asciiTheme="minorHAnsi" w:hAnsiTheme="minorHAnsi"/>
        <w:i/>
        <w:sz w:val="24"/>
        <w:lang w:val="en-US"/>
      </w:rPr>
      <w:t>Public Summary Document</w:t>
    </w:r>
    <w:r w:rsidR="00AA09D8">
      <w:rPr>
        <w:rFonts w:asciiTheme="minorHAnsi" w:hAnsiTheme="minorHAnsi"/>
        <w:i/>
        <w:sz w:val="24"/>
        <w:lang w:val="en-US"/>
      </w:rPr>
      <w:t xml:space="preserve"> </w:t>
    </w:r>
    <w:r w:rsidR="00AA09D8" w:rsidRPr="003A1347">
      <w:rPr>
        <w:rFonts w:asciiTheme="minorHAnsi" w:hAnsiTheme="minorHAnsi"/>
        <w:i/>
        <w:sz w:val="24"/>
        <w:lang w:val="en-US"/>
      </w:rPr>
      <w:t xml:space="preserve">– March 2020 PBAC Meeting </w:t>
    </w:r>
  </w:p>
  <w:p w:rsidR="00AA09D8" w:rsidRPr="003A1347" w:rsidRDefault="00AA09D8" w:rsidP="00AE582C">
    <w:pPr>
      <w:pStyle w:val="NoSpacing"/>
      <w:rPr>
        <w:rFonts w:asciiTheme="minorHAnsi" w:hAnsiTheme="minorHAnsi"/>
        <w:sz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AF" w:rsidRDefault="00C76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61B3C"/>
    <w:multiLevelType w:val="hybridMultilevel"/>
    <w:tmpl w:val="066CBFBA"/>
    <w:lvl w:ilvl="0" w:tplc="657CD0AC">
      <w:start w:val="2"/>
      <w:numFmt w:val="bullet"/>
      <w:lvlText w:val="•"/>
      <w:lvlJc w:val="left"/>
      <w:pPr>
        <w:ind w:left="1069" w:hanging="360"/>
      </w:pPr>
      <w:rPr>
        <w:rFonts w:ascii="Calibri" w:eastAsia="Times New Roman" w:hAnsi="Calibri"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351F0"/>
    <w:multiLevelType w:val="hybridMultilevel"/>
    <w:tmpl w:val="40D8F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5043FC"/>
    <w:multiLevelType w:val="hybridMultilevel"/>
    <w:tmpl w:val="D1B2230A"/>
    <w:lvl w:ilvl="0" w:tplc="0C090001">
      <w:start w:val="1"/>
      <w:numFmt w:val="bullet"/>
      <w:lvlText w:val=""/>
      <w:lvlJc w:val="left"/>
      <w:pPr>
        <w:ind w:left="360" w:hanging="360"/>
      </w:pPr>
      <w:rPr>
        <w:rFonts w:ascii="Symbol" w:hAnsi="Symbol" w:hint="default"/>
      </w:rPr>
    </w:lvl>
    <w:lvl w:ilvl="1" w:tplc="1E6C932A">
      <w:start w:val="1"/>
      <w:numFmt w:val="bullet"/>
      <w:lvlText w:val="-"/>
      <w:lvlJc w:val="left"/>
      <w:pPr>
        <w:ind w:left="723" w:hanging="360"/>
      </w:pPr>
      <w:rPr>
        <w:rFonts w:ascii="Times New Roman" w:hAnsi="Times New Roman" w:hint="default"/>
      </w:rPr>
    </w:lvl>
    <w:lvl w:ilvl="2" w:tplc="0C090005">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15:restartNumberingAfterBreak="0">
    <w:nsid w:val="288F2E8A"/>
    <w:multiLevelType w:val="hybridMultilevel"/>
    <w:tmpl w:val="2BF25178"/>
    <w:lvl w:ilvl="0" w:tplc="1E6C932A">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21EF4"/>
    <w:multiLevelType w:val="hybridMultilevel"/>
    <w:tmpl w:val="31E0E1C8"/>
    <w:lvl w:ilvl="0" w:tplc="2F94A5EE">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7D73C03"/>
    <w:multiLevelType w:val="hybridMultilevel"/>
    <w:tmpl w:val="131EC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F38D7"/>
    <w:multiLevelType w:val="hybridMultilevel"/>
    <w:tmpl w:val="A3A2E6C4"/>
    <w:lvl w:ilvl="0" w:tplc="1E6C932A">
      <w:start w:val="1"/>
      <w:numFmt w:val="bullet"/>
      <w:lvlText w:val="-"/>
      <w:lvlJc w:val="left"/>
      <w:pPr>
        <w:ind w:left="1077"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3D5070"/>
    <w:multiLevelType w:val="hybridMultilevel"/>
    <w:tmpl w:val="22F464C4"/>
    <w:lvl w:ilvl="0" w:tplc="657CD0AC">
      <w:start w:val="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29E1F3A"/>
    <w:multiLevelType w:val="hybridMultilevel"/>
    <w:tmpl w:val="904C23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29" w15:restartNumberingAfterBreak="0">
    <w:nsid w:val="64793568"/>
    <w:multiLevelType w:val="hybridMultilevel"/>
    <w:tmpl w:val="3754DD34"/>
    <w:lvl w:ilvl="0" w:tplc="1E6C932A">
      <w:start w:val="1"/>
      <w:numFmt w:val="bullet"/>
      <w:lvlText w:val="-"/>
      <w:lvlJc w:val="left"/>
      <w:pPr>
        <w:ind w:left="1077" w:hanging="360"/>
      </w:pPr>
      <w:rPr>
        <w:rFonts w:ascii="Times New Roman" w:hAnsi="Times New Roman"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55777CB"/>
    <w:multiLevelType w:val="hybridMultilevel"/>
    <w:tmpl w:val="F618AE64"/>
    <w:lvl w:ilvl="0" w:tplc="657CD0AC">
      <w:start w:val="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1" w15:restartNumberingAfterBreak="0">
    <w:nsid w:val="6DEE16C1"/>
    <w:multiLevelType w:val="hybridMultilevel"/>
    <w:tmpl w:val="37423946"/>
    <w:lvl w:ilvl="0" w:tplc="657CD0AC">
      <w:start w:val="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ED499D"/>
    <w:multiLevelType w:val="hybridMultilevel"/>
    <w:tmpl w:val="8E70F3A4"/>
    <w:lvl w:ilvl="0" w:tplc="657CD0AC">
      <w:start w:val="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4D033C"/>
    <w:multiLevelType w:val="multilevel"/>
    <w:tmpl w:val="2416EAE8"/>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2"/>
  </w:num>
  <w:num w:numId="5">
    <w:abstractNumId w:val="33"/>
  </w:num>
  <w:num w:numId="6">
    <w:abstractNumId w:val="9"/>
  </w:num>
  <w:num w:numId="7">
    <w:abstractNumId w:val="19"/>
  </w:num>
  <w:num w:numId="8">
    <w:abstractNumId w:val="4"/>
  </w:num>
  <w:num w:numId="9">
    <w:abstractNumId w:val="18"/>
  </w:num>
  <w:num w:numId="10">
    <w:abstractNumId w:val="17"/>
  </w:num>
  <w:num w:numId="11">
    <w:abstractNumId w:val="15"/>
  </w:num>
  <w:num w:numId="12">
    <w:abstractNumId w:val="1"/>
  </w:num>
  <w:num w:numId="13">
    <w:abstractNumId w:val="0"/>
  </w:num>
  <w:num w:numId="14">
    <w:abstractNumId w:val="33"/>
  </w:num>
  <w:num w:numId="15">
    <w:abstractNumId w:val="33"/>
  </w:num>
  <w:num w:numId="16">
    <w:abstractNumId w:val="33"/>
  </w:num>
  <w:num w:numId="17">
    <w:abstractNumId w:val="27"/>
  </w:num>
  <w:num w:numId="18">
    <w:abstractNumId w:val="24"/>
  </w:num>
  <w:num w:numId="19">
    <w:abstractNumId w:val="6"/>
  </w:num>
  <w:num w:numId="20">
    <w:abstractNumId w:val="26"/>
  </w:num>
  <w:num w:numId="21">
    <w:abstractNumId w:val="30"/>
  </w:num>
  <w:num w:numId="22">
    <w:abstractNumId w:val="29"/>
  </w:num>
  <w:num w:numId="23">
    <w:abstractNumId w:val="32"/>
  </w:num>
  <w:num w:numId="24">
    <w:abstractNumId w:val="31"/>
  </w:num>
  <w:num w:numId="25">
    <w:abstractNumId w:val="8"/>
  </w:num>
  <w:num w:numId="26">
    <w:abstractNumId w:val="23"/>
  </w:num>
  <w:num w:numId="27">
    <w:abstractNumId w:val="28"/>
  </w:num>
  <w:num w:numId="28">
    <w:abstractNumId w:val="13"/>
  </w:num>
  <w:num w:numId="29">
    <w:abstractNumId w:val="14"/>
  </w:num>
  <w:num w:numId="30">
    <w:abstractNumId w:val="21"/>
  </w:num>
  <w:num w:numId="31">
    <w:abstractNumId w:val="25"/>
  </w:num>
  <w:num w:numId="32">
    <w:abstractNumId w:val="5"/>
  </w:num>
  <w:num w:numId="33">
    <w:abstractNumId w:val="2"/>
  </w:num>
  <w:num w:numId="34">
    <w:abstractNumId w:val="12"/>
  </w:num>
  <w:num w:numId="35">
    <w:abstractNumId w:val="16"/>
  </w:num>
  <w:num w:numId="36">
    <w:abstractNumId w:val="11"/>
  </w:num>
  <w:num w:numId="3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07C3"/>
    <w:rsid w:val="00012979"/>
    <w:rsid w:val="00014E1B"/>
    <w:rsid w:val="0002464A"/>
    <w:rsid w:val="0003106B"/>
    <w:rsid w:val="0003299A"/>
    <w:rsid w:val="00034905"/>
    <w:rsid w:val="00040804"/>
    <w:rsid w:val="000421A1"/>
    <w:rsid w:val="0004240E"/>
    <w:rsid w:val="00045E26"/>
    <w:rsid w:val="00050E6F"/>
    <w:rsid w:val="000514B5"/>
    <w:rsid w:val="000541C8"/>
    <w:rsid w:val="00060E64"/>
    <w:rsid w:val="00066755"/>
    <w:rsid w:val="0006759F"/>
    <w:rsid w:val="000763D5"/>
    <w:rsid w:val="00077143"/>
    <w:rsid w:val="00082169"/>
    <w:rsid w:val="0008337B"/>
    <w:rsid w:val="000969AD"/>
    <w:rsid w:val="000A3C9F"/>
    <w:rsid w:val="000A44B2"/>
    <w:rsid w:val="000B558D"/>
    <w:rsid w:val="000C6996"/>
    <w:rsid w:val="000D23BA"/>
    <w:rsid w:val="000E681E"/>
    <w:rsid w:val="000F0003"/>
    <w:rsid w:val="000F17B4"/>
    <w:rsid w:val="000F29CF"/>
    <w:rsid w:val="000F3384"/>
    <w:rsid w:val="000F4E6A"/>
    <w:rsid w:val="000F7354"/>
    <w:rsid w:val="00104227"/>
    <w:rsid w:val="001107BF"/>
    <w:rsid w:val="00122D48"/>
    <w:rsid w:val="0012417C"/>
    <w:rsid w:val="0012657E"/>
    <w:rsid w:val="001326EE"/>
    <w:rsid w:val="00142395"/>
    <w:rsid w:val="00142714"/>
    <w:rsid w:val="001452ED"/>
    <w:rsid w:val="00145877"/>
    <w:rsid w:val="00160651"/>
    <w:rsid w:val="001625A1"/>
    <w:rsid w:val="00162D4E"/>
    <w:rsid w:val="00163329"/>
    <w:rsid w:val="00164623"/>
    <w:rsid w:val="0016471B"/>
    <w:rsid w:val="00165B64"/>
    <w:rsid w:val="00167C8F"/>
    <w:rsid w:val="001733B1"/>
    <w:rsid w:val="00173657"/>
    <w:rsid w:val="00180713"/>
    <w:rsid w:val="001830CE"/>
    <w:rsid w:val="0018643B"/>
    <w:rsid w:val="00196307"/>
    <w:rsid w:val="001A1649"/>
    <w:rsid w:val="001A33EA"/>
    <w:rsid w:val="001B017F"/>
    <w:rsid w:val="001B2BBC"/>
    <w:rsid w:val="001B5129"/>
    <w:rsid w:val="001C0B4C"/>
    <w:rsid w:val="001C1195"/>
    <w:rsid w:val="001E19DD"/>
    <w:rsid w:val="001E445F"/>
    <w:rsid w:val="001F1850"/>
    <w:rsid w:val="001F6220"/>
    <w:rsid w:val="001F6381"/>
    <w:rsid w:val="001F68B9"/>
    <w:rsid w:val="002010A5"/>
    <w:rsid w:val="00203FAC"/>
    <w:rsid w:val="00213CFB"/>
    <w:rsid w:val="0021553C"/>
    <w:rsid w:val="0021557B"/>
    <w:rsid w:val="00217BE1"/>
    <w:rsid w:val="00221A73"/>
    <w:rsid w:val="0022543A"/>
    <w:rsid w:val="0023449E"/>
    <w:rsid w:val="0025257D"/>
    <w:rsid w:val="00253499"/>
    <w:rsid w:val="00271BA1"/>
    <w:rsid w:val="002762FA"/>
    <w:rsid w:val="00277505"/>
    <w:rsid w:val="002903EC"/>
    <w:rsid w:val="0029458F"/>
    <w:rsid w:val="002A104C"/>
    <w:rsid w:val="002A2928"/>
    <w:rsid w:val="002A3904"/>
    <w:rsid w:val="002A4960"/>
    <w:rsid w:val="002A57E7"/>
    <w:rsid w:val="002B1AE6"/>
    <w:rsid w:val="002B2A66"/>
    <w:rsid w:val="002B2DE8"/>
    <w:rsid w:val="002B30F8"/>
    <w:rsid w:val="002B5596"/>
    <w:rsid w:val="002B7F4D"/>
    <w:rsid w:val="002C212F"/>
    <w:rsid w:val="002C4A62"/>
    <w:rsid w:val="002D1714"/>
    <w:rsid w:val="002D4543"/>
    <w:rsid w:val="002E3153"/>
    <w:rsid w:val="002E5AB4"/>
    <w:rsid w:val="002E72CA"/>
    <w:rsid w:val="002E7CDE"/>
    <w:rsid w:val="002F600D"/>
    <w:rsid w:val="00300AD6"/>
    <w:rsid w:val="00315FD1"/>
    <w:rsid w:val="00317C6C"/>
    <w:rsid w:val="00326274"/>
    <w:rsid w:val="00326E79"/>
    <w:rsid w:val="003301B1"/>
    <w:rsid w:val="0033263D"/>
    <w:rsid w:val="00332BEE"/>
    <w:rsid w:val="00332D64"/>
    <w:rsid w:val="0033518A"/>
    <w:rsid w:val="003367EF"/>
    <w:rsid w:val="00341AE4"/>
    <w:rsid w:val="00341FBE"/>
    <w:rsid w:val="0035180B"/>
    <w:rsid w:val="003554FB"/>
    <w:rsid w:val="003563FD"/>
    <w:rsid w:val="0035714D"/>
    <w:rsid w:val="00384988"/>
    <w:rsid w:val="003872CF"/>
    <w:rsid w:val="00391BD5"/>
    <w:rsid w:val="00396B86"/>
    <w:rsid w:val="0039782C"/>
    <w:rsid w:val="003A1347"/>
    <w:rsid w:val="003A5B4A"/>
    <w:rsid w:val="003B23C5"/>
    <w:rsid w:val="003B2A75"/>
    <w:rsid w:val="003B6124"/>
    <w:rsid w:val="003C1ECF"/>
    <w:rsid w:val="003C2FB5"/>
    <w:rsid w:val="003C39E0"/>
    <w:rsid w:val="003D077F"/>
    <w:rsid w:val="003D3936"/>
    <w:rsid w:val="003D4AC4"/>
    <w:rsid w:val="003D63B7"/>
    <w:rsid w:val="003E468B"/>
    <w:rsid w:val="003F3228"/>
    <w:rsid w:val="003F5C8C"/>
    <w:rsid w:val="00404B94"/>
    <w:rsid w:val="00405F24"/>
    <w:rsid w:val="00421B97"/>
    <w:rsid w:val="00424E56"/>
    <w:rsid w:val="004252EC"/>
    <w:rsid w:val="00430D39"/>
    <w:rsid w:val="00434DCA"/>
    <w:rsid w:val="0044386C"/>
    <w:rsid w:val="004465BD"/>
    <w:rsid w:val="00446EDA"/>
    <w:rsid w:val="004565E6"/>
    <w:rsid w:val="0045661C"/>
    <w:rsid w:val="004579C8"/>
    <w:rsid w:val="004662F5"/>
    <w:rsid w:val="00466ADA"/>
    <w:rsid w:val="004716B0"/>
    <w:rsid w:val="00471DCD"/>
    <w:rsid w:val="0047298D"/>
    <w:rsid w:val="00473262"/>
    <w:rsid w:val="0047494B"/>
    <w:rsid w:val="00475BAB"/>
    <w:rsid w:val="00476245"/>
    <w:rsid w:val="00483035"/>
    <w:rsid w:val="00485940"/>
    <w:rsid w:val="00487DF5"/>
    <w:rsid w:val="004A2484"/>
    <w:rsid w:val="004A5A85"/>
    <w:rsid w:val="004A71D1"/>
    <w:rsid w:val="004B5640"/>
    <w:rsid w:val="004C1BD7"/>
    <w:rsid w:val="004C31FE"/>
    <w:rsid w:val="004C691D"/>
    <w:rsid w:val="004C6C07"/>
    <w:rsid w:val="004D0369"/>
    <w:rsid w:val="004D26BB"/>
    <w:rsid w:val="004E0139"/>
    <w:rsid w:val="004E1D6D"/>
    <w:rsid w:val="004E692D"/>
    <w:rsid w:val="004E74DD"/>
    <w:rsid w:val="004F65BD"/>
    <w:rsid w:val="00501554"/>
    <w:rsid w:val="00504E0C"/>
    <w:rsid w:val="00513283"/>
    <w:rsid w:val="00514CD7"/>
    <w:rsid w:val="005165CB"/>
    <w:rsid w:val="00522DB6"/>
    <w:rsid w:val="0052479A"/>
    <w:rsid w:val="005319B2"/>
    <w:rsid w:val="00532402"/>
    <w:rsid w:val="00532C74"/>
    <w:rsid w:val="00534E2E"/>
    <w:rsid w:val="005430AC"/>
    <w:rsid w:val="00544552"/>
    <w:rsid w:val="005475C9"/>
    <w:rsid w:val="00554B01"/>
    <w:rsid w:val="0057602C"/>
    <w:rsid w:val="00577C4D"/>
    <w:rsid w:val="00581932"/>
    <w:rsid w:val="00586C4E"/>
    <w:rsid w:val="005963BB"/>
    <w:rsid w:val="005A0994"/>
    <w:rsid w:val="005A3173"/>
    <w:rsid w:val="005A3223"/>
    <w:rsid w:val="005A3BC4"/>
    <w:rsid w:val="005A3DA3"/>
    <w:rsid w:val="005A52C4"/>
    <w:rsid w:val="005D03AB"/>
    <w:rsid w:val="005D5017"/>
    <w:rsid w:val="005E1333"/>
    <w:rsid w:val="005F4932"/>
    <w:rsid w:val="00601A91"/>
    <w:rsid w:val="00602BA3"/>
    <w:rsid w:val="00605B63"/>
    <w:rsid w:val="00606EED"/>
    <w:rsid w:val="00612E34"/>
    <w:rsid w:val="00614159"/>
    <w:rsid w:val="0061651C"/>
    <w:rsid w:val="00617C00"/>
    <w:rsid w:val="006263BF"/>
    <w:rsid w:val="0062748A"/>
    <w:rsid w:val="00630A2C"/>
    <w:rsid w:val="0063682E"/>
    <w:rsid w:val="006436CD"/>
    <w:rsid w:val="00651169"/>
    <w:rsid w:val="00653D69"/>
    <w:rsid w:val="006552E6"/>
    <w:rsid w:val="006670BE"/>
    <w:rsid w:val="00670A76"/>
    <w:rsid w:val="006711AA"/>
    <w:rsid w:val="00672B57"/>
    <w:rsid w:val="006735E6"/>
    <w:rsid w:val="00675622"/>
    <w:rsid w:val="0067747D"/>
    <w:rsid w:val="00677E72"/>
    <w:rsid w:val="00680DF2"/>
    <w:rsid w:val="0069039D"/>
    <w:rsid w:val="006906DB"/>
    <w:rsid w:val="00691887"/>
    <w:rsid w:val="00691E6C"/>
    <w:rsid w:val="00694B33"/>
    <w:rsid w:val="0069501D"/>
    <w:rsid w:val="00696129"/>
    <w:rsid w:val="006961CD"/>
    <w:rsid w:val="00697CF2"/>
    <w:rsid w:val="006A12A5"/>
    <w:rsid w:val="006A1D66"/>
    <w:rsid w:val="006A4D08"/>
    <w:rsid w:val="006B0D94"/>
    <w:rsid w:val="006B1733"/>
    <w:rsid w:val="006B40C1"/>
    <w:rsid w:val="006B485D"/>
    <w:rsid w:val="006B49E6"/>
    <w:rsid w:val="006C708E"/>
    <w:rsid w:val="006D14E7"/>
    <w:rsid w:val="006D6493"/>
    <w:rsid w:val="006D6EC7"/>
    <w:rsid w:val="006E1BCD"/>
    <w:rsid w:val="006E6553"/>
    <w:rsid w:val="006F5125"/>
    <w:rsid w:val="00702B6F"/>
    <w:rsid w:val="00706A2F"/>
    <w:rsid w:val="00706C68"/>
    <w:rsid w:val="0070718E"/>
    <w:rsid w:val="0071340B"/>
    <w:rsid w:val="00713DC9"/>
    <w:rsid w:val="00715204"/>
    <w:rsid w:val="00716C82"/>
    <w:rsid w:val="007174BB"/>
    <w:rsid w:val="0072025D"/>
    <w:rsid w:val="007353D3"/>
    <w:rsid w:val="00754AFF"/>
    <w:rsid w:val="0076420C"/>
    <w:rsid w:val="00764B2D"/>
    <w:rsid w:val="00774E2C"/>
    <w:rsid w:val="007753C2"/>
    <w:rsid w:val="00775530"/>
    <w:rsid w:val="007838B8"/>
    <w:rsid w:val="007974E2"/>
    <w:rsid w:val="007A5A8D"/>
    <w:rsid w:val="007A5D57"/>
    <w:rsid w:val="007C0F57"/>
    <w:rsid w:val="007C40B6"/>
    <w:rsid w:val="007C729F"/>
    <w:rsid w:val="007E1D28"/>
    <w:rsid w:val="007F2641"/>
    <w:rsid w:val="007F7C36"/>
    <w:rsid w:val="00806796"/>
    <w:rsid w:val="0080693C"/>
    <w:rsid w:val="008151D6"/>
    <w:rsid w:val="00815B20"/>
    <w:rsid w:val="008208BC"/>
    <w:rsid w:val="008268BB"/>
    <w:rsid w:val="00826F6D"/>
    <w:rsid w:val="008306F3"/>
    <w:rsid w:val="00830E40"/>
    <w:rsid w:val="00835040"/>
    <w:rsid w:val="008350D5"/>
    <w:rsid w:val="008434E6"/>
    <w:rsid w:val="008532E6"/>
    <w:rsid w:val="00856DDD"/>
    <w:rsid w:val="00863D32"/>
    <w:rsid w:val="00863E68"/>
    <w:rsid w:val="008727AD"/>
    <w:rsid w:val="00872F36"/>
    <w:rsid w:val="00882085"/>
    <w:rsid w:val="00883188"/>
    <w:rsid w:val="00893450"/>
    <w:rsid w:val="0089468E"/>
    <w:rsid w:val="00897D58"/>
    <w:rsid w:val="00897F22"/>
    <w:rsid w:val="008A1956"/>
    <w:rsid w:val="008A3556"/>
    <w:rsid w:val="008A45D1"/>
    <w:rsid w:val="008A4937"/>
    <w:rsid w:val="008A4E63"/>
    <w:rsid w:val="008A50F1"/>
    <w:rsid w:val="008D11BD"/>
    <w:rsid w:val="008D1B5C"/>
    <w:rsid w:val="008D3B44"/>
    <w:rsid w:val="008D3C82"/>
    <w:rsid w:val="008D447E"/>
    <w:rsid w:val="008D6309"/>
    <w:rsid w:val="008D7A41"/>
    <w:rsid w:val="008E2C72"/>
    <w:rsid w:val="008E3680"/>
    <w:rsid w:val="008E5870"/>
    <w:rsid w:val="008E79DE"/>
    <w:rsid w:val="008F1434"/>
    <w:rsid w:val="008F3C58"/>
    <w:rsid w:val="008F7355"/>
    <w:rsid w:val="009041C8"/>
    <w:rsid w:val="009067B7"/>
    <w:rsid w:val="0091173B"/>
    <w:rsid w:val="00925543"/>
    <w:rsid w:val="009278BC"/>
    <w:rsid w:val="00930937"/>
    <w:rsid w:val="00933C73"/>
    <w:rsid w:val="00933E6C"/>
    <w:rsid w:val="00937957"/>
    <w:rsid w:val="00937958"/>
    <w:rsid w:val="00941602"/>
    <w:rsid w:val="00942160"/>
    <w:rsid w:val="0095146F"/>
    <w:rsid w:val="009602C5"/>
    <w:rsid w:val="00962223"/>
    <w:rsid w:val="00966D0D"/>
    <w:rsid w:val="00974C21"/>
    <w:rsid w:val="00976960"/>
    <w:rsid w:val="00977C66"/>
    <w:rsid w:val="00986190"/>
    <w:rsid w:val="009A61CA"/>
    <w:rsid w:val="009B0F67"/>
    <w:rsid w:val="009C0196"/>
    <w:rsid w:val="009C3F0B"/>
    <w:rsid w:val="009C3FAC"/>
    <w:rsid w:val="009C703C"/>
    <w:rsid w:val="009D135B"/>
    <w:rsid w:val="009D3CAA"/>
    <w:rsid w:val="009D417B"/>
    <w:rsid w:val="009D6BF9"/>
    <w:rsid w:val="009E3F4F"/>
    <w:rsid w:val="009E40E1"/>
    <w:rsid w:val="009F0EFA"/>
    <w:rsid w:val="009F27B1"/>
    <w:rsid w:val="009F3ADC"/>
    <w:rsid w:val="009F4737"/>
    <w:rsid w:val="009F4E46"/>
    <w:rsid w:val="009F5B65"/>
    <w:rsid w:val="009F5F2E"/>
    <w:rsid w:val="009F781C"/>
    <w:rsid w:val="00A00CE6"/>
    <w:rsid w:val="00A06225"/>
    <w:rsid w:val="00A10F8E"/>
    <w:rsid w:val="00A128E6"/>
    <w:rsid w:val="00A30D6D"/>
    <w:rsid w:val="00A316CB"/>
    <w:rsid w:val="00A34E6C"/>
    <w:rsid w:val="00A35BC1"/>
    <w:rsid w:val="00A3654B"/>
    <w:rsid w:val="00A37C8D"/>
    <w:rsid w:val="00A41288"/>
    <w:rsid w:val="00A41A67"/>
    <w:rsid w:val="00A44335"/>
    <w:rsid w:val="00A5273B"/>
    <w:rsid w:val="00A53A9D"/>
    <w:rsid w:val="00A55FEE"/>
    <w:rsid w:val="00A62C1A"/>
    <w:rsid w:val="00A6394B"/>
    <w:rsid w:val="00A6426D"/>
    <w:rsid w:val="00A665C1"/>
    <w:rsid w:val="00A70622"/>
    <w:rsid w:val="00A70944"/>
    <w:rsid w:val="00A70977"/>
    <w:rsid w:val="00A744F9"/>
    <w:rsid w:val="00A77613"/>
    <w:rsid w:val="00A8390C"/>
    <w:rsid w:val="00A8466F"/>
    <w:rsid w:val="00A905A0"/>
    <w:rsid w:val="00A90BF9"/>
    <w:rsid w:val="00A92441"/>
    <w:rsid w:val="00A928BD"/>
    <w:rsid w:val="00A9743B"/>
    <w:rsid w:val="00AA017C"/>
    <w:rsid w:val="00AA09D8"/>
    <w:rsid w:val="00AA12CD"/>
    <w:rsid w:val="00AA4D1C"/>
    <w:rsid w:val="00AC193C"/>
    <w:rsid w:val="00AC2DE0"/>
    <w:rsid w:val="00AC5206"/>
    <w:rsid w:val="00AC7866"/>
    <w:rsid w:val="00AD3C56"/>
    <w:rsid w:val="00AD4322"/>
    <w:rsid w:val="00AE11A5"/>
    <w:rsid w:val="00AE13E2"/>
    <w:rsid w:val="00AE22D3"/>
    <w:rsid w:val="00AE582C"/>
    <w:rsid w:val="00AF62DF"/>
    <w:rsid w:val="00AF68CC"/>
    <w:rsid w:val="00B1059E"/>
    <w:rsid w:val="00B162BB"/>
    <w:rsid w:val="00B176C8"/>
    <w:rsid w:val="00B205AA"/>
    <w:rsid w:val="00B22E84"/>
    <w:rsid w:val="00B233AD"/>
    <w:rsid w:val="00B23AB9"/>
    <w:rsid w:val="00B25F75"/>
    <w:rsid w:val="00B269D8"/>
    <w:rsid w:val="00B26B3F"/>
    <w:rsid w:val="00B2778F"/>
    <w:rsid w:val="00B33635"/>
    <w:rsid w:val="00B36180"/>
    <w:rsid w:val="00B43E90"/>
    <w:rsid w:val="00B467DC"/>
    <w:rsid w:val="00B56118"/>
    <w:rsid w:val="00B603D2"/>
    <w:rsid w:val="00B615F0"/>
    <w:rsid w:val="00B6773F"/>
    <w:rsid w:val="00B733BB"/>
    <w:rsid w:val="00B801BA"/>
    <w:rsid w:val="00B80450"/>
    <w:rsid w:val="00B84D5C"/>
    <w:rsid w:val="00BB69F5"/>
    <w:rsid w:val="00BB7EC3"/>
    <w:rsid w:val="00BC2091"/>
    <w:rsid w:val="00BC4B9A"/>
    <w:rsid w:val="00BD4D42"/>
    <w:rsid w:val="00BD784C"/>
    <w:rsid w:val="00BE0FE8"/>
    <w:rsid w:val="00BE6E61"/>
    <w:rsid w:val="00BF4CB6"/>
    <w:rsid w:val="00C00DA7"/>
    <w:rsid w:val="00C12768"/>
    <w:rsid w:val="00C27B58"/>
    <w:rsid w:val="00C35996"/>
    <w:rsid w:val="00C35F8B"/>
    <w:rsid w:val="00C36ACC"/>
    <w:rsid w:val="00C446B3"/>
    <w:rsid w:val="00C45FB6"/>
    <w:rsid w:val="00C4747E"/>
    <w:rsid w:val="00C5342C"/>
    <w:rsid w:val="00C60272"/>
    <w:rsid w:val="00C603D4"/>
    <w:rsid w:val="00C6256A"/>
    <w:rsid w:val="00C66031"/>
    <w:rsid w:val="00C71C3F"/>
    <w:rsid w:val="00C76DAF"/>
    <w:rsid w:val="00C77891"/>
    <w:rsid w:val="00C80128"/>
    <w:rsid w:val="00C91449"/>
    <w:rsid w:val="00C92D10"/>
    <w:rsid w:val="00CA484D"/>
    <w:rsid w:val="00CA7173"/>
    <w:rsid w:val="00CB1193"/>
    <w:rsid w:val="00CB4479"/>
    <w:rsid w:val="00CC48A6"/>
    <w:rsid w:val="00CC74B5"/>
    <w:rsid w:val="00CD4A73"/>
    <w:rsid w:val="00CD656D"/>
    <w:rsid w:val="00CE10C4"/>
    <w:rsid w:val="00CE27B5"/>
    <w:rsid w:val="00CE3439"/>
    <w:rsid w:val="00CE5831"/>
    <w:rsid w:val="00CE7EC2"/>
    <w:rsid w:val="00D0321E"/>
    <w:rsid w:val="00D1455A"/>
    <w:rsid w:val="00D2069B"/>
    <w:rsid w:val="00D25015"/>
    <w:rsid w:val="00D26424"/>
    <w:rsid w:val="00D31150"/>
    <w:rsid w:val="00D3138B"/>
    <w:rsid w:val="00D3280C"/>
    <w:rsid w:val="00D3406A"/>
    <w:rsid w:val="00D4572C"/>
    <w:rsid w:val="00D469B2"/>
    <w:rsid w:val="00D477D8"/>
    <w:rsid w:val="00D623D7"/>
    <w:rsid w:val="00D6394E"/>
    <w:rsid w:val="00D741EB"/>
    <w:rsid w:val="00D819F7"/>
    <w:rsid w:val="00D820F3"/>
    <w:rsid w:val="00D83605"/>
    <w:rsid w:val="00D84934"/>
    <w:rsid w:val="00D91271"/>
    <w:rsid w:val="00D919F5"/>
    <w:rsid w:val="00D94F03"/>
    <w:rsid w:val="00DA2CB5"/>
    <w:rsid w:val="00DA39D8"/>
    <w:rsid w:val="00DA3B36"/>
    <w:rsid w:val="00DA4BAC"/>
    <w:rsid w:val="00DB0151"/>
    <w:rsid w:val="00DB4566"/>
    <w:rsid w:val="00DE142C"/>
    <w:rsid w:val="00DE6D27"/>
    <w:rsid w:val="00DF217D"/>
    <w:rsid w:val="00DF26A7"/>
    <w:rsid w:val="00E00923"/>
    <w:rsid w:val="00E04D82"/>
    <w:rsid w:val="00E15627"/>
    <w:rsid w:val="00E164B3"/>
    <w:rsid w:val="00E16910"/>
    <w:rsid w:val="00E17672"/>
    <w:rsid w:val="00E27234"/>
    <w:rsid w:val="00E42BDB"/>
    <w:rsid w:val="00E52FB7"/>
    <w:rsid w:val="00E57EEB"/>
    <w:rsid w:val="00E62D94"/>
    <w:rsid w:val="00E63B54"/>
    <w:rsid w:val="00E65E54"/>
    <w:rsid w:val="00E663E9"/>
    <w:rsid w:val="00E7296F"/>
    <w:rsid w:val="00E77B1A"/>
    <w:rsid w:val="00E80155"/>
    <w:rsid w:val="00E8168E"/>
    <w:rsid w:val="00E81F28"/>
    <w:rsid w:val="00E83317"/>
    <w:rsid w:val="00E848C0"/>
    <w:rsid w:val="00E86437"/>
    <w:rsid w:val="00E91B96"/>
    <w:rsid w:val="00E92871"/>
    <w:rsid w:val="00E941A1"/>
    <w:rsid w:val="00E94CD7"/>
    <w:rsid w:val="00E95CE3"/>
    <w:rsid w:val="00EA0C46"/>
    <w:rsid w:val="00EA2825"/>
    <w:rsid w:val="00EB0B63"/>
    <w:rsid w:val="00EB118A"/>
    <w:rsid w:val="00EB1936"/>
    <w:rsid w:val="00EB3317"/>
    <w:rsid w:val="00EB5088"/>
    <w:rsid w:val="00EC14E1"/>
    <w:rsid w:val="00ED1644"/>
    <w:rsid w:val="00ED2593"/>
    <w:rsid w:val="00ED7D9C"/>
    <w:rsid w:val="00EF0069"/>
    <w:rsid w:val="00EF44A0"/>
    <w:rsid w:val="00EF4FED"/>
    <w:rsid w:val="00F0172E"/>
    <w:rsid w:val="00F050BD"/>
    <w:rsid w:val="00F05657"/>
    <w:rsid w:val="00F1056D"/>
    <w:rsid w:val="00F14C2E"/>
    <w:rsid w:val="00F21BE2"/>
    <w:rsid w:val="00F23592"/>
    <w:rsid w:val="00F25578"/>
    <w:rsid w:val="00F258E5"/>
    <w:rsid w:val="00F300BC"/>
    <w:rsid w:val="00F30871"/>
    <w:rsid w:val="00F30F93"/>
    <w:rsid w:val="00F3334E"/>
    <w:rsid w:val="00F36CCB"/>
    <w:rsid w:val="00F374E5"/>
    <w:rsid w:val="00F43AF2"/>
    <w:rsid w:val="00F5007E"/>
    <w:rsid w:val="00F50EC4"/>
    <w:rsid w:val="00F52232"/>
    <w:rsid w:val="00F527AC"/>
    <w:rsid w:val="00F5313B"/>
    <w:rsid w:val="00F537C0"/>
    <w:rsid w:val="00F550CF"/>
    <w:rsid w:val="00F57A6D"/>
    <w:rsid w:val="00F57BED"/>
    <w:rsid w:val="00F60BA9"/>
    <w:rsid w:val="00F62BCB"/>
    <w:rsid w:val="00F638CC"/>
    <w:rsid w:val="00F64CC1"/>
    <w:rsid w:val="00F706B4"/>
    <w:rsid w:val="00F71DCD"/>
    <w:rsid w:val="00F72317"/>
    <w:rsid w:val="00F80475"/>
    <w:rsid w:val="00F8247A"/>
    <w:rsid w:val="00F845C5"/>
    <w:rsid w:val="00F94701"/>
    <w:rsid w:val="00F9629A"/>
    <w:rsid w:val="00F9774C"/>
    <w:rsid w:val="00F97EFC"/>
    <w:rsid w:val="00FA4DD5"/>
    <w:rsid w:val="00FA5883"/>
    <w:rsid w:val="00FA6055"/>
    <w:rsid w:val="00FA622A"/>
    <w:rsid w:val="00FB322F"/>
    <w:rsid w:val="00FB442F"/>
    <w:rsid w:val="00FC1929"/>
    <w:rsid w:val="00FC3647"/>
    <w:rsid w:val="00FC5B46"/>
    <w:rsid w:val="00FD0A3C"/>
    <w:rsid w:val="00FD6D8E"/>
    <w:rsid w:val="00FE0E94"/>
    <w:rsid w:val="00FE793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88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table" w:customStyle="1" w:styleId="Submissionstandard">
    <w:name w:val="Submission standard"/>
    <w:basedOn w:val="TableNormal"/>
    <w:uiPriority w:val="99"/>
    <w:qFormat/>
    <w:rsid w:val="001F6381"/>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1F6381"/>
    <w:rPr>
      <w:rFonts w:ascii="Calibri" w:eastAsiaTheme="majorEastAsia" w:hAnsi="Calibri" w:cstheme="majorBidi"/>
      <w:sz w:val="18"/>
      <w:szCs w:val="22"/>
      <w:lang w:eastAsia="en-US" w:bidi="en-US"/>
    </w:rPr>
  </w:style>
  <w:style w:type="character" w:customStyle="1" w:styleId="TableLeftChar">
    <w:name w:val="Table Left Char"/>
    <w:basedOn w:val="DefaultParagraphFont"/>
    <w:link w:val="TableLeft"/>
    <w:uiPriority w:val="99"/>
    <w:locked/>
    <w:rsid w:val="001F6381"/>
    <w:rPr>
      <w:rFonts w:ascii="Calibri" w:eastAsiaTheme="majorEastAsia" w:hAnsi="Calibri" w:cstheme="majorBidi"/>
      <w:sz w:val="18"/>
      <w:szCs w:val="22"/>
      <w:lang w:eastAsia="en-US" w:bidi="en-US"/>
    </w:rPr>
  </w:style>
  <w:style w:type="paragraph" w:styleId="Revision">
    <w:name w:val="Revision"/>
    <w:hidden/>
    <w:uiPriority w:val="71"/>
    <w:semiHidden/>
    <w:rsid w:val="00201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4C51-3315-4096-A477-E4C8F208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3306</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2020-06-12T03:36:00Z</dcterms:created>
  <dcterms:modified xsi:type="dcterms:W3CDTF">2020-06-19T05:44:00Z</dcterms:modified>
</cp:coreProperties>
</file>