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3D6709" w:rsidRDefault="00FC109B" w:rsidP="004A6040">
      <w:pPr>
        <w:pStyle w:val="1-MainHeading"/>
      </w:pPr>
      <w:bookmarkStart w:id="0" w:name="_Toc30588510"/>
      <w:r w:rsidRPr="003D6709">
        <w:t>5.01</w:t>
      </w:r>
      <w:r w:rsidR="00163F66" w:rsidRPr="003D6709">
        <w:tab/>
      </w:r>
      <w:r w:rsidR="006F5AFD" w:rsidRPr="003D6709">
        <w:t>ACALABRUTINIB</w:t>
      </w:r>
      <w:proofErr w:type="gramStart"/>
      <w:r w:rsidR="00163F66" w:rsidRPr="003D6709">
        <w:t>,</w:t>
      </w:r>
      <w:proofErr w:type="gramEnd"/>
      <w:r w:rsidR="00163F66" w:rsidRPr="003D6709">
        <w:br/>
      </w:r>
      <w:r w:rsidR="006F5AFD" w:rsidRPr="003D6709">
        <w:t>Capsule</w:t>
      </w:r>
      <w:r w:rsidR="00C66BAF" w:rsidRPr="003D6709">
        <w:t xml:space="preserve"> </w:t>
      </w:r>
      <w:r w:rsidR="006F5AFD" w:rsidRPr="003D6709">
        <w:t>100 mg</w:t>
      </w:r>
      <w:r w:rsidR="00163F66" w:rsidRPr="003D6709">
        <w:t>,</w:t>
      </w:r>
      <w:r w:rsidR="00163F66" w:rsidRPr="003D6709">
        <w:br/>
      </w:r>
      <w:r w:rsidR="006F5AFD" w:rsidRPr="003D6709">
        <w:t>Calquence</w:t>
      </w:r>
      <w:r w:rsidR="00B60939" w:rsidRPr="003D6709">
        <w:rPr>
          <w:vertAlign w:val="superscript"/>
        </w:rPr>
        <w:t>®</w:t>
      </w:r>
      <w:r w:rsidR="004A6040" w:rsidRPr="003D6709">
        <w:t>,</w:t>
      </w:r>
      <w:r w:rsidR="004A6040" w:rsidRPr="003D6709">
        <w:br/>
      </w:r>
      <w:r w:rsidR="006F5AFD" w:rsidRPr="003D6709">
        <w:t>AstraZeneca Pty Ltd</w:t>
      </w:r>
      <w:r w:rsidR="00B60939" w:rsidRPr="003D6709">
        <w:t>.</w:t>
      </w:r>
      <w:bookmarkEnd w:id="0"/>
    </w:p>
    <w:p w:rsidR="00B50DB8" w:rsidRPr="003D6709" w:rsidRDefault="00B50DB8" w:rsidP="004A6040">
      <w:pPr>
        <w:pStyle w:val="2-SectionHeading"/>
      </w:pPr>
      <w:bookmarkStart w:id="1" w:name="_Toc30588512"/>
      <w:r w:rsidRPr="003D6709">
        <w:t xml:space="preserve">Purpose of </w:t>
      </w:r>
      <w:r w:rsidR="00CD7193" w:rsidRPr="003D6709">
        <w:t>s</w:t>
      </w:r>
      <w:r w:rsidR="00BB3A45" w:rsidRPr="003D6709">
        <w:t>ubmission</w:t>
      </w:r>
      <w:bookmarkEnd w:id="1"/>
    </w:p>
    <w:p w:rsidR="002C2775" w:rsidRPr="003D6709" w:rsidRDefault="007170DA" w:rsidP="00AA5653">
      <w:pPr>
        <w:pStyle w:val="ExecSumBodyText"/>
      </w:pPr>
      <w:r w:rsidRPr="003D6709">
        <w:t>The submission requested</w:t>
      </w:r>
      <w:r w:rsidR="00AA5653" w:rsidRPr="003D6709">
        <w:t xml:space="preserve"> a</w:t>
      </w:r>
      <w:r w:rsidR="00F0529B" w:rsidRPr="003D6709">
        <w:t xml:space="preserve"> Section 85 (General Schedule),</w:t>
      </w:r>
      <w:r w:rsidR="00AA5653" w:rsidRPr="003D6709">
        <w:t xml:space="preserve"> Authority Required (Telephone</w:t>
      </w:r>
      <w:r w:rsidR="00B17DDD" w:rsidRPr="003D6709">
        <w:t>/</w:t>
      </w:r>
      <w:r w:rsidR="00AA5653" w:rsidRPr="003D6709">
        <w:t xml:space="preserve">Streamlined) listing </w:t>
      </w:r>
      <w:r w:rsidR="00F0529B" w:rsidRPr="003D6709">
        <w:t xml:space="preserve">for </w:t>
      </w:r>
      <w:r w:rsidR="00AA5653" w:rsidRPr="003D6709">
        <w:t xml:space="preserve">acalabrutinib </w:t>
      </w:r>
      <w:r w:rsidR="008B1757" w:rsidRPr="003D6709">
        <w:t xml:space="preserve">for </w:t>
      </w:r>
      <w:r w:rsidR="0050174E" w:rsidRPr="003D6709">
        <w:t xml:space="preserve">the </w:t>
      </w:r>
      <w:r w:rsidR="008B1757" w:rsidRPr="003D6709">
        <w:t xml:space="preserve">treatment of </w:t>
      </w:r>
      <w:r w:rsidR="00AA5653" w:rsidRPr="003D6709">
        <w:t xml:space="preserve">patients with relapsed or refractory </w:t>
      </w:r>
      <w:r w:rsidR="006E3E83" w:rsidRPr="003D6709">
        <w:t xml:space="preserve">(R/R) </w:t>
      </w:r>
      <w:r w:rsidR="00AA5653" w:rsidRPr="003D6709">
        <w:t>chronic lymphocytic leukaemia (CLL)</w:t>
      </w:r>
      <w:r w:rsidR="005A48D5" w:rsidRPr="003D6709">
        <w:t>/small lymphocytic leukaemia (SLL)</w:t>
      </w:r>
      <w:r w:rsidR="00AA5653" w:rsidRPr="003D6709">
        <w:t xml:space="preserve"> </w:t>
      </w:r>
      <w:r w:rsidR="00347C6E" w:rsidRPr="003D6709">
        <w:t>considered</w:t>
      </w:r>
      <w:r w:rsidR="00AA5653" w:rsidRPr="003D6709">
        <w:t xml:space="preserve"> unsuitable for treatment or retreatment with a purine analogue. </w:t>
      </w:r>
    </w:p>
    <w:p w:rsidR="00C2778B" w:rsidRPr="003D6709" w:rsidRDefault="009A2CE1" w:rsidP="004E18E9">
      <w:pPr>
        <w:pStyle w:val="ExecSumBodyText"/>
      </w:pPr>
      <w:r w:rsidRPr="003D6709">
        <w:t>L</w:t>
      </w:r>
      <w:r w:rsidR="00AA5653" w:rsidRPr="003D6709">
        <w:t xml:space="preserve">isting </w:t>
      </w:r>
      <w:r w:rsidR="005750C5" w:rsidRPr="003D6709">
        <w:t xml:space="preserve">was requested on </w:t>
      </w:r>
      <w:r w:rsidRPr="003D6709">
        <w:t xml:space="preserve">the basis of </w:t>
      </w:r>
      <w:r w:rsidR="00AA5653" w:rsidRPr="003D6709">
        <w:t xml:space="preserve">a cost-minimisation </w:t>
      </w:r>
      <w:r w:rsidRPr="003D6709">
        <w:t>analysis versus</w:t>
      </w:r>
      <w:r w:rsidR="00AA5653" w:rsidRPr="003D6709">
        <w:t xml:space="preserve"> ibrutinib. </w:t>
      </w:r>
    </w:p>
    <w:p w:rsidR="008B1757" w:rsidRPr="007633F2" w:rsidRDefault="00E22B89" w:rsidP="007633F2">
      <w:pPr>
        <w:pStyle w:val="TableHeading"/>
      </w:pPr>
      <w:r w:rsidRPr="007633F2">
        <w:t>Table 1</w:t>
      </w:r>
      <w:r w:rsidR="008B1757" w:rsidRPr="007633F2">
        <w:t>:</w:t>
      </w:r>
      <w:r w:rsidR="00BC591F" w:rsidRPr="007633F2">
        <w:t xml:space="preserve"> </w:t>
      </w:r>
      <w:r w:rsidR="008B1757" w:rsidRPr="007633F2">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3D6709" w:rsidTr="007633F2">
        <w:trPr>
          <w:cantSplit/>
          <w:tblHeader/>
        </w:trPr>
        <w:tc>
          <w:tcPr>
            <w:tcW w:w="924" w:type="pct"/>
            <w:shd w:val="clear" w:color="auto" w:fill="auto"/>
          </w:tcPr>
          <w:p w:rsidR="008B1757" w:rsidRPr="003D6709" w:rsidRDefault="008B1757" w:rsidP="004A6040">
            <w:pPr>
              <w:pStyle w:val="Tableheadingrow"/>
              <w:rPr>
                <w:szCs w:val="20"/>
                <w:lang w:val="en-AU"/>
              </w:rPr>
            </w:pPr>
            <w:r w:rsidRPr="003D6709">
              <w:rPr>
                <w:lang w:val="en-AU"/>
              </w:rPr>
              <w:t>Component</w:t>
            </w:r>
          </w:p>
        </w:tc>
        <w:tc>
          <w:tcPr>
            <w:tcW w:w="4076" w:type="pct"/>
            <w:shd w:val="clear" w:color="auto" w:fill="auto"/>
          </w:tcPr>
          <w:p w:rsidR="008B1757" w:rsidRPr="003D6709" w:rsidRDefault="008B1757" w:rsidP="004A6040">
            <w:pPr>
              <w:pStyle w:val="Tableheadingrow"/>
              <w:rPr>
                <w:lang w:val="en-AU"/>
              </w:rPr>
            </w:pPr>
            <w:r w:rsidRPr="003D6709">
              <w:rPr>
                <w:lang w:val="en-AU"/>
              </w:rPr>
              <w:t>Description</w:t>
            </w:r>
          </w:p>
        </w:tc>
      </w:tr>
      <w:tr w:rsidR="00AA5653" w:rsidRPr="003D6709" w:rsidTr="007633F2">
        <w:trPr>
          <w:cantSplit/>
        </w:trPr>
        <w:tc>
          <w:tcPr>
            <w:tcW w:w="924" w:type="pct"/>
            <w:shd w:val="clear" w:color="auto" w:fill="auto"/>
          </w:tcPr>
          <w:p w:rsidR="00AA5653" w:rsidRPr="003D6709" w:rsidRDefault="00AA5653" w:rsidP="00AA5653">
            <w:pPr>
              <w:pStyle w:val="TableText"/>
            </w:pPr>
            <w:r w:rsidRPr="003D6709">
              <w:t>Population</w:t>
            </w:r>
          </w:p>
        </w:tc>
        <w:tc>
          <w:tcPr>
            <w:tcW w:w="4076" w:type="pct"/>
            <w:shd w:val="clear" w:color="auto" w:fill="auto"/>
            <w:vAlign w:val="center"/>
          </w:tcPr>
          <w:p w:rsidR="00AA5653" w:rsidRPr="003D6709" w:rsidRDefault="00AA5653" w:rsidP="00AA5653">
            <w:pPr>
              <w:pStyle w:val="TableText"/>
              <w:rPr>
                <w:szCs w:val="20"/>
              </w:rPr>
            </w:pPr>
            <w:r w:rsidRPr="003D6709">
              <w:t>Patients with relapsed/refractory CLL or SLL considered unsuitable for treatment or retreatment with a purine analogue.</w:t>
            </w:r>
          </w:p>
        </w:tc>
      </w:tr>
      <w:tr w:rsidR="00AA5653" w:rsidRPr="003D6709" w:rsidTr="007633F2">
        <w:trPr>
          <w:cantSplit/>
        </w:trPr>
        <w:tc>
          <w:tcPr>
            <w:tcW w:w="924" w:type="pct"/>
            <w:shd w:val="clear" w:color="auto" w:fill="auto"/>
          </w:tcPr>
          <w:p w:rsidR="00AA5653" w:rsidRPr="003D6709" w:rsidRDefault="00AA5653" w:rsidP="00AA5653">
            <w:pPr>
              <w:pStyle w:val="TableText"/>
            </w:pPr>
            <w:r w:rsidRPr="003D6709">
              <w:t>Intervention</w:t>
            </w:r>
          </w:p>
        </w:tc>
        <w:tc>
          <w:tcPr>
            <w:tcW w:w="4076" w:type="pct"/>
            <w:shd w:val="clear" w:color="auto" w:fill="auto"/>
            <w:vAlign w:val="center"/>
          </w:tcPr>
          <w:p w:rsidR="00AA5653" w:rsidRPr="003D6709" w:rsidRDefault="00AA5653" w:rsidP="00AA5653">
            <w:pPr>
              <w:pStyle w:val="TableText"/>
            </w:pPr>
            <w:r w:rsidRPr="003D6709">
              <w:t>Oral acalabrutinib 100 mg twice daily until disease progression or unacceptable toxicity</w:t>
            </w:r>
            <w:r w:rsidR="005A48D5" w:rsidRPr="003D6709">
              <w:t>.</w:t>
            </w:r>
          </w:p>
        </w:tc>
      </w:tr>
      <w:tr w:rsidR="00AA5653" w:rsidRPr="003D6709" w:rsidTr="007633F2">
        <w:trPr>
          <w:cantSplit/>
        </w:trPr>
        <w:tc>
          <w:tcPr>
            <w:tcW w:w="924" w:type="pct"/>
            <w:shd w:val="clear" w:color="auto" w:fill="auto"/>
          </w:tcPr>
          <w:p w:rsidR="00AA5653" w:rsidRPr="003D6709" w:rsidRDefault="00AA5653" w:rsidP="00AA5653">
            <w:pPr>
              <w:pStyle w:val="TableText"/>
            </w:pPr>
            <w:r w:rsidRPr="003D6709">
              <w:t>Comparator</w:t>
            </w:r>
          </w:p>
        </w:tc>
        <w:tc>
          <w:tcPr>
            <w:tcW w:w="4076" w:type="pct"/>
            <w:shd w:val="clear" w:color="auto" w:fill="auto"/>
            <w:vAlign w:val="center"/>
          </w:tcPr>
          <w:p w:rsidR="005A48D5" w:rsidRPr="003D6709" w:rsidRDefault="00AA5653" w:rsidP="00AD6416">
            <w:pPr>
              <w:pStyle w:val="TableText"/>
              <w:numPr>
                <w:ilvl w:val="0"/>
                <w:numId w:val="8"/>
              </w:numPr>
              <w:ind w:left="62" w:hanging="127"/>
            </w:pPr>
            <w:r w:rsidRPr="003D6709">
              <w:t>Oral ibrutinib 420 mg daily until disease progression or unacceptable toxicity</w:t>
            </w:r>
            <w:r w:rsidR="005A48D5" w:rsidRPr="003D6709">
              <w:t>.</w:t>
            </w:r>
          </w:p>
          <w:p w:rsidR="00AA5653" w:rsidRPr="003D6709" w:rsidRDefault="00AA5653" w:rsidP="00AD6416">
            <w:pPr>
              <w:pStyle w:val="TableText"/>
              <w:numPr>
                <w:ilvl w:val="0"/>
                <w:numId w:val="8"/>
              </w:numPr>
              <w:ind w:left="62" w:hanging="127"/>
            </w:pPr>
            <w:r w:rsidRPr="003D6709">
              <w:t>Oral venetoclax 400 mg daily (following completion of a 5-week dose titration) until disease progress</w:t>
            </w:r>
            <w:r w:rsidR="005A48D5" w:rsidRPr="003D6709">
              <w:t xml:space="preserve">ion, </w:t>
            </w:r>
            <w:r w:rsidRPr="003D6709">
              <w:t>unacceptable toxicity or a maximum of 24-months; intravenous rituximab every 28 days for six cycles.</w:t>
            </w:r>
          </w:p>
        </w:tc>
      </w:tr>
      <w:tr w:rsidR="00AA5653" w:rsidRPr="003D6709" w:rsidTr="007633F2">
        <w:trPr>
          <w:cantSplit/>
        </w:trPr>
        <w:tc>
          <w:tcPr>
            <w:tcW w:w="924" w:type="pct"/>
            <w:shd w:val="clear" w:color="auto" w:fill="auto"/>
          </w:tcPr>
          <w:p w:rsidR="00AA5653" w:rsidRPr="003D6709" w:rsidRDefault="00AA5653" w:rsidP="00AA5653">
            <w:pPr>
              <w:pStyle w:val="TableText"/>
            </w:pPr>
            <w:r w:rsidRPr="003D6709">
              <w:t>Outcomes</w:t>
            </w:r>
          </w:p>
        </w:tc>
        <w:tc>
          <w:tcPr>
            <w:tcW w:w="4076" w:type="pct"/>
            <w:shd w:val="clear" w:color="auto" w:fill="auto"/>
            <w:vAlign w:val="center"/>
          </w:tcPr>
          <w:p w:rsidR="00AA5653" w:rsidRPr="003D6709" w:rsidRDefault="00AA5653" w:rsidP="00AA5653">
            <w:pPr>
              <w:pStyle w:val="TableText"/>
              <w:rPr>
                <w:rFonts w:eastAsia="Times New Roman" w:cs="Arial"/>
                <w:bCs w:val="0"/>
                <w:snapToGrid w:val="0"/>
                <w:color w:val="0066FF"/>
                <w:szCs w:val="20"/>
              </w:rPr>
            </w:pPr>
            <w:r w:rsidRPr="003D6709">
              <w:t>Progression-free survival, overall survival, overall response rate, safety.</w:t>
            </w:r>
          </w:p>
        </w:tc>
      </w:tr>
      <w:tr w:rsidR="00AA5653" w:rsidRPr="003D6709" w:rsidTr="007633F2">
        <w:trPr>
          <w:cantSplit/>
        </w:trPr>
        <w:tc>
          <w:tcPr>
            <w:tcW w:w="924" w:type="pct"/>
            <w:shd w:val="clear" w:color="auto" w:fill="auto"/>
          </w:tcPr>
          <w:p w:rsidR="00AA5653" w:rsidRPr="003D6709" w:rsidRDefault="00AA5653" w:rsidP="00AA5653">
            <w:pPr>
              <w:pStyle w:val="TableText"/>
            </w:pPr>
            <w:r w:rsidRPr="003D6709">
              <w:t>Clinical claim</w:t>
            </w:r>
          </w:p>
        </w:tc>
        <w:tc>
          <w:tcPr>
            <w:tcW w:w="4076" w:type="pct"/>
            <w:shd w:val="clear" w:color="auto" w:fill="auto"/>
            <w:vAlign w:val="center"/>
          </w:tcPr>
          <w:p w:rsidR="005A48D5" w:rsidRPr="003D6709" w:rsidRDefault="00182931" w:rsidP="00AD6416">
            <w:pPr>
              <w:pStyle w:val="TableText"/>
              <w:numPr>
                <w:ilvl w:val="0"/>
                <w:numId w:val="8"/>
              </w:numPr>
              <w:ind w:left="62" w:hanging="127"/>
            </w:pPr>
            <w:r w:rsidRPr="003D6709">
              <w:t>A</w:t>
            </w:r>
            <w:r w:rsidR="00AA5653" w:rsidRPr="003D6709">
              <w:t xml:space="preserve">calabrutinib is non-inferior to ibrutinib for the outcomes of progression-free survival and overall survival, and superior in terms of adverse events. </w:t>
            </w:r>
          </w:p>
          <w:p w:rsidR="00AA5653" w:rsidRPr="003D6709" w:rsidRDefault="00AA5653" w:rsidP="00AD6416">
            <w:pPr>
              <w:pStyle w:val="TableText"/>
              <w:numPr>
                <w:ilvl w:val="0"/>
                <w:numId w:val="8"/>
              </w:numPr>
              <w:ind w:left="62" w:hanging="127"/>
            </w:pPr>
            <w:r w:rsidRPr="003D6709">
              <w:t xml:space="preserve">The submission </w:t>
            </w:r>
            <w:r w:rsidR="00182931" w:rsidRPr="003D6709">
              <w:t>did not include an explicit clinical claim versus venetoclax plus rituximab.</w:t>
            </w:r>
          </w:p>
        </w:tc>
      </w:tr>
    </w:tbl>
    <w:p w:rsidR="00AA5653" w:rsidRPr="003D6709" w:rsidRDefault="00AA5653" w:rsidP="00AA5653">
      <w:pPr>
        <w:pStyle w:val="TableFigureFooter"/>
      </w:pPr>
      <w:r w:rsidRPr="003D6709">
        <w:t>Source: Table 1.1.1, p.7 of the submission.</w:t>
      </w:r>
    </w:p>
    <w:p w:rsidR="00DE61D7" w:rsidRPr="003D6709" w:rsidRDefault="00AA5653" w:rsidP="00E96DA1">
      <w:pPr>
        <w:pStyle w:val="TableFigureFooter"/>
      </w:pPr>
      <w:r w:rsidRPr="003D6709">
        <w:t>Abbreviations: CLL, chronic lymphocytic anaemia; SLL, small lymphocytic lymphoma.</w:t>
      </w:r>
      <w:bookmarkStart w:id="2" w:name="_Toc30588513"/>
    </w:p>
    <w:p w:rsidR="005C25FF" w:rsidRPr="003D6709" w:rsidRDefault="005C25FF" w:rsidP="004A6040">
      <w:pPr>
        <w:pStyle w:val="2-SectionHeading"/>
      </w:pPr>
      <w:r w:rsidRPr="003D6709">
        <w:t>Background</w:t>
      </w:r>
      <w:bookmarkEnd w:id="2"/>
    </w:p>
    <w:p w:rsidR="005C25FF" w:rsidRPr="003D6709" w:rsidRDefault="005C25FF" w:rsidP="004A6040">
      <w:pPr>
        <w:pStyle w:val="3-SubsectionHeading"/>
      </w:pPr>
      <w:bookmarkStart w:id="3" w:name="_Toc22897638"/>
      <w:bookmarkStart w:id="4" w:name="_Toc30588514"/>
      <w:r w:rsidRPr="003D6709">
        <w:t>Registration status</w:t>
      </w:r>
      <w:bookmarkEnd w:id="3"/>
      <w:bookmarkEnd w:id="4"/>
    </w:p>
    <w:p w:rsidR="00C965AA" w:rsidRPr="003D6709" w:rsidRDefault="00C965AA" w:rsidP="00B17DDD">
      <w:pPr>
        <w:pStyle w:val="ExecSumBodyText"/>
      </w:pPr>
      <w:r w:rsidRPr="003D6709">
        <w:t xml:space="preserve">Acalabrutinib was </w:t>
      </w:r>
      <w:r w:rsidR="00B17DDD" w:rsidRPr="003D6709">
        <w:t xml:space="preserve">TGA </w:t>
      </w:r>
      <w:r w:rsidRPr="003D6709">
        <w:t xml:space="preserve">registered on 21 November 2019 for </w:t>
      </w:r>
      <w:r w:rsidR="00B17DDD" w:rsidRPr="003D6709">
        <w:t xml:space="preserve">the treatment of patients with chronic lymphocytic leukaemia (CLL)/small lymphocytic lymphoma (SLL). Acalabrutinib is also indicated for the treatment of patients with mantle cell lymphoma who have received at least one prior therapy. </w:t>
      </w:r>
    </w:p>
    <w:p w:rsidR="00B17DDD" w:rsidRPr="003D6709" w:rsidRDefault="00C965AA" w:rsidP="00AF3C4F">
      <w:pPr>
        <w:pStyle w:val="ExecSumBodyText"/>
        <w:keepLines/>
      </w:pPr>
      <w:r w:rsidRPr="003D6709">
        <w:t xml:space="preserve">The submission stated that a concurrent submission </w:t>
      </w:r>
      <w:r w:rsidR="009A2CE1" w:rsidRPr="003D6709">
        <w:t xml:space="preserve">has been submitted to the April 2020 MSAC meeting </w:t>
      </w:r>
      <w:r w:rsidR="00CD5A4F" w:rsidRPr="003D6709">
        <w:t>requesting the addition of acalabrutinib to MBS Item 73343 (detection of 17p chromosomal deletions by fluorescence in situ hybridisation</w:t>
      </w:r>
      <w:r w:rsidR="00A63AF0" w:rsidRPr="003D6709">
        <w:t xml:space="preserve"> </w:t>
      </w:r>
      <w:r w:rsidR="00B17DDD" w:rsidRPr="003D6709">
        <w:t xml:space="preserve">(FISH) </w:t>
      </w:r>
      <w:r w:rsidR="00A63AF0" w:rsidRPr="003D6709">
        <w:t xml:space="preserve">in a patient with </w:t>
      </w:r>
      <w:r w:rsidR="006E3E83" w:rsidRPr="003D6709">
        <w:t>R/R</w:t>
      </w:r>
      <w:r w:rsidR="00A63AF0" w:rsidRPr="003D6709">
        <w:t xml:space="preserve"> CLL/SLL</w:t>
      </w:r>
      <w:r w:rsidR="00CD5A4F" w:rsidRPr="003D6709">
        <w:t>)</w:t>
      </w:r>
      <w:r w:rsidR="009A2CE1" w:rsidRPr="003D6709">
        <w:t>,</w:t>
      </w:r>
      <w:r w:rsidR="00A63AF0" w:rsidRPr="003D6709">
        <w:t xml:space="preserve"> </w:t>
      </w:r>
      <w:r w:rsidR="005A0BA2" w:rsidRPr="003D6709">
        <w:t>for the purpose of assessing PBS eligibility for acalabrutinib</w:t>
      </w:r>
      <w:r w:rsidR="00CD5A4F" w:rsidRPr="003D6709">
        <w:t xml:space="preserve"> treatment</w:t>
      </w:r>
      <w:r w:rsidR="00A63AF0" w:rsidRPr="003D6709">
        <w:t>.</w:t>
      </w:r>
    </w:p>
    <w:p w:rsidR="009E5F0F" w:rsidRPr="003D6709" w:rsidRDefault="009E5F0F" w:rsidP="009E5F0F">
      <w:pPr>
        <w:pStyle w:val="ExecSumBodyText"/>
        <w:keepLines/>
        <w:numPr>
          <w:ilvl w:val="0"/>
          <w:numId w:val="0"/>
        </w:numPr>
        <w:ind w:left="720"/>
      </w:pPr>
      <w:r w:rsidRPr="003D6709">
        <w:rPr>
          <w:i/>
        </w:rPr>
        <w:t>For more detail on PBAC’s view, see section 7 PBAC outcome.</w:t>
      </w:r>
    </w:p>
    <w:p w:rsidR="00B60939" w:rsidRPr="003D6709" w:rsidRDefault="00B50DB8" w:rsidP="004E18E9">
      <w:pPr>
        <w:pStyle w:val="2-SectionHeading"/>
      </w:pPr>
      <w:bookmarkStart w:id="5" w:name="_Toc30588515"/>
      <w:r w:rsidRPr="003D6709">
        <w:lastRenderedPageBreak/>
        <w:t>Requested listing</w:t>
      </w:r>
      <w:bookmarkEnd w:id="5"/>
    </w:p>
    <w:p w:rsidR="004378C8" w:rsidRPr="003D6709" w:rsidRDefault="006E3E83" w:rsidP="006E3E83">
      <w:pPr>
        <w:pStyle w:val="ExecSumBodyText"/>
      </w:pPr>
      <w:r w:rsidRPr="003D6709">
        <w:t xml:space="preserve">Suggestions and additions proposed by the Secretariat are added in italics and suggested deletions are crossed out with strikethrough. </w:t>
      </w:r>
    </w:p>
    <w:p w:rsidR="0015555D" w:rsidRPr="003D6709" w:rsidRDefault="0015555D" w:rsidP="0015555D"/>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581"/>
        <w:gridCol w:w="859"/>
        <w:gridCol w:w="1004"/>
        <w:gridCol w:w="715"/>
        <w:gridCol w:w="1289"/>
        <w:gridCol w:w="1146"/>
        <w:gridCol w:w="1433"/>
      </w:tblGrid>
      <w:tr w:rsidR="00675C5D" w:rsidRPr="003D6709" w:rsidTr="007633F2">
        <w:trPr>
          <w:cantSplit/>
          <w:trHeight w:val="471"/>
        </w:trPr>
        <w:tc>
          <w:tcPr>
            <w:tcW w:w="1429" w:type="pct"/>
          </w:tcPr>
          <w:p w:rsidR="00675C5D" w:rsidRPr="003D6709" w:rsidRDefault="00675C5D" w:rsidP="00675C5D">
            <w:pPr>
              <w:keepNext/>
              <w:ind w:left="-108"/>
              <w:rPr>
                <w:rFonts w:ascii="Arial Narrow" w:hAnsi="Arial Narrow"/>
                <w:b/>
                <w:sz w:val="18"/>
                <w:szCs w:val="18"/>
              </w:rPr>
            </w:pPr>
            <w:r w:rsidRPr="003D6709">
              <w:rPr>
                <w:rFonts w:ascii="Arial Narrow" w:hAnsi="Arial Narrow"/>
                <w:b/>
                <w:sz w:val="18"/>
                <w:szCs w:val="18"/>
              </w:rPr>
              <w:t>Name, Restriction,</w:t>
            </w:r>
          </w:p>
          <w:p w:rsidR="00675C5D" w:rsidRPr="003D6709" w:rsidRDefault="00675C5D" w:rsidP="00675C5D">
            <w:pPr>
              <w:keepNext/>
              <w:ind w:left="-108"/>
              <w:rPr>
                <w:rFonts w:ascii="Arial Narrow" w:hAnsi="Arial Narrow"/>
                <w:b/>
                <w:sz w:val="18"/>
                <w:szCs w:val="18"/>
              </w:rPr>
            </w:pPr>
            <w:r w:rsidRPr="003D6709">
              <w:rPr>
                <w:rFonts w:ascii="Arial Narrow" w:hAnsi="Arial Narrow"/>
                <w:b/>
                <w:sz w:val="18"/>
                <w:szCs w:val="18"/>
              </w:rPr>
              <w:t>Manner of administration and form</w:t>
            </w:r>
          </w:p>
        </w:tc>
        <w:tc>
          <w:tcPr>
            <w:tcW w:w="476" w:type="pct"/>
          </w:tcPr>
          <w:p w:rsidR="00675C5D" w:rsidRPr="003D6709" w:rsidRDefault="00675C5D" w:rsidP="00675C5D">
            <w:pPr>
              <w:keepNext/>
              <w:ind w:left="-108"/>
              <w:jc w:val="center"/>
              <w:rPr>
                <w:rFonts w:ascii="Arial Narrow" w:hAnsi="Arial Narrow"/>
                <w:b/>
                <w:sz w:val="18"/>
                <w:szCs w:val="18"/>
              </w:rPr>
            </w:pPr>
            <w:r w:rsidRPr="003D6709">
              <w:rPr>
                <w:rFonts w:ascii="Arial Narrow" w:hAnsi="Arial Narrow"/>
                <w:b/>
                <w:sz w:val="18"/>
                <w:szCs w:val="18"/>
              </w:rPr>
              <w:t>Max. Qty packs</w:t>
            </w:r>
          </w:p>
        </w:tc>
        <w:tc>
          <w:tcPr>
            <w:tcW w:w="556" w:type="pct"/>
          </w:tcPr>
          <w:p w:rsidR="00675C5D" w:rsidRPr="003D6709" w:rsidRDefault="00675C5D" w:rsidP="00675C5D">
            <w:pPr>
              <w:keepNext/>
              <w:ind w:left="-108"/>
              <w:jc w:val="center"/>
              <w:rPr>
                <w:rFonts w:ascii="Arial Narrow" w:hAnsi="Arial Narrow"/>
                <w:b/>
                <w:sz w:val="18"/>
                <w:szCs w:val="18"/>
              </w:rPr>
            </w:pPr>
            <w:r w:rsidRPr="003D6709">
              <w:rPr>
                <w:rFonts w:ascii="Arial Narrow" w:hAnsi="Arial Narrow"/>
                <w:b/>
                <w:sz w:val="18"/>
                <w:szCs w:val="18"/>
              </w:rPr>
              <w:t>Max. Qty units</w:t>
            </w:r>
          </w:p>
        </w:tc>
        <w:tc>
          <w:tcPr>
            <w:tcW w:w="396" w:type="pct"/>
          </w:tcPr>
          <w:p w:rsidR="00675C5D" w:rsidRPr="003D6709" w:rsidRDefault="00675C5D" w:rsidP="00675C5D">
            <w:pPr>
              <w:keepNext/>
              <w:ind w:left="-108"/>
              <w:jc w:val="center"/>
              <w:rPr>
                <w:rFonts w:ascii="Arial Narrow" w:hAnsi="Arial Narrow"/>
                <w:b/>
                <w:sz w:val="18"/>
                <w:szCs w:val="18"/>
              </w:rPr>
            </w:pPr>
            <w:r w:rsidRPr="003D6709">
              <w:rPr>
                <w:rFonts w:ascii="Arial Narrow" w:hAnsi="Arial Narrow"/>
                <w:b/>
                <w:sz w:val="18"/>
                <w:szCs w:val="18"/>
              </w:rPr>
              <w:t>№.of</w:t>
            </w:r>
          </w:p>
          <w:p w:rsidR="00675C5D" w:rsidRPr="003D6709" w:rsidRDefault="00675C5D" w:rsidP="00675C5D">
            <w:pPr>
              <w:keepNext/>
              <w:ind w:left="-108"/>
              <w:jc w:val="center"/>
              <w:rPr>
                <w:rFonts w:ascii="Arial Narrow" w:hAnsi="Arial Narrow"/>
                <w:b/>
                <w:sz w:val="18"/>
                <w:szCs w:val="18"/>
              </w:rPr>
            </w:pPr>
            <w:r w:rsidRPr="003D6709">
              <w:rPr>
                <w:rFonts w:ascii="Arial Narrow" w:hAnsi="Arial Narrow"/>
                <w:b/>
                <w:sz w:val="18"/>
                <w:szCs w:val="18"/>
              </w:rPr>
              <w:t>Rpts</w:t>
            </w:r>
          </w:p>
        </w:tc>
        <w:tc>
          <w:tcPr>
            <w:tcW w:w="714" w:type="pct"/>
          </w:tcPr>
          <w:p w:rsidR="00675C5D" w:rsidRPr="003D6709" w:rsidRDefault="00675C5D" w:rsidP="00675C5D">
            <w:pPr>
              <w:keepNext/>
              <w:ind w:left="-108"/>
              <w:jc w:val="center"/>
              <w:rPr>
                <w:rFonts w:ascii="Arial Narrow" w:hAnsi="Arial Narrow"/>
                <w:b/>
                <w:sz w:val="18"/>
                <w:szCs w:val="18"/>
              </w:rPr>
            </w:pPr>
            <w:r w:rsidRPr="003D6709">
              <w:rPr>
                <w:rFonts w:ascii="Arial Narrow" w:hAnsi="Arial Narrow"/>
                <w:b/>
                <w:sz w:val="18"/>
                <w:szCs w:val="18"/>
              </w:rPr>
              <w:t>Dispensed Price for Max. Qty</w:t>
            </w:r>
          </w:p>
        </w:tc>
        <w:tc>
          <w:tcPr>
            <w:tcW w:w="1429" w:type="pct"/>
            <w:gridSpan w:val="2"/>
          </w:tcPr>
          <w:p w:rsidR="00675C5D" w:rsidRPr="003D6709" w:rsidRDefault="00675C5D" w:rsidP="00675C5D">
            <w:pPr>
              <w:keepNext/>
              <w:jc w:val="left"/>
              <w:rPr>
                <w:rFonts w:ascii="Arial Narrow" w:hAnsi="Arial Narrow"/>
                <w:b/>
                <w:sz w:val="18"/>
                <w:szCs w:val="18"/>
              </w:rPr>
            </w:pPr>
            <w:r w:rsidRPr="003D6709">
              <w:rPr>
                <w:rFonts w:ascii="Arial Narrow" w:hAnsi="Arial Narrow"/>
                <w:b/>
                <w:sz w:val="18"/>
                <w:szCs w:val="18"/>
              </w:rPr>
              <w:t>Proprietary Name and Manufacturer</w:t>
            </w:r>
          </w:p>
        </w:tc>
      </w:tr>
      <w:tr w:rsidR="00675C5D" w:rsidRPr="003D6709" w:rsidTr="007633F2">
        <w:trPr>
          <w:cantSplit/>
          <w:trHeight w:val="761"/>
        </w:trPr>
        <w:tc>
          <w:tcPr>
            <w:tcW w:w="1429" w:type="pct"/>
          </w:tcPr>
          <w:p w:rsidR="00675C5D" w:rsidRPr="003D6709" w:rsidRDefault="00675C5D" w:rsidP="00675C5D">
            <w:pPr>
              <w:keepNext/>
              <w:ind w:left="-108"/>
              <w:rPr>
                <w:rFonts w:ascii="Arial Narrow" w:hAnsi="Arial Narrow"/>
                <w:sz w:val="18"/>
                <w:szCs w:val="18"/>
              </w:rPr>
            </w:pPr>
            <w:r w:rsidRPr="003D6709">
              <w:rPr>
                <w:rFonts w:ascii="Arial Narrow" w:hAnsi="Arial Narrow"/>
                <w:sz w:val="18"/>
                <w:szCs w:val="18"/>
              </w:rPr>
              <w:t>ACALABRUTINIB</w:t>
            </w:r>
          </w:p>
          <w:p w:rsidR="00675C5D" w:rsidRPr="003D6709" w:rsidRDefault="00675C5D" w:rsidP="00675C5D">
            <w:pPr>
              <w:keepNext/>
              <w:ind w:left="-108"/>
              <w:rPr>
                <w:rFonts w:ascii="Arial Narrow" w:hAnsi="Arial Narrow"/>
                <w:sz w:val="18"/>
                <w:szCs w:val="18"/>
              </w:rPr>
            </w:pPr>
            <w:r w:rsidRPr="003D6709">
              <w:rPr>
                <w:rFonts w:ascii="Arial Narrow" w:hAnsi="Arial Narrow"/>
                <w:sz w:val="18"/>
                <w:szCs w:val="18"/>
              </w:rPr>
              <w:t>acalabrutinib 100 mg capsule, 56</w:t>
            </w:r>
          </w:p>
        </w:tc>
        <w:tc>
          <w:tcPr>
            <w:tcW w:w="476" w:type="pct"/>
          </w:tcPr>
          <w:p w:rsidR="00675C5D" w:rsidRPr="003D6709" w:rsidRDefault="00675C5D" w:rsidP="00675C5D">
            <w:pPr>
              <w:keepNext/>
              <w:jc w:val="center"/>
              <w:rPr>
                <w:rFonts w:ascii="Arial Narrow" w:hAnsi="Arial Narrow"/>
                <w:sz w:val="18"/>
                <w:szCs w:val="18"/>
              </w:rPr>
            </w:pPr>
          </w:p>
          <w:p w:rsidR="00675C5D" w:rsidRPr="003D6709" w:rsidRDefault="00675C5D" w:rsidP="00675C5D">
            <w:pPr>
              <w:keepNext/>
              <w:ind w:left="-108"/>
              <w:jc w:val="center"/>
              <w:rPr>
                <w:rFonts w:ascii="Arial Narrow" w:hAnsi="Arial Narrow"/>
                <w:sz w:val="18"/>
                <w:szCs w:val="18"/>
              </w:rPr>
            </w:pPr>
            <w:r w:rsidRPr="003D6709">
              <w:rPr>
                <w:rFonts w:ascii="Arial Narrow" w:hAnsi="Arial Narrow"/>
                <w:sz w:val="18"/>
                <w:szCs w:val="18"/>
              </w:rPr>
              <w:t>1</w:t>
            </w:r>
          </w:p>
        </w:tc>
        <w:tc>
          <w:tcPr>
            <w:tcW w:w="556" w:type="pct"/>
          </w:tcPr>
          <w:p w:rsidR="00675C5D" w:rsidRPr="003D6709" w:rsidRDefault="00675C5D" w:rsidP="00675C5D">
            <w:pPr>
              <w:keepNext/>
              <w:ind w:left="-108"/>
              <w:jc w:val="center"/>
              <w:rPr>
                <w:rFonts w:ascii="Arial Narrow" w:hAnsi="Arial Narrow"/>
                <w:sz w:val="18"/>
                <w:szCs w:val="18"/>
              </w:rPr>
            </w:pPr>
          </w:p>
          <w:p w:rsidR="00675C5D" w:rsidRPr="003D6709" w:rsidRDefault="00675C5D" w:rsidP="00675C5D">
            <w:pPr>
              <w:keepNext/>
              <w:ind w:left="-108"/>
              <w:jc w:val="center"/>
              <w:rPr>
                <w:rFonts w:ascii="Arial Narrow" w:hAnsi="Arial Narrow"/>
                <w:sz w:val="18"/>
                <w:szCs w:val="18"/>
              </w:rPr>
            </w:pPr>
            <w:r w:rsidRPr="003D6709">
              <w:rPr>
                <w:rFonts w:ascii="Arial Narrow" w:hAnsi="Arial Narrow"/>
                <w:sz w:val="18"/>
                <w:szCs w:val="18"/>
              </w:rPr>
              <w:t>56</w:t>
            </w:r>
          </w:p>
        </w:tc>
        <w:tc>
          <w:tcPr>
            <w:tcW w:w="396" w:type="pct"/>
          </w:tcPr>
          <w:p w:rsidR="00675C5D" w:rsidRPr="003D6709" w:rsidRDefault="00675C5D" w:rsidP="00675C5D">
            <w:pPr>
              <w:keepNext/>
              <w:ind w:left="-108"/>
              <w:jc w:val="center"/>
              <w:rPr>
                <w:rFonts w:ascii="Arial Narrow" w:hAnsi="Arial Narrow"/>
                <w:sz w:val="18"/>
                <w:szCs w:val="18"/>
              </w:rPr>
            </w:pPr>
          </w:p>
          <w:p w:rsidR="00675C5D" w:rsidRPr="003D6709" w:rsidRDefault="00675C5D" w:rsidP="00675C5D">
            <w:pPr>
              <w:keepNext/>
              <w:ind w:left="-108"/>
              <w:jc w:val="center"/>
              <w:rPr>
                <w:rFonts w:ascii="Arial Narrow" w:hAnsi="Arial Narrow"/>
                <w:sz w:val="18"/>
                <w:szCs w:val="18"/>
              </w:rPr>
            </w:pPr>
            <w:r w:rsidRPr="003D6709">
              <w:rPr>
                <w:rFonts w:ascii="Arial Narrow" w:hAnsi="Arial Narrow"/>
                <w:sz w:val="18"/>
                <w:szCs w:val="18"/>
              </w:rPr>
              <w:t>5</w:t>
            </w:r>
          </w:p>
          <w:p w:rsidR="00675C5D" w:rsidRPr="003D6709" w:rsidRDefault="00675C5D" w:rsidP="00675C5D">
            <w:pPr>
              <w:keepNext/>
              <w:ind w:left="-108"/>
              <w:jc w:val="center"/>
              <w:rPr>
                <w:rFonts w:ascii="Arial Narrow" w:hAnsi="Arial Narrow"/>
                <w:sz w:val="18"/>
                <w:szCs w:val="18"/>
              </w:rPr>
            </w:pPr>
          </w:p>
        </w:tc>
        <w:tc>
          <w:tcPr>
            <w:tcW w:w="714" w:type="pct"/>
          </w:tcPr>
          <w:p w:rsidR="00675C5D" w:rsidRPr="003D6709" w:rsidRDefault="00675C5D" w:rsidP="00675C5D">
            <w:pPr>
              <w:keepNext/>
              <w:ind w:left="-108"/>
              <w:jc w:val="center"/>
              <w:rPr>
                <w:rFonts w:ascii="Arial Narrow" w:hAnsi="Arial Narrow"/>
                <w:sz w:val="18"/>
                <w:szCs w:val="18"/>
              </w:rPr>
            </w:pPr>
          </w:p>
          <w:p w:rsidR="00675C5D" w:rsidRPr="003D6709" w:rsidRDefault="00675C5D" w:rsidP="00675C5D">
            <w:pPr>
              <w:keepNext/>
              <w:ind w:left="-108"/>
              <w:jc w:val="center"/>
              <w:rPr>
                <w:rFonts w:ascii="Arial Narrow" w:hAnsi="Arial Narrow"/>
                <w:sz w:val="18"/>
                <w:szCs w:val="18"/>
              </w:rPr>
            </w:pPr>
            <w:r w:rsidRPr="003D6709">
              <w:rPr>
                <w:rFonts w:ascii="Arial Narrow" w:hAnsi="Arial Narrow"/>
                <w:sz w:val="18"/>
                <w:szCs w:val="18"/>
              </w:rPr>
              <w:t>$</w:t>
            </w:r>
            <w:r w:rsidR="004D4273">
              <w:rPr>
                <w:rFonts w:ascii="Arial Narrow" w:hAnsi="Arial Narrow"/>
                <w:noProof/>
                <w:color w:val="000000"/>
                <w:sz w:val="18"/>
                <w:szCs w:val="18"/>
                <w:highlight w:val="black"/>
              </w:rPr>
              <w:t>''''''''''''''''''''</w:t>
            </w:r>
          </w:p>
        </w:tc>
        <w:tc>
          <w:tcPr>
            <w:tcW w:w="635" w:type="pct"/>
          </w:tcPr>
          <w:p w:rsidR="00675C5D" w:rsidRPr="003D6709" w:rsidRDefault="00675C5D" w:rsidP="00675C5D">
            <w:pPr>
              <w:keepNext/>
              <w:rPr>
                <w:rFonts w:ascii="Arial Narrow" w:hAnsi="Arial Narrow"/>
                <w:sz w:val="18"/>
                <w:szCs w:val="18"/>
              </w:rPr>
            </w:pPr>
          </w:p>
          <w:p w:rsidR="00675C5D" w:rsidRPr="003D6709" w:rsidRDefault="00675C5D" w:rsidP="00675C5D">
            <w:pPr>
              <w:keepNext/>
              <w:rPr>
                <w:rFonts w:ascii="Arial Narrow" w:hAnsi="Arial Narrow"/>
                <w:sz w:val="18"/>
                <w:szCs w:val="18"/>
              </w:rPr>
            </w:pPr>
            <w:r w:rsidRPr="003D6709">
              <w:rPr>
                <w:rFonts w:ascii="Arial Narrow" w:hAnsi="Arial Narrow"/>
                <w:sz w:val="18"/>
                <w:szCs w:val="18"/>
              </w:rPr>
              <w:t>Calquence</w:t>
            </w:r>
            <w:r w:rsidRPr="003D6709">
              <w:rPr>
                <w:rFonts w:ascii="Arial Narrow" w:hAnsi="Arial Narrow"/>
                <w:sz w:val="18"/>
                <w:szCs w:val="18"/>
                <w:vertAlign w:val="superscript"/>
              </w:rPr>
              <w:t>®</w:t>
            </w:r>
          </w:p>
        </w:tc>
        <w:tc>
          <w:tcPr>
            <w:tcW w:w="794" w:type="pct"/>
          </w:tcPr>
          <w:p w:rsidR="00675C5D" w:rsidRPr="003D6709" w:rsidRDefault="00675C5D" w:rsidP="00675C5D">
            <w:pPr>
              <w:keepNext/>
              <w:rPr>
                <w:rFonts w:ascii="Arial Narrow" w:hAnsi="Arial Narrow"/>
                <w:sz w:val="18"/>
                <w:szCs w:val="18"/>
              </w:rPr>
            </w:pPr>
          </w:p>
          <w:p w:rsidR="00675C5D" w:rsidRPr="003D6709" w:rsidRDefault="00675C5D" w:rsidP="00675C5D">
            <w:pPr>
              <w:keepNext/>
              <w:rPr>
                <w:rFonts w:ascii="Arial Narrow" w:hAnsi="Arial Narrow"/>
                <w:sz w:val="18"/>
                <w:szCs w:val="18"/>
              </w:rPr>
            </w:pPr>
            <w:r w:rsidRPr="003D6709">
              <w:rPr>
                <w:rFonts w:ascii="Arial Narrow" w:hAnsi="Arial Narrow"/>
                <w:sz w:val="18"/>
                <w:szCs w:val="18"/>
              </w:rPr>
              <w:t>AstraZeneca Australia Pty Ltd</w:t>
            </w:r>
          </w:p>
        </w:tc>
      </w:tr>
    </w:tbl>
    <w:p w:rsidR="006E3E83" w:rsidRPr="003D6709" w:rsidRDefault="006E3E83" w:rsidP="006E3E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1"/>
        <w:gridCol w:w="7636"/>
      </w:tblGrid>
      <w:tr w:rsidR="006E3E83" w:rsidRPr="003D6709" w:rsidTr="007633F2">
        <w:tc>
          <w:tcPr>
            <w:tcW w:w="766" w:type="pct"/>
            <w:tcBorders>
              <w:top w:val="single" w:sz="4" w:space="0" w:color="auto"/>
              <w:left w:val="single" w:sz="4" w:space="0" w:color="auto"/>
              <w:bottom w:val="single" w:sz="4" w:space="0" w:color="auto"/>
              <w:right w:val="single" w:sz="4" w:space="0" w:color="auto"/>
            </w:tcBorders>
          </w:tcPr>
          <w:p w:rsidR="006E3E83" w:rsidRPr="003D6709" w:rsidRDefault="006F5B8E" w:rsidP="006F5B8E">
            <w:pPr>
              <w:jc w:val="left"/>
              <w:rPr>
                <w:rFonts w:ascii="Arial Narrow" w:hAnsi="Arial Narrow"/>
                <w:b/>
                <w:sz w:val="18"/>
                <w:szCs w:val="18"/>
              </w:rPr>
            </w:pPr>
            <w:r w:rsidRPr="003D6709">
              <w:rPr>
                <w:rFonts w:ascii="Arial Narrow" w:hAnsi="Arial Narrow"/>
                <w:b/>
                <w:sz w:val="18"/>
                <w:szCs w:val="18"/>
              </w:rPr>
              <w:t>Category/Program:</w:t>
            </w: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sz w:val="18"/>
                <w:szCs w:val="18"/>
              </w:rPr>
            </w:pPr>
            <w:r w:rsidRPr="003D6709">
              <w:rPr>
                <w:rFonts w:ascii="Arial Narrow" w:hAnsi="Arial Narrow"/>
                <w:sz w:val="18"/>
                <w:szCs w:val="18"/>
              </w:rPr>
              <w:t xml:space="preserve">GENERAL – General Schedule (Code GE) </w:t>
            </w:r>
          </w:p>
        </w:tc>
      </w:tr>
      <w:tr w:rsidR="006E3E83" w:rsidRPr="003D6709" w:rsidTr="007633F2">
        <w:trPr>
          <w:trHeight w:val="220"/>
        </w:trPr>
        <w:tc>
          <w:tcPr>
            <w:tcW w:w="766" w:type="pct"/>
            <w:tcBorders>
              <w:top w:val="single" w:sz="4" w:space="0" w:color="auto"/>
              <w:left w:val="single" w:sz="4" w:space="0" w:color="auto"/>
              <w:bottom w:val="single" w:sz="4" w:space="0" w:color="auto"/>
              <w:right w:val="single" w:sz="4" w:space="0" w:color="auto"/>
            </w:tcBorders>
          </w:tcPr>
          <w:p w:rsidR="006E3E83" w:rsidRPr="003D6709" w:rsidRDefault="006F5B8E" w:rsidP="006F5B8E">
            <w:pPr>
              <w:jc w:val="left"/>
              <w:rPr>
                <w:rFonts w:ascii="Arial Narrow" w:hAnsi="Arial Narrow"/>
                <w:b/>
                <w:sz w:val="18"/>
                <w:szCs w:val="18"/>
              </w:rPr>
            </w:pPr>
            <w:r w:rsidRPr="003D6709">
              <w:rPr>
                <w:rFonts w:ascii="Arial Narrow" w:hAnsi="Arial Narrow"/>
                <w:b/>
                <w:sz w:val="18"/>
                <w:szCs w:val="18"/>
              </w:rPr>
              <w:t>Prescriber type:</w:t>
            </w: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6F5B8E">
            <w:pPr>
              <w:rPr>
                <w:rFonts w:ascii="Arial Narrow" w:hAnsi="Arial Narrow"/>
                <w:sz w:val="18"/>
                <w:szCs w:val="18"/>
              </w:rPr>
            </w:pP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Dental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Medical Practitioners  </w:t>
            </w:r>
            <w:r w:rsidRPr="003D6709">
              <w:rPr>
                <w:rFonts w:ascii="Arial Narrow" w:hAnsi="Arial Narrow"/>
                <w:sz w:val="18"/>
                <w:szCs w:val="18"/>
              </w:rPr>
              <w:fldChar w:fldCharType="begin">
                <w:ffData>
                  <w:name w:val="Check3"/>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Nurse practitioners  </w:t>
            </w: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Optometrists  </w:t>
            </w:r>
            <w:r w:rsidRPr="003D6709">
              <w:rPr>
                <w:rFonts w:ascii="Arial Narrow" w:hAnsi="Arial Narrow"/>
                <w:sz w:val="18"/>
                <w:szCs w:val="18"/>
              </w:rPr>
              <w:fldChar w:fldCharType="begin">
                <w:ffData>
                  <w:name w:val="Check5"/>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Midwives</w:t>
            </w:r>
          </w:p>
        </w:tc>
      </w:tr>
      <w:tr w:rsidR="006E3E83" w:rsidRPr="003D6709" w:rsidTr="007633F2">
        <w:tc>
          <w:tcPr>
            <w:tcW w:w="766" w:type="pct"/>
            <w:tcBorders>
              <w:top w:val="single" w:sz="4" w:space="0" w:color="auto"/>
              <w:left w:val="single" w:sz="4" w:space="0" w:color="auto"/>
              <w:bottom w:val="single" w:sz="4" w:space="0" w:color="auto"/>
              <w:right w:val="single" w:sz="4" w:space="0" w:color="auto"/>
            </w:tcBorders>
          </w:tcPr>
          <w:p w:rsidR="006E3E83" w:rsidRPr="003D6709" w:rsidRDefault="006F5B8E" w:rsidP="006F5B8E">
            <w:pPr>
              <w:jc w:val="left"/>
              <w:rPr>
                <w:rFonts w:ascii="Arial Narrow" w:hAnsi="Arial Narrow"/>
                <w:b/>
                <w:sz w:val="18"/>
                <w:szCs w:val="18"/>
              </w:rPr>
            </w:pPr>
            <w:r w:rsidRPr="003D6709">
              <w:rPr>
                <w:rFonts w:ascii="Arial Narrow" w:hAnsi="Arial Narrow"/>
                <w:b/>
                <w:sz w:val="18"/>
                <w:szCs w:val="18"/>
              </w:rPr>
              <w:t>Restriction level/Method:</w:t>
            </w:r>
          </w:p>
          <w:p w:rsidR="006E3E83" w:rsidRPr="003D6709" w:rsidRDefault="006E3E83" w:rsidP="006F5B8E">
            <w:pPr>
              <w:jc w:val="left"/>
              <w:rPr>
                <w:rFonts w:ascii="Arial Narrow" w:hAnsi="Arial Narrow"/>
                <w:b/>
                <w:sz w:val="18"/>
                <w:szCs w:val="18"/>
              </w:rPr>
            </w:pPr>
          </w:p>
          <w:p w:rsidR="006E3E83" w:rsidRPr="003D6709" w:rsidRDefault="006E3E83" w:rsidP="006F5B8E">
            <w:pPr>
              <w:jc w:val="left"/>
              <w:rPr>
                <w:rFonts w:ascii="Arial Narrow" w:hAnsi="Arial Narrow"/>
                <w:b/>
                <w:sz w:val="18"/>
                <w:szCs w:val="18"/>
              </w:rPr>
            </w:pP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Unrestricted benefit</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Restricted benefit</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Authority Required – In Writing</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Authority Required – Telephone/Electronic/Emergency</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Authority Required - Streamlined</w:t>
            </w:r>
          </w:p>
        </w:tc>
      </w:tr>
      <w:tr w:rsidR="006E3E83" w:rsidRPr="003D6709" w:rsidTr="007633F2">
        <w:tc>
          <w:tcPr>
            <w:tcW w:w="766" w:type="pct"/>
          </w:tcPr>
          <w:p w:rsidR="006E3E83"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Episodicity:</w:t>
            </w:r>
          </w:p>
        </w:tc>
        <w:tc>
          <w:tcPr>
            <w:tcW w:w="4234" w:type="pct"/>
            <w:vAlign w:val="center"/>
          </w:tcPr>
          <w:p w:rsidR="006E3E83" w:rsidRPr="003D6709" w:rsidRDefault="006E3E83" w:rsidP="00CE57C2">
            <w:pPr>
              <w:rPr>
                <w:rFonts w:ascii="Arial Narrow" w:hAnsi="Arial Narrow"/>
                <w:b/>
                <w:bCs/>
                <w:i/>
                <w:color w:val="333333"/>
                <w:sz w:val="18"/>
                <w:szCs w:val="18"/>
              </w:rPr>
            </w:pPr>
            <w:r w:rsidRPr="003D6709">
              <w:rPr>
                <w:rFonts w:ascii="Arial Narrow" w:hAnsi="Arial Narrow"/>
                <w:i/>
                <w:color w:val="333333"/>
                <w:sz w:val="18"/>
                <w:szCs w:val="18"/>
              </w:rPr>
              <w:t>Relapsed or refractory</w:t>
            </w:r>
          </w:p>
        </w:tc>
      </w:tr>
      <w:tr w:rsidR="006E3E83" w:rsidRPr="003D6709" w:rsidTr="007633F2">
        <w:tc>
          <w:tcPr>
            <w:tcW w:w="766" w:type="pct"/>
          </w:tcPr>
          <w:p w:rsidR="006E3E83"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Condition:</w:t>
            </w:r>
          </w:p>
        </w:tc>
        <w:tc>
          <w:tcPr>
            <w:tcW w:w="4234" w:type="pct"/>
            <w:vAlign w:val="center"/>
          </w:tcPr>
          <w:p w:rsidR="006E3E83" w:rsidRPr="003D6709" w:rsidRDefault="006E3E83" w:rsidP="00CE57C2">
            <w:pPr>
              <w:rPr>
                <w:rFonts w:ascii="Arial Narrow" w:hAnsi="Arial Narrow"/>
                <w:b/>
                <w:bCs/>
                <w:color w:val="333333"/>
                <w:sz w:val="18"/>
                <w:szCs w:val="18"/>
              </w:rPr>
            </w:pPr>
            <w:proofErr w:type="spellStart"/>
            <w:r w:rsidRPr="003D6709">
              <w:rPr>
                <w:rFonts w:ascii="Arial Narrow" w:hAnsi="Arial Narrow"/>
                <w:strike/>
                <w:color w:val="333333"/>
                <w:sz w:val="18"/>
                <w:szCs w:val="18"/>
              </w:rPr>
              <w:t>C</w:t>
            </w:r>
            <w:r w:rsidRPr="003D6709">
              <w:rPr>
                <w:rFonts w:ascii="Arial Narrow" w:hAnsi="Arial Narrow"/>
                <w:i/>
                <w:color w:val="333333"/>
                <w:sz w:val="18"/>
                <w:szCs w:val="18"/>
              </w:rPr>
              <w:t>c</w:t>
            </w:r>
            <w:r w:rsidRPr="003D6709">
              <w:rPr>
                <w:rFonts w:ascii="Arial Narrow" w:hAnsi="Arial Narrow"/>
                <w:color w:val="333333"/>
                <w:sz w:val="18"/>
                <w:szCs w:val="18"/>
              </w:rPr>
              <w:t>hronic</w:t>
            </w:r>
            <w:proofErr w:type="spellEnd"/>
            <w:r w:rsidRPr="003D6709">
              <w:rPr>
                <w:rFonts w:ascii="Arial Narrow" w:hAnsi="Arial Narrow"/>
                <w:color w:val="333333"/>
                <w:sz w:val="18"/>
                <w:szCs w:val="18"/>
              </w:rPr>
              <w:t xml:space="preserve"> lymphocytic leukaemia (CLL) or small lymphocytic lymphoma (SLL)</w:t>
            </w:r>
          </w:p>
        </w:tc>
      </w:tr>
      <w:tr w:rsidR="006E3E83" w:rsidRPr="003D6709" w:rsidTr="007633F2">
        <w:tc>
          <w:tcPr>
            <w:tcW w:w="766" w:type="pct"/>
            <w:hideMark/>
          </w:tcPr>
          <w:p w:rsidR="006E3E83"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Indication:</w:t>
            </w:r>
          </w:p>
        </w:tc>
        <w:tc>
          <w:tcPr>
            <w:tcW w:w="4234" w:type="pct"/>
            <w:vAlign w:val="center"/>
            <w:hideMark/>
          </w:tcPr>
          <w:p w:rsidR="006E3E83" w:rsidRPr="003D6709" w:rsidRDefault="006E3E83" w:rsidP="00CE57C2">
            <w:pPr>
              <w:jc w:val="left"/>
              <w:rPr>
                <w:rFonts w:ascii="Arial Narrow" w:hAnsi="Arial Narrow"/>
                <w:color w:val="333333"/>
                <w:sz w:val="18"/>
                <w:szCs w:val="18"/>
              </w:rPr>
            </w:pPr>
            <w:r w:rsidRPr="003D6709">
              <w:rPr>
                <w:rFonts w:ascii="Arial Narrow" w:hAnsi="Arial Narrow"/>
                <w:strike/>
                <w:color w:val="333333"/>
                <w:sz w:val="18"/>
                <w:szCs w:val="18"/>
              </w:rPr>
              <w:t>Treatment or retreatment of chronic lymphocytic leukaemia (CLL) or small lymphocytic lymphoma (SLL)</w:t>
            </w:r>
            <w:r w:rsidRPr="003D6709">
              <w:rPr>
                <w:rFonts w:ascii="Arial Narrow" w:hAnsi="Arial Narrow"/>
                <w:color w:val="333333"/>
                <w:sz w:val="18"/>
                <w:szCs w:val="18"/>
              </w:rPr>
              <w:t xml:space="preserve"> </w:t>
            </w:r>
          </w:p>
          <w:p w:rsidR="006E3E83" w:rsidRPr="003D6709" w:rsidRDefault="006E3E83" w:rsidP="00CE57C2">
            <w:pPr>
              <w:rPr>
                <w:rFonts w:ascii="Arial Narrow" w:hAnsi="Arial Narrow"/>
                <w:i/>
                <w:color w:val="333333"/>
                <w:sz w:val="18"/>
                <w:szCs w:val="18"/>
              </w:rPr>
            </w:pPr>
            <w:r w:rsidRPr="003D6709">
              <w:rPr>
                <w:rFonts w:ascii="Arial Narrow" w:hAnsi="Arial Narrow"/>
                <w:i/>
                <w:color w:val="333333"/>
                <w:sz w:val="18"/>
                <w:szCs w:val="18"/>
              </w:rPr>
              <w:t>Relapsed or refractory chronic lymphocytic leukaemia (CLL) or small lymphocytic lymphoma (SLL)</w:t>
            </w:r>
          </w:p>
        </w:tc>
      </w:tr>
      <w:tr w:rsidR="006E3E83" w:rsidRPr="003D6709" w:rsidTr="007633F2">
        <w:tc>
          <w:tcPr>
            <w:tcW w:w="766" w:type="pct"/>
            <w:hideMark/>
          </w:tcPr>
          <w:p w:rsidR="006E3E83"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Treatment phase:</w:t>
            </w:r>
          </w:p>
        </w:tc>
        <w:tc>
          <w:tcPr>
            <w:tcW w:w="4234" w:type="pct"/>
            <w:vAlign w:val="center"/>
            <w:hideMark/>
          </w:tcPr>
          <w:p w:rsidR="006E3E83" w:rsidRPr="003D6709" w:rsidRDefault="006E3E83" w:rsidP="00CE57C2">
            <w:pPr>
              <w:rPr>
                <w:rFonts w:ascii="Arial Narrow" w:hAnsi="Arial Narrow"/>
                <w:i/>
                <w:color w:val="333333"/>
                <w:sz w:val="18"/>
                <w:szCs w:val="18"/>
              </w:rPr>
            </w:pPr>
            <w:r w:rsidRPr="003D6709">
              <w:rPr>
                <w:rFonts w:ascii="Arial Narrow" w:hAnsi="Arial Narrow"/>
                <w:color w:val="333333"/>
                <w:sz w:val="18"/>
                <w:szCs w:val="18"/>
              </w:rPr>
              <w:t xml:space="preserve">Initial </w:t>
            </w:r>
            <w:r w:rsidRPr="003D6709">
              <w:rPr>
                <w:rFonts w:ascii="Arial Narrow" w:hAnsi="Arial Narrow"/>
                <w:i/>
                <w:color w:val="333333"/>
                <w:sz w:val="18"/>
                <w:szCs w:val="18"/>
              </w:rPr>
              <w:t xml:space="preserve">treatment </w:t>
            </w:r>
          </w:p>
        </w:tc>
      </w:tr>
      <w:tr w:rsidR="006F5B8E" w:rsidRPr="003D6709" w:rsidTr="007633F2">
        <w:trPr>
          <w:trHeight w:val="2892"/>
        </w:trPr>
        <w:tc>
          <w:tcPr>
            <w:tcW w:w="766" w:type="pct"/>
          </w:tcPr>
          <w:p w:rsidR="006F5B8E"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Clinical criteria:</w:t>
            </w:r>
          </w:p>
        </w:tc>
        <w:tc>
          <w:tcPr>
            <w:tcW w:w="4234" w:type="pct"/>
            <w:vAlign w:val="center"/>
          </w:tcPr>
          <w:p w:rsidR="006F5B8E" w:rsidRPr="003D6709" w:rsidRDefault="006F5B8E" w:rsidP="00CE57C2">
            <w:pPr>
              <w:rPr>
                <w:rFonts w:ascii="Arial Narrow" w:hAnsi="Arial Narrow"/>
                <w:b/>
                <w:bCs/>
                <w:color w:val="333333"/>
                <w:sz w:val="18"/>
                <w:szCs w:val="18"/>
              </w:rPr>
            </w:pPr>
            <w:r w:rsidRPr="003D6709">
              <w:rPr>
                <w:rFonts w:ascii="Arial Narrow" w:hAnsi="Arial Narrow"/>
                <w:color w:val="333333"/>
                <w:sz w:val="18"/>
                <w:szCs w:val="18"/>
              </w:rPr>
              <w:t>The treatment must be the sole PBS-subsidised therapy for this condition</w:t>
            </w:r>
          </w:p>
          <w:p w:rsidR="006F5B8E" w:rsidRPr="003D6709" w:rsidRDefault="006F5B8E" w:rsidP="00CE57C2">
            <w:pPr>
              <w:rPr>
                <w:rFonts w:ascii="Arial Narrow" w:hAnsi="Arial Narrow"/>
                <w:color w:val="333333"/>
                <w:sz w:val="18"/>
                <w:szCs w:val="18"/>
              </w:rPr>
            </w:pPr>
            <w:r w:rsidRPr="003D6709">
              <w:rPr>
                <w:rFonts w:ascii="Arial Narrow" w:hAnsi="Arial Narrow"/>
                <w:bCs/>
                <w:color w:val="333333"/>
                <w:sz w:val="18"/>
                <w:szCs w:val="18"/>
              </w:rPr>
              <w:t>AND</w:t>
            </w:r>
          </w:p>
          <w:p w:rsidR="006F5B8E" w:rsidRPr="003D6709" w:rsidRDefault="006F5B8E" w:rsidP="00CE57C2">
            <w:pPr>
              <w:rPr>
                <w:rFonts w:ascii="Arial Narrow" w:hAnsi="Arial Narrow"/>
                <w:color w:val="333333"/>
                <w:sz w:val="18"/>
                <w:szCs w:val="18"/>
              </w:rPr>
            </w:pPr>
            <w:r w:rsidRPr="003D6709">
              <w:rPr>
                <w:rFonts w:ascii="Arial Narrow" w:hAnsi="Arial Narrow"/>
                <w:color w:val="333333"/>
                <w:sz w:val="18"/>
                <w:szCs w:val="18"/>
              </w:rPr>
              <w:t>The condition must have relapsed or be refractory to at least one prior therapy</w:t>
            </w:r>
          </w:p>
          <w:p w:rsidR="006F5B8E" w:rsidRPr="003D6709" w:rsidRDefault="006F5B8E" w:rsidP="00CE57C2">
            <w:pPr>
              <w:rPr>
                <w:rFonts w:ascii="Arial Narrow" w:hAnsi="Arial Narrow"/>
                <w:color w:val="333333"/>
                <w:sz w:val="18"/>
                <w:szCs w:val="18"/>
              </w:rPr>
            </w:pPr>
            <w:r w:rsidRPr="003D6709">
              <w:rPr>
                <w:rFonts w:ascii="Arial Narrow" w:hAnsi="Arial Narrow"/>
                <w:bCs/>
                <w:color w:val="333333"/>
                <w:sz w:val="18"/>
                <w:szCs w:val="18"/>
              </w:rPr>
              <w:t>AND</w:t>
            </w:r>
          </w:p>
          <w:p w:rsidR="006F5B8E" w:rsidRPr="003D6709" w:rsidRDefault="006F5B8E" w:rsidP="00B07F35">
            <w:pPr>
              <w:rPr>
                <w:rFonts w:ascii="Arial Narrow" w:hAnsi="Arial Narrow"/>
                <w:color w:val="333333"/>
                <w:sz w:val="18"/>
                <w:szCs w:val="18"/>
              </w:rPr>
            </w:pPr>
            <w:r w:rsidRPr="003D6709">
              <w:rPr>
                <w:rFonts w:ascii="Arial Narrow" w:hAnsi="Arial Narrow"/>
                <w:bCs/>
                <w:color w:val="333333"/>
                <w:sz w:val="18"/>
                <w:szCs w:val="18"/>
              </w:rPr>
              <w:t xml:space="preserve">Patient must have a WHO performance status of </w:t>
            </w:r>
            <w:r w:rsidRPr="003D6709">
              <w:rPr>
                <w:rFonts w:ascii="Arial Narrow" w:hAnsi="Arial Narrow"/>
                <w:bCs/>
                <w:strike/>
                <w:color w:val="333333"/>
                <w:sz w:val="18"/>
                <w:szCs w:val="18"/>
              </w:rPr>
              <w:t>less than or equal to 2</w:t>
            </w:r>
            <w:r w:rsidRPr="003D6709">
              <w:rPr>
                <w:rFonts w:ascii="Arial Narrow" w:hAnsi="Arial Narrow"/>
                <w:bCs/>
                <w:i/>
                <w:color w:val="333333"/>
                <w:sz w:val="18"/>
                <w:szCs w:val="18"/>
              </w:rPr>
              <w:t xml:space="preserve"> 0 or 1</w:t>
            </w:r>
          </w:p>
          <w:p w:rsidR="006F5B8E" w:rsidRPr="003D6709" w:rsidRDefault="006F5B8E" w:rsidP="00CE57C2">
            <w:pPr>
              <w:jc w:val="left"/>
              <w:rPr>
                <w:rFonts w:ascii="Arial Narrow" w:hAnsi="Arial Narrow"/>
                <w:i/>
                <w:color w:val="333333"/>
                <w:sz w:val="18"/>
                <w:szCs w:val="18"/>
              </w:rPr>
            </w:pPr>
            <w:r w:rsidRPr="003D6709">
              <w:rPr>
                <w:rFonts w:ascii="Arial Narrow" w:hAnsi="Arial Narrow"/>
                <w:bCs/>
                <w:i/>
                <w:color w:val="333333"/>
                <w:sz w:val="18"/>
                <w:szCs w:val="18"/>
              </w:rPr>
              <w:t>AND</w:t>
            </w:r>
          </w:p>
          <w:p w:rsidR="006F5B8E" w:rsidRPr="003D6709" w:rsidRDefault="006F5B8E" w:rsidP="00CE57C2">
            <w:pPr>
              <w:jc w:val="left"/>
              <w:rPr>
                <w:rFonts w:ascii="Arial Narrow" w:hAnsi="Arial Narrow"/>
                <w:bCs/>
                <w:i/>
                <w:color w:val="333333"/>
                <w:sz w:val="18"/>
                <w:szCs w:val="18"/>
              </w:rPr>
            </w:pPr>
            <w:r w:rsidRPr="003D6709">
              <w:rPr>
                <w:rFonts w:ascii="Arial Narrow" w:hAnsi="Arial Narrow"/>
                <w:bCs/>
                <w:i/>
                <w:color w:val="333333"/>
                <w:sz w:val="18"/>
                <w:szCs w:val="18"/>
              </w:rPr>
              <w:t>Patient must not have previously received PBS-subsidised treatment with this drug for this condition</w:t>
            </w:r>
          </w:p>
          <w:p w:rsidR="006F5B8E" w:rsidRPr="003D6709" w:rsidRDefault="006F5B8E" w:rsidP="00CE57C2">
            <w:pPr>
              <w:jc w:val="left"/>
              <w:rPr>
                <w:rFonts w:ascii="Arial Narrow" w:hAnsi="Arial Narrow"/>
                <w:bCs/>
                <w:color w:val="333333"/>
                <w:sz w:val="18"/>
                <w:szCs w:val="18"/>
              </w:rPr>
            </w:pPr>
            <w:r w:rsidRPr="003D6709">
              <w:rPr>
                <w:rFonts w:ascii="Arial Narrow" w:hAnsi="Arial Narrow"/>
                <w:bCs/>
                <w:color w:val="333333"/>
                <w:sz w:val="18"/>
                <w:szCs w:val="18"/>
              </w:rPr>
              <w:t>AND</w:t>
            </w:r>
          </w:p>
          <w:p w:rsidR="006F5B8E" w:rsidRPr="003D6709" w:rsidRDefault="006F5B8E" w:rsidP="00CE57C2">
            <w:pPr>
              <w:jc w:val="left"/>
              <w:rPr>
                <w:rFonts w:ascii="Arial Narrow" w:hAnsi="Arial Narrow"/>
                <w:i/>
                <w:color w:val="333333"/>
                <w:sz w:val="18"/>
                <w:szCs w:val="18"/>
              </w:rPr>
            </w:pPr>
            <w:r w:rsidRPr="003D6709">
              <w:rPr>
                <w:rFonts w:ascii="Arial Narrow" w:hAnsi="Arial Narrow"/>
                <w:bCs/>
                <w:color w:val="333333"/>
                <w:sz w:val="18"/>
                <w:szCs w:val="18"/>
              </w:rPr>
              <w:t xml:space="preserve">Patient must not have </w:t>
            </w:r>
            <w:r w:rsidRPr="003D6709">
              <w:rPr>
                <w:rFonts w:ascii="Arial Narrow" w:hAnsi="Arial Narrow"/>
                <w:bCs/>
                <w:strike/>
                <w:color w:val="333333"/>
                <w:sz w:val="18"/>
                <w:szCs w:val="18"/>
              </w:rPr>
              <w:t xml:space="preserve">previously </w:t>
            </w:r>
            <w:r w:rsidRPr="003D6709">
              <w:rPr>
                <w:rFonts w:ascii="Arial Narrow" w:hAnsi="Arial Narrow"/>
                <w:bCs/>
                <w:color w:val="333333"/>
                <w:sz w:val="18"/>
                <w:szCs w:val="18"/>
              </w:rPr>
              <w:t xml:space="preserve">received </w:t>
            </w:r>
            <w:r w:rsidRPr="003D6709">
              <w:rPr>
                <w:rFonts w:ascii="Arial Narrow" w:hAnsi="Arial Narrow"/>
                <w:bCs/>
                <w:strike/>
                <w:color w:val="333333"/>
                <w:sz w:val="18"/>
                <w:szCs w:val="18"/>
              </w:rPr>
              <w:t>PBS-subsidised</w:t>
            </w:r>
            <w:r w:rsidRPr="003D6709">
              <w:rPr>
                <w:rFonts w:ascii="Arial Narrow" w:hAnsi="Arial Narrow"/>
                <w:bCs/>
                <w:color w:val="333333"/>
                <w:sz w:val="18"/>
                <w:szCs w:val="18"/>
              </w:rPr>
              <w:t xml:space="preserve"> treatment with another </w:t>
            </w:r>
            <w:proofErr w:type="spellStart"/>
            <w:r w:rsidRPr="003D6709">
              <w:rPr>
                <w:rFonts w:ascii="Arial Narrow" w:hAnsi="Arial Narrow"/>
                <w:bCs/>
                <w:i/>
                <w:color w:val="333333"/>
                <w:sz w:val="18"/>
                <w:szCs w:val="18"/>
              </w:rPr>
              <w:t>Bruton’s</w:t>
            </w:r>
            <w:proofErr w:type="spellEnd"/>
            <w:r w:rsidRPr="003D6709">
              <w:rPr>
                <w:rFonts w:ascii="Arial Narrow" w:hAnsi="Arial Narrow"/>
                <w:bCs/>
                <w:i/>
                <w:color w:val="333333"/>
                <w:sz w:val="18"/>
                <w:szCs w:val="18"/>
              </w:rPr>
              <w:t xml:space="preserve"> tyrosine kinase (</w:t>
            </w:r>
            <w:r w:rsidRPr="003D6709">
              <w:rPr>
                <w:rFonts w:ascii="Arial Narrow" w:hAnsi="Arial Narrow"/>
                <w:bCs/>
                <w:color w:val="333333"/>
                <w:sz w:val="18"/>
                <w:szCs w:val="18"/>
              </w:rPr>
              <w:t>BTK</w:t>
            </w:r>
            <w:r w:rsidRPr="003D6709">
              <w:rPr>
                <w:rFonts w:ascii="Arial Narrow" w:hAnsi="Arial Narrow"/>
                <w:bCs/>
                <w:i/>
                <w:color w:val="333333"/>
                <w:sz w:val="18"/>
                <w:szCs w:val="18"/>
              </w:rPr>
              <w:t>)</w:t>
            </w:r>
            <w:r w:rsidRPr="003D6709">
              <w:rPr>
                <w:rFonts w:ascii="Arial Narrow" w:hAnsi="Arial Narrow"/>
                <w:bCs/>
                <w:color w:val="333333"/>
                <w:sz w:val="18"/>
                <w:szCs w:val="18"/>
              </w:rPr>
              <w:t xml:space="preserve"> inhibitor </w:t>
            </w:r>
            <w:r w:rsidRPr="003D6709">
              <w:rPr>
                <w:rFonts w:ascii="Arial Narrow" w:hAnsi="Arial Narrow"/>
                <w:bCs/>
                <w:i/>
                <w:color w:val="333333"/>
                <w:sz w:val="18"/>
                <w:szCs w:val="18"/>
              </w:rPr>
              <w:t xml:space="preserve">for any line of treatment of CLL/SLL (untreated or relapsed/refractory disease); </w:t>
            </w:r>
            <w:r w:rsidRPr="003D6709">
              <w:rPr>
                <w:rFonts w:ascii="Arial Narrow" w:hAnsi="Arial Narrow"/>
                <w:bCs/>
                <w:color w:val="333333"/>
                <w:sz w:val="18"/>
                <w:szCs w:val="18"/>
              </w:rPr>
              <w:t>or</w:t>
            </w:r>
            <w:r w:rsidRPr="003D6709">
              <w:rPr>
                <w:rFonts w:ascii="Arial Narrow" w:hAnsi="Arial Narrow"/>
                <w:bCs/>
                <w:i/>
                <w:color w:val="333333"/>
                <w:sz w:val="18"/>
                <w:szCs w:val="18"/>
              </w:rPr>
              <w:t xml:space="preserve"> </w:t>
            </w:r>
          </w:p>
          <w:p w:rsidR="006F5B8E" w:rsidRPr="003D6709" w:rsidRDefault="006F5B8E" w:rsidP="00CE57C2">
            <w:pPr>
              <w:jc w:val="left"/>
              <w:rPr>
                <w:rFonts w:ascii="Arial Narrow" w:hAnsi="Arial Narrow"/>
                <w:color w:val="333333"/>
                <w:sz w:val="18"/>
                <w:szCs w:val="18"/>
              </w:rPr>
            </w:pPr>
            <w:r w:rsidRPr="003D6709">
              <w:rPr>
                <w:rFonts w:ascii="Arial Narrow" w:hAnsi="Arial Narrow"/>
                <w:bCs/>
                <w:color w:val="333333"/>
                <w:sz w:val="18"/>
                <w:szCs w:val="18"/>
              </w:rPr>
              <w:t xml:space="preserve">Patient must have developed intolerance to another </w:t>
            </w:r>
            <w:proofErr w:type="spellStart"/>
            <w:r w:rsidRPr="003D6709">
              <w:rPr>
                <w:rFonts w:ascii="Arial Narrow" w:hAnsi="Arial Narrow"/>
                <w:bCs/>
                <w:i/>
                <w:color w:val="333333"/>
                <w:sz w:val="18"/>
                <w:szCs w:val="18"/>
              </w:rPr>
              <w:t>Bruton’s</w:t>
            </w:r>
            <w:proofErr w:type="spellEnd"/>
            <w:r w:rsidRPr="003D6709">
              <w:rPr>
                <w:rFonts w:ascii="Arial Narrow" w:hAnsi="Arial Narrow"/>
                <w:bCs/>
                <w:i/>
                <w:color w:val="333333"/>
                <w:sz w:val="18"/>
                <w:szCs w:val="18"/>
              </w:rPr>
              <w:t xml:space="preserve"> tyrosine kinase (</w:t>
            </w:r>
            <w:r w:rsidRPr="003D6709">
              <w:rPr>
                <w:rFonts w:ascii="Arial Narrow" w:hAnsi="Arial Narrow"/>
                <w:bCs/>
                <w:color w:val="333333"/>
                <w:sz w:val="18"/>
                <w:szCs w:val="18"/>
              </w:rPr>
              <w:t>BTK</w:t>
            </w:r>
            <w:r w:rsidRPr="003D6709">
              <w:rPr>
                <w:rFonts w:ascii="Arial Narrow" w:hAnsi="Arial Narrow"/>
                <w:bCs/>
                <w:i/>
                <w:color w:val="333333"/>
                <w:sz w:val="18"/>
                <w:szCs w:val="18"/>
              </w:rPr>
              <w:t>)</w:t>
            </w:r>
            <w:r w:rsidRPr="003D6709">
              <w:rPr>
                <w:rFonts w:ascii="Arial Narrow" w:hAnsi="Arial Narrow"/>
                <w:bCs/>
                <w:color w:val="333333"/>
                <w:sz w:val="18"/>
                <w:szCs w:val="18"/>
              </w:rPr>
              <w:t xml:space="preserve"> inhibitor of a severity necessitating permanent treatment withdrawal</w:t>
            </w:r>
            <w:r w:rsidRPr="003D6709">
              <w:rPr>
                <w:rFonts w:ascii="Arial Narrow" w:hAnsi="Arial Narrow"/>
                <w:bCs/>
                <w:i/>
                <w:color w:val="333333"/>
                <w:sz w:val="18"/>
                <w:szCs w:val="18"/>
              </w:rPr>
              <w:t xml:space="preserve"> when being treated for relapsed or refractory CLL/SLL</w:t>
            </w:r>
          </w:p>
          <w:p w:rsidR="006F5B8E" w:rsidRPr="003D6709" w:rsidRDefault="006F5B8E" w:rsidP="00CE57C2">
            <w:pPr>
              <w:jc w:val="left"/>
              <w:rPr>
                <w:rFonts w:ascii="Arial Narrow" w:hAnsi="Arial Narrow"/>
                <w:bCs/>
                <w:color w:val="333333"/>
                <w:sz w:val="18"/>
                <w:szCs w:val="18"/>
              </w:rPr>
            </w:pPr>
            <w:r w:rsidRPr="003D6709">
              <w:rPr>
                <w:rFonts w:ascii="Arial Narrow" w:hAnsi="Arial Narrow"/>
                <w:bCs/>
                <w:color w:val="333333"/>
                <w:sz w:val="18"/>
                <w:szCs w:val="18"/>
              </w:rPr>
              <w:t>AND</w:t>
            </w:r>
          </w:p>
          <w:p w:rsidR="006F5B8E" w:rsidRPr="003D6709" w:rsidRDefault="006F5B8E" w:rsidP="00CE57C2">
            <w:pPr>
              <w:jc w:val="left"/>
              <w:rPr>
                <w:rFonts w:ascii="Arial Narrow" w:hAnsi="Arial Narrow"/>
                <w:b/>
                <w:bCs/>
                <w:color w:val="333333"/>
                <w:sz w:val="18"/>
                <w:szCs w:val="18"/>
              </w:rPr>
            </w:pPr>
            <w:r w:rsidRPr="003D6709">
              <w:rPr>
                <w:rFonts w:ascii="Arial Narrow" w:hAnsi="Arial Narrow"/>
                <w:bCs/>
                <w:color w:val="333333"/>
                <w:sz w:val="18"/>
                <w:szCs w:val="18"/>
              </w:rPr>
              <w:t>Patient must be considered unsuitable for treatment or retreatment with a purine analogue</w:t>
            </w:r>
          </w:p>
        </w:tc>
      </w:tr>
      <w:tr w:rsidR="006E3E83" w:rsidRPr="003D6709" w:rsidTr="007633F2">
        <w:tc>
          <w:tcPr>
            <w:tcW w:w="766" w:type="pct"/>
            <w:hideMark/>
          </w:tcPr>
          <w:p w:rsidR="006E3E83"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Prescribing instructions:</w:t>
            </w:r>
          </w:p>
          <w:p w:rsidR="006E3E83" w:rsidRPr="003D6709" w:rsidRDefault="006E3E83" w:rsidP="006F5B8E">
            <w:pPr>
              <w:jc w:val="left"/>
              <w:rPr>
                <w:rFonts w:ascii="Arial Narrow" w:hAnsi="Arial Narrow"/>
                <w:b/>
                <w:color w:val="333333"/>
                <w:sz w:val="18"/>
                <w:szCs w:val="18"/>
              </w:rPr>
            </w:pPr>
          </w:p>
        </w:tc>
        <w:tc>
          <w:tcPr>
            <w:tcW w:w="4234" w:type="pct"/>
            <w:vAlign w:val="center"/>
            <w:hideMark/>
          </w:tcPr>
          <w:p w:rsidR="006E3E83" w:rsidRPr="003D6709" w:rsidRDefault="006E3E83" w:rsidP="00CE57C2">
            <w:pPr>
              <w:jc w:val="left"/>
              <w:rPr>
                <w:rFonts w:ascii="Arial Narrow" w:hAnsi="Arial Narrow"/>
                <w:bCs/>
                <w:color w:val="333333"/>
                <w:sz w:val="18"/>
                <w:szCs w:val="18"/>
              </w:rPr>
            </w:pPr>
            <w:r w:rsidRPr="003D6709">
              <w:rPr>
                <w:rFonts w:ascii="Arial Narrow" w:hAnsi="Arial Narrow"/>
                <w:bCs/>
                <w:color w:val="333333"/>
                <w:sz w:val="18"/>
                <w:szCs w:val="18"/>
              </w:rPr>
              <w:t>A patient is considered unsuitable for treatment or retreatment with a purine analogue as demonstrated by at least one of the following:</w:t>
            </w:r>
          </w:p>
          <w:p w:rsidR="006E3E83" w:rsidRPr="003D6709" w:rsidRDefault="006E3E83" w:rsidP="00CE57C2">
            <w:pPr>
              <w:jc w:val="left"/>
              <w:rPr>
                <w:rFonts w:ascii="Arial Narrow" w:hAnsi="Arial Narrow"/>
                <w:bCs/>
                <w:color w:val="333333"/>
                <w:sz w:val="18"/>
                <w:szCs w:val="18"/>
              </w:rPr>
            </w:pPr>
            <w:r w:rsidRPr="003D6709">
              <w:rPr>
                <w:rFonts w:ascii="Arial Narrow" w:hAnsi="Arial Narrow"/>
                <w:bCs/>
                <w:color w:val="333333"/>
                <w:sz w:val="18"/>
                <w:szCs w:val="18"/>
              </w:rPr>
              <w:t xml:space="preserve">a) Failure to respond (stable disease or disease progression on treatment), or a progression-free interval of less than 3 years from treatment with a purine analogue-based therapy and anti-CD20-containing </w:t>
            </w:r>
            <w:proofErr w:type="spellStart"/>
            <w:r w:rsidRPr="003D6709">
              <w:rPr>
                <w:rFonts w:ascii="Arial Narrow" w:hAnsi="Arial Narrow"/>
                <w:bCs/>
                <w:color w:val="333333"/>
                <w:sz w:val="18"/>
                <w:szCs w:val="18"/>
              </w:rPr>
              <w:t>chemoimmunotherapy</w:t>
            </w:r>
            <w:proofErr w:type="spellEnd"/>
            <w:r w:rsidRPr="003D6709">
              <w:rPr>
                <w:rFonts w:ascii="Arial Narrow" w:hAnsi="Arial Narrow"/>
                <w:bCs/>
                <w:color w:val="333333"/>
                <w:sz w:val="18"/>
                <w:szCs w:val="18"/>
              </w:rPr>
              <w:t xml:space="preserve"> regimen after at least two cycles;</w:t>
            </w:r>
          </w:p>
          <w:p w:rsidR="006E3E83" w:rsidRPr="003D6709" w:rsidRDefault="006E3E83" w:rsidP="00CE57C2">
            <w:pPr>
              <w:jc w:val="left"/>
              <w:rPr>
                <w:rFonts w:ascii="Arial Narrow" w:hAnsi="Arial Narrow"/>
                <w:bCs/>
                <w:color w:val="333333"/>
                <w:sz w:val="18"/>
                <w:szCs w:val="18"/>
              </w:rPr>
            </w:pPr>
            <w:r w:rsidRPr="003D6709">
              <w:rPr>
                <w:rFonts w:ascii="Arial Narrow" w:hAnsi="Arial Narrow"/>
                <w:bCs/>
                <w:color w:val="333333"/>
                <w:sz w:val="18"/>
                <w:szCs w:val="18"/>
              </w:rPr>
              <w:t>b) Age is 70 years or older;</w:t>
            </w:r>
          </w:p>
          <w:p w:rsidR="006E3E83" w:rsidRPr="003D6709" w:rsidRDefault="006E3E83" w:rsidP="00CE57C2">
            <w:pPr>
              <w:jc w:val="left"/>
              <w:rPr>
                <w:rFonts w:ascii="Arial Narrow" w:hAnsi="Arial Narrow"/>
                <w:bCs/>
                <w:color w:val="333333"/>
                <w:sz w:val="18"/>
                <w:szCs w:val="18"/>
              </w:rPr>
            </w:pPr>
            <w:r w:rsidRPr="003D6709">
              <w:rPr>
                <w:rFonts w:ascii="Arial Narrow" w:hAnsi="Arial Narrow"/>
                <w:bCs/>
                <w:color w:val="333333"/>
                <w:sz w:val="18"/>
                <w:szCs w:val="18"/>
              </w:rPr>
              <w:t xml:space="preserve">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3D6709">
              <w:rPr>
                <w:rFonts w:ascii="Arial Narrow" w:hAnsi="Arial Narrow"/>
                <w:bCs/>
                <w:color w:val="333333"/>
                <w:sz w:val="18"/>
                <w:szCs w:val="18"/>
              </w:rPr>
              <w:t>chemoimmunotherapy</w:t>
            </w:r>
            <w:proofErr w:type="spellEnd"/>
            <w:r w:rsidRPr="003D6709">
              <w:rPr>
                <w:rFonts w:ascii="Arial Narrow" w:hAnsi="Arial Narrow"/>
                <w:bCs/>
                <w:color w:val="333333"/>
                <w:sz w:val="18"/>
                <w:szCs w:val="18"/>
              </w:rPr>
              <w:t xml:space="preserve"> regimen;</w:t>
            </w:r>
          </w:p>
          <w:p w:rsidR="006E3E83" w:rsidRPr="003D6709" w:rsidRDefault="006E3E83" w:rsidP="00CE57C2">
            <w:pPr>
              <w:jc w:val="left"/>
              <w:rPr>
                <w:rFonts w:ascii="Arial Narrow" w:hAnsi="Arial Narrow"/>
                <w:bCs/>
                <w:color w:val="333333"/>
                <w:sz w:val="18"/>
                <w:szCs w:val="18"/>
              </w:rPr>
            </w:pPr>
            <w:r w:rsidRPr="003D6709">
              <w:rPr>
                <w:rFonts w:ascii="Arial Narrow" w:hAnsi="Arial Narrow"/>
                <w:bCs/>
                <w:color w:val="333333"/>
                <w:sz w:val="18"/>
                <w:szCs w:val="18"/>
              </w:rPr>
              <w:t>d) History of purine analogue-associated autoimmune anaemia or autoimmune thrombocytopenia;</w:t>
            </w:r>
          </w:p>
          <w:p w:rsidR="006E3E83" w:rsidRPr="003D6709" w:rsidRDefault="006E3E83" w:rsidP="00CE57C2">
            <w:pPr>
              <w:rPr>
                <w:rFonts w:ascii="Arial Narrow" w:hAnsi="Arial Narrow"/>
                <w:bCs/>
                <w:color w:val="333333"/>
                <w:sz w:val="18"/>
                <w:szCs w:val="18"/>
              </w:rPr>
            </w:pPr>
            <w:r w:rsidRPr="003D6709">
              <w:rPr>
                <w:rFonts w:ascii="Arial Narrow" w:hAnsi="Arial Narrow"/>
                <w:bCs/>
                <w:color w:val="333333"/>
                <w:sz w:val="18"/>
                <w:szCs w:val="18"/>
              </w:rPr>
              <w:t>e) Evidence of one or more 17p chromosomal deletions demonstrated by fluorescence in situ hybridisation (FISH)</w:t>
            </w:r>
          </w:p>
        </w:tc>
      </w:tr>
      <w:tr w:rsidR="006F5B8E" w:rsidRPr="003D6709" w:rsidTr="007633F2">
        <w:trPr>
          <w:trHeight w:val="453"/>
        </w:trPr>
        <w:tc>
          <w:tcPr>
            <w:tcW w:w="766" w:type="pct"/>
            <w:hideMark/>
          </w:tcPr>
          <w:p w:rsidR="006F5B8E" w:rsidRPr="003D6709" w:rsidRDefault="006F5B8E" w:rsidP="006F5B8E">
            <w:pPr>
              <w:jc w:val="left"/>
              <w:rPr>
                <w:rFonts w:ascii="Arial Narrow" w:hAnsi="Arial Narrow"/>
                <w:b/>
                <w:color w:val="333333"/>
                <w:sz w:val="18"/>
                <w:szCs w:val="18"/>
              </w:rPr>
            </w:pPr>
            <w:r w:rsidRPr="003D6709">
              <w:rPr>
                <w:rFonts w:ascii="Arial Narrow" w:hAnsi="Arial Narrow"/>
                <w:b/>
                <w:color w:val="333333"/>
                <w:sz w:val="18"/>
                <w:szCs w:val="18"/>
              </w:rPr>
              <w:t>Administrative advice:</w:t>
            </w:r>
          </w:p>
        </w:tc>
        <w:tc>
          <w:tcPr>
            <w:tcW w:w="4234" w:type="pct"/>
            <w:vAlign w:val="center"/>
            <w:hideMark/>
          </w:tcPr>
          <w:p w:rsidR="006F5B8E" w:rsidRPr="003D6709" w:rsidRDefault="006F5B8E" w:rsidP="00CE57C2">
            <w:pPr>
              <w:rPr>
                <w:rFonts w:ascii="Arial Narrow" w:hAnsi="Arial Narrow"/>
                <w:color w:val="333333"/>
                <w:sz w:val="18"/>
                <w:szCs w:val="18"/>
              </w:rPr>
            </w:pPr>
            <w:r w:rsidRPr="003D6709">
              <w:rPr>
                <w:rFonts w:ascii="Arial Narrow" w:hAnsi="Arial Narrow"/>
                <w:i/>
                <w:color w:val="333333"/>
                <w:sz w:val="18"/>
                <w:szCs w:val="18"/>
              </w:rPr>
              <w:t>No increase in the maximum number of repeats may be authorised.</w:t>
            </w:r>
          </w:p>
          <w:p w:rsidR="006F5B8E" w:rsidRPr="003D6709" w:rsidRDefault="006F5B8E" w:rsidP="00CE57C2">
            <w:pPr>
              <w:rPr>
                <w:rFonts w:ascii="Arial Narrow" w:hAnsi="Arial Narrow"/>
                <w:color w:val="333333"/>
                <w:sz w:val="18"/>
                <w:szCs w:val="18"/>
              </w:rPr>
            </w:pPr>
            <w:r w:rsidRPr="003D6709">
              <w:rPr>
                <w:rFonts w:ascii="Arial Narrow" w:hAnsi="Arial Narrow"/>
                <w:i/>
                <w:color w:val="333333"/>
                <w:sz w:val="18"/>
                <w:szCs w:val="18"/>
              </w:rPr>
              <w:t xml:space="preserve">Special Pricing Arrangements apply. </w:t>
            </w:r>
          </w:p>
        </w:tc>
      </w:tr>
    </w:tbl>
    <w:p w:rsidR="006E3E83" w:rsidRPr="003D6709" w:rsidRDefault="006E3E83" w:rsidP="006E3E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1"/>
        <w:gridCol w:w="7636"/>
      </w:tblGrid>
      <w:tr w:rsidR="006E3E83" w:rsidRPr="003D6709" w:rsidTr="007633F2">
        <w:tc>
          <w:tcPr>
            <w:tcW w:w="766" w:type="pct"/>
            <w:tcBorders>
              <w:top w:val="single" w:sz="4" w:space="0" w:color="auto"/>
              <w:left w:val="single" w:sz="4" w:space="0" w:color="auto"/>
              <w:bottom w:val="single" w:sz="4" w:space="0" w:color="auto"/>
              <w:right w:val="single" w:sz="4" w:space="0" w:color="auto"/>
            </w:tcBorders>
          </w:tcPr>
          <w:p w:rsidR="006E3E83" w:rsidRPr="003D6709" w:rsidRDefault="006F5B8E" w:rsidP="00FF7CAE">
            <w:pPr>
              <w:jc w:val="left"/>
              <w:rPr>
                <w:rFonts w:ascii="Arial Narrow" w:hAnsi="Arial Narrow"/>
                <w:b/>
                <w:sz w:val="18"/>
                <w:szCs w:val="18"/>
              </w:rPr>
            </w:pPr>
            <w:r w:rsidRPr="003D6709">
              <w:rPr>
                <w:rFonts w:ascii="Arial Narrow" w:hAnsi="Arial Narrow"/>
                <w:b/>
                <w:sz w:val="18"/>
                <w:szCs w:val="18"/>
              </w:rPr>
              <w:t>Category/Program:</w:t>
            </w: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sz w:val="18"/>
                <w:szCs w:val="18"/>
              </w:rPr>
            </w:pPr>
            <w:r w:rsidRPr="003D6709">
              <w:rPr>
                <w:rFonts w:ascii="Arial Narrow" w:hAnsi="Arial Narrow"/>
                <w:sz w:val="18"/>
                <w:szCs w:val="18"/>
              </w:rPr>
              <w:t xml:space="preserve">GENERAL – General Schedule (Code GE) </w:t>
            </w:r>
          </w:p>
        </w:tc>
      </w:tr>
      <w:tr w:rsidR="006E3E83" w:rsidRPr="003D6709" w:rsidTr="007633F2">
        <w:trPr>
          <w:trHeight w:val="49"/>
        </w:trPr>
        <w:tc>
          <w:tcPr>
            <w:tcW w:w="766" w:type="pct"/>
            <w:tcBorders>
              <w:top w:val="single" w:sz="4" w:space="0" w:color="auto"/>
              <w:left w:val="single" w:sz="4" w:space="0" w:color="auto"/>
              <w:bottom w:val="single" w:sz="4" w:space="0" w:color="auto"/>
              <w:right w:val="single" w:sz="4" w:space="0" w:color="auto"/>
            </w:tcBorders>
          </w:tcPr>
          <w:p w:rsidR="006E3E83" w:rsidRPr="003D6709" w:rsidRDefault="00FF7CAE" w:rsidP="00FF7CAE">
            <w:pPr>
              <w:jc w:val="left"/>
              <w:rPr>
                <w:rFonts w:ascii="Arial Narrow" w:hAnsi="Arial Narrow"/>
                <w:b/>
                <w:sz w:val="18"/>
                <w:szCs w:val="18"/>
              </w:rPr>
            </w:pPr>
            <w:r w:rsidRPr="003D6709">
              <w:rPr>
                <w:rFonts w:ascii="Arial Narrow" w:hAnsi="Arial Narrow"/>
                <w:b/>
                <w:sz w:val="18"/>
                <w:szCs w:val="18"/>
              </w:rPr>
              <w:lastRenderedPageBreak/>
              <w:t>Prescriber type</w:t>
            </w:r>
            <w:r w:rsidR="006F5B8E" w:rsidRPr="003D6709">
              <w:rPr>
                <w:rFonts w:ascii="Arial Narrow" w:hAnsi="Arial Narrow"/>
                <w:b/>
                <w:sz w:val="18"/>
                <w:szCs w:val="18"/>
              </w:rPr>
              <w:t>:</w:t>
            </w: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Dental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Medical Practitioners  </w:t>
            </w:r>
            <w:r w:rsidRPr="003D6709">
              <w:rPr>
                <w:rFonts w:ascii="Arial Narrow" w:hAnsi="Arial Narrow"/>
                <w:sz w:val="18"/>
                <w:szCs w:val="18"/>
              </w:rPr>
              <w:fldChar w:fldCharType="begin">
                <w:ffData>
                  <w:name w:val="Check3"/>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Nurse practitioners  </w:t>
            </w: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Optometrists    </w:t>
            </w:r>
            <w:r w:rsidRPr="003D6709">
              <w:rPr>
                <w:rFonts w:ascii="Arial Narrow" w:hAnsi="Arial Narrow"/>
                <w:sz w:val="18"/>
                <w:szCs w:val="18"/>
              </w:rPr>
              <w:fldChar w:fldCharType="begin">
                <w:ffData>
                  <w:name w:val="Check5"/>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Midwives</w:t>
            </w:r>
          </w:p>
        </w:tc>
      </w:tr>
      <w:tr w:rsidR="006E3E83" w:rsidRPr="003D6709" w:rsidTr="007633F2">
        <w:tc>
          <w:tcPr>
            <w:tcW w:w="766" w:type="pct"/>
            <w:tcBorders>
              <w:top w:val="single" w:sz="4" w:space="0" w:color="auto"/>
              <w:left w:val="single" w:sz="4" w:space="0" w:color="auto"/>
              <w:bottom w:val="single" w:sz="4" w:space="0" w:color="auto"/>
              <w:right w:val="single" w:sz="4" w:space="0" w:color="auto"/>
            </w:tcBorders>
          </w:tcPr>
          <w:p w:rsidR="006E3E83" w:rsidRPr="003D6709" w:rsidRDefault="006F5B8E" w:rsidP="00FF7CAE">
            <w:pPr>
              <w:jc w:val="left"/>
              <w:rPr>
                <w:rFonts w:ascii="Arial Narrow" w:hAnsi="Arial Narrow"/>
                <w:b/>
                <w:sz w:val="18"/>
                <w:szCs w:val="18"/>
              </w:rPr>
            </w:pPr>
            <w:r w:rsidRPr="003D6709">
              <w:rPr>
                <w:rFonts w:ascii="Arial Narrow" w:hAnsi="Arial Narrow"/>
                <w:b/>
                <w:sz w:val="18"/>
                <w:szCs w:val="18"/>
              </w:rPr>
              <w:t>Restriction level/Method</w:t>
            </w:r>
            <w:r w:rsidR="00FF7CAE" w:rsidRPr="003D6709">
              <w:rPr>
                <w:rFonts w:ascii="Arial Narrow" w:hAnsi="Arial Narrow"/>
                <w:b/>
                <w:sz w:val="18"/>
                <w:szCs w:val="18"/>
              </w:rPr>
              <w:t>:</w:t>
            </w:r>
          </w:p>
          <w:p w:rsidR="006E3E83" w:rsidRPr="003D6709" w:rsidRDefault="006E3E83" w:rsidP="00FF7CAE">
            <w:pPr>
              <w:jc w:val="left"/>
              <w:rPr>
                <w:rFonts w:ascii="Arial Narrow" w:hAnsi="Arial Narrow"/>
                <w:b/>
                <w:sz w:val="18"/>
                <w:szCs w:val="18"/>
              </w:rPr>
            </w:pPr>
          </w:p>
          <w:p w:rsidR="006E3E83" w:rsidRPr="003D6709" w:rsidRDefault="006E3E83" w:rsidP="00FF7CAE">
            <w:pPr>
              <w:jc w:val="left"/>
              <w:rPr>
                <w:rFonts w:ascii="Arial Narrow" w:hAnsi="Arial Narrow"/>
                <w:b/>
                <w:sz w:val="18"/>
                <w:szCs w:val="18"/>
              </w:rPr>
            </w:pP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Unrestricted benefit</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Restricted benefit</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Authority Required – In Writing</w:t>
            </w:r>
          </w:p>
          <w:p w:rsidR="006E3E83" w:rsidRPr="003D6709" w:rsidRDefault="006E3E83" w:rsidP="00CE57C2">
            <w:pPr>
              <w:rPr>
                <w:rFonts w:ascii="Arial Narrow" w:hAnsi="Arial Narrow"/>
                <w:sz w:val="18"/>
                <w:szCs w:val="18"/>
              </w:rPr>
            </w:pP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i/>
                <w:sz w:val="18"/>
                <w:szCs w:val="18"/>
              </w:rPr>
              <w:t>Authority Required – Telephone/Electronic/Emergency</w:t>
            </w:r>
          </w:p>
          <w:p w:rsidR="006E3E83" w:rsidRPr="003D6709" w:rsidRDefault="006E3E83" w:rsidP="00CE57C2">
            <w:pPr>
              <w:rPr>
                <w:rFonts w:ascii="Arial Narrow" w:hAnsi="Arial Narrow"/>
                <w:strike/>
                <w:sz w:val="18"/>
                <w:szCs w:val="18"/>
              </w:rPr>
            </w:pPr>
            <w:r w:rsidRPr="003D6709">
              <w:rPr>
                <w:rFonts w:ascii="Arial Narrow" w:hAnsi="Arial Narrow"/>
                <w:strike/>
                <w:sz w:val="18"/>
                <w:szCs w:val="18"/>
              </w:rPr>
              <w:fldChar w:fldCharType="begin">
                <w:ffData>
                  <w:name w:val=""/>
                  <w:enabled/>
                  <w:calcOnExit w:val="0"/>
                  <w:checkBox>
                    <w:sizeAuto/>
                    <w:default w:val="1"/>
                  </w:checkBox>
                </w:ffData>
              </w:fldChar>
            </w:r>
            <w:r w:rsidRPr="003D6709">
              <w:rPr>
                <w:rFonts w:ascii="Arial Narrow" w:hAnsi="Arial Narrow"/>
                <w:strike/>
                <w:sz w:val="18"/>
                <w:szCs w:val="18"/>
              </w:rPr>
              <w:instrText xml:space="preserve"> FORMCHECKBOX </w:instrText>
            </w:r>
            <w:r w:rsidR="005E63F7">
              <w:rPr>
                <w:rFonts w:ascii="Arial Narrow" w:hAnsi="Arial Narrow"/>
                <w:strike/>
                <w:sz w:val="18"/>
                <w:szCs w:val="18"/>
              </w:rPr>
            </w:r>
            <w:r w:rsidR="005E63F7">
              <w:rPr>
                <w:rFonts w:ascii="Arial Narrow" w:hAnsi="Arial Narrow"/>
                <w:strike/>
                <w:sz w:val="18"/>
                <w:szCs w:val="18"/>
              </w:rPr>
              <w:fldChar w:fldCharType="separate"/>
            </w:r>
            <w:r w:rsidRPr="003D6709">
              <w:rPr>
                <w:rFonts w:ascii="Arial Narrow" w:hAnsi="Arial Narrow"/>
                <w:strike/>
                <w:sz w:val="18"/>
                <w:szCs w:val="18"/>
              </w:rPr>
              <w:fldChar w:fldCharType="end"/>
            </w:r>
            <w:r w:rsidRPr="003D6709">
              <w:rPr>
                <w:rFonts w:ascii="Arial Narrow" w:hAnsi="Arial Narrow"/>
                <w:strike/>
                <w:sz w:val="18"/>
                <w:szCs w:val="18"/>
              </w:rPr>
              <w:t>Authority Required - Streamlined</w:t>
            </w:r>
          </w:p>
        </w:tc>
      </w:tr>
      <w:tr w:rsidR="006E3E83" w:rsidRPr="003D6709" w:rsidTr="007633F2">
        <w:tc>
          <w:tcPr>
            <w:tcW w:w="766" w:type="pct"/>
          </w:tcPr>
          <w:p w:rsidR="006E3E83" w:rsidRPr="003D6709" w:rsidRDefault="006F5B8E" w:rsidP="00FF7CAE">
            <w:pPr>
              <w:jc w:val="left"/>
              <w:rPr>
                <w:rFonts w:ascii="Arial Narrow" w:hAnsi="Arial Narrow"/>
                <w:b/>
                <w:color w:val="333333"/>
                <w:sz w:val="18"/>
                <w:szCs w:val="18"/>
              </w:rPr>
            </w:pPr>
            <w:r w:rsidRPr="003D6709">
              <w:rPr>
                <w:rFonts w:ascii="Arial Narrow" w:hAnsi="Arial Narrow"/>
                <w:b/>
                <w:color w:val="333333"/>
                <w:sz w:val="18"/>
                <w:szCs w:val="18"/>
              </w:rPr>
              <w:t>Episodicity:</w:t>
            </w:r>
          </w:p>
        </w:tc>
        <w:tc>
          <w:tcPr>
            <w:tcW w:w="4234" w:type="pct"/>
            <w:vAlign w:val="center"/>
          </w:tcPr>
          <w:p w:rsidR="006E3E83" w:rsidRPr="003D6709" w:rsidRDefault="006E3E83" w:rsidP="00CE57C2">
            <w:pPr>
              <w:rPr>
                <w:rFonts w:ascii="Arial Narrow" w:hAnsi="Arial Narrow"/>
                <w:b/>
                <w:bCs/>
                <w:color w:val="333333"/>
                <w:sz w:val="18"/>
                <w:szCs w:val="18"/>
              </w:rPr>
            </w:pPr>
            <w:r w:rsidRPr="003D6709">
              <w:rPr>
                <w:rFonts w:ascii="Arial Narrow" w:hAnsi="Arial Narrow"/>
                <w:i/>
                <w:color w:val="333333"/>
                <w:sz w:val="18"/>
                <w:szCs w:val="18"/>
              </w:rPr>
              <w:t>Relapsed or refractory</w:t>
            </w:r>
          </w:p>
        </w:tc>
      </w:tr>
      <w:tr w:rsidR="006E3E83" w:rsidRPr="003D6709" w:rsidTr="007633F2">
        <w:tc>
          <w:tcPr>
            <w:tcW w:w="766" w:type="pct"/>
          </w:tcPr>
          <w:p w:rsidR="006E3E83" w:rsidRPr="003D6709" w:rsidRDefault="006F5B8E" w:rsidP="00FF7CAE">
            <w:pPr>
              <w:jc w:val="left"/>
              <w:rPr>
                <w:rFonts w:ascii="Arial Narrow" w:hAnsi="Arial Narrow"/>
                <w:b/>
                <w:color w:val="333333"/>
                <w:sz w:val="18"/>
                <w:szCs w:val="18"/>
              </w:rPr>
            </w:pPr>
            <w:r w:rsidRPr="003D6709">
              <w:rPr>
                <w:rFonts w:ascii="Arial Narrow" w:hAnsi="Arial Narrow"/>
                <w:b/>
                <w:color w:val="333333"/>
                <w:sz w:val="18"/>
                <w:szCs w:val="18"/>
              </w:rPr>
              <w:t>Condition:</w:t>
            </w:r>
          </w:p>
        </w:tc>
        <w:tc>
          <w:tcPr>
            <w:tcW w:w="4234" w:type="pct"/>
            <w:vAlign w:val="center"/>
          </w:tcPr>
          <w:p w:rsidR="006E3E83" w:rsidRPr="003D6709" w:rsidRDefault="006E3E83" w:rsidP="00CE57C2">
            <w:pPr>
              <w:rPr>
                <w:rFonts w:ascii="Arial Narrow" w:hAnsi="Arial Narrow"/>
                <w:b/>
                <w:bCs/>
                <w:color w:val="333333"/>
                <w:sz w:val="18"/>
                <w:szCs w:val="18"/>
              </w:rPr>
            </w:pPr>
            <w:proofErr w:type="spellStart"/>
            <w:r w:rsidRPr="003D6709">
              <w:rPr>
                <w:rFonts w:ascii="Arial Narrow" w:hAnsi="Arial Narrow"/>
                <w:strike/>
                <w:color w:val="333333"/>
                <w:sz w:val="18"/>
                <w:szCs w:val="18"/>
              </w:rPr>
              <w:t>C</w:t>
            </w:r>
            <w:r w:rsidRPr="003D6709">
              <w:rPr>
                <w:rFonts w:ascii="Arial Narrow" w:hAnsi="Arial Narrow"/>
                <w:i/>
                <w:color w:val="333333"/>
                <w:sz w:val="18"/>
                <w:szCs w:val="18"/>
              </w:rPr>
              <w:t>c</w:t>
            </w:r>
            <w:r w:rsidRPr="003D6709">
              <w:rPr>
                <w:rFonts w:ascii="Arial Narrow" w:hAnsi="Arial Narrow"/>
                <w:color w:val="333333"/>
                <w:sz w:val="18"/>
                <w:szCs w:val="18"/>
              </w:rPr>
              <w:t>hronic</w:t>
            </w:r>
            <w:proofErr w:type="spellEnd"/>
            <w:r w:rsidRPr="003D6709">
              <w:rPr>
                <w:rFonts w:ascii="Arial Narrow" w:hAnsi="Arial Narrow"/>
                <w:color w:val="333333"/>
                <w:sz w:val="18"/>
                <w:szCs w:val="18"/>
              </w:rPr>
              <w:t xml:space="preserve"> lymphocytic leukaemia (CLL) or small lymphocytic lymphoma (SLL)</w:t>
            </w:r>
          </w:p>
        </w:tc>
      </w:tr>
      <w:tr w:rsidR="006E3E83" w:rsidRPr="003D6709" w:rsidTr="007633F2">
        <w:tc>
          <w:tcPr>
            <w:tcW w:w="766" w:type="pct"/>
            <w:hideMark/>
          </w:tcPr>
          <w:p w:rsidR="006E3E83" w:rsidRPr="003D6709" w:rsidRDefault="006F5B8E" w:rsidP="00FF7CAE">
            <w:pPr>
              <w:jc w:val="left"/>
              <w:rPr>
                <w:rFonts w:ascii="Arial Narrow" w:hAnsi="Arial Narrow"/>
                <w:b/>
                <w:color w:val="333333"/>
                <w:sz w:val="18"/>
                <w:szCs w:val="18"/>
              </w:rPr>
            </w:pPr>
            <w:r w:rsidRPr="003D6709">
              <w:rPr>
                <w:rFonts w:ascii="Arial Narrow" w:hAnsi="Arial Narrow"/>
                <w:b/>
                <w:color w:val="333333"/>
                <w:sz w:val="18"/>
                <w:szCs w:val="18"/>
              </w:rPr>
              <w:t>Indication:</w:t>
            </w:r>
          </w:p>
        </w:tc>
        <w:tc>
          <w:tcPr>
            <w:tcW w:w="4234" w:type="pct"/>
            <w:vAlign w:val="center"/>
            <w:hideMark/>
          </w:tcPr>
          <w:p w:rsidR="006E3E83" w:rsidRPr="003D6709" w:rsidRDefault="006E3E83" w:rsidP="00CE57C2">
            <w:pPr>
              <w:jc w:val="left"/>
              <w:rPr>
                <w:rFonts w:ascii="Arial Narrow" w:hAnsi="Arial Narrow"/>
                <w:color w:val="333333"/>
                <w:sz w:val="18"/>
                <w:szCs w:val="18"/>
              </w:rPr>
            </w:pPr>
            <w:r w:rsidRPr="003D6709">
              <w:rPr>
                <w:rFonts w:ascii="Arial Narrow" w:hAnsi="Arial Narrow"/>
                <w:strike/>
                <w:color w:val="333333"/>
                <w:sz w:val="18"/>
                <w:szCs w:val="18"/>
              </w:rPr>
              <w:t>Treatment or retreatment of</w:t>
            </w:r>
            <w:r w:rsidRPr="003D6709">
              <w:rPr>
                <w:rFonts w:ascii="Arial Narrow" w:hAnsi="Arial Narrow"/>
                <w:color w:val="333333"/>
                <w:sz w:val="18"/>
                <w:szCs w:val="18"/>
              </w:rPr>
              <w:t xml:space="preserve"> chronic lymphocytic leukaemia (CLL) or small lymphocytic lymphoma (SLL) </w:t>
            </w:r>
          </w:p>
        </w:tc>
      </w:tr>
      <w:tr w:rsidR="006E3E83" w:rsidRPr="003D6709" w:rsidTr="007633F2">
        <w:tc>
          <w:tcPr>
            <w:tcW w:w="766" w:type="pct"/>
            <w:hideMark/>
          </w:tcPr>
          <w:p w:rsidR="006E3E83" w:rsidRPr="003D6709" w:rsidRDefault="006F5B8E" w:rsidP="00FF7CAE">
            <w:pPr>
              <w:jc w:val="left"/>
              <w:rPr>
                <w:rFonts w:ascii="Arial Narrow" w:hAnsi="Arial Narrow"/>
                <w:b/>
                <w:color w:val="333333"/>
                <w:sz w:val="18"/>
                <w:szCs w:val="18"/>
              </w:rPr>
            </w:pPr>
            <w:r w:rsidRPr="003D6709">
              <w:rPr>
                <w:rFonts w:ascii="Arial Narrow" w:hAnsi="Arial Narrow"/>
                <w:b/>
                <w:color w:val="333333"/>
                <w:sz w:val="18"/>
                <w:szCs w:val="18"/>
              </w:rPr>
              <w:t>Treatment phase:</w:t>
            </w:r>
          </w:p>
        </w:tc>
        <w:tc>
          <w:tcPr>
            <w:tcW w:w="4234" w:type="pct"/>
            <w:vAlign w:val="center"/>
            <w:hideMark/>
          </w:tcPr>
          <w:p w:rsidR="006E3E83" w:rsidRPr="003D6709" w:rsidRDefault="006E3E83" w:rsidP="00CE57C2">
            <w:pPr>
              <w:rPr>
                <w:rFonts w:ascii="Arial Narrow" w:hAnsi="Arial Narrow"/>
                <w:i/>
                <w:color w:val="333333"/>
                <w:sz w:val="18"/>
                <w:szCs w:val="18"/>
              </w:rPr>
            </w:pPr>
            <w:r w:rsidRPr="003D6709">
              <w:rPr>
                <w:rFonts w:ascii="Arial Narrow" w:hAnsi="Arial Narrow"/>
                <w:color w:val="333333"/>
                <w:sz w:val="18"/>
                <w:szCs w:val="18"/>
              </w:rPr>
              <w:t xml:space="preserve">Continuing </w:t>
            </w:r>
            <w:r w:rsidRPr="003D6709">
              <w:rPr>
                <w:rFonts w:ascii="Arial Narrow" w:hAnsi="Arial Narrow"/>
                <w:i/>
                <w:color w:val="333333"/>
                <w:sz w:val="18"/>
                <w:szCs w:val="18"/>
              </w:rPr>
              <w:t>treatment of relapsed or refractory CLL/SLL</w:t>
            </w:r>
          </w:p>
        </w:tc>
      </w:tr>
      <w:tr w:rsidR="00FF7CAE" w:rsidRPr="003D6709" w:rsidTr="007633F2">
        <w:trPr>
          <w:trHeight w:val="1049"/>
        </w:trPr>
        <w:tc>
          <w:tcPr>
            <w:tcW w:w="766" w:type="pct"/>
          </w:tcPr>
          <w:p w:rsidR="00FF7CAE"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Clinical criteria</w:t>
            </w:r>
          </w:p>
        </w:tc>
        <w:tc>
          <w:tcPr>
            <w:tcW w:w="4234" w:type="pct"/>
          </w:tcPr>
          <w:p w:rsidR="00FF7CAE" w:rsidRPr="003D6709" w:rsidRDefault="00FF7CAE" w:rsidP="00FF7CAE">
            <w:pPr>
              <w:jc w:val="left"/>
              <w:rPr>
                <w:rFonts w:ascii="Arial Narrow" w:hAnsi="Arial Narrow"/>
                <w:b/>
                <w:bCs/>
                <w:color w:val="333333"/>
                <w:sz w:val="18"/>
                <w:szCs w:val="18"/>
              </w:rPr>
            </w:pPr>
            <w:r w:rsidRPr="003D6709">
              <w:rPr>
                <w:rFonts w:ascii="Arial Narrow" w:hAnsi="Arial Narrow"/>
                <w:color w:val="333333"/>
                <w:sz w:val="18"/>
                <w:szCs w:val="18"/>
              </w:rPr>
              <w:t>The treatment must be the sole PBS-subsidised therapy for this condition</w:t>
            </w:r>
          </w:p>
          <w:p w:rsidR="00FF7CAE" w:rsidRPr="003D6709" w:rsidRDefault="00FF7CAE" w:rsidP="00FF7CAE">
            <w:pPr>
              <w:jc w:val="left"/>
              <w:rPr>
                <w:rFonts w:ascii="Arial Narrow" w:hAnsi="Arial Narrow"/>
                <w:color w:val="333333"/>
                <w:sz w:val="18"/>
                <w:szCs w:val="18"/>
              </w:rPr>
            </w:pPr>
            <w:r w:rsidRPr="003D6709">
              <w:rPr>
                <w:rFonts w:ascii="Arial Narrow" w:hAnsi="Arial Narrow"/>
                <w:bCs/>
                <w:color w:val="333333"/>
                <w:sz w:val="18"/>
                <w:szCs w:val="18"/>
              </w:rPr>
              <w:t>AND</w:t>
            </w:r>
          </w:p>
          <w:p w:rsidR="00FF7CAE" w:rsidRPr="003D6709" w:rsidRDefault="00FF7CAE" w:rsidP="00FF7CAE">
            <w:pPr>
              <w:jc w:val="left"/>
              <w:rPr>
                <w:rFonts w:ascii="Arial Narrow" w:hAnsi="Arial Narrow"/>
                <w:color w:val="333333"/>
                <w:sz w:val="18"/>
                <w:szCs w:val="18"/>
              </w:rPr>
            </w:pPr>
            <w:r w:rsidRPr="003D6709">
              <w:rPr>
                <w:rFonts w:ascii="Arial Narrow" w:hAnsi="Arial Narrow"/>
                <w:color w:val="333333"/>
                <w:sz w:val="18"/>
                <w:szCs w:val="18"/>
              </w:rPr>
              <w:t>Patient must have previously received PBS-subsidised treatment with this drug for this condition</w:t>
            </w:r>
          </w:p>
          <w:p w:rsidR="00FF7CAE" w:rsidRPr="003D6709" w:rsidRDefault="00FF7CAE" w:rsidP="00FF7CAE">
            <w:pPr>
              <w:jc w:val="left"/>
              <w:rPr>
                <w:rFonts w:ascii="Arial Narrow" w:hAnsi="Arial Narrow"/>
                <w:color w:val="333333"/>
                <w:sz w:val="18"/>
                <w:szCs w:val="18"/>
              </w:rPr>
            </w:pPr>
            <w:r w:rsidRPr="003D6709">
              <w:rPr>
                <w:rFonts w:ascii="Arial Narrow" w:hAnsi="Arial Narrow"/>
                <w:bCs/>
                <w:color w:val="333333"/>
                <w:sz w:val="18"/>
                <w:szCs w:val="18"/>
              </w:rPr>
              <w:t>AND</w:t>
            </w:r>
          </w:p>
          <w:p w:rsidR="00FF7CAE" w:rsidRPr="003D6709" w:rsidRDefault="00FF7CAE" w:rsidP="00FF7CAE">
            <w:pPr>
              <w:jc w:val="left"/>
              <w:rPr>
                <w:rFonts w:ascii="Arial Narrow" w:hAnsi="Arial Narrow"/>
                <w:b/>
                <w:bCs/>
                <w:color w:val="333333"/>
                <w:sz w:val="18"/>
                <w:szCs w:val="18"/>
              </w:rPr>
            </w:pPr>
            <w:r w:rsidRPr="003D6709">
              <w:rPr>
                <w:rFonts w:ascii="Arial Narrow" w:hAnsi="Arial Narrow"/>
                <w:bCs/>
                <w:color w:val="333333"/>
                <w:sz w:val="18"/>
                <w:szCs w:val="18"/>
              </w:rPr>
              <w:t xml:space="preserve">Patient must not develop disease progression while receiving PBS-subsidised treatment with this drug for this condition </w:t>
            </w:r>
          </w:p>
        </w:tc>
      </w:tr>
      <w:tr w:rsidR="00FF7CAE" w:rsidRPr="003D6709" w:rsidTr="007633F2">
        <w:trPr>
          <w:trHeight w:val="453"/>
        </w:trPr>
        <w:tc>
          <w:tcPr>
            <w:tcW w:w="766" w:type="pct"/>
          </w:tcPr>
          <w:p w:rsidR="00FF7CAE"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Administrative advice:</w:t>
            </w:r>
          </w:p>
        </w:tc>
        <w:tc>
          <w:tcPr>
            <w:tcW w:w="4234" w:type="pct"/>
            <w:vAlign w:val="center"/>
            <w:hideMark/>
          </w:tcPr>
          <w:p w:rsidR="00FF7CAE" w:rsidRPr="003D6709" w:rsidRDefault="00FF7CAE" w:rsidP="00CE57C2">
            <w:pPr>
              <w:rPr>
                <w:rFonts w:ascii="Arial Narrow" w:hAnsi="Arial Narrow"/>
                <w:color w:val="333333"/>
                <w:sz w:val="18"/>
                <w:szCs w:val="18"/>
              </w:rPr>
            </w:pPr>
            <w:r w:rsidRPr="003D6709">
              <w:rPr>
                <w:rFonts w:ascii="Arial Narrow" w:hAnsi="Arial Narrow"/>
                <w:i/>
                <w:color w:val="333333"/>
                <w:sz w:val="18"/>
                <w:szCs w:val="18"/>
              </w:rPr>
              <w:t>No increase in the maximum number of repeats may be authorised.</w:t>
            </w:r>
          </w:p>
          <w:p w:rsidR="00FF7CAE" w:rsidRPr="003D6709" w:rsidRDefault="00FF7CAE" w:rsidP="00CE57C2">
            <w:pPr>
              <w:rPr>
                <w:rFonts w:ascii="Arial Narrow" w:hAnsi="Arial Narrow"/>
                <w:color w:val="333333"/>
                <w:sz w:val="18"/>
                <w:szCs w:val="18"/>
              </w:rPr>
            </w:pPr>
            <w:r w:rsidRPr="003D6709">
              <w:rPr>
                <w:rFonts w:ascii="Arial Narrow" w:hAnsi="Arial Narrow"/>
                <w:i/>
                <w:color w:val="333333"/>
                <w:sz w:val="18"/>
                <w:szCs w:val="18"/>
              </w:rPr>
              <w:t xml:space="preserve">Special Pricing Arrangements apply. </w:t>
            </w:r>
          </w:p>
        </w:tc>
      </w:tr>
    </w:tbl>
    <w:p w:rsidR="006E3E83" w:rsidRPr="003D6709" w:rsidRDefault="006E3E83" w:rsidP="006E3E8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1"/>
        <w:gridCol w:w="7636"/>
      </w:tblGrid>
      <w:tr w:rsidR="006E3E83" w:rsidRPr="003D6709" w:rsidTr="007633F2">
        <w:tc>
          <w:tcPr>
            <w:tcW w:w="766" w:type="pct"/>
            <w:tcBorders>
              <w:top w:val="single" w:sz="4" w:space="0" w:color="auto"/>
              <w:left w:val="single" w:sz="4" w:space="0" w:color="auto"/>
              <w:bottom w:val="single" w:sz="4" w:space="0" w:color="auto"/>
              <w:right w:val="single" w:sz="4" w:space="0" w:color="auto"/>
            </w:tcBorders>
          </w:tcPr>
          <w:p w:rsidR="006E3E83" w:rsidRPr="003D6709" w:rsidRDefault="00FF7CAE" w:rsidP="00FF7CAE">
            <w:pPr>
              <w:jc w:val="left"/>
              <w:rPr>
                <w:rFonts w:ascii="Arial Narrow" w:hAnsi="Arial Narrow"/>
                <w:b/>
                <w:sz w:val="18"/>
                <w:szCs w:val="18"/>
              </w:rPr>
            </w:pPr>
            <w:r w:rsidRPr="003D6709">
              <w:rPr>
                <w:rFonts w:ascii="Arial Narrow" w:hAnsi="Arial Narrow"/>
                <w:b/>
                <w:sz w:val="18"/>
                <w:szCs w:val="18"/>
              </w:rPr>
              <w:t>Category/Program:</w:t>
            </w: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i/>
                <w:sz w:val="18"/>
                <w:szCs w:val="18"/>
              </w:rPr>
            </w:pPr>
            <w:r w:rsidRPr="003D6709">
              <w:rPr>
                <w:rFonts w:ascii="Arial Narrow" w:hAnsi="Arial Narrow"/>
                <w:i/>
                <w:sz w:val="18"/>
                <w:szCs w:val="18"/>
              </w:rPr>
              <w:t xml:space="preserve">GENERAL – General Schedule (Code GE) </w:t>
            </w:r>
          </w:p>
        </w:tc>
      </w:tr>
      <w:tr w:rsidR="006E3E83" w:rsidRPr="003D6709" w:rsidTr="007633F2">
        <w:trPr>
          <w:trHeight w:val="49"/>
        </w:trPr>
        <w:tc>
          <w:tcPr>
            <w:tcW w:w="766" w:type="pct"/>
            <w:tcBorders>
              <w:top w:val="single" w:sz="4" w:space="0" w:color="auto"/>
              <w:left w:val="single" w:sz="4" w:space="0" w:color="auto"/>
              <w:bottom w:val="single" w:sz="4" w:space="0" w:color="auto"/>
              <w:right w:val="single" w:sz="4" w:space="0" w:color="auto"/>
            </w:tcBorders>
          </w:tcPr>
          <w:p w:rsidR="006E3E83" w:rsidRPr="003D6709" w:rsidRDefault="00FF7CAE" w:rsidP="00FF7CAE">
            <w:pPr>
              <w:jc w:val="left"/>
              <w:rPr>
                <w:rFonts w:ascii="Arial Narrow" w:hAnsi="Arial Narrow"/>
                <w:b/>
                <w:sz w:val="18"/>
                <w:szCs w:val="18"/>
              </w:rPr>
            </w:pPr>
            <w:r w:rsidRPr="003D6709">
              <w:rPr>
                <w:rFonts w:ascii="Arial Narrow" w:hAnsi="Arial Narrow"/>
                <w:b/>
                <w:sz w:val="18"/>
                <w:szCs w:val="18"/>
              </w:rPr>
              <w:t>Prescriber type:</w:t>
            </w: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FF7CAE">
            <w:pPr>
              <w:rPr>
                <w:rFonts w:ascii="Arial Narrow" w:hAnsi="Arial Narrow"/>
                <w:i/>
                <w:sz w:val="18"/>
                <w:szCs w:val="18"/>
              </w:rPr>
            </w:pPr>
            <w:r w:rsidRPr="003D6709">
              <w:rPr>
                <w:rFonts w:ascii="Arial Narrow" w:hAnsi="Arial Narrow"/>
                <w:b/>
                <w:i/>
                <w:sz w:val="18"/>
                <w:szCs w:val="18"/>
              </w:rPr>
              <w:t xml:space="preserve"> </w:t>
            </w:r>
            <w:r w:rsidRPr="003D6709">
              <w:rPr>
                <w:rFonts w:ascii="Arial Narrow" w:hAnsi="Arial Narrow"/>
                <w:i/>
                <w:sz w:val="18"/>
                <w:szCs w:val="18"/>
              </w:rPr>
              <w:fldChar w:fldCharType="begin">
                <w:ffData>
                  <w:name w:val="Check1"/>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 xml:space="preserve">Dental  </w:t>
            </w:r>
            <w:r w:rsidRPr="003D6709">
              <w:rPr>
                <w:rFonts w:ascii="Arial Narrow" w:hAnsi="Arial Narrow"/>
                <w:i/>
                <w:sz w:val="18"/>
                <w:szCs w:val="18"/>
              </w:rPr>
              <w:fldChar w:fldCharType="begin">
                <w:ffData>
                  <w:name w:val=""/>
                  <w:enabled/>
                  <w:calcOnExit w:val="0"/>
                  <w:checkBox>
                    <w:sizeAuto/>
                    <w:default w:val="1"/>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 xml:space="preserve">Medical Practitioners  </w:t>
            </w:r>
            <w:r w:rsidRPr="003D6709">
              <w:rPr>
                <w:rFonts w:ascii="Arial Narrow" w:hAnsi="Arial Narrow"/>
                <w:i/>
                <w:sz w:val="18"/>
                <w:szCs w:val="18"/>
              </w:rPr>
              <w:fldChar w:fldCharType="begin">
                <w:ffData>
                  <w:name w:val="Check3"/>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 xml:space="preserve">Nurse practitioners  </w:t>
            </w:r>
            <w:r w:rsidRPr="003D6709">
              <w:rPr>
                <w:rFonts w:ascii="Arial Narrow" w:hAnsi="Arial Narrow"/>
                <w:i/>
                <w:sz w:val="18"/>
                <w:szCs w:val="18"/>
              </w:rPr>
              <w:fldChar w:fldCharType="begin">
                <w:ffData>
                  <w:name w:val=""/>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 xml:space="preserve">Optometrists  </w:t>
            </w:r>
            <w:r w:rsidRPr="003D6709">
              <w:rPr>
                <w:rFonts w:ascii="Arial Narrow" w:hAnsi="Arial Narrow"/>
                <w:i/>
                <w:sz w:val="18"/>
                <w:szCs w:val="18"/>
              </w:rPr>
              <w:fldChar w:fldCharType="begin">
                <w:ffData>
                  <w:name w:val="Check5"/>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Midwives</w:t>
            </w:r>
          </w:p>
        </w:tc>
      </w:tr>
      <w:tr w:rsidR="006E3E83" w:rsidRPr="003D6709" w:rsidTr="007633F2">
        <w:tc>
          <w:tcPr>
            <w:tcW w:w="766" w:type="pct"/>
            <w:tcBorders>
              <w:top w:val="single" w:sz="4" w:space="0" w:color="auto"/>
              <w:left w:val="single" w:sz="4" w:space="0" w:color="auto"/>
              <w:bottom w:val="single" w:sz="4" w:space="0" w:color="auto"/>
              <w:right w:val="single" w:sz="4" w:space="0" w:color="auto"/>
            </w:tcBorders>
          </w:tcPr>
          <w:p w:rsidR="006E3E83" w:rsidRPr="003D6709" w:rsidRDefault="00FF7CAE" w:rsidP="00FF7CAE">
            <w:pPr>
              <w:jc w:val="left"/>
              <w:rPr>
                <w:rFonts w:ascii="Arial Narrow" w:hAnsi="Arial Narrow"/>
                <w:b/>
                <w:sz w:val="18"/>
                <w:szCs w:val="18"/>
              </w:rPr>
            </w:pPr>
            <w:r w:rsidRPr="003D6709">
              <w:rPr>
                <w:rFonts w:ascii="Arial Narrow" w:hAnsi="Arial Narrow"/>
                <w:b/>
                <w:sz w:val="18"/>
                <w:szCs w:val="18"/>
              </w:rPr>
              <w:t>Restriction level/Method:</w:t>
            </w:r>
          </w:p>
          <w:p w:rsidR="006E3E83" w:rsidRPr="003D6709" w:rsidRDefault="006E3E83" w:rsidP="00FF7CAE">
            <w:pPr>
              <w:jc w:val="left"/>
              <w:rPr>
                <w:rFonts w:ascii="Arial Narrow" w:hAnsi="Arial Narrow"/>
                <w:b/>
                <w:sz w:val="18"/>
                <w:szCs w:val="18"/>
              </w:rPr>
            </w:pPr>
          </w:p>
          <w:p w:rsidR="006E3E83" w:rsidRPr="003D6709" w:rsidRDefault="006E3E83" w:rsidP="00FF7CAE">
            <w:pPr>
              <w:jc w:val="left"/>
              <w:rPr>
                <w:rFonts w:ascii="Arial Narrow" w:hAnsi="Arial Narrow"/>
                <w:b/>
                <w:sz w:val="18"/>
                <w:szCs w:val="18"/>
              </w:rPr>
            </w:pPr>
          </w:p>
        </w:tc>
        <w:tc>
          <w:tcPr>
            <w:tcW w:w="4234" w:type="pct"/>
            <w:tcBorders>
              <w:top w:val="single" w:sz="4" w:space="0" w:color="auto"/>
              <w:left w:val="single" w:sz="4" w:space="0" w:color="auto"/>
              <w:bottom w:val="single" w:sz="4" w:space="0" w:color="auto"/>
              <w:right w:val="single" w:sz="4" w:space="0" w:color="auto"/>
            </w:tcBorders>
          </w:tcPr>
          <w:p w:rsidR="006E3E83" w:rsidRPr="003D6709" w:rsidRDefault="006E3E83" w:rsidP="00CE57C2">
            <w:pPr>
              <w:rPr>
                <w:rFonts w:ascii="Arial Narrow" w:hAnsi="Arial Narrow"/>
                <w:i/>
                <w:sz w:val="18"/>
                <w:szCs w:val="18"/>
              </w:rPr>
            </w:pPr>
            <w:r w:rsidRPr="003D6709">
              <w:rPr>
                <w:rFonts w:ascii="Arial Narrow" w:hAnsi="Arial Narrow"/>
                <w:i/>
                <w:sz w:val="18"/>
                <w:szCs w:val="18"/>
              </w:rPr>
              <w:fldChar w:fldCharType="begin">
                <w:ffData>
                  <w:name w:val="Check1"/>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Unrestricted benefit</w:t>
            </w:r>
          </w:p>
          <w:p w:rsidR="006E3E83" w:rsidRPr="003D6709" w:rsidRDefault="006E3E83" w:rsidP="00CE57C2">
            <w:pPr>
              <w:rPr>
                <w:rFonts w:ascii="Arial Narrow" w:hAnsi="Arial Narrow"/>
                <w:i/>
                <w:sz w:val="18"/>
                <w:szCs w:val="18"/>
              </w:rPr>
            </w:pPr>
            <w:r w:rsidRPr="003D6709">
              <w:rPr>
                <w:rFonts w:ascii="Arial Narrow" w:hAnsi="Arial Narrow"/>
                <w:i/>
                <w:sz w:val="18"/>
                <w:szCs w:val="18"/>
              </w:rPr>
              <w:fldChar w:fldCharType="begin">
                <w:ffData>
                  <w:name w:val="Check1"/>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Restricted benefit</w:t>
            </w:r>
          </w:p>
          <w:p w:rsidR="006E3E83" w:rsidRPr="003D6709" w:rsidRDefault="006E3E83" w:rsidP="00CE57C2">
            <w:pPr>
              <w:rPr>
                <w:rFonts w:ascii="Arial Narrow" w:hAnsi="Arial Narrow"/>
                <w:i/>
                <w:sz w:val="18"/>
                <w:szCs w:val="18"/>
              </w:rPr>
            </w:pPr>
            <w:r w:rsidRPr="003D6709">
              <w:rPr>
                <w:rFonts w:ascii="Arial Narrow" w:hAnsi="Arial Narrow"/>
                <w:i/>
                <w:sz w:val="18"/>
                <w:szCs w:val="18"/>
              </w:rPr>
              <w:fldChar w:fldCharType="begin">
                <w:ffData>
                  <w:name w:val=""/>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Authority Required – In Writing</w:t>
            </w:r>
          </w:p>
          <w:p w:rsidR="006E3E83" w:rsidRPr="003D6709" w:rsidRDefault="006E3E83" w:rsidP="00CE57C2">
            <w:pPr>
              <w:rPr>
                <w:rFonts w:ascii="Arial Narrow" w:hAnsi="Arial Narrow"/>
                <w:i/>
                <w:sz w:val="18"/>
                <w:szCs w:val="18"/>
              </w:rPr>
            </w:pPr>
            <w:r w:rsidRPr="003D6709">
              <w:rPr>
                <w:rFonts w:ascii="Arial Narrow" w:hAnsi="Arial Narrow"/>
                <w:i/>
                <w:sz w:val="18"/>
                <w:szCs w:val="18"/>
              </w:rPr>
              <w:fldChar w:fldCharType="begin">
                <w:ffData>
                  <w:name w:val=""/>
                  <w:enabled/>
                  <w:calcOnExit w:val="0"/>
                  <w:checkBox>
                    <w:sizeAuto/>
                    <w:default w:val="1"/>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Authority Required – Telephone/Electronic/Emergency</w:t>
            </w:r>
          </w:p>
          <w:p w:rsidR="006E3E83" w:rsidRPr="003D6709" w:rsidRDefault="006E3E83" w:rsidP="00CE57C2">
            <w:pPr>
              <w:rPr>
                <w:rFonts w:ascii="Arial Narrow" w:hAnsi="Arial Narrow"/>
                <w:i/>
                <w:sz w:val="18"/>
                <w:szCs w:val="18"/>
              </w:rPr>
            </w:pPr>
            <w:r w:rsidRPr="003D6709">
              <w:rPr>
                <w:rFonts w:ascii="Arial Narrow" w:hAnsi="Arial Narrow"/>
                <w:i/>
                <w:sz w:val="18"/>
                <w:szCs w:val="18"/>
              </w:rPr>
              <w:fldChar w:fldCharType="begin">
                <w:ffData>
                  <w:name w:val=""/>
                  <w:enabled/>
                  <w:calcOnExit w:val="0"/>
                  <w:checkBox>
                    <w:sizeAuto/>
                    <w:default w:val="0"/>
                  </w:checkBox>
                </w:ffData>
              </w:fldChar>
            </w:r>
            <w:r w:rsidRPr="003D6709">
              <w:rPr>
                <w:rFonts w:ascii="Arial Narrow" w:hAnsi="Arial Narrow"/>
                <w:i/>
                <w:sz w:val="18"/>
                <w:szCs w:val="18"/>
              </w:rPr>
              <w:instrText xml:space="preserve"> FORMCHECKBOX </w:instrText>
            </w:r>
            <w:r w:rsidR="005E63F7">
              <w:rPr>
                <w:rFonts w:ascii="Arial Narrow" w:hAnsi="Arial Narrow"/>
                <w:i/>
                <w:sz w:val="18"/>
                <w:szCs w:val="18"/>
              </w:rPr>
            </w:r>
            <w:r w:rsidR="005E63F7">
              <w:rPr>
                <w:rFonts w:ascii="Arial Narrow" w:hAnsi="Arial Narrow"/>
                <w:i/>
                <w:sz w:val="18"/>
                <w:szCs w:val="18"/>
              </w:rPr>
              <w:fldChar w:fldCharType="separate"/>
            </w:r>
            <w:r w:rsidRPr="003D6709">
              <w:rPr>
                <w:rFonts w:ascii="Arial Narrow" w:hAnsi="Arial Narrow"/>
                <w:i/>
                <w:sz w:val="18"/>
                <w:szCs w:val="18"/>
              </w:rPr>
              <w:fldChar w:fldCharType="end"/>
            </w:r>
            <w:r w:rsidRPr="003D6709">
              <w:rPr>
                <w:rFonts w:ascii="Arial Narrow" w:hAnsi="Arial Narrow"/>
                <w:i/>
                <w:sz w:val="18"/>
                <w:szCs w:val="18"/>
              </w:rPr>
              <w:t>Authority Required - Streamlined</w:t>
            </w:r>
          </w:p>
        </w:tc>
      </w:tr>
      <w:tr w:rsidR="006E3E83" w:rsidRPr="003D6709" w:rsidTr="007633F2">
        <w:tc>
          <w:tcPr>
            <w:tcW w:w="766" w:type="pct"/>
          </w:tcPr>
          <w:p w:rsidR="006E3E83"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Episodicity:</w:t>
            </w:r>
          </w:p>
        </w:tc>
        <w:tc>
          <w:tcPr>
            <w:tcW w:w="4234" w:type="pct"/>
            <w:vAlign w:val="center"/>
          </w:tcPr>
          <w:p w:rsidR="006E3E83" w:rsidRPr="003D6709" w:rsidRDefault="006E3E83" w:rsidP="00CE57C2">
            <w:pPr>
              <w:rPr>
                <w:rFonts w:ascii="Arial Narrow" w:hAnsi="Arial Narrow"/>
                <w:b/>
                <w:bCs/>
                <w:i/>
                <w:color w:val="333333"/>
                <w:sz w:val="18"/>
                <w:szCs w:val="18"/>
              </w:rPr>
            </w:pPr>
            <w:r w:rsidRPr="003D6709">
              <w:rPr>
                <w:rFonts w:ascii="Arial Narrow" w:hAnsi="Arial Narrow"/>
                <w:i/>
                <w:color w:val="333333"/>
                <w:sz w:val="18"/>
                <w:szCs w:val="18"/>
              </w:rPr>
              <w:t>Relapsed or refractory</w:t>
            </w:r>
          </w:p>
        </w:tc>
      </w:tr>
      <w:tr w:rsidR="006E3E83" w:rsidRPr="003D6709" w:rsidTr="007633F2">
        <w:tc>
          <w:tcPr>
            <w:tcW w:w="766" w:type="pct"/>
          </w:tcPr>
          <w:p w:rsidR="006E3E83"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Condition:</w:t>
            </w:r>
          </w:p>
        </w:tc>
        <w:tc>
          <w:tcPr>
            <w:tcW w:w="4234" w:type="pct"/>
            <w:vAlign w:val="center"/>
          </w:tcPr>
          <w:p w:rsidR="006E3E83" w:rsidRPr="003D6709" w:rsidRDefault="006E3E83" w:rsidP="00CE57C2">
            <w:pPr>
              <w:rPr>
                <w:rFonts w:ascii="Arial Narrow" w:hAnsi="Arial Narrow"/>
                <w:b/>
                <w:bCs/>
                <w:i/>
                <w:color w:val="333333"/>
                <w:sz w:val="18"/>
                <w:szCs w:val="18"/>
              </w:rPr>
            </w:pPr>
            <w:r w:rsidRPr="003D6709">
              <w:rPr>
                <w:rFonts w:ascii="Arial Narrow" w:hAnsi="Arial Narrow"/>
                <w:i/>
                <w:color w:val="333333"/>
                <w:sz w:val="18"/>
                <w:szCs w:val="18"/>
              </w:rPr>
              <w:t>chronic lymphocytic leukaemia (CLL) or small lymphocytic lymphoma (SLL)</w:t>
            </w:r>
          </w:p>
        </w:tc>
      </w:tr>
      <w:tr w:rsidR="006E3E83" w:rsidRPr="003D6709" w:rsidTr="007633F2">
        <w:tc>
          <w:tcPr>
            <w:tcW w:w="766" w:type="pct"/>
            <w:hideMark/>
          </w:tcPr>
          <w:p w:rsidR="006E3E83"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Indication:</w:t>
            </w:r>
          </w:p>
        </w:tc>
        <w:tc>
          <w:tcPr>
            <w:tcW w:w="4234" w:type="pct"/>
            <w:vAlign w:val="center"/>
            <w:hideMark/>
          </w:tcPr>
          <w:p w:rsidR="006E3E83" w:rsidRPr="003D6709" w:rsidRDefault="006E3E83" w:rsidP="00CE57C2">
            <w:pPr>
              <w:jc w:val="left"/>
              <w:rPr>
                <w:rFonts w:ascii="Arial Narrow" w:hAnsi="Arial Narrow"/>
                <w:i/>
                <w:color w:val="333333"/>
                <w:sz w:val="18"/>
                <w:szCs w:val="18"/>
              </w:rPr>
            </w:pPr>
            <w:r w:rsidRPr="003D6709">
              <w:rPr>
                <w:rFonts w:ascii="Arial Narrow" w:hAnsi="Arial Narrow"/>
                <w:i/>
                <w:color w:val="333333"/>
                <w:sz w:val="18"/>
                <w:szCs w:val="18"/>
              </w:rPr>
              <w:t>Relapsed or refractory chronic lymphocytic leukaemia (CLL) or small lymphocytic lymphoma (SLL)</w:t>
            </w:r>
          </w:p>
        </w:tc>
      </w:tr>
      <w:tr w:rsidR="006E3E83" w:rsidRPr="003D6709" w:rsidTr="007633F2">
        <w:trPr>
          <w:trHeight w:val="176"/>
        </w:trPr>
        <w:tc>
          <w:tcPr>
            <w:tcW w:w="766" w:type="pct"/>
            <w:hideMark/>
          </w:tcPr>
          <w:p w:rsidR="006E3E83"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Treatment phase:</w:t>
            </w:r>
          </w:p>
        </w:tc>
        <w:tc>
          <w:tcPr>
            <w:tcW w:w="4234" w:type="pct"/>
            <w:vAlign w:val="center"/>
            <w:hideMark/>
          </w:tcPr>
          <w:p w:rsidR="006E3E83" w:rsidRPr="003D6709" w:rsidRDefault="006E3E83" w:rsidP="00CE57C2">
            <w:pPr>
              <w:rPr>
                <w:rFonts w:ascii="Arial Narrow" w:hAnsi="Arial Narrow"/>
                <w:i/>
                <w:color w:val="333333"/>
                <w:sz w:val="18"/>
                <w:szCs w:val="18"/>
              </w:rPr>
            </w:pPr>
            <w:r w:rsidRPr="003D6709">
              <w:rPr>
                <w:rFonts w:ascii="Arial Narrow" w:hAnsi="Arial Narrow"/>
                <w:i/>
                <w:color w:val="333333"/>
                <w:sz w:val="18"/>
                <w:szCs w:val="18"/>
              </w:rPr>
              <w:t>Grandfathering treatment (initial treatment in a patient commenced on non-PBS subsidised treatment)</w:t>
            </w:r>
          </w:p>
        </w:tc>
      </w:tr>
      <w:tr w:rsidR="00FF7CAE" w:rsidRPr="003D6709" w:rsidTr="007633F2">
        <w:trPr>
          <w:trHeight w:val="4711"/>
        </w:trPr>
        <w:tc>
          <w:tcPr>
            <w:tcW w:w="766" w:type="pct"/>
          </w:tcPr>
          <w:p w:rsidR="00FF7CAE"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Clinical criteria:</w:t>
            </w:r>
          </w:p>
        </w:tc>
        <w:tc>
          <w:tcPr>
            <w:tcW w:w="4234" w:type="pct"/>
          </w:tcPr>
          <w:p w:rsidR="00FF7CAE" w:rsidRPr="003D6709" w:rsidRDefault="00FF7CAE" w:rsidP="00FF7CAE">
            <w:pPr>
              <w:jc w:val="left"/>
              <w:rPr>
                <w:rFonts w:ascii="Arial Narrow" w:hAnsi="Arial Narrow"/>
                <w:bCs/>
                <w:i/>
                <w:color w:val="333333"/>
                <w:sz w:val="18"/>
                <w:szCs w:val="18"/>
              </w:rPr>
            </w:pPr>
            <w:r w:rsidRPr="003D6709">
              <w:rPr>
                <w:rFonts w:ascii="Arial Narrow" w:hAnsi="Arial Narrow"/>
                <w:i/>
                <w:color w:val="333333"/>
                <w:sz w:val="18"/>
                <w:szCs w:val="18"/>
              </w:rPr>
              <w:t>Patient must have previously received non-PBS-subsidised treatment with this drug for relapsed or refractory CLL/SLL prior to 1 Month 202X [insert listing date here]</w:t>
            </w:r>
          </w:p>
          <w:p w:rsidR="00FF7CAE" w:rsidRPr="003D6709" w:rsidRDefault="00FF7CAE" w:rsidP="00FF7CAE">
            <w:pPr>
              <w:jc w:val="left"/>
              <w:rPr>
                <w:rFonts w:ascii="Arial Narrow" w:hAnsi="Arial Narrow"/>
                <w:i/>
                <w:color w:val="333333"/>
                <w:sz w:val="18"/>
                <w:szCs w:val="18"/>
              </w:rPr>
            </w:pPr>
            <w:r w:rsidRPr="003D6709">
              <w:rPr>
                <w:rFonts w:ascii="Arial Narrow" w:hAnsi="Arial Narrow"/>
                <w:i/>
                <w:color w:val="333333"/>
                <w:sz w:val="18"/>
                <w:szCs w:val="18"/>
              </w:rPr>
              <w:t>AND</w:t>
            </w:r>
          </w:p>
          <w:p w:rsidR="00FF7CAE" w:rsidRPr="003D6709" w:rsidRDefault="00FF7CAE" w:rsidP="00FF7CAE">
            <w:pPr>
              <w:jc w:val="left"/>
              <w:rPr>
                <w:rFonts w:ascii="Arial Narrow" w:hAnsi="Arial Narrow"/>
                <w:i/>
                <w:color w:val="333333"/>
                <w:sz w:val="18"/>
                <w:szCs w:val="18"/>
              </w:rPr>
            </w:pPr>
            <w:r w:rsidRPr="003D6709">
              <w:rPr>
                <w:rFonts w:ascii="Arial Narrow" w:hAnsi="Arial Narrow"/>
                <w:i/>
                <w:color w:val="333333"/>
                <w:sz w:val="18"/>
                <w:szCs w:val="18"/>
              </w:rPr>
              <w:t>The treatment must be the sole PBS-subsidised therapy for this condition</w:t>
            </w:r>
          </w:p>
          <w:p w:rsidR="00FF7CAE" w:rsidRPr="003D6709" w:rsidRDefault="00FF7CAE" w:rsidP="00FF7CAE">
            <w:pPr>
              <w:jc w:val="left"/>
              <w:rPr>
                <w:rFonts w:ascii="Arial Narrow" w:hAnsi="Arial Narrow"/>
                <w:i/>
                <w:color w:val="333333"/>
                <w:sz w:val="18"/>
                <w:szCs w:val="18"/>
              </w:rPr>
            </w:pPr>
            <w:r w:rsidRPr="003D6709">
              <w:rPr>
                <w:rFonts w:ascii="Arial Narrow" w:hAnsi="Arial Narrow"/>
                <w:bCs/>
                <w:i/>
                <w:color w:val="333333"/>
                <w:sz w:val="18"/>
                <w:szCs w:val="18"/>
              </w:rPr>
              <w:t>AND</w:t>
            </w:r>
          </w:p>
          <w:p w:rsidR="00FF7CAE" w:rsidRPr="003D6709" w:rsidRDefault="00FF7CAE" w:rsidP="00FF7CAE">
            <w:pPr>
              <w:jc w:val="left"/>
              <w:rPr>
                <w:rFonts w:ascii="Arial Narrow" w:hAnsi="Arial Narrow"/>
                <w:i/>
                <w:color w:val="333333"/>
                <w:sz w:val="18"/>
                <w:szCs w:val="18"/>
              </w:rPr>
            </w:pPr>
            <w:r w:rsidRPr="003D6709">
              <w:rPr>
                <w:rFonts w:ascii="Arial Narrow" w:hAnsi="Arial Narrow"/>
                <w:i/>
                <w:color w:val="333333"/>
                <w:sz w:val="18"/>
                <w:szCs w:val="18"/>
              </w:rPr>
              <w:t>The condition must have relapsed or be refractory to at least one prior therapy prior to initiating non-PBS subsidised treatment with this drug for this condition</w:t>
            </w:r>
          </w:p>
          <w:p w:rsidR="00FF7CAE" w:rsidRPr="003D6709" w:rsidRDefault="00FF7CAE" w:rsidP="00FF7CAE">
            <w:pPr>
              <w:jc w:val="left"/>
              <w:rPr>
                <w:rFonts w:ascii="Arial Narrow" w:hAnsi="Arial Narrow"/>
                <w:i/>
                <w:color w:val="333333"/>
                <w:sz w:val="18"/>
                <w:szCs w:val="18"/>
              </w:rPr>
            </w:pPr>
            <w:r w:rsidRPr="003D6709">
              <w:rPr>
                <w:rFonts w:ascii="Arial Narrow" w:hAnsi="Arial Narrow"/>
                <w:bCs/>
                <w:i/>
                <w:color w:val="333333"/>
                <w:sz w:val="18"/>
                <w:szCs w:val="18"/>
              </w:rPr>
              <w:t>AND</w:t>
            </w:r>
          </w:p>
          <w:p w:rsidR="00FF7CAE" w:rsidRPr="003D6709" w:rsidRDefault="00FF7CAE" w:rsidP="00FF7CAE">
            <w:pPr>
              <w:jc w:val="left"/>
              <w:rPr>
                <w:rFonts w:ascii="Arial Narrow" w:hAnsi="Arial Narrow"/>
                <w:i/>
                <w:color w:val="333333"/>
                <w:sz w:val="18"/>
                <w:szCs w:val="18"/>
              </w:rPr>
            </w:pPr>
            <w:r w:rsidRPr="003D6709">
              <w:rPr>
                <w:rFonts w:ascii="Arial Narrow" w:hAnsi="Arial Narrow"/>
                <w:bCs/>
                <w:i/>
                <w:color w:val="333333"/>
                <w:sz w:val="18"/>
                <w:szCs w:val="18"/>
              </w:rPr>
              <w:t xml:space="preserve">Patient must have had a WHO performance status of </w:t>
            </w:r>
            <w:r w:rsidRPr="003D6709">
              <w:rPr>
                <w:rFonts w:ascii="Arial Narrow" w:hAnsi="Arial Narrow"/>
                <w:bCs/>
                <w:i/>
                <w:strike/>
                <w:color w:val="333333"/>
                <w:sz w:val="18"/>
                <w:szCs w:val="18"/>
              </w:rPr>
              <w:t>2 or less</w:t>
            </w:r>
            <w:r w:rsidRPr="003D6709">
              <w:rPr>
                <w:rFonts w:ascii="Arial Narrow" w:hAnsi="Arial Narrow"/>
                <w:bCs/>
                <w:i/>
                <w:color w:val="333333"/>
                <w:sz w:val="18"/>
                <w:szCs w:val="18"/>
              </w:rPr>
              <w:t xml:space="preserve"> 0 or 1 prior to initiating non-PBS subsidised treatment with this drug for this condition</w:t>
            </w:r>
          </w:p>
          <w:p w:rsidR="00FF7CAE" w:rsidRPr="003D6709" w:rsidRDefault="00FF7CAE" w:rsidP="00FF7CAE">
            <w:pPr>
              <w:jc w:val="left"/>
              <w:rPr>
                <w:rFonts w:ascii="Arial Narrow" w:hAnsi="Arial Narrow"/>
                <w:i/>
                <w:color w:val="333333"/>
                <w:sz w:val="18"/>
                <w:szCs w:val="18"/>
              </w:rPr>
            </w:pPr>
            <w:r w:rsidRPr="003D6709">
              <w:rPr>
                <w:rFonts w:ascii="Arial Narrow" w:hAnsi="Arial Narrow"/>
                <w:bCs/>
                <w:i/>
                <w:color w:val="333333"/>
                <w:sz w:val="18"/>
                <w:szCs w:val="18"/>
              </w:rPr>
              <w:t>AND</w:t>
            </w:r>
          </w:p>
          <w:p w:rsidR="00FF7CAE" w:rsidRPr="003D6709" w:rsidRDefault="00FF7CAE" w:rsidP="00FF7CAE">
            <w:pPr>
              <w:jc w:val="left"/>
              <w:rPr>
                <w:rFonts w:ascii="Arial Narrow" w:hAnsi="Arial Narrow"/>
                <w:i/>
                <w:color w:val="333333"/>
                <w:sz w:val="18"/>
                <w:szCs w:val="18"/>
              </w:rPr>
            </w:pPr>
            <w:r w:rsidRPr="003D6709">
              <w:rPr>
                <w:rFonts w:ascii="Arial Narrow" w:hAnsi="Arial Narrow"/>
                <w:bCs/>
                <w:i/>
                <w:color w:val="333333"/>
                <w:sz w:val="18"/>
                <w:szCs w:val="18"/>
              </w:rPr>
              <w:t>Patient must have been considered unsuitable for treatment or retreatment with a purine analogue</w:t>
            </w:r>
            <w:r w:rsidRPr="003D6709">
              <w:rPr>
                <w:i/>
              </w:rPr>
              <w:t xml:space="preserve"> </w:t>
            </w:r>
            <w:r w:rsidRPr="003D6709">
              <w:rPr>
                <w:rFonts w:ascii="Arial Narrow" w:hAnsi="Arial Narrow"/>
                <w:bCs/>
                <w:i/>
                <w:color w:val="333333"/>
                <w:sz w:val="18"/>
                <w:szCs w:val="18"/>
              </w:rPr>
              <w:t>prior to initiating non-PBS subsidised treatment with this drug for this condition</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bCs/>
                <w:i/>
                <w:color w:val="333333"/>
                <w:sz w:val="18"/>
                <w:szCs w:val="18"/>
              </w:rPr>
              <w:t>AND</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bCs/>
                <w:i/>
                <w:color w:val="333333"/>
                <w:sz w:val="18"/>
                <w:szCs w:val="18"/>
              </w:rPr>
              <w:t xml:space="preserve">Patient must not have received treatment with another </w:t>
            </w:r>
            <w:proofErr w:type="spellStart"/>
            <w:r w:rsidRPr="003D6709">
              <w:rPr>
                <w:rFonts w:ascii="Arial Narrow" w:hAnsi="Arial Narrow"/>
                <w:bCs/>
                <w:i/>
                <w:color w:val="333333"/>
                <w:sz w:val="18"/>
                <w:szCs w:val="18"/>
              </w:rPr>
              <w:t>Bruton’s</w:t>
            </w:r>
            <w:proofErr w:type="spellEnd"/>
            <w:r w:rsidRPr="003D6709">
              <w:rPr>
                <w:rFonts w:ascii="Arial Narrow" w:hAnsi="Arial Narrow"/>
                <w:bCs/>
                <w:i/>
                <w:color w:val="333333"/>
                <w:sz w:val="18"/>
                <w:szCs w:val="18"/>
              </w:rPr>
              <w:t xml:space="preserve"> tyrosine kinase (BTK) inhibitor for any line of treatment of CLL/SLL (untreated or relapsed/refractory disease) prior to initiating non-PBS subsidised treatment with this drug for this condition; or </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bCs/>
                <w:i/>
                <w:color w:val="333333"/>
                <w:sz w:val="18"/>
                <w:szCs w:val="18"/>
              </w:rPr>
              <w:t xml:space="preserve">Patient must have developed intolerance to another </w:t>
            </w:r>
            <w:proofErr w:type="spellStart"/>
            <w:r w:rsidRPr="003D6709">
              <w:rPr>
                <w:rFonts w:ascii="Arial Narrow" w:hAnsi="Arial Narrow"/>
                <w:bCs/>
                <w:i/>
                <w:color w:val="333333"/>
                <w:sz w:val="18"/>
                <w:szCs w:val="18"/>
              </w:rPr>
              <w:t>Bruton’s</w:t>
            </w:r>
            <w:proofErr w:type="spellEnd"/>
            <w:r w:rsidRPr="003D6709">
              <w:rPr>
                <w:rFonts w:ascii="Arial Narrow" w:hAnsi="Arial Narrow"/>
                <w:bCs/>
                <w:i/>
                <w:color w:val="333333"/>
                <w:sz w:val="18"/>
                <w:szCs w:val="18"/>
              </w:rPr>
              <w:t xml:space="preserve"> tyrosine kinase (BTK) inhibitor of a severity necessitating permanent treatment withdrawal when being treated for relapsed or refractory CLL/SLL</w:t>
            </w:r>
            <w:r w:rsidRPr="003D6709">
              <w:rPr>
                <w:i/>
              </w:rPr>
              <w:t xml:space="preserve"> </w:t>
            </w:r>
            <w:r w:rsidRPr="003D6709">
              <w:rPr>
                <w:rFonts w:ascii="Arial Narrow" w:hAnsi="Arial Narrow"/>
                <w:bCs/>
                <w:i/>
                <w:color w:val="333333"/>
                <w:sz w:val="18"/>
                <w:szCs w:val="18"/>
              </w:rPr>
              <w:t>prior to initiating non-PBS subsidised treatment with this drug for this condition</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bCs/>
                <w:i/>
                <w:color w:val="333333"/>
                <w:sz w:val="18"/>
                <w:szCs w:val="18"/>
              </w:rPr>
              <w:t>AND</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bCs/>
                <w:color w:val="333333"/>
                <w:sz w:val="18"/>
                <w:szCs w:val="18"/>
              </w:rPr>
              <w:t>Patient must be considered unsuitable for treatment or retreatment with a purine analogue</w:t>
            </w:r>
          </w:p>
          <w:p w:rsidR="00FF7CAE" w:rsidRPr="003D6709" w:rsidRDefault="00FF7CAE" w:rsidP="00FF7CAE">
            <w:pPr>
              <w:jc w:val="left"/>
              <w:rPr>
                <w:rFonts w:ascii="Arial Narrow" w:hAnsi="Arial Narrow"/>
                <w:bCs/>
                <w:color w:val="333333"/>
                <w:sz w:val="18"/>
                <w:szCs w:val="18"/>
              </w:rPr>
            </w:pPr>
            <w:r w:rsidRPr="003D6709">
              <w:rPr>
                <w:rFonts w:ascii="Arial Narrow" w:hAnsi="Arial Narrow"/>
                <w:bCs/>
                <w:color w:val="333333"/>
                <w:sz w:val="18"/>
                <w:szCs w:val="18"/>
              </w:rPr>
              <w:t>AND</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bCs/>
                <w:i/>
                <w:color w:val="333333"/>
                <w:sz w:val="18"/>
                <w:szCs w:val="18"/>
              </w:rPr>
              <w:t xml:space="preserve">Patient must not have developed disease progression while receiving treatment with this drug for this condition </w:t>
            </w:r>
          </w:p>
        </w:tc>
      </w:tr>
      <w:tr w:rsidR="006E3E83" w:rsidRPr="003D6709" w:rsidTr="007633F2">
        <w:tc>
          <w:tcPr>
            <w:tcW w:w="766" w:type="pct"/>
          </w:tcPr>
          <w:p w:rsidR="006E3E83"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t>Prescribing instructions:</w:t>
            </w:r>
          </w:p>
        </w:tc>
        <w:tc>
          <w:tcPr>
            <w:tcW w:w="4234" w:type="pct"/>
            <w:vAlign w:val="center"/>
          </w:tcPr>
          <w:p w:rsidR="006E3E83" w:rsidRPr="003D6709" w:rsidRDefault="006E3E83" w:rsidP="00CE57C2">
            <w:pPr>
              <w:rPr>
                <w:rFonts w:ascii="Arial Narrow" w:hAnsi="Arial Narrow"/>
                <w:b/>
                <w:bCs/>
                <w:i/>
                <w:color w:val="333333"/>
                <w:sz w:val="18"/>
                <w:szCs w:val="18"/>
              </w:rPr>
            </w:pPr>
            <w:r w:rsidRPr="003D6709">
              <w:rPr>
                <w:rFonts w:ascii="Arial Narrow" w:hAnsi="Arial Narrow"/>
                <w:b/>
                <w:bCs/>
                <w:i/>
                <w:color w:val="333333"/>
                <w:sz w:val="18"/>
                <w:szCs w:val="18"/>
              </w:rPr>
              <w:t xml:space="preserve">Prescribing Instructions: </w:t>
            </w:r>
          </w:p>
          <w:p w:rsidR="006E3E83" w:rsidRPr="003D6709" w:rsidRDefault="006E3E83" w:rsidP="00CE57C2">
            <w:pPr>
              <w:jc w:val="left"/>
              <w:rPr>
                <w:rFonts w:ascii="Arial Narrow" w:hAnsi="Arial Narrow"/>
                <w:bCs/>
                <w:i/>
                <w:color w:val="333333"/>
                <w:sz w:val="18"/>
                <w:szCs w:val="18"/>
              </w:rPr>
            </w:pPr>
            <w:r w:rsidRPr="003D6709">
              <w:rPr>
                <w:rFonts w:ascii="Arial Narrow" w:hAnsi="Arial Narrow"/>
                <w:bCs/>
                <w:i/>
                <w:color w:val="333333"/>
                <w:sz w:val="18"/>
                <w:szCs w:val="18"/>
              </w:rPr>
              <w:t>A patient is considered unsuitable for treatment or retreatment with a purine analogue as demonstrated by at least one of the following:</w:t>
            </w:r>
          </w:p>
          <w:p w:rsidR="006E3E83" w:rsidRPr="003D6709" w:rsidRDefault="006E3E83" w:rsidP="00CE57C2">
            <w:pPr>
              <w:jc w:val="left"/>
              <w:rPr>
                <w:rFonts w:ascii="Arial Narrow" w:hAnsi="Arial Narrow"/>
                <w:bCs/>
                <w:i/>
                <w:color w:val="333333"/>
                <w:sz w:val="18"/>
                <w:szCs w:val="18"/>
              </w:rPr>
            </w:pPr>
            <w:r w:rsidRPr="003D6709">
              <w:rPr>
                <w:rFonts w:ascii="Arial Narrow" w:hAnsi="Arial Narrow"/>
                <w:bCs/>
                <w:i/>
                <w:color w:val="333333"/>
                <w:sz w:val="18"/>
                <w:szCs w:val="18"/>
              </w:rPr>
              <w:lastRenderedPageBreak/>
              <w:t xml:space="preserve">a) Failure to respond (stable disease or disease progression on treatment), or a progression-free interval of less than 3 years from treatment with a purine analogue-based therapy and anti-CD20-containing </w:t>
            </w:r>
            <w:proofErr w:type="spellStart"/>
            <w:r w:rsidRPr="003D6709">
              <w:rPr>
                <w:rFonts w:ascii="Arial Narrow" w:hAnsi="Arial Narrow"/>
                <w:bCs/>
                <w:i/>
                <w:color w:val="333333"/>
                <w:sz w:val="18"/>
                <w:szCs w:val="18"/>
              </w:rPr>
              <w:t>chemoimmunotherapy</w:t>
            </w:r>
            <w:proofErr w:type="spellEnd"/>
            <w:r w:rsidRPr="003D6709">
              <w:rPr>
                <w:rFonts w:ascii="Arial Narrow" w:hAnsi="Arial Narrow"/>
                <w:bCs/>
                <w:i/>
                <w:color w:val="333333"/>
                <w:sz w:val="18"/>
                <w:szCs w:val="18"/>
              </w:rPr>
              <w:t xml:space="preserve"> regimen after at least two cycles;</w:t>
            </w:r>
          </w:p>
          <w:p w:rsidR="006E3E83" w:rsidRPr="003D6709" w:rsidRDefault="006E3E83" w:rsidP="00CE57C2">
            <w:pPr>
              <w:jc w:val="left"/>
              <w:rPr>
                <w:rFonts w:ascii="Arial Narrow" w:hAnsi="Arial Narrow"/>
                <w:bCs/>
                <w:i/>
                <w:color w:val="333333"/>
                <w:sz w:val="18"/>
                <w:szCs w:val="18"/>
              </w:rPr>
            </w:pPr>
            <w:r w:rsidRPr="003D6709">
              <w:rPr>
                <w:rFonts w:ascii="Arial Narrow" w:hAnsi="Arial Narrow"/>
                <w:bCs/>
                <w:i/>
                <w:color w:val="333333"/>
                <w:sz w:val="18"/>
                <w:szCs w:val="18"/>
              </w:rPr>
              <w:t>b) Age is 70 years or older;</w:t>
            </w:r>
          </w:p>
          <w:p w:rsidR="006E3E83" w:rsidRPr="003D6709" w:rsidRDefault="006E3E83" w:rsidP="00CE57C2">
            <w:pPr>
              <w:jc w:val="left"/>
              <w:rPr>
                <w:rFonts w:ascii="Arial Narrow" w:hAnsi="Arial Narrow"/>
                <w:bCs/>
                <w:i/>
                <w:color w:val="333333"/>
                <w:sz w:val="18"/>
                <w:szCs w:val="18"/>
              </w:rPr>
            </w:pPr>
            <w:r w:rsidRPr="003D6709">
              <w:rPr>
                <w:rFonts w:ascii="Arial Narrow" w:hAnsi="Arial Narrow"/>
                <w:bCs/>
                <w:i/>
                <w:color w:val="333333"/>
                <w:sz w:val="18"/>
                <w:szCs w:val="18"/>
              </w:rPr>
              <w:t xml:space="preserve">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3D6709">
              <w:rPr>
                <w:rFonts w:ascii="Arial Narrow" w:hAnsi="Arial Narrow"/>
                <w:bCs/>
                <w:i/>
                <w:color w:val="333333"/>
                <w:sz w:val="18"/>
                <w:szCs w:val="18"/>
              </w:rPr>
              <w:t>chemoimmunotherapy</w:t>
            </w:r>
            <w:proofErr w:type="spellEnd"/>
            <w:r w:rsidRPr="003D6709">
              <w:rPr>
                <w:rFonts w:ascii="Arial Narrow" w:hAnsi="Arial Narrow"/>
                <w:bCs/>
                <w:i/>
                <w:color w:val="333333"/>
                <w:sz w:val="18"/>
                <w:szCs w:val="18"/>
              </w:rPr>
              <w:t xml:space="preserve"> regimen;</w:t>
            </w:r>
          </w:p>
          <w:p w:rsidR="006E3E83" w:rsidRPr="003D6709" w:rsidRDefault="006E3E83" w:rsidP="00CE57C2">
            <w:pPr>
              <w:jc w:val="left"/>
              <w:rPr>
                <w:rFonts w:ascii="Arial Narrow" w:hAnsi="Arial Narrow"/>
                <w:bCs/>
                <w:i/>
                <w:color w:val="333333"/>
                <w:sz w:val="18"/>
                <w:szCs w:val="18"/>
              </w:rPr>
            </w:pPr>
            <w:r w:rsidRPr="003D6709">
              <w:rPr>
                <w:rFonts w:ascii="Arial Narrow" w:hAnsi="Arial Narrow"/>
                <w:bCs/>
                <w:i/>
                <w:color w:val="333333"/>
                <w:sz w:val="18"/>
                <w:szCs w:val="18"/>
              </w:rPr>
              <w:t>d) History of purine analogue-associated autoimmune anaemia or autoimmune thrombocytopenia;</w:t>
            </w:r>
          </w:p>
          <w:p w:rsidR="006E3E83" w:rsidRPr="003D6709" w:rsidRDefault="006E3E83" w:rsidP="00CE57C2">
            <w:pPr>
              <w:rPr>
                <w:rFonts w:ascii="Arial Narrow" w:hAnsi="Arial Narrow"/>
                <w:bCs/>
                <w:i/>
                <w:color w:val="333333"/>
                <w:sz w:val="18"/>
                <w:szCs w:val="18"/>
              </w:rPr>
            </w:pPr>
            <w:r w:rsidRPr="003D6709">
              <w:rPr>
                <w:rFonts w:ascii="Arial Narrow" w:hAnsi="Arial Narrow"/>
                <w:bCs/>
                <w:i/>
                <w:color w:val="333333"/>
                <w:sz w:val="18"/>
                <w:szCs w:val="18"/>
              </w:rPr>
              <w:t>e) Evidence of one or more 17p chromosomal deletions demonstrated by fluorescence in situ hybridisation (FISH)</w:t>
            </w:r>
          </w:p>
        </w:tc>
      </w:tr>
      <w:tr w:rsidR="00FF7CAE" w:rsidRPr="003D6709" w:rsidTr="007633F2">
        <w:trPr>
          <w:trHeight w:val="742"/>
        </w:trPr>
        <w:tc>
          <w:tcPr>
            <w:tcW w:w="766" w:type="pct"/>
          </w:tcPr>
          <w:p w:rsidR="00FF7CAE" w:rsidRPr="003D6709" w:rsidRDefault="00FF7CAE" w:rsidP="00FF7CAE">
            <w:pPr>
              <w:jc w:val="left"/>
              <w:rPr>
                <w:rFonts w:ascii="Arial Narrow" w:hAnsi="Arial Narrow"/>
                <w:b/>
                <w:color w:val="333333"/>
                <w:sz w:val="18"/>
                <w:szCs w:val="18"/>
              </w:rPr>
            </w:pPr>
            <w:r w:rsidRPr="003D6709">
              <w:rPr>
                <w:rFonts w:ascii="Arial Narrow" w:hAnsi="Arial Narrow"/>
                <w:b/>
                <w:color w:val="333333"/>
                <w:sz w:val="18"/>
                <w:szCs w:val="18"/>
              </w:rPr>
              <w:lastRenderedPageBreak/>
              <w:t>Administrative advice:</w:t>
            </w:r>
          </w:p>
        </w:tc>
        <w:tc>
          <w:tcPr>
            <w:tcW w:w="4234" w:type="pct"/>
          </w:tcPr>
          <w:p w:rsidR="00FF7CAE" w:rsidRPr="003D6709" w:rsidRDefault="00FF7CAE" w:rsidP="00FF7CAE">
            <w:pPr>
              <w:jc w:val="left"/>
              <w:rPr>
                <w:rFonts w:ascii="Arial Narrow" w:hAnsi="Arial Narrow"/>
                <w:bCs/>
                <w:i/>
                <w:color w:val="333333"/>
                <w:sz w:val="18"/>
                <w:szCs w:val="18"/>
              </w:rPr>
            </w:pPr>
            <w:r w:rsidRPr="003D6709">
              <w:rPr>
                <w:rFonts w:ascii="Arial Narrow" w:hAnsi="Arial Narrow"/>
                <w:bCs/>
                <w:i/>
                <w:color w:val="333333"/>
                <w:sz w:val="18"/>
                <w:szCs w:val="18"/>
              </w:rPr>
              <w:t>Patients may qualify for PBS-subsidised treatment under this restriction once only. For continuing PBS-subsidised treatment, a 'Grandfathered' patient must qualify under the 'Continuing treatment' criteria.</w:t>
            </w:r>
          </w:p>
          <w:p w:rsidR="00FF7CAE" w:rsidRPr="003D6709" w:rsidRDefault="00FF7CAE" w:rsidP="00FF7CAE">
            <w:pPr>
              <w:jc w:val="left"/>
              <w:rPr>
                <w:rFonts w:ascii="Arial Narrow" w:hAnsi="Arial Narrow"/>
                <w:b/>
                <w:bCs/>
                <w:i/>
                <w:color w:val="333333"/>
                <w:sz w:val="18"/>
                <w:szCs w:val="18"/>
              </w:rPr>
            </w:pPr>
            <w:r w:rsidRPr="003D6709">
              <w:rPr>
                <w:rFonts w:ascii="Arial Narrow" w:hAnsi="Arial Narrow"/>
                <w:i/>
                <w:color w:val="333333"/>
                <w:sz w:val="18"/>
                <w:szCs w:val="18"/>
              </w:rPr>
              <w:t xml:space="preserve">This grandfathering restriction will cease to operate from [insert date 12 months from listing date here] </w:t>
            </w:r>
          </w:p>
          <w:p w:rsidR="00FF7CAE" w:rsidRPr="003D6709" w:rsidRDefault="00FF7CAE" w:rsidP="00FF7CAE">
            <w:pPr>
              <w:jc w:val="left"/>
              <w:rPr>
                <w:rFonts w:ascii="Arial Narrow" w:hAnsi="Arial Narrow"/>
                <w:i/>
                <w:color w:val="333333"/>
                <w:sz w:val="18"/>
                <w:szCs w:val="18"/>
              </w:rPr>
            </w:pPr>
            <w:r w:rsidRPr="003D6709">
              <w:rPr>
                <w:rFonts w:ascii="Arial Narrow" w:hAnsi="Arial Narrow"/>
                <w:i/>
                <w:color w:val="333333"/>
                <w:sz w:val="18"/>
                <w:szCs w:val="18"/>
              </w:rPr>
              <w:t>No increase in the maximum number of repeats may be authorised.</w:t>
            </w:r>
          </w:p>
          <w:p w:rsidR="00FF7CAE" w:rsidRPr="003D6709" w:rsidRDefault="00FF7CAE" w:rsidP="00FF7CAE">
            <w:pPr>
              <w:jc w:val="left"/>
              <w:rPr>
                <w:rFonts w:ascii="Arial Narrow" w:hAnsi="Arial Narrow"/>
                <w:bCs/>
                <w:i/>
                <w:color w:val="333333"/>
                <w:sz w:val="18"/>
                <w:szCs w:val="18"/>
              </w:rPr>
            </w:pPr>
            <w:r w:rsidRPr="003D6709">
              <w:rPr>
                <w:rFonts w:ascii="Arial Narrow" w:hAnsi="Arial Narrow"/>
                <w:i/>
                <w:color w:val="333333"/>
                <w:sz w:val="18"/>
                <w:szCs w:val="18"/>
              </w:rPr>
              <w:t xml:space="preserve">Special Pricing Arrangements apply. </w:t>
            </w:r>
          </w:p>
        </w:tc>
      </w:tr>
    </w:tbl>
    <w:p w:rsidR="00517511" w:rsidRPr="003D6709" w:rsidRDefault="00517511" w:rsidP="00517511">
      <w:pPr>
        <w:pStyle w:val="ExecSumBodyText"/>
        <w:spacing w:before="120"/>
      </w:pPr>
      <w:r w:rsidRPr="003D6709">
        <w:t xml:space="preserve">The submission noted that ibrutinib is subject to a </w:t>
      </w:r>
      <w:r w:rsidR="00E75FF0" w:rsidRPr="003D6709">
        <w:t>S</w:t>
      </w:r>
      <w:r w:rsidRPr="003D6709">
        <w:t xml:space="preserve">pecial </w:t>
      </w:r>
      <w:r w:rsidR="00E75FF0" w:rsidRPr="003D6709">
        <w:t>P</w:t>
      </w:r>
      <w:r w:rsidRPr="003D6709">
        <w:t xml:space="preserve">ricing </w:t>
      </w:r>
      <w:r w:rsidR="00E75FF0" w:rsidRPr="003D6709">
        <w:t>A</w:t>
      </w:r>
      <w:r w:rsidRPr="003D6709">
        <w:t>rrangement</w:t>
      </w:r>
      <w:r w:rsidR="00E75FF0" w:rsidRPr="003D6709">
        <w:t xml:space="preserve"> (SPA)</w:t>
      </w:r>
      <w:r w:rsidR="00900174" w:rsidRPr="003D6709">
        <w:t xml:space="preserve"> and </w:t>
      </w:r>
      <w:r w:rsidRPr="003D6709">
        <w:t>request</w:t>
      </w:r>
      <w:r w:rsidR="00900174" w:rsidRPr="003D6709">
        <w:t>ed</w:t>
      </w:r>
      <w:r w:rsidR="00177CCE" w:rsidRPr="003D6709">
        <w:t xml:space="preserve"> </w:t>
      </w:r>
      <w:r w:rsidRPr="003D6709">
        <w:t xml:space="preserve">a </w:t>
      </w:r>
      <w:r w:rsidR="00E75FF0" w:rsidRPr="003D6709">
        <w:t>SPA</w:t>
      </w:r>
      <w:r w:rsidRPr="003D6709">
        <w:t xml:space="preserve"> to match the ibrutinib effective price. </w:t>
      </w:r>
    </w:p>
    <w:p w:rsidR="00675C5D" w:rsidRPr="003D6709" w:rsidRDefault="00675C5D" w:rsidP="00517511">
      <w:pPr>
        <w:pStyle w:val="ExecSumBodyText"/>
        <w:spacing w:before="120"/>
      </w:pPr>
      <w:r w:rsidRPr="003D6709">
        <w:t>The requested published Dispensed Price for Maximum Quantity (DPMQ) of $</w:t>
      </w:r>
      <w:r w:rsidR="004D4273">
        <w:rPr>
          <w:noProof/>
          <w:color w:val="000000"/>
          <w:highlight w:val="black"/>
        </w:rPr>
        <w:t>''''''''''''''''</w:t>
      </w:r>
      <w:r w:rsidRPr="003D6709">
        <w:t xml:space="preserve"> is higher than the DPMQ derived in the cost-minimisation analysis ($</w:t>
      </w:r>
      <w:r w:rsidR="004D4273">
        <w:rPr>
          <w:noProof/>
          <w:color w:val="000000"/>
          <w:highlight w:val="black"/>
        </w:rPr>
        <w:t>'''''''''''''''''</w:t>
      </w:r>
      <w:r w:rsidRPr="003D6709">
        <w:t xml:space="preserve">), which was based on the published price of ibrutinib. </w:t>
      </w:r>
    </w:p>
    <w:p w:rsidR="007E00CC" w:rsidRPr="003D6709" w:rsidRDefault="00A63AF0" w:rsidP="00A63AF0">
      <w:pPr>
        <w:pStyle w:val="ExecSumBodyText"/>
      </w:pPr>
      <w:r w:rsidRPr="003D6709">
        <w:t xml:space="preserve">The submission stated that the proposed restriction was based on the current ibrutinib </w:t>
      </w:r>
      <w:r w:rsidR="00D0681D" w:rsidRPr="003D6709">
        <w:t>R/R</w:t>
      </w:r>
      <w:r w:rsidRPr="003D6709">
        <w:t xml:space="preserve"> CLL</w:t>
      </w:r>
      <w:r w:rsidR="00347C6E" w:rsidRPr="003D6709">
        <w:t>/SLL</w:t>
      </w:r>
      <w:r w:rsidRPr="003D6709">
        <w:t xml:space="preserve"> restriction. </w:t>
      </w:r>
      <w:r w:rsidR="007E00CC" w:rsidRPr="003D6709">
        <w:t xml:space="preserve">The </w:t>
      </w:r>
      <w:r w:rsidR="00A16FBB" w:rsidRPr="003D6709">
        <w:t>differences noted</w:t>
      </w:r>
      <w:r w:rsidR="005A0198" w:rsidRPr="003D6709">
        <w:t xml:space="preserve"> include</w:t>
      </w:r>
      <w:r w:rsidR="00A16FBB" w:rsidRPr="003D6709">
        <w:t>:</w:t>
      </w:r>
      <w:r w:rsidR="007E00CC" w:rsidRPr="003D6709">
        <w:t xml:space="preserve"> </w:t>
      </w:r>
    </w:p>
    <w:p w:rsidR="007E00CC" w:rsidRPr="003D6709" w:rsidRDefault="007E00CC" w:rsidP="00AD6416">
      <w:pPr>
        <w:pStyle w:val="ExecSumBodyText"/>
        <w:numPr>
          <w:ilvl w:val="0"/>
          <w:numId w:val="10"/>
        </w:numPr>
        <w:spacing w:after="0"/>
        <w:ind w:left="1077" w:hanging="357"/>
      </w:pPr>
      <w:r w:rsidRPr="003D6709">
        <w:t>Broadening of the allowed WHO performance status from ≤</w:t>
      </w:r>
      <w:r w:rsidR="00B07F35" w:rsidRPr="003D6709">
        <w:t xml:space="preserve"> </w:t>
      </w:r>
      <w:r w:rsidRPr="003D6709">
        <w:t>1 to ≤</w:t>
      </w:r>
      <w:r w:rsidR="00B07F35" w:rsidRPr="003D6709">
        <w:t xml:space="preserve"> </w:t>
      </w:r>
      <w:r w:rsidRPr="003D6709">
        <w:t>2</w:t>
      </w:r>
      <w:r w:rsidR="00E75FF0" w:rsidRPr="003D6709">
        <w:t xml:space="preserve"> to align with the inclusion criteria of the key trial</w:t>
      </w:r>
      <w:r w:rsidR="00FB099F" w:rsidRPr="003D6709">
        <w:t>, ASCEND</w:t>
      </w:r>
      <w:r w:rsidRPr="003D6709">
        <w:t>;</w:t>
      </w:r>
    </w:p>
    <w:p w:rsidR="007E00CC" w:rsidRPr="003D6709" w:rsidRDefault="007E00CC" w:rsidP="00AD6416">
      <w:pPr>
        <w:pStyle w:val="ExecSumBodyText"/>
        <w:numPr>
          <w:ilvl w:val="0"/>
          <w:numId w:val="10"/>
        </w:numPr>
        <w:spacing w:after="0"/>
        <w:ind w:left="1077" w:hanging="357"/>
      </w:pPr>
      <w:r w:rsidRPr="003D6709">
        <w:t xml:space="preserve">Removal of the criterion </w:t>
      </w:r>
      <w:r w:rsidR="00A16FBB" w:rsidRPr="003D6709">
        <w:t xml:space="preserve">specifying </w:t>
      </w:r>
      <w:r w:rsidRPr="003D6709">
        <w:t xml:space="preserve">that a patient must not have previously received PBS-subsidised treatment with this drug for this condition, and replacement with </w:t>
      </w:r>
      <w:r w:rsidR="00EB2D11" w:rsidRPr="003D6709">
        <w:t xml:space="preserve">a </w:t>
      </w:r>
      <w:r w:rsidRPr="003D6709">
        <w:t xml:space="preserve">criterion </w:t>
      </w:r>
      <w:r w:rsidR="00A16FBB" w:rsidRPr="003D6709">
        <w:t xml:space="preserve">specifying </w:t>
      </w:r>
      <w:r w:rsidRPr="003D6709">
        <w:t xml:space="preserve">that a patient must not have previously received PBS-subsidised treatment with </w:t>
      </w:r>
      <w:r w:rsidR="00204B02" w:rsidRPr="003D6709">
        <w:t>“</w:t>
      </w:r>
      <w:r w:rsidRPr="003D6709">
        <w:t>another</w:t>
      </w:r>
      <w:r w:rsidR="00204B02" w:rsidRPr="003D6709">
        <w:t>”</w:t>
      </w:r>
      <w:r w:rsidRPr="003D6709">
        <w:t xml:space="preserve"> </w:t>
      </w:r>
      <w:proofErr w:type="spellStart"/>
      <w:r w:rsidRPr="003D6709">
        <w:t>Bruton’s</w:t>
      </w:r>
      <w:proofErr w:type="spellEnd"/>
      <w:r w:rsidRPr="003D6709">
        <w:t xml:space="preserve"> tyrosine kinase </w:t>
      </w:r>
      <w:r w:rsidR="0015555D" w:rsidRPr="003D6709">
        <w:t xml:space="preserve">(BTK) </w:t>
      </w:r>
      <w:r w:rsidRPr="003D6709">
        <w:t>inhibitor. Th</w:t>
      </w:r>
      <w:r w:rsidR="00EF2FC9" w:rsidRPr="003D6709">
        <w:t>is</w:t>
      </w:r>
      <w:r w:rsidRPr="003D6709">
        <w:t xml:space="preserve"> does not explicitly </w:t>
      </w:r>
      <w:r w:rsidR="00EF2FC9" w:rsidRPr="003D6709">
        <w:t>prevent</w:t>
      </w:r>
      <w:r w:rsidRPr="003D6709">
        <w:t xml:space="preserve"> retreatment with acalabrutinib.</w:t>
      </w:r>
    </w:p>
    <w:p w:rsidR="007E00CC" w:rsidRPr="003D6709" w:rsidRDefault="007E00CC" w:rsidP="00AD6416">
      <w:pPr>
        <w:pStyle w:val="ExecSumBodyText"/>
        <w:numPr>
          <w:ilvl w:val="0"/>
          <w:numId w:val="10"/>
        </w:numPr>
        <w:ind w:left="1077" w:hanging="357"/>
      </w:pPr>
      <w:r w:rsidRPr="003D6709">
        <w:t xml:space="preserve">Inclusion of a criterion permitting use of acalabrutinib among patients who have developed intolerance to another </w:t>
      </w:r>
      <w:r w:rsidR="0015555D" w:rsidRPr="003D6709">
        <w:t>BTK</w:t>
      </w:r>
      <w:r w:rsidRPr="003D6709">
        <w:t xml:space="preserve"> inhibitor of a severity necessitating permanent treatment withdrawal. </w:t>
      </w:r>
    </w:p>
    <w:p w:rsidR="00675C5D" w:rsidRPr="003D6709" w:rsidRDefault="00675C5D" w:rsidP="007E00CC">
      <w:pPr>
        <w:pStyle w:val="ExecSumBodyText"/>
      </w:pPr>
      <w:r w:rsidRPr="003D6709">
        <w:t xml:space="preserve">The PBAC considered that, although the key acalabrutinib trial recruited patients with a WHO </w:t>
      </w:r>
      <w:r w:rsidR="00407B4D" w:rsidRPr="003D6709">
        <w:t xml:space="preserve">performance </w:t>
      </w:r>
      <w:r w:rsidRPr="003D6709">
        <w:t xml:space="preserve">status ≤ 2, in order to align the </w:t>
      </w:r>
      <w:r w:rsidR="00483E46" w:rsidRPr="003D6709">
        <w:t xml:space="preserve">acalabrutinib and ibrutinib </w:t>
      </w:r>
      <w:r w:rsidRPr="003D6709">
        <w:t>patient populations</w:t>
      </w:r>
      <w:r w:rsidR="00483E46" w:rsidRPr="003D6709">
        <w:t xml:space="preserve">, the proposed acalabrutinib restriction should restrict use to patients with a WHO performance status of </w:t>
      </w:r>
      <w:r w:rsidR="005D003F" w:rsidRPr="003D6709">
        <w:t>≤ 1.</w:t>
      </w:r>
    </w:p>
    <w:p w:rsidR="00B65E74" w:rsidRPr="003D6709" w:rsidRDefault="007E00CC" w:rsidP="007E00CC">
      <w:pPr>
        <w:pStyle w:val="ExecSumBodyText"/>
      </w:pPr>
      <w:r w:rsidRPr="003D6709">
        <w:t xml:space="preserve">The proposed criteria specifying suitability for treatment/retreatment with a purine analogue are identical to the criteria included in the ibrutinib restriction. However, </w:t>
      </w:r>
      <w:r w:rsidR="00407B4D" w:rsidRPr="003D6709">
        <w:t>this</w:t>
      </w:r>
      <w:r w:rsidRPr="003D6709">
        <w:t xml:space="preserve"> is narrower than the population in the ASCEND trial, which did not exclude patients on the basis of purine analogue suitability.</w:t>
      </w:r>
      <w:r w:rsidR="00B65E74" w:rsidRPr="003D6709">
        <w:t xml:space="preserve"> </w:t>
      </w:r>
    </w:p>
    <w:p w:rsidR="00F67A69" w:rsidRPr="003D6709" w:rsidRDefault="00B65E74" w:rsidP="00C02CF1">
      <w:pPr>
        <w:pStyle w:val="ExecSumBodyText"/>
        <w:keepLines/>
      </w:pPr>
      <w:r w:rsidRPr="003D6709">
        <w:lastRenderedPageBreak/>
        <w:t>Under the proposed restriction, patients who have developed intolerance to ibrutinib would be eligible for treatment with acalabrutinib. There is currently limited available clinical evidence assessing treatment outcomes among patients with ibrutinib intolerance who are subsequently treated with acalabrutinib.</w:t>
      </w:r>
      <w:r w:rsidR="00735645" w:rsidRPr="003D6709">
        <w:t xml:space="preserve"> The </w:t>
      </w:r>
      <w:r w:rsidR="00D3479D">
        <w:t>P</w:t>
      </w:r>
      <w:r w:rsidR="00CE57C2" w:rsidRPr="003D6709">
        <w:t>re-</w:t>
      </w:r>
      <w:r w:rsidR="005D003F" w:rsidRPr="003D6709">
        <w:t>S</w:t>
      </w:r>
      <w:r w:rsidR="00CE57C2" w:rsidRPr="003D6709">
        <w:t>ub</w:t>
      </w:r>
      <w:r w:rsidR="005D003F" w:rsidRPr="003D6709">
        <w:t>-C</w:t>
      </w:r>
      <w:r w:rsidR="00CE57C2" w:rsidRPr="003D6709">
        <w:t>ommittee response (</w:t>
      </w:r>
      <w:r w:rsidR="00735645" w:rsidRPr="003D6709">
        <w:t>PSCR</w:t>
      </w:r>
      <w:r w:rsidR="00CE57C2" w:rsidRPr="003D6709">
        <w:t>)</w:t>
      </w:r>
      <w:r w:rsidR="00735645" w:rsidRPr="003D6709">
        <w:t xml:space="preserve"> </w:t>
      </w:r>
      <w:r w:rsidR="00DE61D7" w:rsidRPr="003D6709">
        <w:t>stated that</w:t>
      </w:r>
      <w:r w:rsidR="00735645" w:rsidRPr="003D6709">
        <w:t xml:space="preserve"> new data from an unpublished trial ACE-CL-001 </w:t>
      </w:r>
      <w:r w:rsidR="00DE61D7" w:rsidRPr="003D6709">
        <w:t xml:space="preserve">(Phase 1/2, open-label, N=33) demonstrates that treatment of ibrutinib intolerant patients with acalabrutinib results in </w:t>
      </w:r>
      <w:r w:rsidR="00735645" w:rsidRPr="003D6709">
        <w:t>efficacy benefits</w:t>
      </w:r>
      <w:r w:rsidR="00DE61D7" w:rsidRPr="003D6709">
        <w:t>.</w:t>
      </w:r>
      <w:r w:rsidR="005A0198" w:rsidRPr="003D6709">
        <w:t xml:space="preserve"> </w:t>
      </w:r>
      <w:r w:rsidR="00BC7CB5" w:rsidRPr="003D6709">
        <w:t>A</w:t>
      </w:r>
      <w:r w:rsidR="005A0198" w:rsidRPr="003D6709">
        <w:t xml:space="preserve">mong the 25 responders in the study, the median duration of response was not reached. </w:t>
      </w:r>
      <w:r w:rsidR="0034144F" w:rsidRPr="003D6709">
        <w:t>The ESC considered th</w:t>
      </w:r>
      <w:r w:rsidR="00B07F35" w:rsidRPr="003D6709">
        <w:t>e</w:t>
      </w:r>
      <w:r w:rsidR="0034144F" w:rsidRPr="003D6709">
        <w:t xml:space="preserve"> proposed restriction criteria was appropriate </w:t>
      </w:r>
      <w:r w:rsidR="00B07F35" w:rsidRPr="003D6709">
        <w:t xml:space="preserve">and allows patients who are intolerant to ibrutinib to </w:t>
      </w:r>
      <w:r w:rsidR="00E258D9" w:rsidRPr="003D6709">
        <w:t xml:space="preserve">receive treatment with </w:t>
      </w:r>
      <w:r w:rsidR="00407B4D" w:rsidRPr="003D6709">
        <w:t>acalabrutinib</w:t>
      </w:r>
      <w:r w:rsidR="00E258D9" w:rsidRPr="003D6709">
        <w:t xml:space="preserve"> which, although having the same mechanism of action, has a </w:t>
      </w:r>
      <w:r w:rsidR="0034144F" w:rsidRPr="003D6709">
        <w:t>differen</w:t>
      </w:r>
      <w:r w:rsidR="00E258D9" w:rsidRPr="003D6709">
        <w:t xml:space="preserve">t </w:t>
      </w:r>
      <w:r w:rsidR="0034144F" w:rsidRPr="003D6709">
        <w:t>adverse event</w:t>
      </w:r>
      <w:r w:rsidR="00E258D9" w:rsidRPr="003D6709">
        <w:t xml:space="preserve"> profile</w:t>
      </w:r>
      <w:r w:rsidR="0034144F" w:rsidRPr="003D6709">
        <w:t xml:space="preserve">. </w:t>
      </w:r>
    </w:p>
    <w:p w:rsidR="007C1876" w:rsidRPr="003D6709" w:rsidRDefault="007E00CC" w:rsidP="00182931">
      <w:pPr>
        <w:pStyle w:val="ExecSumBodyText"/>
        <w:spacing w:before="120"/>
      </w:pPr>
      <w:r w:rsidRPr="003D6709">
        <w:t xml:space="preserve">The submission requested an Authority Required (Streamlined) listing </w:t>
      </w:r>
      <w:r w:rsidR="00516C6B" w:rsidRPr="003D6709">
        <w:t xml:space="preserve">for </w:t>
      </w:r>
      <w:r w:rsidR="00690117" w:rsidRPr="003D6709">
        <w:t>continuing treatment</w:t>
      </w:r>
      <w:r w:rsidR="00516C6B" w:rsidRPr="003D6709">
        <w:t xml:space="preserve"> of acalabrutinib</w:t>
      </w:r>
      <w:r w:rsidR="00690117" w:rsidRPr="003D6709">
        <w:t>. This</w:t>
      </w:r>
      <w:r w:rsidRPr="003D6709">
        <w:t xml:space="preserve"> </w:t>
      </w:r>
      <w:r w:rsidR="00690117" w:rsidRPr="003D6709">
        <w:t>differed</w:t>
      </w:r>
      <w:r w:rsidRPr="003D6709">
        <w:t xml:space="preserve"> from the </w:t>
      </w:r>
      <w:r w:rsidR="00407B4D" w:rsidRPr="003D6709">
        <w:t xml:space="preserve">requested </w:t>
      </w:r>
      <w:r w:rsidRPr="003D6709">
        <w:t>initial treatment restriction</w:t>
      </w:r>
      <w:r w:rsidR="00690117" w:rsidRPr="003D6709">
        <w:t xml:space="preserve"> and </w:t>
      </w:r>
      <w:r w:rsidR="00A16FBB" w:rsidRPr="003D6709">
        <w:t xml:space="preserve">the </w:t>
      </w:r>
      <w:r w:rsidR="00690117" w:rsidRPr="003D6709">
        <w:t xml:space="preserve">authority level for the </w:t>
      </w:r>
      <w:r w:rsidR="00407B4D" w:rsidRPr="003D6709">
        <w:t xml:space="preserve">continuing </w:t>
      </w:r>
      <w:r w:rsidR="00A16FBB" w:rsidRPr="003D6709">
        <w:t>ibrutinib</w:t>
      </w:r>
      <w:r w:rsidR="004E5A71" w:rsidRPr="003D6709">
        <w:t xml:space="preserve"> PBS</w:t>
      </w:r>
      <w:r w:rsidR="00690117" w:rsidRPr="003D6709">
        <w:t xml:space="preserve"> listing</w:t>
      </w:r>
      <w:r w:rsidR="00407B4D" w:rsidRPr="003D6709">
        <w:t xml:space="preserve"> which are</w:t>
      </w:r>
      <w:r w:rsidR="007D41B0" w:rsidRPr="003D6709">
        <w:t xml:space="preserve"> Authority Required (Telephone)</w:t>
      </w:r>
      <w:r w:rsidR="00690117" w:rsidRPr="003D6709">
        <w:t>.</w:t>
      </w:r>
      <w:r w:rsidR="00A16FBB" w:rsidRPr="003D6709">
        <w:t xml:space="preserve"> </w:t>
      </w:r>
      <w:r w:rsidR="00735645" w:rsidRPr="003D6709">
        <w:t>The</w:t>
      </w:r>
      <w:r w:rsidR="006216D7" w:rsidRPr="003D6709">
        <w:t xml:space="preserve"> PBAC agreed with </w:t>
      </w:r>
      <w:r w:rsidR="00735645" w:rsidRPr="003D6709">
        <w:t xml:space="preserve">ESC </w:t>
      </w:r>
      <w:r w:rsidR="00E258D9" w:rsidRPr="003D6709">
        <w:t xml:space="preserve">and considered </w:t>
      </w:r>
      <w:r w:rsidR="006216D7" w:rsidRPr="003D6709">
        <w:t xml:space="preserve">that </w:t>
      </w:r>
      <w:r w:rsidR="00176CA5" w:rsidRPr="003D6709">
        <w:t xml:space="preserve">the authority level for </w:t>
      </w:r>
      <w:r w:rsidR="00407B4D" w:rsidRPr="003D6709">
        <w:t xml:space="preserve">continuing treatment with </w:t>
      </w:r>
      <w:r w:rsidR="00176CA5" w:rsidRPr="003D6709">
        <w:t xml:space="preserve">acalabrutinib should be </w:t>
      </w:r>
      <w:r w:rsidR="005A0198" w:rsidRPr="003D6709">
        <w:t>consistent with the PBS listing of</w:t>
      </w:r>
      <w:r w:rsidR="00176CA5" w:rsidRPr="003D6709">
        <w:t xml:space="preserve"> ibrutinib</w:t>
      </w:r>
      <w:r w:rsidR="005A0198" w:rsidRPr="003D6709">
        <w:t xml:space="preserve"> (Authority Required (Telephone))</w:t>
      </w:r>
      <w:r w:rsidR="003D6709">
        <w:t xml:space="preserve">. </w:t>
      </w:r>
    </w:p>
    <w:p w:rsidR="007C1876" w:rsidRPr="003D6709" w:rsidRDefault="007E00CC" w:rsidP="007E00CC">
      <w:pPr>
        <w:pStyle w:val="ExecSumBodyText"/>
      </w:pPr>
      <w:r w:rsidRPr="003D6709">
        <w:t xml:space="preserve">The submission requested grandfathering provisions for </w:t>
      </w:r>
      <w:r w:rsidR="00690117" w:rsidRPr="003D6709">
        <w:t>a</w:t>
      </w:r>
      <w:r w:rsidR="005D003F" w:rsidRPr="003D6709">
        <w:t>pproximately</w:t>
      </w:r>
      <w:r w:rsidR="00690117" w:rsidRPr="003D6709">
        <w:t xml:space="preserve"> </w:t>
      </w:r>
      <w:r w:rsidR="00B505E7">
        <w:t>&lt;</w:t>
      </w:r>
      <w:r w:rsidR="00DA41E5">
        <w:t> </w:t>
      </w:r>
      <w:r w:rsidR="00B505E7">
        <w:t>500</w:t>
      </w:r>
      <w:r w:rsidR="00690117" w:rsidRPr="003D6709">
        <w:t xml:space="preserve"> </w:t>
      </w:r>
      <w:r w:rsidRPr="003D6709">
        <w:t xml:space="preserve">patients </w:t>
      </w:r>
      <w:r w:rsidR="00690117" w:rsidRPr="003D6709">
        <w:t xml:space="preserve">who will be </w:t>
      </w:r>
      <w:r w:rsidRPr="003D6709">
        <w:t>treated under the sponsor’s compassionate access program</w:t>
      </w:r>
      <w:r w:rsidR="00690117" w:rsidRPr="003D6709">
        <w:t>.</w:t>
      </w:r>
      <w:r w:rsidR="00177CCE" w:rsidRPr="003D6709">
        <w:t xml:space="preserve"> </w:t>
      </w:r>
      <w:r w:rsidR="000A11BC" w:rsidRPr="003D6709">
        <w:t>The Secretariat proposed wording for a grandfather listing in line with the requirements contained in the initial treatment restriction, but with the added requirement that grandfathered patients must have not developed disease progression.</w:t>
      </w:r>
    </w:p>
    <w:p w:rsidR="00D55B40" w:rsidRPr="003D6709" w:rsidRDefault="00D55B40" w:rsidP="007E00CC">
      <w:pPr>
        <w:pStyle w:val="ExecSumBodyText"/>
      </w:pPr>
      <w:r w:rsidRPr="003D6709">
        <w:t xml:space="preserve">The </w:t>
      </w:r>
      <w:r w:rsidR="003D2896" w:rsidRPr="003D6709">
        <w:t xml:space="preserve">PBAC </w:t>
      </w:r>
      <w:r w:rsidRPr="003D6709">
        <w:t xml:space="preserve">considered that the current </w:t>
      </w:r>
      <w:r w:rsidR="00407B4D" w:rsidRPr="003D6709">
        <w:t xml:space="preserve">initial treatment </w:t>
      </w:r>
      <w:r w:rsidRPr="003D6709">
        <w:t xml:space="preserve">ibrutinib listing for </w:t>
      </w:r>
      <w:r w:rsidR="002D67F7" w:rsidRPr="003D6709">
        <w:t>R/R</w:t>
      </w:r>
      <w:r w:rsidR="000A11BC" w:rsidRPr="003D6709">
        <w:t xml:space="preserve"> </w:t>
      </w:r>
      <w:r w:rsidRPr="003D6709">
        <w:t xml:space="preserve">CLL/SLL </w:t>
      </w:r>
      <w:r w:rsidR="00BC7CB5" w:rsidRPr="003D6709">
        <w:t>w</w:t>
      </w:r>
      <w:r w:rsidR="00D0223A" w:rsidRPr="003D6709">
        <w:t xml:space="preserve">ould require </w:t>
      </w:r>
      <w:r w:rsidR="00407B4D" w:rsidRPr="003D6709">
        <w:t xml:space="preserve">flow-on </w:t>
      </w:r>
      <w:r w:rsidR="00D0223A" w:rsidRPr="003D6709">
        <w:t xml:space="preserve">changes </w:t>
      </w:r>
      <w:r w:rsidR="001A27FD" w:rsidRPr="003D6709">
        <w:t xml:space="preserve">to </w:t>
      </w:r>
      <w:r w:rsidR="00D0223A" w:rsidRPr="003D6709">
        <w:t>ensur</w:t>
      </w:r>
      <w:r w:rsidR="001A27FD" w:rsidRPr="003D6709">
        <w:t>e</w:t>
      </w:r>
      <w:r w:rsidR="00D0223A" w:rsidRPr="003D6709">
        <w:t xml:space="preserve"> patients have </w:t>
      </w:r>
      <w:r w:rsidR="001A27FD" w:rsidRPr="003D6709">
        <w:t xml:space="preserve">not </w:t>
      </w:r>
      <w:r w:rsidR="00D0223A" w:rsidRPr="003D6709">
        <w:t>previously received PBS-subsidised treatment with another BTK inhibitor</w:t>
      </w:r>
      <w:r w:rsidR="000A6946" w:rsidRPr="003D6709">
        <w:t xml:space="preserve"> unless intolerant</w:t>
      </w:r>
      <w:r w:rsidR="00D0223A" w:rsidRPr="003D6709">
        <w:t xml:space="preserve">. </w:t>
      </w:r>
    </w:p>
    <w:p w:rsidR="009E5F0F" w:rsidRPr="003D6709" w:rsidRDefault="009E5F0F" w:rsidP="009E5F0F">
      <w:pPr>
        <w:pStyle w:val="ExecSumBodyText"/>
        <w:numPr>
          <w:ilvl w:val="0"/>
          <w:numId w:val="0"/>
        </w:numPr>
        <w:ind w:left="720"/>
      </w:pPr>
      <w:r w:rsidRPr="003D6709">
        <w:rPr>
          <w:i/>
        </w:rPr>
        <w:t>For more detail on PBAC’s view, see section 7 PBAC outcome.</w:t>
      </w:r>
    </w:p>
    <w:p w:rsidR="007627BE" w:rsidRPr="003D6709" w:rsidRDefault="00203181" w:rsidP="007E00CC">
      <w:pPr>
        <w:pStyle w:val="2-SectionHeading"/>
      </w:pPr>
      <w:bookmarkStart w:id="6" w:name="_Toc30588516"/>
      <w:r w:rsidRPr="003D6709">
        <w:t xml:space="preserve">Population and </w:t>
      </w:r>
      <w:r w:rsidR="008E0D3C" w:rsidRPr="003D6709">
        <w:t>d</w:t>
      </w:r>
      <w:r w:rsidRPr="003D6709">
        <w:t>isease</w:t>
      </w:r>
      <w:bookmarkEnd w:id="6"/>
    </w:p>
    <w:p w:rsidR="007E00CC" w:rsidRPr="003D6709" w:rsidRDefault="007E00CC" w:rsidP="007E00CC">
      <w:pPr>
        <w:pStyle w:val="ExecSumBodyText"/>
      </w:pPr>
      <w:r w:rsidRPr="003D6709">
        <w:t xml:space="preserve">CLL is characterised by the progressive accumulation of functionally incompetent B-lymphocytes in the blood, bone marrow, lymph nodes, spleen and liver. Typical symptoms associated with CLL include swollen lymph nodes, pain, anaemia, infections, increased or unexplained bleeding/bruising, excessive nocturnal sweating and unintentional weight loss. </w:t>
      </w:r>
      <w:r w:rsidR="001249E6" w:rsidRPr="003D6709">
        <w:t xml:space="preserve">SLL is </w:t>
      </w:r>
      <w:r w:rsidR="000541B9" w:rsidRPr="003D6709">
        <w:t xml:space="preserve">a different manifestation of </w:t>
      </w:r>
      <w:r w:rsidR="001249E6" w:rsidRPr="003D6709">
        <w:t>the same disease</w:t>
      </w:r>
      <w:r w:rsidR="000541B9" w:rsidRPr="003D6709">
        <w:t>. In CLL, abnormal lymphocytes are predominantly found in blood, bone marrow and lymphoid tissue, whereas in SLL, abnormal lymphocytes are predominantly located in lymph nodes, bone marrow and other lymphoid tissue.</w:t>
      </w:r>
    </w:p>
    <w:p w:rsidR="00690117" w:rsidRPr="003D6709" w:rsidRDefault="000541B9" w:rsidP="00690117">
      <w:pPr>
        <w:pStyle w:val="ExecSumBodyText"/>
      </w:pPr>
      <w:r w:rsidRPr="003D6709">
        <w:t>CLL/SLL</w:t>
      </w:r>
      <w:r w:rsidR="007E00CC" w:rsidRPr="003D6709">
        <w:t xml:space="preserve"> is more common in men than women (65% versus 35%), with a mean age at diagnosis in Australia of 70 years (males 68.8 years, females 71.2 years). </w:t>
      </w:r>
      <w:r w:rsidR="00690117" w:rsidRPr="003D6709">
        <w:t xml:space="preserve">Characteristics associated with a worse prognosis include genetic factors (17p deletion/TP53 mutation, 11q deletion, </w:t>
      </w:r>
      <w:proofErr w:type="spellStart"/>
      <w:r w:rsidR="00690117" w:rsidRPr="003D6709">
        <w:t>unmutated</w:t>
      </w:r>
      <w:proofErr w:type="spellEnd"/>
      <w:r w:rsidR="00690117" w:rsidRPr="003D6709">
        <w:t xml:space="preserve"> IGHV), biochemical/cell surface markers (serum thymidine kinase, serum β</w:t>
      </w:r>
      <w:r w:rsidR="00690117" w:rsidRPr="003D6709">
        <w:rPr>
          <w:vertAlign w:val="subscript"/>
        </w:rPr>
        <w:t>2</w:t>
      </w:r>
      <w:r w:rsidR="00690117" w:rsidRPr="003D6709">
        <w:t xml:space="preserve"> </w:t>
      </w:r>
      <w:proofErr w:type="spellStart"/>
      <w:r w:rsidR="00690117" w:rsidRPr="003D6709">
        <w:t>microglobulin</w:t>
      </w:r>
      <w:proofErr w:type="spellEnd"/>
      <w:r w:rsidR="00690117" w:rsidRPr="003D6709">
        <w:t xml:space="preserve">, CD49d/CD38 positivity, </w:t>
      </w:r>
      <w:r w:rsidR="00690117" w:rsidRPr="003D6709">
        <w:lastRenderedPageBreak/>
        <w:t xml:space="preserve">ZAP-70 positivity), and patient characteristics (male sex, older age, worse </w:t>
      </w:r>
      <w:r w:rsidR="005D003F" w:rsidRPr="003D6709">
        <w:t>Eastern Cooperative Oncology Group (</w:t>
      </w:r>
      <w:r w:rsidR="00690117" w:rsidRPr="003D6709">
        <w:t>ECOG</w:t>
      </w:r>
      <w:r w:rsidR="005D003F" w:rsidRPr="003D6709">
        <w:t>)</w:t>
      </w:r>
      <w:r w:rsidR="009F5238" w:rsidRPr="003D6709">
        <w:t xml:space="preserve"> </w:t>
      </w:r>
      <w:r w:rsidR="00690117" w:rsidRPr="003D6709">
        <w:t xml:space="preserve">performance score). </w:t>
      </w:r>
    </w:p>
    <w:p w:rsidR="007E00CC" w:rsidRPr="003D6709" w:rsidRDefault="007E00CC" w:rsidP="004B4A93">
      <w:pPr>
        <w:pStyle w:val="ExecSumBodyText"/>
      </w:pPr>
      <w:r w:rsidRPr="003D6709">
        <w:t>CLL</w:t>
      </w:r>
      <w:r w:rsidR="000E20B8" w:rsidRPr="003D6709">
        <w:t>/SLL</w:t>
      </w:r>
      <w:r w:rsidRPr="003D6709">
        <w:t xml:space="preserve"> is generally a slowly progressing cancer, with many patients managed with </w:t>
      </w:r>
      <w:r w:rsidR="00BF2B3C" w:rsidRPr="003D6709">
        <w:t>a ‘</w:t>
      </w:r>
      <w:r w:rsidRPr="003D6709">
        <w:t xml:space="preserve">watch </w:t>
      </w:r>
      <w:r w:rsidR="00BF2B3C" w:rsidRPr="003D6709">
        <w:t xml:space="preserve">and </w:t>
      </w:r>
      <w:r w:rsidRPr="003D6709">
        <w:t>wait</w:t>
      </w:r>
      <w:r w:rsidR="00BF2B3C" w:rsidRPr="003D6709">
        <w:t>’ approach</w:t>
      </w:r>
      <w:r w:rsidRPr="003D6709">
        <w:t xml:space="preserve"> until symptoms develop</w:t>
      </w:r>
      <w:r w:rsidR="002462A1" w:rsidRPr="003D6709">
        <w:t>.</w:t>
      </w:r>
      <w:r w:rsidRPr="003D6709">
        <w:t xml:space="preserve"> </w:t>
      </w:r>
      <w:r w:rsidR="002462A1" w:rsidRPr="003D6709">
        <w:t>A</w:t>
      </w:r>
      <w:r w:rsidRPr="003D6709">
        <w:t xml:space="preserve"> proportion of patients never requir</w:t>
      </w:r>
      <w:r w:rsidR="002462A1" w:rsidRPr="003D6709">
        <w:t>e</w:t>
      </w:r>
      <w:r w:rsidRPr="003D6709">
        <w:t xml:space="preserve"> treatment. The choice of therapy depends on a number of factors, including age, fitness, comorbidities, and the presence of prognostic genetic mutations.</w:t>
      </w:r>
      <w:r w:rsidR="00E01009" w:rsidRPr="003D6709">
        <w:t xml:space="preserve"> T</w:t>
      </w:r>
      <w:r w:rsidRPr="003D6709">
        <w:t>reatment is typically non-curative, with patients potentially receiving multiple lines of therapy as their disease becomes relapsed/refractory to their current treatment.</w:t>
      </w:r>
    </w:p>
    <w:p w:rsidR="000E20B8" w:rsidRPr="003D6709" w:rsidRDefault="00E22B89" w:rsidP="00DA2034">
      <w:pPr>
        <w:pStyle w:val="ExecSumBodyText"/>
      </w:pPr>
      <w:r w:rsidRPr="003D6709">
        <w:t xml:space="preserve">Figure 1 </w:t>
      </w:r>
      <w:r w:rsidR="00CF4432" w:rsidRPr="003D6709">
        <w:t xml:space="preserve">below </w:t>
      </w:r>
      <w:r w:rsidR="00DA2034" w:rsidRPr="003D6709">
        <w:t xml:space="preserve">presents the proposed clinical management algorithm </w:t>
      </w:r>
      <w:r w:rsidR="000E20B8" w:rsidRPr="003D6709">
        <w:t>presented in the submission</w:t>
      </w:r>
      <w:r w:rsidR="00DA2034" w:rsidRPr="003D6709">
        <w:t>. The algorithm positions acalabrutinib as a second/subsequent-line option for the treatment of CLL</w:t>
      </w:r>
      <w:r w:rsidR="000E20B8" w:rsidRPr="003D6709">
        <w:t>/SLL</w:t>
      </w:r>
      <w:r w:rsidR="00DA2034" w:rsidRPr="003D6709">
        <w:t>, along with ibrutinib, venetoclax plus rituximab, and idelalisib plus rituximab.</w:t>
      </w:r>
    </w:p>
    <w:p w:rsidR="002462A1" w:rsidRPr="003D6709" w:rsidRDefault="002462A1" w:rsidP="00E22B89">
      <w:pPr>
        <w:pStyle w:val="TableHeading"/>
      </w:pPr>
      <w:bookmarkStart w:id="7" w:name="_Ref33452374"/>
      <w:r w:rsidRPr="003D6709">
        <w:t xml:space="preserve">Figure </w:t>
      </w:r>
      <w:r w:rsidR="00E22B89" w:rsidRPr="003D6709">
        <w:t>1</w:t>
      </w:r>
      <w:bookmarkEnd w:id="7"/>
      <w:r w:rsidRPr="003D6709">
        <w:t>: Proposed clinical management algorithm for patients with relapsed/refractory CLL</w:t>
      </w:r>
      <w:r w:rsidR="000E20B8" w:rsidRPr="003D6709">
        <w:t>/SLL</w:t>
      </w:r>
    </w:p>
    <w:p w:rsidR="002462A1" w:rsidRPr="003D6709" w:rsidRDefault="002462A1" w:rsidP="002462A1">
      <w:r w:rsidRPr="003D6709">
        <w:rPr>
          <w:noProof/>
        </w:rPr>
        <w:drawing>
          <wp:inline distT="0" distB="0" distL="0" distR="0" wp14:anchorId="5BC7DB35" wp14:editId="4CEC25D9">
            <wp:extent cx="5715000" cy="3247390"/>
            <wp:effectExtent l="0" t="0" r="0" b="0"/>
            <wp:docPr id="6" name="Picture 6" title="Figure 1: Proposed clinical management algorithm for patients with relapsed/refractory CLL/S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315" cy="3247569"/>
                    </a:xfrm>
                    <a:prstGeom prst="rect">
                      <a:avLst/>
                    </a:prstGeom>
                    <a:noFill/>
                  </pic:spPr>
                </pic:pic>
              </a:graphicData>
            </a:graphic>
          </wp:inline>
        </w:drawing>
      </w:r>
    </w:p>
    <w:p w:rsidR="002462A1" w:rsidRPr="003D6709" w:rsidRDefault="002462A1" w:rsidP="002462A1">
      <w:pPr>
        <w:pStyle w:val="TableFigureFooter"/>
      </w:pPr>
      <w:r w:rsidRPr="003D6709">
        <w:t>Source: Figure 1.2.2, p.23 of the submission.</w:t>
      </w:r>
    </w:p>
    <w:p w:rsidR="00CF4432" w:rsidRPr="003D6709" w:rsidRDefault="002462A1" w:rsidP="00CF4432">
      <w:pPr>
        <w:pStyle w:val="TableFigureFooter"/>
      </w:pPr>
      <w:r w:rsidRPr="003D6709">
        <w:t xml:space="preserve">Abbreviations: FCR, </w:t>
      </w:r>
      <w:proofErr w:type="spellStart"/>
      <w:r w:rsidRPr="003D6709">
        <w:t>fludarabine</w:t>
      </w:r>
      <w:proofErr w:type="spellEnd"/>
      <w:r w:rsidRPr="003D6709">
        <w:t xml:space="preserve"> + cyclophosphamide + rituximab.</w:t>
      </w:r>
    </w:p>
    <w:p w:rsidR="00B50DB8" w:rsidRPr="003D6709" w:rsidRDefault="00B50DB8" w:rsidP="00CF4432">
      <w:pPr>
        <w:pStyle w:val="2-SectionHeading"/>
      </w:pPr>
      <w:bookmarkStart w:id="8" w:name="_Toc30588517"/>
      <w:r w:rsidRPr="003D6709">
        <w:t>Comparator</w:t>
      </w:r>
      <w:bookmarkEnd w:id="8"/>
    </w:p>
    <w:p w:rsidR="007E00CC" w:rsidRPr="003D6709" w:rsidRDefault="007E00CC" w:rsidP="007E00CC">
      <w:pPr>
        <w:pStyle w:val="ExecSumBodyText"/>
        <w:rPr>
          <w:snapToGrid/>
        </w:rPr>
      </w:pPr>
      <w:r w:rsidRPr="003D6709">
        <w:rPr>
          <w:snapToGrid/>
        </w:rPr>
        <w:t xml:space="preserve">The submission nominated ibrutinib monotherapy as the main comparator. The main arguments provided in support of this </w:t>
      </w:r>
      <w:r w:rsidR="0015555D" w:rsidRPr="003D6709">
        <w:rPr>
          <w:snapToGrid/>
        </w:rPr>
        <w:t xml:space="preserve">comparator </w:t>
      </w:r>
      <w:r w:rsidRPr="003D6709">
        <w:rPr>
          <w:snapToGrid/>
        </w:rPr>
        <w:t>were:</w:t>
      </w:r>
    </w:p>
    <w:p w:rsidR="007E00CC" w:rsidRPr="003D6709" w:rsidRDefault="00407B4D" w:rsidP="00AD6416">
      <w:pPr>
        <w:pStyle w:val="ExecSumBodyText"/>
        <w:numPr>
          <w:ilvl w:val="0"/>
          <w:numId w:val="11"/>
        </w:numPr>
        <w:spacing w:after="0"/>
        <w:ind w:left="1077" w:hanging="357"/>
        <w:rPr>
          <w:snapToGrid/>
        </w:rPr>
      </w:pPr>
      <w:r w:rsidRPr="003D6709">
        <w:rPr>
          <w:snapToGrid/>
        </w:rPr>
        <w:t>i</w:t>
      </w:r>
      <w:r w:rsidR="007E00CC" w:rsidRPr="003D6709">
        <w:rPr>
          <w:snapToGrid/>
        </w:rPr>
        <w:t xml:space="preserve">brutinib is PBS-listed for the treatment of patients with </w:t>
      </w:r>
      <w:r w:rsidR="00CE57C2" w:rsidRPr="003D6709">
        <w:rPr>
          <w:snapToGrid/>
        </w:rPr>
        <w:t>R/R</w:t>
      </w:r>
      <w:r w:rsidR="007E00CC" w:rsidRPr="003D6709">
        <w:rPr>
          <w:snapToGrid/>
        </w:rPr>
        <w:t xml:space="preserve"> CLL</w:t>
      </w:r>
      <w:r w:rsidR="008D2D81" w:rsidRPr="003D6709">
        <w:rPr>
          <w:snapToGrid/>
        </w:rPr>
        <w:t>/SLL</w:t>
      </w:r>
      <w:r w:rsidR="007E00CC" w:rsidRPr="003D6709">
        <w:rPr>
          <w:snapToGrid/>
        </w:rPr>
        <w:t xml:space="preserve"> who are unsuitable for treatment with a purine analogue, and ibrutinib belongs to the same therapeutic class as acalabrutinib (</w:t>
      </w:r>
      <w:r w:rsidR="00F76B8A" w:rsidRPr="003D6709">
        <w:rPr>
          <w:snapToGrid/>
        </w:rPr>
        <w:t>BTK</w:t>
      </w:r>
      <w:r w:rsidR="007E00CC" w:rsidRPr="003D6709">
        <w:rPr>
          <w:snapToGrid/>
        </w:rPr>
        <w:t xml:space="preserve"> inhibitor</w:t>
      </w:r>
      <w:r w:rsidR="00F76B8A" w:rsidRPr="003D6709">
        <w:rPr>
          <w:snapToGrid/>
        </w:rPr>
        <w:t>s</w:t>
      </w:r>
      <w:r w:rsidRPr="003D6709">
        <w:rPr>
          <w:snapToGrid/>
        </w:rPr>
        <w:t>); and</w:t>
      </w:r>
    </w:p>
    <w:p w:rsidR="007E00CC" w:rsidRPr="003D6709" w:rsidRDefault="00407B4D" w:rsidP="00AD6416">
      <w:pPr>
        <w:pStyle w:val="ExecSumBodyText"/>
        <w:numPr>
          <w:ilvl w:val="0"/>
          <w:numId w:val="11"/>
        </w:numPr>
        <w:ind w:left="1077" w:hanging="357"/>
        <w:rPr>
          <w:snapToGrid/>
        </w:rPr>
      </w:pPr>
      <w:proofErr w:type="gramStart"/>
      <w:r w:rsidRPr="003D6709">
        <w:rPr>
          <w:snapToGrid/>
        </w:rPr>
        <w:lastRenderedPageBreak/>
        <w:t>b</w:t>
      </w:r>
      <w:r w:rsidR="007E00CC" w:rsidRPr="003D6709">
        <w:rPr>
          <w:snapToGrid/>
        </w:rPr>
        <w:t>ased</w:t>
      </w:r>
      <w:proofErr w:type="gramEnd"/>
      <w:r w:rsidR="007E00CC" w:rsidRPr="003D6709">
        <w:rPr>
          <w:snapToGrid/>
        </w:rPr>
        <w:t xml:space="preserve"> on the results of a 10% Medicare sample analysis commissioned by the sponsor, treatmen</w:t>
      </w:r>
      <w:r w:rsidR="00E01009" w:rsidRPr="003D6709">
        <w:rPr>
          <w:snapToGrid/>
        </w:rPr>
        <w:t xml:space="preserve">t of </w:t>
      </w:r>
      <w:r w:rsidR="00CE57C2" w:rsidRPr="003D6709">
        <w:rPr>
          <w:snapToGrid/>
        </w:rPr>
        <w:t>R/R</w:t>
      </w:r>
      <w:r w:rsidR="00E01009" w:rsidRPr="003D6709">
        <w:rPr>
          <w:snapToGrid/>
        </w:rPr>
        <w:t xml:space="preserve"> CLL</w:t>
      </w:r>
      <w:r w:rsidR="00FB099F" w:rsidRPr="003D6709">
        <w:rPr>
          <w:snapToGrid/>
        </w:rPr>
        <w:t>/SLL</w:t>
      </w:r>
      <w:r w:rsidR="00E01009" w:rsidRPr="003D6709">
        <w:rPr>
          <w:snapToGrid/>
        </w:rPr>
        <w:t xml:space="preserve"> </w:t>
      </w:r>
      <w:r w:rsidR="007E00CC" w:rsidRPr="003D6709">
        <w:rPr>
          <w:snapToGrid/>
        </w:rPr>
        <w:t xml:space="preserve">patients who are unsuitable for treatment with a purine analogue is predominantly with ibrutinib. </w:t>
      </w:r>
    </w:p>
    <w:p w:rsidR="00D2205D" w:rsidRPr="003D6709" w:rsidRDefault="00EF2FC9" w:rsidP="00D2205D">
      <w:pPr>
        <w:pStyle w:val="ExecSumBodyText"/>
        <w:rPr>
          <w:snapToGrid/>
        </w:rPr>
      </w:pPr>
      <w:r w:rsidRPr="003D6709">
        <w:rPr>
          <w:snapToGrid/>
        </w:rPr>
        <w:t>T</w:t>
      </w:r>
      <w:r w:rsidR="00D2205D" w:rsidRPr="003D6709">
        <w:rPr>
          <w:snapToGrid/>
        </w:rPr>
        <w:t xml:space="preserve">he following </w:t>
      </w:r>
      <w:r w:rsidR="00885539" w:rsidRPr="003D6709">
        <w:rPr>
          <w:snapToGrid/>
        </w:rPr>
        <w:t xml:space="preserve">additional </w:t>
      </w:r>
      <w:r w:rsidR="00D2205D" w:rsidRPr="003D6709">
        <w:rPr>
          <w:snapToGrid/>
        </w:rPr>
        <w:t xml:space="preserve">PBS-listed medicines may be considered </w:t>
      </w:r>
      <w:r w:rsidR="00B73748" w:rsidRPr="003D6709">
        <w:rPr>
          <w:snapToGrid/>
        </w:rPr>
        <w:t>as alternate comparators as</w:t>
      </w:r>
      <w:r w:rsidR="00D2205D" w:rsidRPr="003D6709">
        <w:rPr>
          <w:snapToGrid/>
        </w:rPr>
        <w:t xml:space="preserve"> they could be replaced in practice: venetoclax plus rituximab, idelalisib plus rituximab, and chemo-immunotherapy combinations. Some of these alternative therapies may be less costly than acalabrutinib.</w:t>
      </w:r>
    </w:p>
    <w:p w:rsidR="007E00CC" w:rsidRPr="003D6709" w:rsidRDefault="00020C64" w:rsidP="007E00CC">
      <w:pPr>
        <w:pStyle w:val="ExecSumBodyText"/>
        <w:rPr>
          <w:snapToGrid/>
        </w:rPr>
      </w:pPr>
      <w:r w:rsidRPr="003D6709">
        <w:rPr>
          <w:snapToGrid/>
        </w:rPr>
        <w:t>V</w:t>
      </w:r>
      <w:r w:rsidR="007E00CC" w:rsidRPr="003D6709">
        <w:rPr>
          <w:snapToGrid/>
        </w:rPr>
        <w:t xml:space="preserve">enetoclax plus rituximab is also PBS-listed for use in the requested population, but is used to a lesser extent than ibrutinib. A supplementary comparison of acalabrutinib and venetoclax plus rituximab </w:t>
      </w:r>
      <w:r w:rsidR="00235024" w:rsidRPr="003D6709">
        <w:rPr>
          <w:snapToGrid/>
        </w:rPr>
        <w:t>was included in the submission.</w:t>
      </w:r>
      <w:r w:rsidR="00D2205D" w:rsidRPr="003D6709">
        <w:rPr>
          <w:snapToGrid/>
        </w:rPr>
        <w:t xml:space="preserve"> </w:t>
      </w:r>
    </w:p>
    <w:p w:rsidR="008F16FA" w:rsidRPr="003D6709" w:rsidRDefault="00D67ABF" w:rsidP="00E743E3">
      <w:pPr>
        <w:pStyle w:val="ExecSumBodyText"/>
        <w:rPr>
          <w:snapToGrid/>
        </w:rPr>
      </w:pPr>
      <w:r w:rsidRPr="003D6709">
        <w:t xml:space="preserve">Idelalisib plus rituximab is also PBS-listed in an overlapping population (patients with </w:t>
      </w:r>
      <w:r w:rsidR="00210E9D" w:rsidRPr="003D6709">
        <w:t>R/R</w:t>
      </w:r>
      <w:r w:rsidRPr="003D6709">
        <w:t xml:space="preserve"> CLL/SLL and a Cumulative Illness Rating Scale score of &gt;</w:t>
      </w:r>
      <w:r w:rsidR="00B36492" w:rsidRPr="003D6709">
        <w:t xml:space="preserve"> </w:t>
      </w:r>
      <w:r w:rsidRPr="003D6709">
        <w:t>6 who are considered unsuitable for chemo</w:t>
      </w:r>
      <w:r w:rsidR="00EF7377" w:rsidRPr="003D6709">
        <w:t>-</w:t>
      </w:r>
      <w:r w:rsidRPr="003D6709">
        <w:t xml:space="preserve">immunotherapy). </w:t>
      </w:r>
      <w:r w:rsidR="00694359" w:rsidRPr="003D6709">
        <w:t>C</w:t>
      </w:r>
      <w:r w:rsidRPr="003D6709">
        <w:t>omparative evidence for acalabrutinib versus idelalisib plus rituximab was included in the submission, as the comparator arm of the ASCEND trial was investigator’s choice of either idelalisib plus rituximab</w:t>
      </w:r>
      <w:r w:rsidR="007C5206" w:rsidRPr="003D6709">
        <w:t xml:space="preserve"> (</w:t>
      </w:r>
      <w:r w:rsidR="0079621B" w:rsidRPr="003D6709">
        <w:t>received by</w:t>
      </w:r>
      <w:r w:rsidR="007C5206" w:rsidRPr="003D6709">
        <w:t xml:space="preserve"> 77% of patients)</w:t>
      </w:r>
      <w:r w:rsidR="00694359" w:rsidRPr="003D6709">
        <w:t>,</w:t>
      </w:r>
      <w:r w:rsidRPr="003D6709">
        <w:t xml:space="preserve"> or bendamustine plus rituximab.</w:t>
      </w:r>
      <w:r w:rsidR="004218E4" w:rsidRPr="003D6709">
        <w:t xml:space="preserve"> The ESC</w:t>
      </w:r>
      <w:r w:rsidR="00E258D9" w:rsidRPr="003D6709">
        <w:t xml:space="preserve"> and </w:t>
      </w:r>
      <w:r w:rsidR="007C5206" w:rsidRPr="003D6709">
        <w:t xml:space="preserve">considered </w:t>
      </w:r>
      <w:r w:rsidR="001A27FD" w:rsidRPr="003D6709">
        <w:t xml:space="preserve">that </w:t>
      </w:r>
      <w:r w:rsidR="004218E4" w:rsidRPr="003D6709">
        <w:t>idelalisib plus rituximab</w:t>
      </w:r>
      <w:r w:rsidR="007C5206" w:rsidRPr="003D6709">
        <w:t xml:space="preserve"> </w:t>
      </w:r>
      <w:r w:rsidR="001A27FD" w:rsidRPr="003D6709">
        <w:t>wa</w:t>
      </w:r>
      <w:r w:rsidR="007C5206" w:rsidRPr="003D6709">
        <w:t>s not an appropriate comparator as it</w:t>
      </w:r>
      <w:r w:rsidR="00F732AB" w:rsidRPr="003D6709">
        <w:t xml:space="preserve"> is</w:t>
      </w:r>
      <w:r w:rsidR="004218E4" w:rsidRPr="003D6709">
        <w:t xml:space="preserve"> </w:t>
      </w:r>
      <w:r w:rsidR="007C5206" w:rsidRPr="003D6709">
        <w:t xml:space="preserve">not widely used </w:t>
      </w:r>
      <w:r w:rsidR="00F732AB" w:rsidRPr="003D6709">
        <w:t xml:space="preserve">in the second line setting </w:t>
      </w:r>
      <w:r w:rsidR="007C5206" w:rsidRPr="003D6709">
        <w:t>due to lower efficacy and higher toxicity than other available options.</w:t>
      </w:r>
      <w:r w:rsidR="00B73748" w:rsidRPr="003D6709">
        <w:t xml:space="preserve"> The ESC noted that data from the ASCEND trial indicated that acalabrutinib had improved progression free survival compared to idelalisib</w:t>
      </w:r>
      <w:r w:rsidR="00E743E3" w:rsidRPr="003D6709">
        <w:t xml:space="preserve"> plus rituximab, or bendamustine plus rituximab</w:t>
      </w:r>
      <w:r w:rsidR="00B73748" w:rsidRPr="003D6709">
        <w:t xml:space="preserve"> (HR = 0.31; 95% CI: 0.20, 0.49)</w:t>
      </w:r>
      <w:r w:rsidR="00F36B4F" w:rsidRPr="003D6709">
        <w:t xml:space="preserve"> and fewer treatment related adverse events (65.6% versus 94.1%).</w:t>
      </w:r>
      <w:r w:rsidR="007C5206" w:rsidRPr="003D6709">
        <w:t xml:space="preserve"> The ESC noted that</w:t>
      </w:r>
      <w:r w:rsidR="004218E4" w:rsidRPr="003D6709">
        <w:t xml:space="preserve"> bendamustine is not available </w:t>
      </w:r>
      <w:r w:rsidR="00E743E3" w:rsidRPr="003D6709">
        <w:t>on the PBS for this indication</w:t>
      </w:r>
      <w:r w:rsidR="004218E4" w:rsidRPr="003D6709">
        <w:t>.</w:t>
      </w:r>
      <w:r w:rsidR="004218E4" w:rsidRPr="003D6709">
        <w:rPr>
          <w:snapToGrid/>
        </w:rPr>
        <w:t xml:space="preserve"> </w:t>
      </w:r>
    </w:p>
    <w:p w:rsidR="0015555D" w:rsidRPr="003D6709" w:rsidRDefault="0015555D" w:rsidP="007E00CC">
      <w:pPr>
        <w:pStyle w:val="ExecSumBodyText"/>
        <w:rPr>
          <w:snapToGrid/>
        </w:rPr>
      </w:pPr>
      <w:r w:rsidRPr="003D6709">
        <w:t xml:space="preserve">In the context of the cost-minimisation approach taken by the submission, a further consideration for PBAC is that, under Section 101(3B) of the </w:t>
      </w:r>
      <w:r w:rsidRPr="003D6709">
        <w:rPr>
          <w:i/>
        </w:rPr>
        <w:t>National Health Act 1953</w:t>
      </w:r>
      <w:r w:rsidRPr="003D6709">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w:t>
      </w:r>
      <w:r w:rsidR="00885539" w:rsidRPr="003D6709">
        <w:t>The PBAC noted</w:t>
      </w:r>
      <w:r w:rsidR="00F732AB" w:rsidRPr="003D6709">
        <w:t xml:space="preserve">, based on the results of the ASCEND trial, that acalabrutinib </w:t>
      </w:r>
      <w:r w:rsidR="001E4BB9" w:rsidRPr="003D6709">
        <w:t xml:space="preserve">resulted in </w:t>
      </w:r>
      <w:r w:rsidR="00F732AB" w:rsidRPr="003D6709">
        <w:t xml:space="preserve">superior </w:t>
      </w:r>
      <w:r w:rsidR="001E4BB9" w:rsidRPr="003D6709">
        <w:t xml:space="preserve">progression free survival outcomes and a superior </w:t>
      </w:r>
      <w:r w:rsidR="00F732AB" w:rsidRPr="003D6709">
        <w:t>safety profile compared to idel</w:t>
      </w:r>
      <w:r w:rsidR="00F36B4F" w:rsidRPr="003D6709">
        <w:t>al</w:t>
      </w:r>
      <w:r w:rsidR="00F732AB" w:rsidRPr="003D6709">
        <w:t>isib</w:t>
      </w:r>
      <w:r w:rsidR="004770FD" w:rsidRPr="003D6709">
        <w:t xml:space="preserve"> plus rituximab</w:t>
      </w:r>
      <w:r w:rsidR="00F732AB" w:rsidRPr="003D6709">
        <w:t>.</w:t>
      </w:r>
      <w:r w:rsidR="004218E4" w:rsidRPr="003D6709">
        <w:t xml:space="preserve"> </w:t>
      </w:r>
    </w:p>
    <w:p w:rsidR="009E5F0F" w:rsidRPr="003D6709" w:rsidRDefault="009E5F0F" w:rsidP="009E5F0F">
      <w:pPr>
        <w:pStyle w:val="ExecSumBodyText"/>
        <w:numPr>
          <w:ilvl w:val="0"/>
          <w:numId w:val="0"/>
        </w:numPr>
        <w:ind w:left="720"/>
        <w:rPr>
          <w:snapToGrid/>
        </w:rPr>
      </w:pPr>
      <w:r w:rsidRPr="003D6709">
        <w:rPr>
          <w:i/>
        </w:rPr>
        <w:t>For more detail on PBAC’s view, see section 7 PBAC outcome.</w:t>
      </w:r>
    </w:p>
    <w:p w:rsidR="00223D5A" w:rsidRPr="003D6709" w:rsidRDefault="00223D5A" w:rsidP="00223D5A">
      <w:pPr>
        <w:pStyle w:val="2-SectionHeading"/>
        <w:numPr>
          <w:ilvl w:val="0"/>
          <w:numId w:val="1"/>
        </w:numPr>
      </w:pPr>
      <w:bookmarkStart w:id="9" w:name="_Toc30588518"/>
      <w:bookmarkStart w:id="10" w:name="_Toc22897640"/>
      <w:r w:rsidRPr="003D6709">
        <w:t>Consideration of the evidence</w:t>
      </w:r>
      <w:bookmarkEnd w:id="9"/>
    </w:p>
    <w:p w:rsidR="009E5F0F" w:rsidRPr="003D6709" w:rsidRDefault="009E5F0F" w:rsidP="009E5F0F">
      <w:pPr>
        <w:pStyle w:val="3-SubsectionHeading"/>
        <w:rPr>
          <w:snapToGrid w:val="0"/>
        </w:rPr>
      </w:pPr>
      <w:bookmarkStart w:id="11" w:name="_Toc30588519"/>
      <w:r w:rsidRPr="003D6709">
        <w:rPr>
          <w:snapToGrid w:val="0"/>
        </w:rPr>
        <w:t>Sponsor hearing</w:t>
      </w:r>
    </w:p>
    <w:p w:rsidR="009E5F0F" w:rsidRPr="003D6709" w:rsidRDefault="009E5F0F" w:rsidP="009E5F0F">
      <w:pPr>
        <w:pStyle w:val="ExecSumBodyText"/>
      </w:pPr>
      <w:r w:rsidRPr="003D6709">
        <w:t>There was no hearing for this item.</w:t>
      </w:r>
    </w:p>
    <w:p w:rsidR="009E5F0F" w:rsidRPr="003D6709" w:rsidRDefault="009E5F0F" w:rsidP="009E5F0F">
      <w:pPr>
        <w:pStyle w:val="3-SubsectionHeading"/>
        <w:rPr>
          <w:snapToGrid w:val="0"/>
        </w:rPr>
      </w:pPr>
      <w:r w:rsidRPr="003D6709">
        <w:rPr>
          <w:snapToGrid w:val="0"/>
        </w:rPr>
        <w:t>Consumer comments</w:t>
      </w:r>
    </w:p>
    <w:p w:rsidR="001F4427" w:rsidRPr="003D6709" w:rsidRDefault="009E5F0F" w:rsidP="001F4427">
      <w:pPr>
        <w:pStyle w:val="ExecSumBodyText"/>
      </w:pPr>
      <w:r w:rsidRPr="003D6709">
        <w:t>The PBAC noted and welcom</w:t>
      </w:r>
      <w:r w:rsidR="00A9160F" w:rsidRPr="003D6709">
        <w:t>ed the input from individuals (9</w:t>
      </w:r>
      <w:r w:rsidRPr="003D6709">
        <w:t>) and organisations (</w:t>
      </w:r>
      <w:r w:rsidR="00A9160F" w:rsidRPr="003D6709">
        <w:t>3</w:t>
      </w:r>
      <w:r w:rsidRPr="003D6709">
        <w:t>) via the Consumer Comments facility on the PBS website. The</w:t>
      </w:r>
      <w:r w:rsidR="001F4427" w:rsidRPr="003D6709">
        <w:t xml:space="preserve"> individuals’ </w:t>
      </w:r>
      <w:r w:rsidRPr="003D6709">
        <w:t xml:space="preserve">comments </w:t>
      </w:r>
      <w:r w:rsidRPr="003D6709">
        <w:lastRenderedPageBreak/>
        <w:t xml:space="preserve">described a range of benefits of treatment with </w:t>
      </w:r>
      <w:r w:rsidR="00A9160F" w:rsidRPr="003D6709">
        <w:t>acalabrutinib i</w:t>
      </w:r>
      <w:r w:rsidRPr="003D6709">
        <w:t>ncluding</w:t>
      </w:r>
      <w:r w:rsidR="00707375" w:rsidRPr="003D6709">
        <w:t xml:space="preserve"> potentially</w:t>
      </w:r>
      <w:r w:rsidR="00A9160F" w:rsidRPr="003D6709">
        <w:t xml:space="preserve"> fewer side effects and</w:t>
      </w:r>
      <w:r w:rsidRPr="003D6709">
        <w:t xml:space="preserve"> avoidance of </w:t>
      </w:r>
      <w:r w:rsidR="00A9160F" w:rsidRPr="003D6709">
        <w:t>toxicity in place of other therapies</w:t>
      </w:r>
      <w:r w:rsidR="009C3A0E" w:rsidRPr="003D6709">
        <w:t xml:space="preserve">, </w:t>
      </w:r>
      <w:r w:rsidR="001F4427" w:rsidRPr="003D6709">
        <w:t xml:space="preserve">improving quality of life, </w:t>
      </w:r>
      <w:r w:rsidR="009C3A0E" w:rsidRPr="003D6709">
        <w:t>especially for elderly patients</w:t>
      </w:r>
      <w:r w:rsidR="003D6709">
        <w:t xml:space="preserve">. </w:t>
      </w:r>
      <w:r w:rsidR="001F4427" w:rsidRPr="003D6709">
        <w:t>The PBAC noted that this advice was supportive of the evidence provided in the submission, although there was uncertainty surrounding the comparative safety benefits compared to the comparator, ibrutinib.</w:t>
      </w:r>
    </w:p>
    <w:p w:rsidR="009E5F0F" w:rsidRPr="003D6709" w:rsidRDefault="009E5F0F" w:rsidP="008D57DF">
      <w:pPr>
        <w:pStyle w:val="ExecSumBodyText"/>
      </w:pPr>
      <w:r w:rsidRPr="003D6709">
        <w:t xml:space="preserve">The PBAC noted the advice received from </w:t>
      </w:r>
      <w:r w:rsidR="00C41365" w:rsidRPr="003D6709">
        <w:t>Lymphoma Australia, Leukaemia Foundation and Rare Cancers Australia</w:t>
      </w:r>
      <w:r w:rsidRPr="003D6709">
        <w:t xml:space="preserve">. </w:t>
      </w:r>
      <w:r w:rsidR="001F4427" w:rsidRPr="003D6709">
        <w:t>The PBAC considered that the advice offered by the key organisations provided little additional insight into the need for acalabrutinib.</w:t>
      </w:r>
    </w:p>
    <w:p w:rsidR="00B60939" w:rsidRPr="003D6709" w:rsidRDefault="00B60939" w:rsidP="002E4F02">
      <w:pPr>
        <w:pStyle w:val="3-SubsectionHeading"/>
      </w:pPr>
      <w:r w:rsidRPr="003D6709">
        <w:t>Clinical trials</w:t>
      </w:r>
      <w:bookmarkEnd w:id="10"/>
      <w:bookmarkEnd w:id="11"/>
    </w:p>
    <w:p w:rsidR="00E31437" w:rsidRPr="003D6709" w:rsidRDefault="00E31437" w:rsidP="00E31437">
      <w:pPr>
        <w:pStyle w:val="ExecSumBodyText"/>
        <w:rPr>
          <w:snapToGrid/>
        </w:rPr>
      </w:pPr>
      <w:r w:rsidRPr="003D6709">
        <w:rPr>
          <w:snapToGrid/>
        </w:rPr>
        <w:t xml:space="preserve">No head-to-head trials comparing acalabrutinib to ibrutinib or </w:t>
      </w:r>
      <w:r w:rsidR="00B36492" w:rsidRPr="003D6709">
        <w:rPr>
          <w:snapToGrid/>
        </w:rPr>
        <w:t xml:space="preserve">to </w:t>
      </w:r>
      <w:r w:rsidRPr="003D6709">
        <w:rPr>
          <w:snapToGrid/>
        </w:rPr>
        <w:t xml:space="preserve">venetoclax plus rituximab were identified in the literature search. </w:t>
      </w:r>
    </w:p>
    <w:p w:rsidR="00E31437" w:rsidRPr="003D6709" w:rsidRDefault="00E31437" w:rsidP="00E31437">
      <w:pPr>
        <w:pStyle w:val="ExecSumBodyText"/>
        <w:rPr>
          <w:snapToGrid/>
        </w:rPr>
      </w:pPr>
      <w:r w:rsidRPr="003D6709">
        <w:rPr>
          <w:snapToGrid/>
        </w:rPr>
        <w:t>The submission was based on the following comparisons of acalabrutinib and the nominated comparators:</w:t>
      </w:r>
    </w:p>
    <w:p w:rsidR="00E44832" w:rsidRPr="003D6709" w:rsidRDefault="00E31437" w:rsidP="00AD6416">
      <w:pPr>
        <w:pStyle w:val="ExecSumBodyText"/>
        <w:numPr>
          <w:ilvl w:val="0"/>
          <w:numId w:val="12"/>
        </w:numPr>
        <w:spacing w:after="0"/>
        <w:ind w:left="1077" w:hanging="357"/>
        <w:rPr>
          <w:snapToGrid/>
        </w:rPr>
      </w:pPr>
      <w:r w:rsidRPr="003D6709">
        <w:rPr>
          <w:snapToGrid/>
        </w:rPr>
        <w:t>An unanchored matching adjusted indirect comparison (MAIC) of acalabrutinib (ASCEND) and ibrutinib (RESONATE);</w:t>
      </w:r>
    </w:p>
    <w:p w:rsidR="00E44832" w:rsidRPr="003D6709" w:rsidRDefault="00E31437" w:rsidP="00AD6416">
      <w:pPr>
        <w:pStyle w:val="ExecSumBodyText"/>
        <w:numPr>
          <w:ilvl w:val="0"/>
          <w:numId w:val="12"/>
        </w:numPr>
        <w:spacing w:after="0"/>
        <w:ind w:left="1077" w:hanging="357"/>
        <w:rPr>
          <w:snapToGrid/>
        </w:rPr>
      </w:pPr>
      <w:r w:rsidRPr="003D6709">
        <w:rPr>
          <w:snapToGrid/>
        </w:rPr>
        <w:t xml:space="preserve">A Bucher method indirect comparison of acalabrutinib (ASCEND) versus ibrutinib plus bendamustine plus rituximab (HELIOS) using investigator’s choice of either </w:t>
      </w:r>
      <w:r w:rsidR="006A0BAA" w:rsidRPr="003D6709">
        <w:rPr>
          <w:snapToGrid/>
        </w:rPr>
        <w:t>idelalisib</w:t>
      </w:r>
      <w:r w:rsidRPr="003D6709">
        <w:rPr>
          <w:snapToGrid/>
        </w:rPr>
        <w:t xml:space="preserve"> plus rituximab or </w:t>
      </w:r>
      <w:r w:rsidR="006A0BAA" w:rsidRPr="003D6709">
        <w:rPr>
          <w:snapToGrid/>
        </w:rPr>
        <w:t>bendamustine</w:t>
      </w:r>
      <w:r w:rsidRPr="003D6709">
        <w:rPr>
          <w:snapToGrid/>
        </w:rPr>
        <w:t xml:space="preserve"> plus rituximab (ASCEND), and placebo plus bendamustine plus rituximab (HELIOS) as common reference;</w:t>
      </w:r>
    </w:p>
    <w:p w:rsidR="00E44832" w:rsidRPr="003D6709" w:rsidRDefault="00E31437" w:rsidP="00AD6416">
      <w:pPr>
        <w:pStyle w:val="ExecSumBodyText"/>
        <w:numPr>
          <w:ilvl w:val="0"/>
          <w:numId w:val="12"/>
        </w:numPr>
        <w:spacing w:after="0"/>
        <w:ind w:left="1077" w:hanging="357"/>
        <w:rPr>
          <w:snapToGrid/>
        </w:rPr>
      </w:pPr>
      <w:r w:rsidRPr="003D6709">
        <w:rPr>
          <w:snapToGrid/>
        </w:rPr>
        <w:t>An unanchored MAIC of acalabrutinib (ASCEND) and venetoclax plus rituximab (MURANO);</w:t>
      </w:r>
    </w:p>
    <w:p w:rsidR="00E31437" w:rsidRPr="003D6709" w:rsidRDefault="00E31437" w:rsidP="00AD6416">
      <w:pPr>
        <w:pStyle w:val="ExecSumBodyText"/>
        <w:numPr>
          <w:ilvl w:val="0"/>
          <w:numId w:val="12"/>
        </w:numPr>
        <w:ind w:left="1077" w:hanging="357"/>
        <w:rPr>
          <w:snapToGrid/>
        </w:rPr>
      </w:pPr>
      <w:r w:rsidRPr="003D6709">
        <w:rPr>
          <w:snapToGrid/>
        </w:rPr>
        <w:t xml:space="preserve">A Bucher method indirect comparison of acalabrutinib (ASCEND) versus venetoclax plus rituximab (MURANO) using investigator’s choice of either </w:t>
      </w:r>
      <w:r w:rsidR="006A0BAA" w:rsidRPr="003D6709">
        <w:rPr>
          <w:snapToGrid/>
        </w:rPr>
        <w:t>idelalisib</w:t>
      </w:r>
      <w:r w:rsidRPr="003D6709">
        <w:rPr>
          <w:snapToGrid/>
        </w:rPr>
        <w:t xml:space="preserve"> plus rituximab or </w:t>
      </w:r>
      <w:r w:rsidR="006A0BAA" w:rsidRPr="003D6709">
        <w:rPr>
          <w:snapToGrid/>
        </w:rPr>
        <w:t>bendamustine</w:t>
      </w:r>
      <w:r w:rsidRPr="003D6709">
        <w:rPr>
          <w:snapToGrid/>
        </w:rPr>
        <w:t xml:space="preserve"> plus rituximab (ASCEND), and bendamustine plus rituximab (MURANO) as common reference.</w:t>
      </w:r>
    </w:p>
    <w:p w:rsidR="00862502" w:rsidRPr="003D6709" w:rsidRDefault="00A73134" w:rsidP="002E4F02">
      <w:pPr>
        <w:pStyle w:val="ExecSumBodyText"/>
      </w:pPr>
      <w:r w:rsidRPr="003D6709">
        <w:rPr>
          <w:snapToGrid/>
        </w:rPr>
        <w:t>Details of the trials presented in the submission are provided in the table below.</w:t>
      </w:r>
      <w:r w:rsidR="00BC591F" w:rsidRPr="003D6709">
        <w:rPr>
          <w:snapToGrid/>
        </w:rPr>
        <w:t xml:space="preserve"> </w:t>
      </w:r>
    </w:p>
    <w:p w:rsidR="00E44832" w:rsidRPr="003D6709" w:rsidRDefault="00E44832" w:rsidP="00E22B89">
      <w:pPr>
        <w:pStyle w:val="TableHeading"/>
      </w:pPr>
      <w:r w:rsidRPr="003D6709">
        <w:lastRenderedPageBreak/>
        <w:t xml:space="preserve">Table </w:t>
      </w:r>
      <w:r w:rsidR="003C41BB" w:rsidRPr="003D6709">
        <w:t>2</w:t>
      </w:r>
      <w:r w:rsidRPr="003D6709">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387"/>
        <w:gridCol w:w="2359"/>
      </w:tblGrid>
      <w:tr w:rsidR="00E44832" w:rsidRPr="003D6709" w:rsidTr="00462D53">
        <w:trPr>
          <w:tblHeader/>
        </w:trPr>
        <w:tc>
          <w:tcPr>
            <w:tcW w:w="705" w:type="pct"/>
            <w:vAlign w:val="center"/>
          </w:tcPr>
          <w:p w:rsidR="00E44832" w:rsidRPr="003D6709" w:rsidRDefault="00E44832" w:rsidP="004378C8">
            <w:pPr>
              <w:pStyle w:val="Tableheadingrow"/>
              <w:rPr>
                <w:szCs w:val="20"/>
                <w:lang w:val="en-AU"/>
              </w:rPr>
            </w:pPr>
            <w:r w:rsidRPr="003D6709">
              <w:rPr>
                <w:szCs w:val="20"/>
                <w:lang w:val="en-AU"/>
              </w:rPr>
              <w:t>Trial ID</w:t>
            </w:r>
          </w:p>
        </w:tc>
        <w:tc>
          <w:tcPr>
            <w:tcW w:w="2987" w:type="pct"/>
            <w:vAlign w:val="center"/>
          </w:tcPr>
          <w:p w:rsidR="00E44832" w:rsidRPr="003D6709" w:rsidRDefault="00E44832" w:rsidP="000C048A">
            <w:pPr>
              <w:pStyle w:val="Tableheadingrow"/>
              <w:jc w:val="center"/>
              <w:rPr>
                <w:szCs w:val="20"/>
                <w:lang w:val="en-AU"/>
              </w:rPr>
            </w:pPr>
            <w:r w:rsidRPr="003D6709">
              <w:rPr>
                <w:szCs w:val="20"/>
                <w:lang w:val="en-AU"/>
              </w:rPr>
              <w:t>Protocol title/ Publication title</w:t>
            </w:r>
          </w:p>
        </w:tc>
        <w:tc>
          <w:tcPr>
            <w:tcW w:w="1308" w:type="pct"/>
            <w:vAlign w:val="center"/>
          </w:tcPr>
          <w:p w:rsidR="00E44832" w:rsidRPr="003D6709" w:rsidRDefault="00E44832" w:rsidP="000C048A">
            <w:pPr>
              <w:pStyle w:val="Tableheadingrow"/>
              <w:jc w:val="center"/>
              <w:rPr>
                <w:szCs w:val="20"/>
                <w:lang w:val="en-AU"/>
              </w:rPr>
            </w:pPr>
            <w:r w:rsidRPr="003D6709">
              <w:rPr>
                <w:szCs w:val="20"/>
                <w:lang w:val="en-AU"/>
              </w:rPr>
              <w:t>Publication citation</w:t>
            </w:r>
          </w:p>
        </w:tc>
      </w:tr>
      <w:tr w:rsidR="00E44832" w:rsidRPr="003D6709" w:rsidTr="00462D53">
        <w:tc>
          <w:tcPr>
            <w:tcW w:w="5000" w:type="pct"/>
            <w:gridSpan w:val="3"/>
            <w:vAlign w:val="center"/>
          </w:tcPr>
          <w:p w:rsidR="00E44832" w:rsidRPr="003D6709" w:rsidRDefault="00E44832" w:rsidP="004378C8">
            <w:pPr>
              <w:pStyle w:val="TableText"/>
              <w:jc w:val="both"/>
              <w:rPr>
                <w:b/>
                <w:szCs w:val="20"/>
              </w:rPr>
            </w:pPr>
            <w:r w:rsidRPr="003D6709">
              <w:rPr>
                <w:b/>
                <w:szCs w:val="20"/>
              </w:rPr>
              <w:t>Acalabrutinib trials</w:t>
            </w:r>
          </w:p>
        </w:tc>
      </w:tr>
      <w:tr w:rsidR="00E44832" w:rsidRPr="003D6709" w:rsidTr="00462D53">
        <w:tc>
          <w:tcPr>
            <w:tcW w:w="705" w:type="pct"/>
          </w:tcPr>
          <w:p w:rsidR="00E44832" w:rsidRPr="003D6709" w:rsidRDefault="00E44832" w:rsidP="004378C8">
            <w:pPr>
              <w:pStyle w:val="TableText"/>
              <w:rPr>
                <w:szCs w:val="20"/>
              </w:rPr>
            </w:pPr>
            <w:r w:rsidRPr="003D6709">
              <w:rPr>
                <w:szCs w:val="20"/>
              </w:rPr>
              <w:t>ASCEND</w:t>
            </w:r>
          </w:p>
          <w:p w:rsidR="00E44832" w:rsidRPr="003D6709" w:rsidRDefault="00E44832" w:rsidP="004378C8">
            <w:pPr>
              <w:pStyle w:val="TableText"/>
              <w:rPr>
                <w:szCs w:val="20"/>
              </w:rPr>
            </w:pPr>
            <w:r w:rsidRPr="003D6709">
              <w:rPr>
                <w:szCs w:val="20"/>
              </w:rPr>
              <w:t>NCT02970318</w:t>
            </w:r>
          </w:p>
        </w:tc>
        <w:tc>
          <w:tcPr>
            <w:tcW w:w="2987" w:type="pct"/>
          </w:tcPr>
          <w:p w:rsidR="00E44832" w:rsidRPr="003D6709" w:rsidRDefault="00E44832" w:rsidP="004378C8">
            <w:pPr>
              <w:pStyle w:val="TableText"/>
              <w:rPr>
                <w:szCs w:val="20"/>
              </w:rPr>
            </w:pPr>
            <w:r w:rsidRPr="003D6709">
              <w:rPr>
                <w:szCs w:val="20"/>
              </w:rPr>
              <w:t xml:space="preserve">A Randomized, </w:t>
            </w:r>
            <w:proofErr w:type="spellStart"/>
            <w:r w:rsidRPr="003D6709">
              <w:rPr>
                <w:szCs w:val="20"/>
              </w:rPr>
              <w:t>Multicenter</w:t>
            </w:r>
            <w:proofErr w:type="spellEnd"/>
            <w:r w:rsidRPr="003D6709">
              <w:rPr>
                <w:szCs w:val="20"/>
              </w:rPr>
              <w:t xml:space="preserve">, Open-Label, Phase 3 Study of Acalabrutinib (ACP-196) Versus Investigator’s Choice of Either Idelalisib Plus Rituximab or Bendamustine Plus Rituximab in Subjects with Relapsed or Refractory Chronic Lymphocytic </w:t>
            </w:r>
            <w:proofErr w:type="spellStart"/>
            <w:r w:rsidRPr="003D6709">
              <w:rPr>
                <w:szCs w:val="20"/>
              </w:rPr>
              <w:t>Leukemia</w:t>
            </w:r>
            <w:proofErr w:type="spellEnd"/>
            <w:r w:rsidRPr="003D6709">
              <w:rPr>
                <w:szCs w:val="20"/>
              </w:rPr>
              <w:t>.</w:t>
            </w:r>
          </w:p>
        </w:tc>
        <w:tc>
          <w:tcPr>
            <w:tcW w:w="1308" w:type="pct"/>
          </w:tcPr>
          <w:p w:rsidR="00E44832" w:rsidRPr="003D6709" w:rsidRDefault="00E44832" w:rsidP="004378C8">
            <w:pPr>
              <w:pStyle w:val="TableText"/>
              <w:rPr>
                <w:szCs w:val="20"/>
              </w:rPr>
            </w:pPr>
            <w:r w:rsidRPr="003D6709">
              <w:rPr>
                <w:szCs w:val="20"/>
              </w:rPr>
              <w:t xml:space="preserve">Clinical Study Report </w:t>
            </w:r>
          </w:p>
          <w:p w:rsidR="00E44832" w:rsidRPr="003D6709" w:rsidRDefault="00E44832" w:rsidP="004378C8">
            <w:pPr>
              <w:pStyle w:val="TableText"/>
              <w:rPr>
                <w:szCs w:val="20"/>
              </w:rPr>
            </w:pPr>
            <w:r w:rsidRPr="003D6709">
              <w:rPr>
                <w:szCs w:val="20"/>
              </w:rPr>
              <w:t>17 July 2019.</w:t>
            </w:r>
          </w:p>
        </w:tc>
      </w:tr>
      <w:tr w:rsidR="00E44832" w:rsidRPr="003D6709" w:rsidTr="00462D53">
        <w:tc>
          <w:tcPr>
            <w:tcW w:w="5000" w:type="pct"/>
            <w:gridSpan w:val="3"/>
            <w:vAlign w:val="center"/>
          </w:tcPr>
          <w:p w:rsidR="00E44832" w:rsidRPr="003D6709" w:rsidRDefault="00E44832" w:rsidP="004378C8">
            <w:pPr>
              <w:pStyle w:val="TableText"/>
              <w:jc w:val="both"/>
              <w:rPr>
                <w:b/>
                <w:szCs w:val="20"/>
              </w:rPr>
            </w:pPr>
            <w:r w:rsidRPr="003D6709">
              <w:rPr>
                <w:b/>
                <w:szCs w:val="20"/>
              </w:rPr>
              <w:t>Ibrutinib trials</w:t>
            </w:r>
          </w:p>
        </w:tc>
      </w:tr>
      <w:tr w:rsidR="00E44832" w:rsidRPr="003D6709" w:rsidTr="00462D53">
        <w:tc>
          <w:tcPr>
            <w:tcW w:w="705" w:type="pct"/>
            <w:vMerge w:val="restart"/>
          </w:tcPr>
          <w:p w:rsidR="00E44832" w:rsidRPr="003D6709" w:rsidRDefault="00E44832" w:rsidP="004378C8">
            <w:pPr>
              <w:pStyle w:val="TableText"/>
              <w:rPr>
                <w:szCs w:val="20"/>
              </w:rPr>
            </w:pPr>
            <w:r w:rsidRPr="003D6709">
              <w:rPr>
                <w:szCs w:val="20"/>
              </w:rPr>
              <w:t>RESONATE</w:t>
            </w:r>
          </w:p>
          <w:p w:rsidR="00E44832" w:rsidRPr="003D6709" w:rsidRDefault="00E44832" w:rsidP="004378C8">
            <w:pPr>
              <w:pStyle w:val="TableText"/>
              <w:rPr>
                <w:szCs w:val="20"/>
              </w:rPr>
            </w:pPr>
            <w:r w:rsidRPr="003D6709">
              <w:rPr>
                <w:szCs w:val="20"/>
              </w:rPr>
              <w:t>NCT01578707</w:t>
            </w:r>
          </w:p>
        </w:tc>
        <w:tc>
          <w:tcPr>
            <w:tcW w:w="2987" w:type="pct"/>
            <w:tcBorders>
              <w:bottom w:val="nil"/>
            </w:tcBorders>
          </w:tcPr>
          <w:p w:rsidR="00E44832" w:rsidRPr="003D6709" w:rsidRDefault="00E44832" w:rsidP="004378C8">
            <w:pPr>
              <w:pStyle w:val="TableText"/>
              <w:rPr>
                <w:szCs w:val="20"/>
              </w:rPr>
            </w:pPr>
            <w:r w:rsidRPr="003D6709">
              <w:rPr>
                <w:szCs w:val="20"/>
              </w:rPr>
              <w:t xml:space="preserve">Byrd JC, Brown JR, O'Brien S et al. Ibrutinib versus </w:t>
            </w:r>
            <w:proofErr w:type="spellStart"/>
            <w:r w:rsidRPr="003D6709">
              <w:rPr>
                <w:szCs w:val="20"/>
              </w:rPr>
              <w:t>ofatumumab</w:t>
            </w:r>
            <w:proofErr w:type="spellEnd"/>
            <w:r w:rsidRPr="003D6709">
              <w:rPr>
                <w:szCs w:val="20"/>
              </w:rPr>
              <w:t xml:space="preserve"> in previously treated chronic lymphoid </w:t>
            </w:r>
            <w:proofErr w:type="spellStart"/>
            <w:r w:rsidRPr="003D6709">
              <w:rPr>
                <w:szCs w:val="20"/>
              </w:rPr>
              <w:t>leukemia</w:t>
            </w:r>
            <w:proofErr w:type="spellEnd"/>
            <w:r w:rsidRPr="003D6709">
              <w:rPr>
                <w:szCs w:val="20"/>
              </w:rPr>
              <w:t xml:space="preserve">. </w:t>
            </w:r>
          </w:p>
        </w:tc>
        <w:tc>
          <w:tcPr>
            <w:tcW w:w="1308" w:type="pct"/>
            <w:tcBorders>
              <w:bottom w:val="nil"/>
            </w:tcBorders>
          </w:tcPr>
          <w:p w:rsidR="00E44832" w:rsidRPr="003D6709" w:rsidRDefault="00E44832" w:rsidP="004378C8">
            <w:pPr>
              <w:pStyle w:val="TableText"/>
              <w:rPr>
                <w:szCs w:val="20"/>
              </w:rPr>
            </w:pPr>
            <w:r w:rsidRPr="003D6709">
              <w:rPr>
                <w:szCs w:val="20"/>
              </w:rPr>
              <w:t>New England Journal of Medicine 2014; 371(3): 213-23.</w:t>
            </w:r>
          </w:p>
        </w:tc>
      </w:tr>
      <w:tr w:rsidR="00E44832" w:rsidRPr="003D6709" w:rsidTr="00462D53">
        <w:tc>
          <w:tcPr>
            <w:tcW w:w="705" w:type="pct"/>
            <w:vMerge/>
          </w:tcPr>
          <w:p w:rsidR="00E44832" w:rsidRPr="003D6709" w:rsidRDefault="00E44832" w:rsidP="004378C8">
            <w:pPr>
              <w:pStyle w:val="TableText"/>
              <w:rPr>
                <w:szCs w:val="20"/>
              </w:rPr>
            </w:pPr>
          </w:p>
        </w:tc>
        <w:tc>
          <w:tcPr>
            <w:tcW w:w="2987" w:type="pct"/>
            <w:tcBorders>
              <w:top w:val="nil"/>
              <w:bottom w:val="nil"/>
            </w:tcBorders>
          </w:tcPr>
          <w:p w:rsidR="0015755F" w:rsidRPr="003D6709" w:rsidRDefault="0015755F" w:rsidP="004378C8">
            <w:pPr>
              <w:pStyle w:val="TableText"/>
              <w:rPr>
                <w:szCs w:val="20"/>
              </w:rPr>
            </w:pPr>
          </w:p>
          <w:p w:rsidR="00E44832" w:rsidRPr="003D6709" w:rsidRDefault="00E44832" w:rsidP="004378C8">
            <w:pPr>
              <w:pStyle w:val="TableText"/>
              <w:rPr>
                <w:szCs w:val="20"/>
              </w:rPr>
            </w:pPr>
            <w:r w:rsidRPr="003D6709">
              <w:rPr>
                <w:szCs w:val="20"/>
              </w:rPr>
              <w:t xml:space="preserve">Brown JR, </w:t>
            </w:r>
            <w:proofErr w:type="spellStart"/>
            <w:r w:rsidRPr="003D6709">
              <w:rPr>
                <w:szCs w:val="20"/>
              </w:rPr>
              <w:t>Hillmen</w:t>
            </w:r>
            <w:proofErr w:type="spellEnd"/>
            <w:r w:rsidRPr="003D6709">
              <w:rPr>
                <w:szCs w:val="20"/>
              </w:rPr>
              <w:t xml:space="preserve"> P, O'Brien S, et al. Updated Efficacy Including Genetic and Clinical Subgroup Analysis and Overall Safety in the Phase 3 RESONATE Trial of Ibrutinib Versus </w:t>
            </w:r>
            <w:proofErr w:type="spellStart"/>
            <w:r w:rsidRPr="003D6709">
              <w:rPr>
                <w:szCs w:val="20"/>
              </w:rPr>
              <w:t>Ofatumumab</w:t>
            </w:r>
            <w:proofErr w:type="spellEnd"/>
            <w:r w:rsidRPr="003D6709">
              <w:rPr>
                <w:szCs w:val="20"/>
              </w:rPr>
              <w:t xml:space="preserve"> in Previously Treated Chronic Lymphocytic </w:t>
            </w:r>
            <w:proofErr w:type="spellStart"/>
            <w:r w:rsidRPr="003D6709">
              <w:rPr>
                <w:szCs w:val="20"/>
              </w:rPr>
              <w:t>Leukemia</w:t>
            </w:r>
            <w:proofErr w:type="spellEnd"/>
            <w:r w:rsidRPr="003D6709">
              <w:rPr>
                <w:szCs w:val="20"/>
              </w:rPr>
              <w:t>/Small Lymphocytic Lymphoma</w:t>
            </w:r>
            <w:r w:rsidR="00235024" w:rsidRPr="003D6709">
              <w:rPr>
                <w:szCs w:val="20"/>
              </w:rPr>
              <w:t>.</w:t>
            </w:r>
          </w:p>
        </w:tc>
        <w:tc>
          <w:tcPr>
            <w:tcW w:w="1308" w:type="pct"/>
            <w:tcBorders>
              <w:top w:val="nil"/>
              <w:bottom w:val="nil"/>
            </w:tcBorders>
          </w:tcPr>
          <w:p w:rsidR="0015755F" w:rsidRPr="003D6709" w:rsidRDefault="0015755F" w:rsidP="004378C8">
            <w:pPr>
              <w:pStyle w:val="TableText"/>
              <w:rPr>
                <w:szCs w:val="20"/>
              </w:rPr>
            </w:pPr>
          </w:p>
          <w:p w:rsidR="00E44832" w:rsidRPr="003D6709" w:rsidRDefault="00E44832" w:rsidP="004378C8">
            <w:pPr>
              <w:pStyle w:val="TableText"/>
              <w:rPr>
                <w:i/>
                <w:szCs w:val="20"/>
              </w:rPr>
            </w:pPr>
            <w:r w:rsidRPr="003D6709">
              <w:rPr>
                <w:szCs w:val="20"/>
              </w:rPr>
              <w:t>Blood 2014; 124(21): 3331.</w:t>
            </w:r>
          </w:p>
        </w:tc>
      </w:tr>
      <w:tr w:rsidR="00E44832" w:rsidRPr="003D6709" w:rsidTr="00462D53">
        <w:tc>
          <w:tcPr>
            <w:tcW w:w="705" w:type="pct"/>
            <w:vMerge/>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 xml:space="preserve">Barr PM, Brown JR, </w:t>
            </w:r>
            <w:proofErr w:type="spellStart"/>
            <w:r w:rsidRPr="003D6709">
              <w:rPr>
                <w:szCs w:val="20"/>
              </w:rPr>
              <w:t>Hillmen</w:t>
            </w:r>
            <w:proofErr w:type="spellEnd"/>
            <w:r w:rsidRPr="003D6709">
              <w:rPr>
                <w:szCs w:val="20"/>
              </w:rPr>
              <w:t xml:space="preserve"> P, et al. Impact of ibrutinib dose adherence on therapeutic efficacy in patients with previously treated CLL/SLL. </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Blood 2017; 129(19): 2612-2615.</w:t>
            </w:r>
          </w:p>
        </w:tc>
      </w:tr>
      <w:tr w:rsidR="00E44832" w:rsidRPr="003D6709" w:rsidTr="00462D53">
        <w:tc>
          <w:tcPr>
            <w:tcW w:w="705" w:type="pct"/>
            <w:vMerge/>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 xml:space="preserve">Barrientos JC, O'Brien S, Brown JR, et al. Improvement in Parameters of Hematologic and Immunologic Function and Patient Well-being in the Phase III RESONATE Study of Ibrutinib Versus </w:t>
            </w:r>
            <w:proofErr w:type="spellStart"/>
            <w:r w:rsidRPr="003D6709">
              <w:rPr>
                <w:szCs w:val="20"/>
              </w:rPr>
              <w:t>Ofatumumab</w:t>
            </w:r>
            <w:proofErr w:type="spellEnd"/>
            <w:r w:rsidRPr="003D6709">
              <w:rPr>
                <w:szCs w:val="20"/>
              </w:rPr>
              <w:t xml:space="preserve"> in Patients With Previously Treated Chronic Lymphocytic </w:t>
            </w:r>
            <w:proofErr w:type="spellStart"/>
            <w:r w:rsidRPr="003D6709">
              <w:rPr>
                <w:szCs w:val="20"/>
              </w:rPr>
              <w:t>Leukemia</w:t>
            </w:r>
            <w:proofErr w:type="spellEnd"/>
            <w:r w:rsidRPr="003D6709">
              <w:rPr>
                <w:szCs w:val="20"/>
              </w:rPr>
              <w:t xml:space="preserve">/Small Lymphocytic Lymphoma. </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r w:rsidRPr="003D6709">
              <w:rPr>
                <w:szCs w:val="20"/>
              </w:rPr>
              <w:t xml:space="preserve">Clinical Lymphoma, Myeloma &amp; </w:t>
            </w:r>
            <w:proofErr w:type="spellStart"/>
            <w:r w:rsidRPr="003D6709">
              <w:rPr>
                <w:szCs w:val="20"/>
              </w:rPr>
              <w:t>Leukemia</w:t>
            </w:r>
            <w:proofErr w:type="spellEnd"/>
            <w:r w:rsidRPr="003D6709">
              <w:rPr>
                <w:szCs w:val="20"/>
              </w:rPr>
              <w:t xml:space="preserve"> 2018; 18(12): 803-813.e7.</w:t>
            </w:r>
          </w:p>
        </w:tc>
      </w:tr>
      <w:tr w:rsidR="00E44832" w:rsidRPr="003D6709" w:rsidTr="00462D53">
        <w:tc>
          <w:tcPr>
            <w:tcW w:w="705" w:type="pct"/>
            <w:vMerge/>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 xml:space="preserve">Brown JR, </w:t>
            </w:r>
            <w:proofErr w:type="spellStart"/>
            <w:r w:rsidRPr="003D6709">
              <w:rPr>
                <w:szCs w:val="20"/>
              </w:rPr>
              <w:t>Hillmen</w:t>
            </w:r>
            <w:proofErr w:type="spellEnd"/>
            <w:r w:rsidRPr="003D6709">
              <w:rPr>
                <w:szCs w:val="20"/>
              </w:rPr>
              <w:t xml:space="preserve"> P, O'Brien S, et al. Extended follow-up and impact of high-risk prognostic factors from the phase 3 RESONATE study in patients with previously treated CLL/SLL. </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proofErr w:type="spellStart"/>
            <w:r w:rsidRPr="003D6709">
              <w:rPr>
                <w:szCs w:val="20"/>
              </w:rPr>
              <w:t>Leukemia</w:t>
            </w:r>
            <w:proofErr w:type="spellEnd"/>
            <w:r w:rsidRPr="003D6709">
              <w:rPr>
                <w:szCs w:val="20"/>
              </w:rPr>
              <w:t xml:space="preserve"> 2018; 32(1): 83-91.</w:t>
            </w:r>
          </w:p>
        </w:tc>
      </w:tr>
      <w:tr w:rsidR="00E44832" w:rsidRPr="003D6709" w:rsidTr="00462D53">
        <w:tc>
          <w:tcPr>
            <w:tcW w:w="705" w:type="pct"/>
            <w:vMerge/>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 xml:space="preserve">Byrd JC, </w:t>
            </w:r>
            <w:proofErr w:type="spellStart"/>
            <w:r w:rsidRPr="003D6709">
              <w:rPr>
                <w:szCs w:val="20"/>
              </w:rPr>
              <w:t>Hillmen</w:t>
            </w:r>
            <w:proofErr w:type="spellEnd"/>
            <w:r w:rsidRPr="003D6709">
              <w:rPr>
                <w:szCs w:val="20"/>
              </w:rPr>
              <w:t xml:space="preserve"> P, O'Brien S, et al. Long-term follow-up of the RESONATE phase 3 trial of ibrutinib vs </w:t>
            </w:r>
            <w:proofErr w:type="spellStart"/>
            <w:r w:rsidRPr="003D6709">
              <w:rPr>
                <w:szCs w:val="20"/>
              </w:rPr>
              <w:t>ofatumumab</w:t>
            </w:r>
            <w:proofErr w:type="spellEnd"/>
            <w:r w:rsidRPr="003D6709">
              <w:rPr>
                <w:szCs w:val="20"/>
              </w:rPr>
              <w:t xml:space="preserve">. </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r w:rsidRPr="003D6709">
              <w:rPr>
                <w:szCs w:val="20"/>
              </w:rPr>
              <w:t>Blood 2019; 133(19): 2031-2042.</w:t>
            </w:r>
          </w:p>
        </w:tc>
      </w:tr>
      <w:tr w:rsidR="00E44832" w:rsidRPr="003D6709" w:rsidTr="00462D53">
        <w:tc>
          <w:tcPr>
            <w:tcW w:w="705" w:type="pct"/>
            <w:vMerge/>
            <w:tcBorders>
              <w:bottom w:val="nil"/>
            </w:tcBorders>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proofErr w:type="spellStart"/>
            <w:r w:rsidRPr="003D6709">
              <w:rPr>
                <w:szCs w:val="20"/>
              </w:rPr>
              <w:t>Munir</w:t>
            </w:r>
            <w:proofErr w:type="spellEnd"/>
            <w:r w:rsidRPr="003D6709">
              <w:rPr>
                <w:szCs w:val="20"/>
              </w:rPr>
              <w:t xml:space="preserve"> T, Brown JR, O’Brien S, et al. Final analysis from RESONATE: Up to six years of follow-up on ibrutinib in patients with previously treated chronic lymphocytic </w:t>
            </w:r>
            <w:proofErr w:type="spellStart"/>
            <w:r w:rsidRPr="003D6709">
              <w:rPr>
                <w:szCs w:val="20"/>
              </w:rPr>
              <w:t>leukemia</w:t>
            </w:r>
            <w:proofErr w:type="spellEnd"/>
            <w:r w:rsidRPr="003D6709">
              <w:rPr>
                <w:szCs w:val="20"/>
              </w:rPr>
              <w:t xml:space="preserve"> or small lymphocytic lymphoma.</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r w:rsidRPr="003D6709">
              <w:rPr>
                <w:szCs w:val="20"/>
              </w:rPr>
              <w:t xml:space="preserve">American Journal of </w:t>
            </w:r>
            <w:proofErr w:type="spellStart"/>
            <w:r w:rsidRPr="003D6709">
              <w:rPr>
                <w:szCs w:val="20"/>
              </w:rPr>
              <w:t>Hematology</w:t>
            </w:r>
            <w:proofErr w:type="spellEnd"/>
            <w:r w:rsidRPr="003D6709">
              <w:rPr>
                <w:szCs w:val="20"/>
              </w:rPr>
              <w:t xml:space="preserve"> 2019; 94: 1353-1363.</w:t>
            </w:r>
          </w:p>
        </w:tc>
      </w:tr>
      <w:tr w:rsidR="00E44832" w:rsidRPr="003D6709" w:rsidTr="00462D53">
        <w:trPr>
          <w:cantSplit/>
        </w:trPr>
        <w:tc>
          <w:tcPr>
            <w:tcW w:w="705" w:type="pct"/>
            <w:vMerge w:val="restart"/>
          </w:tcPr>
          <w:p w:rsidR="00E44832" w:rsidRPr="003D6709" w:rsidRDefault="00E44832" w:rsidP="004C7D8F">
            <w:pPr>
              <w:pStyle w:val="TableText"/>
              <w:keepNext w:val="0"/>
              <w:rPr>
                <w:szCs w:val="20"/>
              </w:rPr>
            </w:pPr>
            <w:r w:rsidRPr="003D6709">
              <w:rPr>
                <w:szCs w:val="20"/>
              </w:rPr>
              <w:t>HELIOS</w:t>
            </w:r>
          </w:p>
          <w:p w:rsidR="00E44832" w:rsidRPr="003D6709" w:rsidRDefault="00E44832" w:rsidP="004C7D8F">
            <w:pPr>
              <w:pStyle w:val="TableText"/>
              <w:keepNext w:val="0"/>
              <w:rPr>
                <w:szCs w:val="20"/>
              </w:rPr>
            </w:pPr>
            <w:r w:rsidRPr="003D6709">
              <w:rPr>
                <w:szCs w:val="20"/>
              </w:rPr>
              <w:t>NCT01611090</w:t>
            </w:r>
          </w:p>
        </w:tc>
        <w:tc>
          <w:tcPr>
            <w:tcW w:w="2987" w:type="pct"/>
            <w:tcBorders>
              <w:bottom w:val="nil"/>
            </w:tcBorders>
          </w:tcPr>
          <w:p w:rsidR="00E44832" w:rsidRPr="003D6709" w:rsidRDefault="00E44832" w:rsidP="004C7D8F">
            <w:pPr>
              <w:pStyle w:val="TableText"/>
              <w:keepNext w:val="0"/>
              <w:rPr>
                <w:szCs w:val="20"/>
              </w:rPr>
            </w:pPr>
            <w:proofErr w:type="spellStart"/>
            <w:r w:rsidRPr="003D6709">
              <w:rPr>
                <w:szCs w:val="20"/>
              </w:rPr>
              <w:t>Hallek</w:t>
            </w:r>
            <w:proofErr w:type="spellEnd"/>
            <w:r w:rsidRPr="003D6709">
              <w:rPr>
                <w:szCs w:val="20"/>
              </w:rPr>
              <w:t xml:space="preserve"> M, Kay NE, </w:t>
            </w:r>
            <w:proofErr w:type="spellStart"/>
            <w:r w:rsidRPr="003D6709">
              <w:rPr>
                <w:szCs w:val="20"/>
              </w:rPr>
              <w:t>Osterborg</w:t>
            </w:r>
            <w:proofErr w:type="spellEnd"/>
            <w:r w:rsidRPr="003D6709">
              <w:rPr>
                <w:szCs w:val="20"/>
              </w:rPr>
              <w:t xml:space="preserve"> A, et al. The HELIOS trial protocol: a phase III study of ibrutinib in combination with bendamustine and rituximab in relapsed/refractory chronic lymphocytic </w:t>
            </w:r>
            <w:proofErr w:type="spellStart"/>
            <w:r w:rsidRPr="003D6709">
              <w:rPr>
                <w:szCs w:val="20"/>
              </w:rPr>
              <w:t>leukemia</w:t>
            </w:r>
            <w:proofErr w:type="spellEnd"/>
            <w:r w:rsidRPr="003D6709">
              <w:rPr>
                <w:szCs w:val="20"/>
              </w:rPr>
              <w:t xml:space="preserve">. </w:t>
            </w:r>
          </w:p>
        </w:tc>
        <w:tc>
          <w:tcPr>
            <w:tcW w:w="1308" w:type="pct"/>
            <w:tcBorders>
              <w:bottom w:val="nil"/>
            </w:tcBorders>
          </w:tcPr>
          <w:p w:rsidR="00E44832" w:rsidRPr="003D6709" w:rsidRDefault="00E44832" w:rsidP="004C7D8F">
            <w:pPr>
              <w:pStyle w:val="TableText"/>
              <w:keepNext w:val="0"/>
              <w:rPr>
                <w:szCs w:val="20"/>
              </w:rPr>
            </w:pPr>
            <w:r w:rsidRPr="003D6709">
              <w:rPr>
                <w:szCs w:val="20"/>
              </w:rPr>
              <w:t>Future Oncology 2015; 11(1): 51-9.</w:t>
            </w:r>
          </w:p>
        </w:tc>
      </w:tr>
      <w:tr w:rsidR="00E44832" w:rsidRPr="003D6709" w:rsidTr="00462D53">
        <w:trPr>
          <w:cantSplit/>
        </w:trPr>
        <w:tc>
          <w:tcPr>
            <w:tcW w:w="705" w:type="pct"/>
            <w:vMerge/>
            <w:vAlign w:val="center"/>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proofErr w:type="spellStart"/>
            <w:r w:rsidRPr="003D6709">
              <w:rPr>
                <w:szCs w:val="20"/>
              </w:rPr>
              <w:t>Chanan</w:t>
            </w:r>
            <w:proofErr w:type="spellEnd"/>
            <w:r w:rsidRPr="003D6709">
              <w:rPr>
                <w:szCs w:val="20"/>
              </w:rPr>
              <w:t xml:space="preserve">-Khan  A, Cramer P, </w:t>
            </w:r>
            <w:proofErr w:type="spellStart"/>
            <w:r w:rsidRPr="003D6709">
              <w:rPr>
                <w:szCs w:val="20"/>
              </w:rPr>
              <w:t>Demirkan</w:t>
            </w:r>
            <w:proofErr w:type="spellEnd"/>
            <w:r w:rsidRPr="003D6709">
              <w:rPr>
                <w:szCs w:val="20"/>
              </w:rPr>
              <w:t xml:space="preserve"> F, et al. Ibrutinib combined with bendamustine and rituximab compared with placebo, bendamustine, and rituximab for previously treated chronic lymphocytic leukaemia or small lymphocytic lymphoma (HELIOS): a randomised, double-blind, phase 3 study. </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The Lancet 2016; Oncology. 17 (2): 200-211.</w:t>
            </w:r>
          </w:p>
        </w:tc>
      </w:tr>
      <w:tr w:rsidR="00E44832" w:rsidRPr="003D6709" w:rsidTr="00462D53">
        <w:trPr>
          <w:cantSplit/>
        </w:trPr>
        <w:tc>
          <w:tcPr>
            <w:tcW w:w="705" w:type="pct"/>
            <w:vMerge/>
            <w:vAlign w:val="center"/>
          </w:tcPr>
          <w:p w:rsidR="00E44832" w:rsidRPr="003D6709" w:rsidRDefault="00E44832" w:rsidP="004C7D8F">
            <w:pPr>
              <w:pStyle w:val="TableText"/>
              <w:keepNext w:val="0"/>
              <w:rPr>
                <w:szCs w:val="20"/>
              </w:rPr>
            </w:pPr>
          </w:p>
        </w:tc>
        <w:tc>
          <w:tcPr>
            <w:tcW w:w="2987"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 xml:space="preserve">Cramer P, Fraser G, </w:t>
            </w:r>
            <w:proofErr w:type="spellStart"/>
            <w:r w:rsidRPr="003D6709">
              <w:rPr>
                <w:szCs w:val="20"/>
              </w:rPr>
              <w:t>Santucci</w:t>
            </w:r>
            <w:proofErr w:type="spellEnd"/>
            <w:r w:rsidRPr="003D6709">
              <w:rPr>
                <w:szCs w:val="20"/>
              </w:rPr>
              <w:t xml:space="preserve">-Silva R, et al. Improvement of fatigue, physical functioning, and well-being among patients with severe impairment at baseline receiving ibrutinib in combination with bendamustine and rituximab for relapsed chronic lymphocytic </w:t>
            </w:r>
            <w:proofErr w:type="spellStart"/>
            <w:r w:rsidRPr="003D6709">
              <w:rPr>
                <w:szCs w:val="20"/>
              </w:rPr>
              <w:t>leukemia</w:t>
            </w:r>
            <w:proofErr w:type="spellEnd"/>
            <w:r w:rsidRPr="003D6709">
              <w:rPr>
                <w:szCs w:val="20"/>
              </w:rPr>
              <w:t xml:space="preserve">/small lymphocytic lymphoma in the HELIOS study. </w:t>
            </w:r>
          </w:p>
        </w:tc>
        <w:tc>
          <w:tcPr>
            <w:tcW w:w="1308" w:type="pct"/>
            <w:tcBorders>
              <w:top w:val="nil"/>
              <w:bottom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proofErr w:type="spellStart"/>
            <w:r w:rsidRPr="003D6709">
              <w:rPr>
                <w:szCs w:val="20"/>
              </w:rPr>
              <w:t>Leukemia</w:t>
            </w:r>
            <w:proofErr w:type="spellEnd"/>
            <w:r w:rsidRPr="003D6709">
              <w:rPr>
                <w:szCs w:val="20"/>
              </w:rPr>
              <w:t xml:space="preserve"> &amp; Lymphoma 2018; 59(9): 2075-2084.</w:t>
            </w:r>
          </w:p>
        </w:tc>
      </w:tr>
      <w:tr w:rsidR="00E44832" w:rsidRPr="003D6709" w:rsidTr="00462D53">
        <w:trPr>
          <w:cantSplit/>
        </w:trPr>
        <w:tc>
          <w:tcPr>
            <w:tcW w:w="705" w:type="pct"/>
            <w:vMerge/>
            <w:vAlign w:val="center"/>
          </w:tcPr>
          <w:p w:rsidR="00E44832" w:rsidRPr="003D6709" w:rsidRDefault="00E44832" w:rsidP="004C7D8F">
            <w:pPr>
              <w:pStyle w:val="TableText"/>
              <w:keepNext w:val="0"/>
              <w:rPr>
                <w:szCs w:val="20"/>
              </w:rPr>
            </w:pPr>
          </w:p>
        </w:tc>
        <w:tc>
          <w:tcPr>
            <w:tcW w:w="2987" w:type="pct"/>
            <w:tcBorders>
              <w:top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szCs w:val="20"/>
              </w:rPr>
            </w:pPr>
            <w:r w:rsidRPr="003D6709">
              <w:rPr>
                <w:szCs w:val="20"/>
              </w:rPr>
              <w:t xml:space="preserve">Fraser G, Cramer P, </w:t>
            </w:r>
            <w:proofErr w:type="spellStart"/>
            <w:r w:rsidRPr="003D6709">
              <w:rPr>
                <w:szCs w:val="20"/>
              </w:rPr>
              <w:t>Demirkan</w:t>
            </w:r>
            <w:proofErr w:type="spellEnd"/>
            <w:r w:rsidRPr="003D6709">
              <w:rPr>
                <w:szCs w:val="20"/>
              </w:rPr>
              <w:t xml:space="preserve"> F, et al. Updated results from the phase 3 HELIOS study of ibrutinib, bendamustine, and rituximab in relapsed chronic lymphocytic </w:t>
            </w:r>
            <w:proofErr w:type="spellStart"/>
            <w:r w:rsidRPr="003D6709">
              <w:rPr>
                <w:szCs w:val="20"/>
              </w:rPr>
              <w:t>leukemia</w:t>
            </w:r>
            <w:proofErr w:type="spellEnd"/>
            <w:r w:rsidRPr="003D6709">
              <w:rPr>
                <w:szCs w:val="20"/>
              </w:rPr>
              <w:t xml:space="preserve">/small lymphocytic lymphoma. </w:t>
            </w:r>
          </w:p>
        </w:tc>
        <w:tc>
          <w:tcPr>
            <w:tcW w:w="1308" w:type="pct"/>
            <w:tcBorders>
              <w:top w:val="nil"/>
            </w:tcBorders>
          </w:tcPr>
          <w:p w:rsidR="0015755F" w:rsidRPr="003D6709" w:rsidRDefault="0015755F" w:rsidP="004C7D8F">
            <w:pPr>
              <w:pStyle w:val="TableText"/>
              <w:keepNext w:val="0"/>
              <w:rPr>
                <w:szCs w:val="20"/>
              </w:rPr>
            </w:pPr>
          </w:p>
          <w:p w:rsidR="00E44832" w:rsidRPr="003D6709" w:rsidRDefault="00E44832" w:rsidP="004C7D8F">
            <w:pPr>
              <w:pStyle w:val="TableText"/>
              <w:keepNext w:val="0"/>
              <w:rPr>
                <w:i/>
                <w:szCs w:val="20"/>
              </w:rPr>
            </w:pPr>
            <w:proofErr w:type="spellStart"/>
            <w:r w:rsidRPr="003D6709">
              <w:rPr>
                <w:szCs w:val="20"/>
              </w:rPr>
              <w:t>Leukemia</w:t>
            </w:r>
            <w:proofErr w:type="spellEnd"/>
            <w:r w:rsidRPr="003D6709">
              <w:rPr>
                <w:szCs w:val="20"/>
              </w:rPr>
              <w:t xml:space="preserve"> 2019; 33(4): 969-980.</w:t>
            </w:r>
          </w:p>
        </w:tc>
      </w:tr>
      <w:tr w:rsidR="00E44832" w:rsidRPr="003D6709" w:rsidTr="00462D53">
        <w:tc>
          <w:tcPr>
            <w:tcW w:w="5000" w:type="pct"/>
            <w:gridSpan w:val="3"/>
            <w:tcBorders>
              <w:top w:val="single" w:sz="4" w:space="0" w:color="auto"/>
              <w:right w:val="single" w:sz="4" w:space="0" w:color="auto"/>
            </w:tcBorders>
            <w:vAlign w:val="center"/>
          </w:tcPr>
          <w:p w:rsidR="00E44832" w:rsidRPr="003D6709" w:rsidRDefault="00E44832" w:rsidP="004C7D8F">
            <w:pPr>
              <w:pStyle w:val="TableText"/>
              <w:keepNext w:val="0"/>
              <w:jc w:val="both"/>
              <w:rPr>
                <w:b/>
                <w:szCs w:val="20"/>
              </w:rPr>
            </w:pPr>
            <w:r w:rsidRPr="003D6709">
              <w:rPr>
                <w:b/>
                <w:szCs w:val="20"/>
              </w:rPr>
              <w:lastRenderedPageBreak/>
              <w:t>Venetoclax plus rituximab trials</w:t>
            </w:r>
          </w:p>
        </w:tc>
      </w:tr>
      <w:tr w:rsidR="00E44832" w:rsidRPr="003D6709" w:rsidTr="00462D53">
        <w:tc>
          <w:tcPr>
            <w:tcW w:w="705" w:type="pct"/>
            <w:vMerge w:val="restart"/>
            <w:tcBorders>
              <w:top w:val="single" w:sz="4" w:space="0" w:color="auto"/>
              <w:right w:val="single" w:sz="4" w:space="0" w:color="auto"/>
            </w:tcBorders>
          </w:tcPr>
          <w:p w:rsidR="00E44832" w:rsidRPr="003D6709" w:rsidRDefault="00E44832" w:rsidP="004C7D8F">
            <w:pPr>
              <w:pStyle w:val="TableText"/>
              <w:keepNext w:val="0"/>
              <w:rPr>
                <w:szCs w:val="20"/>
              </w:rPr>
            </w:pPr>
            <w:r w:rsidRPr="003D6709">
              <w:rPr>
                <w:szCs w:val="20"/>
              </w:rPr>
              <w:t>MURANO</w:t>
            </w:r>
          </w:p>
          <w:p w:rsidR="00E44832" w:rsidRPr="003D6709" w:rsidRDefault="00E44832" w:rsidP="004C7D8F">
            <w:pPr>
              <w:pStyle w:val="TableText"/>
              <w:keepNext w:val="0"/>
              <w:rPr>
                <w:szCs w:val="20"/>
              </w:rPr>
            </w:pPr>
            <w:r w:rsidRPr="003D6709">
              <w:rPr>
                <w:szCs w:val="20"/>
              </w:rPr>
              <w:t>NCT02005471</w:t>
            </w:r>
          </w:p>
        </w:tc>
        <w:tc>
          <w:tcPr>
            <w:tcW w:w="2987" w:type="pct"/>
            <w:tcBorders>
              <w:top w:val="nil"/>
              <w:left w:val="single" w:sz="4" w:space="0" w:color="auto"/>
              <w:bottom w:val="nil"/>
              <w:right w:val="single" w:sz="4" w:space="0" w:color="auto"/>
            </w:tcBorders>
          </w:tcPr>
          <w:p w:rsidR="00E44832" w:rsidRPr="003D6709" w:rsidRDefault="00E44832" w:rsidP="004C7D8F">
            <w:pPr>
              <w:pStyle w:val="TableText"/>
              <w:keepNext w:val="0"/>
              <w:rPr>
                <w:szCs w:val="20"/>
              </w:rPr>
            </w:pPr>
            <w:r w:rsidRPr="003D6709">
              <w:rPr>
                <w:szCs w:val="20"/>
              </w:rPr>
              <w:t xml:space="preserve">Seymour JF, </w:t>
            </w:r>
            <w:proofErr w:type="spellStart"/>
            <w:r w:rsidRPr="003D6709">
              <w:rPr>
                <w:szCs w:val="20"/>
              </w:rPr>
              <w:t>Kipps</w:t>
            </w:r>
            <w:proofErr w:type="spellEnd"/>
            <w:r w:rsidRPr="003D6709">
              <w:rPr>
                <w:szCs w:val="20"/>
              </w:rPr>
              <w:t xml:space="preserve"> TJ, </w:t>
            </w:r>
            <w:proofErr w:type="spellStart"/>
            <w:r w:rsidRPr="003D6709">
              <w:rPr>
                <w:szCs w:val="20"/>
              </w:rPr>
              <w:t>Eichhorst</w:t>
            </w:r>
            <w:proofErr w:type="spellEnd"/>
            <w:r w:rsidRPr="003D6709">
              <w:rPr>
                <w:szCs w:val="20"/>
              </w:rPr>
              <w:t xml:space="preserve"> B, et al. Venetoclax–Rituximab in Relapsed or Refractory Chronic Lymphocytic </w:t>
            </w:r>
            <w:proofErr w:type="spellStart"/>
            <w:r w:rsidRPr="003D6709">
              <w:rPr>
                <w:szCs w:val="20"/>
              </w:rPr>
              <w:t>Leukemia</w:t>
            </w:r>
            <w:proofErr w:type="spellEnd"/>
            <w:r w:rsidRPr="003D6709">
              <w:rPr>
                <w:szCs w:val="20"/>
              </w:rPr>
              <w:t xml:space="preserve">. </w:t>
            </w:r>
          </w:p>
        </w:tc>
        <w:tc>
          <w:tcPr>
            <w:tcW w:w="1308" w:type="pct"/>
            <w:tcBorders>
              <w:top w:val="nil"/>
              <w:left w:val="single" w:sz="4" w:space="0" w:color="auto"/>
              <w:bottom w:val="nil"/>
              <w:right w:val="single" w:sz="4" w:space="0" w:color="auto"/>
            </w:tcBorders>
          </w:tcPr>
          <w:p w:rsidR="00E44832" w:rsidRPr="003D6709" w:rsidRDefault="00E44832" w:rsidP="004C7D8F">
            <w:pPr>
              <w:pStyle w:val="TableText"/>
              <w:keepNext w:val="0"/>
              <w:rPr>
                <w:szCs w:val="20"/>
              </w:rPr>
            </w:pPr>
            <w:r w:rsidRPr="003D6709">
              <w:rPr>
                <w:szCs w:val="20"/>
              </w:rPr>
              <w:t>New England Journal of Medicine 2018; 378(12): 1107-1120.</w:t>
            </w:r>
          </w:p>
        </w:tc>
      </w:tr>
      <w:tr w:rsidR="00E44832" w:rsidRPr="003D6709" w:rsidTr="00462D53">
        <w:tc>
          <w:tcPr>
            <w:tcW w:w="705" w:type="pct"/>
            <w:vMerge/>
            <w:tcBorders>
              <w:bottom w:val="single" w:sz="4" w:space="0" w:color="auto"/>
              <w:right w:val="single" w:sz="4" w:space="0" w:color="auto"/>
            </w:tcBorders>
          </w:tcPr>
          <w:p w:rsidR="00E44832" w:rsidRPr="003D6709" w:rsidRDefault="00E44832" w:rsidP="004C7D8F">
            <w:pPr>
              <w:pStyle w:val="TableText"/>
              <w:keepNext w:val="0"/>
              <w:rPr>
                <w:szCs w:val="20"/>
              </w:rPr>
            </w:pPr>
          </w:p>
        </w:tc>
        <w:tc>
          <w:tcPr>
            <w:tcW w:w="2987" w:type="pct"/>
            <w:tcBorders>
              <w:top w:val="nil"/>
              <w:left w:val="single" w:sz="4" w:space="0" w:color="auto"/>
              <w:bottom w:val="single" w:sz="4" w:space="0" w:color="auto"/>
              <w:right w:val="single" w:sz="4" w:space="0" w:color="auto"/>
            </w:tcBorders>
          </w:tcPr>
          <w:p w:rsidR="00E44832" w:rsidRPr="003D6709" w:rsidRDefault="00E44832" w:rsidP="004C7D8F">
            <w:pPr>
              <w:pStyle w:val="TableText"/>
              <w:keepNext w:val="0"/>
              <w:rPr>
                <w:szCs w:val="20"/>
              </w:rPr>
            </w:pPr>
            <w:proofErr w:type="spellStart"/>
            <w:r w:rsidRPr="003D6709">
              <w:rPr>
                <w:szCs w:val="20"/>
              </w:rPr>
              <w:t>Kater</w:t>
            </w:r>
            <w:proofErr w:type="spellEnd"/>
            <w:r w:rsidRPr="003D6709">
              <w:rPr>
                <w:szCs w:val="20"/>
              </w:rPr>
              <w:t xml:space="preserve"> AP, Seymour JF, </w:t>
            </w:r>
            <w:proofErr w:type="spellStart"/>
            <w:r w:rsidRPr="003D6709">
              <w:rPr>
                <w:szCs w:val="20"/>
              </w:rPr>
              <w:t>Hillmen</w:t>
            </w:r>
            <w:proofErr w:type="spellEnd"/>
            <w:r w:rsidRPr="003D6709">
              <w:rPr>
                <w:szCs w:val="20"/>
              </w:rPr>
              <w:t xml:space="preserve"> PH, et al. Fixed Duration of Venetoclax-Rituximab in Relapsed/Refractory Chronic Lymphocytic Leukaemia Eradicates Minimal Residual Disease and Prolongs Survival: Post-Treatment Follow-Up of the MURANO Phase III Study.</w:t>
            </w:r>
          </w:p>
        </w:tc>
        <w:tc>
          <w:tcPr>
            <w:tcW w:w="1308" w:type="pct"/>
            <w:tcBorders>
              <w:top w:val="nil"/>
              <w:left w:val="single" w:sz="4" w:space="0" w:color="auto"/>
              <w:bottom w:val="single" w:sz="4" w:space="0" w:color="auto"/>
              <w:right w:val="single" w:sz="4" w:space="0" w:color="auto"/>
            </w:tcBorders>
          </w:tcPr>
          <w:p w:rsidR="00E44832" w:rsidRPr="003D6709" w:rsidRDefault="00E44832" w:rsidP="004C7D8F">
            <w:pPr>
              <w:pStyle w:val="TableText"/>
              <w:keepNext w:val="0"/>
              <w:rPr>
                <w:szCs w:val="20"/>
              </w:rPr>
            </w:pPr>
            <w:r w:rsidRPr="003D6709">
              <w:rPr>
                <w:szCs w:val="20"/>
              </w:rPr>
              <w:t>Journal of Clinical Oncology 2019; 37(4): 269-277.</w:t>
            </w:r>
          </w:p>
        </w:tc>
      </w:tr>
    </w:tbl>
    <w:p w:rsidR="00E44832" w:rsidRPr="003D6709" w:rsidRDefault="00E44832" w:rsidP="00E44832">
      <w:pPr>
        <w:pStyle w:val="TableFooter"/>
        <w:spacing w:after="120"/>
      </w:pPr>
      <w:r w:rsidRPr="003D6709">
        <w:t>Source: Table 2.2.1, pp36-38 of the submission.</w:t>
      </w:r>
    </w:p>
    <w:p w:rsidR="007F1017" w:rsidRPr="003D6709" w:rsidRDefault="00B33AA4" w:rsidP="00B33AA4">
      <w:pPr>
        <w:pStyle w:val="ExecSumBodyText"/>
      </w:pPr>
      <w:r w:rsidRPr="003D6709">
        <w:t xml:space="preserve">The key features of the </w:t>
      </w:r>
      <w:r w:rsidR="00E7270D" w:rsidRPr="003D6709">
        <w:t>included</w:t>
      </w:r>
      <w:r w:rsidRPr="003D6709">
        <w:t xml:space="preserve"> trials are summarised in the table below.</w:t>
      </w:r>
    </w:p>
    <w:p w:rsidR="007F1017" w:rsidRPr="003D6709" w:rsidRDefault="00453D8F" w:rsidP="00E22B89">
      <w:pPr>
        <w:pStyle w:val="TableHeading"/>
      </w:pPr>
      <w:r w:rsidRPr="003D6709">
        <w:lastRenderedPageBreak/>
        <w:t xml:space="preserve">Table </w:t>
      </w:r>
      <w:r w:rsidR="003C41BB" w:rsidRPr="003D6709">
        <w:t>3</w:t>
      </w:r>
      <w:r w:rsidRPr="003D6709">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9"/>
        <w:gridCol w:w="566"/>
        <w:gridCol w:w="1560"/>
        <w:gridCol w:w="849"/>
        <w:gridCol w:w="2409"/>
        <w:gridCol w:w="2644"/>
      </w:tblGrid>
      <w:tr w:rsidR="00D933C2" w:rsidRPr="003D6709" w:rsidTr="00462D53">
        <w:trPr>
          <w:cantSplit/>
          <w:tblHeader/>
        </w:trPr>
        <w:tc>
          <w:tcPr>
            <w:tcW w:w="548" w:type="pct"/>
            <w:shd w:val="clear" w:color="auto" w:fill="auto"/>
            <w:vAlign w:val="center"/>
          </w:tcPr>
          <w:p w:rsidR="00453D8F" w:rsidRPr="003D6709" w:rsidRDefault="00453D8F" w:rsidP="00BF04BE">
            <w:pPr>
              <w:pStyle w:val="Tableheadingrow"/>
              <w:rPr>
                <w:szCs w:val="20"/>
                <w:lang w:val="en-AU"/>
              </w:rPr>
            </w:pPr>
            <w:r w:rsidRPr="003D6709">
              <w:rPr>
                <w:szCs w:val="20"/>
                <w:lang w:val="en-AU"/>
              </w:rPr>
              <w:t>Trial</w:t>
            </w:r>
          </w:p>
        </w:tc>
        <w:tc>
          <w:tcPr>
            <w:tcW w:w="314" w:type="pct"/>
            <w:shd w:val="clear" w:color="auto" w:fill="auto"/>
            <w:vAlign w:val="center"/>
          </w:tcPr>
          <w:p w:rsidR="00453D8F" w:rsidRPr="003D6709" w:rsidRDefault="00453D8F" w:rsidP="00BF04BE">
            <w:pPr>
              <w:pStyle w:val="Tableheadingrow"/>
              <w:jc w:val="center"/>
              <w:rPr>
                <w:szCs w:val="20"/>
                <w:lang w:val="en-AU"/>
              </w:rPr>
            </w:pPr>
            <w:r w:rsidRPr="003D6709">
              <w:rPr>
                <w:szCs w:val="20"/>
                <w:lang w:val="en-AU"/>
              </w:rPr>
              <w:t>N</w:t>
            </w:r>
          </w:p>
        </w:tc>
        <w:tc>
          <w:tcPr>
            <w:tcW w:w="865" w:type="pct"/>
            <w:shd w:val="clear" w:color="auto" w:fill="auto"/>
            <w:vAlign w:val="center"/>
          </w:tcPr>
          <w:p w:rsidR="00453D8F" w:rsidRPr="003D6709" w:rsidRDefault="00D933C2" w:rsidP="00BF04BE">
            <w:pPr>
              <w:pStyle w:val="Tableheadingrow"/>
              <w:jc w:val="center"/>
              <w:rPr>
                <w:szCs w:val="20"/>
                <w:lang w:val="en-AU"/>
              </w:rPr>
            </w:pPr>
            <w:r w:rsidRPr="003D6709">
              <w:rPr>
                <w:szCs w:val="20"/>
                <w:lang w:val="en-AU"/>
              </w:rPr>
              <w:t>Design/duration of follow-up</w:t>
            </w:r>
          </w:p>
        </w:tc>
        <w:tc>
          <w:tcPr>
            <w:tcW w:w="471" w:type="pct"/>
            <w:shd w:val="clear" w:color="auto" w:fill="auto"/>
            <w:vAlign w:val="center"/>
          </w:tcPr>
          <w:p w:rsidR="00453D8F" w:rsidRPr="003D6709" w:rsidRDefault="00453D8F" w:rsidP="00BF04BE">
            <w:pPr>
              <w:pStyle w:val="Tableheadingrow"/>
              <w:jc w:val="center"/>
              <w:rPr>
                <w:szCs w:val="20"/>
                <w:lang w:val="en-AU"/>
              </w:rPr>
            </w:pPr>
            <w:r w:rsidRPr="003D6709">
              <w:rPr>
                <w:szCs w:val="20"/>
                <w:lang w:val="en-AU"/>
              </w:rPr>
              <w:t>Risk of bias</w:t>
            </w:r>
          </w:p>
        </w:tc>
        <w:tc>
          <w:tcPr>
            <w:tcW w:w="1336" w:type="pct"/>
            <w:shd w:val="clear" w:color="auto" w:fill="auto"/>
            <w:vAlign w:val="center"/>
          </w:tcPr>
          <w:p w:rsidR="00453D8F" w:rsidRPr="003D6709" w:rsidRDefault="00453D8F" w:rsidP="00BF04BE">
            <w:pPr>
              <w:pStyle w:val="Tableheadingrow"/>
              <w:jc w:val="center"/>
              <w:rPr>
                <w:szCs w:val="20"/>
                <w:lang w:val="en-AU"/>
              </w:rPr>
            </w:pPr>
            <w:r w:rsidRPr="003D6709">
              <w:rPr>
                <w:szCs w:val="20"/>
                <w:lang w:val="en-AU"/>
              </w:rPr>
              <w:t>Patient population</w:t>
            </w:r>
          </w:p>
        </w:tc>
        <w:tc>
          <w:tcPr>
            <w:tcW w:w="1466" w:type="pct"/>
            <w:shd w:val="clear" w:color="auto" w:fill="auto"/>
            <w:vAlign w:val="center"/>
          </w:tcPr>
          <w:p w:rsidR="00453D8F" w:rsidRPr="003D6709" w:rsidRDefault="00453D8F" w:rsidP="00BF04BE">
            <w:pPr>
              <w:pStyle w:val="Tableheadingrow"/>
              <w:jc w:val="center"/>
              <w:rPr>
                <w:szCs w:val="20"/>
                <w:lang w:val="en-AU"/>
              </w:rPr>
            </w:pPr>
            <w:r w:rsidRPr="003D6709">
              <w:rPr>
                <w:szCs w:val="20"/>
                <w:lang w:val="en-AU"/>
              </w:rPr>
              <w:t>Outcomes</w:t>
            </w:r>
          </w:p>
        </w:tc>
      </w:tr>
      <w:tr w:rsidR="00453D8F" w:rsidRPr="003D6709" w:rsidTr="00462D53">
        <w:trPr>
          <w:cantSplit/>
        </w:trPr>
        <w:tc>
          <w:tcPr>
            <w:tcW w:w="5000" w:type="pct"/>
            <w:gridSpan w:val="6"/>
            <w:shd w:val="clear" w:color="auto" w:fill="auto"/>
            <w:vAlign w:val="center"/>
          </w:tcPr>
          <w:p w:rsidR="00453D8F" w:rsidRPr="003D6709" w:rsidRDefault="00453D8F" w:rsidP="00BF04BE">
            <w:pPr>
              <w:pStyle w:val="Tableheadingrow"/>
              <w:rPr>
                <w:szCs w:val="20"/>
                <w:lang w:val="en-AU"/>
              </w:rPr>
            </w:pPr>
            <w:r w:rsidRPr="003D6709">
              <w:rPr>
                <w:szCs w:val="20"/>
                <w:lang w:val="en-AU"/>
              </w:rPr>
              <w:t>Acalabrutinib vs. investigator’s choice of idelalisib plus rituximab or bendamustine plus rituximab</w:t>
            </w:r>
          </w:p>
        </w:tc>
      </w:tr>
      <w:tr w:rsidR="00D933C2" w:rsidRPr="003D6709" w:rsidTr="00462D53">
        <w:trPr>
          <w:cantSplit/>
        </w:trPr>
        <w:tc>
          <w:tcPr>
            <w:tcW w:w="548" w:type="pct"/>
            <w:shd w:val="clear" w:color="auto" w:fill="auto"/>
            <w:vAlign w:val="center"/>
          </w:tcPr>
          <w:p w:rsidR="00453D8F" w:rsidRPr="003D6709" w:rsidRDefault="00453D8F" w:rsidP="00BF04BE">
            <w:pPr>
              <w:pStyle w:val="TableText"/>
              <w:rPr>
                <w:szCs w:val="20"/>
              </w:rPr>
            </w:pPr>
            <w:r w:rsidRPr="003D6709">
              <w:rPr>
                <w:szCs w:val="20"/>
              </w:rPr>
              <w:t>ASCEND</w:t>
            </w:r>
          </w:p>
        </w:tc>
        <w:tc>
          <w:tcPr>
            <w:tcW w:w="314" w:type="pct"/>
            <w:shd w:val="clear" w:color="auto" w:fill="auto"/>
            <w:vAlign w:val="center"/>
          </w:tcPr>
          <w:p w:rsidR="00453D8F" w:rsidRPr="003D6709" w:rsidRDefault="00D933C2" w:rsidP="00BF04BE">
            <w:pPr>
              <w:pStyle w:val="TableText"/>
              <w:jc w:val="center"/>
              <w:rPr>
                <w:szCs w:val="20"/>
              </w:rPr>
            </w:pPr>
            <w:r w:rsidRPr="003D6709">
              <w:rPr>
                <w:szCs w:val="20"/>
              </w:rPr>
              <w:t>310</w:t>
            </w:r>
          </w:p>
        </w:tc>
        <w:tc>
          <w:tcPr>
            <w:tcW w:w="865" w:type="pct"/>
            <w:shd w:val="clear" w:color="auto" w:fill="auto"/>
            <w:vAlign w:val="center"/>
          </w:tcPr>
          <w:p w:rsidR="00453D8F" w:rsidRPr="003D6709" w:rsidRDefault="003C0DDA" w:rsidP="00BF04BE">
            <w:pPr>
              <w:pStyle w:val="TableText"/>
              <w:jc w:val="center"/>
              <w:rPr>
                <w:szCs w:val="20"/>
              </w:rPr>
            </w:pPr>
            <w:r w:rsidRPr="003D6709">
              <w:rPr>
                <w:szCs w:val="20"/>
              </w:rPr>
              <w:t xml:space="preserve">Phase 3, R, OL (median duration of follow-up </w:t>
            </w:r>
            <w:r w:rsidR="00E7270D" w:rsidRPr="003D6709">
              <w:rPr>
                <w:szCs w:val="20"/>
              </w:rPr>
              <w:t>16 months)</w:t>
            </w:r>
          </w:p>
        </w:tc>
        <w:tc>
          <w:tcPr>
            <w:tcW w:w="471" w:type="pct"/>
            <w:shd w:val="clear" w:color="auto" w:fill="auto"/>
            <w:vAlign w:val="center"/>
          </w:tcPr>
          <w:p w:rsidR="00453D8F" w:rsidRPr="003D6709" w:rsidRDefault="003C0DDA" w:rsidP="00BF04BE">
            <w:pPr>
              <w:pStyle w:val="TableText"/>
              <w:jc w:val="center"/>
              <w:rPr>
                <w:szCs w:val="20"/>
              </w:rPr>
            </w:pPr>
            <w:r w:rsidRPr="003D6709">
              <w:rPr>
                <w:szCs w:val="20"/>
              </w:rPr>
              <w:t>Unclear</w:t>
            </w:r>
          </w:p>
        </w:tc>
        <w:tc>
          <w:tcPr>
            <w:tcW w:w="1336" w:type="pct"/>
            <w:shd w:val="clear" w:color="auto" w:fill="auto"/>
            <w:vAlign w:val="center"/>
          </w:tcPr>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 xml:space="preserve">Adult patients with </w:t>
            </w:r>
            <w:r w:rsidR="00D933C2" w:rsidRPr="003D6709">
              <w:rPr>
                <w:rFonts w:ascii="Arial Narrow" w:hAnsi="Arial Narrow"/>
                <w:sz w:val="20"/>
                <w:szCs w:val="20"/>
              </w:rPr>
              <w:t xml:space="preserve">CD20-positive </w:t>
            </w:r>
            <w:r w:rsidRPr="003D6709">
              <w:rPr>
                <w:rFonts w:ascii="Arial Narrow" w:hAnsi="Arial Narrow"/>
                <w:sz w:val="20"/>
                <w:szCs w:val="20"/>
              </w:rPr>
              <w:t>CLL;</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w:t>
            </w:r>
            <w:r w:rsidR="00B36492" w:rsidRPr="003D6709">
              <w:rPr>
                <w:rFonts w:ascii="Arial Narrow" w:hAnsi="Arial Narrow"/>
                <w:sz w:val="20"/>
                <w:szCs w:val="20"/>
              </w:rPr>
              <w:t xml:space="preserve"> </w:t>
            </w:r>
            <w:r w:rsidRPr="003D6709">
              <w:rPr>
                <w:rFonts w:ascii="Arial Narrow" w:hAnsi="Arial Narrow"/>
                <w:sz w:val="20"/>
                <w:szCs w:val="20"/>
              </w:rPr>
              <w:t>1 prior CLL therapy;</w:t>
            </w:r>
          </w:p>
          <w:p w:rsidR="00453D8F"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ECOG ≤</w:t>
            </w:r>
            <w:r w:rsidR="00B36492" w:rsidRPr="003D6709">
              <w:rPr>
                <w:rFonts w:ascii="Arial Narrow" w:hAnsi="Arial Narrow"/>
                <w:sz w:val="20"/>
                <w:szCs w:val="20"/>
              </w:rPr>
              <w:t xml:space="preserve"> </w:t>
            </w:r>
            <w:r w:rsidRPr="003D6709">
              <w:rPr>
                <w:rFonts w:ascii="Arial Narrow" w:hAnsi="Arial Narrow"/>
                <w:sz w:val="20"/>
                <w:szCs w:val="20"/>
              </w:rPr>
              <w:t>2.</w:t>
            </w:r>
          </w:p>
        </w:tc>
        <w:tc>
          <w:tcPr>
            <w:tcW w:w="1466" w:type="pct"/>
            <w:shd w:val="clear" w:color="auto" w:fill="auto"/>
            <w:vAlign w:val="center"/>
          </w:tcPr>
          <w:p w:rsidR="004A342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w:t>
            </w:r>
            <w:r w:rsidR="004A342A" w:rsidRPr="003D6709">
              <w:rPr>
                <w:rFonts w:ascii="Arial Narrow" w:hAnsi="Arial Narrow"/>
                <w:sz w:val="20"/>
                <w:szCs w:val="20"/>
              </w:rPr>
              <w:t>RC-assessed PFS (primary)</w:t>
            </w:r>
          </w:p>
          <w:p w:rsidR="004A342A" w:rsidRPr="003D6709" w:rsidRDefault="004A342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w:t>
            </w:r>
            <w:r w:rsidR="008A49D6" w:rsidRPr="003D6709">
              <w:rPr>
                <w:rFonts w:ascii="Arial Narrow" w:hAnsi="Arial Narrow"/>
                <w:sz w:val="20"/>
                <w:szCs w:val="20"/>
              </w:rPr>
              <w:t>nvestigator-assessed PFS</w:t>
            </w:r>
            <w:r w:rsidR="003C0DDA" w:rsidRPr="003D6709">
              <w:rPr>
                <w:rFonts w:ascii="Arial Narrow" w:hAnsi="Arial Narrow"/>
                <w:sz w:val="20"/>
                <w:szCs w:val="20"/>
              </w:rPr>
              <w:t xml:space="preserve"> </w:t>
            </w:r>
          </w:p>
          <w:p w:rsidR="004A342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IRC- and investi</w:t>
            </w:r>
            <w:r w:rsidR="004A342A" w:rsidRPr="003D6709">
              <w:rPr>
                <w:rFonts w:ascii="Arial Narrow" w:hAnsi="Arial Narrow"/>
                <w:sz w:val="20"/>
                <w:szCs w:val="20"/>
              </w:rPr>
              <w:t>gator-assessed overall response</w:t>
            </w:r>
          </w:p>
          <w:p w:rsidR="00D933C2" w:rsidRPr="003D6709" w:rsidRDefault="004A342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OS</w:t>
            </w:r>
          </w:p>
          <w:p w:rsidR="004A342A" w:rsidRPr="003D6709" w:rsidRDefault="00D933C2" w:rsidP="00AD6416">
            <w:pPr>
              <w:keepNext/>
              <w:numPr>
                <w:ilvl w:val="0"/>
                <w:numId w:val="5"/>
              </w:numPr>
              <w:ind w:left="118" w:hanging="77"/>
              <w:jc w:val="left"/>
              <w:rPr>
                <w:rFonts w:ascii="Arial Narrow" w:hAnsi="Arial Narrow"/>
                <w:sz w:val="20"/>
                <w:szCs w:val="20"/>
              </w:rPr>
            </w:pPr>
            <w:r w:rsidRPr="003D6709">
              <w:rPr>
                <w:rFonts w:ascii="Arial Narrow" w:eastAsia="Calibri" w:hAnsi="Arial Narrow"/>
                <w:sz w:val="20"/>
                <w:szCs w:val="20"/>
              </w:rPr>
              <w:t>Proportion with MRD negative CR</w:t>
            </w:r>
            <w:r w:rsidR="003C0DDA" w:rsidRPr="003D6709">
              <w:rPr>
                <w:rFonts w:ascii="Arial Narrow" w:hAnsi="Arial Narrow"/>
                <w:sz w:val="20"/>
                <w:szCs w:val="20"/>
              </w:rPr>
              <w:t xml:space="preserve"> </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HRQOL (EORTC QLQ-C30, EQ-5D-5L, FACIT-Fatigue).</w:t>
            </w:r>
          </w:p>
        </w:tc>
      </w:tr>
      <w:tr w:rsidR="00453D8F" w:rsidRPr="003D6709" w:rsidTr="00462D53">
        <w:trPr>
          <w:cantSplit/>
        </w:trPr>
        <w:tc>
          <w:tcPr>
            <w:tcW w:w="5000" w:type="pct"/>
            <w:gridSpan w:val="6"/>
            <w:shd w:val="clear" w:color="auto" w:fill="auto"/>
            <w:vAlign w:val="center"/>
          </w:tcPr>
          <w:p w:rsidR="00453D8F" w:rsidRPr="003D6709" w:rsidRDefault="00453D8F" w:rsidP="00BF04BE">
            <w:pPr>
              <w:pStyle w:val="TableText"/>
              <w:rPr>
                <w:b/>
                <w:szCs w:val="20"/>
              </w:rPr>
            </w:pPr>
            <w:r w:rsidRPr="003D6709">
              <w:rPr>
                <w:b/>
                <w:szCs w:val="20"/>
              </w:rPr>
              <w:t xml:space="preserve">Ibrutinib vs. </w:t>
            </w:r>
            <w:proofErr w:type="spellStart"/>
            <w:r w:rsidRPr="003D6709">
              <w:rPr>
                <w:b/>
                <w:szCs w:val="20"/>
              </w:rPr>
              <w:t>ofatumumab</w:t>
            </w:r>
            <w:proofErr w:type="spellEnd"/>
          </w:p>
        </w:tc>
      </w:tr>
      <w:tr w:rsidR="00D933C2" w:rsidRPr="003D6709" w:rsidTr="00462D53">
        <w:trPr>
          <w:cantSplit/>
        </w:trPr>
        <w:tc>
          <w:tcPr>
            <w:tcW w:w="548" w:type="pct"/>
            <w:shd w:val="clear" w:color="auto" w:fill="auto"/>
            <w:vAlign w:val="center"/>
          </w:tcPr>
          <w:p w:rsidR="003C0DDA" w:rsidRPr="003D6709" w:rsidRDefault="003C0DDA" w:rsidP="00BF04BE">
            <w:pPr>
              <w:pStyle w:val="TableText"/>
              <w:rPr>
                <w:szCs w:val="20"/>
              </w:rPr>
            </w:pPr>
            <w:r w:rsidRPr="003D6709">
              <w:rPr>
                <w:szCs w:val="20"/>
              </w:rPr>
              <w:t>RESONATE</w:t>
            </w:r>
          </w:p>
        </w:tc>
        <w:tc>
          <w:tcPr>
            <w:tcW w:w="314" w:type="pct"/>
            <w:shd w:val="clear" w:color="auto" w:fill="auto"/>
            <w:vAlign w:val="center"/>
          </w:tcPr>
          <w:p w:rsidR="003C0DDA" w:rsidRPr="003D6709" w:rsidRDefault="003C0DDA" w:rsidP="00BF04BE">
            <w:pPr>
              <w:pStyle w:val="TableText"/>
              <w:jc w:val="center"/>
              <w:rPr>
                <w:szCs w:val="20"/>
              </w:rPr>
            </w:pPr>
            <w:r w:rsidRPr="003D6709">
              <w:rPr>
                <w:szCs w:val="20"/>
              </w:rPr>
              <w:t>391</w:t>
            </w:r>
          </w:p>
        </w:tc>
        <w:tc>
          <w:tcPr>
            <w:tcW w:w="865" w:type="pct"/>
            <w:shd w:val="clear" w:color="auto" w:fill="auto"/>
            <w:vAlign w:val="center"/>
          </w:tcPr>
          <w:p w:rsidR="003C0DDA" w:rsidRPr="003D6709" w:rsidRDefault="003C0DDA" w:rsidP="00BF04BE">
            <w:pPr>
              <w:pStyle w:val="TableText"/>
              <w:jc w:val="center"/>
              <w:rPr>
                <w:szCs w:val="20"/>
              </w:rPr>
            </w:pPr>
            <w:r w:rsidRPr="003D6709">
              <w:rPr>
                <w:szCs w:val="20"/>
              </w:rPr>
              <w:t>Phase 3, R, OL</w:t>
            </w:r>
          </w:p>
          <w:p w:rsidR="003C0DDA" w:rsidRPr="003D6709" w:rsidRDefault="00E7270D" w:rsidP="00BF04BE">
            <w:pPr>
              <w:pStyle w:val="TableText"/>
              <w:jc w:val="center"/>
              <w:rPr>
                <w:szCs w:val="20"/>
              </w:rPr>
            </w:pPr>
            <w:r w:rsidRPr="003D6709">
              <w:rPr>
                <w:rFonts w:eastAsia="Times New Roman" w:cs="Times New Roman"/>
                <w:szCs w:val="20"/>
              </w:rPr>
              <w:t>(median duration of follow-up 65</w:t>
            </w:r>
            <w:r w:rsidR="003C0DDA" w:rsidRPr="003D6709">
              <w:rPr>
                <w:rFonts w:eastAsia="Times New Roman" w:cs="Times New Roman"/>
                <w:szCs w:val="20"/>
              </w:rPr>
              <w:t xml:space="preserve"> months)</w:t>
            </w:r>
          </w:p>
        </w:tc>
        <w:tc>
          <w:tcPr>
            <w:tcW w:w="471" w:type="pct"/>
            <w:shd w:val="clear" w:color="auto" w:fill="auto"/>
            <w:vAlign w:val="center"/>
          </w:tcPr>
          <w:p w:rsidR="003C0DDA" w:rsidRPr="003D6709" w:rsidRDefault="003C0DDA" w:rsidP="00BF04BE">
            <w:pPr>
              <w:pStyle w:val="TableText"/>
              <w:jc w:val="center"/>
              <w:rPr>
                <w:szCs w:val="20"/>
              </w:rPr>
            </w:pPr>
            <w:r w:rsidRPr="003D6709">
              <w:rPr>
                <w:szCs w:val="20"/>
              </w:rPr>
              <w:t>Unclear</w:t>
            </w:r>
          </w:p>
        </w:tc>
        <w:tc>
          <w:tcPr>
            <w:tcW w:w="1336" w:type="pct"/>
            <w:shd w:val="clear" w:color="auto" w:fill="auto"/>
            <w:vAlign w:val="center"/>
          </w:tcPr>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 xml:space="preserve">Adult patients considered inappropriate for purine analogue-based treatment; </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w:t>
            </w:r>
            <w:r w:rsidR="00B36492" w:rsidRPr="003D6709">
              <w:rPr>
                <w:rFonts w:ascii="Arial Narrow" w:hAnsi="Arial Narrow"/>
                <w:sz w:val="20"/>
                <w:szCs w:val="20"/>
              </w:rPr>
              <w:t xml:space="preserve"> </w:t>
            </w:r>
            <w:r w:rsidRPr="003D6709">
              <w:rPr>
                <w:rFonts w:ascii="Arial Narrow" w:hAnsi="Arial Narrow"/>
                <w:sz w:val="20"/>
                <w:szCs w:val="20"/>
              </w:rPr>
              <w:t>1 prior CLL therapy;</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ECOG ≤</w:t>
            </w:r>
            <w:r w:rsidR="00B36492" w:rsidRPr="003D6709">
              <w:rPr>
                <w:rFonts w:ascii="Arial Narrow" w:hAnsi="Arial Narrow"/>
                <w:sz w:val="20"/>
                <w:szCs w:val="20"/>
              </w:rPr>
              <w:t xml:space="preserve"> </w:t>
            </w:r>
            <w:r w:rsidRPr="003D6709">
              <w:rPr>
                <w:rFonts w:ascii="Arial Narrow" w:hAnsi="Arial Narrow"/>
                <w:sz w:val="20"/>
                <w:szCs w:val="20"/>
              </w:rPr>
              <w:t>1.</w:t>
            </w:r>
          </w:p>
        </w:tc>
        <w:tc>
          <w:tcPr>
            <w:tcW w:w="1466" w:type="pct"/>
            <w:shd w:val="clear" w:color="auto" w:fill="auto"/>
          </w:tcPr>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IRC-assessed PFS (primary)</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Investigator-assessed PFS</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IRC- and INV-assessed ORR</w:t>
            </w:r>
          </w:p>
          <w:p w:rsidR="00D933C2"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OS</w:t>
            </w:r>
          </w:p>
          <w:p w:rsidR="00D933C2" w:rsidRPr="003D6709" w:rsidRDefault="00D933C2"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Proportion with MRD negative CR</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HRQOL (EORTC QLQ-C30, EQ-5D-5L, FACIT-Fatigue).</w:t>
            </w:r>
          </w:p>
        </w:tc>
      </w:tr>
      <w:tr w:rsidR="00453D8F" w:rsidRPr="003D6709" w:rsidTr="00462D53">
        <w:trPr>
          <w:cantSplit/>
        </w:trPr>
        <w:tc>
          <w:tcPr>
            <w:tcW w:w="5000" w:type="pct"/>
            <w:gridSpan w:val="6"/>
            <w:shd w:val="clear" w:color="auto" w:fill="auto"/>
            <w:vAlign w:val="center"/>
          </w:tcPr>
          <w:p w:rsidR="00453D8F" w:rsidRPr="003D6709" w:rsidRDefault="00453D8F" w:rsidP="00BF04BE">
            <w:pPr>
              <w:pStyle w:val="TableText"/>
              <w:rPr>
                <w:b/>
                <w:szCs w:val="20"/>
              </w:rPr>
            </w:pPr>
            <w:r w:rsidRPr="003D6709">
              <w:rPr>
                <w:b/>
                <w:szCs w:val="20"/>
              </w:rPr>
              <w:t>Ibrutinib plus bendamustine plus rituximab vs. placebo plus bendamustine plus rituximab</w:t>
            </w:r>
          </w:p>
        </w:tc>
      </w:tr>
      <w:tr w:rsidR="00D933C2" w:rsidRPr="003D6709" w:rsidTr="00462D53">
        <w:trPr>
          <w:cantSplit/>
        </w:trPr>
        <w:tc>
          <w:tcPr>
            <w:tcW w:w="548" w:type="pct"/>
            <w:shd w:val="clear" w:color="auto" w:fill="auto"/>
            <w:vAlign w:val="center"/>
          </w:tcPr>
          <w:p w:rsidR="003C0DDA" w:rsidRPr="003D6709" w:rsidRDefault="003C0DDA" w:rsidP="00BF04BE">
            <w:pPr>
              <w:pStyle w:val="TableText"/>
              <w:rPr>
                <w:szCs w:val="20"/>
              </w:rPr>
            </w:pPr>
            <w:r w:rsidRPr="003D6709">
              <w:rPr>
                <w:szCs w:val="20"/>
              </w:rPr>
              <w:t>HELIOS</w:t>
            </w:r>
          </w:p>
        </w:tc>
        <w:tc>
          <w:tcPr>
            <w:tcW w:w="314" w:type="pct"/>
            <w:shd w:val="clear" w:color="auto" w:fill="auto"/>
            <w:vAlign w:val="center"/>
          </w:tcPr>
          <w:p w:rsidR="003C0DDA" w:rsidRPr="003D6709" w:rsidRDefault="003C0DDA" w:rsidP="00BF04BE">
            <w:pPr>
              <w:pStyle w:val="TableText"/>
              <w:jc w:val="center"/>
              <w:rPr>
                <w:szCs w:val="20"/>
              </w:rPr>
            </w:pPr>
            <w:r w:rsidRPr="003D6709">
              <w:rPr>
                <w:szCs w:val="20"/>
              </w:rPr>
              <w:t>578</w:t>
            </w:r>
          </w:p>
        </w:tc>
        <w:tc>
          <w:tcPr>
            <w:tcW w:w="865" w:type="pct"/>
            <w:shd w:val="clear" w:color="auto" w:fill="auto"/>
            <w:vAlign w:val="center"/>
          </w:tcPr>
          <w:p w:rsidR="003C0DDA" w:rsidRPr="003D6709" w:rsidRDefault="003C0DDA" w:rsidP="00BF04BE">
            <w:pPr>
              <w:pStyle w:val="TableText"/>
              <w:jc w:val="center"/>
              <w:rPr>
                <w:szCs w:val="20"/>
              </w:rPr>
            </w:pPr>
            <w:r w:rsidRPr="003D6709">
              <w:rPr>
                <w:szCs w:val="20"/>
              </w:rPr>
              <w:t>Phase 3, R, DB, PC</w:t>
            </w:r>
          </w:p>
          <w:p w:rsidR="003C0DDA" w:rsidRPr="003D6709" w:rsidRDefault="003C0DDA" w:rsidP="00BF04BE">
            <w:pPr>
              <w:pStyle w:val="TableText"/>
              <w:jc w:val="center"/>
              <w:rPr>
                <w:rFonts w:eastAsia="Times New Roman" w:cs="Times New Roman"/>
                <w:szCs w:val="20"/>
              </w:rPr>
            </w:pPr>
            <w:r w:rsidRPr="003D6709">
              <w:rPr>
                <w:rFonts w:eastAsia="Times New Roman" w:cs="Times New Roman"/>
                <w:szCs w:val="20"/>
              </w:rPr>
              <w:t>(</w:t>
            </w:r>
            <w:r w:rsidR="00E7270D" w:rsidRPr="003D6709">
              <w:rPr>
                <w:rFonts w:eastAsia="Times New Roman" w:cs="Times New Roman"/>
                <w:szCs w:val="20"/>
              </w:rPr>
              <w:t>median duration of follow-up 35</w:t>
            </w:r>
            <w:r w:rsidRPr="003D6709">
              <w:rPr>
                <w:rFonts w:eastAsia="Times New Roman" w:cs="Times New Roman"/>
                <w:szCs w:val="20"/>
              </w:rPr>
              <w:t xml:space="preserve"> months)</w:t>
            </w:r>
          </w:p>
          <w:p w:rsidR="003C0DDA" w:rsidRPr="003D6709" w:rsidRDefault="003C0DDA" w:rsidP="00BF04BE">
            <w:pPr>
              <w:pStyle w:val="TableText"/>
              <w:jc w:val="center"/>
              <w:rPr>
                <w:szCs w:val="20"/>
              </w:rPr>
            </w:pPr>
          </w:p>
        </w:tc>
        <w:tc>
          <w:tcPr>
            <w:tcW w:w="471" w:type="pct"/>
            <w:shd w:val="clear" w:color="auto" w:fill="auto"/>
            <w:vAlign w:val="center"/>
          </w:tcPr>
          <w:p w:rsidR="003C0DDA" w:rsidRPr="003D6709" w:rsidRDefault="003C0DDA" w:rsidP="00BF04BE">
            <w:pPr>
              <w:pStyle w:val="TableText"/>
              <w:jc w:val="center"/>
              <w:rPr>
                <w:szCs w:val="20"/>
              </w:rPr>
            </w:pPr>
            <w:r w:rsidRPr="003D6709">
              <w:rPr>
                <w:szCs w:val="20"/>
              </w:rPr>
              <w:t>Low</w:t>
            </w:r>
          </w:p>
        </w:tc>
        <w:tc>
          <w:tcPr>
            <w:tcW w:w="1336" w:type="pct"/>
            <w:shd w:val="clear" w:color="auto" w:fill="auto"/>
            <w:vAlign w:val="center"/>
          </w:tcPr>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 xml:space="preserve">Adult patients with relapsed or refractory CLL or SLL; </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w:t>
            </w:r>
            <w:r w:rsidR="00B36492" w:rsidRPr="003D6709">
              <w:rPr>
                <w:rFonts w:ascii="Arial Narrow" w:hAnsi="Arial Narrow"/>
                <w:sz w:val="20"/>
                <w:szCs w:val="20"/>
              </w:rPr>
              <w:t xml:space="preserve"> </w:t>
            </w:r>
            <w:r w:rsidRPr="003D6709">
              <w:rPr>
                <w:rFonts w:ascii="Arial Narrow" w:hAnsi="Arial Narrow"/>
                <w:sz w:val="20"/>
                <w:szCs w:val="20"/>
              </w:rPr>
              <w:t xml:space="preserve">1 prior CLL therapy; </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ECOG score ≤</w:t>
            </w:r>
            <w:r w:rsidR="00B36492" w:rsidRPr="003D6709">
              <w:rPr>
                <w:rFonts w:ascii="Arial Narrow" w:hAnsi="Arial Narrow"/>
                <w:sz w:val="20"/>
                <w:szCs w:val="20"/>
              </w:rPr>
              <w:t xml:space="preserve"> </w:t>
            </w:r>
            <w:r w:rsidRPr="003D6709">
              <w:rPr>
                <w:rFonts w:ascii="Arial Narrow" w:hAnsi="Arial Narrow"/>
                <w:sz w:val="20"/>
                <w:szCs w:val="20"/>
              </w:rPr>
              <w:t xml:space="preserve">1; </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Measurable lymph node disease (&gt;</w:t>
            </w:r>
            <w:r w:rsidR="00B36492" w:rsidRPr="003D6709">
              <w:rPr>
                <w:rFonts w:ascii="Arial Narrow" w:hAnsi="Arial Narrow"/>
                <w:sz w:val="20"/>
                <w:szCs w:val="20"/>
              </w:rPr>
              <w:t xml:space="preserve"> </w:t>
            </w:r>
            <w:r w:rsidRPr="003D6709">
              <w:rPr>
                <w:rFonts w:ascii="Arial Narrow" w:hAnsi="Arial Narrow"/>
                <w:sz w:val="20"/>
                <w:szCs w:val="20"/>
              </w:rPr>
              <w:t>1.5 cm) by CT scan.</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Excluded patients with 17p deletion.</w:t>
            </w:r>
          </w:p>
        </w:tc>
        <w:tc>
          <w:tcPr>
            <w:tcW w:w="1466" w:type="pct"/>
            <w:shd w:val="clear" w:color="auto" w:fill="auto"/>
          </w:tcPr>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IRC-assessed PFS (primary)</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INV-assessed PFS</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IRC- and INV-assessed ORR</w:t>
            </w:r>
          </w:p>
          <w:p w:rsidR="00D933C2"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OS</w:t>
            </w:r>
          </w:p>
          <w:p w:rsidR="00D933C2" w:rsidRPr="003D6709" w:rsidRDefault="00D933C2"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Proportion with MRD negative CR</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HRQOL (time to improvement in FACIT-Fatigue)</w:t>
            </w:r>
          </w:p>
        </w:tc>
      </w:tr>
      <w:tr w:rsidR="00453D8F" w:rsidRPr="003D6709" w:rsidTr="00462D53">
        <w:trPr>
          <w:cantSplit/>
        </w:trPr>
        <w:tc>
          <w:tcPr>
            <w:tcW w:w="5000" w:type="pct"/>
            <w:gridSpan w:val="6"/>
            <w:shd w:val="clear" w:color="auto" w:fill="auto"/>
            <w:vAlign w:val="center"/>
          </w:tcPr>
          <w:p w:rsidR="00453D8F" w:rsidRPr="003D6709" w:rsidRDefault="00453D8F" w:rsidP="00BF04BE">
            <w:pPr>
              <w:pStyle w:val="TableText"/>
              <w:rPr>
                <w:b/>
                <w:szCs w:val="20"/>
              </w:rPr>
            </w:pPr>
            <w:r w:rsidRPr="003D6709">
              <w:rPr>
                <w:b/>
                <w:szCs w:val="20"/>
              </w:rPr>
              <w:t>Venetoclax plus rituximab vs. bendamustine plus rituximab</w:t>
            </w:r>
          </w:p>
        </w:tc>
      </w:tr>
      <w:tr w:rsidR="003C0DDA" w:rsidRPr="003D6709" w:rsidTr="00462D53">
        <w:trPr>
          <w:cantSplit/>
        </w:trPr>
        <w:tc>
          <w:tcPr>
            <w:tcW w:w="548" w:type="pct"/>
            <w:shd w:val="clear" w:color="auto" w:fill="auto"/>
            <w:vAlign w:val="center"/>
          </w:tcPr>
          <w:p w:rsidR="003C0DDA" w:rsidRPr="003D6709" w:rsidRDefault="003C0DDA" w:rsidP="00BF04BE">
            <w:pPr>
              <w:pStyle w:val="TableText"/>
              <w:rPr>
                <w:szCs w:val="20"/>
              </w:rPr>
            </w:pPr>
            <w:r w:rsidRPr="003D6709">
              <w:rPr>
                <w:szCs w:val="20"/>
              </w:rPr>
              <w:t>MURANO</w:t>
            </w:r>
          </w:p>
        </w:tc>
        <w:tc>
          <w:tcPr>
            <w:tcW w:w="314" w:type="pct"/>
            <w:shd w:val="clear" w:color="auto" w:fill="auto"/>
            <w:vAlign w:val="center"/>
          </w:tcPr>
          <w:p w:rsidR="003C0DDA" w:rsidRPr="003D6709" w:rsidRDefault="003C0DDA" w:rsidP="00BF04BE">
            <w:pPr>
              <w:pStyle w:val="TableText"/>
              <w:jc w:val="center"/>
              <w:rPr>
                <w:szCs w:val="20"/>
              </w:rPr>
            </w:pPr>
            <w:r w:rsidRPr="003D6709">
              <w:rPr>
                <w:rFonts w:eastAsia="Times New Roman" w:cs="Times New Roman"/>
                <w:szCs w:val="20"/>
              </w:rPr>
              <w:t>389</w:t>
            </w:r>
          </w:p>
        </w:tc>
        <w:tc>
          <w:tcPr>
            <w:tcW w:w="865" w:type="pct"/>
            <w:shd w:val="clear" w:color="auto" w:fill="auto"/>
            <w:vAlign w:val="center"/>
          </w:tcPr>
          <w:p w:rsidR="003C0DDA" w:rsidRPr="003D6709" w:rsidRDefault="003C0DDA" w:rsidP="00BF04BE">
            <w:pPr>
              <w:pStyle w:val="TableText"/>
              <w:jc w:val="center"/>
              <w:rPr>
                <w:szCs w:val="20"/>
              </w:rPr>
            </w:pPr>
            <w:r w:rsidRPr="003D6709">
              <w:rPr>
                <w:szCs w:val="20"/>
              </w:rPr>
              <w:t>Phase 3, R, OL (medi</w:t>
            </w:r>
            <w:r w:rsidR="00E7270D" w:rsidRPr="003D6709">
              <w:rPr>
                <w:szCs w:val="20"/>
              </w:rPr>
              <w:t>an duration of follow-up 36 months</w:t>
            </w:r>
            <w:r w:rsidRPr="003D6709">
              <w:rPr>
                <w:szCs w:val="20"/>
              </w:rPr>
              <w:t>)</w:t>
            </w:r>
          </w:p>
          <w:p w:rsidR="003C0DDA" w:rsidRPr="003D6709" w:rsidRDefault="003C0DDA" w:rsidP="00BF04BE">
            <w:pPr>
              <w:pStyle w:val="TableText"/>
              <w:jc w:val="center"/>
              <w:rPr>
                <w:szCs w:val="20"/>
              </w:rPr>
            </w:pPr>
          </w:p>
        </w:tc>
        <w:tc>
          <w:tcPr>
            <w:tcW w:w="471" w:type="pct"/>
            <w:shd w:val="clear" w:color="auto" w:fill="auto"/>
            <w:vAlign w:val="center"/>
          </w:tcPr>
          <w:p w:rsidR="003C0DDA" w:rsidRPr="003D6709" w:rsidRDefault="003C0DDA" w:rsidP="00BF04BE">
            <w:pPr>
              <w:pStyle w:val="TableText"/>
              <w:jc w:val="center"/>
              <w:rPr>
                <w:szCs w:val="20"/>
              </w:rPr>
            </w:pPr>
            <w:r w:rsidRPr="003D6709">
              <w:rPr>
                <w:szCs w:val="20"/>
              </w:rPr>
              <w:t>Unclear</w:t>
            </w:r>
          </w:p>
        </w:tc>
        <w:tc>
          <w:tcPr>
            <w:tcW w:w="1336" w:type="pct"/>
            <w:shd w:val="clear" w:color="auto" w:fill="auto"/>
          </w:tcPr>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 xml:space="preserve">Adult patients with relapsed or refractory CLL; </w:t>
            </w:r>
          </w:p>
          <w:p w:rsidR="008A49D6"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 xml:space="preserve">1 to 3 prior lines of therapy, including at least one standard chemotherapy-containing regimen; </w:t>
            </w:r>
          </w:p>
          <w:p w:rsidR="003C0DDA" w:rsidRPr="003D6709" w:rsidRDefault="003C0DDA" w:rsidP="00AD6416">
            <w:pPr>
              <w:keepNext/>
              <w:numPr>
                <w:ilvl w:val="0"/>
                <w:numId w:val="5"/>
              </w:numPr>
              <w:ind w:left="118" w:hanging="77"/>
              <w:jc w:val="left"/>
              <w:rPr>
                <w:rFonts w:ascii="Arial Narrow" w:hAnsi="Arial Narrow"/>
                <w:sz w:val="20"/>
                <w:szCs w:val="20"/>
              </w:rPr>
            </w:pPr>
            <w:r w:rsidRPr="003D6709">
              <w:rPr>
                <w:rFonts w:ascii="Arial Narrow" w:hAnsi="Arial Narrow"/>
                <w:sz w:val="20"/>
                <w:szCs w:val="20"/>
              </w:rPr>
              <w:t>ECOG score ≤</w:t>
            </w:r>
            <w:r w:rsidR="00B36492" w:rsidRPr="003D6709">
              <w:rPr>
                <w:rFonts w:ascii="Arial Narrow" w:hAnsi="Arial Narrow"/>
                <w:sz w:val="20"/>
                <w:szCs w:val="20"/>
              </w:rPr>
              <w:t xml:space="preserve"> </w:t>
            </w:r>
            <w:r w:rsidRPr="003D6709">
              <w:rPr>
                <w:rFonts w:ascii="Arial Narrow" w:hAnsi="Arial Narrow"/>
                <w:sz w:val="20"/>
                <w:szCs w:val="20"/>
              </w:rPr>
              <w:t>1.</w:t>
            </w:r>
          </w:p>
        </w:tc>
        <w:tc>
          <w:tcPr>
            <w:tcW w:w="1466" w:type="pct"/>
            <w:shd w:val="clear" w:color="auto" w:fill="auto"/>
          </w:tcPr>
          <w:p w:rsidR="003C0DDA" w:rsidRPr="003D6709" w:rsidRDefault="003C0DDA" w:rsidP="00AD6416">
            <w:pPr>
              <w:pStyle w:val="TableText"/>
              <w:numPr>
                <w:ilvl w:val="0"/>
                <w:numId w:val="5"/>
              </w:numPr>
              <w:ind w:left="118" w:hanging="77"/>
              <w:rPr>
                <w:szCs w:val="20"/>
              </w:rPr>
            </w:pPr>
            <w:r w:rsidRPr="003D6709">
              <w:rPr>
                <w:szCs w:val="20"/>
              </w:rPr>
              <w:t>INV-assessed PFS (primary)</w:t>
            </w:r>
          </w:p>
          <w:p w:rsidR="003C0DDA" w:rsidRPr="003D6709" w:rsidRDefault="003C0DDA" w:rsidP="00AD6416">
            <w:pPr>
              <w:pStyle w:val="TableText"/>
              <w:numPr>
                <w:ilvl w:val="0"/>
                <w:numId w:val="5"/>
              </w:numPr>
              <w:ind w:left="118" w:hanging="77"/>
              <w:rPr>
                <w:szCs w:val="20"/>
              </w:rPr>
            </w:pPr>
            <w:r w:rsidRPr="003D6709">
              <w:rPr>
                <w:szCs w:val="20"/>
              </w:rPr>
              <w:t>IRC-assessed PFS</w:t>
            </w:r>
          </w:p>
          <w:p w:rsidR="003C0DDA" w:rsidRPr="003D6709" w:rsidRDefault="003C0DDA" w:rsidP="00AD6416">
            <w:pPr>
              <w:pStyle w:val="TableText"/>
              <w:numPr>
                <w:ilvl w:val="0"/>
                <w:numId w:val="5"/>
              </w:numPr>
              <w:ind w:left="118" w:hanging="77"/>
              <w:rPr>
                <w:szCs w:val="20"/>
              </w:rPr>
            </w:pPr>
            <w:r w:rsidRPr="003D6709">
              <w:rPr>
                <w:szCs w:val="20"/>
              </w:rPr>
              <w:t>INV-assessed best OR</w:t>
            </w:r>
          </w:p>
          <w:p w:rsidR="003C0DDA" w:rsidRPr="003D6709" w:rsidRDefault="003C0DDA" w:rsidP="00AD6416">
            <w:pPr>
              <w:pStyle w:val="TableText"/>
              <w:numPr>
                <w:ilvl w:val="0"/>
                <w:numId w:val="5"/>
              </w:numPr>
              <w:ind w:left="118" w:hanging="77"/>
              <w:rPr>
                <w:szCs w:val="20"/>
              </w:rPr>
            </w:pPr>
            <w:r w:rsidRPr="003D6709">
              <w:rPr>
                <w:szCs w:val="20"/>
              </w:rPr>
              <w:t>IRC- and INV-assessed response</w:t>
            </w:r>
          </w:p>
          <w:p w:rsidR="003C0DDA" w:rsidRPr="003D6709" w:rsidRDefault="003C0DDA" w:rsidP="00AD6416">
            <w:pPr>
              <w:pStyle w:val="TableText"/>
              <w:numPr>
                <w:ilvl w:val="0"/>
                <w:numId w:val="5"/>
              </w:numPr>
              <w:ind w:left="118" w:hanging="77"/>
              <w:rPr>
                <w:szCs w:val="20"/>
              </w:rPr>
            </w:pPr>
            <w:r w:rsidRPr="003D6709">
              <w:rPr>
                <w:szCs w:val="20"/>
              </w:rPr>
              <w:t>OS</w:t>
            </w:r>
          </w:p>
          <w:p w:rsidR="00D933C2" w:rsidRPr="003D6709" w:rsidRDefault="003C0DDA" w:rsidP="00AD6416">
            <w:pPr>
              <w:pStyle w:val="TableText"/>
              <w:numPr>
                <w:ilvl w:val="0"/>
                <w:numId w:val="5"/>
              </w:numPr>
              <w:ind w:left="118" w:hanging="77"/>
              <w:rPr>
                <w:szCs w:val="20"/>
              </w:rPr>
            </w:pPr>
            <w:r w:rsidRPr="003D6709">
              <w:rPr>
                <w:szCs w:val="20"/>
              </w:rPr>
              <w:t>Event-free survival</w:t>
            </w:r>
          </w:p>
          <w:p w:rsidR="00D933C2" w:rsidRPr="003D6709" w:rsidRDefault="00D933C2" w:rsidP="00AD6416">
            <w:pPr>
              <w:pStyle w:val="TableText"/>
              <w:numPr>
                <w:ilvl w:val="0"/>
                <w:numId w:val="5"/>
              </w:numPr>
              <w:ind w:left="118" w:hanging="77"/>
              <w:rPr>
                <w:szCs w:val="20"/>
              </w:rPr>
            </w:pPr>
            <w:r w:rsidRPr="003D6709">
              <w:rPr>
                <w:szCs w:val="20"/>
              </w:rPr>
              <w:t xml:space="preserve">Proportion with MRD negativity at assessment time points </w:t>
            </w:r>
          </w:p>
          <w:p w:rsidR="003C0DDA" w:rsidRPr="003D6709" w:rsidRDefault="008A49D6" w:rsidP="00AD6416">
            <w:pPr>
              <w:pStyle w:val="TableText"/>
              <w:numPr>
                <w:ilvl w:val="0"/>
                <w:numId w:val="5"/>
              </w:numPr>
              <w:ind w:left="118" w:hanging="77"/>
              <w:rPr>
                <w:szCs w:val="20"/>
              </w:rPr>
            </w:pPr>
            <w:r w:rsidRPr="003D6709">
              <w:rPr>
                <w:szCs w:val="20"/>
              </w:rPr>
              <w:t xml:space="preserve">HRQOL (MDASI, EORTC QLQ-C30 and </w:t>
            </w:r>
            <w:r w:rsidR="003C0DDA" w:rsidRPr="003D6709">
              <w:rPr>
                <w:szCs w:val="20"/>
              </w:rPr>
              <w:t>QLQ-CLL16)</w:t>
            </w:r>
          </w:p>
        </w:tc>
      </w:tr>
    </w:tbl>
    <w:p w:rsidR="00045017" w:rsidRPr="003D6709" w:rsidRDefault="004A342A" w:rsidP="00EC5836">
      <w:pPr>
        <w:pStyle w:val="TableFigureFooter"/>
      </w:pPr>
      <w:r w:rsidRPr="003D6709">
        <w:t xml:space="preserve">Source: Table 2.4.3, pp60-64; Section 2.4.2 pp57-58 of the submission; Table 5.4.3, pp9-11 of ‘Appendix 1_supplementary analyses’; Section 9.3, pp54-60 of the ASCEND CSR; p.3 of </w:t>
      </w:r>
      <w:proofErr w:type="spellStart"/>
      <w:r w:rsidRPr="003D6709">
        <w:t>Chanan</w:t>
      </w:r>
      <w:proofErr w:type="spellEnd"/>
      <w:r w:rsidRPr="003D6709">
        <w:t>-Khan et al. (2016); pp53-55 of the MURANO trial protocol (Seymour et al., 2018); pp9-10 of the RESONATE trial protocol (Byrd et al., 2014).</w:t>
      </w:r>
    </w:p>
    <w:p w:rsidR="004A342A" w:rsidRPr="003D6709" w:rsidRDefault="004A342A" w:rsidP="00EC5836">
      <w:pPr>
        <w:pStyle w:val="TableFigureFooter"/>
      </w:pPr>
      <w:r w:rsidRPr="003D6709">
        <w:t xml:space="preserve">Abbreviations: </w:t>
      </w:r>
      <w:r w:rsidR="00D933C2" w:rsidRPr="003D6709">
        <w:t xml:space="preserve">CD, cluster of differentiation; </w:t>
      </w:r>
      <w:r w:rsidRPr="003D6709">
        <w:t xml:space="preserve">CLL, chronic lymphocytic leukaemia; ECOG, Eastern Cooperative Oncology Group; EORTC, European Organisation for Research and Treatment of Cancer; EQ-5D, EuroQol 5-Dimension; FACIT, Functional Assessment of Chronic Illness Therapy; HRQOL, health-related quality of life; IRC, independent review committee; MDASI, M.D. Anderson Symptom Inventory; OL, open-label; OS, overall survival; PFS, progression-free survival; QLQ, Quality of Life Questionnaire; </w:t>
      </w:r>
      <w:r w:rsidR="00D933C2" w:rsidRPr="003D6709">
        <w:t xml:space="preserve">R, randomised; </w:t>
      </w:r>
      <w:r w:rsidRPr="003D6709">
        <w:t>SLL, small lymphocytic lymphoma.</w:t>
      </w:r>
    </w:p>
    <w:p w:rsidR="009B7EC5" w:rsidRPr="003D6709" w:rsidRDefault="009B7EC5" w:rsidP="009B7EC5">
      <w:pPr>
        <w:pStyle w:val="ExecSumBodyText"/>
      </w:pPr>
      <w:r w:rsidRPr="003D6709">
        <w:t>The ASCEND, RESONATE and MURANO trials had an unclear risk of bias. As the trials were open label</w:t>
      </w:r>
      <w:r w:rsidR="00F732AB" w:rsidRPr="003D6709">
        <w:t>,</w:t>
      </w:r>
      <w:r w:rsidRPr="003D6709">
        <w:t xml:space="preserve"> investigators, patients, and study personnel were not blinded to treatment allocation. Assessments made by study investigators were at high risk of bias. However, each trial included blinded assessments by an independent review committee</w:t>
      </w:r>
      <w:r w:rsidR="00494063" w:rsidRPr="003D6709">
        <w:t>, which offer</w:t>
      </w:r>
      <w:r w:rsidR="00F732AB" w:rsidRPr="003D6709">
        <w:t>ed</w:t>
      </w:r>
      <w:r w:rsidRPr="003D6709">
        <w:t xml:space="preserve"> a lower risk of bias. </w:t>
      </w:r>
    </w:p>
    <w:p w:rsidR="009B7EC5" w:rsidRPr="003D6709" w:rsidRDefault="009B7EC5" w:rsidP="009B7EC5">
      <w:pPr>
        <w:pStyle w:val="ExecSumBodyText"/>
      </w:pPr>
      <w:r w:rsidRPr="003D6709">
        <w:lastRenderedPageBreak/>
        <w:t>The HELIOS trial had a low risk of bias as the investigators, patients, and study personnel were blinded to treatment assignment</w:t>
      </w:r>
      <w:r w:rsidR="00F732AB" w:rsidRPr="003D6709">
        <w:t>,</w:t>
      </w:r>
      <w:r w:rsidRPr="003D6709">
        <w:t xml:space="preserve"> and the ibrutinib and placebo capsules were identical in appearance. However, the HELIOS trial was </w:t>
      </w:r>
      <w:proofErr w:type="spellStart"/>
      <w:r w:rsidRPr="003D6709">
        <w:t>unblinded</w:t>
      </w:r>
      <w:proofErr w:type="spellEnd"/>
      <w:r w:rsidRPr="003D6709">
        <w:t xml:space="preserve"> after the interim analysis, and therefore, longer-term results were at a higher risk of bias.</w:t>
      </w:r>
    </w:p>
    <w:p w:rsidR="0048750F" w:rsidRPr="003D6709" w:rsidRDefault="001F22B2" w:rsidP="001C1D60">
      <w:pPr>
        <w:pStyle w:val="ExecSumBodyText"/>
      </w:pPr>
      <w:r w:rsidRPr="003D6709">
        <w:t>All trials recruited adult patients w</w:t>
      </w:r>
      <w:r w:rsidR="00F36B4F" w:rsidRPr="003D6709">
        <w:t>ho had received</w:t>
      </w:r>
      <w:r w:rsidRPr="003D6709">
        <w:t xml:space="preserve"> at least one prior therapy. </w:t>
      </w:r>
      <w:r w:rsidR="00F732AB" w:rsidRPr="003D6709">
        <w:t>T</w:t>
      </w:r>
      <w:r w:rsidR="001C1D60" w:rsidRPr="003D6709">
        <w:t xml:space="preserve">here were differences across the trials in </w:t>
      </w:r>
      <w:r w:rsidR="00F732AB" w:rsidRPr="003D6709">
        <w:t xml:space="preserve">terms of </w:t>
      </w:r>
      <w:r w:rsidR="001C1D60" w:rsidRPr="003D6709">
        <w:t>eligibility criteria and baseline characteristics, including the median patient age, proportion of male patients, number of prior therapies, median time since last therapy, disease stage, ECOG score, proportion with bulky disease and the proportion with prognostic mutations</w:t>
      </w:r>
      <w:r w:rsidR="00F732AB" w:rsidRPr="003D6709">
        <w:t>;</w:t>
      </w:r>
      <w:r w:rsidR="001C1D60" w:rsidRPr="003D6709">
        <w:t xml:space="preserve"> however</w:t>
      </w:r>
      <w:r w:rsidR="00F732AB" w:rsidRPr="003D6709">
        <w:t>,</w:t>
      </w:r>
      <w:r w:rsidR="001C1D60" w:rsidRPr="003D6709">
        <w:t xml:space="preserve"> the ESC considered </w:t>
      </w:r>
      <w:r w:rsidR="00F732AB" w:rsidRPr="003D6709">
        <w:t>t</w:t>
      </w:r>
      <w:r w:rsidR="001E42AE" w:rsidRPr="003D6709">
        <w:t>hat these differences were not significant</w:t>
      </w:r>
      <w:r w:rsidR="001C1D60" w:rsidRPr="003D6709">
        <w:t xml:space="preserve">. </w:t>
      </w:r>
    </w:p>
    <w:p w:rsidR="001C1D60" w:rsidRPr="003D6709" w:rsidRDefault="0048750F" w:rsidP="001C1D60">
      <w:pPr>
        <w:pStyle w:val="ExecSumBodyText"/>
      </w:pPr>
      <w:r w:rsidRPr="003D6709">
        <w:t>P</w:t>
      </w:r>
      <w:r w:rsidR="001C1D60" w:rsidRPr="003D6709">
        <w:t xml:space="preserve">atients in the RESONATE trial were </w:t>
      </w:r>
      <w:r w:rsidR="001F22B2" w:rsidRPr="003D6709">
        <w:t xml:space="preserve">inappropriate for treatment with a purine analogue and at a more advanced disease stage, </w:t>
      </w:r>
      <w:r w:rsidR="001C1D60" w:rsidRPr="003D6709">
        <w:t>compared to patients in the ASCEND trial.</w:t>
      </w:r>
      <w:r w:rsidR="001F22B2" w:rsidRPr="003D6709">
        <w:t xml:space="preserve"> The ASCEND trial recruited patients with an ECOG performance status of ≤</w:t>
      </w:r>
      <w:r w:rsidR="00F36B4F" w:rsidRPr="003D6709">
        <w:t xml:space="preserve"> </w:t>
      </w:r>
      <w:r w:rsidR="001F22B2" w:rsidRPr="003D6709">
        <w:t>2, whereas the RESONATE, HELIOS and MURANO trials recruited patients with an ECOG of ≤</w:t>
      </w:r>
      <w:r w:rsidR="00F36B4F" w:rsidRPr="003D6709">
        <w:t xml:space="preserve"> </w:t>
      </w:r>
      <w:r w:rsidR="001F22B2" w:rsidRPr="003D6709">
        <w:t>1. The ESC noted the HELIOS trial excluded patients with 17p deletion, which is the poorest prognostic group. The ASCEND and MURANO trials recruited patients with CLL only, whereas the HELIOS and RESONATE trials recruited patients with CLL or SLL.</w:t>
      </w:r>
      <w:r w:rsidR="004E3C0C" w:rsidRPr="003D6709">
        <w:t xml:space="preserve"> The ESC considered that this was not a clinically significant difference.</w:t>
      </w:r>
    </w:p>
    <w:p w:rsidR="00190BDF" w:rsidRPr="003D6709" w:rsidRDefault="00190BDF" w:rsidP="00B1777E">
      <w:pPr>
        <w:pStyle w:val="ExecSumBodyText"/>
      </w:pPr>
      <w:r w:rsidRPr="003D6709">
        <w:t xml:space="preserve">There were differences between the trials in the planned treatment durations. In the MURANO trial, venetoclax was administered </w:t>
      </w:r>
      <w:r w:rsidR="00485149" w:rsidRPr="003D6709">
        <w:t>up to</w:t>
      </w:r>
      <w:r w:rsidRPr="003D6709">
        <w:t xml:space="preserve"> a maximum of 24 months</w:t>
      </w:r>
      <w:r w:rsidR="00292C52" w:rsidRPr="003D6709">
        <w:t xml:space="preserve">, compared to </w:t>
      </w:r>
      <w:r w:rsidRPr="003D6709">
        <w:t>acalabrutinib and ibrutinib</w:t>
      </w:r>
      <w:r w:rsidR="00B1777E" w:rsidRPr="003D6709">
        <w:t xml:space="preserve"> in the ASCEND, RESONATE and HELIOS trials</w:t>
      </w:r>
      <w:r w:rsidR="00292C52" w:rsidRPr="003D6709">
        <w:t xml:space="preserve">, which were administered </w:t>
      </w:r>
      <w:r w:rsidRPr="003D6709">
        <w:t>until disease progression or unacceptable toxicity.</w:t>
      </w:r>
      <w:r w:rsidR="00485149" w:rsidRPr="003D6709">
        <w:t xml:space="preserve"> </w:t>
      </w:r>
    </w:p>
    <w:p w:rsidR="000566BA" w:rsidRPr="003D6709" w:rsidRDefault="00190BDF" w:rsidP="000566BA">
      <w:pPr>
        <w:pStyle w:val="ExecSumBodyText"/>
      </w:pPr>
      <w:r w:rsidRPr="003D6709">
        <w:t>The ASCEND, RESONATE and HELIOS trials allowed patients in the comparator arms to cross</w:t>
      </w:r>
      <w:r w:rsidR="006B2403" w:rsidRPr="003D6709">
        <w:t xml:space="preserve"> </w:t>
      </w:r>
      <w:r w:rsidRPr="003D6709">
        <w:t xml:space="preserve">over to receive treatment with acalabrutinib/ibrutinib in the case of disease </w:t>
      </w:r>
      <w:r w:rsidR="002D6460" w:rsidRPr="003D6709">
        <w:t xml:space="preserve">progression. </w:t>
      </w:r>
      <w:r w:rsidRPr="003D6709">
        <w:t>Crossover was not permitted in the MURANO trial.</w:t>
      </w:r>
      <w:r w:rsidR="002D6460" w:rsidRPr="003D6709">
        <w:t xml:space="preserve"> Overall survival results are likely to have been affected by </w:t>
      </w:r>
      <w:r w:rsidR="004073AB" w:rsidRPr="003D6709">
        <w:t xml:space="preserve">patient crossover and </w:t>
      </w:r>
      <w:r w:rsidR="002D6460" w:rsidRPr="003D6709">
        <w:t xml:space="preserve">the use of </w:t>
      </w:r>
      <w:r w:rsidR="004073AB" w:rsidRPr="003D6709">
        <w:t xml:space="preserve">other therapies in the </w:t>
      </w:r>
      <w:r w:rsidR="002D6460" w:rsidRPr="003D6709">
        <w:t xml:space="preserve">post-progression </w:t>
      </w:r>
      <w:r w:rsidR="004073AB" w:rsidRPr="003D6709">
        <w:t>setting.</w:t>
      </w:r>
    </w:p>
    <w:p w:rsidR="000566BA" w:rsidRPr="003D6709" w:rsidRDefault="001E42AE" w:rsidP="000566BA">
      <w:pPr>
        <w:pStyle w:val="ExecSumBodyText"/>
      </w:pPr>
      <w:r w:rsidRPr="003D6709">
        <w:rPr>
          <w:color w:val="000000" w:themeColor="text1"/>
        </w:rPr>
        <w:t>N</w:t>
      </w:r>
      <w:r w:rsidR="000566BA" w:rsidRPr="003D6709">
        <w:rPr>
          <w:color w:val="000000" w:themeColor="text1"/>
        </w:rPr>
        <w:t>on-inferiority margin</w:t>
      </w:r>
      <w:r w:rsidR="000F7C5E" w:rsidRPr="003D6709">
        <w:rPr>
          <w:color w:val="000000" w:themeColor="text1"/>
        </w:rPr>
        <w:t>s</w:t>
      </w:r>
      <w:r w:rsidR="000566BA" w:rsidRPr="003D6709">
        <w:rPr>
          <w:color w:val="000000" w:themeColor="text1"/>
        </w:rPr>
        <w:t xml:space="preserve"> </w:t>
      </w:r>
      <w:r w:rsidR="000F7C5E" w:rsidRPr="003D6709">
        <w:rPr>
          <w:color w:val="000000" w:themeColor="text1"/>
        </w:rPr>
        <w:t>were</w:t>
      </w:r>
      <w:r w:rsidR="000566BA" w:rsidRPr="003D6709">
        <w:rPr>
          <w:color w:val="000000" w:themeColor="text1"/>
        </w:rPr>
        <w:t xml:space="preserve"> </w:t>
      </w:r>
      <w:r w:rsidRPr="003D6709">
        <w:rPr>
          <w:color w:val="000000" w:themeColor="text1"/>
        </w:rPr>
        <w:t xml:space="preserve">not </w:t>
      </w:r>
      <w:r w:rsidR="000566BA" w:rsidRPr="003D6709">
        <w:rPr>
          <w:color w:val="000000" w:themeColor="text1"/>
        </w:rPr>
        <w:t xml:space="preserve">nominated in the submission. The submission acknowledged that a lack of a statistically significant difference is not a robust method for determining non-inferiority, but argued that there is no widely accepted </w:t>
      </w:r>
      <w:r w:rsidR="00532A5B" w:rsidRPr="003D6709">
        <w:rPr>
          <w:color w:val="000000" w:themeColor="text1"/>
        </w:rPr>
        <w:t>minimal clinically important difference (</w:t>
      </w:r>
      <w:r w:rsidR="000566BA" w:rsidRPr="003D6709">
        <w:rPr>
          <w:color w:val="000000" w:themeColor="text1"/>
        </w:rPr>
        <w:t>MCID</w:t>
      </w:r>
      <w:r w:rsidR="00532A5B" w:rsidRPr="003D6709">
        <w:rPr>
          <w:color w:val="000000" w:themeColor="text1"/>
        </w:rPr>
        <w:t>)</w:t>
      </w:r>
      <w:r w:rsidR="000566BA" w:rsidRPr="003D6709">
        <w:rPr>
          <w:color w:val="000000" w:themeColor="text1"/>
        </w:rPr>
        <w:t xml:space="preserve"> for progression-free survival, overall survival, overall response, or time to next treatment in </w:t>
      </w:r>
      <w:r w:rsidR="00703E82" w:rsidRPr="003D6709">
        <w:rPr>
          <w:color w:val="000000" w:themeColor="text1"/>
        </w:rPr>
        <w:t>this disease area</w:t>
      </w:r>
      <w:r w:rsidR="000566BA" w:rsidRPr="003D6709">
        <w:rPr>
          <w:color w:val="000000" w:themeColor="text1"/>
        </w:rPr>
        <w:t xml:space="preserve">. </w:t>
      </w:r>
      <w:r w:rsidR="00F536A1" w:rsidRPr="003D6709">
        <w:rPr>
          <w:color w:val="000000" w:themeColor="text1"/>
        </w:rPr>
        <w:t>The PSCR noted that the PBAC submission for venetoclax plus rituximab, which received a positive recommendation in November 2018, did not nominate a non-inferiority margin.</w:t>
      </w:r>
      <w:r w:rsidR="00EF4AC6" w:rsidRPr="003D6709">
        <w:rPr>
          <w:color w:val="000000" w:themeColor="text1"/>
        </w:rPr>
        <w:t xml:space="preserve"> The ESC </w:t>
      </w:r>
      <w:r w:rsidR="00113502" w:rsidRPr="003D6709">
        <w:rPr>
          <w:color w:val="000000" w:themeColor="text1"/>
        </w:rPr>
        <w:t>considered</w:t>
      </w:r>
      <w:r w:rsidR="00EF4AC6" w:rsidRPr="003D6709">
        <w:rPr>
          <w:color w:val="000000" w:themeColor="text1"/>
        </w:rPr>
        <w:t xml:space="preserve"> that t</w:t>
      </w:r>
      <w:r w:rsidR="00EF4AC6" w:rsidRPr="003D6709">
        <w:rPr>
          <w:snapToGrid/>
        </w:rPr>
        <w:t>he lack of a statistically significant difference may not be sufficient to establish non-inferiority.</w:t>
      </w:r>
      <w:r w:rsidR="00F536A1" w:rsidRPr="003D6709">
        <w:rPr>
          <w:color w:val="000000" w:themeColor="text1"/>
        </w:rPr>
        <w:t xml:space="preserve"> </w:t>
      </w:r>
    </w:p>
    <w:p w:rsidR="00FC3E5C" w:rsidRPr="003D6709" w:rsidRDefault="00694359" w:rsidP="000566BA">
      <w:pPr>
        <w:pStyle w:val="ExecSumBodyText"/>
      </w:pPr>
      <w:r w:rsidRPr="003D6709">
        <w:rPr>
          <w:color w:val="000000" w:themeColor="text1"/>
        </w:rPr>
        <w:t>T</w:t>
      </w:r>
      <w:r w:rsidR="00FC3E5C" w:rsidRPr="003D6709">
        <w:rPr>
          <w:color w:val="000000" w:themeColor="text1"/>
        </w:rPr>
        <w:t xml:space="preserve">he </w:t>
      </w:r>
      <w:r w:rsidR="00AB1EE8" w:rsidRPr="003D6709">
        <w:rPr>
          <w:color w:val="000000" w:themeColor="text1"/>
        </w:rPr>
        <w:t xml:space="preserve">PSCR </w:t>
      </w:r>
      <w:r w:rsidRPr="003D6709">
        <w:rPr>
          <w:color w:val="000000" w:themeColor="text1"/>
        </w:rPr>
        <w:t>added that</w:t>
      </w:r>
      <w:r w:rsidR="00AB1EE8" w:rsidRPr="003D6709">
        <w:rPr>
          <w:color w:val="000000" w:themeColor="text1"/>
        </w:rPr>
        <w:t xml:space="preserve"> a </w:t>
      </w:r>
      <w:r w:rsidR="0048750F" w:rsidRPr="003D6709">
        <w:rPr>
          <w:color w:val="000000" w:themeColor="text1"/>
        </w:rPr>
        <w:t>p</w:t>
      </w:r>
      <w:r w:rsidR="00AB1EE8" w:rsidRPr="003D6709">
        <w:rPr>
          <w:color w:val="000000" w:themeColor="text1"/>
        </w:rPr>
        <w:t xml:space="preserve">hase 3, randomised, open-label, non-inferiority head-to-head study </w:t>
      </w:r>
      <w:r w:rsidRPr="003D6709">
        <w:rPr>
          <w:color w:val="000000" w:themeColor="text1"/>
        </w:rPr>
        <w:t xml:space="preserve">(NCT02477696) </w:t>
      </w:r>
      <w:r w:rsidR="00AB1EE8" w:rsidRPr="003D6709">
        <w:rPr>
          <w:color w:val="000000" w:themeColor="text1"/>
        </w:rPr>
        <w:t>of acalabrutinib versus ibrutinib in patients with previously treated high risk CLL</w:t>
      </w:r>
      <w:r w:rsidRPr="003D6709">
        <w:rPr>
          <w:color w:val="000000" w:themeColor="text1"/>
        </w:rPr>
        <w:t>, is currently being conducted</w:t>
      </w:r>
      <w:r w:rsidR="00AB1EE8" w:rsidRPr="003D6709">
        <w:rPr>
          <w:color w:val="000000" w:themeColor="text1"/>
        </w:rPr>
        <w:t xml:space="preserve">. The </w:t>
      </w:r>
      <w:r w:rsidR="00FC3E5C" w:rsidRPr="003D6709">
        <w:rPr>
          <w:color w:val="000000" w:themeColor="text1"/>
        </w:rPr>
        <w:t>ESC noted that</w:t>
      </w:r>
      <w:r w:rsidR="00485149" w:rsidRPr="003D6709">
        <w:rPr>
          <w:color w:val="000000" w:themeColor="text1"/>
        </w:rPr>
        <w:t xml:space="preserve"> </w:t>
      </w:r>
      <w:r w:rsidR="00AB1EE8" w:rsidRPr="003D6709">
        <w:rPr>
          <w:color w:val="000000" w:themeColor="text1"/>
        </w:rPr>
        <w:t xml:space="preserve">preliminary data </w:t>
      </w:r>
      <w:r w:rsidR="00F36B4F" w:rsidRPr="003D6709">
        <w:rPr>
          <w:color w:val="000000" w:themeColor="text1"/>
        </w:rPr>
        <w:t xml:space="preserve">is </w:t>
      </w:r>
      <w:r w:rsidR="00AB1EE8" w:rsidRPr="003D6709">
        <w:rPr>
          <w:color w:val="000000" w:themeColor="text1"/>
        </w:rPr>
        <w:t xml:space="preserve">expected </w:t>
      </w:r>
      <w:r w:rsidR="001E4BB9" w:rsidRPr="003D6709">
        <w:rPr>
          <w:color w:val="000000" w:themeColor="text1"/>
        </w:rPr>
        <w:t xml:space="preserve">to be available </w:t>
      </w:r>
      <w:r w:rsidR="00F36B4F" w:rsidRPr="003D6709">
        <w:rPr>
          <w:color w:val="000000" w:themeColor="text1"/>
        </w:rPr>
        <w:t>in</w:t>
      </w:r>
      <w:r w:rsidR="00AB1EE8" w:rsidRPr="003D6709">
        <w:rPr>
          <w:color w:val="000000" w:themeColor="text1"/>
        </w:rPr>
        <w:t xml:space="preserve"> the fourth quarter of 2021. The ESC considered that</w:t>
      </w:r>
      <w:r w:rsidR="001E4BB9" w:rsidRPr="003D6709">
        <w:rPr>
          <w:color w:val="000000" w:themeColor="text1"/>
        </w:rPr>
        <w:t>,</w:t>
      </w:r>
      <w:r w:rsidR="00AB1EE8" w:rsidRPr="003D6709">
        <w:rPr>
          <w:color w:val="000000" w:themeColor="text1"/>
        </w:rPr>
        <w:t xml:space="preserve"> </w:t>
      </w:r>
      <w:r w:rsidR="001C1D60" w:rsidRPr="003D6709">
        <w:rPr>
          <w:color w:val="000000" w:themeColor="text1"/>
        </w:rPr>
        <w:lastRenderedPageBreak/>
        <w:t xml:space="preserve">due to the relatively slow progression of the disease it may be </w:t>
      </w:r>
      <w:r w:rsidR="0048750F" w:rsidRPr="003D6709">
        <w:rPr>
          <w:color w:val="000000" w:themeColor="text1"/>
        </w:rPr>
        <w:t>several</w:t>
      </w:r>
      <w:r w:rsidR="001C1D60" w:rsidRPr="003D6709">
        <w:rPr>
          <w:color w:val="000000" w:themeColor="text1"/>
        </w:rPr>
        <w:t xml:space="preserve"> years (e</w:t>
      </w:r>
      <w:r w:rsidR="001E4BB9" w:rsidRPr="003D6709">
        <w:rPr>
          <w:color w:val="000000" w:themeColor="text1"/>
        </w:rPr>
        <w:t>.</w:t>
      </w:r>
      <w:r w:rsidR="001C1D60" w:rsidRPr="003D6709">
        <w:rPr>
          <w:color w:val="000000" w:themeColor="text1"/>
        </w:rPr>
        <w:t>g. 3</w:t>
      </w:r>
      <w:r w:rsidR="0048750F" w:rsidRPr="003D6709">
        <w:rPr>
          <w:color w:val="000000" w:themeColor="text1"/>
        </w:rPr>
        <w:t>–</w:t>
      </w:r>
      <w:r w:rsidR="001C1D60" w:rsidRPr="003D6709">
        <w:rPr>
          <w:color w:val="000000" w:themeColor="text1"/>
        </w:rPr>
        <w:t xml:space="preserve">5 years) before any </w:t>
      </w:r>
      <w:r w:rsidR="0048750F" w:rsidRPr="003D6709">
        <w:rPr>
          <w:color w:val="000000" w:themeColor="text1"/>
        </w:rPr>
        <w:t>significant data</w:t>
      </w:r>
      <w:r w:rsidR="001C1D60" w:rsidRPr="003D6709">
        <w:rPr>
          <w:color w:val="000000" w:themeColor="text1"/>
        </w:rPr>
        <w:t xml:space="preserve"> </w:t>
      </w:r>
      <w:r w:rsidR="0048750F" w:rsidRPr="003D6709">
        <w:rPr>
          <w:color w:val="000000" w:themeColor="text1"/>
        </w:rPr>
        <w:t>are</w:t>
      </w:r>
      <w:r w:rsidR="001C1D60" w:rsidRPr="003D6709">
        <w:rPr>
          <w:color w:val="000000" w:themeColor="text1"/>
        </w:rPr>
        <w:t xml:space="preserve"> generated. </w:t>
      </w:r>
    </w:p>
    <w:p w:rsidR="009E5F0F" w:rsidRPr="003D6709" w:rsidRDefault="009E5F0F" w:rsidP="009E5F0F">
      <w:pPr>
        <w:pStyle w:val="ExecSumBodyText"/>
        <w:numPr>
          <w:ilvl w:val="0"/>
          <w:numId w:val="0"/>
        </w:numPr>
        <w:ind w:left="720"/>
      </w:pPr>
      <w:r w:rsidRPr="003D6709">
        <w:rPr>
          <w:i/>
        </w:rPr>
        <w:t>For more detail on PBAC’s view, see section 7 PBAC outcome.</w:t>
      </w:r>
    </w:p>
    <w:p w:rsidR="00B60939" w:rsidRPr="003D6709" w:rsidRDefault="00B60939" w:rsidP="00EC5836">
      <w:pPr>
        <w:pStyle w:val="3-SubsectionHeading"/>
      </w:pPr>
      <w:bookmarkStart w:id="12" w:name="_Toc22897641"/>
      <w:bookmarkStart w:id="13" w:name="_Toc30588520"/>
      <w:r w:rsidRPr="003D6709">
        <w:t>Comparative effectiveness</w:t>
      </w:r>
      <w:bookmarkEnd w:id="12"/>
      <w:bookmarkEnd w:id="13"/>
    </w:p>
    <w:p w:rsidR="00E857B6" w:rsidRPr="003D6709" w:rsidRDefault="003C41BB" w:rsidP="00F63700">
      <w:pPr>
        <w:pStyle w:val="ExecSumBodyText"/>
      </w:pPr>
      <w:r w:rsidRPr="003D6709">
        <w:t xml:space="preserve">Figure 2 </w:t>
      </w:r>
      <w:r w:rsidR="00F63700" w:rsidRPr="003D6709">
        <w:t>presents the Kaplan-Meier plot of independent review committee-assessed progression-free survival for the ASCEND trial at the interim analysis.</w:t>
      </w:r>
    </w:p>
    <w:p w:rsidR="00F63700" w:rsidRPr="00462D53" w:rsidRDefault="00F63700" w:rsidP="00462D53">
      <w:pPr>
        <w:pStyle w:val="TableHeading"/>
      </w:pPr>
      <w:bookmarkStart w:id="14" w:name="_Ref33453456"/>
      <w:r w:rsidRPr="00462D53">
        <w:t xml:space="preserve">Figure </w:t>
      </w:r>
      <w:r w:rsidR="003C41BB" w:rsidRPr="00462D53">
        <w:t>2</w:t>
      </w:r>
      <w:bookmarkEnd w:id="14"/>
      <w:r w:rsidRPr="00462D53">
        <w:t xml:space="preserve">: </w:t>
      </w:r>
      <w:r w:rsidR="004073AB" w:rsidRPr="00462D53">
        <w:t>Kaplan-Meier plot of i</w:t>
      </w:r>
      <w:r w:rsidRPr="00462D53">
        <w:t>ndependent review committee-assessed progression-free survival for the ASCEND trial at the interim analysis</w:t>
      </w:r>
    </w:p>
    <w:p w:rsidR="00F63700" w:rsidRPr="003D6709" w:rsidRDefault="00F63700" w:rsidP="00F63700">
      <w:pPr>
        <w:rPr>
          <w:color w:val="3366FF"/>
        </w:rPr>
      </w:pPr>
      <w:r w:rsidRPr="003D6709">
        <w:rPr>
          <w:noProof/>
        </w:rPr>
        <w:drawing>
          <wp:inline distT="0" distB="0" distL="0" distR="0" wp14:anchorId="531B7465" wp14:editId="5F4D20E7">
            <wp:extent cx="5626735" cy="3937635"/>
            <wp:effectExtent l="0" t="0" r="0" b="5715"/>
            <wp:docPr id="7" name="Picture 7" title="Figure 2: Kaplan-Meier plot of independent review committee-assessed progression-free survival for the ASCEND trial at the interim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828"/>
                    <a:stretch/>
                  </pic:blipFill>
                  <pic:spPr bwMode="auto">
                    <a:xfrm>
                      <a:off x="0" y="0"/>
                      <a:ext cx="5626735" cy="3937635"/>
                    </a:xfrm>
                    <a:prstGeom prst="rect">
                      <a:avLst/>
                    </a:prstGeom>
                    <a:ln>
                      <a:noFill/>
                    </a:ln>
                    <a:extLst>
                      <a:ext uri="{53640926-AAD7-44D8-BBD7-CCE9431645EC}">
                        <a14:shadowObscured xmlns:a14="http://schemas.microsoft.com/office/drawing/2010/main"/>
                      </a:ext>
                    </a:extLst>
                  </pic:spPr>
                </pic:pic>
              </a:graphicData>
            </a:graphic>
          </wp:inline>
        </w:drawing>
      </w:r>
    </w:p>
    <w:p w:rsidR="00F63700" w:rsidRPr="003D6709" w:rsidRDefault="00F63700" w:rsidP="00F63700">
      <w:pPr>
        <w:pStyle w:val="TableFooter"/>
        <w:spacing w:after="120"/>
      </w:pPr>
      <w:r w:rsidRPr="003D6709">
        <w:t>Source: Figure 2.5.1, p.66 of the submission.</w:t>
      </w:r>
    </w:p>
    <w:p w:rsidR="00F63700" w:rsidRPr="003D6709" w:rsidRDefault="00F63700" w:rsidP="00F63700">
      <w:pPr>
        <w:pStyle w:val="TableFooter"/>
        <w:spacing w:after="120"/>
      </w:pPr>
      <w:r w:rsidRPr="003D6709">
        <w:t>Abbreviations: CI, confidence interval; HR, hazard ratio.</w:t>
      </w:r>
    </w:p>
    <w:p w:rsidR="00F63700" w:rsidRPr="003D6709" w:rsidRDefault="00F63700" w:rsidP="00F63700">
      <w:pPr>
        <w:pStyle w:val="TableFooter"/>
        <w:spacing w:after="120"/>
      </w:pPr>
      <w:r w:rsidRPr="003D6709">
        <w:t>Arm A: Acalabrutinib; Arm B: Investigator’s choice of idelalisib plus rituximab or bendamustine plus rituximab.</w:t>
      </w:r>
    </w:p>
    <w:p w:rsidR="00F63700" w:rsidRPr="003D6709" w:rsidRDefault="003C41BB" w:rsidP="00F63700">
      <w:pPr>
        <w:pStyle w:val="ExecSumBodyText"/>
        <w:rPr>
          <w:color w:val="0066FF"/>
        </w:rPr>
      </w:pPr>
      <w:r w:rsidRPr="003D6709">
        <w:rPr>
          <w:color w:val="000000" w:themeColor="text1"/>
        </w:rPr>
        <w:t xml:space="preserve">Table 4 </w:t>
      </w:r>
      <w:r w:rsidR="007D34E6" w:rsidRPr="003D6709">
        <w:rPr>
          <w:color w:val="000000" w:themeColor="text1"/>
        </w:rPr>
        <w:t>presents</w:t>
      </w:r>
      <w:r w:rsidR="00F63700" w:rsidRPr="003D6709">
        <w:rPr>
          <w:color w:val="000000" w:themeColor="text1"/>
        </w:rPr>
        <w:t xml:space="preserve"> the results </w:t>
      </w:r>
      <w:r w:rsidR="007D34E6" w:rsidRPr="003D6709">
        <w:rPr>
          <w:color w:val="000000" w:themeColor="text1"/>
        </w:rPr>
        <w:t xml:space="preserve">for independent review committee and investigator-assessed </w:t>
      </w:r>
      <w:r w:rsidR="00F63700" w:rsidRPr="003D6709">
        <w:rPr>
          <w:color w:val="000000" w:themeColor="text1"/>
        </w:rPr>
        <w:t>progression-free survival for the ASCEND trial at the interim analysis.</w:t>
      </w:r>
    </w:p>
    <w:p w:rsidR="00F63700" w:rsidRPr="003D6709" w:rsidRDefault="00F63700" w:rsidP="00A5275A">
      <w:pPr>
        <w:pStyle w:val="TableHeading"/>
        <w:keepLines/>
        <w:widowControl w:val="0"/>
        <w:rPr>
          <w:snapToGrid w:val="0"/>
        </w:rPr>
      </w:pPr>
      <w:bookmarkStart w:id="15" w:name="_Ref33453511"/>
      <w:r w:rsidRPr="003D6709">
        <w:rPr>
          <w:snapToGrid w:val="0"/>
        </w:rPr>
        <w:lastRenderedPageBreak/>
        <w:t xml:space="preserve">Table </w:t>
      </w:r>
      <w:r w:rsidR="003C41BB" w:rsidRPr="003D6709">
        <w:rPr>
          <w:snapToGrid w:val="0"/>
        </w:rPr>
        <w:t>4</w:t>
      </w:r>
      <w:bookmarkEnd w:id="15"/>
      <w:r w:rsidRPr="003D6709">
        <w:rPr>
          <w:snapToGrid w:val="0"/>
        </w:rPr>
        <w:t>: Progression-free survival results for the ASCEND trial at the interim analysis</w:t>
      </w:r>
    </w:p>
    <w:tbl>
      <w:tblPr>
        <w:tblStyle w:val="Summarybox3"/>
        <w:tblW w:w="5000" w:type="pct"/>
        <w:tblCellMar>
          <w:left w:w="28" w:type="dxa"/>
          <w:right w:w="28" w:type="dxa"/>
        </w:tblCellMar>
        <w:tblLook w:val="04A0" w:firstRow="1" w:lastRow="0" w:firstColumn="1" w:lastColumn="0" w:noHBand="0" w:noVBand="1"/>
        <w:tblCaption w:val="Table 4: Progression-free survival results for the ASCEND trial at the interim analysis"/>
      </w:tblPr>
      <w:tblGrid>
        <w:gridCol w:w="3794"/>
        <w:gridCol w:w="2610"/>
        <w:gridCol w:w="2613"/>
      </w:tblGrid>
      <w:tr w:rsidR="00F63700" w:rsidRPr="003D6709" w:rsidTr="003221CF">
        <w:trPr>
          <w:tblHeader/>
        </w:trPr>
        <w:tc>
          <w:tcPr>
            <w:tcW w:w="2104" w:type="pct"/>
            <w:tcBorders>
              <w:bottom w:val="single" w:sz="4" w:space="0" w:color="auto"/>
            </w:tcBorders>
            <w:shd w:val="clear" w:color="auto" w:fill="FFFFFF"/>
            <w:vAlign w:val="center"/>
          </w:tcPr>
          <w:p w:rsidR="00F63700" w:rsidRPr="003D6709" w:rsidRDefault="00F63700" w:rsidP="00A5275A">
            <w:pPr>
              <w:keepNext/>
              <w:keepLines/>
              <w:widowControl w:val="0"/>
              <w:rPr>
                <w:rFonts w:ascii="Arial Narrow" w:hAnsi="Arial Narrow"/>
                <w:b/>
                <w:iCs/>
                <w:sz w:val="20"/>
                <w:szCs w:val="20"/>
              </w:rPr>
            </w:pPr>
            <w:r w:rsidRPr="003D6709">
              <w:rPr>
                <w:rFonts w:ascii="Arial Narrow" w:hAnsi="Arial Narrow"/>
                <w:b/>
                <w:iCs/>
                <w:sz w:val="20"/>
                <w:szCs w:val="20"/>
              </w:rPr>
              <w:t>Cohort</w:t>
            </w:r>
          </w:p>
        </w:tc>
        <w:tc>
          <w:tcPr>
            <w:tcW w:w="1447" w:type="pct"/>
            <w:tcBorders>
              <w:bottom w:val="single" w:sz="4" w:space="0" w:color="auto"/>
            </w:tcBorders>
            <w:shd w:val="clear" w:color="auto" w:fill="FFFFFF"/>
            <w:vAlign w:val="center"/>
          </w:tcPr>
          <w:p w:rsidR="00F63700" w:rsidRPr="003D6709" w:rsidRDefault="00F63700" w:rsidP="00A5275A">
            <w:pPr>
              <w:keepNext/>
              <w:keepLines/>
              <w:widowControl w:val="0"/>
              <w:jc w:val="center"/>
              <w:rPr>
                <w:rFonts w:ascii="Arial Narrow" w:hAnsi="Arial Narrow"/>
                <w:b/>
                <w:iCs/>
                <w:sz w:val="20"/>
                <w:szCs w:val="20"/>
              </w:rPr>
            </w:pPr>
            <w:r w:rsidRPr="003D6709">
              <w:rPr>
                <w:rFonts w:ascii="Arial Narrow" w:hAnsi="Arial Narrow"/>
                <w:b/>
                <w:iCs/>
                <w:sz w:val="20"/>
                <w:szCs w:val="20"/>
              </w:rPr>
              <w:t xml:space="preserve">ACAL </w:t>
            </w:r>
          </w:p>
          <w:p w:rsidR="00F63700" w:rsidRPr="003D6709" w:rsidRDefault="00F63700" w:rsidP="00A5275A">
            <w:pPr>
              <w:keepNext/>
              <w:keepLines/>
              <w:widowControl w:val="0"/>
              <w:jc w:val="center"/>
              <w:rPr>
                <w:rFonts w:ascii="Arial Narrow" w:hAnsi="Arial Narrow"/>
                <w:b/>
                <w:iCs/>
                <w:sz w:val="20"/>
                <w:szCs w:val="20"/>
              </w:rPr>
            </w:pPr>
            <w:r w:rsidRPr="003D6709">
              <w:rPr>
                <w:rFonts w:ascii="Arial Narrow" w:hAnsi="Arial Narrow"/>
                <w:b/>
                <w:iCs/>
                <w:sz w:val="20"/>
                <w:szCs w:val="20"/>
              </w:rPr>
              <w:t>(N=155)</w:t>
            </w:r>
          </w:p>
        </w:tc>
        <w:tc>
          <w:tcPr>
            <w:tcW w:w="1449" w:type="pct"/>
            <w:tcBorders>
              <w:bottom w:val="single" w:sz="4" w:space="0" w:color="auto"/>
            </w:tcBorders>
            <w:shd w:val="clear" w:color="auto" w:fill="FFFFFF"/>
            <w:vAlign w:val="center"/>
          </w:tcPr>
          <w:p w:rsidR="00F63700" w:rsidRPr="003D6709" w:rsidRDefault="00F63700" w:rsidP="00A5275A">
            <w:pPr>
              <w:keepNext/>
              <w:keepLines/>
              <w:widowControl w:val="0"/>
              <w:jc w:val="center"/>
              <w:rPr>
                <w:rFonts w:ascii="Arial Narrow" w:hAnsi="Arial Narrow"/>
                <w:b/>
                <w:iCs/>
                <w:sz w:val="20"/>
                <w:szCs w:val="20"/>
              </w:rPr>
            </w:pPr>
            <w:r w:rsidRPr="003D6709">
              <w:rPr>
                <w:rFonts w:ascii="Arial Narrow" w:hAnsi="Arial Narrow"/>
                <w:b/>
                <w:iCs/>
                <w:sz w:val="20"/>
                <w:szCs w:val="20"/>
              </w:rPr>
              <w:t>IDEL/BEN + RITU</w:t>
            </w:r>
          </w:p>
          <w:p w:rsidR="00F63700" w:rsidRPr="003D6709" w:rsidRDefault="00F63700" w:rsidP="00A5275A">
            <w:pPr>
              <w:keepNext/>
              <w:keepLines/>
              <w:widowControl w:val="0"/>
              <w:jc w:val="center"/>
              <w:rPr>
                <w:rFonts w:ascii="Arial Narrow" w:hAnsi="Arial Narrow"/>
                <w:b/>
                <w:iCs/>
                <w:sz w:val="20"/>
                <w:szCs w:val="20"/>
              </w:rPr>
            </w:pPr>
            <w:r w:rsidRPr="003D6709">
              <w:rPr>
                <w:rFonts w:ascii="Arial Narrow" w:hAnsi="Arial Narrow"/>
                <w:b/>
                <w:iCs/>
                <w:sz w:val="20"/>
                <w:szCs w:val="20"/>
              </w:rPr>
              <w:t>(N=155)</w:t>
            </w:r>
          </w:p>
        </w:tc>
      </w:tr>
      <w:tr w:rsidR="00F63700" w:rsidRPr="003D6709" w:rsidTr="00462D53">
        <w:tc>
          <w:tcPr>
            <w:tcW w:w="2104" w:type="pct"/>
            <w:shd w:val="clear" w:color="auto" w:fill="FFFFFF"/>
            <w:vAlign w:val="center"/>
          </w:tcPr>
          <w:p w:rsidR="00F63700" w:rsidRPr="003D6709" w:rsidRDefault="00F63700" w:rsidP="00A5275A">
            <w:pPr>
              <w:keepNext/>
              <w:keepLines/>
              <w:widowControl w:val="0"/>
              <w:jc w:val="left"/>
              <w:rPr>
                <w:rFonts w:ascii="Arial Narrow" w:hAnsi="Arial Narrow"/>
                <w:iCs/>
                <w:sz w:val="20"/>
                <w:szCs w:val="20"/>
              </w:rPr>
            </w:pPr>
            <w:r w:rsidRPr="003D6709">
              <w:rPr>
                <w:rFonts w:ascii="Arial Narrow" w:hAnsi="Arial Narrow"/>
                <w:iCs/>
                <w:sz w:val="20"/>
                <w:szCs w:val="20"/>
              </w:rPr>
              <w:t>Median duration of follow-up, months (range)</w:t>
            </w:r>
          </w:p>
        </w:tc>
        <w:tc>
          <w:tcPr>
            <w:tcW w:w="1447"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16.10 (0.53, 22.41)</w:t>
            </w:r>
          </w:p>
        </w:tc>
        <w:tc>
          <w:tcPr>
            <w:tcW w:w="1449"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15.75 (0.03, 22.05)</w:t>
            </w:r>
          </w:p>
        </w:tc>
      </w:tr>
      <w:tr w:rsidR="00F63700" w:rsidRPr="003D6709" w:rsidTr="00462D53">
        <w:tc>
          <w:tcPr>
            <w:tcW w:w="5000" w:type="pct"/>
            <w:gridSpan w:val="3"/>
            <w:shd w:val="clear" w:color="auto" w:fill="FFFFFF"/>
          </w:tcPr>
          <w:p w:rsidR="00F63700" w:rsidRPr="003D6709" w:rsidRDefault="00F63700" w:rsidP="00A5275A">
            <w:pPr>
              <w:keepNext/>
              <w:keepLines/>
              <w:widowControl w:val="0"/>
              <w:rPr>
                <w:rFonts w:ascii="Arial Narrow" w:hAnsi="Arial Narrow"/>
                <w:b/>
                <w:iCs/>
                <w:sz w:val="20"/>
                <w:szCs w:val="20"/>
              </w:rPr>
            </w:pPr>
            <w:r w:rsidRPr="003D6709">
              <w:rPr>
                <w:rFonts w:ascii="Arial Narrow" w:hAnsi="Arial Narrow"/>
                <w:b/>
                <w:snapToGrid w:val="0"/>
                <w:sz w:val="20"/>
                <w:szCs w:val="20"/>
              </w:rPr>
              <w:t>Independent review committee-assessed (primary outcome)</w:t>
            </w:r>
          </w:p>
        </w:tc>
      </w:tr>
      <w:tr w:rsidR="00F63700" w:rsidRPr="003D6709" w:rsidTr="00462D53">
        <w:tc>
          <w:tcPr>
            <w:tcW w:w="2104" w:type="pct"/>
            <w:vAlign w:val="center"/>
          </w:tcPr>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Earliest event total, n (%)</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Progression, n</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Death, n</w:t>
            </w:r>
          </w:p>
        </w:tc>
        <w:tc>
          <w:tcPr>
            <w:tcW w:w="1447"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 xml:space="preserve">27 (17.4) </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19</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8</w:t>
            </w:r>
          </w:p>
        </w:tc>
        <w:tc>
          <w:tcPr>
            <w:tcW w:w="1449"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 xml:space="preserve">68 (43.9) </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59</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9</w:t>
            </w:r>
          </w:p>
        </w:tc>
      </w:tr>
      <w:tr w:rsidR="00F63700" w:rsidRPr="003D6709" w:rsidTr="00462D53">
        <w:tc>
          <w:tcPr>
            <w:tcW w:w="2104" w:type="pct"/>
            <w:vAlign w:val="center"/>
          </w:tcPr>
          <w:p w:rsidR="00F63700" w:rsidRPr="003D6709" w:rsidRDefault="00F63700" w:rsidP="00A5275A">
            <w:pPr>
              <w:keepNext/>
              <w:keepLines/>
              <w:widowControl w:val="0"/>
              <w:jc w:val="left"/>
              <w:rPr>
                <w:rFonts w:ascii="Arial Narrow" w:hAnsi="Arial Narrow"/>
                <w:iCs/>
                <w:sz w:val="20"/>
                <w:szCs w:val="20"/>
              </w:rPr>
            </w:pPr>
            <w:r w:rsidRPr="003D6709">
              <w:rPr>
                <w:rFonts w:ascii="Arial Narrow" w:hAnsi="Arial Narrow"/>
                <w:snapToGrid w:val="0"/>
                <w:sz w:val="20"/>
                <w:szCs w:val="20"/>
              </w:rPr>
              <w:t>Median PFS, months (95% CI)</w:t>
            </w:r>
          </w:p>
        </w:tc>
        <w:tc>
          <w:tcPr>
            <w:tcW w:w="1447"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Not reached (NE)</w:t>
            </w:r>
          </w:p>
        </w:tc>
        <w:tc>
          <w:tcPr>
            <w:tcW w:w="1449"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16.5 (14.0, 17.1)</w:t>
            </w:r>
          </w:p>
        </w:tc>
      </w:tr>
      <w:tr w:rsidR="00F63700" w:rsidRPr="003D6709" w:rsidTr="00462D53">
        <w:tc>
          <w:tcPr>
            <w:tcW w:w="2104" w:type="pct"/>
          </w:tcPr>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Within trial HR (95% CI)</w:t>
            </w:r>
          </w:p>
        </w:tc>
        <w:tc>
          <w:tcPr>
            <w:tcW w:w="2896" w:type="pct"/>
            <w:gridSpan w:val="2"/>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0.31 (0.20, 0.49)</w:t>
            </w:r>
          </w:p>
        </w:tc>
      </w:tr>
      <w:tr w:rsidR="00F63700" w:rsidRPr="003D6709" w:rsidTr="00462D53">
        <w:tc>
          <w:tcPr>
            <w:tcW w:w="2104" w:type="pct"/>
          </w:tcPr>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KM estimate of PFS</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- 6 months, % (95% CI)</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- 12 months, % (95% CI)</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- 18 months, % (95% CI)</w:t>
            </w:r>
          </w:p>
        </w:tc>
        <w:tc>
          <w:tcPr>
            <w:tcW w:w="1447" w:type="pct"/>
            <w:shd w:val="clear" w:color="auto" w:fill="FFFFFF"/>
          </w:tcPr>
          <w:p w:rsidR="00F63700" w:rsidRPr="003D6709" w:rsidRDefault="00F63700" w:rsidP="00A5275A">
            <w:pPr>
              <w:keepNext/>
              <w:keepLines/>
              <w:widowControl w:val="0"/>
              <w:jc w:val="center"/>
              <w:rPr>
                <w:rFonts w:ascii="Arial Narrow" w:hAnsi="Arial Narrow"/>
                <w:iCs/>
                <w:sz w:val="20"/>
                <w:szCs w:val="20"/>
              </w:rPr>
            </w:pP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96.1 (91.5, 98.2)</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87.8 (81.3, 92.1)</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79.0 (69.7, 85.8)</w:t>
            </w:r>
          </w:p>
        </w:tc>
        <w:tc>
          <w:tcPr>
            <w:tcW w:w="1449" w:type="pct"/>
            <w:shd w:val="clear" w:color="auto" w:fill="FFFFFF"/>
          </w:tcPr>
          <w:p w:rsidR="00F63700" w:rsidRPr="003D6709" w:rsidRDefault="00F63700" w:rsidP="00A5275A">
            <w:pPr>
              <w:keepNext/>
              <w:keepLines/>
              <w:widowControl w:val="0"/>
              <w:jc w:val="center"/>
              <w:rPr>
                <w:rFonts w:ascii="Arial Narrow" w:hAnsi="Arial Narrow"/>
                <w:iCs/>
                <w:sz w:val="20"/>
                <w:szCs w:val="20"/>
              </w:rPr>
            </w:pP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93.9 (88.6, 96.8)</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68.0 (59.4, 75.1)</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38.6 (27.3, 49.8)</w:t>
            </w:r>
          </w:p>
        </w:tc>
      </w:tr>
      <w:tr w:rsidR="00F63700" w:rsidRPr="003D6709" w:rsidTr="00462D53">
        <w:tc>
          <w:tcPr>
            <w:tcW w:w="5000" w:type="pct"/>
            <w:gridSpan w:val="3"/>
            <w:shd w:val="clear" w:color="auto" w:fill="FFFFFF"/>
          </w:tcPr>
          <w:p w:rsidR="00F63700" w:rsidRPr="003D6709" w:rsidRDefault="00F63700" w:rsidP="00A5275A">
            <w:pPr>
              <w:keepNext/>
              <w:keepLines/>
              <w:widowControl w:val="0"/>
              <w:rPr>
                <w:rFonts w:ascii="Arial Narrow" w:hAnsi="Arial Narrow"/>
                <w:iCs/>
                <w:sz w:val="20"/>
                <w:szCs w:val="20"/>
              </w:rPr>
            </w:pPr>
            <w:r w:rsidRPr="003D6709">
              <w:rPr>
                <w:rFonts w:ascii="Arial Narrow" w:hAnsi="Arial Narrow"/>
                <w:b/>
                <w:snapToGrid w:val="0"/>
                <w:sz w:val="20"/>
                <w:szCs w:val="20"/>
              </w:rPr>
              <w:t>Investigator-assessed</w:t>
            </w:r>
          </w:p>
        </w:tc>
      </w:tr>
      <w:tr w:rsidR="00F63700" w:rsidRPr="003D6709" w:rsidTr="00462D53">
        <w:tc>
          <w:tcPr>
            <w:tcW w:w="2104" w:type="pct"/>
            <w:vAlign w:val="center"/>
          </w:tcPr>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Earliest event total, n (%)</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Progression, n</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Death, n</w:t>
            </w:r>
          </w:p>
        </w:tc>
        <w:tc>
          <w:tcPr>
            <w:tcW w:w="1447" w:type="pct"/>
            <w:shd w:val="clear" w:color="auto" w:fill="FFFFFF"/>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24 (15.5)</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17</w:t>
            </w:r>
          </w:p>
          <w:p w:rsidR="00F63700" w:rsidRPr="003D6709" w:rsidRDefault="00BD3E57" w:rsidP="00A5275A">
            <w:pPr>
              <w:keepNext/>
              <w:keepLines/>
              <w:widowControl w:val="0"/>
              <w:jc w:val="center"/>
              <w:rPr>
                <w:rFonts w:ascii="Arial Narrow" w:hAnsi="Arial Narrow"/>
                <w:iCs/>
                <w:sz w:val="20"/>
                <w:szCs w:val="20"/>
              </w:rPr>
            </w:pPr>
            <w:r w:rsidRPr="003D6709">
              <w:rPr>
                <w:rFonts w:ascii="Arial Narrow" w:hAnsi="Arial Narrow"/>
                <w:iCs/>
                <w:sz w:val="20"/>
                <w:szCs w:val="20"/>
              </w:rPr>
              <w:t>7</w:t>
            </w:r>
          </w:p>
        </w:tc>
        <w:tc>
          <w:tcPr>
            <w:tcW w:w="1449" w:type="pct"/>
            <w:shd w:val="clear" w:color="auto" w:fill="FFFFFF"/>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68 (43.9)</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58</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10</w:t>
            </w:r>
          </w:p>
        </w:tc>
      </w:tr>
      <w:tr w:rsidR="00F63700" w:rsidRPr="003D6709" w:rsidTr="00462D53">
        <w:tc>
          <w:tcPr>
            <w:tcW w:w="2104" w:type="pct"/>
            <w:vAlign w:val="center"/>
          </w:tcPr>
          <w:p w:rsidR="00F63700" w:rsidRPr="003D6709" w:rsidRDefault="00F63700" w:rsidP="00A5275A">
            <w:pPr>
              <w:keepNext/>
              <w:keepLines/>
              <w:widowControl w:val="0"/>
              <w:jc w:val="left"/>
              <w:rPr>
                <w:rFonts w:ascii="Arial Narrow" w:hAnsi="Arial Narrow"/>
                <w:iCs/>
                <w:sz w:val="20"/>
                <w:szCs w:val="20"/>
              </w:rPr>
            </w:pPr>
            <w:r w:rsidRPr="003D6709">
              <w:rPr>
                <w:rFonts w:ascii="Arial Narrow" w:hAnsi="Arial Narrow"/>
                <w:snapToGrid w:val="0"/>
                <w:sz w:val="20"/>
                <w:szCs w:val="20"/>
              </w:rPr>
              <w:t>Median PFS, months (95% CI)</w:t>
            </w:r>
          </w:p>
        </w:tc>
        <w:tc>
          <w:tcPr>
            <w:tcW w:w="1447"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Not reached (NE)</w:t>
            </w:r>
          </w:p>
        </w:tc>
        <w:tc>
          <w:tcPr>
            <w:tcW w:w="1449" w:type="pct"/>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16.2 (14.0, NE)</w:t>
            </w:r>
          </w:p>
        </w:tc>
      </w:tr>
      <w:tr w:rsidR="00F63700" w:rsidRPr="003D6709" w:rsidTr="00462D53">
        <w:tc>
          <w:tcPr>
            <w:tcW w:w="2104" w:type="pct"/>
          </w:tcPr>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Within trial HR (95% CI)</w:t>
            </w:r>
          </w:p>
        </w:tc>
        <w:tc>
          <w:tcPr>
            <w:tcW w:w="2896" w:type="pct"/>
            <w:gridSpan w:val="2"/>
            <w:shd w:val="clear" w:color="auto" w:fill="FFFFFF"/>
            <w:vAlign w:val="center"/>
          </w:tcPr>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0.28 (0.18, 0.45)</w:t>
            </w:r>
          </w:p>
        </w:tc>
      </w:tr>
      <w:tr w:rsidR="00F63700" w:rsidRPr="003D6709" w:rsidTr="00462D53">
        <w:tc>
          <w:tcPr>
            <w:tcW w:w="2104" w:type="pct"/>
          </w:tcPr>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KM estimate of PFS</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- 6 months, % (95% CI)</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- 12 months, % (95% CI)</w:t>
            </w:r>
          </w:p>
          <w:p w:rsidR="00F63700" w:rsidRPr="003D6709" w:rsidRDefault="00F63700" w:rsidP="00A5275A">
            <w:pPr>
              <w:keepNext/>
              <w:keepLines/>
              <w:widowControl w:val="0"/>
              <w:jc w:val="left"/>
              <w:rPr>
                <w:rFonts w:ascii="Arial Narrow" w:hAnsi="Arial Narrow"/>
                <w:snapToGrid w:val="0"/>
                <w:sz w:val="20"/>
                <w:szCs w:val="20"/>
              </w:rPr>
            </w:pPr>
            <w:r w:rsidRPr="003D6709">
              <w:rPr>
                <w:rFonts w:ascii="Arial Narrow" w:hAnsi="Arial Narrow"/>
                <w:snapToGrid w:val="0"/>
                <w:sz w:val="20"/>
                <w:szCs w:val="20"/>
              </w:rPr>
              <w:t>- 18 months, % (95% CI)</w:t>
            </w:r>
          </w:p>
        </w:tc>
        <w:tc>
          <w:tcPr>
            <w:tcW w:w="1447" w:type="pct"/>
            <w:shd w:val="clear" w:color="auto" w:fill="FFFFFF"/>
          </w:tcPr>
          <w:p w:rsidR="00F63700" w:rsidRPr="003D6709" w:rsidRDefault="00F63700" w:rsidP="00A5275A">
            <w:pPr>
              <w:keepNext/>
              <w:keepLines/>
              <w:widowControl w:val="0"/>
              <w:jc w:val="center"/>
              <w:rPr>
                <w:rFonts w:ascii="Arial Narrow" w:hAnsi="Arial Narrow"/>
                <w:iCs/>
                <w:sz w:val="20"/>
                <w:szCs w:val="20"/>
              </w:rPr>
            </w:pP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94.1 (89.0, 96.9)</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88.7 (82.4, 92.8)</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82.8 (74.6, 88.5)</w:t>
            </w:r>
          </w:p>
        </w:tc>
        <w:tc>
          <w:tcPr>
            <w:tcW w:w="1449" w:type="pct"/>
            <w:shd w:val="clear" w:color="auto" w:fill="FFFFFF"/>
          </w:tcPr>
          <w:p w:rsidR="00F63700" w:rsidRPr="003D6709" w:rsidRDefault="00F63700" w:rsidP="00A5275A">
            <w:pPr>
              <w:keepNext/>
              <w:keepLines/>
              <w:widowControl w:val="0"/>
              <w:jc w:val="center"/>
              <w:rPr>
                <w:rFonts w:ascii="Arial Narrow" w:hAnsi="Arial Narrow"/>
                <w:iCs/>
                <w:sz w:val="20"/>
                <w:szCs w:val="20"/>
              </w:rPr>
            </w:pP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92.7 (87.2, 95.9)</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67.4 (59.1, 74.4)</w:t>
            </w:r>
          </w:p>
          <w:p w:rsidR="00F63700" w:rsidRPr="003D6709" w:rsidRDefault="00F63700" w:rsidP="00A5275A">
            <w:pPr>
              <w:keepNext/>
              <w:keepLines/>
              <w:widowControl w:val="0"/>
              <w:jc w:val="center"/>
              <w:rPr>
                <w:rFonts w:ascii="Arial Narrow" w:hAnsi="Arial Narrow"/>
                <w:iCs/>
                <w:sz w:val="20"/>
                <w:szCs w:val="20"/>
              </w:rPr>
            </w:pPr>
            <w:r w:rsidRPr="003D6709">
              <w:rPr>
                <w:rFonts w:ascii="Arial Narrow" w:hAnsi="Arial Narrow"/>
                <w:iCs/>
                <w:sz w:val="20"/>
                <w:szCs w:val="20"/>
              </w:rPr>
              <w:t>43.9 (33.4, 53.8)</w:t>
            </w:r>
          </w:p>
        </w:tc>
      </w:tr>
    </w:tbl>
    <w:p w:rsidR="00F63700" w:rsidRPr="003D6709" w:rsidRDefault="00F63700" w:rsidP="00A5275A">
      <w:pPr>
        <w:pStyle w:val="TableFooter"/>
        <w:keepNext/>
        <w:keepLines/>
        <w:spacing w:after="120"/>
      </w:pPr>
      <w:r w:rsidRPr="003D6709">
        <w:t>Source: Table 18, pp113-114; Table 20, p.121 of the ASCEND clinical study report.</w:t>
      </w:r>
    </w:p>
    <w:p w:rsidR="00F63700" w:rsidRPr="003D6709" w:rsidRDefault="00F63700" w:rsidP="00A5275A">
      <w:pPr>
        <w:pStyle w:val="TableFooter"/>
        <w:keepNext/>
        <w:keepLines/>
        <w:spacing w:after="120"/>
      </w:pPr>
      <w:r w:rsidRPr="003D6709">
        <w:t>Abbreviations: ACAL, acalabrutinib; BEN, bendamustine; CI, confidence interval; HR, hazard ratio; IDEL, idelalisib; KM, Kaplan-Meier; NE, not estimable; PFS, progression-free survival; RITU, rituximab.</w:t>
      </w:r>
    </w:p>
    <w:p w:rsidR="00F63700" w:rsidRPr="003D6709" w:rsidRDefault="00703E82" w:rsidP="00F63700">
      <w:pPr>
        <w:pStyle w:val="ExecSumBodyText"/>
      </w:pPr>
      <w:r w:rsidRPr="003D6709">
        <w:t>At a median duration of follow-up of 16 months, i</w:t>
      </w:r>
      <w:r w:rsidR="00F63700" w:rsidRPr="003D6709">
        <w:t>ndependent review committee-assessed progression-free survival was statistically significantly longer among patients in the acalabrutinib arm compared to the bendamustine/idelalisib plus rituximab arm (median not reached versus 16.5 months; H</w:t>
      </w:r>
      <w:r w:rsidR="00B1777E" w:rsidRPr="003D6709">
        <w:t>R = 0.31; 95% CI: 0.20, 0.49). R</w:t>
      </w:r>
      <w:r w:rsidR="00081295" w:rsidRPr="003D6709">
        <w:t xml:space="preserve">esults based on investigator assessment were consistent with the independent review committee-assessed </w:t>
      </w:r>
      <w:r w:rsidR="00B1777E" w:rsidRPr="003D6709">
        <w:t>results</w:t>
      </w:r>
      <w:r w:rsidR="00081295" w:rsidRPr="003D6709">
        <w:t xml:space="preserve"> </w:t>
      </w:r>
      <w:r w:rsidR="00F63700" w:rsidRPr="003D6709">
        <w:t>(median not reached versus 16.2 months; HR = 0.28; 95% CI: 0.18, 0.45).</w:t>
      </w:r>
    </w:p>
    <w:p w:rsidR="00F63700" w:rsidRPr="003D6709" w:rsidRDefault="003C41BB" w:rsidP="00F63700">
      <w:pPr>
        <w:pStyle w:val="ExecSumBodyText"/>
      </w:pPr>
      <w:r w:rsidRPr="003D6709">
        <w:t>Figure 3</w:t>
      </w:r>
      <w:r w:rsidRPr="003D6709">
        <w:rPr>
          <w:snapToGrid/>
        </w:rPr>
        <w:t xml:space="preserve"> </w:t>
      </w:r>
      <w:r w:rsidR="00F63700" w:rsidRPr="003D6709">
        <w:rPr>
          <w:snapToGrid/>
        </w:rPr>
        <w:t>presents the Kaplan-Meier plot of overall survival for the ASCEND trial at the interim analysis.</w:t>
      </w:r>
    </w:p>
    <w:p w:rsidR="00F63700" w:rsidRPr="003D6709" w:rsidRDefault="00F63700" w:rsidP="00A5275A">
      <w:pPr>
        <w:pStyle w:val="TableHeading"/>
        <w:widowControl w:val="0"/>
      </w:pPr>
      <w:bookmarkStart w:id="16" w:name="_Ref33453578"/>
      <w:r w:rsidRPr="003D6709">
        <w:lastRenderedPageBreak/>
        <w:t xml:space="preserve">Figure </w:t>
      </w:r>
      <w:r w:rsidR="003C41BB" w:rsidRPr="003D6709">
        <w:t>3</w:t>
      </w:r>
      <w:bookmarkEnd w:id="16"/>
      <w:r w:rsidRPr="003D6709">
        <w:t xml:space="preserve">: </w:t>
      </w:r>
      <w:r w:rsidR="004073AB" w:rsidRPr="003D6709">
        <w:t>Kaplan-Meier plot of o</w:t>
      </w:r>
      <w:r w:rsidRPr="003D6709">
        <w:t>verall survival for the ASCEND trial at the interim analysis</w:t>
      </w:r>
    </w:p>
    <w:p w:rsidR="00F63700" w:rsidRPr="003D6709" w:rsidRDefault="00F63700" w:rsidP="00A5275A">
      <w:pPr>
        <w:keepNext/>
        <w:widowControl w:val="0"/>
        <w:rPr>
          <w:color w:val="000000" w:themeColor="text1"/>
        </w:rPr>
      </w:pPr>
      <w:r w:rsidRPr="003D6709">
        <w:rPr>
          <w:noProof/>
        </w:rPr>
        <w:drawing>
          <wp:inline distT="0" distB="0" distL="0" distR="0" wp14:anchorId="4B30F2EB" wp14:editId="39B9D5AC">
            <wp:extent cx="5715000" cy="3922493"/>
            <wp:effectExtent l="0" t="0" r="0" b="1905"/>
            <wp:docPr id="9" name="Picture 3" title="Figure 3: Kaplan-Meier plot of overall survival for the ASCEND trial at the interim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16144" cy="3923278"/>
                    </a:xfrm>
                    <a:prstGeom prst="rect">
                      <a:avLst/>
                    </a:prstGeom>
                  </pic:spPr>
                </pic:pic>
              </a:graphicData>
            </a:graphic>
          </wp:inline>
        </w:drawing>
      </w:r>
    </w:p>
    <w:p w:rsidR="00F63700" w:rsidRPr="003D6709" w:rsidRDefault="00F63700" w:rsidP="00A5275A">
      <w:pPr>
        <w:pStyle w:val="TableFooter"/>
        <w:keepNext/>
        <w:spacing w:after="120"/>
      </w:pPr>
      <w:r w:rsidRPr="003D6709">
        <w:t>Source: Figure 2.5.5, 71 of the submission.</w:t>
      </w:r>
    </w:p>
    <w:p w:rsidR="00DA3167" w:rsidRPr="003D6709" w:rsidRDefault="00F63700" w:rsidP="00A5275A">
      <w:pPr>
        <w:pStyle w:val="TableFooter"/>
        <w:keepNext/>
        <w:spacing w:after="120"/>
      </w:pPr>
      <w:r w:rsidRPr="003D6709">
        <w:t>Abbreviations: CI, confidence interval; HR, hazard ratio.</w:t>
      </w:r>
    </w:p>
    <w:p w:rsidR="00505B5C" w:rsidRPr="003D6709" w:rsidRDefault="00505B5C" w:rsidP="00A5275A">
      <w:pPr>
        <w:pStyle w:val="TableFooter"/>
        <w:keepNext/>
        <w:spacing w:after="120"/>
      </w:pPr>
      <w:r w:rsidRPr="003D6709">
        <w:t>Arm A: Acalabrutinib; Arm B: Investigator’s choice of idelalisib plus rituximab or bendamustine plus rituximab.</w:t>
      </w:r>
    </w:p>
    <w:p w:rsidR="00D94B50" w:rsidRPr="003D6709" w:rsidRDefault="003C41BB" w:rsidP="00D94B50">
      <w:pPr>
        <w:pStyle w:val="ExecSumBodyText"/>
        <w:rPr>
          <w:color w:val="000000" w:themeColor="text1"/>
        </w:rPr>
      </w:pPr>
      <w:r w:rsidRPr="003D6709">
        <w:rPr>
          <w:color w:val="000000" w:themeColor="text1"/>
        </w:rPr>
        <w:t xml:space="preserve">Table 5 </w:t>
      </w:r>
      <w:r w:rsidR="00D94B50" w:rsidRPr="003D6709">
        <w:rPr>
          <w:color w:val="000000" w:themeColor="text1"/>
        </w:rPr>
        <w:t>presents the results for overall survival for the ASCEND trial at the interim analysis.</w:t>
      </w:r>
    </w:p>
    <w:p w:rsidR="00D94B50" w:rsidRPr="003D6709" w:rsidRDefault="00B1777E" w:rsidP="003C41BB">
      <w:pPr>
        <w:pStyle w:val="TableHeading"/>
        <w:rPr>
          <w:snapToGrid w:val="0"/>
        </w:rPr>
      </w:pPr>
      <w:bookmarkStart w:id="17" w:name="_Ref33453630"/>
      <w:r w:rsidRPr="003D6709">
        <w:rPr>
          <w:snapToGrid w:val="0"/>
        </w:rPr>
        <w:t xml:space="preserve">Table </w:t>
      </w:r>
      <w:r w:rsidR="003C41BB" w:rsidRPr="003D6709">
        <w:rPr>
          <w:snapToGrid w:val="0"/>
        </w:rPr>
        <w:t>5</w:t>
      </w:r>
      <w:bookmarkEnd w:id="17"/>
      <w:r w:rsidR="00D94B50" w:rsidRPr="003D6709">
        <w:rPr>
          <w:snapToGrid w:val="0"/>
        </w:rPr>
        <w:t>: Overall survival results for the ASCEND trial at the interim analysis</w:t>
      </w:r>
    </w:p>
    <w:tbl>
      <w:tblPr>
        <w:tblStyle w:val="Summarybox3"/>
        <w:tblW w:w="5000" w:type="pct"/>
        <w:tblCellMar>
          <w:left w:w="28" w:type="dxa"/>
          <w:right w:w="28" w:type="dxa"/>
        </w:tblCellMar>
        <w:tblLook w:val="04A0" w:firstRow="1" w:lastRow="0" w:firstColumn="1" w:lastColumn="0" w:noHBand="0" w:noVBand="1"/>
        <w:tblCaption w:val="Table 5: Overall survival results for the ASCEND trial at the interim analysis"/>
      </w:tblPr>
      <w:tblGrid>
        <w:gridCol w:w="4099"/>
        <w:gridCol w:w="2460"/>
        <w:gridCol w:w="2458"/>
      </w:tblGrid>
      <w:tr w:rsidR="00D94B50" w:rsidRPr="003D6709" w:rsidTr="003221CF">
        <w:trPr>
          <w:trHeight w:val="56"/>
          <w:tblHeader/>
        </w:trPr>
        <w:tc>
          <w:tcPr>
            <w:tcW w:w="2273" w:type="pct"/>
            <w:shd w:val="clear" w:color="auto" w:fill="FFFFFF"/>
            <w:vAlign w:val="center"/>
          </w:tcPr>
          <w:p w:rsidR="00D94B50" w:rsidRPr="003D6709" w:rsidRDefault="00D94B50" w:rsidP="00D35E6E">
            <w:pPr>
              <w:rPr>
                <w:rFonts w:ascii="Arial Narrow" w:hAnsi="Arial Narrow"/>
                <w:b/>
                <w:iCs/>
                <w:sz w:val="20"/>
                <w:szCs w:val="18"/>
              </w:rPr>
            </w:pPr>
            <w:r w:rsidRPr="003D6709">
              <w:rPr>
                <w:rFonts w:ascii="Arial Narrow" w:hAnsi="Arial Narrow"/>
                <w:b/>
                <w:iCs/>
                <w:sz w:val="20"/>
                <w:szCs w:val="18"/>
              </w:rPr>
              <w:t>Cohort</w:t>
            </w:r>
          </w:p>
        </w:tc>
        <w:tc>
          <w:tcPr>
            <w:tcW w:w="1364" w:type="pct"/>
            <w:shd w:val="clear" w:color="auto" w:fill="FFFFFF"/>
            <w:vAlign w:val="center"/>
          </w:tcPr>
          <w:p w:rsidR="00D94B50" w:rsidRPr="003D6709" w:rsidRDefault="00D94B50" w:rsidP="00D35E6E">
            <w:pPr>
              <w:jc w:val="center"/>
              <w:rPr>
                <w:rFonts w:ascii="Arial Narrow" w:hAnsi="Arial Narrow"/>
                <w:b/>
                <w:iCs/>
                <w:sz w:val="20"/>
                <w:szCs w:val="18"/>
              </w:rPr>
            </w:pPr>
            <w:r w:rsidRPr="003D6709">
              <w:rPr>
                <w:rFonts w:ascii="Arial Narrow" w:hAnsi="Arial Narrow"/>
                <w:b/>
                <w:iCs/>
                <w:sz w:val="20"/>
                <w:szCs w:val="18"/>
              </w:rPr>
              <w:t xml:space="preserve">ACAL </w:t>
            </w:r>
          </w:p>
          <w:p w:rsidR="00D94B50" w:rsidRPr="003D6709" w:rsidRDefault="00D94B50" w:rsidP="00D35E6E">
            <w:pPr>
              <w:jc w:val="center"/>
              <w:rPr>
                <w:rFonts w:ascii="Arial Narrow" w:hAnsi="Arial Narrow"/>
                <w:b/>
                <w:iCs/>
                <w:sz w:val="20"/>
                <w:szCs w:val="18"/>
              </w:rPr>
            </w:pPr>
            <w:r w:rsidRPr="003D6709">
              <w:rPr>
                <w:rFonts w:ascii="Arial Narrow" w:hAnsi="Arial Narrow"/>
                <w:b/>
                <w:iCs/>
                <w:sz w:val="20"/>
                <w:szCs w:val="18"/>
              </w:rPr>
              <w:t>(N=155)</w:t>
            </w:r>
          </w:p>
        </w:tc>
        <w:tc>
          <w:tcPr>
            <w:tcW w:w="1363" w:type="pct"/>
            <w:shd w:val="clear" w:color="auto" w:fill="FFFFFF"/>
            <w:vAlign w:val="center"/>
          </w:tcPr>
          <w:p w:rsidR="00D94B50" w:rsidRPr="003D6709" w:rsidRDefault="00D94B50" w:rsidP="00D35E6E">
            <w:pPr>
              <w:jc w:val="center"/>
              <w:rPr>
                <w:rFonts w:ascii="Arial Narrow" w:hAnsi="Arial Narrow"/>
                <w:b/>
                <w:iCs/>
                <w:sz w:val="20"/>
                <w:szCs w:val="18"/>
              </w:rPr>
            </w:pPr>
            <w:r w:rsidRPr="003D6709">
              <w:rPr>
                <w:rFonts w:ascii="Arial Narrow" w:hAnsi="Arial Narrow"/>
                <w:b/>
                <w:iCs/>
                <w:sz w:val="20"/>
                <w:szCs w:val="18"/>
              </w:rPr>
              <w:t>IDEL/BEN + RIT</w:t>
            </w:r>
          </w:p>
          <w:p w:rsidR="00D94B50" w:rsidRPr="003D6709" w:rsidRDefault="00D94B50" w:rsidP="00D35E6E">
            <w:pPr>
              <w:jc w:val="center"/>
              <w:rPr>
                <w:rFonts w:ascii="Arial Narrow" w:hAnsi="Arial Narrow"/>
                <w:b/>
                <w:iCs/>
                <w:sz w:val="20"/>
                <w:szCs w:val="18"/>
              </w:rPr>
            </w:pPr>
            <w:r w:rsidRPr="003D6709">
              <w:rPr>
                <w:rFonts w:ascii="Arial Narrow" w:hAnsi="Arial Narrow"/>
                <w:b/>
                <w:iCs/>
                <w:sz w:val="20"/>
                <w:szCs w:val="18"/>
              </w:rPr>
              <w:t>(N=155)</w:t>
            </w:r>
          </w:p>
        </w:tc>
      </w:tr>
      <w:tr w:rsidR="00D94B50" w:rsidRPr="003D6709" w:rsidTr="00462D53">
        <w:trPr>
          <w:trHeight w:val="49"/>
        </w:trPr>
        <w:tc>
          <w:tcPr>
            <w:tcW w:w="2273" w:type="pct"/>
            <w:shd w:val="clear" w:color="auto" w:fill="FFFFFF"/>
            <w:vAlign w:val="center"/>
          </w:tcPr>
          <w:p w:rsidR="00D94B50" w:rsidRPr="003D6709" w:rsidRDefault="00D94B50" w:rsidP="00D35E6E">
            <w:pPr>
              <w:jc w:val="left"/>
              <w:rPr>
                <w:rFonts w:ascii="Arial Narrow" w:hAnsi="Arial Narrow"/>
                <w:iCs/>
                <w:sz w:val="20"/>
              </w:rPr>
            </w:pPr>
            <w:r w:rsidRPr="003D6709">
              <w:rPr>
                <w:rFonts w:ascii="Arial Narrow" w:hAnsi="Arial Narrow"/>
                <w:iCs/>
                <w:sz w:val="20"/>
              </w:rPr>
              <w:t>Median duration of follow-up, months (range)</w:t>
            </w:r>
          </w:p>
        </w:tc>
        <w:tc>
          <w:tcPr>
            <w:tcW w:w="1364" w:type="pct"/>
            <w:shd w:val="clear" w:color="auto" w:fill="FFFFFF"/>
            <w:vAlign w:val="center"/>
          </w:tcPr>
          <w:p w:rsidR="00D94B50" w:rsidRPr="003D6709" w:rsidRDefault="00D94B50" w:rsidP="00D35E6E">
            <w:pPr>
              <w:jc w:val="center"/>
              <w:rPr>
                <w:rFonts w:ascii="Arial Narrow" w:hAnsi="Arial Narrow"/>
                <w:iCs/>
                <w:sz w:val="20"/>
              </w:rPr>
            </w:pPr>
            <w:r w:rsidRPr="003D6709">
              <w:rPr>
                <w:rFonts w:ascii="Arial Narrow" w:hAnsi="Arial Narrow"/>
                <w:iCs/>
                <w:sz w:val="20"/>
              </w:rPr>
              <w:t>16.10 (0.53, 22.41)</w:t>
            </w:r>
          </w:p>
        </w:tc>
        <w:tc>
          <w:tcPr>
            <w:tcW w:w="1363" w:type="pct"/>
            <w:shd w:val="clear" w:color="auto" w:fill="FFFFFF"/>
            <w:vAlign w:val="center"/>
          </w:tcPr>
          <w:p w:rsidR="00D94B50" w:rsidRPr="003D6709" w:rsidRDefault="00D94B50" w:rsidP="00D35E6E">
            <w:pPr>
              <w:jc w:val="center"/>
              <w:rPr>
                <w:rFonts w:ascii="Arial Narrow" w:hAnsi="Arial Narrow"/>
                <w:iCs/>
                <w:sz w:val="20"/>
              </w:rPr>
            </w:pPr>
            <w:r w:rsidRPr="003D6709">
              <w:rPr>
                <w:rFonts w:ascii="Arial Narrow" w:hAnsi="Arial Narrow"/>
                <w:iCs/>
                <w:sz w:val="20"/>
              </w:rPr>
              <w:t>15.75 (0.03, 22.05)</w:t>
            </w:r>
          </w:p>
        </w:tc>
      </w:tr>
      <w:tr w:rsidR="00D94B50" w:rsidRPr="003D6709" w:rsidTr="00462D53">
        <w:tc>
          <w:tcPr>
            <w:tcW w:w="2273" w:type="pct"/>
            <w:vAlign w:val="center"/>
          </w:tcPr>
          <w:p w:rsidR="00D94B50" w:rsidRPr="003D6709" w:rsidRDefault="00D94B50" w:rsidP="00D35E6E">
            <w:pPr>
              <w:jc w:val="left"/>
              <w:rPr>
                <w:rFonts w:ascii="Arial Narrow" w:hAnsi="Arial Narrow"/>
                <w:snapToGrid w:val="0"/>
                <w:sz w:val="20"/>
              </w:rPr>
            </w:pPr>
            <w:r w:rsidRPr="003D6709">
              <w:rPr>
                <w:rFonts w:ascii="Arial Narrow" w:hAnsi="Arial Narrow"/>
                <w:snapToGrid w:val="0"/>
                <w:sz w:val="20"/>
              </w:rPr>
              <w:t>Death, n (%)</w:t>
            </w:r>
          </w:p>
        </w:tc>
        <w:tc>
          <w:tcPr>
            <w:tcW w:w="1364" w:type="pct"/>
            <w:shd w:val="clear" w:color="auto" w:fill="FFFFFF"/>
            <w:vAlign w:val="center"/>
          </w:tcPr>
          <w:p w:rsidR="00D94B50" w:rsidRPr="003D6709" w:rsidRDefault="00D94B50" w:rsidP="00D35E6E">
            <w:pPr>
              <w:jc w:val="center"/>
              <w:rPr>
                <w:rFonts w:ascii="Arial Narrow" w:hAnsi="Arial Narrow"/>
                <w:iCs/>
                <w:sz w:val="20"/>
              </w:rPr>
            </w:pPr>
            <w:r w:rsidRPr="003D6709">
              <w:rPr>
                <w:rFonts w:ascii="Arial Narrow" w:hAnsi="Arial Narrow"/>
                <w:iCs/>
                <w:sz w:val="20"/>
              </w:rPr>
              <w:t>15 (9.7)</w:t>
            </w:r>
          </w:p>
        </w:tc>
        <w:tc>
          <w:tcPr>
            <w:tcW w:w="1363" w:type="pct"/>
            <w:shd w:val="clear" w:color="auto" w:fill="FFFFFF"/>
            <w:vAlign w:val="center"/>
          </w:tcPr>
          <w:p w:rsidR="00D94B50" w:rsidRPr="003D6709" w:rsidRDefault="00D94B50" w:rsidP="00D35E6E">
            <w:pPr>
              <w:jc w:val="center"/>
              <w:rPr>
                <w:rFonts w:ascii="Arial Narrow" w:hAnsi="Arial Narrow"/>
                <w:iCs/>
                <w:sz w:val="20"/>
              </w:rPr>
            </w:pPr>
            <w:r w:rsidRPr="003D6709">
              <w:rPr>
                <w:rFonts w:ascii="Arial Narrow" w:hAnsi="Arial Narrow"/>
                <w:iCs/>
                <w:sz w:val="20"/>
              </w:rPr>
              <w:t>18 (11.6)</w:t>
            </w:r>
          </w:p>
        </w:tc>
      </w:tr>
      <w:tr w:rsidR="00D94B50" w:rsidRPr="003D6709" w:rsidTr="00462D53">
        <w:tc>
          <w:tcPr>
            <w:tcW w:w="2273" w:type="pct"/>
            <w:vAlign w:val="center"/>
          </w:tcPr>
          <w:p w:rsidR="00D94B50" w:rsidRPr="003D6709" w:rsidRDefault="00D94B50" w:rsidP="00D35E6E">
            <w:pPr>
              <w:jc w:val="left"/>
              <w:rPr>
                <w:rFonts w:ascii="Arial Narrow" w:hAnsi="Arial Narrow"/>
                <w:iCs/>
                <w:sz w:val="20"/>
              </w:rPr>
            </w:pPr>
            <w:r w:rsidRPr="003D6709">
              <w:rPr>
                <w:rFonts w:ascii="Arial Narrow" w:hAnsi="Arial Narrow"/>
                <w:snapToGrid w:val="0"/>
                <w:sz w:val="20"/>
              </w:rPr>
              <w:t>Median OS, months (95% CI)</w:t>
            </w:r>
          </w:p>
        </w:tc>
        <w:tc>
          <w:tcPr>
            <w:tcW w:w="1364" w:type="pct"/>
            <w:shd w:val="clear" w:color="auto" w:fill="FFFFFF"/>
            <w:vAlign w:val="center"/>
          </w:tcPr>
          <w:p w:rsidR="00D94B50" w:rsidRPr="003D6709" w:rsidRDefault="00D94B50" w:rsidP="00D35E6E">
            <w:pPr>
              <w:jc w:val="center"/>
              <w:rPr>
                <w:rFonts w:ascii="Arial Narrow" w:hAnsi="Arial Narrow"/>
                <w:iCs/>
                <w:sz w:val="20"/>
                <w:szCs w:val="18"/>
              </w:rPr>
            </w:pPr>
            <w:r w:rsidRPr="003D6709">
              <w:rPr>
                <w:rFonts w:ascii="Arial Narrow" w:hAnsi="Arial Narrow"/>
                <w:iCs/>
                <w:sz w:val="20"/>
                <w:szCs w:val="18"/>
              </w:rPr>
              <w:t>Not reached (NE)</w:t>
            </w:r>
          </w:p>
        </w:tc>
        <w:tc>
          <w:tcPr>
            <w:tcW w:w="1363" w:type="pct"/>
            <w:shd w:val="clear" w:color="auto" w:fill="FFFFFF"/>
            <w:vAlign w:val="center"/>
          </w:tcPr>
          <w:p w:rsidR="00D94B50" w:rsidRPr="003D6709" w:rsidRDefault="00D94B50" w:rsidP="00D35E6E">
            <w:pPr>
              <w:jc w:val="center"/>
              <w:rPr>
                <w:rFonts w:ascii="Arial Narrow" w:hAnsi="Arial Narrow"/>
                <w:iCs/>
                <w:sz w:val="20"/>
                <w:szCs w:val="18"/>
              </w:rPr>
            </w:pPr>
            <w:r w:rsidRPr="003D6709">
              <w:rPr>
                <w:rFonts w:ascii="Arial Narrow" w:hAnsi="Arial Narrow"/>
                <w:iCs/>
                <w:sz w:val="20"/>
              </w:rPr>
              <w:t>Not reached (NE)</w:t>
            </w:r>
          </w:p>
        </w:tc>
      </w:tr>
      <w:tr w:rsidR="00D94B50" w:rsidRPr="003D6709" w:rsidTr="00462D53">
        <w:trPr>
          <w:trHeight w:val="157"/>
        </w:trPr>
        <w:tc>
          <w:tcPr>
            <w:tcW w:w="2273" w:type="pct"/>
          </w:tcPr>
          <w:p w:rsidR="00D94B50" w:rsidRPr="003D6709" w:rsidRDefault="00D94B50" w:rsidP="00D35E6E">
            <w:pPr>
              <w:widowControl w:val="0"/>
              <w:jc w:val="left"/>
              <w:rPr>
                <w:rFonts w:ascii="Arial Narrow" w:hAnsi="Arial Narrow"/>
                <w:snapToGrid w:val="0"/>
                <w:sz w:val="20"/>
              </w:rPr>
            </w:pPr>
            <w:r w:rsidRPr="003D6709">
              <w:rPr>
                <w:rFonts w:ascii="Arial Narrow" w:hAnsi="Arial Narrow"/>
                <w:snapToGrid w:val="0"/>
                <w:sz w:val="20"/>
              </w:rPr>
              <w:t>Within trial HR (95% CI)</w:t>
            </w:r>
          </w:p>
        </w:tc>
        <w:tc>
          <w:tcPr>
            <w:tcW w:w="2727" w:type="pct"/>
            <w:gridSpan w:val="2"/>
            <w:shd w:val="clear" w:color="auto" w:fill="FFFFFF"/>
          </w:tcPr>
          <w:p w:rsidR="00D94B50" w:rsidRPr="003D6709" w:rsidRDefault="00D94B50" w:rsidP="00D35E6E">
            <w:pPr>
              <w:jc w:val="center"/>
              <w:rPr>
                <w:rFonts w:ascii="Arial Narrow" w:hAnsi="Arial Narrow"/>
                <w:iCs/>
                <w:sz w:val="20"/>
                <w:szCs w:val="18"/>
              </w:rPr>
            </w:pPr>
            <w:r w:rsidRPr="003D6709">
              <w:rPr>
                <w:rFonts w:ascii="Arial Narrow" w:hAnsi="Arial Narrow"/>
                <w:iCs/>
                <w:sz w:val="20"/>
                <w:szCs w:val="18"/>
              </w:rPr>
              <w:t>0.84 (0.42, 1.66)</w:t>
            </w:r>
          </w:p>
        </w:tc>
      </w:tr>
      <w:tr w:rsidR="00D94B50" w:rsidRPr="003D6709" w:rsidTr="00462D53">
        <w:tc>
          <w:tcPr>
            <w:tcW w:w="2273" w:type="pct"/>
          </w:tcPr>
          <w:p w:rsidR="00D94B50" w:rsidRPr="003D6709" w:rsidRDefault="00D94B50" w:rsidP="00D35E6E">
            <w:pPr>
              <w:widowControl w:val="0"/>
              <w:jc w:val="left"/>
              <w:rPr>
                <w:rFonts w:ascii="Arial Narrow" w:hAnsi="Arial Narrow"/>
                <w:snapToGrid w:val="0"/>
                <w:sz w:val="20"/>
              </w:rPr>
            </w:pPr>
            <w:r w:rsidRPr="003D6709">
              <w:rPr>
                <w:rFonts w:ascii="Arial Narrow" w:hAnsi="Arial Narrow"/>
                <w:snapToGrid w:val="0"/>
                <w:sz w:val="20"/>
              </w:rPr>
              <w:t>KM estimate of OS</w:t>
            </w:r>
          </w:p>
          <w:p w:rsidR="00D94B50" w:rsidRPr="003D6709" w:rsidRDefault="00D94B50" w:rsidP="00D35E6E">
            <w:pPr>
              <w:widowControl w:val="0"/>
              <w:jc w:val="left"/>
              <w:rPr>
                <w:rFonts w:ascii="Arial Narrow" w:hAnsi="Arial Narrow"/>
                <w:snapToGrid w:val="0"/>
                <w:sz w:val="20"/>
              </w:rPr>
            </w:pPr>
            <w:r w:rsidRPr="003D6709">
              <w:rPr>
                <w:rFonts w:ascii="Arial Narrow" w:hAnsi="Arial Narrow"/>
                <w:snapToGrid w:val="0"/>
                <w:sz w:val="20"/>
              </w:rPr>
              <w:t>- 6 months, % (95% CI)</w:t>
            </w:r>
          </w:p>
          <w:p w:rsidR="00D94B50" w:rsidRPr="003D6709" w:rsidRDefault="00D94B50" w:rsidP="00D35E6E">
            <w:pPr>
              <w:widowControl w:val="0"/>
              <w:jc w:val="left"/>
              <w:rPr>
                <w:rFonts w:ascii="Arial Narrow" w:hAnsi="Arial Narrow"/>
                <w:snapToGrid w:val="0"/>
                <w:sz w:val="20"/>
              </w:rPr>
            </w:pPr>
            <w:r w:rsidRPr="003D6709">
              <w:rPr>
                <w:rFonts w:ascii="Arial Narrow" w:hAnsi="Arial Narrow"/>
                <w:snapToGrid w:val="0"/>
                <w:sz w:val="20"/>
              </w:rPr>
              <w:t>- 12 months, % (95% CI)</w:t>
            </w:r>
          </w:p>
          <w:p w:rsidR="00D94B50" w:rsidRPr="003D6709" w:rsidRDefault="00D94B50" w:rsidP="00D35E6E">
            <w:pPr>
              <w:jc w:val="left"/>
              <w:rPr>
                <w:rFonts w:ascii="Arial Narrow" w:hAnsi="Arial Narrow"/>
                <w:snapToGrid w:val="0"/>
                <w:sz w:val="20"/>
              </w:rPr>
            </w:pPr>
            <w:r w:rsidRPr="003D6709">
              <w:rPr>
                <w:rFonts w:ascii="Arial Narrow" w:hAnsi="Arial Narrow"/>
                <w:snapToGrid w:val="0"/>
                <w:sz w:val="20"/>
              </w:rPr>
              <w:t>- 18 months, % (95% CI)</w:t>
            </w:r>
          </w:p>
          <w:p w:rsidR="00D94B50" w:rsidRPr="003D6709" w:rsidRDefault="00D94B50" w:rsidP="00D35E6E">
            <w:pPr>
              <w:jc w:val="left"/>
              <w:rPr>
                <w:rFonts w:ascii="Arial Narrow" w:hAnsi="Arial Narrow"/>
                <w:snapToGrid w:val="0"/>
                <w:sz w:val="20"/>
              </w:rPr>
            </w:pPr>
            <w:r w:rsidRPr="003D6709">
              <w:rPr>
                <w:rFonts w:ascii="Arial Narrow" w:hAnsi="Arial Narrow"/>
                <w:snapToGrid w:val="0"/>
                <w:sz w:val="20"/>
              </w:rPr>
              <w:t>- 21 months, % (95% CI)</w:t>
            </w:r>
          </w:p>
        </w:tc>
        <w:tc>
          <w:tcPr>
            <w:tcW w:w="1364" w:type="pct"/>
            <w:shd w:val="clear" w:color="auto" w:fill="FFFFFF"/>
          </w:tcPr>
          <w:p w:rsidR="00D94B50" w:rsidRPr="003D6709" w:rsidRDefault="00D94B50" w:rsidP="00D35E6E">
            <w:pPr>
              <w:jc w:val="center"/>
              <w:rPr>
                <w:rFonts w:ascii="Arial Narrow" w:hAnsi="Arial Narrow"/>
                <w:iCs/>
                <w:sz w:val="20"/>
              </w:rPr>
            </w:pPr>
          </w:p>
          <w:p w:rsidR="00D94B50" w:rsidRPr="003D6709" w:rsidRDefault="00D94B50" w:rsidP="00D35E6E">
            <w:pPr>
              <w:jc w:val="center"/>
              <w:rPr>
                <w:rFonts w:ascii="Arial Narrow" w:hAnsi="Arial Narrow"/>
                <w:iCs/>
                <w:sz w:val="20"/>
              </w:rPr>
            </w:pPr>
            <w:r w:rsidRPr="003D6709">
              <w:rPr>
                <w:rFonts w:ascii="Arial Narrow" w:hAnsi="Arial Narrow"/>
                <w:iCs/>
                <w:sz w:val="20"/>
              </w:rPr>
              <w:t>98.1 (94.1, 99.4)</w:t>
            </w:r>
          </w:p>
          <w:p w:rsidR="00D94B50" w:rsidRPr="003D6709" w:rsidRDefault="00D94B50" w:rsidP="00D35E6E">
            <w:pPr>
              <w:jc w:val="center"/>
              <w:rPr>
                <w:rFonts w:ascii="Arial Narrow" w:hAnsi="Arial Narrow"/>
                <w:iCs/>
                <w:sz w:val="20"/>
              </w:rPr>
            </w:pPr>
            <w:r w:rsidRPr="003D6709">
              <w:rPr>
                <w:rFonts w:ascii="Arial Narrow" w:hAnsi="Arial Narrow"/>
                <w:iCs/>
                <w:sz w:val="20"/>
              </w:rPr>
              <w:t>94.1 (89.0, 96.9)</w:t>
            </w:r>
          </w:p>
          <w:p w:rsidR="00D94B50" w:rsidRPr="003D6709" w:rsidRDefault="00D94B50" w:rsidP="00D35E6E">
            <w:pPr>
              <w:jc w:val="center"/>
              <w:rPr>
                <w:rFonts w:ascii="Arial Narrow" w:hAnsi="Arial Narrow"/>
                <w:iCs/>
                <w:sz w:val="20"/>
              </w:rPr>
            </w:pPr>
            <w:r w:rsidRPr="003D6709">
              <w:rPr>
                <w:rFonts w:ascii="Arial Narrow" w:hAnsi="Arial Narrow"/>
                <w:iCs/>
                <w:sz w:val="20"/>
              </w:rPr>
              <w:t>89.7 (83.4, 93.7)</w:t>
            </w:r>
          </w:p>
          <w:p w:rsidR="00D94B50" w:rsidRPr="003D6709" w:rsidRDefault="00D94B50" w:rsidP="00D35E6E">
            <w:pPr>
              <w:jc w:val="center"/>
              <w:rPr>
                <w:rFonts w:ascii="Arial Narrow" w:hAnsi="Arial Narrow"/>
                <w:iCs/>
                <w:sz w:val="20"/>
              </w:rPr>
            </w:pPr>
            <w:r w:rsidRPr="003D6709">
              <w:rPr>
                <w:rFonts w:ascii="Arial Narrow" w:hAnsi="Arial Narrow"/>
                <w:iCs/>
                <w:sz w:val="20"/>
              </w:rPr>
              <w:t>89.7 (83.4, 93.7)</w:t>
            </w:r>
          </w:p>
        </w:tc>
        <w:tc>
          <w:tcPr>
            <w:tcW w:w="1363" w:type="pct"/>
            <w:shd w:val="clear" w:color="auto" w:fill="FFFFFF"/>
          </w:tcPr>
          <w:p w:rsidR="00D94B50" w:rsidRPr="003D6709" w:rsidRDefault="00D94B50" w:rsidP="00D35E6E">
            <w:pPr>
              <w:jc w:val="center"/>
              <w:rPr>
                <w:rFonts w:ascii="Arial Narrow" w:hAnsi="Arial Narrow"/>
                <w:iCs/>
                <w:sz w:val="20"/>
                <w:szCs w:val="18"/>
              </w:rPr>
            </w:pPr>
          </w:p>
          <w:p w:rsidR="00D94B50" w:rsidRPr="003D6709" w:rsidRDefault="00D94B50" w:rsidP="00D35E6E">
            <w:pPr>
              <w:jc w:val="center"/>
              <w:rPr>
                <w:rFonts w:ascii="Arial Narrow" w:hAnsi="Arial Narrow"/>
                <w:iCs/>
                <w:sz w:val="20"/>
                <w:szCs w:val="18"/>
              </w:rPr>
            </w:pPr>
            <w:r w:rsidRPr="003D6709">
              <w:rPr>
                <w:rFonts w:ascii="Arial Narrow" w:hAnsi="Arial Narrow"/>
                <w:iCs/>
                <w:sz w:val="20"/>
                <w:szCs w:val="18"/>
              </w:rPr>
              <w:t>96.7 (92.3, 98.6)</w:t>
            </w:r>
          </w:p>
          <w:p w:rsidR="00D94B50" w:rsidRPr="003D6709" w:rsidRDefault="00D94B50" w:rsidP="00D35E6E">
            <w:pPr>
              <w:jc w:val="center"/>
              <w:rPr>
                <w:rFonts w:ascii="Arial Narrow" w:hAnsi="Arial Narrow"/>
                <w:iCs/>
                <w:sz w:val="20"/>
                <w:szCs w:val="18"/>
              </w:rPr>
            </w:pPr>
            <w:r w:rsidRPr="003D6709">
              <w:rPr>
                <w:rFonts w:ascii="Arial Narrow" w:hAnsi="Arial Narrow"/>
                <w:iCs/>
                <w:sz w:val="20"/>
                <w:szCs w:val="18"/>
              </w:rPr>
              <w:t>90.6 (84.6, 94.3)</w:t>
            </w:r>
          </w:p>
          <w:p w:rsidR="00D94B50" w:rsidRPr="003D6709" w:rsidRDefault="00D94B50" w:rsidP="00D35E6E">
            <w:pPr>
              <w:jc w:val="center"/>
              <w:rPr>
                <w:rFonts w:ascii="Arial Narrow" w:hAnsi="Arial Narrow"/>
                <w:iCs/>
                <w:sz w:val="20"/>
                <w:szCs w:val="18"/>
              </w:rPr>
            </w:pPr>
            <w:r w:rsidRPr="003D6709">
              <w:rPr>
                <w:rFonts w:ascii="Arial Narrow" w:hAnsi="Arial Narrow"/>
                <w:iCs/>
                <w:sz w:val="20"/>
                <w:szCs w:val="18"/>
              </w:rPr>
              <w:t>88.1 (81.4, 92.5)</w:t>
            </w:r>
          </w:p>
          <w:p w:rsidR="00D94B50" w:rsidRPr="003D6709" w:rsidRDefault="00D94B50" w:rsidP="00D35E6E">
            <w:pPr>
              <w:jc w:val="center"/>
              <w:rPr>
                <w:rFonts w:ascii="Arial Narrow" w:hAnsi="Arial Narrow"/>
                <w:iCs/>
                <w:sz w:val="20"/>
                <w:szCs w:val="18"/>
              </w:rPr>
            </w:pPr>
            <w:r w:rsidRPr="003D6709">
              <w:rPr>
                <w:rFonts w:ascii="Arial Narrow" w:hAnsi="Arial Narrow"/>
                <w:iCs/>
                <w:sz w:val="20"/>
                <w:szCs w:val="18"/>
              </w:rPr>
              <w:t>85.5 (76.4, 91.3)</w:t>
            </w:r>
          </w:p>
        </w:tc>
      </w:tr>
    </w:tbl>
    <w:p w:rsidR="00D94B50" w:rsidRPr="003D6709" w:rsidRDefault="00D94B50" w:rsidP="00D94B50">
      <w:pPr>
        <w:pStyle w:val="TableFooter"/>
        <w:spacing w:after="120"/>
      </w:pPr>
      <w:r w:rsidRPr="003D6709">
        <w:t>Source: Table 25, p.131 of the ASCEND clinical study report.</w:t>
      </w:r>
    </w:p>
    <w:p w:rsidR="00D94B50" w:rsidRPr="003D6709" w:rsidRDefault="00D94B50" w:rsidP="00D94B50">
      <w:pPr>
        <w:pStyle w:val="TableFooter"/>
        <w:spacing w:after="120"/>
      </w:pPr>
      <w:r w:rsidRPr="003D6709">
        <w:t>Abbreviations: ACAL, acalabrutinib; BEN, bendamustine; CI, confidence interval; HR, hazard ratio; IDEL, idelalisib; KM, Kaplan-Meier; NE, not estimable; OS, overall</w:t>
      </w:r>
      <w:r w:rsidR="00B1777E" w:rsidRPr="003D6709">
        <w:t xml:space="preserve"> survival</w:t>
      </w:r>
      <w:r w:rsidRPr="003D6709">
        <w:t>; RITU, rituximab.</w:t>
      </w:r>
    </w:p>
    <w:p w:rsidR="00F63700" w:rsidRPr="003D6709" w:rsidRDefault="00F63700" w:rsidP="007F528F">
      <w:pPr>
        <w:pStyle w:val="ExecSumBodyText"/>
        <w:keepLines/>
      </w:pPr>
      <w:r w:rsidRPr="003D6709">
        <w:t xml:space="preserve">At a median duration of follow-up of 16 months, median overall survival was not reached </w:t>
      </w:r>
      <w:r w:rsidR="00B1777E" w:rsidRPr="003D6709">
        <w:t>for</w:t>
      </w:r>
      <w:r w:rsidRPr="003D6709">
        <w:t xml:space="preserve"> acalabrutinib or idelalisib/</w:t>
      </w:r>
      <w:r w:rsidR="00B1777E" w:rsidRPr="003D6709">
        <w:t>bendamustine plus rituximab, and t</w:t>
      </w:r>
      <w:r w:rsidRPr="003D6709">
        <w:t xml:space="preserve">here was no statistically significant difference between the treatment arms. Low numbers of events in each arm </w:t>
      </w:r>
      <w:r w:rsidR="00B1777E" w:rsidRPr="003D6709">
        <w:t>indicate</w:t>
      </w:r>
      <w:r w:rsidRPr="003D6709">
        <w:t xml:space="preserve"> that the overall survival results are immature.</w:t>
      </w:r>
    </w:p>
    <w:p w:rsidR="00F63700" w:rsidRPr="003D6709" w:rsidRDefault="00841D44" w:rsidP="00F63700">
      <w:pPr>
        <w:pStyle w:val="ExecSumBodyText"/>
      </w:pPr>
      <w:r w:rsidRPr="003D6709">
        <w:lastRenderedPageBreak/>
        <w:t xml:space="preserve">There were no statistically significant differences between treatment arms for the change from baseline to Week 24 or 48 in the FACIT-Fatigue global fatigue score, fatigue symptom score, or fatigue impact score. </w:t>
      </w:r>
    </w:p>
    <w:p w:rsidR="00F63700" w:rsidRPr="003D6709" w:rsidRDefault="00841D44" w:rsidP="00274CCC">
      <w:pPr>
        <w:pStyle w:val="ExecSumBodyText"/>
      </w:pPr>
      <w:r w:rsidRPr="003D6709">
        <w:t xml:space="preserve">There were no statistically significant differences between treatment arms for the change from baseline to Week 48 for any of the EORTC QLQ-C30 domain scores. Statistically significant differences </w:t>
      </w:r>
      <w:r w:rsidR="00274CCC" w:rsidRPr="003D6709">
        <w:t xml:space="preserve">favouring the idelalisib/bendamustine plus rituximab arm for the change from baseline to Week 24 were noted in the </w:t>
      </w:r>
      <w:r w:rsidR="00F63700" w:rsidRPr="003D6709">
        <w:t>physical functioning</w:t>
      </w:r>
      <w:r w:rsidR="00274CCC" w:rsidRPr="003D6709">
        <w:t xml:space="preserve">, </w:t>
      </w:r>
      <w:r w:rsidR="00F63700" w:rsidRPr="003D6709">
        <w:t>emotional functioning</w:t>
      </w:r>
      <w:r w:rsidR="00274CCC" w:rsidRPr="003D6709">
        <w:t xml:space="preserve">, </w:t>
      </w:r>
      <w:r w:rsidR="00F63700" w:rsidRPr="003D6709">
        <w:t xml:space="preserve">cognitive functioning and pain </w:t>
      </w:r>
      <w:r w:rsidR="00274CCC" w:rsidRPr="003D6709">
        <w:t>domains.</w:t>
      </w:r>
    </w:p>
    <w:p w:rsidR="00F63700" w:rsidRPr="003D6709" w:rsidRDefault="00841D44" w:rsidP="004C7D8F">
      <w:pPr>
        <w:pStyle w:val="ExecSumBodyText"/>
      </w:pPr>
      <w:r w:rsidRPr="003D6709">
        <w:t>B</w:t>
      </w:r>
      <w:r w:rsidR="00F63700" w:rsidRPr="003D6709">
        <w:t>oth treatment arms showed small improvements (&lt;</w:t>
      </w:r>
      <w:r w:rsidR="005929CF" w:rsidRPr="003D6709">
        <w:t xml:space="preserve"> </w:t>
      </w:r>
      <w:r w:rsidR="00F63700" w:rsidRPr="003D6709">
        <w:t xml:space="preserve">3 points) </w:t>
      </w:r>
      <w:r w:rsidR="00274CCC" w:rsidRPr="003D6709">
        <w:t xml:space="preserve">in </w:t>
      </w:r>
      <w:r w:rsidR="00F63700" w:rsidRPr="003D6709">
        <w:t xml:space="preserve">EQ-5D visual analogue scale scores, </w:t>
      </w:r>
      <w:r w:rsidR="00274CCC" w:rsidRPr="003D6709">
        <w:t>although th</w:t>
      </w:r>
      <w:r w:rsidR="002838C4" w:rsidRPr="003D6709">
        <w:t xml:space="preserve">ere </w:t>
      </w:r>
      <w:r w:rsidR="00AC55D3" w:rsidRPr="003D6709">
        <w:t>were no statistically significant differences</w:t>
      </w:r>
      <w:r w:rsidR="00F63700" w:rsidRPr="003D6709">
        <w:t>.</w:t>
      </w:r>
      <w:r w:rsidR="00CD64AA" w:rsidRPr="003D6709">
        <w:t xml:space="preserve"> Results for the</w:t>
      </w:r>
      <w:r w:rsidRPr="003D6709">
        <w:t xml:space="preserve"> change from baseline in</w:t>
      </w:r>
      <w:r w:rsidR="00CD64AA" w:rsidRPr="003D6709">
        <w:t xml:space="preserve"> EQ-5D-5L overall score</w:t>
      </w:r>
      <w:r w:rsidRPr="003D6709">
        <w:t>s</w:t>
      </w:r>
      <w:r w:rsidR="00CD64AA" w:rsidRPr="003D6709">
        <w:t xml:space="preserve"> were not available.</w:t>
      </w:r>
    </w:p>
    <w:p w:rsidR="00F63700" w:rsidRPr="003D6709" w:rsidRDefault="00B33AA4" w:rsidP="00623106">
      <w:pPr>
        <w:pStyle w:val="4-SubsectSubhead"/>
      </w:pPr>
      <w:bookmarkStart w:id="18" w:name="_Toc30588521"/>
      <w:r w:rsidRPr="003D6709">
        <w:t>Matching adjusted indirect comparisons</w:t>
      </w:r>
      <w:r w:rsidR="00B65E74" w:rsidRPr="003D6709">
        <w:t xml:space="preserve"> (MAIC)</w:t>
      </w:r>
      <w:bookmarkEnd w:id="18"/>
    </w:p>
    <w:p w:rsidR="00623106" w:rsidRPr="003D6709" w:rsidRDefault="00623106" w:rsidP="00B23E22">
      <w:pPr>
        <w:pStyle w:val="ExecSumBodyText"/>
        <w:rPr>
          <w:color w:val="0066FF"/>
        </w:rPr>
      </w:pPr>
      <w:r w:rsidRPr="003D6709">
        <w:t xml:space="preserve">The submission </w:t>
      </w:r>
      <w:r w:rsidR="00AC55D3" w:rsidRPr="003D6709">
        <w:t>presented the results of</w:t>
      </w:r>
      <w:r w:rsidRPr="003D6709">
        <w:t xml:space="preserve"> two unanchored </w:t>
      </w:r>
      <w:r w:rsidR="00611844" w:rsidRPr="003D6709">
        <w:t>MAICs</w:t>
      </w:r>
      <w:r w:rsidRPr="003D6709">
        <w:t>:</w:t>
      </w:r>
    </w:p>
    <w:p w:rsidR="00623106" w:rsidRPr="003D6709" w:rsidRDefault="00623106" w:rsidP="00AD6416">
      <w:pPr>
        <w:pStyle w:val="ListParagraph"/>
        <w:numPr>
          <w:ilvl w:val="0"/>
          <w:numId w:val="13"/>
        </w:numPr>
      </w:pPr>
      <w:r w:rsidRPr="003D6709">
        <w:t xml:space="preserve">A comparison of acalabrutinib versus ibrutinib based on individual patient data from the ASCEND trial and published </w:t>
      </w:r>
      <w:r w:rsidR="00E51DF6" w:rsidRPr="003D6709">
        <w:t xml:space="preserve">data </w:t>
      </w:r>
      <w:r w:rsidRPr="003D6709">
        <w:t>for the RESONATE trial;</w:t>
      </w:r>
    </w:p>
    <w:p w:rsidR="00623106" w:rsidRPr="003D6709" w:rsidRDefault="00623106" w:rsidP="00AD6416">
      <w:pPr>
        <w:pStyle w:val="ListParagraph"/>
        <w:numPr>
          <w:ilvl w:val="0"/>
          <w:numId w:val="13"/>
        </w:numPr>
        <w:spacing w:after="120"/>
      </w:pPr>
      <w:r w:rsidRPr="003D6709">
        <w:t xml:space="preserve">A comparison of acalabrutinib versus venetoclax plus rituximab based on individual patient data from the ASCEND trial and published </w:t>
      </w:r>
      <w:r w:rsidR="00E51DF6" w:rsidRPr="003D6709">
        <w:t xml:space="preserve">data </w:t>
      </w:r>
      <w:r w:rsidRPr="003D6709">
        <w:t>for the MURANO trial.</w:t>
      </w:r>
    </w:p>
    <w:p w:rsidR="00B23E22" w:rsidRPr="003D6709" w:rsidRDefault="00B23E22" w:rsidP="004B4A93">
      <w:pPr>
        <w:pStyle w:val="ExecSumBodyText"/>
      </w:pPr>
      <w:r w:rsidRPr="003D6709">
        <w:t xml:space="preserve">For an unanchored </w:t>
      </w:r>
      <w:r w:rsidR="00B04A37" w:rsidRPr="003D6709">
        <w:t>MAIC</w:t>
      </w:r>
      <w:r w:rsidRPr="003D6709">
        <w:t>, population adjustment methods should adjust for all effect modifiers and prognostic variables in order to reliably predict absolute outcomes</w:t>
      </w:r>
      <w:r w:rsidR="00363904" w:rsidRPr="003D6709">
        <w:t>.</w:t>
      </w:r>
      <w:r w:rsidRPr="003D6709">
        <w:t xml:space="preserve"> Failure to adjust for all prognostic and effect modifier variables leads to an unknown amount of bias in the unanchored estimate</w:t>
      </w:r>
      <w:r w:rsidR="00363904" w:rsidRPr="003D6709">
        <w:t xml:space="preserve"> (</w:t>
      </w:r>
      <w:proofErr w:type="spellStart"/>
      <w:r w:rsidR="00363904" w:rsidRPr="003D6709">
        <w:t>Phillippo</w:t>
      </w:r>
      <w:proofErr w:type="spellEnd"/>
      <w:r w:rsidR="00363904" w:rsidRPr="003D6709">
        <w:t xml:space="preserve"> et al., 2018).</w:t>
      </w:r>
    </w:p>
    <w:p w:rsidR="00660805" w:rsidRPr="003D6709" w:rsidRDefault="00660805" w:rsidP="00ED4AB6">
      <w:pPr>
        <w:pStyle w:val="ExecSumBodyText"/>
        <w:keepLines/>
      </w:pPr>
      <w:r w:rsidRPr="003D6709">
        <w:t>There was minimal detail provided in the submission regarding the determination of prognostic and treatment effect modifier variables</w:t>
      </w:r>
      <w:r w:rsidR="00EC5B20" w:rsidRPr="003D6709">
        <w:t xml:space="preserve"> and therefore, it was unclear whether they were all identified in the analysis</w:t>
      </w:r>
      <w:r w:rsidR="003D6709">
        <w:t xml:space="preserve">. </w:t>
      </w:r>
      <w:r w:rsidRPr="003D6709">
        <w:t>The matching was constrained by the availability of published patient characteristics for the RESONATE and MURANO trials. The choice of cut-offs used for some of the included dichotomous variables was not adequately justified, and may not have adequately captured the differences between the trials.</w:t>
      </w:r>
      <w:r w:rsidR="00EC5B20" w:rsidRPr="003D6709">
        <w:t xml:space="preserve"> The PSCR </w:t>
      </w:r>
      <w:r w:rsidR="001E4BB9" w:rsidRPr="003D6709">
        <w:t>stated</w:t>
      </w:r>
      <w:r w:rsidR="00EC5B20" w:rsidRPr="003D6709">
        <w:t xml:space="preserve"> that the prognostic factors were identified from published review of the literature and input from two clinical experts; and that the cut-off choices were determined based on published data available for ibrutinib and venetoclax. </w:t>
      </w:r>
      <w:r w:rsidR="001917BC" w:rsidRPr="003D6709">
        <w:t>The ESC considered it was unknown</w:t>
      </w:r>
      <w:r w:rsidR="00F35C7B" w:rsidRPr="003D6709">
        <w:t xml:space="preserve"> if all the relevant prognostic and treatment variables were identified and matched</w:t>
      </w:r>
      <w:r w:rsidR="001917BC" w:rsidRPr="003D6709">
        <w:t>.</w:t>
      </w:r>
    </w:p>
    <w:p w:rsidR="00B23E22" w:rsidRPr="003D6709" w:rsidRDefault="00B23E22" w:rsidP="00B23E22">
      <w:pPr>
        <w:pStyle w:val="5-SubSubSubHead"/>
      </w:pPr>
      <w:r w:rsidRPr="003D6709">
        <w:t xml:space="preserve">MAIC of acalabrutinib versus ibrutinib </w:t>
      </w:r>
    </w:p>
    <w:p w:rsidR="00B23E22" w:rsidRPr="003D6709" w:rsidRDefault="00B23E22" w:rsidP="00B23E22">
      <w:pPr>
        <w:pStyle w:val="ExecSumBodyText"/>
      </w:pPr>
      <w:r w:rsidRPr="003D6709">
        <w:rPr>
          <w:snapToGrid/>
        </w:rPr>
        <w:t xml:space="preserve">In order to match </w:t>
      </w:r>
      <w:r w:rsidR="00363904" w:rsidRPr="003D6709">
        <w:rPr>
          <w:snapToGrid/>
        </w:rPr>
        <w:t xml:space="preserve">the inclusion criteria for RESONATE, </w:t>
      </w:r>
      <w:r w:rsidRPr="003D6709">
        <w:rPr>
          <w:snapToGrid/>
        </w:rPr>
        <w:t>which recruited patients with an ECOG ≤</w:t>
      </w:r>
      <w:r w:rsidR="005914F6" w:rsidRPr="003D6709">
        <w:rPr>
          <w:snapToGrid/>
        </w:rPr>
        <w:t xml:space="preserve"> </w:t>
      </w:r>
      <w:r w:rsidR="00363904" w:rsidRPr="003D6709">
        <w:rPr>
          <w:snapToGrid/>
        </w:rPr>
        <w:t>1</w:t>
      </w:r>
      <w:r w:rsidRPr="003D6709">
        <w:rPr>
          <w:snapToGrid/>
        </w:rPr>
        <w:t xml:space="preserve">, patients in </w:t>
      </w:r>
      <w:r w:rsidR="00363904" w:rsidRPr="003D6709">
        <w:rPr>
          <w:snapToGrid/>
        </w:rPr>
        <w:t xml:space="preserve">the acalabrutinib arm of </w:t>
      </w:r>
      <w:r w:rsidRPr="003D6709">
        <w:rPr>
          <w:snapToGrid/>
        </w:rPr>
        <w:t xml:space="preserve">ASCEND who had an ECOG of 2 at baseline (n=19) were excluded. A further four patients were excluded due to missing data, leaving 132 patients available for matching. </w:t>
      </w:r>
    </w:p>
    <w:p w:rsidR="005748C9" w:rsidRPr="003D6709" w:rsidRDefault="003C41BB" w:rsidP="005748C9">
      <w:pPr>
        <w:pStyle w:val="ExecSumBodyText"/>
      </w:pPr>
      <w:r w:rsidRPr="003D6709">
        <w:lastRenderedPageBreak/>
        <w:t>Table 6</w:t>
      </w:r>
      <w:r w:rsidR="005748C9" w:rsidRPr="003D6709">
        <w:t xml:space="preserve"> presents the prognostic and treatment effect modifier variables chosen for matching, along with the proportion of patients in the acalabrutinib arm before and after matching.</w:t>
      </w:r>
    </w:p>
    <w:p w:rsidR="005748C9" w:rsidRPr="003D6709" w:rsidRDefault="005748C9" w:rsidP="005748C9">
      <w:pPr>
        <w:pStyle w:val="TableHeading"/>
      </w:pPr>
      <w:bookmarkStart w:id="19" w:name="_Ref33453693"/>
      <w:r w:rsidRPr="003D6709">
        <w:t xml:space="preserve">Table </w:t>
      </w:r>
      <w:r w:rsidR="003C41BB" w:rsidRPr="003D6709">
        <w:t>6</w:t>
      </w:r>
      <w:bookmarkEnd w:id="19"/>
      <w:r w:rsidRPr="003D6709">
        <w:t>: Distribution of effect modifiers and prognostic variables before and after re-weighting for the MAIC of acalabrutinib and ibrutinib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545"/>
        <w:gridCol w:w="1618"/>
        <w:gridCol w:w="1618"/>
        <w:gridCol w:w="1618"/>
        <w:gridCol w:w="1618"/>
      </w:tblGrid>
      <w:tr w:rsidR="005748C9" w:rsidRPr="003D6709" w:rsidTr="00462D53">
        <w:trPr>
          <w:trHeight w:val="732"/>
          <w:jc w:val="center"/>
        </w:trPr>
        <w:tc>
          <w:tcPr>
            <w:tcW w:w="1411" w:type="pct"/>
            <w:shd w:val="clear" w:color="auto" w:fill="auto"/>
            <w:vAlign w:val="center"/>
            <w:hideMark/>
          </w:tcPr>
          <w:p w:rsidR="005748C9" w:rsidRPr="003D6709" w:rsidRDefault="005748C9" w:rsidP="004B4A93">
            <w:pPr>
              <w:jc w:val="left"/>
              <w:rPr>
                <w:rFonts w:ascii="Arial Narrow" w:hAnsi="Arial Narrow" w:cs="Times New Roman"/>
                <w:b/>
                <w:bCs/>
                <w:sz w:val="20"/>
                <w:szCs w:val="20"/>
              </w:rPr>
            </w:pPr>
            <w:r w:rsidRPr="003D6709">
              <w:rPr>
                <w:rFonts w:ascii="Arial Narrow" w:hAnsi="Arial Narrow" w:cs="Times New Roman"/>
                <w:b/>
                <w:bCs/>
                <w:sz w:val="20"/>
                <w:szCs w:val="20"/>
              </w:rPr>
              <w:t>Effect modifier and prognostic characteristics</w:t>
            </w:r>
          </w:p>
        </w:tc>
        <w:tc>
          <w:tcPr>
            <w:tcW w:w="897" w:type="pct"/>
            <w:shd w:val="clear" w:color="auto" w:fill="auto"/>
            <w:vAlign w:val="center"/>
            <w:hideMark/>
          </w:tcPr>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ACAL</w:t>
            </w:r>
          </w:p>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unadjusted</w:t>
            </w:r>
          </w:p>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(N=132)</w:t>
            </w:r>
            <w:r w:rsidRPr="003D6709">
              <w:rPr>
                <w:rFonts w:ascii="Arial Narrow" w:hAnsi="Arial Narrow"/>
                <w:b/>
                <w:bCs/>
                <w:sz w:val="20"/>
                <w:szCs w:val="20"/>
                <w:vertAlign w:val="superscript"/>
              </w:rPr>
              <w:t>1</w:t>
            </w:r>
          </w:p>
        </w:tc>
        <w:tc>
          <w:tcPr>
            <w:tcW w:w="897" w:type="pct"/>
            <w:shd w:val="clear" w:color="auto" w:fill="auto"/>
            <w:vAlign w:val="center"/>
          </w:tcPr>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IBR</w:t>
            </w:r>
          </w:p>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(N=195)</w:t>
            </w:r>
          </w:p>
        </w:tc>
        <w:tc>
          <w:tcPr>
            <w:tcW w:w="897" w:type="pct"/>
            <w:shd w:val="clear" w:color="auto" w:fill="auto"/>
            <w:vAlign w:val="center"/>
          </w:tcPr>
          <w:p w:rsidR="005748C9" w:rsidRPr="003D6709" w:rsidRDefault="005748C9" w:rsidP="004B4A93">
            <w:pPr>
              <w:jc w:val="center"/>
              <w:rPr>
                <w:rFonts w:ascii="Arial Narrow" w:hAnsi="Arial Narrow"/>
                <w:b/>
                <w:bCs/>
                <w:sz w:val="20"/>
                <w:szCs w:val="20"/>
              </w:rPr>
            </w:pPr>
            <w:r w:rsidRPr="003D6709">
              <w:rPr>
                <w:rFonts w:ascii="Arial Narrow" w:hAnsi="Arial Narrow"/>
                <w:b/>
                <w:bCs/>
                <w:i/>
                <w:sz w:val="20"/>
                <w:szCs w:val="20"/>
              </w:rPr>
              <w:t>p</w:t>
            </w:r>
            <w:r w:rsidRPr="003D6709">
              <w:rPr>
                <w:rFonts w:ascii="Arial Narrow" w:hAnsi="Arial Narrow"/>
                <w:b/>
                <w:bCs/>
                <w:sz w:val="20"/>
                <w:szCs w:val="20"/>
              </w:rPr>
              <w:t>-value</w:t>
            </w:r>
            <w:r w:rsidR="00671F93" w:rsidRPr="003D6709">
              <w:rPr>
                <w:rFonts w:ascii="Arial Narrow" w:hAnsi="Arial Narrow"/>
                <w:b/>
                <w:bCs/>
                <w:sz w:val="20"/>
                <w:szCs w:val="20"/>
              </w:rPr>
              <w:t xml:space="preserve"> for difference</w:t>
            </w:r>
          </w:p>
        </w:tc>
        <w:tc>
          <w:tcPr>
            <w:tcW w:w="897" w:type="pct"/>
            <w:shd w:val="clear" w:color="auto" w:fill="auto"/>
            <w:vAlign w:val="center"/>
          </w:tcPr>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ACAL</w:t>
            </w:r>
          </w:p>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MAIC adjusted</w:t>
            </w:r>
          </w:p>
          <w:p w:rsidR="005748C9" w:rsidRPr="003D6709" w:rsidRDefault="005748C9" w:rsidP="004B4A93">
            <w:pPr>
              <w:jc w:val="center"/>
              <w:rPr>
                <w:rFonts w:ascii="Arial Narrow" w:hAnsi="Arial Narrow"/>
                <w:b/>
                <w:bCs/>
                <w:sz w:val="20"/>
                <w:szCs w:val="20"/>
              </w:rPr>
            </w:pPr>
            <w:r w:rsidRPr="003D6709">
              <w:rPr>
                <w:rFonts w:ascii="Arial Narrow" w:hAnsi="Arial Narrow"/>
                <w:b/>
                <w:bCs/>
                <w:sz w:val="20"/>
                <w:szCs w:val="20"/>
              </w:rPr>
              <w:t>(N=44)</w:t>
            </w:r>
            <w:r w:rsidRPr="003D6709">
              <w:rPr>
                <w:rFonts w:ascii="Arial Narrow" w:hAnsi="Arial Narrow"/>
                <w:b/>
                <w:bCs/>
                <w:sz w:val="20"/>
                <w:szCs w:val="20"/>
                <w:vertAlign w:val="superscript"/>
              </w:rPr>
              <w:t>2</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Age ≥70, n (%)</w:t>
            </w:r>
          </w:p>
        </w:tc>
        <w:tc>
          <w:tcPr>
            <w:tcW w:w="897" w:type="pct"/>
            <w:shd w:val="clear" w:color="auto" w:fill="auto"/>
            <w:hideMark/>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48 (36.4%)</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78 (40.0%)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0.58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40.0%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Male, n (%)</w:t>
            </w:r>
          </w:p>
        </w:tc>
        <w:tc>
          <w:tcPr>
            <w:tcW w:w="897" w:type="pct"/>
            <w:shd w:val="clear" w:color="auto" w:fill="auto"/>
            <w:hideMark/>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94 (71.2%)</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129 (66.0%)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0.38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66.0%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Bulky disease &lt;5 cm, n (%) </w:t>
            </w:r>
          </w:p>
        </w:tc>
        <w:tc>
          <w:tcPr>
            <w:tcW w:w="897" w:type="pct"/>
            <w:shd w:val="clear" w:color="auto" w:fill="auto"/>
            <w:hideMark/>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66 (50.0%)</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124 (64.0%)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&lt;0.05</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64.0%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17p deletion,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25 (18.9%)</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63 (32.0%)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&lt;0.01</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32.0%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11q deletion,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30 (22.7%)</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63 (32.0%)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0.09</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32.0%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ECOG score = 0,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57 (43.2%)</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79 (41.0%)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0.78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41.0%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ECOG score = 1,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75 (57.0%)</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116 (59.0%)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0.93</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59.0%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proofErr w:type="gramStart"/>
            <w:r w:rsidRPr="003D6709">
              <w:rPr>
                <w:rFonts w:ascii="Arial Narrow" w:hAnsi="Arial Narrow" w:cs="Times New Roman"/>
                <w:sz w:val="20"/>
                <w:szCs w:val="20"/>
              </w:rPr>
              <w:t>β</w:t>
            </w:r>
            <w:r w:rsidRPr="003D6709">
              <w:rPr>
                <w:rFonts w:ascii="Arial Narrow" w:hAnsi="Arial Narrow" w:cs="Times New Roman"/>
                <w:sz w:val="20"/>
                <w:szCs w:val="20"/>
                <w:vertAlign w:val="subscript"/>
              </w:rPr>
              <w:t>2</w:t>
            </w:r>
            <w:r w:rsidRPr="003D6709">
              <w:rPr>
                <w:rFonts w:ascii="Arial Narrow" w:hAnsi="Arial Narrow" w:cs="Times New Roman"/>
                <w:sz w:val="20"/>
                <w:szCs w:val="20"/>
              </w:rPr>
              <w:t>-microglobulin</w:t>
            </w:r>
            <w:proofErr w:type="gramEnd"/>
            <w:r w:rsidRPr="003D6709">
              <w:rPr>
                <w:rFonts w:ascii="Arial Narrow" w:hAnsi="Arial Narrow" w:cs="Times New Roman"/>
                <w:sz w:val="20"/>
                <w:szCs w:val="20"/>
              </w:rPr>
              <w:t xml:space="preserve"> &gt;3.5 mg/L,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108 (81.8%)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153 (78.0%)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0.48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78.0%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Rai stage 0-2,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78 (59.1%)</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86 (44.0%)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1.03</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44.0%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Rai stage 3-4,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54 (40.9%)</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109 (56.0%)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&lt;0.01</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56.0%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Prior treatments = 1, n (%) </w:t>
            </w:r>
          </w:p>
        </w:tc>
        <w:tc>
          <w:tcPr>
            <w:tcW w:w="897" w:type="pct"/>
            <w:shd w:val="clear" w:color="auto" w:fill="auto"/>
            <w:hideMark/>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68 (51.5%)</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35 (18.0%)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&lt;0.0001</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18.0%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Prior treatments = 2,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36 (27.3%)</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57 (29.0%)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0.83</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29.0%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Prior treatments ≥3,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13 (9.8%)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103 (53.0%)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&lt;0.0001</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53.0%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Complex karyotype,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40 (30.3%)</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49 (25.0%)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0.35</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25.0%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r w:rsidRPr="003D6709">
              <w:rPr>
                <w:rFonts w:ascii="Arial Narrow" w:hAnsi="Arial Narrow" w:cs="Times New Roman"/>
                <w:sz w:val="20"/>
                <w:szCs w:val="20"/>
              </w:rPr>
              <w:t xml:space="preserve">IGHV </w:t>
            </w:r>
            <w:proofErr w:type="spellStart"/>
            <w:r w:rsidRPr="003D6709">
              <w:rPr>
                <w:rFonts w:ascii="Arial Narrow" w:hAnsi="Arial Narrow" w:cs="Times New Roman"/>
                <w:sz w:val="20"/>
                <w:szCs w:val="20"/>
              </w:rPr>
              <w:t>unmutated</w:t>
            </w:r>
            <w:proofErr w:type="spellEnd"/>
            <w:r w:rsidRPr="003D6709">
              <w:rPr>
                <w:rFonts w:ascii="Arial Narrow" w:hAnsi="Arial Narrow" w:cs="Times New Roman"/>
                <w:sz w:val="20"/>
                <w:szCs w:val="20"/>
              </w:rPr>
              <w:t xml:space="preserve">, n (%)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104 (78.8%)</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142 (73.0%)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0.29</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73.0%</w:t>
            </w:r>
          </w:p>
        </w:tc>
      </w:tr>
      <w:tr w:rsidR="005748C9" w:rsidRPr="003D6709" w:rsidTr="00462D53">
        <w:trPr>
          <w:jc w:val="center"/>
        </w:trPr>
        <w:tc>
          <w:tcPr>
            <w:tcW w:w="1411" w:type="pct"/>
          </w:tcPr>
          <w:p w:rsidR="005748C9" w:rsidRPr="003D6709" w:rsidRDefault="005748C9" w:rsidP="004B4A93">
            <w:pPr>
              <w:rPr>
                <w:rFonts w:ascii="Arial Narrow" w:hAnsi="Arial Narrow" w:cs="Times New Roman"/>
                <w:sz w:val="20"/>
                <w:szCs w:val="20"/>
              </w:rPr>
            </w:pPr>
            <w:proofErr w:type="spellStart"/>
            <w:r w:rsidRPr="003D6709">
              <w:rPr>
                <w:rFonts w:ascii="Arial Narrow" w:hAnsi="Arial Narrow" w:cs="Times New Roman"/>
                <w:sz w:val="20"/>
                <w:szCs w:val="20"/>
              </w:rPr>
              <w:t>CrCl</w:t>
            </w:r>
            <w:proofErr w:type="spellEnd"/>
            <w:r w:rsidRPr="003D6709">
              <w:rPr>
                <w:rFonts w:ascii="Arial Narrow" w:hAnsi="Arial Narrow" w:cs="Times New Roman"/>
                <w:sz w:val="20"/>
                <w:szCs w:val="20"/>
              </w:rPr>
              <w:t xml:space="preserve"> &lt;60 mL/min, n (%)</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35 (26.5%)</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62 (32.0%)</w:t>
            </w:r>
          </w:p>
        </w:tc>
        <w:tc>
          <w:tcPr>
            <w:tcW w:w="897" w:type="pct"/>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0.35</w:t>
            </w:r>
          </w:p>
        </w:tc>
        <w:tc>
          <w:tcPr>
            <w:tcW w:w="897" w:type="pct"/>
            <w:shd w:val="clear" w:color="auto" w:fill="auto"/>
          </w:tcPr>
          <w:p w:rsidR="005748C9" w:rsidRPr="003D6709" w:rsidRDefault="005748C9" w:rsidP="004B4A93">
            <w:pPr>
              <w:jc w:val="center"/>
              <w:rPr>
                <w:rFonts w:ascii="Arial Narrow" w:hAnsi="Arial Narrow"/>
                <w:sz w:val="20"/>
                <w:szCs w:val="20"/>
              </w:rPr>
            </w:pPr>
            <w:r w:rsidRPr="003D6709">
              <w:rPr>
                <w:rFonts w:ascii="Arial Narrow" w:hAnsi="Arial Narrow"/>
                <w:sz w:val="20"/>
                <w:szCs w:val="20"/>
              </w:rPr>
              <w:t>32.0%</w:t>
            </w:r>
          </w:p>
        </w:tc>
      </w:tr>
    </w:tbl>
    <w:p w:rsidR="005748C9" w:rsidRPr="003D6709" w:rsidRDefault="005748C9" w:rsidP="005748C9">
      <w:pPr>
        <w:pStyle w:val="TableFooter"/>
        <w:spacing w:after="120"/>
      </w:pPr>
      <w:r w:rsidRPr="003D6709">
        <w:t>Source: Table 2.6.1, p.78 of the submission.</w:t>
      </w:r>
    </w:p>
    <w:p w:rsidR="005748C9" w:rsidRPr="003D6709" w:rsidRDefault="005748C9" w:rsidP="005748C9">
      <w:pPr>
        <w:pStyle w:val="TableFooter"/>
        <w:spacing w:after="120"/>
      </w:pPr>
      <w:r w:rsidRPr="003D6709">
        <w:t xml:space="preserve">Abbreviations: ACAL, acalabrutinib; </w:t>
      </w:r>
      <w:proofErr w:type="spellStart"/>
      <w:r w:rsidRPr="003D6709">
        <w:t>CrCl</w:t>
      </w:r>
      <w:proofErr w:type="spellEnd"/>
      <w:r w:rsidRPr="003D6709">
        <w:t>, creatinine clearance; ECOG, Eastern Cooperative Oncology Group; IBR, ibrutinib; IGHV, immunoglobulin heavy chain gene; MAIC, matching adjusted indirect comparison.</w:t>
      </w:r>
    </w:p>
    <w:p w:rsidR="005748C9" w:rsidRPr="003D6709" w:rsidRDefault="005748C9" w:rsidP="005748C9">
      <w:pPr>
        <w:pStyle w:val="TableFooter"/>
        <w:spacing w:after="120"/>
      </w:pPr>
      <w:r w:rsidRPr="003D6709">
        <w:rPr>
          <w:vertAlign w:val="superscript"/>
        </w:rPr>
        <w:t>1</w:t>
      </w:r>
      <w:r w:rsidRPr="003D6709">
        <w:t xml:space="preserve"> Patients in ASCEND who were ECOG PS 2 at baseline (n=19) were not included in the matching because RESONATE did not include patients with this performance status. A further four patients were removed due to missing baseline characteristics therefore 132 ACA patients were matched.</w:t>
      </w:r>
    </w:p>
    <w:p w:rsidR="005748C9" w:rsidRPr="003D6709" w:rsidRDefault="005748C9" w:rsidP="005748C9">
      <w:pPr>
        <w:pStyle w:val="TableFooter"/>
        <w:spacing w:after="120"/>
      </w:pPr>
      <w:r w:rsidRPr="003D6709">
        <w:rPr>
          <w:vertAlign w:val="superscript"/>
        </w:rPr>
        <w:t>2</w:t>
      </w:r>
      <w:r w:rsidRPr="003D6709">
        <w:t xml:space="preserve"> Effective sample size after reweighting.</w:t>
      </w:r>
    </w:p>
    <w:p w:rsidR="007330B4" w:rsidRPr="003D6709" w:rsidRDefault="007330B4" w:rsidP="00462D53">
      <w:pPr>
        <w:pStyle w:val="ExecSumBodyText"/>
      </w:pPr>
      <w:r w:rsidRPr="003D6709">
        <w:rPr>
          <w:snapToGrid/>
        </w:rPr>
        <w:t xml:space="preserve">Matching for the selected variables resulted in </w:t>
      </w:r>
      <w:r w:rsidR="00363904" w:rsidRPr="003D6709">
        <w:rPr>
          <w:snapToGrid/>
        </w:rPr>
        <w:t xml:space="preserve">a large loss of </w:t>
      </w:r>
      <w:r w:rsidRPr="003D6709">
        <w:rPr>
          <w:snapToGrid/>
        </w:rPr>
        <w:t>effective sample size</w:t>
      </w:r>
      <w:r w:rsidR="00DD7D3C" w:rsidRPr="003D6709">
        <w:rPr>
          <w:snapToGrid/>
        </w:rPr>
        <w:t xml:space="preserve"> reducing it </w:t>
      </w:r>
      <w:r w:rsidR="001E4BB9" w:rsidRPr="003D6709">
        <w:rPr>
          <w:snapToGrid/>
        </w:rPr>
        <w:t xml:space="preserve">from 132 patients </w:t>
      </w:r>
      <w:r w:rsidR="00DD7D3C" w:rsidRPr="003D6709">
        <w:rPr>
          <w:snapToGrid/>
        </w:rPr>
        <w:t>to 44</w:t>
      </w:r>
      <w:r w:rsidR="00363904" w:rsidRPr="003D6709">
        <w:rPr>
          <w:snapToGrid/>
        </w:rPr>
        <w:t>,</w:t>
      </w:r>
      <w:r w:rsidRPr="003D6709">
        <w:rPr>
          <w:snapToGrid/>
        </w:rPr>
        <w:t xml:space="preserve"> suggesting poor overlap between the trial populations. </w:t>
      </w:r>
      <w:r w:rsidR="00580DCA" w:rsidRPr="003D6709">
        <w:rPr>
          <w:snapToGrid/>
        </w:rPr>
        <w:t>Post-matching patient characteristics for variables that were not matched in the MAIC analysis were not provided</w:t>
      </w:r>
      <w:r w:rsidR="00DF05F8" w:rsidRPr="003D6709">
        <w:rPr>
          <w:snapToGrid/>
        </w:rPr>
        <w:t xml:space="preserve"> in the submission</w:t>
      </w:r>
      <w:r w:rsidR="00580DCA" w:rsidRPr="003D6709">
        <w:rPr>
          <w:snapToGrid/>
        </w:rPr>
        <w:t>. Due to the interdependence of variables, and different weights applied to each patient, matching of specific characteristics is likely to affect the distribution of other characteristics.</w:t>
      </w:r>
      <w:r w:rsidR="00363904" w:rsidRPr="003D6709">
        <w:t xml:space="preserve"> </w:t>
      </w:r>
      <w:r w:rsidR="00DF05F8" w:rsidRPr="003D6709">
        <w:t xml:space="preserve">The PSCR </w:t>
      </w:r>
      <w:r w:rsidR="001E4BB9" w:rsidRPr="003D6709">
        <w:t>stated</w:t>
      </w:r>
      <w:r w:rsidR="00DF05F8" w:rsidRPr="003D6709">
        <w:t xml:space="preserve"> that specific variables were excluded due to high amounts of missing data from RESONATE, variables not collected in ASCEND, and clinical expert </w:t>
      </w:r>
      <w:r w:rsidR="0057547A" w:rsidRPr="003D6709">
        <w:t>opinions</w:t>
      </w:r>
      <w:r w:rsidR="00DF05F8" w:rsidRPr="003D6709">
        <w:t xml:space="preserve">. The ESC </w:t>
      </w:r>
      <w:r w:rsidR="001E4BB9" w:rsidRPr="003D6709">
        <w:t>considered</w:t>
      </w:r>
      <w:r w:rsidR="00DF05F8" w:rsidRPr="003D6709">
        <w:t xml:space="preserve"> that the </w:t>
      </w:r>
      <w:r w:rsidR="00DF05F8" w:rsidRPr="003D6709">
        <w:rPr>
          <w:snapToGrid/>
        </w:rPr>
        <w:t xml:space="preserve">resulting effective sample size (N=44) </w:t>
      </w:r>
      <w:r w:rsidR="001E4BB9" w:rsidRPr="003D6709">
        <w:rPr>
          <w:snapToGrid/>
        </w:rPr>
        <w:t>wa</w:t>
      </w:r>
      <w:r w:rsidR="00DF05F8" w:rsidRPr="003D6709">
        <w:rPr>
          <w:snapToGrid/>
        </w:rPr>
        <w:t>s unlikely to be sufficient to reliably compare treatments</w:t>
      </w:r>
      <w:r w:rsidR="00DD7D3C" w:rsidRPr="003D6709">
        <w:rPr>
          <w:snapToGrid/>
        </w:rPr>
        <w:t xml:space="preserve"> and</w:t>
      </w:r>
      <w:r w:rsidR="00DD7D3C" w:rsidRPr="003D6709">
        <w:t xml:space="preserve"> considered that the differing trial populations introduced uncertainty into the MAIC</w:t>
      </w:r>
      <w:r w:rsidR="00DF05F8" w:rsidRPr="003D6709">
        <w:t>.</w:t>
      </w:r>
      <w:r w:rsidR="001A6451" w:rsidRPr="003D6709">
        <w:t xml:space="preserve"> </w:t>
      </w:r>
    </w:p>
    <w:p w:rsidR="00B23E22" w:rsidRPr="003D6709" w:rsidRDefault="00B23E22" w:rsidP="00B23E22">
      <w:pPr>
        <w:pStyle w:val="ExecSumBodyText"/>
      </w:pPr>
      <w:r w:rsidRPr="003D6709">
        <w:rPr>
          <w:snapToGrid/>
        </w:rPr>
        <w:t>The RESONATE trial required patients to be unsuitable for treatment with a purine analogue based on the presence of at least one of four specified criteria (failure to respond or a progression-free interval of &lt;</w:t>
      </w:r>
      <w:r w:rsidR="005914F6" w:rsidRPr="003D6709">
        <w:rPr>
          <w:snapToGrid/>
        </w:rPr>
        <w:t xml:space="preserve"> </w:t>
      </w:r>
      <w:r w:rsidRPr="003D6709">
        <w:rPr>
          <w:snapToGrid/>
        </w:rPr>
        <w:t>3 years from treatment with a purine analogue based therapy and anti-CD20 containing chemo</w:t>
      </w:r>
      <w:r w:rsidR="00625333" w:rsidRPr="003D6709">
        <w:rPr>
          <w:snapToGrid/>
        </w:rPr>
        <w:t>-</w:t>
      </w:r>
      <w:r w:rsidRPr="003D6709">
        <w:rPr>
          <w:snapToGrid/>
        </w:rPr>
        <w:t>immunotherapy regimen; age ≥</w:t>
      </w:r>
      <w:r w:rsidR="005914F6" w:rsidRPr="003D6709">
        <w:rPr>
          <w:snapToGrid/>
        </w:rPr>
        <w:t xml:space="preserve"> </w:t>
      </w:r>
      <w:r w:rsidRPr="003D6709">
        <w:rPr>
          <w:snapToGrid/>
        </w:rPr>
        <w:t>70 years; age ≥</w:t>
      </w:r>
      <w:r w:rsidR="00DE7155" w:rsidRPr="003D6709">
        <w:rPr>
          <w:snapToGrid/>
        </w:rPr>
        <w:t xml:space="preserve"> </w:t>
      </w:r>
      <w:r w:rsidRPr="003D6709">
        <w:rPr>
          <w:snapToGrid/>
        </w:rPr>
        <w:t xml:space="preserve">65 years in the presence of co-morbidities; FISH showing 17p deletion in ≥ 20% of cells), whereas the ASCEND trial did not exclude patients on the </w:t>
      </w:r>
      <w:r w:rsidRPr="003D6709">
        <w:rPr>
          <w:snapToGrid/>
        </w:rPr>
        <w:lastRenderedPageBreak/>
        <w:t xml:space="preserve">basis of purine analogue suitability. </w:t>
      </w:r>
      <w:r w:rsidR="005929CF" w:rsidRPr="003D6709">
        <w:t xml:space="preserve">The pre-PBAC response stated that the MAIC minimised the impact of the differences in the trial populations by matching patients on variables used to determine </w:t>
      </w:r>
      <w:proofErr w:type="spellStart"/>
      <w:r w:rsidR="005929CF" w:rsidRPr="003D6709">
        <w:t>fludarabine</w:t>
      </w:r>
      <w:proofErr w:type="spellEnd"/>
      <w:r w:rsidR="005929CF" w:rsidRPr="003D6709">
        <w:t xml:space="preserve"> ineligibility in RESONATE.</w:t>
      </w:r>
    </w:p>
    <w:p w:rsidR="00E50AAE" w:rsidRPr="003D6709" w:rsidRDefault="00E50AAE" w:rsidP="00E50AAE">
      <w:pPr>
        <w:pStyle w:val="ExecSumBodyText"/>
      </w:pPr>
      <w:r w:rsidRPr="003D6709">
        <w:t xml:space="preserve">Results for the comparison of investigator-assessed progression-free survival based on a median follow-up of 16.1 months for ASCEND and 19 months for RESONATE (Brown et al., 2018) are presented in </w:t>
      </w:r>
      <w:r w:rsidR="003C41BB" w:rsidRPr="003D6709">
        <w:t>Figure 4</w:t>
      </w:r>
      <w:r w:rsidRPr="003D6709">
        <w:t>.</w:t>
      </w:r>
    </w:p>
    <w:p w:rsidR="00E50AAE" w:rsidRPr="003D6709" w:rsidRDefault="005748C9" w:rsidP="00E50AAE">
      <w:pPr>
        <w:pStyle w:val="TableHeading"/>
      </w:pPr>
      <w:bookmarkStart w:id="20" w:name="_Ref33453742"/>
      <w:r w:rsidRPr="003D6709">
        <w:t xml:space="preserve">Figure </w:t>
      </w:r>
      <w:r w:rsidR="003C41BB" w:rsidRPr="003D6709">
        <w:t>4</w:t>
      </w:r>
      <w:bookmarkEnd w:id="20"/>
      <w:r w:rsidR="00E50AAE" w:rsidRPr="003D6709">
        <w:t xml:space="preserve">: </w:t>
      </w:r>
      <w:r w:rsidR="00B04A37" w:rsidRPr="003D6709">
        <w:t>Results for</w:t>
      </w:r>
      <w:r w:rsidR="00E50AAE" w:rsidRPr="003D6709">
        <w:t xml:space="preserve"> the </w:t>
      </w:r>
      <w:r w:rsidR="007B07D4" w:rsidRPr="003D6709">
        <w:t>MAIC</w:t>
      </w:r>
      <w:r w:rsidR="00E50AAE" w:rsidRPr="003D6709">
        <w:t xml:space="preserve"> </w:t>
      </w:r>
      <w:r w:rsidR="00B04A37" w:rsidRPr="003D6709">
        <w:t>of</w:t>
      </w:r>
      <w:r w:rsidR="00E50AAE" w:rsidRPr="003D6709">
        <w:t xml:space="preserve"> investigator-assessed progression-free survival for acalabrutinib versus ibrutinib</w:t>
      </w:r>
    </w:p>
    <w:p w:rsidR="00E50AAE" w:rsidRPr="003D6709" w:rsidRDefault="00E50AAE" w:rsidP="00E50AAE">
      <w:r w:rsidRPr="003D6709">
        <w:rPr>
          <w:noProof/>
        </w:rPr>
        <w:drawing>
          <wp:inline distT="0" distB="0" distL="0" distR="0" wp14:anchorId="50277380" wp14:editId="27AAFCCB">
            <wp:extent cx="5715000" cy="2578905"/>
            <wp:effectExtent l="0" t="0" r="0" b="0"/>
            <wp:docPr id="10" name="Picture 10" title="Figure 4: Results for the MAIC of investigator-assessed progression-free survival for acalabrutinib versus ibru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754" cy="2579245"/>
                    </a:xfrm>
                    <a:prstGeom prst="rect">
                      <a:avLst/>
                    </a:prstGeom>
                  </pic:spPr>
                </pic:pic>
              </a:graphicData>
            </a:graphic>
          </wp:inline>
        </w:drawing>
      </w:r>
    </w:p>
    <w:p w:rsidR="00E50AAE" w:rsidRPr="003D6709" w:rsidRDefault="00E50AAE" w:rsidP="00E50AAE">
      <w:pPr>
        <w:pStyle w:val="TableFooter"/>
        <w:spacing w:after="120"/>
      </w:pPr>
      <w:r w:rsidRPr="003D6709">
        <w:t>Source: Figure 2.6.1, 80 of the submission.</w:t>
      </w:r>
    </w:p>
    <w:p w:rsidR="00E50AAE" w:rsidRDefault="00E50AAE" w:rsidP="00E50AAE">
      <w:pPr>
        <w:pStyle w:val="TableFooter"/>
        <w:spacing w:after="120"/>
      </w:pPr>
      <w:r w:rsidRPr="003D6709">
        <w:t>Abbreviations: CI, confidence interval; HR, hazard ratio.</w:t>
      </w:r>
    </w:p>
    <w:p w:rsidR="00B05791" w:rsidRPr="003D6709" w:rsidRDefault="00B05791" w:rsidP="00E50AAE">
      <w:pPr>
        <w:pStyle w:val="TableFooter"/>
        <w:spacing w:after="120"/>
      </w:pPr>
      <w:r>
        <w:rPr>
          <w:i/>
          <w:iCs/>
        </w:rPr>
        <w:t>* Note that the results presented in Figure 4 are derived fr</w:t>
      </w:r>
      <w:r w:rsidRPr="00343A14">
        <w:rPr>
          <w:i/>
          <w:iCs/>
        </w:rPr>
        <w:t>om ad-hoc/ post-hoc</w:t>
      </w:r>
      <w:r>
        <w:rPr>
          <w:i/>
          <w:iCs/>
        </w:rPr>
        <w:t xml:space="preserve"> analyses conducted by the applicant specifically for the purposes of informing the PBAC consideration. These analyses were not part of the pre-specified statistical plan</w:t>
      </w:r>
      <w:r w:rsidR="00E971BF">
        <w:rPr>
          <w:i/>
          <w:iCs/>
        </w:rPr>
        <w:t>s</w:t>
      </w:r>
      <w:r>
        <w:rPr>
          <w:i/>
          <w:iCs/>
        </w:rPr>
        <w:t xml:space="preserve"> for ASCEND and RESONATE. Interpretation of the results and their application should therefore be limited to seeking to understand the basis for the PBAC outcome and should not be used for any other purpose. </w:t>
      </w:r>
      <w:r>
        <w:t xml:space="preserve"> </w:t>
      </w:r>
    </w:p>
    <w:p w:rsidR="003D70B7" w:rsidRPr="003D6709" w:rsidRDefault="00E50AAE" w:rsidP="00E932C0">
      <w:pPr>
        <w:pStyle w:val="ExecSumBodyText"/>
        <w:keepLines/>
        <w:rPr>
          <w:snapToGrid/>
        </w:rPr>
      </w:pPr>
      <w:r w:rsidRPr="003D6709">
        <w:rPr>
          <w:snapToGrid/>
        </w:rPr>
        <w:t xml:space="preserve">Prior to MAIC adjustment (i.e. based on a naïve comparison of acalabrutinib and ibrutinib), the hazard ratio for progression-free survival favoured acalabrutinib but the difference was not statistically significant (HR </w:t>
      </w:r>
      <w:r w:rsidR="005929CF" w:rsidRPr="003D6709">
        <w:rPr>
          <w:snapToGrid/>
        </w:rPr>
        <w:t xml:space="preserve">= </w:t>
      </w:r>
      <w:r w:rsidRPr="003D6709">
        <w:rPr>
          <w:snapToGrid/>
        </w:rPr>
        <w:t xml:space="preserve">0.61; 95% CI: 0.36, 1.03). After MAIC adjustment, the difference in progression-free survival between acalabrutinib and ibrutinib </w:t>
      </w:r>
      <w:r w:rsidR="005748C9" w:rsidRPr="003D6709">
        <w:rPr>
          <w:snapToGrid/>
        </w:rPr>
        <w:t xml:space="preserve">remained </w:t>
      </w:r>
      <w:r w:rsidRPr="003D6709">
        <w:rPr>
          <w:snapToGrid/>
        </w:rPr>
        <w:t xml:space="preserve">not statistically significant (HR </w:t>
      </w:r>
      <w:r w:rsidR="005929CF" w:rsidRPr="003D6709">
        <w:rPr>
          <w:snapToGrid/>
        </w:rPr>
        <w:t xml:space="preserve">= </w:t>
      </w:r>
      <w:r w:rsidRPr="003D6709">
        <w:rPr>
          <w:snapToGrid/>
        </w:rPr>
        <w:t xml:space="preserve">0.72; 95% CI: 0.33, 1.60). </w:t>
      </w:r>
    </w:p>
    <w:p w:rsidR="00934F94" w:rsidRPr="003D6709" w:rsidRDefault="00E50AAE" w:rsidP="003D70B7">
      <w:pPr>
        <w:pStyle w:val="ExecSumBodyText"/>
        <w:rPr>
          <w:snapToGrid/>
        </w:rPr>
      </w:pPr>
      <w:r w:rsidRPr="003D6709">
        <w:rPr>
          <w:snapToGrid/>
        </w:rPr>
        <w:t xml:space="preserve">The </w:t>
      </w:r>
      <w:r w:rsidR="005929CF" w:rsidRPr="003D6709">
        <w:rPr>
          <w:snapToGrid/>
        </w:rPr>
        <w:t xml:space="preserve">PBAC noted that the </w:t>
      </w:r>
      <w:r w:rsidRPr="003D6709">
        <w:rPr>
          <w:snapToGrid/>
        </w:rPr>
        <w:t>results should be interpreted with caution due to the low effective sample size in the acalabrutinib arm after matching, differences in the duration of follow-up between the trials</w:t>
      </w:r>
      <w:r w:rsidR="0025625A" w:rsidRPr="003D6709">
        <w:rPr>
          <w:snapToGrid/>
        </w:rPr>
        <w:t>, and differences between the trials in eligibility criteria (purine analogue suitability) that were not explicitly adjusted for in the MAIC</w:t>
      </w:r>
      <w:r w:rsidRPr="003D6709">
        <w:rPr>
          <w:snapToGrid/>
        </w:rPr>
        <w:t xml:space="preserve">. </w:t>
      </w:r>
    </w:p>
    <w:p w:rsidR="00B23E22" w:rsidRPr="003D6709" w:rsidRDefault="003D70B7" w:rsidP="00E50AAE">
      <w:pPr>
        <w:pStyle w:val="ExecSumBodyText"/>
      </w:pPr>
      <w:r w:rsidRPr="003D6709">
        <w:rPr>
          <w:snapToGrid/>
        </w:rPr>
        <w:t xml:space="preserve">Results for the </w:t>
      </w:r>
      <w:r w:rsidR="00E50AAE" w:rsidRPr="003D6709">
        <w:rPr>
          <w:snapToGrid/>
        </w:rPr>
        <w:t xml:space="preserve">comparison of overall survival based on a median follow-up of 16.1 months for ASCEND and 19 months for </w:t>
      </w:r>
      <w:r w:rsidRPr="003D6709">
        <w:rPr>
          <w:snapToGrid/>
        </w:rPr>
        <w:t>RESONATE (Brown et al., 2018) are</w:t>
      </w:r>
      <w:r w:rsidR="00E50AAE" w:rsidRPr="003D6709">
        <w:rPr>
          <w:snapToGrid/>
        </w:rPr>
        <w:t xml:space="preserve"> presented in </w:t>
      </w:r>
      <w:r w:rsidR="003C41BB" w:rsidRPr="003D6709">
        <w:t>Figure 5</w:t>
      </w:r>
      <w:r w:rsidR="00E50AAE" w:rsidRPr="003D6709">
        <w:rPr>
          <w:snapToGrid/>
        </w:rPr>
        <w:t>.</w:t>
      </w:r>
    </w:p>
    <w:p w:rsidR="00E50AAE" w:rsidRPr="003D6709" w:rsidRDefault="00355009" w:rsidP="00E50AAE">
      <w:pPr>
        <w:pStyle w:val="TableHeading"/>
      </w:pPr>
      <w:bookmarkStart w:id="21" w:name="_Ref33453772"/>
      <w:r w:rsidRPr="003D6709">
        <w:lastRenderedPageBreak/>
        <w:t xml:space="preserve">Figure </w:t>
      </w:r>
      <w:r w:rsidR="003C41BB" w:rsidRPr="003D6709">
        <w:t>5</w:t>
      </w:r>
      <w:bookmarkEnd w:id="21"/>
      <w:r w:rsidR="00E50AAE" w:rsidRPr="003D6709">
        <w:t xml:space="preserve">: Results </w:t>
      </w:r>
      <w:r w:rsidR="00B04A37" w:rsidRPr="003D6709">
        <w:t>for</w:t>
      </w:r>
      <w:r w:rsidR="00E50AAE" w:rsidRPr="003D6709">
        <w:t xml:space="preserve"> the </w:t>
      </w:r>
      <w:r w:rsidR="007B07D4" w:rsidRPr="003D6709">
        <w:t>MAIC</w:t>
      </w:r>
      <w:r w:rsidR="00E50AAE" w:rsidRPr="003D6709">
        <w:t xml:space="preserve"> </w:t>
      </w:r>
      <w:r w:rsidR="00B04A37" w:rsidRPr="003D6709">
        <w:t>of</w:t>
      </w:r>
      <w:r w:rsidR="00E50AAE" w:rsidRPr="003D6709">
        <w:t xml:space="preserve"> overall survival for acalabrutinib versus ibrutinib</w:t>
      </w:r>
    </w:p>
    <w:p w:rsidR="00E50AAE" w:rsidRPr="003D6709" w:rsidRDefault="00E50AAE" w:rsidP="00E50AAE">
      <w:r w:rsidRPr="003D6709">
        <w:rPr>
          <w:noProof/>
        </w:rPr>
        <w:drawing>
          <wp:inline distT="0" distB="0" distL="0" distR="0" wp14:anchorId="707F1211" wp14:editId="0383301C">
            <wp:extent cx="5731510" cy="2642235"/>
            <wp:effectExtent l="0" t="0" r="2540" b="5715"/>
            <wp:docPr id="11" name="Picture 11" title="Figure 5: Results for the MAIC of overall survival for acalabrutinib versus ibrutin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743" cy="2642342"/>
                    </a:xfrm>
                    <a:prstGeom prst="rect">
                      <a:avLst/>
                    </a:prstGeom>
                  </pic:spPr>
                </pic:pic>
              </a:graphicData>
            </a:graphic>
          </wp:inline>
        </w:drawing>
      </w:r>
    </w:p>
    <w:p w:rsidR="00E50AAE" w:rsidRPr="003D6709" w:rsidRDefault="00E50AAE" w:rsidP="00E50AAE">
      <w:pPr>
        <w:pStyle w:val="TableFooter"/>
        <w:spacing w:after="120"/>
      </w:pPr>
      <w:r w:rsidRPr="003D6709">
        <w:t>Source: Figure 2.6.2, p.81 of the submission.</w:t>
      </w:r>
    </w:p>
    <w:p w:rsidR="00E50AAE" w:rsidRDefault="00E50AAE" w:rsidP="00E50AAE">
      <w:pPr>
        <w:pStyle w:val="TableFooter"/>
        <w:spacing w:after="120"/>
      </w:pPr>
      <w:r w:rsidRPr="003D6709">
        <w:t>Abbreviations: CI, confidence interval; HR, hazard ratio; NR, not reached; OS, overall survival.</w:t>
      </w:r>
    </w:p>
    <w:p w:rsidR="00B05791" w:rsidRPr="003D6709" w:rsidRDefault="00B05791" w:rsidP="00E50AAE">
      <w:pPr>
        <w:pStyle w:val="TableFooter"/>
        <w:spacing w:after="120"/>
      </w:pPr>
      <w:r>
        <w:rPr>
          <w:i/>
          <w:iCs/>
        </w:rPr>
        <w:t xml:space="preserve">* Note that the results presented in Figure 5 are </w:t>
      </w:r>
      <w:r w:rsidRPr="00343A14">
        <w:rPr>
          <w:i/>
          <w:iCs/>
        </w:rPr>
        <w:t>derived from ad-hoc/ post-hoc analyses</w:t>
      </w:r>
      <w:r>
        <w:rPr>
          <w:i/>
          <w:iCs/>
        </w:rPr>
        <w:t xml:space="preserve"> conducted by the applicant specifically for the purposes of informing the PBAC consideration. These analyses were not part of the pre-specified statistical plan</w:t>
      </w:r>
      <w:r w:rsidR="00E71AE1">
        <w:rPr>
          <w:i/>
          <w:iCs/>
        </w:rPr>
        <w:t>s</w:t>
      </w:r>
      <w:r>
        <w:rPr>
          <w:i/>
          <w:iCs/>
        </w:rPr>
        <w:t xml:space="preserve"> for ASCEND and RESONATE. Interpretation of the results and their application should therefore be limited to seeking to understand the basis for the PBAC outcome and should not</w:t>
      </w:r>
      <w:r w:rsidR="007813BF">
        <w:rPr>
          <w:i/>
          <w:iCs/>
        </w:rPr>
        <w:t xml:space="preserve"> be used for any other purpose.</w:t>
      </w:r>
    </w:p>
    <w:p w:rsidR="00E50AAE" w:rsidRPr="003D6709" w:rsidRDefault="00E50AAE" w:rsidP="00E932C0">
      <w:pPr>
        <w:pStyle w:val="ExecSumBodyText"/>
        <w:keepLines/>
      </w:pPr>
      <w:r w:rsidRPr="003D6709">
        <w:rPr>
          <w:snapToGrid/>
        </w:rPr>
        <w:t xml:space="preserve">Prior to MAIC adjustment (i.e. based on a naïve comparison of acalabrutinib and ibrutinib), the hazard ratio for overall survival favoured acalabrutinib but the difference was not statistically significant (HR 0.63; 95% CI: 0.33, 1.23). After MAIC adjustment, the difference in overall survival between acalabrutinib and ibrutinib remained not statistically significant (HR 0.92; 95% CI: 0.38, 2.27). The </w:t>
      </w:r>
      <w:r w:rsidR="00F01579" w:rsidRPr="003D6709">
        <w:rPr>
          <w:snapToGrid/>
        </w:rPr>
        <w:t xml:space="preserve">PBAC noted that the </w:t>
      </w:r>
      <w:r w:rsidRPr="003D6709">
        <w:rPr>
          <w:snapToGrid/>
        </w:rPr>
        <w:t xml:space="preserve">results should be interpreted with caution due to the low effective sample size in the acalabrutinib arm after matching, the potential impact of </w:t>
      </w:r>
      <w:r w:rsidR="00660805" w:rsidRPr="003D6709">
        <w:rPr>
          <w:snapToGrid/>
        </w:rPr>
        <w:t xml:space="preserve">patient </w:t>
      </w:r>
      <w:r w:rsidRPr="003D6709">
        <w:rPr>
          <w:snapToGrid/>
        </w:rPr>
        <w:t>crossover</w:t>
      </w:r>
      <w:r w:rsidR="00524B11" w:rsidRPr="003D6709">
        <w:rPr>
          <w:snapToGrid/>
        </w:rPr>
        <w:t>,</w:t>
      </w:r>
      <w:r w:rsidR="00660805" w:rsidRPr="003D6709">
        <w:rPr>
          <w:snapToGrid/>
        </w:rPr>
        <w:t xml:space="preserve"> and use of post-progression treatments in the included trials.</w:t>
      </w:r>
      <w:r w:rsidRPr="003D6709">
        <w:rPr>
          <w:snapToGrid/>
        </w:rPr>
        <w:t xml:space="preserve"> </w:t>
      </w:r>
    </w:p>
    <w:p w:rsidR="00294D3A" w:rsidRPr="003D6709" w:rsidRDefault="00294D3A" w:rsidP="0037162F">
      <w:pPr>
        <w:pStyle w:val="5-SubSubSubHead"/>
      </w:pPr>
      <w:r w:rsidRPr="003D6709">
        <w:t xml:space="preserve">MAIC of acalabrutinib versus venetoclax plus rituximab </w:t>
      </w:r>
    </w:p>
    <w:p w:rsidR="00934F94" w:rsidRPr="003D6709" w:rsidRDefault="00934F94" w:rsidP="00934F94">
      <w:pPr>
        <w:pStyle w:val="ExecSumBodyText"/>
      </w:pPr>
      <w:r w:rsidRPr="003D6709">
        <w:rPr>
          <w:snapToGrid/>
        </w:rPr>
        <w:t xml:space="preserve">The number of patients included in the MAIC from the ASCEND trial was 150. The submission </w:t>
      </w:r>
      <w:r w:rsidR="00524B11" w:rsidRPr="003D6709">
        <w:rPr>
          <w:snapToGrid/>
        </w:rPr>
        <w:t xml:space="preserve">stated </w:t>
      </w:r>
      <w:r w:rsidRPr="003D6709">
        <w:rPr>
          <w:snapToGrid/>
        </w:rPr>
        <w:t xml:space="preserve">that this number was lower than the number of patients in the ASCEND trial acalabrutinib arm (N=155) due to incomplete baseline data recording for some patients in some outcomes. </w:t>
      </w:r>
    </w:p>
    <w:p w:rsidR="00D00ECB" w:rsidRPr="003D6709" w:rsidRDefault="003C41BB" w:rsidP="00D00ECB">
      <w:pPr>
        <w:pStyle w:val="ExecSumBodyText"/>
      </w:pPr>
      <w:r w:rsidRPr="003D6709">
        <w:t xml:space="preserve">Table 7 </w:t>
      </w:r>
      <w:r w:rsidR="00D00ECB" w:rsidRPr="003D6709">
        <w:t>presents the prognostic and treatment effect modifier variables chosen for matching, along with the proportion of patients in the acalabrutinib arm before and after matching.</w:t>
      </w:r>
    </w:p>
    <w:p w:rsidR="00D00ECB" w:rsidRPr="003D6709" w:rsidRDefault="00D00ECB" w:rsidP="003C41BB">
      <w:pPr>
        <w:pStyle w:val="TableHeading"/>
      </w:pPr>
      <w:bookmarkStart w:id="22" w:name="_Ref33453814"/>
      <w:r w:rsidRPr="003D6709">
        <w:lastRenderedPageBreak/>
        <w:t xml:space="preserve">Table </w:t>
      </w:r>
      <w:r w:rsidR="003C41BB" w:rsidRPr="003D6709">
        <w:t>7</w:t>
      </w:r>
      <w:bookmarkEnd w:id="22"/>
      <w:r w:rsidRPr="003D6709">
        <w:t>: Distribution of effect modifiers and prognostic variables before and after re-weighting for acalabrutinib versus venetoclax plus rituximab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545"/>
        <w:gridCol w:w="1618"/>
        <w:gridCol w:w="1618"/>
        <w:gridCol w:w="1618"/>
        <w:gridCol w:w="1618"/>
      </w:tblGrid>
      <w:tr w:rsidR="00D00ECB" w:rsidRPr="003D6709" w:rsidTr="002A4FB3">
        <w:trPr>
          <w:trHeight w:val="732"/>
          <w:jc w:val="center"/>
        </w:trPr>
        <w:tc>
          <w:tcPr>
            <w:tcW w:w="1411" w:type="pct"/>
            <w:shd w:val="clear" w:color="auto" w:fill="auto"/>
            <w:vAlign w:val="center"/>
            <w:hideMark/>
          </w:tcPr>
          <w:p w:rsidR="00D00ECB" w:rsidRPr="003D6709" w:rsidRDefault="00D00ECB" w:rsidP="0098732D">
            <w:pPr>
              <w:keepNext/>
              <w:jc w:val="left"/>
              <w:rPr>
                <w:rFonts w:ascii="Arial Narrow" w:hAnsi="Arial Narrow" w:cs="Times New Roman"/>
                <w:b/>
                <w:bCs/>
                <w:sz w:val="20"/>
                <w:szCs w:val="20"/>
              </w:rPr>
            </w:pPr>
            <w:r w:rsidRPr="003D6709">
              <w:rPr>
                <w:rFonts w:ascii="Arial Narrow" w:hAnsi="Arial Narrow" w:cs="Times New Roman"/>
                <w:b/>
                <w:bCs/>
                <w:sz w:val="20"/>
                <w:szCs w:val="20"/>
              </w:rPr>
              <w:t>Effect modifier and prognostic characteristics</w:t>
            </w:r>
          </w:p>
        </w:tc>
        <w:tc>
          <w:tcPr>
            <w:tcW w:w="897" w:type="pct"/>
            <w:shd w:val="clear" w:color="auto" w:fill="auto"/>
            <w:vAlign w:val="center"/>
            <w:hideMark/>
          </w:tcPr>
          <w:p w:rsidR="00D00ECB" w:rsidRPr="003D6709" w:rsidRDefault="00D00ECB" w:rsidP="0098732D">
            <w:pPr>
              <w:keepNext/>
              <w:jc w:val="center"/>
              <w:rPr>
                <w:rFonts w:ascii="Arial Narrow" w:hAnsi="Arial Narrow"/>
                <w:b/>
                <w:bCs/>
                <w:sz w:val="20"/>
                <w:szCs w:val="20"/>
              </w:rPr>
            </w:pPr>
            <w:r w:rsidRPr="003D6709">
              <w:rPr>
                <w:rFonts w:ascii="Arial Narrow" w:hAnsi="Arial Narrow"/>
                <w:b/>
                <w:bCs/>
                <w:sz w:val="20"/>
                <w:szCs w:val="20"/>
              </w:rPr>
              <w:t>ACAL</w:t>
            </w:r>
          </w:p>
          <w:p w:rsidR="00D00ECB" w:rsidRPr="003D6709" w:rsidRDefault="00D00ECB" w:rsidP="0098732D">
            <w:pPr>
              <w:keepNext/>
              <w:jc w:val="center"/>
              <w:rPr>
                <w:rFonts w:ascii="Arial Narrow" w:hAnsi="Arial Narrow"/>
                <w:b/>
                <w:bCs/>
                <w:sz w:val="20"/>
                <w:szCs w:val="20"/>
              </w:rPr>
            </w:pPr>
            <w:r w:rsidRPr="003D6709">
              <w:rPr>
                <w:rFonts w:ascii="Arial Narrow" w:hAnsi="Arial Narrow"/>
                <w:b/>
                <w:bCs/>
                <w:sz w:val="20"/>
                <w:szCs w:val="20"/>
              </w:rPr>
              <w:t>unadjusted</w:t>
            </w:r>
          </w:p>
          <w:p w:rsidR="00D00ECB" w:rsidRPr="003D6709" w:rsidRDefault="00D00ECB" w:rsidP="0098732D">
            <w:pPr>
              <w:keepNext/>
              <w:jc w:val="center"/>
              <w:rPr>
                <w:rFonts w:ascii="Arial Narrow" w:hAnsi="Arial Narrow"/>
                <w:b/>
                <w:bCs/>
                <w:sz w:val="20"/>
                <w:szCs w:val="20"/>
                <w:vertAlign w:val="superscript"/>
              </w:rPr>
            </w:pPr>
            <w:r w:rsidRPr="003D6709">
              <w:rPr>
                <w:rFonts w:ascii="Arial Narrow" w:hAnsi="Arial Narrow"/>
                <w:b/>
                <w:bCs/>
                <w:sz w:val="20"/>
                <w:szCs w:val="20"/>
              </w:rPr>
              <w:t>(N=150)</w:t>
            </w:r>
            <w:r w:rsidRPr="003D6709">
              <w:rPr>
                <w:rFonts w:ascii="Arial Narrow" w:hAnsi="Arial Narrow"/>
                <w:b/>
                <w:bCs/>
                <w:sz w:val="20"/>
                <w:szCs w:val="20"/>
                <w:vertAlign w:val="superscript"/>
              </w:rPr>
              <w:t>1</w:t>
            </w:r>
          </w:p>
        </w:tc>
        <w:tc>
          <w:tcPr>
            <w:tcW w:w="897" w:type="pct"/>
            <w:shd w:val="clear" w:color="auto" w:fill="auto"/>
            <w:vAlign w:val="center"/>
          </w:tcPr>
          <w:p w:rsidR="00D00ECB" w:rsidRPr="003D6709" w:rsidRDefault="00D00ECB" w:rsidP="0098732D">
            <w:pPr>
              <w:keepNext/>
              <w:jc w:val="center"/>
              <w:rPr>
                <w:rFonts w:ascii="Arial Narrow" w:hAnsi="Arial Narrow"/>
                <w:b/>
                <w:bCs/>
                <w:sz w:val="20"/>
                <w:szCs w:val="20"/>
              </w:rPr>
            </w:pPr>
            <w:r w:rsidRPr="003D6709">
              <w:rPr>
                <w:rFonts w:ascii="Arial Narrow" w:hAnsi="Arial Narrow"/>
                <w:b/>
                <w:bCs/>
                <w:sz w:val="20"/>
                <w:szCs w:val="20"/>
              </w:rPr>
              <w:t>VEN + RITU</w:t>
            </w:r>
          </w:p>
          <w:p w:rsidR="00D00ECB" w:rsidRPr="003D6709" w:rsidRDefault="00D00ECB" w:rsidP="0098732D">
            <w:pPr>
              <w:keepNext/>
              <w:jc w:val="center"/>
              <w:rPr>
                <w:rFonts w:ascii="Arial Narrow" w:hAnsi="Arial Narrow"/>
                <w:b/>
                <w:bCs/>
                <w:sz w:val="20"/>
                <w:szCs w:val="20"/>
              </w:rPr>
            </w:pPr>
            <w:r w:rsidRPr="003D6709">
              <w:rPr>
                <w:rFonts w:ascii="Arial Narrow" w:hAnsi="Arial Narrow"/>
                <w:b/>
                <w:bCs/>
                <w:sz w:val="20"/>
                <w:szCs w:val="20"/>
              </w:rPr>
              <w:t>(N=195)</w:t>
            </w:r>
          </w:p>
        </w:tc>
        <w:tc>
          <w:tcPr>
            <w:tcW w:w="897" w:type="pct"/>
            <w:shd w:val="clear" w:color="auto" w:fill="auto"/>
            <w:vAlign w:val="center"/>
          </w:tcPr>
          <w:p w:rsidR="00D00ECB" w:rsidRPr="003D6709" w:rsidRDefault="00D00ECB" w:rsidP="0098732D">
            <w:pPr>
              <w:keepNext/>
              <w:jc w:val="center"/>
              <w:rPr>
                <w:rFonts w:ascii="Arial Narrow" w:hAnsi="Arial Narrow"/>
                <w:b/>
                <w:bCs/>
                <w:sz w:val="20"/>
                <w:szCs w:val="20"/>
              </w:rPr>
            </w:pPr>
            <w:r w:rsidRPr="003D6709">
              <w:rPr>
                <w:rFonts w:ascii="Arial Narrow" w:hAnsi="Arial Narrow"/>
                <w:b/>
                <w:bCs/>
                <w:i/>
                <w:sz w:val="20"/>
                <w:szCs w:val="20"/>
              </w:rPr>
              <w:t>p</w:t>
            </w:r>
            <w:r w:rsidRPr="003D6709">
              <w:rPr>
                <w:rFonts w:ascii="Arial Narrow" w:hAnsi="Arial Narrow"/>
                <w:b/>
                <w:bCs/>
                <w:sz w:val="20"/>
                <w:szCs w:val="20"/>
              </w:rPr>
              <w:t>-value</w:t>
            </w:r>
            <w:r w:rsidR="00671F93" w:rsidRPr="003D6709">
              <w:rPr>
                <w:rFonts w:ascii="Arial Narrow" w:hAnsi="Arial Narrow"/>
                <w:b/>
                <w:bCs/>
                <w:sz w:val="20"/>
                <w:szCs w:val="20"/>
              </w:rPr>
              <w:t xml:space="preserve"> for difference</w:t>
            </w:r>
          </w:p>
        </w:tc>
        <w:tc>
          <w:tcPr>
            <w:tcW w:w="897" w:type="pct"/>
            <w:shd w:val="clear" w:color="auto" w:fill="auto"/>
            <w:vAlign w:val="center"/>
          </w:tcPr>
          <w:p w:rsidR="00D00ECB" w:rsidRPr="003D6709" w:rsidRDefault="00D00ECB" w:rsidP="0098732D">
            <w:pPr>
              <w:keepNext/>
              <w:jc w:val="center"/>
              <w:rPr>
                <w:rFonts w:ascii="Arial Narrow" w:hAnsi="Arial Narrow"/>
                <w:b/>
                <w:bCs/>
                <w:sz w:val="20"/>
                <w:szCs w:val="20"/>
              </w:rPr>
            </w:pPr>
            <w:r w:rsidRPr="003D6709">
              <w:rPr>
                <w:rFonts w:ascii="Arial Narrow" w:hAnsi="Arial Narrow"/>
                <w:b/>
                <w:bCs/>
                <w:sz w:val="20"/>
                <w:szCs w:val="20"/>
              </w:rPr>
              <w:t>ACAL</w:t>
            </w:r>
          </w:p>
          <w:p w:rsidR="00D00ECB" w:rsidRPr="003D6709" w:rsidRDefault="00D00ECB" w:rsidP="0098732D">
            <w:pPr>
              <w:keepNext/>
              <w:jc w:val="center"/>
              <w:rPr>
                <w:rFonts w:ascii="Arial Narrow" w:hAnsi="Arial Narrow"/>
                <w:b/>
                <w:bCs/>
                <w:sz w:val="20"/>
                <w:szCs w:val="20"/>
              </w:rPr>
            </w:pPr>
            <w:r w:rsidRPr="003D6709">
              <w:rPr>
                <w:rFonts w:ascii="Arial Narrow" w:hAnsi="Arial Narrow"/>
                <w:b/>
                <w:bCs/>
                <w:sz w:val="20"/>
                <w:szCs w:val="20"/>
              </w:rPr>
              <w:t>MAIC adjusted</w:t>
            </w:r>
          </w:p>
          <w:p w:rsidR="00D00ECB" w:rsidRPr="003D6709" w:rsidRDefault="00D00ECB" w:rsidP="0098732D">
            <w:pPr>
              <w:keepNext/>
              <w:jc w:val="center"/>
              <w:rPr>
                <w:rFonts w:ascii="Arial Narrow" w:hAnsi="Arial Narrow"/>
                <w:b/>
                <w:bCs/>
                <w:sz w:val="20"/>
                <w:szCs w:val="20"/>
                <w:vertAlign w:val="superscript"/>
              </w:rPr>
            </w:pPr>
            <w:r w:rsidRPr="003D6709">
              <w:rPr>
                <w:rFonts w:ascii="Arial Narrow" w:hAnsi="Arial Narrow"/>
                <w:b/>
                <w:bCs/>
                <w:sz w:val="20"/>
                <w:szCs w:val="20"/>
              </w:rPr>
              <w:t>(N=86)</w:t>
            </w:r>
            <w:r w:rsidRPr="003D6709">
              <w:rPr>
                <w:rFonts w:ascii="Arial Narrow" w:hAnsi="Arial Narrow"/>
                <w:b/>
                <w:bCs/>
                <w:sz w:val="20"/>
                <w:szCs w:val="20"/>
                <w:vertAlign w:val="superscript"/>
              </w:rPr>
              <w:t>2</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Age ≥65</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94 (62.7%)</w:t>
            </w:r>
          </w:p>
        </w:tc>
        <w:tc>
          <w:tcPr>
            <w:tcW w:w="897" w:type="pct"/>
            <w:shd w:val="clear" w:color="auto" w:fill="auto"/>
          </w:tcPr>
          <w:p w:rsidR="00D00ECB" w:rsidRPr="003D6709" w:rsidRDefault="00D00ECB" w:rsidP="004B4A93">
            <w:pPr>
              <w:pStyle w:val="TableText"/>
              <w:jc w:val="center"/>
              <w:rPr>
                <w:szCs w:val="20"/>
              </w:rPr>
            </w:pPr>
            <w:r w:rsidRPr="003D6709">
              <w:rPr>
                <w:szCs w:val="20"/>
              </w:rPr>
              <w:t>97 (50.0%)</w:t>
            </w:r>
          </w:p>
        </w:tc>
        <w:tc>
          <w:tcPr>
            <w:tcW w:w="897" w:type="pct"/>
          </w:tcPr>
          <w:p w:rsidR="00D00ECB" w:rsidRPr="003D6709" w:rsidRDefault="00D00ECB" w:rsidP="004B4A93">
            <w:pPr>
              <w:pStyle w:val="TableText"/>
              <w:jc w:val="center"/>
              <w:rPr>
                <w:szCs w:val="20"/>
              </w:rPr>
            </w:pPr>
            <w:r w:rsidRPr="003D6709">
              <w:rPr>
                <w:szCs w:val="20"/>
              </w:rPr>
              <w:t>&lt;0.05</w:t>
            </w:r>
          </w:p>
        </w:tc>
        <w:tc>
          <w:tcPr>
            <w:tcW w:w="897" w:type="pct"/>
          </w:tcPr>
          <w:p w:rsidR="00D00ECB" w:rsidRPr="003D6709" w:rsidRDefault="00D00ECB" w:rsidP="004B4A93">
            <w:pPr>
              <w:pStyle w:val="TableText"/>
              <w:jc w:val="center"/>
              <w:rPr>
                <w:szCs w:val="20"/>
              </w:rPr>
            </w:pPr>
            <w:r w:rsidRPr="003D6709">
              <w:rPr>
                <w:szCs w:val="20"/>
              </w:rPr>
              <w:t>50.0%</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Male</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105 (70.0%)</w:t>
            </w:r>
          </w:p>
        </w:tc>
        <w:tc>
          <w:tcPr>
            <w:tcW w:w="897" w:type="pct"/>
            <w:shd w:val="clear" w:color="auto" w:fill="auto"/>
          </w:tcPr>
          <w:p w:rsidR="00D00ECB" w:rsidRPr="003D6709" w:rsidRDefault="00D00ECB" w:rsidP="004B4A93">
            <w:pPr>
              <w:pStyle w:val="TableText"/>
              <w:jc w:val="center"/>
              <w:rPr>
                <w:szCs w:val="20"/>
              </w:rPr>
            </w:pPr>
            <w:r w:rsidRPr="003D6709">
              <w:rPr>
                <w:szCs w:val="20"/>
              </w:rPr>
              <w:t>136 (71.0%)</w:t>
            </w:r>
          </w:p>
        </w:tc>
        <w:tc>
          <w:tcPr>
            <w:tcW w:w="897" w:type="pct"/>
          </w:tcPr>
          <w:p w:rsidR="00D00ECB" w:rsidRPr="003D6709" w:rsidRDefault="00D00ECB" w:rsidP="004B4A93">
            <w:pPr>
              <w:pStyle w:val="TableText"/>
              <w:jc w:val="center"/>
              <w:rPr>
                <w:szCs w:val="20"/>
              </w:rPr>
            </w:pPr>
            <w:r w:rsidRPr="003D6709">
              <w:rPr>
                <w:szCs w:val="20"/>
              </w:rPr>
              <w:t>0.93</w:t>
            </w:r>
          </w:p>
        </w:tc>
        <w:tc>
          <w:tcPr>
            <w:tcW w:w="897" w:type="pct"/>
          </w:tcPr>
          <w:p w:rsidR="00D00ECB" w:rsidRPr="003D6709" w:rsidRDefault="00D00ECB" w:rsidP="004B4A93">
            <w:pPr>
              <w:pStyle w:val="TableText"/>
              <w:jc w:val="center"/>
              <w:rPr>
                <w:szCs w:val="20"/>
              </w:rPr>
            </w:pPr>
            <w:r w:rsidRPr="003D6709">
              <w:rPr>
                <w:szCs w:val="20"/>
              </w:rPr>
              <w:t>71.0%</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17p deletion</w:t>
            </w:r>
            <w:r w:rsidRPr="003D6709">
              <w:rPr>
                <w:rFonts w:cs="Times New Roman"/>
                <w:szCs w:val="20"/>
              </w:rPr>
              <w:t>, n (%)</w:t>
            </w:r>
            <w:r w:rsidRPr="003D6709">
              <w:rPr>
                <w:szCs w:val="20"/>
              </w:rPr>
              <w:t xml:space="preserve"> </w:t>
            </w:r>
          </w:p>
        </w:tc>
        <w:tc>
          <w:tcPr>
            <w:tcW w:w="897" w:type="pct"/>
            <w:shd w:val="clear" w:color="auto" w:fill="auto"/>
          </w:tcPr>
          <w:p w:rsidR="00D00ECB" w:rsidRPr="003D6709" w:rsidRDefault="00D00ECB" w:rsidP="004B4A93">
            <w:pPr>
              <w:pStyle w:val="TableText"/>
              <w:jc w:val="center"/>
              <w:rPr>
                <w:szCs w:val="20"/>
              </w:rPr>
            </w:pPr>
            <w:r w:rsidRPr="003D6709">
              <w:rPr>
                <w:szCs w:val="20"/>
              </w:rPr>
              <w:t>27 (18.0%)</w:t>
            </w:r>
          </w:p>
        </w:tc>
        <w:tc>
          <w:tcPr>
            <w:tcW w:w="897" w:type="pct"/>
            <w:shd w:val="clear" w:color="auto" w:fill="auto"/>
          </w:tcPr>
          <w:p w:rsidR="00D00ECB" w:rsidRPr="003D6709" w:rsidRDefault="00D00ECB" w:rsidP="004B4A93">
            <w:pPr>
              <w:pStyle w:val="TableText"/>
              <w:jc w:val="center"/>
              <w:rPr>
                <w:szCs w:val="20"/>
              </w:rPr>
            </w:pPr>
            <w:r w:rsidRPr="003D6709">
              <w:rPr>
                <w:szCs w:val="20"/>
              </w:rPr>
              <w:t>46 (26.6%)</w:t>
            </w:r>
          </w:p>
        </w:tc>
        <w:tc>
          <w:tcPr>
            <w:tcW w:w="897" w:type="pct"/>
          </w:tcPr>
          <w:p w:rsidR="00D00ECB" w:rsidRPr="003D6709" w:rsidRDefault="00D00ECB" w:rsidP="004B4A93">
            <w:pPr>
              <w:pStyle w:val="TableText"/>
              <w:jc w:val="center"/>
              <w:rPr>
                <w:szCs w:val="20"/>
              </w:rPr>
            </w:pPr>
            <w:r w:rsidRPr="003D6709">
              <w:rPr>
                <w:szCs w:val="20"/>
              </w:rPr>
              <w:t>0.08</w:t>
            </w:r>
          </w:p>
        </w:tc>
        <w:tc>
          <w:tcPr>
            <w:tcW w:w="897" w:type="pct"/>
          </w:tcPr>
          <w:p w:rsidR="00D00ECB" w:rsidRPr="003D6709" w:rsidRDefault="00D00ECB" w:rsidP="004B4A93">
            <w:pPr>
              <w:pStyle w:val="TableText"/>
              <w:jc w:val="center"/>
              <w:rPr>
                <w:szCs w:val="20"/>
              </w:rPr>
            </w:pPr>
            <w:r w:rsidRPr="003D6709">
              <w:rPr>
                <w:szCs w:val="20"/>
              </w:rPr>
              <w:t>26.6%</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ECOG score = 0</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58 (38.7%)</w:t>
            </w:r>
          </w:p>
        </w:tc>
        <w:tc>
          <w:tcPr>
            <w:tcW w:w="897" w:type="pct"/>
            <w:shd w:val="clear" w:color="auto" w:fill="auto"/>
          </w:tcPr>
          <w:p w:rsidR="00D00ECB" w:rsidRPr="003D6709" w:rsidRDefault="00D00ECB" w:rsidP="004B4A93">
            <w:pPr>
              <w:pStyle w:val="TableText"/>
              <w:jc w:val="center"/>
              <w:rPr>
                <w:szCs w:val="20"/>
              </w:rPr>
            </w:pPr>
            <w:r w:rsidRPr="003D6709">
              <w:rPr>
                <w:szCs w:val="20"/>
              </w:rPr>
              <w:t>111 (57.2%)</w:t>
            </w:r>
          </w:p>
        </w:tc>
        <w:tc>
          <w:tcPr>
            <w:tcW w:w="897" w:type="pct"/>
          </w:tcPr>
          <w:p w:rsidR="00D00ECB" w:rsidRPr="003D6709" w:rsidRDefault="00D00ECB" w:rsidP="004B4A93">
            <w:pPr>
              <w:pStyle w:val="TableText"/>
              <w:jc w:val="center"/>
              <w:rPr>
                <w:szCs w:val="20"/>
              </w:rPr>
            </w:pPr>
            <w:r w:rsidRPr="003D6709">
              <w:rPr>
                <w:szCs w:val="20"/>
              </w:rPr>
              <w:t>&lt;0.0001</w:t>
            </w:r>
          </w:p>
        </w:tc>
        <w:tc>
          <w:tcPr>
            <w:tcW w:w="897" w:type="pct"/>
          </w:tcPr>
          <w:p w:rsidR="00D00ECB" w:rsidRPr="003D6709" w:rsidRDefault="00D00ECB" w:rsidP="004B4A93">
            <w:pPr>
              <w:pStyle w:val="TableText"/>
              <w:jc w:val="center"/>
              <w:rPr>
                <w:szCs w:val="20"/>
              </w:rPr>
            </w:pPr>
            <w:r w:rsidRPr="003D6709">
              <w:rPr>
                <w:szCs w:val="20"/>
              </w:rPr>
              <w:t>57.2%</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ECOG score = 1</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75 (50.0%)</w:t>
            </w:r>
          </w:p>
        </w:tc>
        <w:tc>
          <w:tcPr>
            <w:tcW w:w="897" w:type="pct"/>
            <w:shd w:val="clear" w:color="auto" w:fill="auto"/>
          </w:tcPr>
          <w:p w:rsidR="00D00ECB" w:rsidRPr="003D6709" w:rsidRDefault="00D00ECB" w:rsidP="004B4A93">
            <w:pPr>
              <w:pStyle w:val="TableText"/>
              <w:jc w:val="center"/>
              <w:rPr>
                <w:szCs w:val="20"/>
              </w:rPr>
            </w:pPr>
            <w:r w:rsidRPr="003D6709">
              <w:rPr>
                <w:szCs w:val="20"/>
              </w:rPr>
              <w:t>82 (42.3%)</w:t>
            </w:r>
          </w:p>
        </w:tc>
        <w:tc>
          <w:tcPr>
            <w:tcW w:w="897" w:type="pct"/>
          </w:tcPr>
          <w:p w:rsidR="00D00ECB" w:rsidRPr="003D6709" w:rsidRDefault="00D00ECB" w:rsidP="004B4A93">
            <w:pPr>
              <w:pStyle w:val="TableText"/>
              <w:jc w:val="center"/>
              <w:rPr>
                <w:szCs w:val="20"/>
              </w:rPr>
            </w:pPr>
            <w:r w:rsidRPr="003D6709">
              <w:rPr>
                <w:szCs w:val="20"/>
              </w:rPr>
              <w:t>0.19</w:t>
            </w:r>
          </w:p>
        </w:tc>
        <w:tc>
          <w:tcPr>
            <w:tcW w:w="897" w:type="pct"/>
          </w:tcPr>
          <w:p w:rsidR="00D00ECB" w:rsidRPr="003D6709" w:rsidRDefault="00D00ECB" w:rsidP="004B4A93">
            <w:pPr>
              <w:pStyle w:val="TableText"/>
              <w:jc w:val="center"/>
              <w:rPr>
                <w:szCs w:val="20"/>
              </w:rPr>
            </w:pPr>
            <w:r w:rsidRPr="003D6709">
              <w:rPr>
                <w:szCs w:val="20"/>
              </w:rPr>
              <w:t>42.3%</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ECOG score = 2</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17 (11.3%)</w:t>
            </w:r>
          </w:p>
        </w:tc>
        <w:tc>
          <w:tcPr>
            <w:tcW w:w="897" w:type="pct"/>
            <w:shd w:val="clear" w:color="auto" w:fill="auto"/>
          </w:tcPr>
          <w:p w:rsidR="00D00ECB" w:rsidRPr="003D6709" w:rsidRDefault="00D00ECB" w:rsidP="004B4A93">
            <w:pPr>
              <w:pStyle w:val="TableText"/>
              <w:jc w:val="center"/>
              <w:rPr>
                <w:szCs w:val="20"/>
              </w:rPr>
            </w:pPr>
            <w:r w:rsidRPr="003D6709">
              <w:rPr>
                <w:szCs w:val="20"/>
              </w:rPr>
              <w:t>1 (0.5%)</w:t>
            </w:r>
          </w:p>
        </w:tc>
        <w:tc>
          <w:tcPr>
            <w:tcW w:w="897" w:type="pct"/>
          </w:tcPr>
          <w:p w:rsidR="00D00ECB" w:rsidRPr="003D6709" w:rsidRDefault="00D00ECB" w:rsidP="004B4A93">
            <w:pPr>
              <w:pStyle w:val="TableText"/>
              <w:jc w:val="center"/>
              <w:rPr>
                <w:szCs w:val="20"/>
              </w:rPr>
            </w:pPr>
            <w:r w:rsidRPr="003D6709">
              <w:rPr>
                <w:szCs w:val="20"/>
              </w:rPr>
              <w:t>&lt; 0.05</w:t>
            </w:r>
          </w:p>
        </w:tc>
        <w:tc>
          <w:tcPr>
            <w:tcW w:w="897" w:type="pct"/>
          </w:tcPr>
          <w:p w:rsidR="00D00ECB" w:rsidRPr="003D6709" w:rsidRDefault="00D00ECB" w:rsidP="004B4A93">
            <w:pPr>
              <w:pStyle w:val="TableText"/>
              <w:jc w:val="center"/>
              <w:rPr>
                <w:szCs w:val="20"/>
              </w:rPr>
            </w:pPr>
            <w:r w:rsidRPr="003D6709">
              <w:rPr>
                <w:szCs w:val="20"/>
              </w:rPr>
              <w:t>0.5%</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Rai stage 3-4</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61 (40.7%)</w:t>
            </w:r>
          </w:p>
        </w:tc>
        <w:tc>
          <w:tcPr>
            <w:tcW w:w="897" w:type="pct"/>
            <w:shd w:val="clear" w:color="auto" w:fill="auto"/>
          </w:tcPr>
          <w:p w:rsidR="00D00ECB" w:rsidRPr="003D6709" w:rsidRDefault="00D00ECB" w:rsidP="004B4A93">
            <w:pPr>
              <w:pStyle w:val="TableText"/>
              <w:jc w:val="center"/>
              <w:rPr>
                <w:szCs w:val="20"/>
              </w:rPr>
            </w:pPr>
            <w:r w:rsidRPr="003D6709">
              <w:rPr>
                <w:szCs w:val="20"/>
              </w:rPr>
              <w:t>45 (23.1%)</w:t>
            </w:r>
          </w:p>
        </w:tc>
        <w:tc>
          <w:tcPr>
            <w:tcW w:w="897" w:type="pct"/>
          </w:tcPr>
          <w:p w:rsidR="00D00ECB" w:rsidRPr="003D6709" w:rsidRDefault="00D00ECB" w:rsidP="004B4A93">
            <w:pPr>
              <w:pStyle w:val="TableText"/>
              <w:jc w:val="center"/>
              <w:rPr>
                <w:szCs w:val="20"/>
              </w:rPr>
            </w:pPr>
            <w:r w:rsidRPr="003D6709">
              <w:rPr>
                <w:szCs w:val="20"/>
              </w:rPr>
              <w:t>&lt;0.0001</w:t>
            </w:r>
          </w:p>
        </w:tc>
        <w:tc>
          <w:tcPr>
            <w:tcW w:w="897" w:type="pct"/>
          </w:tcPr>
          <w:p w:rsidR="00D00ECB" w:rsidRPr="003D6709" w:rsidRDefault="00D00ECB" w:rsidP="004B4A93">
            <w:pPr>
              <w:pStyle w:val="TableText"/>
              <w:jc w:val="center"/>
              <w:rPr>
                <w:szCs w:val="20"/>
              </w:rPr>
            </w:pPr>
            <w:r w:rsidRPr="003D6709">
              <w:rPr>
                <w:szCs w:val="20"/>
              </w:rPr>
              <w:t>23.1%</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Prior treatments =1</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79 (52.7%)</w:t>
            </w:r>
          </w:p>
        </w:tc>
        <w:tc>
          <w:tcPr>
            <w:tcW w:w="897" w:type="pct"/>
            <w:shd w:val="clear" w:color="auto" w:fill="auto"/>
          </w:tcPr>
          <w:p w:rsidR="00D00ECB" w:rsidRPr="003D6709" w:rsidRDefault="00D00ECB" w:rsidP="004B4A93">
            <w:pPr>
              <w:pStyle w:val="TableText"/>
              <w:jc w:val="center"/>
              <w:rPr>
                <w:szCs w:val="20"/>
              </w:rPr>
            </w:pPr>
            <w:r w:rsidRPr="003D6709">
              <w:rPr>
                <w:szCs w:val="20"/>
              </w:rPr>
              <w:t>111 (57.2%)</w:t>
            </w:r>
          </w:p>
        </w:tc>
        <w:tc>
          <w:tcPr>
            <w:tcW w:w="897" w:type="pct"/>
          </w:tcPr>
          <w:p w:rsidR="00D00ECB" w:rsidRPr="003D6709" w:rsidRDefault="00D00ECB" w:rsidP="004B4A93">
            <w:pPr>
              <w:pStyle w:val="TableText"/>
              <w:jc w:val="center"/>
              <w:rPr>
                <w:szCs w:val="20"/>
              </w:rPr>
            </w:pPr>
            <w:r w:rsidRPr="003D6709">
              <w:rPr>
                <w:szCs w:val="20"/>
              </w:rPr>
              <w:t>0.47</w:t>
            </w:r>
          </w:p>
        </w:tc>
        <w:tc>
          <w:tcPr>
            <w:tcW w:w="897" w:type="pct"/>
          </w:tcPr>
          <w:p w:rsidR="00D00ECB" w:rsidRPr="003D6709" w:rsidRDefault="00D00ECB" w:rsidP="004B4A93">
            <w:pPr>
              <w:pStyle w:val="TableText"/>
              <w:jc w:val="center"/>
              <w:rPr>
                <w:szCs w:val="20"/>
              </w:rPr>
            </w:pPr>
            <w:r w:rsidRPr="003D6709">
              <w:rPr>
                <w:szCs w:val="20"/>
              </w:rPr>
              <w:t>57.2%</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Prior treatments =2</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38 (25.3%)</w:t>
            </w:r>
          </w:p>
        </w:tc>
        <w:tc>
          <w:tcPr>
            <w:tcW w:w="897" w:type="pct"/>
            <w:shd w:val="clear" w:color="auto" w:fill="auto"/>
          </w:tcPr>
          <w:p w:rsidR="00D00ECB" w:rsidRPr="003D6709" w:rsidRDefault="00D00ECB" w:rsidP="004B4A93">
            <w:pPr>
              <w:pStyle w:val="TableText"/>
              <w:jc w:val="center"/>
              <w:rPr>
                <w:szCs w:val="20"/>
              </w:rPr>
            </w:pPr>
            <w:r w:rsidRPr="003D6709">
              <w:rPr>
                <w:szCs w:val="20"/>
              </w:rPr>
              <w:t>57 (29.4%)</w:t>
            </w:r>
          </w:p>
        </w:tc>
        <w:tc>
          <w:tcPr>
            <w:tcW w:w="897" w:type="pct"/>
          </w:tcPr>
          <w:p w:rsidR="00D00ECB" w:rsidRPr="003D6709" w:rsidRDefault="00D00ECB" w:rsidP="004B4A93">
            <w:pPr>
              <w:pStyle w:val="TableText"/>
              <w:jc w:val="center"/>
              <w:rPr>
                <w:szCs w:val="20"/>
              </w:rPr>
            </w:pPr>
            <w:r w:rsidRPr="003D6709">
              <w:rPr>
                <w:szCs w:val="20"/>
              </w:rPr>
              <w:t>0.47</w:t>
            </w:r>
          </w:p>
        </w:tc>
        <w:tc>
          <w:tcPr>
            <w:tcW w:w="897" w:type="pct"/>
          </w:tcPr>
          <w:p w:rsidR="00D00ECB" w:rsidRPr="003D6709" w:rsidRDefault="00D00ECB" w:rsidP="004B4A93">
            <w:pPr>
              <w:pStyle w:val="TableText"/>
              <w:jc w:val="center"/>
              <w:rPr>
                <w:szCs w:val="20"/>
              </w:rPr>
            </w:pPr>
            <w:r w:rsidRPr="003D6709">
              <w:rPr>
                <w:szCs w:val="20"/>
              </w:rPr>
              <w:t>29.4%</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Prior treatments ≥3</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33 (22.0%)</w:t>
            </w:r>
          </w:p>
        </w:tc>
        <w:tc>
          <w:tcPr>
            <w:tcW w:w="897" w:type="pct"/>
            <w:shd w:val="clear" w:color="auto" w:fill="auto"/>
          </w:tcPr>
          <w:p w:rsidR="00D00ECB" w:rsidRPr="003D6709" w:rsidRDefault="00D00ECB" w:rsidP="004B4A93">
            <w:pPr>
              <w:pStyle w:val="TableText"/>
              <w:jc w:val="center"/>
              <w:rPr>
                <w:szCs w:val="20"/>
              </w:rPr>
            </w:pPr>
            <w:r w:rsidRPr="003D6709">
              <w:rPr>
                <w:szCs w:val="20"/>
              </w:rPr>
              <w:t>26 (13.4%)</w:t>
            </w:r>
          </w:p>
        </w:tc>
        <w:tc>
          <w:tcPr>
            <w:tcW w:w="897" w:type="pct"/>
          </w:tcPr>
          <w:p w:rsidR="00D00ECB" w:rsidRPr="003D6709" w:rsidRDefault="00D00ECB" w:rsidP="004B4A93">
            <w:pPr>
              <w:pStyle w:val="TableText"/>
              <w:jc w:val="center"/>
              <w:rPr>
                <w:szCs w:val="20"/>
              </w:rPr>
            </w:pPr>
            <w:r w:rsidRPr="003D6709">
              <w:rPr>
                <w:szCs w:val="20"/>
              </w:rPr>
              <w:t>0.68</w:t>
            </w:r>
          </w:p>
        </w:tc>
        <w:tc>
          <w:tcPr>
            <w:tcW w:w="897" w:type="pct"/>
          </w:tcPr>
          <w:p w:rsidR="00D00ECB" w:rsidRPr="003D6709" w:rsidRDefault="00D00ECB" w:rsidP="004B4A93">
            <w:pPr>
              <w:pStyle w:val="TableText"/>
              <w:jc w:val="center"/>
              <w:rPr>
                <w:szCs w:val="20"/>
              </w:rPr>
            </w:pPr>
            <w:r w:rsidRPr="003D6709">
              <w:rPr>
                <w:szCs w:val="20"/>
              </w:rPr>
              <w:t>13.4%</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 xml:space="preserve">IGHV </w:t>
            </w:r>
            <w:proofErr w:type="spellStart"/>
            <w:r w:rsidRPr="003D6709">
              <w:rPr>
                <w:szCs w:val="20"/>
              </w:rPr>
              <w:t>unmutated</w:t>
            </w:r>
            <w:proofErr w:type="spellEnd"/>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117 (78.0%)</w:t>
            </w:r>
          </w:p>
        </w:tc>
        <w:tc>
          <w:tcPr>
            <w:tcW w:w="897" w:type="pct"/>
            <w:shd w:val="clear" w:color="auto" w:fill="auto"/>
          </w:tcPr>
          <w:p w:rsidR="00D00ECB" w:rsidRPr="003D6709" w:rsidRDefault="00D00ECB" w:rsidP="004B4A93">
            <w:pPr>
              <w:pStyle w:val="TableText"/>
              <w:jc w:val="center"/>
              <w:rPr>
                <w:szCs w:val="20"/>
              </w:rPr>
            </w:pPr>
            <w:r w:rsidRPr="003D6709">
              <w:rPr>
                <w:szCs w:val="20"/>
              </w:rPr>
              <w:t>133 (68.3%)</w:t>
            </w:r>
          </w:p>
        </w:tc>
        <w:tc>
          <w:tcPr>
            <w:tcW w:w="897" w:type="pct"/>
          </w:tcPr>
          <w:p w:rsidR="00D00ECB" w:rsidRPr="003D6709" w:rsidRDefault="00D00ECB" w:rsidP="004B4A93">
            <w:pPr>
              <w:pStyle w:val="TableText"/>
              <w:jc w:val="center"/>
              <w:rPr>
                <w:szCs w:val="20"/>
              </w:rPr>
            </w:pPr>
            <w:r w:rsidRPr="003D6709">
              <w:rPr>
                <w:szCs w:val="20"/>
              </w:rPr>
              <w:t>0.06</w:t>
            </w:r>
          </w:p>
        </w:tc>
        <w:tc>
          <w:tcPr>
            <w:tcW w:w="897" w:type="pct"/>
          </w:tcPr>
          <w:p w:rsidR="00D00ECB" w:rsidRPr="003D6709" w:rsidRDefault="00D00ECB" w:rsidP="004B4A93">
            <w:pPr>
              <w:pStyle w:val="TableText"/>
              <w:jc w:val="center"/>
              <w:rPr>
                <w:szCs w:val="20"/>
              </w:rPr>
            </w:pPr>
            <w:r w:rsidRPr="003D6709">
              <w:rPr>
                <w:szCs w:val="20"/>
              </w:rPr>
              <w:t>68.3%</w:t>
            </w:r>
          </w:p>
        </w:tc>
      </w:tr>
      <w:tr w:rsidR="00D00ECB" w:rsidRPr="003D6709" w:rsidTr="002A4FB3">
        <w:trPr>
          <w:jc w:val="center"/>
        </w:trPr>
        <w:tc>
          <w:tcPr>
            <w:tcW w:w="1411" w:type="pct"/>
          </w:tcPr>
          <w:p w:rsidR="00D00ECB" w:rsidRPr="003D6709" w:rsidRDefault="00D00ECB" w:rsidP="004B4A93">
            <w:pPr>
              <w:pStyle w:val="TableText"/>
              <w:rPr>
                <w:rFonts w:cs="Times New Roman"/>
                <w:szCs w:val="20"/>
              </w:rPr>
            </w:pPr>
            <w:r w:rsidRPr="003D6709">
              <w:rPr>
                <w:szCs w:val="20"/>
              </w:rPr>
              <w:t>TP53 mutation</w:t>
            </w:r>
            <w:r w:rsidRPr="003D6709">
              <w:rPr>
                <w:rFonts w:cs="Times New Roman"/>
                <w:szCs w:val="20"/>
              </w:rPr>
              <w:t>, n (%)</w:t>
            </w:r>
          </w:p>
        </w:tc>
        <w:tc>
          <w:tcPr>
            <w:tcW w:w="897" w:type="pct"/>
            <w:shd w:val="clear" w:color="auto" w:fill="auto"/>
          </w:tcPr>
          <w:p w:rsidR="00D00ECB" w:rsidRPr="003D6709" w:rsidRDefault="00D00ECB" w:rsidP="004B4A93">
            <w:pPr>
              <w:pStyle w:val="TableText"/>
              <w:jc w:val="center"/>
              <w:rPr>
                <w:szCs w:val="20"/>
              </w:rPr>
            </w:pPr>
            <w:r w:rsidRPr="003D6709">
              <w:rPr>
                <w:szCs w:val="20"/>
              </w:rPr>
              <w:t>39 (26.0%)</w:t>
            </w:r>
          </w:p>
        </w:tc>
        <w:tc>
          <w:tcPr>
            <w:tcW w:w="897" w:type="pct"/>
            <w:shd w:val="clear" w:color="auto" w:fill="auto"/>
          </w:tcPr>
          <w:p w:rsidR="00D00ECB" w:rsidRPr="003D6709" w:rsidRDefault="00D00ECB" w:rsidP="004B4A93">
            <w:pPr>
              <w:pStyle w:val="TableText"/>
              <w:jc w:val="center"/>
              <w:rPr>
                <w:szCs w:val="20"/>
              </w:rPr>
            </w:pPr>
            <w:r w:rsidRPr="003D6709">
              <w:rPr>
                <w:szCs w:val="20"/>
              </w:rPr>
              <w:t>49 (25.0%)</w:t>
            </w:r>
          </w:p>
        </w:tc>
        <w:tc>
          <w:tcPr>
            <w:tcW w:w="897" w:type="pct"/>
          </w:tcPr>
          <w:p w:rsidR="00D00ECB" w:rsidRPr="003D6709" w:rsidRDefault="00D00ECB" w:rsidP="004B4A93">
            <w:pPr>
              <w:pStyle w:val="TableText"/>
              <w:jc w:val="center"/>
              <w:rPr>
                <w:szCs w:val="20"/>
              </w:rPr>
            </w:pPr>
            <w:r w:rsidRPr="003D6709">
              <w:rPr>
                <w:szCs w:val="20"/>
              </w:rPr>
              <w:t>0.93</w:t>
            </w:r>
          </w:p>
        </w:tc>
        <w:tc>
          <w:tcPr>
            <w:tcW w:w="897" w:type="pct"/>
          </w:tcPr>
          <w:p w:rsidR="00D00ECB" w:rsidRPr="003D6709" w:rsidRDefault="00D00ECB" w:rsidP="004B4A93">
            <w:pPr>
              <w:pStyle w:val="TableText"/>
              <w:jc w:val="center"/>
              <w:rPr>
                <w:szCs w:val="20"/>
              </w:rPr>
            </w:pPr>
            <w:r w:rsidRPr="003D6709">
              <w:rPr>
                <w:szCs w:val="20"/>
              </w:rPr>
              <w:t>25.0%</w:t>
            </w:r>
          </w:p>
        </w:tc>
      </w:tr>
    </w:tbl>
    <w:p w:rsidR="00D00ECB" w:rsidRPr="003D6709" w:rsidRDefault="00D00ECB" w:rsidP="00D00ECB">
      <w:pPr>
        <w:pStyle w:val="TableFooter"/>
        <w:spacing w:after="120"/>
      </w:pPr>
      <w:r w:rsidRPr="003D6709">
        <w:t>Source: Table 5.6.1, p22 of ‘</w:t>
      </w:r>
      <w:proofErr w:type="spellStart"/>
      <w:r w:rsidRPr="003D6709">
        <w:t>Acalabrutinib_RR</w:t>
      </w:r>
      <w:proofErr w:type="spellEnd"/>
      <w:r w:rsidRPr="003D6709">
        <w:t xml:space="preserve"> CLL_PBAC Appendix 1_supplementary analyses’ document.</w:t>
      </w:r>
    </w:p>
    <w:p w:rsidR="00D00ECB" w:rsidRPr="003D6709" w:rsidRDefault="00D00ECB" w:rsidP="00D00ECB">
      <w:pPr>
        <w:pStyle w:val="TableFooter"/>
        <w:spacing w:after="120"/>
      </w:pPr>
      <w:r w:rsidRPr="003D6709">
        <w:t>Abbreviations: ACAL, acalabrutinib; ECOG, Eastern Cooperative Oncology Group; IGHV, immunoglobulin heavy chain gene; MAIC, matching adjusted indirect comparison; RITU, rituximab; VEN, venetoclax.</w:t>
      </w:r>
    </w:p>
    <w:p w:rsidR="00D00ECB" w:rsidRPr="003D6709" w:rsidRDefault="00D00ECB" w:rsidP="00D00ECB">
      <w:pPr>
        <w:pStyle w:val="TableFooter"/>
        <w:spacing w:after="120"/>
      </w:pPr>
      <w:r w:rsidRPr="003D6709">
        <w:rPr>
          <w:vertAlign w:val="superscript"/>
        </w:rPr>
        <w:t>1</w:t>
      </w:r>
      <w:r w:rsidRPr="003D6709">
        <w:t xml:space="preserve"> N=150 rather than 155 due to incomplete baseline data recording for some patients in some outcomes.</w:t>
      </w:r>
    </w:p>
    <w:p w:rsidR="00D00ECB" w:rsidRPr="003D6709" w:rsidRDefault="00D00ECB" w:rsidP="00D00ECB">
      <w:pPr>
        <w:pStyle w:val="TableFooter"/>
        <w:spacing w:after="120"/>
      </w:pPr>
      <w:r w:rsidRPr="003D6709">
        <w:rPr>
          <w:vertAlign w:val="superscript"/>
        </w:rPr>
        <w:t>2</w:t>
      </w:r>
      <w:r w:rsidRPr="003D6709">
        <w:t xml:space="preserve"> Effective sample size after reweighting.</w:t>
      </w:r>
    </w:p>
    <w:p w:rsidR="000A620C" w:rsidRPr="003D6709" w:rsidRDefault="00CF32FD" w:rsidP="003C41BB">
      <w:pPr>
        <w:pStyle w:val="ExecSumBodyText"/>
      </w:pPr>
      <w:r w:rsidRPr="003D6709">
        <w:rPr>
          <w:snapToGrid/>
        </w:rPr>
        <w:t xml:space="preserve">Matching was constrained by the availability of </w:t>
      </w:r>
      <w:r w:rsidR="00423372" w:rsidRPr="003D6709">
        <w:rPr>
          <w:snapToGrid/>
        </w:rPr>
        <w:t xml:space="preserve">published </w:t>
      </w:r>
      <w:r w:rsidRPr="003D6709">
        <w:rPr>
          <w:snapToGrid/>
        </w:rPr>
        <w:t xml:space="preserve">baseline characteristics for the MURANO trial, and a number of potential prognostic/effect modifier variables </w:t>
      </w:r>
      <w:r w:rsidR="00423372" w:rsidRPr="003D6709">
        <w:rPr>
          <w:snapToGrid/>
        </w:rPr>
        <w:t>were</w:t>
      </w:r>
      <w:r w:rsidRPr="003D6709">
        <w:rPr>
          <w:snapToGrid/>
        </w:rPr>
        <w:t xml:space="preserve"> not</w:t>
      </w:r>
      <w:r w:rsidR="00EC2369" w:rsidRPr="003D6709">
        <w:rPr>
          <w:snapToGrid/>
        </w:rPr>
        <w:t xml:space="preserve"> matched, including </w:t>
      </w:r>
      <w:r w:rsidRPr="003D6709">
        <w:rPr>
          <w:snapToGrid/>
        </w:rPr>
        <w:t xml:space="preserve">11q deletion, </w:t>
      </w:r>
      <w:r w:rsidRPr="003D6709">
        <w:rPr>
          <w:rFonts w:cs="Calibri"/>
        </w:rPr>
        <w:t>β</w:t>
      </w:r>
      <w:r w:rsidRPr="003D6709">
        <w:rPr>
          <w:rFonts w:cstheme="minorHAnsi"/>
          <w:snapToGrid/>
          <w:vertAlign w:val="subscript"/>
        </w:rPr>
        <w:t>2</w:t>
      </w:r>
      <w:r w:rsidRPr="003D6709">
        <w:rPr>
          <w:snapToGrid/>
        </w:rPr>
        <w:t xml:space="preserve"> </w:t>
      </w:r>
      <w:proofErr w:type="spellStart"/>
      <w:r w:rsidRPr="003D6709">
        <w:rPr>
          <w:snapToGrid/>
        </w:rPr>
        <w:t>microglobulin</w:t>
      </w:r>
      <w:proofErr w:type="spellEnd"/>
      <w:r w:rsidRPr="003D6709">
        <w:rPr>
          <w:snapToGrid/>
        </w:rPr>
        <w:t xml:space="preserve"> &gt;</w:t>
      </w:r>
      <w:r w:rsidR="008678AC" w:rsidRPr="003D6709">
        <w:rPr>
          <w:snapToGrid/>
        </w:rPr>
        <w:t xml:space="preserve"> </w:t>
      </w:r>
      <w:r w:rsidRPr="003D6709">
        <w:rPr>
          <w:snapToGrid/>
        </w:rPr>
        <w:t>3.5 mg/L, complex karyotype, creatinine clearance &lt;</w:t>
      </w:r>
      <w:r w:rsidR="008678AC" w:rsidRPr="003D6709">
        <w:rPr>
          <w:snapToGrid/>
        </w:rPr>
        <w:t xml:space="preserve"> </w:t>
      </w:r>
      <w:r w:rsidRPr="003D6709">
        <w:rPr>
          <w:snapToGrid/>
        </w:rPr>
        <w:t xml:space="preserve">60 mL/min, </w:t>
      </w:r>
      <w:r w:rsidR="00EC2369" w:rsidRPr="003D6709">
        <w:rPr>
          <w:snapToGrid/>
        </w:rPr>
        <w:t xml:space="preserve">and the </w:t>
      </w:r>
      <w:r w:rsidRPr="003D6709">
        <w:rPr>
          <w:snapToGrid/>
        </w:rPr>
        <w:t xml:space="preserve">presence of bulky disease </w:t>
      </w:r>
      <w:r w:rsidRPr="003D6709">
        <w:rPr>
          <w:rFonts w:cstheme="minorHAnsi"/>
          <w:snapToGrid/>
        </w:rPr>
        <w:t>≥</w:t>
      </w:r>
      <w:r w:rsidR="008678AC" w:rsidRPr="003D6709">
        <w:rPr>
          <w:rFonts w:cstheme="minorHAnsi"/>
          <w:snapToGrid/>
        </w:rPr>
        <w:t xml:space="preserve"> </w:t>
      </w:r>
      <w:r w:rsidRPr="003D6709">
        <w:rPr>
          <w:snapToGrid/>
        </w:rPr>
        <w:t xml:space="preserve">5 cm. </w:t>
      </w:r>
      <w:r w:rsidR="000A620C" w:rsidRPr="003D6709">
        <w:rPr>
          <w:snapToGrid/>
        </w:rPr>
        <w:t xml:space="preserve">The reported </w:t>
      </w:r>
      <w:r w:rsidR="00476F87" w:rsidRPr="003D6709">
        <w:rPr>
          <w:snapToGrid/>
        </w:rPr>
        <w:t xml:space="preserve">Rai </w:t>
      </w:r>
      <w:r w:rsidR="000A620C" w:rsidRPr="003D6709">
        <w:rPr>
          <w:snapToGrid/>
        </w:rPr>
        <w:t>disease stage for the MURANO trial was Rai stage at diagnosis, whereas for the ASCEND trial</w:t>
      </w:r>
      <w:r w:rsidR="00364AE8" w:rsidRPr="003D6709">
        <w:rPr>
          <w:snapToGrid/>
        </w:rPr>
        <w:t xml:space="preserve"> it</w:t>
      </w:r>
      <w:r w:rsidR="000A620C" w:rsidRPr="003D6709">
        <w:rPr>
          <w:snapToGrid/>
        </w:rPr>
        <w:t xml:space="preserve"> was the Rai stage at baseline/screening</w:t>
      </w:r>
      <w:r w:rsidR="00586B18" w:rsidRPr="003D6709">
        <w:t xml:space="preserve">, and therefore, </w:t>
      </w:r>
      <w:r w:rsidR="00A6659E" w:rsidRPr="003D6709">
        <w:t xml:space="preserve">the ESC considered that </w:t>
      </w:r>
      <w:r w:rsidR="00586B18" w:rsidRPr="003D6709">
        <w:t xml:space="preserve">matching of these characteristics </w:t>
      </w:r>
      <w:r w:rsidR="001F3FB9" w:rsidRPr="003D6709">
        <w:t xml:space="preserve">was </w:t>
      </w:r>
      <w:r w:rsidR="00586B18" w:rsidRPr="003D6709">
        <w:t xml:space="preserve">not </w:t>
      </w:r>
      <w:r w:rsidR="00476F87" w:rsidRPr="003D6709">
        <w:t>appropriate</w:t>
      </w:r>
      <w:r w:rsidR="00586B18" w:rsidRPr="003D6709">
        <w:t>.</w:t>
      </w:r>
      <w:r w:rsidR="00F75A10" w:rsidRPr="003D6709">
        <w:t xml:space="preserve"> </w:t>
      </w:r>
    </w:p>
    <w:p w:rsidR="00294D3A" w:rsidRPr="003D6709" w:rsidRDefault="000A620C" w:rsidP="000A620C">
      <w:pPr>
        <w:pStyle w:val="ExecSumBodyText"/>
      </w:pPr>
      <w:r w:rsidRPr="003D6709">
        <w:rPr>
          <w:snapToGrid/>
        </w:rPr>
        <w:t xml:space="preserve">Matching for the selected variables resulted in a </w:t>
      </w:r>
      <w:r w:rsidR="00364AE8" w:rsidRPr="003D6709">
        <w:rPr>
          <w:snapToGrid/>
        </w:rPr>
        <w:t xml:space="preserve">reduced </w:t>
      </w:r>
      <w:r w:rsidRPr="003D6709">
        <w:rPr>
          <w:snapToGrid/>
        </w:rPr>
        <w:t xml:space="preserve">effective sample size of 86, indicating poor overlap between the included trial populations. </w:t>
      </w:r>
      <w:r w:rsidR="00934F94" w:rsidRPr="003D6709">
        <w:rPr>
          <w:snapToGrid/>
        </w:rPr>
        <w:t>Post-matching characteristics for variables not chosen for matching were not provided</w:t>
      </w:r>
      <w:r w:rsidR="00364AE8" w:rsidRPr="003D6709">
        <w:rPr>
          <w:snapToGrid/>
        </w:rPr>
        <w:t xml:space="preserve"> in the submission</w:t>
      </w:r>
      <w:r w:rsidR="00934F94" w:rsidRPr="003D6709">
        <w:rPr>
          <w:snapToGrid/>
        </w:rPr>
        <w:t>.</w:t>
      </w:r>
      <w:r w:rsidR="00DF05F8" w:rsidRPr="003D6709">
        <w:rPr>
          <w:snapToGrid/>
        </w:rPr>
        <w:t xml:space="preserve"> The PSCR added that baseline tumour lysis risk and </w:t>
      </w:r>
      <w:r w:rsidR="005929CF" w:rsidRPr="003D6709">
        <w:rPr>
          <w:snapToGrid/>
        </w:rPr>
        <w:t>a</w:t>
      </w:r>
      <w:r w:rsidR="00DF05F8" w:rsidRPr="003D6709">
        <w:rPr>
          <w:snapToGrid/>
        </w:rPr>
        <w:t xml:space="preserve"> proportion of </w:t>
      </w:r>
      <w:proofErr w:type="spellStart"/>
      <w:r w:rsidR="00DF05F8" w:rsidRPr="003D6709">
        <w:rPr>
          <w:snapToGrid/>
        </w:rPr>
        <w:t>fludarabine</w:t>
      </w:r>
      <w:proofErr w:type="spellEnd"/>
      <w:r w:rsidR="00DF05F8" w:rsidRPr="003D6709">
        <w:rPr>
          <w:snapToGrid/>
        </w:rPr>
        <w:t xml:space="preserve"> refractory patients were excluded due to lack of data </w:t>
      </w:r>
      <w:r w:rsidR="0094720D" w:rsidRPr="003D6709">
        <w:rPr>
          <w:snapToGrid/>
        </w:rPr>
        <w:t>for</w:t>
      </w:r>
      <w:r w:rsidR="00DF05F8" w:rsidRPr="003D6709">
        <w:rPr>
          <w:snapToGrid/>
        </w:rPr>
        <w:t xml:space="preserve"> ASCEND. </w:t>
      </w:r>
    </w:p>
    <w:p w:rsidR="00D00ECB" w:rsidRPr="003D6709" w:rsidRDefault="00D00ECB" w:rsidP="00E932C0">
      <w:pPr>
        <w:pStyle w:val="ExecSumBodyText"/>
        <w:keepLines/>
      </w:pPr>
      <w:r w:rsidRPr="003D6709">
        <w:rPr>
          <w:snapToGrid/>
        </w:rPr>
        <w:t>The MURANO trial recruited patients with an ECOG of ≤</w:t>
      </w:r>
      <w:r w:rsidR="008678AC" w:rsidRPr="003D6709">
        <w:rPr>
          <w:snapToGrid/>
        </w:rPr>
        <w:t xml:space="preserve"> </w:t>
      </w:r>
      <w:r w:rsidRPr="003D6709">
        <w:rPr>
          <w:snapToGrid/>
        </w:rPr>
        <w:t xml:space="preserve">1. It may have been more appropriate to exclude the patients with an ECOG of 2 </w:t>
      </w:r>
      <w:r w:rsidR="009B514F" w:rsidRPr="003D6709">
        <w:rPr>
          <w:snapToGrid/>
        </w:rPr>
        <w:t xml:space="preserve">in the ASCEND trial </w:t>
      </w:r>
      <w:r w:rsidRPr="003D6709">
        <w:rPr>
          <w:snapToGrid/>
        </w:rPr>
        <w:t>from the analysis</w:t>
      </w:r>
      <w:r w:rsidR="009B514F" w:rsidRPr="003D6709">
        <w:rPr>
          <w:snapToGrid/>
        </w:rPr>
        <w:t>,</w:t>
      </w:r>
      <w:r w:rsidRPr="003D6709">
        <w:rPr>
          <w:snapToGrid/>
        </w:rPr>
        <w:t xml:space="preserve"> rather than match based on the single patient in the MURANO trial with an ECOG of 2</w:t>
      </w:r>
      <w:r w:rsidR="0025625A" w:rsidRPr="003D6709">
        <w:rPr>
          <w:snapToGrid/>
        </w:rPr>
        <w:t xml:space="preserve"> (who did not meet the trial eligibility criteria)</w:t>
      </w:r>
      <w:r w:rsidRPr="003D6709">
        <w:rPr>
          <w:snapToGrid/>
        </w:rPr>
        <w:t>.</w:t>
      </w:r>
    </w:p>
    <w:p w:rsidR="00294D3A" w:rsidRPr="003D6709" w:rsidRDefault="00355009" w:rsidP="00355009">
      <w:pPr>
        <w:pStyle w:val="ExecSumBodyText"/>
      </w:pPr>
      <w:r w:rsidRPr="003D6709">
        <w:rPr>
          <w:snapToGrid/>
        </w:rPr>
        <w:t xml:space="preserve">Results for the comparison of progression-free survival based on a median follow-up of 16.1 months for ASCEND and 23.8 months for MURANO (Seymour et al., 2018) are presented in </w:t>
      </w:r>
      <w:r w:rsidR="003C41BB" w:rsidRPr="003D6709">
        <w:t>Figure 6</w:t>
      </w:r>
      <w:r w:rsidRPr="003D6709">
        <w:rPr>
          <w:snapToGrid/>
        </w:rPr>
        <w:t>.</w:t>
      </w:r>
    </w:p>
    <w:p w:rsidR="00355009" w:rsidRPr="003D6709" w:rsidRDefault="00355009" w:rsidP="00355009">
      <w:pPr>
        <w:pStyle w:val="TableHeading"/>
      </w:pPr>
      <w:bookmarkStart w:id="23" w:name="_Ref33453874"/>
      <w:r w:rsidRPr="003D6709">
        <w:lastRenderedPageBreak/>
        <w:t xml:space="preserve">Figure </w:t>
      </w:r>
      <w:r w:rsidR="003C41BB" w:rsidRPr="003D6709">
        <w:t>6</w:t>
      </w:r>
      <w:bookmarkEnd w:id="23"/>
      <w:r w:rsidRPr="003D6709">
        <w:t xml:space="preserve">: Results </w:t>
      </w:r>
      <w:r w:rsidR="00B04A37" w:rsidRPr="003D6709">
        <w:t>for</w:t>
      </w:r>
      <w:r w:rsidRPr="003D6709">
        <w:t xml:space="preserve"> the </w:t>
      </w:r>
      <w:r w:rsidR="00476F87" w:rsidRPr="003D6709">
        <w:t>MAIC</w:t>
      </w:r>
      <w:r w:rsidRPr="003D6709">
        <w:t xml:space="preserve"> </w:t>
      </w:r>
      <w:r w:rsidR="00B04A37" w:rsidRPr="003D6709">
        <w:t>of</w:t>
      </w:r>
      <w:r w:rsidRPr="003D6709">
        <w:t xml:space="preserve"> progression-free survival for acalabrutinib versus venetoclax plus rituximab</w:t>
      </w:r>
    </w:p>
    <w:p w:rsidR="00355009" w:rsidRPr="003D6709" w:rsidRDefault="00355009" w:rsidP="00355009">
      <w:r w:rsidRPr="003D6709">
        <w:rPr>
          <w:noProof/>
        </w:rPr>
        <w:drawing>
          <wp:inline distT="0" distB="0" distL="0" distR="0" wp14:anchorId="40950EF3" wp14:editId="316B6189">
            <wp:extent cx="5732145" cy="2678561"/>
            <wp:effectExtent l="0" t="0" r="1905" b="7620"/>
            <wp:docPr id="14" name="Picture 3" title="Figure 6: Results for the MAIC of progression-free survival for acalabrutinib versus venetoclax plus ritux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145" cy="2678561"/>
                    </a:xfrm>
                    <a:prstGeom prst="rect">
                      <a:avLst/>
                    </a:prstGeom>
                    <a:noFill/>
                    <a:ln>
                      <a:noFill/>
                    </a:ln>
                  </pic:spPr>
                </pic:pic>
              </a:graphicData>
            </a:graphic>
          </wp:inline>
        </w:drawing>
      </w:r>
    </w:p>
    <w:p w:rsidR="00355009" w:rsidRDefault="00355009" w:rsidP="00355009">
      <w:pPr>
        <w:pStyle w:val="TableFooter"/>
        <w:spacing w:after="120"/>
      </w:pPr>
      <w:r w:rsidRPr="003D6709">
        <w:t>Source: Figure 5.6.1, p.26 of ‘</w:t>
      </w:r>
      <w:proofErr w:type="spellStart"/>
      <w:r w:rsidRPr="003D6709">
        <w:t>Acalabrutinib_RR</w:t>
      </w:r>
      <w:proofErr w:type="spellEnd"/>
      <w:r w:rsidRPr="003D6709">
        <w:t xml:space="preserve"> CLL_PBAC Appendix 1_supplementary analyses’ document.</w:t>
      </w:r>
    </w:p>
    <w:p w:rsidR="00B05791" w:rsidRPr="003D6709" w:rsidRDefault="00B05791" w:rsidP="00355009">
      <w:pPr>
        <w:pStyle w:val="TableFooter"/>
        <w:spacing w:after="120"/>
      </w:pPr>
      <w:r>
        <w:rPr>
          <w:i/>
          <w:iCs/>
        </w:rPr>
        <w:t>* Note that the results presented in Figure 6 are derived fro</w:t>
      </w:r>
      <w:r w:rsidRPr="00343A14">
        <w:rPr>
          <w:i/>
          <w:iCs/>
        </w:rPr>
        <w:t>m ad-hoc/ post-hoc</w:t>
      </w:r>
      <w:r>
        <w:rPr>
          <w:i/>
          <w:iCs/>
        </w:rPr>
        <w:t xml:space="preserve"> analyses conducted by the applicant specifically for the purposes of informing the PBAC consideration. These analyses were not part of the pre-specified statistical plan</w:t>
      </w:r>
      <w:r w:rsidR="008C3A6F">
        <w:rPr>
          <w:i/>
          <w:iCs/>
        </w:rPr>
        <w:t>s</w:t>
      </w:r>
      <w:r>
        <w:rPr>
          <w:i/>
          <w:iCs/>
        </w:rPr>
        <w:t xml:space="preserve"> for ASCEND and MURANO. Interpretation of the results and their application should therefore be limited to seeking to understand the basis for the PBAC outcome and should not</w:t>
      </w:r>
      <w:r w:rsidR="007813BF">
        <w:rPr>
          <w:i/>
          <w:iCs/>
        </w:rPr>
        <w:t xml:space="preserve"> be used for any other purpose.</w:t>
      </w:r>
    </w:p>
    <w:p w:rsidR="00355009" w:rsidRPr="003D6709" w:rsidRDefault="00355009" w:rsidP="00F80A23">
      <w:pPr>
        <w:pStyle w:val="ExecSumBodyText"/>
        <w:keepLines/>
      </w:pPr>
      <w:r w:rsidRPr="003D6709">
        <w:rPr>
          <w:snapToGrid/>
        </w:rPr>
        <w:t xml:space="preserve">Prior to </w:t>
      </w:r>
      <w:r w:rsidR="00BE7724" w:rsidRPr="003D6709">
        <w:rPr>
          <w:snapToGrid/>
        </w:rPr>
        <w:t xml:space="preserve">the </w:t>
      </w:r>
      <w:r w:rsidRPr="003D6709">
        <w:rPr>
          <w:snapToGrid/>
        </w:rPr>
        <w:t xml:space="preserve">MAIC adjustment (i.e. based on a naïve comparison of acalabrutinib and venetoclax plus rituximab), the hazard ratio for progression-free survival was statistically significant in favour of venetoclax plus rituximab (HR </w:t>
      </w:r>
      <w:r w:rsidR="005929CF" w:rsidRPr="003D6709">
        <w:rPr>
          <w:snapToGrid/>
        </w:rPr>
        <w:t xml:space="preserve">= </w:t>
      </w:r>
      <w:r w:rsidRPr="003D6709">
        <w:rPr>
          <w:snapToGrid/>
        </w:rPr>
        <w:t xml:space="preserve">2.19; 95% CI: 1.19, 4.03). After MAIC adjustment, the difference in progression-free survival favoured venetoclax plus rituximab but was not statistically significant (HR </w:t>
      </w:r>
      <w:r w:rsidR="005929CF" w:rsidRPr="003D6709">
        <w:rPr>
          <w:snapToGrid/>
        </w:rPr>
        <w:t xml:space="preserve">= </w:t>
      </w:r>
      <w:r w:rsidRPr="003D6709">
        <w:rPr>
          <w:snapToGrid/>
        </w:rPr>
        <w:t xml:space="preserve">1.62; 95% CI: 0.79, 3.30). The </w:t>
      </w:r>
      <w:r w:rsidR="00F01579" w:rsidRPr="003D6709">
        <w:rPr>
          <w:snapToGrid/>
        </w:rPr>
        <w:t xml:space="preserve">PBAC noted that the </w:t>
      </w:r>
      <w:r w:rsidRPr="003D6709">
        <w:rPr>
          <w:snapToGrid/>
        </w:rPr>
        <w:t xml:space="preserve">results should be interpreted with caution due to </w:t>
      </w:r>
      <w:r w:rsidR="0025625A" w:rsidRPr="003D6709">
        <w:rPr>
          <w:snapToGrid/>
        </w:rPr>
        <w:t xml:space="preserve">the low effective sample size after matching, </w:t>
      </w:r>
      <w:r w:rsidR="00CF32FD" w:rsidRPr="003D6709">
        <w:rPr>
          <w:snapToGrid/>
        </w:rPr>
        <w:t xml:space="preserve">the </w:t>
      </w:r>
      <w:r w:rsidR="00F921AF" w:rsidRPr="003D6709">
        <w:rPr>
          <w:snapToGrid/>
        </w:rPr>
        <w:t xml:space="preserve">inability to match for all prognostic/effect modifier variables, </w:t>
      </w:r>
      <w:r w:rsidR="0025625A" w:rsidRPr="003D6709">
        <w:rPr>
          <w:snapToGrid/>
        </w:rPr>
        <w:t xml:space="preserve">and differences </w:t>
      </w:r>
      <w:r w:rsidRPr="003D6709">
        <w:rPr>
          <w:snapToGrid/>
        </w:rPr>
        <w:t>in follow-up durations</w:t>
      </w:r>
      <w:r w:rsidR="0025625A" w:rsidRPr="003D6709">
        <w:rPr>
          <w:snapToGrid/>
        </w:rPr>
        <w:t xml:space="preserve"> between the trials</w:t>
      </w:r>
      <w:r w:rsidRPr="003D6709">
        <w:rPr>
          <w:snapToGrid/>
        </w:rPr>
        <w:t>.</w:t>
      </w:r>
    </w:p>
    <w:p w:rsidR="00355009" w:rsidRPr="003D6709" w:rsidRDefault="0025625A" w:rsidP="00355009">
      <w:pPr>
        <w:pStyle w:val="ExecSumBodyText"/>
      </w:pPr>
      <w:r w:rsidRPr="003D6709">
        <w:rPr>
          <w:snapToGrid/>
        </w:rPr>
        <w:t>Results for t</w:t>
      </w:r>
      <w:r w:rsidR="00355009" w:rsidRPr="003D6709">
        <w:rPr>
          <w:snapToGrid/>
        </w:rPr>
        <w:t xml:space="preserve">he comparison of overall survival based on a median follow-up of 16.1 months for ASCEND and 23.8 months for MURANO (Seymour et al., 2018) </w:t>
      </w:r>
      <w:r w:rsidRPr="003D6709">
        <w:rPr>
          <w:snapToGrid/>
        </w:rPr>
        <w:t>are</w:t>
      </w:r>
      <w:r w:rsidR="00355009" w:rsidRPr="003D6709">
        <w:rPr>
          <w:snapToGrid/>
        </w:rPr>
        <w:t xml:space="preserve"> presented in </w:t>
      </w:r>
      <w:r w:rsidR="003C41BB" w:rsidRPr="003D6709">
        <w:t>Figure 7</w:t>
      </w:r>
      <w:r w:rsidR="00355009" w:rsidRPr="003D6709">
        <w:rPr>
          <w:snapToGrid/>
        </w:rPr>
        <w:t>.</w:t>
      </w:r>
    </w:p>
    <w:p w:rsidR="00355009" w:rsidRPr="003D6709" w:rsidRDefault="00355009" w:rsidP="00355009">
      <w:pPr>
        <w:pStyle w:val="TableHeading"/>
      </w:pPr>
      <w:bookmarkStart w:id="24" w:name="_Ref33453899"/>
      <w:r w:rsidRPr="003D6709">
        <w:lastRenderedPageBreak/>
        <w:t xml:space="preserve">Figure </w:t>
      </w:r>
      <w:r w:rsidR="003C41BB" w:rsidRPr="003D6709">
        <w:t>7</w:t>
      </w:r>
      <w:bookmarkEnd w:id="24"/>
      <w:r w:rsidRPr="003D6709">
        <w:t xml:space="preserve">: Results </w:t>
      </w:r>
      <w:r w:rsidR="00B04A37" w:rsidRPr="003D6709">
        <w:t>for</w:t>
      </w:r>
      <w:r w:rsidRPr="003D6709">
        <w:t xml:space="preserve"> the </w:t>
      </w:r>
      <w:r w:rsidR="00476F87" w:rsidRPr="003D6709">
        <w:t>MAIC</w:t>
      </w:r>
      <w:r w:rsidRPr="003D6709">
        <w:t xml:space="preserve"> </w:t>
      </w:r>
      <w:r w:rsidR="00B04A37" w:rsidRPr="003D6709">
        <w:t>of</w:t>
      </w:r>
      <w:r w:rsidRPr="003D6709">
        <w:t xml:space="preserve"> overall survival for acalabrutinib versus venetoclax plus rituximab</w:t>
      </w:r>
    </w:p>
    <w:p w:rsidR="00355009" w:rsidRPr="003D6709" w:rsidRDefault="00355009" w:rsidP="00355009">
      <w:r w:rsidRPr="003D6709">
        <w:rPr>
          <w:noProof/>
        </w:rPr>
        <w:drawing>
          <wp:inline distT="0" distB="0" distL="0" distR="0" wp14:anchorId="59053597" wp14:editId="37E5D09A">
            <wp:extent cx="5732145" cy="2716328"/>
            <wp:effectExtent l="0" t="0" r="1905" b="8255"/>
            <wp:docPr id="15" name="image34.png" title="Figure 7: Results for the MAIC of overall survival for acalabrutinib versus venetoclax plus rituxi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2145" cy="2716328"/>
                    </a:xfrm>
                    <a:prstGeom prst="rect">
                      <a:avLst/>
                    </a:prstGeom>
                  </pic:spPr>
                </pic:pic>
              </a:graphicData>
            </a:graphic>
          </wp:inline>
        </w:drawing>
      </w:r>
    </w:p>
    <w:p w:rsidR="00355009" w:rsidRDefault="00355009" w:rsidP="00355009">
      <w:pPr>
        <w:pStyle w:val="TableFooter"/>
        <w:spacing w:after="120"/>
      </w:pPr>
      <w:r w:rsidRPr="003D6709">
        <w:t>Source: Figure 5.6.2, p.26 of ‘</w:t>
      </w:r>
      <w:proofErr w:type="spellStart"/>
      <w:r w:rsidRPr="003D6709">
        <w:t>Acalabrutinib_RR</w:t>
      </w:r>
      <w:proofErr w:type="spellEnd"/>
      <w:r w:rsidRPr="003D6709">
        <w:t xml:space="preserve"> CLL_PBAC Appendix 1_supplementary analyses’ document.</w:t>
      </w:r>
    </w:p>
    <w:p w:rsidR="00B05791" w:rsidRPr="003D6709" w:rsidRDefault="00B05791" w:rsidP="00355009">
      <w:pPr>
        <w:pStyle w:val="TableFooter"/>
        <w:spacing w:after="120"/>
      </w:pPr>
      <w:r>
        <w:rPr>
          <w:i/>
          <w:iCs/>
        </w:rPr>
        <w:t xml:space="preserve">* Note that the results presented in Figure 7 are </w:t>
      </w:r>
      <w:r w:rsidRPr="00343A14">
        <w:rPr>
          <w:i/>
          <w:iCs/>
        </w:rPr>
        <w:t>derived from ad-hoc/ post-hoc analyses</w:t>
      </w:r>
      <w:r>
        <w:rPr>
          <w:i/>
          <w:iCs/>
        </w:rPr>
        <w:t xml:space="preserve"> conducted by the applicant specifically for the purposes of informing the PBAC consideration. These analyses were not part of the pre-specified statistical plan</w:t>
      </w:r>
      <w:r w:rsidR="008C3A6F">
        <w:rPr>
          <w:i/>
          <w:iCs/>
        </w:rPr>
        <w:t>s</w:t>
      </w:r>
      <w:r>
        <w:rPr>
          <w:i/>
          <w:iCs/>
        </w:rPr>
        <w:t xml:space="preserve"> for ASCEND and MURANO. Interpretation of the results and their application should therefore be limited to seeking to understand the basis for the PBAC outcome and should not</w:t>
      </w:r>
      <w:r w:rsidR="007813BF">
        <w:rPr>
          <w:i/>
          <w:iCs/>
        </w:rPr>
        <w:t xml:space="preserve"> be used for any other purpose.</w:t>
      </w:r>
    </w:p>
    <w:p w:rsidR="00355009" w:rsidRPr="003D6709" w:rsidRDefault="00355009" w:rsidP="00F80A23">
      <w:pPr>
        <w:pStyle w:val="ExecSumBodyText"/>
        <w:keepLines/>
      </w:pPr>
      <w:r w:rsidRPr="003D6709">
        <w:rPr>
          <w:snapToGrid/>
        </w:rPr>
        <w:t xml:space="preserve">Prior to MAIC adjustment (i.e. based on a naïve comparison of acalabrutinib and venetoclax plus rituximab), the hazard ratio for overall survival favoured venetoclax plus rituximab but the difference was not statistically significant (HR </w:t>
      </w:r>
      <w:r w:rsidR="005929CF" w:rsidRPr="003D6709">
        <w:rPr>
          <w:snapToGrid/>
        </w:rPr>
        <w:t xml:space="preserve">= </w:t>
      </w:r>
      <w:r w:rsidRPr="003D6709">
        <w:rPr>
          <w:snapToGrid/>
        </w:rPr>
        <w:t>1.91; 95% CI: 0.87, 4.16). After MAIC adjustment, the difference in overall survival between acalabrutinib and venetoclax plus rituximab remained not statistically significant (HR</w:t>
      </w:r>
      <w:r w:rsidR="005929CF" w:rsidRPr="003D6709">
        <w:rPr>
          <w:snapToGrid/>
        </w:rPr>
        <w:t xml:space="preserve"> =</w:t>
      </w:r>
      <w:r w:rsidRPr="003D6709">
        <w:rPr>
          <w:snapToGrid/>
        </w:rPr>
        <w:t xml:space="preserve"> 1.17; 95% CI: 0.49, 2.82). The </w:t>
      </w:r>
      <w:r w:rsidR="00F01579" w:rsidRPr="003D6709">
        <w:rPr>
          <w:snapToGrid/>
        </w:rPr>
        <w:t xml:space="preserve">PBAC noted that the </w:t>
      </w:r>
      <w:r w:rsidRPr="003D6709">
        <w:rPr>
          <w:snapToGrid/>
        </w:rPr>
        <w:t xml:space="preserve">results should be interpreted with caution due to the low effective sample size in the acalabrutinib arm after matching, </w:t>
      </w:r>
      <w:r w:rsidR="00F921AF" w:rsidRPr="003D6709">
        <w:rPr>
          <w:snapToGrid/>
        </w:rPr>
        <w:t xml:space="preserve">the inability to match for all prognostic/effect modifier variables, </w:t>
      </w:r>
      <w:r w:rsidRPr="003D6709">
        <w:rPr>
          <w:snapToGrid/>
        </w:rPr>
        <w:t xml:space="preserve">the potential impact of </w:t>
      </w:r>
      <w:r w:rsidR="00F921AF" w:rsidRPr="003D6709">
        <w:rPr>
          <w:snapToGrid/>
        </w:rPr>
        <w:t xml:space="preserve">patient </w:t>
      </w:r>
      <w:r w:rsidRPr="003D6709">
        <w:rPr>
          <w:snapToGrid/>
        </w:rPr>
        <w:t>crossover</w:t>
      </w:r>
      <w:r w:rsidR="00F921AF" w:rsidRPr="003D6709">
        <w:rPr>
          <w:snapToGrid/>
        </w:rPr>
        <w:t>, a</w:t>
      </w:r>
      <w:r w:rsidRPr="003D6709">
        <w:rPr>
          <w:snapToGrid/>
        </w:rPr>
        <w:t>nd the</w:t>
      </w:r>
      <w:r w:rsidR="00F921AF" w:rsidRPr="003D6709">
        <w:rPr>
          <w:snapToGrid/>
        </w:rPr>
        <w:t xml:space="preserve"> potential impact of</w:t>
      </w:r>
      <w:r w:rsidRPr="003D6709">
        <w:rPr>
          <w:snapToGrid/>
        </w:rPr>
        <w:t xml:space="preserve"> post-progression treatment</w:t>
      </w:r>
      <w:r w:rsidR="0025625A" w:rsidRPr="003D6709">
        <w:rPr>
          <w:snapToGrid/>
        </w:rPr>
        <w:t xml:space="preserve">s. </w:t>
      </w:r>
    </w:p>
    <w:p w:rsidR="00E15F17" w:rsidRPr="003D6709" w:rsidRDefault="00E15F17" w:rsidP="00E15F17">
      <w:pPr>
        <w:pStyle w:val="4-SubsectSubhead"/>
      </w:pPr>
      <w:bookmarkStart w:id="25" w:name="_Toc30588522"/>
      <w:r w:rsidRPr="003D6709">
        <w:t>Indirect comparisons</w:t>
      </w:r>
      <w:bookmarkEnd w:id="25"/>
    </w:p>
    <w:p w:rsidR="00E15F17" w:rsidRPr="003D6709" w:rsidRDefault="00E15F17" w:rsidP="00E15F17">
      <w:pPr>
        <w:pStyle w:val="ExecSumBodyText"/>
        <w:rPr>
          <w:snapToGrid/>
        </w:rPr>
      </w:pPr>
      <w:r w:rsidRPr="003D6709">
        <w:rPr>
          <w:snapToGrid/>
        </w:rPr>
        <w:t>The submission presented the following Bucher method indirect comparisons:</w:t>
      </w:r>
    </w:p>
    <w:p w:rsidR="00E15F17" w:rsidRPr="003D6709" w:rsidRDefault="00E15F17" w:rsidP="00AD6416">
      <w:pPr>
        <w:pStyle w:val="ExecSumBodyText"/>
        <w:numPr>
          <w:ilvl w:val="0"/>
          <w:numId w:val="14"/>
        </w:numPr>
        <w:spacing w:after="0"/>
        <w:rPr>
          <w:snapToGrid/>
        </w:rPr>
      </w:pPr>
      <w:r w:rsidRPr="003D6709">
        <w:rPr>
          <w:snapToGrid/>
        </w:rPr>
        <w:t>Acalabrutinib (ASCEND) versus ibrutinib plus bendamustine plus rituximab (HELIOS) using the investigator’s choice arm of the ASCEND trial (idelalisib plus rituximab or bendamustine plus rituximab) and the placebo plus bendamustine plus rituximab arm of the H</w:t>
      </w:r>
      <w:r w:rsidR="0025625A" w:rsidRPr="003D6709">
        <w:rPr>
          <w:snapToGrid/>
        </w:rPr>
        <w:t>ELIOS trial as common reference;</w:t>
      </w:r>
    </w:p>
    <w:p w:rsidR="00E15F17" w:rsidRPr="003D6709" w:rsidRDefault="00E15F17" w:rsidP="00AD6416">
      <w:pPr>
        <w:pStyle w:val="ExecSumBodyText"/>
        <w:numPr>
          <w:ilvl w:val="0"/>
          <w:numId w:val="14"/>
        </w:numPr>
        <w:rPr>
          <w:snapToGrid/>
        </w:rPr>
      </w:pPr>
      <w:r w:rsidRPr="003D6709">
        <w:rPr>
          <w:snapToGrid/>
        </w:rPr>
        <w:t>Acalabrutinib (ASCEND) versus venetoclax plus rituximab (MURANO) using the investigator’s choice arm of the ASCEND trial (idelalisib plus rituximab or bendamustine plus rituximab) and the bendamustine plus rituximab arm of the MURANO trial as common reference.</w:t>
      </w:r>
    </w:p>
    <w:p w:rsidR="00E15F17" w:rsidRPr="003D6709" w:rsidRDefault="00555218" w:rsidP="00E15F17">
      <w:pPr>
        <w:pStyle w:val="ExecSumBodyText"/>
        <w:rPr>
          <w:snapToGrid/>
        </w:rPr>
      </w:pPr>
      <w:r w:rsidRPr="003D6709">
        <w:rPr>
          <w:snapToGrid/>
        </w:rPr>
        <w:t>There were d</w:t>
      </w:r>
      <w:r w:rsidR="00E15F17" w:rsidRPr="003D6709">
        <w:rPr>
          <w:snapToGrid/>
        </w:rPr>
        <w:t>ifferences in the common reference arm</w:t>
      </w:r>
      <w:r w:rsidRPr="003D6709">
        <w:rPr>
          <w:snapToGrid/>
        </w:rPr>
        <w:t>s</w:t>
      </w:r>
      <w:r w:rsidR="00E15F17" w:rsidRPr="003D6709">
        <w:rPr>
          <w:snapToGrid/>
        </w:rPr>
        <w:t xml:space="preserve"> between the trials</w:t>
      </w:r>
      <w:r w:rsidRPr="003D6709">
        <w:rPr>
          <w:snapToGrid/>
        </w:rPr>
        <w:t xml:space="preserve">, suggesting that the Bucher method indirect comparisons may not be appropriate. In the ASCEND trial, patients in the </w:t>
      </w:r>
      <w:r w:rsidR="00E15F17" w:rsidRPr="003D6709">
        <w:rPr>
          <w:snapToGrid/>
        </w:rPr>
        <w:t xml:space="preserve">investigator’s choice </w:t>
      </w:r>
      <w:r w:rsidRPr="003D6709">
        <w:rPr>
          <w:snapToGrid/>
        </w:rPr>
        <w:t xml:space="preserve">arm received treatment with </w:t>
      </w:r>
      <w:r w:rsidR="00E15F17" w:rsidRPr="003D6709">
        <w:rPr>
          <w:snapToGrid/>
        </w:rPr>
        <w:t xml:space="preserve">idelalisib plus </w:t>
      </w:r>
      <w:r w:rsidR="00E15F17" w:rsidRPr="003D6709">
        <w:rPr>
          <w:snapToGrid/>
        </w:rPr>
        <w:lastRenderedPageBreak/>
        <w:t>rituximab</w:t>
      </w:r>
      <w:r w:rsidRPr="003D6709">
        <w:rPr>
          <w:snapToGrid/>
        </w:rPr>
        <w:t xml:space="preserve"> (77% of patients)</w:t>
      </w:r>
      <w:r w:rsidR="00E15F17" w:rsidRPr="003D6709">
        <w:rPr>
          <w:snapToGrid/>
        </w:rPr>
        <w:t xml:space="preserve"> or bendamustine plus rituximab</w:t>
      </w:r>
      <w:r w:rsidRPr="003D6709">
        <w:rPr>
          <w:snapToGrid/>
        </w:rPr>
        <w:t xml:space="preserve"> (23%</w:t>
      </w:r>
      <w:r w:rsidR="00F921AF" w:rsidRPr="003D6709">
        <w:rPr>
          <w:snapToGrid/>
        </w:rPr>
        <w:t xml:space="preserve"> of patients</w:t>
      </w:r>
      <w:r w:rsidRPr="003D6709">
        <w:rPr>
          <w:snapToGrid/>
        </w:rPr>
        <w:t xml:space="preserve">). In the HELIOS trial, patients were treated with placebo plus </w:t>
      </w:r>
      <w:r w:rsidR="00E15F17" w:rsidRPr="003D6709">
        <w:rPr>
          <w:snapToGrid/>
        </w:rPr>
        <w:t>bendamustine plus rituximab</w:t>
      </w:r>
      <w:r w:rsidRPr="003D6709">
        <w:rPr>
          <w:snapToGrid/>
        </w:rPr>
        <w:t xml:space="preserve">. </w:t>
      </w:r>
      <w:r w:rsidR="00F921AF" w:rsidRPr="003D6709">
        <w:rPr>
          <w:snapToGrid/>
        </w:rPr>
        <w:t>P</w:t>
      </w:r>
      <w:r w:rsidRPr="003D6709">
        <w:rPr>
          <w:snapToGrid/>
        </w:rPr>
        <w:t xml:space="preserve">atients </w:t>
      </w:r>
      <w:r w:rsidR="00F921AF" w:rsidRPr="003D6709">
        <w:rPr>
          <w:snapToGrid/>
        </w:rPr>
        <w:t xml:space="preserve">in the MURANO trial received </w:t>
      </w:r>
      <w:r w:rsidRPr="003D6709">
        <w:rPr>
          <w:snapToGrid/>
        </w:rPr>
        <w:t xml:space="preserve">bendamustine plus rituximab. </w:t>
      </w:r>
      <w:r w:rsidR="00E15F17" w:rsidRPr="003D6709">
        <w:rPr>
          <w:snapToGrid/>
        </w:rPr>
        <w:t xml:space="preserve">The submission argued that </w:t>
      </w:r>
      <w:r w:rsidRPr="003D6709">
        <w:rPr>
          <w:snapToGrid/>
        </w:rPr>
        <w:t>the comparisons were likely to bias against acalabrutinib, as bendamustine plus rituximab is considered inferior to idelalisib plus rituximab.</w:t>
      </w:r>
      <w:r w:rsidR="00F921AF" w:rsidRPr="003D6709">
        <w:rPr>
          <w:snapToGrid/>
        </w:rPr>
        <w:t xml:space="preserve"> </w:t>
      </w:r>
    </w:p>
    <w:p w:rsidR="00E15F17" w:rsidRPr="003D6709" w:rsidRDefault="00E15F17" w:rsidP="00A17D74">
      <w:pPr>
        <w:pStyle w:val="5-SubSubSubHead"/>
        <w:jc w:val="left"/>
      </w:pPr>
      <w:r w:rsidRPr="003D6709">
        <w:t>Indirect comparison of acalabrutinib versus ibrutinib plus bendamustine plus rituximab</w:t>
      </w:r>
    </w:p>
    <w:p w:rsidR="00371008" w:rsidRPr="003D6709" w:rsidRDefault="00371008" w:rsidP="00371008">
      <w:pPr>
        <w:pStyle w:val="ExecSumBodyText"/>
        <w:rPr>
          <w:snapToGrid/>
        </w:rPr>
      </w:pPr>
      <w:r w:rsidRPr="003D6709">
        <w:rPr>
          <w:snapToGrid/>
        </w:rPr>
        <w:t xml:space="preserve">The HELIOS trial compared treatment with ibrutinib plus bendamustine plus rituximab to placebo plus bendamustine plus rituximab. </w:t>
      </w:r>
      <w:r w:rsidR="0012144B" w:rsidRPr="003D6709">
        <w:t xml:space="preserve">The submission assumed that the ibrutinib plus bendamustine plus rituximab arm of the HELIOS trial could be used as a proxy for the efficacy of ibrutinib monotherapy, based on the results of an analysis by </w:t>
      </w:r>
      <w:proofErr w:type="spellStart"/>
      <w:r w:rsidR="0012144B" w:rsidRPr="003D6709">
        <w:t>Hillmen</w:t>
      </w:r>
      <w:proofErr w:type="spellEnd"/>
      <w:r w:rsidR="0012144B" w:rsidRPr="003D6709">
        <w:t xml:space="preserve"> et al. (2015). </w:t>
      </w:r>
      <w:r w:rsidRPr="003D6709">
        <w:rPr>
          <w:snapToGrid/>
        </w:rPr>
        <w:t xml:space="preserve">The submission stated that an indirect comparison of safety data from ASCEND and HELIOS was not included due to the additional toxicity expected with the addition of bendamustine and rituximab to ibrutinib. </w:t>
      </w:r>
      <w:r w:rsidR="00A17D74" w:rsidRPr="003D6709">
        <w:rPr>
          <w:snapToGrid/>
        </w:rPr>
        <w:t xml:space="preserve">The ESC considered the ibrutinib monotherapy proxy </w:t>
      </w:r>
      <w:r w:rsidR="00134AAE" w:rsidRPr="003D6709">
        <w:rPr>
          <w:snapToGrid/>
        </w:rPr>
        <w:t xml:space="preserve">was </w:t>
      </w:r>
      <w:r w:rsidR="00A17D74" w:rsidRPr="003D6709">
        <w:rPr>
          <w:snapToGrid/>
        </w:rPr>
        <w:t>appropriate for the comparison of efficacy</w:t>
      </w:r>
      <w:r w:rsidR="00A863F8" w:rsidRPr="003D6709">
        <w:rPr>
          <w:snapToGrid/>
        </w:rPr>
        <w:t xml:space="preserve"> (based on Hillman et al, 2015)</w:t>
      </w:r>
      <w:r w:rsidR="00A17D74" w:rsidRPr="003D6709">
        <w:rPr>
          <w:snapToGrid/>
        </w:rPr>
        <w:t xml:space="preserve">, but not </w:t>
      </w:r>
      <w:r w:rsidR="008F1492" w:rsidRPr="003D6709">
        <w:rPr>
          <w:snapToGrid/>
        </w:rPr>
        <w:t xml:space="preserve">for </w:t>
      </w:r>
      <w:r w:rsidR="00A17D74" w:rsidRPr="003D6709">
        <w:rPr>
          <w:snapToGrid/>
        </w:rPr>
        <w:t>safety</w:t>
      </w:r>
      <w:r w:rsidR="008678AC" w:rsidRPr="003D6709">
        <w:rPr>
          <w:snapToGrid/>
        </w:rPr>
        <w:t xml:space="preserve"> as </w:t>
      </w:r>
      <w:r w:rsidR="00134AAE" w:rsidRPr="003D6709">
        <w:rPr>
          <w:snapToGrid/>
        </w:rPr>
        <w:t xml:space="preserve">the true </w:t>
      </w:r>
      <w:r w:rsidR="008678AC" w:rsidRPr="003D6709">
        <w:rPr>
          <w:snapToGrid/>
        </w:rPr>
        <w:t xml:space="preserve">safety profile of </w:t>
      </w:r>
      <w:r w:rsidR="00134AAE" w:rsidRPr="003D6709">
        <w:rPr>
          <w:snapToGrid/>
        </w:rPr>
        <w:t xml:space="preserve">ibrutinib </w:t>
      </w:r>
      <w:r w:rsidR="008678AC" w:rsidRPr="003D6709">
        <w:rPr>
          <w:snapToGrid/>
        </w:rPr>
        <w:t xml:space="preserve">monotherapy </w:t>
      </w:r>
      <w:r w:rsidR="00134AAE" w:rsidRPr="003D6709">
        <w:rPr>
          <w:snapToGrid/>
        </w:rPr>
        <w:t xml:space="preserve">could not be </w:t>
      </w:r>
      <w:r w:rsidR="008678AC" w:rsidRPr="003D6709">
        <w:rPr>
          <w:snapToGrid/>
        </w:rPr>
        <w:t>determined</w:t>
      </w:r>
      <w:r w:rsidR="003D6709">
        <w:rPr>
          <w:snapToGrid/>
        </w:rPr>
        <w:t xml:space="preserve">. </w:t>
      </w:r>
    </w:p>
    <w:p w:rsidR="00371008" w:rsidRPr="003D6709" w:rsidRDefault="00371008" w:rsidP="00371008">
      <w:pPr>
        <w:pStyle w:val="ExecSumBodyText"/>
        <w:rPr>
          <w:snapToGrid/>
        </w:rPr>
      </w:pPr>
      <w:r w:rsidRPr="003D6709">
        <w:rPr>
          <w:snapToGrid/>
        </w:rPr>
        <w:t>The submission acknowledged that there were differences between the ASCEND and HELIOS trials that may impact the indirect comparison, including differences in patient characteristics, blinding, follow-up</w:t>
      </w:r>
      <w:r w:rsidR="005473C4" w:rsidRPr="003D6709">
        <w:rPr>
          <w:snapToGrid/>
        </w:rPr>
        <w:t xml:space="preserve"> duration</w:t>
      </w:r>
      <w:r w:rsidR="00785C65" w:rsidRPr="003D6709">
        <w:rPr>
          <w:snapToGrid/>
        </w:rPr>
        <w:t>s</w:t>
      </w:r>
      <w:r w:rsidR="005473C4" w:rsidRPr="003D6709">
        <w:rPr>
          <w:snapToGrid/>
        </w:rPr>
        <w:t>, common reference arm treatments</w:t>
      </w:r>
      <w:r w:rsidRPr="003D6709">
        <w:rPr>
          <w:snapToGrid/>
        </w:rPr>
        <w:t xml:space="preserve">, and the number of progression events in each of the common reference arms. </w:t>
      </w:r>
    </w:p>
    <w:p w:rsidR="00371008" w:rsidRPr="003D6709" w:rsidRDefault="003C41BB" w:rsidP="00371008">
      <w:pPr>
        <w:pStyle w:val="ExecSumBodyText"/>
      </w:pPr>
      <w:r w:rsidRPr="003D6709">
        <w:t xml:space="preserve">Table 8 </w:t>
      </w:r>
      <w:r w:rsidR="00371008" w:rsidRPr="003D6709">
        <w:t xml:space="preserve">presents the results </w:t>
      </w:r>
      <w:r w:rsidR="00861D04" w:rsidRPr="003D6709">
        <w:t xml:space="preserve">for </w:t>
      </w:r>
      <w:r w:rsidR="00371008" w:rsidRPr="003D6709">
        <w:t xml:space="preserve">the indirect comparison of acalabrutinib versus ibrutinib plus bendamustine plus rituximab for independent review committee-assessed progression-free survival based on the ASCEND (median follow-up 16 months) and HELIOS </w:t>
      </w:r>
      <w:r w:rsidR="00510EAF" w:rsidRPr="003D6709">
        <w:t xml:space="preserve">trials </w:t>
      </w:r>
      <w:r w:rsidR="00371008" w:rsidRPr="003D6709">
        <w:t>(median follow-up 17 months).</w:t>
      </w:r>
    </w:p>
    <w:p w:rsidR="00371008" w:rsidRPr="003D6709" w:rsidRDefault="00510EAF" w:rsidP="003C41BB">
      <w:pPr>
        <w:pStyle w:val="TableHeading"/>
      </w:pPr>
      <w:bookmarkStart w:id="26" w:name="_Ref33453929"/>
      <w:r w:rsidRPr="003D6709">
        <w:t xml:space="preserve">Table </w:t>
      </w:r>
      <w:r w:rsidR="003C41BB" w:rsidRPr="003D6709">
        <w:t>8</w:t>
      </w:r>
      <w:bookmarkEnd w:id="26"/>
      <w:r w:rsidR="00371008" w:rsidRPr="003D6709">
        <w:t>: Indirect comparison of independent review committee-assessed progression-free survival for acalabrutinib versus ibrutinib plus bendamustine plus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09"/>
        <w:gridCol w:w="1701"/>
        <w:gridCol w:w="1558"/>
        <w:gridCol w:w="853"/>
        <w:gridCol w:w="1367"/>
      </w:tblGrid>
      <w:tr w:rsidR="0065677C" w:rsidRPr="003D6709" w:rsidTr="002A4FB3">
        <w:trPr>
          <w:tblHeader/>
        </w:trPr>
        <w:tc>
          <w:tcPr>
            <w:tcW w:w="626" w:type="pct"/>
            <w:tcMar>
              <w:left w:w="28" w:type="dxa"/>
              <w:right w:w="28" w:type="dxa"/>
            </w:tcMar>
            <w:vAlign w:val="center"/>
          </w:tcPr>
          <w:p w:rsidR="0065677C" w:rsidRPr="003D6709" w:rsidRDefault="0065677C" w:rsidP="0034144F">
            <w:pPr>
              <w:pStyle w:val="Tableheadingrow"/>
              <w:rPr>
                <w:lang w:val="en-AU"/>
              </w:rPr>
            </w:pPr>
            <w:r w:rsidRPr="003D6709">
              <w:rPr>
                <w:lang w:val="en-AU"/>
              </w:rPr>
              <w:t>Trial</w:t>
            </w:r>
          </w:p>
        </w:tc>
        <w:tc>
          <w:tcPr>
            <w:tcW w:w="1336" w:type="pct"/>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Outcome</w:t>
            </w:r>
          </w:p>
        </w:tc>
        <w:tc>
          <w:tcPr>
            <w:tcW w:w="943" w:type="pct"/>
            <w:shd w:val="clear" w:color="auto" w:fill="auto"/>
            <w:tcMar>
              <w:left w:w="28" w:type="dxa"/>
              <w:right w:w="28" w:type="dxa"/>
            </w:tcMar>
            <w:vAlign w:val="center"/>
          </w:tcPr>
          <w:p w:rsidR="0065677C" w:rsidRPr="003D6709" w:rsidRDefault="0065677C" w:rsidP="0034144F">
            <w:pPr>
              <w:pStyle w:val="Tableheadingrow"/>
              <w:jc w:val="center"/>
              <w:rPr>
                <w:iCs/>
                <w:lang w:val="en-AU"/>
              </w:rPr>
            </w:pPr>
            <w:r w:rsidRPr="003D6709">
              <w:rPr>
                <w:iCs/>
                <w:lang w:val="en-AU"/>
              </w:rPr>
              <w:t>ACAL</w:t>
            </w:r>
          </w:p>
        </w:tc>
        <w:tc>
          <w:tcPr>
            <w:tcW w:w="864" w:type="pct"/>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IDEL/BEN + RITU</w:t>
            </w:r>
          </w:p>
        </w:tc>
        <w:tc>
          <w:tcPr>
            <w:tcW w:w="472" w:type="pct"/>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Absolute difference</w:t>
            </w:r>
          </w:p>
        </w:tc>
        <w:tc>
          <w:tcPr>
            <w:tcW w:w="758" w:type="pct"/>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HR (95% CI)</w:t>
            </w:r>
          </w:p>
        </w:tc>
      </w:tr>
      <w:tr w:rsidR="0065677C" w:rsidRPr="003D6709" w:rsidTr="002A4FB3">
        <w:tc>
          <w:tcPr>
            <w:tcW w:w="626" w:type="pct"/>
            <w:vMerge w:val="restart"/>
            <w:tcMar>
              <w:left w:w="28" w:type="dxa"/>
              <w:right w:w="28" w:type="dxa"/>
            </w:tcMar>
            <w:vAlign w:val="center"/>
          </w:tcPr>
          <w:p w:rsidR="0065677C" w:rsidRPr="003D6709" w:rsidRDefault="0065677C" w:rsidP="0034144F">
            <w:pPr>
              <w:pStyle w:val="TableText"/>
            </w:pPr>
            <w:r w:rsidRPr="003D6709">
              <w:t xml:space="preserve">ASCEND </w:t>
            </w:r>
          </w:p>
          <w:p w:rsidR="0065677C" w:rsidRPr="003D6709" w:rsidRDefault="0065677C" w:rsidP="0034144F">
            <w:pPr>
              <w:pStyle w:val="TableText"/>
            </w:pPr>
            <w:r w:rsidRPr="003D6709">
              <w:t>(16 months)</w:t>
            </w:r>
          </w:p>
        </w:tc>
        <w:tc>
          <w:tcPr>
            <w:tcW w:w="1336" w:type="pct"/>
            <w:shd w:val="clear" w:color="auto" w:fill="auto"/>
            <w:tcMar>
              <w:left w:w="28" w:type="dxa"/>
              <w:right w:w="28" w:type="dxa"/>
            </w:tcMar>
            <w:vAlign w:val="center"/>
          </w:tcPr>
          <w:p w:rsidR="0065677C" w:rsidRPr="003D6709" w:rsidRDefault="0065677C" w:rsidP="0034144F">
            <w:pPr>
              <w:pStyle w:val="TableText"/>
            </w:pPr>
            <w:r w:rsidRPr="003D6709">
              <w:t>Progressed, n/N (%)</w:t>
            </w:r>
          </w:p>
        </w:tc>
        <w:tc>
          <w:tcPr>
            <w:tcW w:w="943" w:type="pct"/>
            <w:shd w:val="clear" w:color="auto" w:fill="auto"/>
            <w:tcMar>
              <w:left w:w="28" w:type="dxa"/>
              <w:right w:w="28" w:type="dxa"/>
            </w:tcMar>
            <w:vAlign w:val="center"/>
          </w:tcPr>
          <w:p w:rsidR="0065677C" w:rsidRPr="003D6709" w:rsidRDefault="0065677C" w:rsidP="0034144F">
            <w:pPr>
              <w:pStyle w:val="TableText"/>
              <w:jc w:val="center"/>
              <w:rPr>
                <w:iCs/>
              </w:rPr>
            </w:pPr>
            <w:r w:rsidRPr="003D6709">
              <w:rPr>
                <w:iCs/>
              </w:rPr>
              <w:t>27/155 (17.4%)</w:t>
            </w:r>
          </w:p>
        </w:tc>
        <w:tc>
          <w:tcPr>
            <w:tcW w:w="864" w:type="pct"/>
            <w:shd w:val="clear" w:color="auto" w:fill="auto"/>
            <w:tcMar>
              <w:left w:w="28" w:type="dxa"/>
              <w:right w:w="28" w:type="dxa"/>
            </w:tcMar>
            <w:vAlign w:val="center"/>
          </w:tcPr>
          <w:p w:rsidR="0065677C" w:rsidRPr="003D6709" w:rsidRDefault="0065677C" w:rsidP="0065677C">
            <w:pPr>
              <w:pStyle w:val="TableText"/>
              <w:jc w:val="center"/>
              <w:rPr>
                <w:iCs/>
              </w:rPr>
            </w:pPr>
            <w:r w:rsidRPr="003D6709">
              <w:rPr>
                <w:iCs/>
              </w:rPr>
              <w:t>68/155 (43.9%)</w:t>
            </w:r>
          </w:p>
        </w:tc>
        <w:tc>
          <w:tcPr>
            <w:tcW w:w="472" w:type="pct"/>
            <w:shd w:val="clear" w:color="auto" w:fill="auto"/>
            <w:tcMar>
              <w:left w:w="28" w:type="dxa"/>
              <w:right w:w="28" w:type="dxa"/>
            </w:tcMar>
            <w:vAlign w:val="center"/>
          </w:tcPr>
          <w:p w:rsidR="0065677C" w:rsidRPr="003D6709" w:rsidRDefault="0065677C" w:rsidP="0034144F">
            <w:pPr>
              <w:pStyle w:val="TableText"/>
              <w:jc w:val="center"/>
            </w:pPr>
            <w:r w:rsidRPr="003D6709">
              <w:t>26.5%</w:t>
            </w:r>
          </w:p>
        </w:tc>
        <w:tc>
          <w:tcPr>
            <w:tcW w:w="758" w:type="pct"/>
            <w:shd w:val="clear" w:color="auto" w:fill="auto"/>
            <w:tcMar>
              <w:left w:w="28" w:type="dxa"/>
              <w:right w:w="28" w:type="dxa"/>
            </w:tcMar>
            <w:vAlign w:val="center"/>
          </w:tcPr>
          <w:p w:rsidR="0065677C" w:rsidRPr="003D6709" w:rsidRDefault="0065677C" w:rsidP="0034144F">
            <w:pPr>
              <w:pStyle w:val="TableText"/>
              <w:jc w:val="center"/>
            </w:pPr>
            <w:r w:rsidRPr="003D6709">
              <w:t>-</w:t>
            </w:r>
          </w:p>
        </w:tc>
      </w:tr>
      <w:tr w:rsidR="0065677C" w:rsidRPr="003D6709" w:rsidTr="002A4FB3">
        <w:tc>
          <w:tcPr>
            <w:tcW w:w="626" w:type="pct"/>
            <w:vMerge/>
            <w:tcBorders>
              <w:bottom w:val="double" w:sz="4" w:space="0" w:color="auto"/>
            </w:tcBorders>
            <w:tcMar>
              <w:left w:w="28" w:type="dxa"/>
              <w:right w:w="28" w:type="dxa"/>
            </w:tcMar>
            <w:vAlign w:val="center"/>
          </w:tcPr>
          <w:p w:rsidR="0065677C" w:rsidRPr="003D6709" w:rsidRDefault="0065677C" w:rsidP="0034144F">
            <w:pPr>
              <w:pStyle w:val="TableText"/>
            </w:pPr>
          </w:p>
        </w:tc>
        <w:tc>
          <w:tcPr>
            <w:tcW w:w="1336" w:type="pct"/>
            <w:tcBorders>
              <w:bottom w:val="double" w:sz="4" w:space="0" w:color="auto"/>
            </w:tcBorders>
            <w:shd w:val="clear" w:color="auto" w:fill="auto"/>
            <w:tcMar>
              <w:left w:w="28" w:type="dxa"/>
              <w:right w:w="28" w:type="dxa"/>
            </w:tcMar>
            <w:vAlign w:val="center"/>
          </w:tcPr>
          <w:p w:rsidR="0065677C" w:rsidRPr="003D6709" w:rsidRDefault="0065677C" w:rsidP="0034144F">
            <w:pPr>
              <w:pStyle w:val="TableText"/>
            </w:pPr>
            <w:r w:rsidRPr="003D6709">
              <w:t>Median PFS, months (95% CI)</w:t>
            </w:r>
          </w:p>
        </w:tc>
        <w:tc>
          <w:tcPr>
            <w:tcW w:w="943" w:type="pct"/>
            <w:tcBorders>
              <w:bottom w:val="double" w:sz="4" w:space="0" w:color="auto"/>
            </w:tcBorders>
            <w:shd w:val="clear" w:color="auto" w:fill="auto"/>
            <w:tcMar>
              <w:left w:w="28" w:type="dxa"/>
              <w:right w:w="28" w:type="dxa"/>
            </w:tcMar>
            <w:vAlign w:val="center"/>
          </w:tcPr>
          <w:p w:rsidR="0065677C" w:rsidRPr="003D6709" w:rsidRDefault="0065677C" w:rsidP="0034144F">
            <w:pPr>
              <w:pStyle w:val="TableText"/>
              <w:jc w:val="center"/>
              <w:rPr>
                <w:iCs/>
              </w:rPr>
            </w:pPr>
            <w:r w:rsidRPr="003D6709">
              <w:t>Not reached (NE)</w:t>
            </w:r>
          </w:p>
        </w:tc>
        <w:tc>
          <w:tcPr>
            <w:tcW w:w="864" w:type="pct"/>
            <w:tcBorders>
              <w:bottom w:val="double" w:sz="4" w:space="0" w:color="auto"/>
            </w:tcBorders>
            <w:shd w:val="clear" w:color="auto" w:fill="auto"/>
            <w:tcMar>
              <w:left w:w="28" w:type="dxa"/>
              <w:right w:w="28" w:type="dxa"/>
            </w:tcMar>
            <w:vAlign w:val="center"/>
          </w:tcPr>
          <w:p w:rsidR="0065677C" w:rsidRPr="003D6709" w:rsidRDefault="0065677C" w:rsidP="0034144F">
            <w:pPr>
              <w:pStyle w:val="TableText"/>
              <w:jc w:val="center"/>
              <w:rPr>
                <w:iCs/>
              </w:rPr>
            </w:pPr>
            <w:r w:rsidRPr="003D6709">
              <w:t>16.5 (14.0, 17.1)</w:t>
            </w:r>
          </w:p>
        </w:tc>
        <w:tc>
          <w:tcPr>
            <w:tcW w:w="472" w:type="pct"/>
            <w:tcBorders>
              <w:bottom w:val="double" w:sz="4" w:space="0" w:color="auto"/>
            </w:tcBorders>
            <w:shd w:val="clear" w:color="auto" w:fill="auto"/>
            <w:tcMar>
              <w:left w:w="28" w:type="dxa"/>
              <w:right w:w="28" w:type="dxa"/>
            </w:tcMar>
            <w:vAlign w:val="center"/>
          </w:tcPr>
          <w:p w:rsidR="0065677C" w:rsidRPr="003D6709" w:rsidRDefault="0065677C" w:rsidP="0034144F">
            <w:pPr>
              <w:pStyle w:val="TableText"/>
              <w:jc w:val="center"/>
            </w:pPr>
            <w:r w:rsidRPr="003D6709">
              <w:t>-</w:t>
            </w:r>
          </w:p>
        </w:tc>
        <w:tc>
          <w:tcPr>
            <w:tcW w:w="758" w:type="pct"/>
            <w:tcBorders>
              <w:bottom w:val="double" w:sz="4" w:space="0" w:color="auto"/>
            </w:tcBorders>
            <w:shd w:val="clear" w:color="auto" w:fill="auto"/>
            <w:tcMar>
              <w:left w:w="28" w:type="dxa"/>
              <w:right w:w="28" w:type="dxa"/>
            </w:tcMar>
            <w:vAlign w:val="center"/>
          </w:tcPr>
          <w:p w:rsidR="0065677C" w:rsidRPr="003D6709" w:rsidRDefault="0065677C" w:rsidP="0034144F">
            <w:pPr>
              <w:pStyle w:val="TableText"/>
              <w:jc w:val="center"/>
              <w:rPr>
                <w:b/>
              </w:rPr>
            </w:pPr>
            <w:r w:rsidRPr="003D6709">
              <w:rPr>
                <w:b/>
              </w:rPr>
              <w:t>0.31 (0.20, 0.49)</w:t>
            </w:r>
          </w:p>
        </w:tc>
      </w:tr>
      <w:tr w:rsidR="0065677C" w:rsidRPr="003D6709" w:rsidTr="002A4FB3">
        <w:tc>
          <w:tcPr>
            <w:tcW w:w="626" w:type="pct"/>
            <w:tcBorders>
              <w:top w:val="double" w:sz="4" w:space="0" w:color="auto"/>
              <w:bottom w:val="single" w:sz="4" w:space="0" w:color="auto"/>
            </w:tcBorders>
            <w:tcMar>
              <w:left w:w="28" w:type="dxa"/>
              <w:right w:w="28" w:type="dxa"/>
            </w:tcMar>
            <w:vAlign w:val="center"/>
          </w:tcPr>
          <w:p w:rsidR="0065677C" w:rsidRPr="003D6709" w:rsidRDefault="0065677C" w:rsidP="0034144F">
            <w:pPr>
              <w:pStyle w:val="Tableheadingrow"/>
              <w:rPr>
                <w:lang w:val="en-AU"/>
              </w:rPr>
            </w:pPr>
            <w:r w:rsidRPr="003D6709">
              <w:rPr>
                <w:lang w:val="en-AU"/>
              </w:rPr>
              <w:t>Trial</w:t>
            </w:r>
          </w:p>
        </w:tc>
        <w:tc>
          <w:tcPr>
            <w:tcW w:w="1336" w:type="pct"/>
            <w:tcBorders>
              <w:top w:val="double" w:sz="4" w:space="0" w:color="auto"/>
              <w:bottom w:val="single" w:sz="4" w:space="0" w:color="auto"/>
            </w:tcBorders>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Outcome</w:t>
            </w:r>
          </w:p>
        </w:tc>
        <w:tc>
          <w:tcPr>
            <w:tcW w:w="943" w:type="pct"/>
            <w:tcBorders>
              <w:top w:val="double" w:sz="4" w:space="0" w:color="auto"/>
              <w:bottom w:val="single" w:sz="4" w:space="0" w:color="auto"/>
            </w:tcBorders>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IBR + BEN + RITU</w:t>
            </w:r>
          </w:p>
        </w:tc>
        <w:tc>
          <w:tcPr>
            <w:tcW w:w="864" w:type="pct"/>
            <w:tcBorders>
              <w:top w:val="double" w:sz="4" w:space="0" w:color="auto"/>
              <w:bottom w:val="single" w:sz="4" w:space="0" w:color="auto"/>
            </w:tcBorders>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PBO + BEN + RITU</w:t>
            </w:r>
          </w:p>
        </w:tc>
        <w:tc>
          <w:tcPr>
            <w:tcW w:w="472" w:type="pct"/>
            <w:tcBorders>
              <w:top w:val="double" w:sz="4" w:space="0" w:color="auto"/>
              <w:bottom w:val="single" w:sz="4" w:space="0" w:color="auto"/>
            </w:tcBorders>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Absolute difference</w:t>
            </w:r>
          </w:p>
        </w:tc>
        <w:tc>
          <w:tcPr>
            <w:tcW w:w="758" w:type="pct"/>
            <w:tcBorders>
              <w:top w:val="double" w:sz="4" w:space="0" w:color="auto"/>
              <w:bottom w:val="single" w:sz="4" w:space="0" w:color="auto"/>
            </w:tcBorders>
            <w:shd w:val="clear" w:color="auto" w:fill="auto"/>
            <w:tcMar>
              <w:left w:w="28" w:type="dxa"/>
              <w:right w:w="28" w:type="dxa"/>
            </w:tcMar>
            <w:vAlign w:val="center"/>
          </w:tcPr>
          <w:p w:rsidR="0065677C" w:rsidRPr="003D6709" w:rsidRDefault="0065677C" w:rsidP="0034144F">
            <w:pPr>
              <w:pStyle w:val="Tableheadingrow"/>
              <w:jc w:val="center"/>
              <w:rPr>
                <w:lang w:val="en-AU"/>
              </w:rPr>
            </w:pPr>
            <w:r w:rsidRPr="003D6709">
              <w:rPr>
                <w:lang w:val="en-AU"/>
              </w:rPr>
              <w:t>HR (95% CI)</w:t>
            </w:r>
          </w:p>
        </w:tc>
      </w:tr>
      <w:tr w:rsidR="0065677C" w:rsidRPr="003D6709" w:rsidTr="002A4FB3">
        <w:tc>
          <w:tcPr>
            <w:tcW w:w="626" w:type="pct"/>
            <w:vMerge w:val="restart"/>
            <w:tcBorders>
              <w:top w:val="single" w:sz="4" w:space="0" w:color="auto"/>
            </w:tcBorders>
            <w:tcMar>
              <w:left w:w="28" w:type="dxa"/>
              <w:right w:w="28" w:type="dxa"/>
            </w:tcMar>
            <w:vAlign w:val="center"/>
          </w:tcPr>
          <w:p w:rsidR="0065677C" w:rsidRPr="003D6709" w:rsidRDefault="0065677C" w:rsidP="0034144F">
            <w:pPr>
              <w:pStyle w:val="TableText"/>
            </w:pPr>
            <w:r w:rsidRPr="003D6709">
              <w:t xml:space="preserve">HELIOS </w:t>
            </w:r>
          </w:p>
          <w:p w:rsidR="0065677C" w:rsidRPr="003D6709" w:rsidRDefault="0065677C" w:rsidP="0034144F">
            <w:pPr>
              <w:pStyle w:val="TableText"/>
            </w:pPr>
            <w:r w:rsidRPr="003D6709">
              <w:t>(17 months)</w:t>
            </w:r>
          </w:p>
        </w:tc>
        <w:tc>
          <w:tcPr>
            <w:tcW w:w="1336" w:type="pct"/>
            <w:tcBorders>
              <w:top w:val="single" w:sz="4" w:space="0" w:color="auto"/>
            </w:tcBorders>
            <w:shd w:val="clear" w:color="auto" w:fill="auto"/>
            <w:tcMar>
              <w:left w:w="28" w:type="dxa"/>
              <w:right w:w="28" w:type="dxa"/>
            </w:tcMar>
            <w:vAlign w:val="center"/>
          </w:tcPr>
          <w:p w:rsidR="0065677C" w:rsidRPr="003D6709" w:rsidRDefault="0065677C" w:rsidP="0034144F">
            <w:pPr>
              <w:pStyle w:val="TableText"/>
            </w:pPr>
            <w:r w:rsidRPr="003D6709">
              <w:t>Progressed, n/N (%)</w:t>
            </w:r>
          </w:p>
        </w:tc>
        <w:tc>
          <w:tcPr>
            <w:tcW w:w="943" w:type="pct"/>
            <w:tcBorders>
              <w:top w:val="single" w:sz="4" w:space="0" w:color="auto"/>
            </w:tcBorders>
            <w:shd w:val="clear" w:color="auto" w:fill="auto"/>
            <w:tcMar>
              <w:left w:w="28" w:type="dxa"/>
              <w:right w:w="28" w:type="dxa"/>
            </w:tcMar>
            <w:vAlign w:val="center"/>
          </w:tcPr>
          <w:p w:rsidR="0065677C" w:rsidRPr="003D6709" w:rsidRDefault="0065677C" w:rsidP="0034144F">
            <w:pPr>
              <w:pStyle w:val="TableText"/>
              <w:jc w:val="center"/>
            </w:pPr>
            <w:r w:rsidRPr="003D6709">
              <w:t>56/289 (19.4%)</w:t>
            </w:r>
          </w:p>
        </w:tc>
        <w:tc>
          <w:tcPr>
            <w:tcW w:w="864" w:type="pct"/>
            <w:tcBorders>
              <w:top w:val="single" w:sz="4" w:space="0" w:color="auto"/>
            </w:tcBorders>
            <w:shd w:val="clear" w:color="auto" w:fill="auto"/>
            <w:tcMar>
              <w:left w:w="28" w:type="dxa"/>
              <w:right w:w="28" w:type="dxa"/>
            </w:tcMar>
            <w:vAlign w:val="center"/>
          </w:tcPr>
          <w:p w:rsidR="0065677C" w:rsidRPr="003D6709" w:rsidRDefault="0065677C" w:rsidP="0034144F">
            <w:pPr>
              <w:pStyle w:val="TableText"/>
              <w:jc w:val="center"/>
            </w:pPr>
            <w:r w:rsidRPr="003D6709">
              <w:t>183/289 (63.3%)</w:t>
            </w:r>
          </w:p>
        </w:tc>
        <w:tc>
          <w:tcPr>
            <w:tcW w:w="472" w:type="pct"/>
            <w:tcBorders>
              <w:top w:val="single" w:sz="4" w:space="0" w:color="auto"/>
            </w:tcBorders>
            <w:shd w:val="clear" w:color="auto" w:fill="auto"/>
            <w:tcMar>
              <w:left w:w="28" w:type="dxa"/>
              <w:right w:w="28" w:type="dxa"/>
            </w:tcMar>
            <w:vAlign w:val="center"/>
          </w:tcPr>
          <w:p w:rsidR="0065677C" w:rsidRPr="003D6709" w:rsidRDefault="0065677C" w:rsidP="0034144F">
            <w:pPr>
              <w:pStyle w:val="TableText"/>
              <w:jc w:val="center"/>
            </w:pPr>
            <w:r w:rsidRPr="003D6709">
              <w:t>43.9%</w:t>
            </w:r>
          </w:p>
        </w:tc>
        <w:tc>
          <w:tcPr>
            <w:tcW w:w="758" w:type="pct"/>
            <w:tcBorders>
              <w:top w:val="single" w:sz="4" w:space="0" w:color="auto"/>
            </w:tcBorders>
            <w:shd w:val="clear" w:color="auto" w:fill="auto"/>
            <w:tcMar>
              <w:left w:w="28" w:type="dxa"/>
              <w:right w:w="28" w:type="dxa"/>
            </w:tcMar>
            <w:vAlign w:val="center"/>
          </w:tcPr>
          <w:p w:rsidR="0065677C" w:rsidRPr="003D6709" w:rsidRDefault="0065677C" w:rsidP="0034144F">
            <w:pPr>
              <w:pStyle w:val="TableText"/>
              <w:jc w:val="center"/>
            </w:pPr>
            <w:r w:rsidRPr="003D6709">
              <w:t>-</w:t>
            </w:r>
          </w:p>
        </w:tc>
      </w:tr>
      <w:tr w:rsidR="0065677C" w:rsidRPr="003D6709" w:rsidTr="002A4FB3">
        <w:tc>
          <w:tcPr>
            <w:tcW w:w="626" w:type="pct"/>
            <w:vMerge/>
            <w:tcMar>
              <w:left w:w="28" w:type="dxa"/>
              <w:right w:w="28" w:type="dxa"/>
            </w:tcMar>
            <w:vAlign w:val="center"/>
          </w:tcPr>
          <w:p w:rsidR="0065677C" w:rsidRPr="003D6709" w:rsidRDefault="0065677C" w:rsidP="0034144F">
            <w:pPr>
              <w:pStyle w:val="TableText"/>
              <w:jc w:val="center"/>
            </w:pPr>
          </w:p>
        </w:tc>
        <w:tc>
          <w:tcPr>
            <w:tcW w:w="1336" w:type="pct"/>
            <w:shd w:val="clear" w:color="auto" w:fill="auto"/>
            <w:tcMar>
              <w:left w:w="28" w:type="dxa"/>
              <w:right w:w="28" w:type="dxa"/>
            </w:tcMar>
            <w:vAlign w:val="center"/>
          </w:tcPr>
          <w:p w:rsidR="0065677C" w:rsidRPr="003D6709" w:rsidRDefault="0065677C" w:rsidP="0034144F">
            <w:pPr>
              <w:pStyle w:val="TableText"/>
            </w:pPr>
            <w:r w:rsidRPr="003D6709">
              <w:t>Median PFS, months (95% CI)</w:t>
            </w:r>
          </w:p>
        </w:tc>
        <w:tc>
          <w:tcPr>
            <w:tcW w:w="943" w:type="pct"/>
            <w:shd w:val="clear" w:color="auto" w:fill="auto"/>
            <w:tcMar>
              <w:left w:w="28" w:type="dxa"/>
              <w:right w:w="28" w:type="dxa"/>
            </w:tcMar>
            <w:vAlign w:val="center"/>
          </w:tcPr>
          <w:p w:rsidR="0065677C" w:rsidRPr="003D6709" w:rsidRDefault="0065677C" w:rsidP="0034144F">
            <w:pPr>
              <w:pStyle w:val="TableText"/>
              <w:jc w:val="center"/>
              <w:rPr>
                <w:iCs/>
              </w:rPr>
            </w:pPr>
            <w:r w:rsidRPr="003D6709">
              <w:rPr>
                <w:iCs/>
              </w:rPr>
              <w:t>Not reached (NE)</w:t>
            </w:r>
          </w:p>
        </w:tc>
        <w:tc>
          <w:tcPr>
            <w:tcW w:w="864" w:type="pct"/>
            <w:shd w:val="clear" w:color="auto" w:fill="auto"/>
            <w:tcMar>
              <w:left w:w="28" w:type="dxa"/>
              <w:right w:w="28" w:type="dxa"/>
            </w:tcMar>
            <w:vAlign w:val="center"/>
          </w:tcPr>
          <w:p w:rsidR="0065677C" w:rsidRPr="003D6709" w:rsidRDefault="0065677C" w:rsidP="0034144F">
            <w:pPr>
              <w:pStyle w:val="TableText"/>
              <w:jc w:val="center"/>
            </w:pPr>
            <w:r w:rsidRPr="003D6709">
              <w:rPr>
                <w:iCs/>
              </w:rPr>
              <w:t>13.3 (11.3, 13.9)</w:t>
            </w:r>
          </w:p>
        </w:tc>
        <w:tc>
          <w:tcPr>
            <w:tcW w:w="472" w:type="pct"/>
            <w:shd w:val="clear" w:color="auto" w:fill="auto"/>
            <w:tcMar>
              <w:left w:w="28" w:type="dxa"/>
              <w:right w:w="28" w:type="dxa"/>
            </w:tcMar>
            <w:vAlign w:val="center"/>
          </w:tcPr>
          <w:p w:rsidR="0065677C" w:rsidRPr="003D6709" w:rsidRDefault="0065677C" w:rsidP="0034144F">
            <w:pPr>
              <w:pStyle w:val="TableText"/>
              <w:jc w:val="center"/>
            </w:pPr>
            <w:r w:rsidRPr="003D6709">
              <w:t>-</w:t>
            </w:r>
          </w:p>
        </w:tc>
        <w:tc>
          <w:tcPr>
            <w:tcW w:w="758" w:type="pct"/>
            <w:shd w:val="clear" w:color="auto" w:fill="auto"/>
            <w:tcMar>
              <w:left w:w="28" w:type="dxa"/>
              <w:right w:w="28" w:type="dxa"/>
            </w:tcMar>
            <w:vAlign w:val="center"/>
          </w:tcPr>
          <w:p w:rsidR="0065677C" w:rsidRPr="003D6709" w:rsidRDefault="0065677C" w:rsidP="0065677C">
            <w:pPr>
              <w:pStyle w:val="TableText"/>
              <w:jc w:val="center"/>
              <w:rPr>
                <w:b/>
              </w:rPr>
            </w:pPr>
            <w:r w:rsidRPr="003D6709">
              <w:rPr>
                <w:b/>
              </w:rPr>
              <w:t>0.20 (0.15, 0.28)</w:t>
            </w:r>
          </w:p>
        </w:tc>
      </w:tr>
      <w:tr w:rsidR="0065677C" w:rsidRPr="003D6709" w:rsidTr="002A4FB3">
        <w:tc>
          <w:tcPr>
            <w:tcW w:w="4242" w:type="pct"/>
            <w:gridSpan w:val="5"/>
            <w:tcMar>
              <w:left w:w="28" w:type="dxa"/>
              <w:right w:w="28" w:type="dxa"/>
            </w:tcMar>
            <w:vAlign w:val="center"/>
          </w:tcPr>
          <w:p w:rsidR="0065677C" w:rsidRPr="003D6709" w:rsidRDefault="0065677C" w:rsidP="0034144F">
            <w:pPr>
              <w:pStyle w:val="TableText"/>
              <w:rPr>
                <w:b/>
              </w:rPr>
            </w:pPr>
            <w:r w:rsidRPr="003D6709">
              <w:rPr>
                <w:b/>
              </w:rPr>
              <w:t>Indirect comparison ACAL (16.1 months) vs. IBR + BEN + RITU (17 months)</w:t>
            </w:r>
          </w:p>
        </w:tc>
        <w:tc>
          <w:tcPr>
            <w:tcW w:w="758" w:type="pct"/>
            <w:shd w:val="clear" w:color="auto" w:fill="auto"/>
            <w:tcMar>
              <w:left w:w="28" w:type="dxa"/>
              <w:right w:w="28" w:type="dxa"/>
            </w:tcMar>
          </w:tcPr>
          <w:p w:rsidR="0065677C" w:rsidRPr="003D6709" w:rsidRDefault="0065677C" w:rsidP="0034144F">
            <w:pPr>
              <w:pStyle w:val="TableText"/>
              <w:jc w:val="center"/>
            </w:pPr>
            <w:r w:rsidRPr="003D6709">
              <w:t>1.53 (0.89, 2.63)</w:t>
            </w:r>
          </w:p>
        </w:tc>
      </w:tr>
    </w:tbl>
    <w:p w:rsidR="00371008" w:rsidRPr="003D6709" w:rsidRDefault="00371008" w:rsidP="00371008">
      <w:pPr>
        <w:pStyle w:val="TableFigureFooter"/>
      </w:pPr>
      <w:r w:rsidRPr="003D6709">
        <w:t>Source: Table 2.6.10, p.91 of the submission.</w:t>
      </w:r>
    </w:p>
    <w:p w:rsidR="00371008" w:rsidRPr="003D6709" w:rsidRDefault="00371008" w:rsidP="00371008">
      <w:pPr>
        <w:pStyle w:val="TableFigureFooter"/>
      </w:pPr>
      <w:r w:rsidRPr="003D6709">
        <w:t xml:space="preserve">Abbreviations: ACAL, acalabrutinib; BEN, bendamustine; CI, confidence interval; HR, hazard ratio; IBR, ibrutinib; IDEL, idelalisib; </w:t>
      </w:r>
      <w:r w:rsidR="0059462D" w:rsidRPr="003D6709">
        <w:t xml:space="preserve">NE, not estimable; </w:t>
      </w:r>
      <w:r w:rsidRPr="003D6709">
        <w:t>PBO, placebo; RITU, rituximab.</w:t>
      </w:r>
    </w:p>
    <w:p w:rsidR="00371008" w:rsidRPr="003D6709" w:rsidRDefault="00371008" w:rsidP="00371008">
      <w:pPr>
        <w:pStyle w:val="TableFigureFooter"/>
      </w:pPr>
      <w:r w:rsidRPr="003D6709">
        <w:t>Bolded result indicates statistically significant difference.</w:t>
      </w:r>
    </w:p>
    <w:p w:rsidR="00371008" w:rsidRPr="003D6709" w:rsidRDefault="00371008" w:rsidP="004C7D8F">
      <w:pPr>
        <w:pStyle w:val="ExecSumBodyText"/>
      </w:pPr>
      <w:r w:rsidRPr="003D6709">
        <w:t>Based on the results of the indirect comparison</w:t>
      </w:r>
      <w:r w:rsidR="00795DDB" w:rsidRPr="003D6709">
        <w:t>, treatment with ibrutinib</w:t>
      </w:r>
      <w:r w:rsidR="00FA4FCD" w:rsidRPr="003D6709">
        <w:t xml:space="preserve"> plus bendamustine plus rituximab</w:t>
      </w:r>
      <w:r w:rsidR="00795DDB" w:rsidRPr="003D6709">
        <w:t xml:space="preserve"> was a</w:t>
      </w:r>
      <w:r w:rsidR="00FA4FCD" w:rsidRPr="003D6709">
        <w:t xml:space="preserve">ssociated with </w:t>
      </w:r>
      <w:r w:rsidR="005473C4" w:rsidRPr="003D6709">
        <w:t xml:space="preserve">a </w:t>
      </w:r>
      <w:r w:rsidR="00FA4FCD" w:rsidRPr="003D6709">
        <w:t xml:space="preserve">longer duration of progression-free survival compared to </w:t>
      </w:r>
      <w:r w:rsidRPr="003D6709">
        <w:t>acalabru</w:t>
      </w:r>
      <w:r w:rsidR="00FA4FCD" w:rsidRPr="003D6709">
        <w:t>tinib</w:t>
      </w:r>
      <w:r w:rsidRPr="003D6709">
        <w:t xml:space="preserve">, </w:t>
      </w:r>
      <w:r w:rsidR="0012144B" w:rsidRPr="003D6709">
        <w:t>although</w:t>
      </w:r>
      <w:r w:rsidR="00FA4FCD" w:rsidRPr="003D6709">
        <w:t xml:space="preserve"> the difference was </w:t>
      </w:r>
      <w:r w:rsidRPr="003D6709">
        <w:t>no</w:t>
      </w:r>
      <w:r w:rsidR="00FA4FCD" w:rsidRPr="003D6709">
        <w:t>t</w:t>
      </w:r>
      <w:r w:rsidRPr="003D6709">
        <w:t xml:space="preserve"> statistically significant (HR </w:t>
      </w:r>
      <w:r w:rsidR="00084A99" w:rsidRPr="003D6709">
        <w:t xml:space="preserve">= </w:t>
      </w:r>
      <w:r w:rsidRPr="003D6709">
        <w:t xml:space="preserve">1.53; 95% CI: 0.89, 2.63). </w:t>
      </w:r>
      <w:r w:rsidR="00FA4FCD" w:rsidRPr="003D6709">
        <w:t>T</w:t>
      </w:r>
      <w:r w:rsidRPr="003D6709">
        <w:t xml:space="preserve">he </w:t>
      </w:r>
      <w:r w:rsidR="00F01579" w:rsidRPr="003D6709">
        <w:t xml:space="preserve">PBAC noted that the </w:t>
      </w:r>
      <w:r w:rsidRPr="003D6709">
        <w:t xml:space="preserve">results should be </w:t>
      </w:r>
      <w:r w:rsidRPr="003D6709">
        <w:lastRenderedPageBreak/>
        <w:t xml:space="preserve">interpreted with caution due to differences in trial populations, study design (double-blind versus open label), common reference arms, and event rates. </w:t>
      </w:r>
    </w:p>
    <w:p w:rsidR="00371008" w:rsidRPr="003D6709" w:rsidRDefault="003C41BB" w:rsidP="00371008">
      <w:pPr>
        <w:pStyle w:val="ExecSumBodyText"/>
      </w:pPr>
      <w:r w:rsidRPr="003D6709">
        <w:t xml:space="preserve">Table 9 </w:t>
      </w:r>
      <w:r w:rsidR="00371008" w:rsidRPr="003D6709">
        <w:t xml:space="preserve">presents the results of the indirect comparison of acalabrutinib versus ibrutinib plus bendamustine plus rituximab for overall survival based on </w:t>
      </w:r>
      <w:r w:rsidR="00510EAF" w:rsidRPr="003D6709">
        <w:t xml:space="preserve">the </w:t>
      </w:r>
      <w:r w:rsidR="00371008" w:rsidRPr="003D6709">
        <w:t xml:space="preserve">ASCEND (median follow-up 16 months) and HELIOS </w:t>
      </w:r>
      <w:r w:rsidR="00510EAF" w:rsidRPr="003D6709">
        <w:t xml:space="preserve">trials </w:t>
      </w:r>
      <w:r w:rsidR="00371008" w:rsidRPr="003D6709">
        <w:t>(median follow-up 17 months and 34.8 months).</w:t>
      </w:r>
    </w:p>
    <w:p w:rsidR="00371008" w:rsidRPr="003D6709" w:rsidRDefault="00371008" w:rsidP="003C41BB">
      <w:pPr>
        <w:pStyle w:val="TableHeading"/>
      </w:pPr>
      <w:bookmarkStart w:id="27" w:name="_Ref33453960"/>
      <w:r w:rsidRPr="003D6709">
        <w:t xml:space="preserve">Table </w:t>
      </w:r>
      <w:r w:rsidR="003C41BB" w:rsidRPr="003D6709">
        <w:t>9</w:t>
      </w:r>
      <w:bookmarkEnd w:id="27"/>
      <w:r w:rsidRPr="003D6709">
        <w:t>: Indirect comparison of overall survival for acalabrutinib versus ibrutinib plus bendamustine plus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9"/>
        <w:gridCol w:w="1558"/>
        <w:gridCol w:w="1560"/>
        <w:gridCol w:w="992"/>
        <w:gridCol w:w="1367"/>
      </w:tblGrid>
      <w:tr w:rsidR="00371008" w:rsidRPr="003D6709" w:rsidTr="002A4FB3">
        <w:trPr>
          <w:tblHeader/>
        </w:trPr>
        <w:tc>
          <w:tcPr>
            <w:tcW w:w="705" w:type="pct"/>
            <w:tcMar>
              <w:left w:w="28" w:type="dxa"/>
              <w:right w:w="28" w:type="dxa"/>
            </w:tcMar>
            <w:vAlign w:val="center"/>
          </w:tcPr>
          <w:p w:rsidR="00371008" w:rsidRPr="003D6709" w:rsidRDefault="00371008" w:rsidP="004C7D8F">
            <w:pPr>
              <w:pStyle w:val="Tableheadingrow"/>
              <w:rPr>
                <w:szCs w:val="20"/>
                <w:lang w:val="en-AU"/>
              </w:rPr>
            </w:pPr>
            <w:r w:rsidRPr="003D6709">
              <w:rPr>
                <w:szCs w:val="20"/>
                <w:lang w:val="en-AU"/>
              </w:rPr>
              <w:t>Trial</w:t>
            </w:r>
          </w:p>
        </w:tc>
        <w:tc>
          <w:tcPr>
            <w:tcW w:w="1258" w:type="pct"/>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Outcome</w:t>
            </w:r>
          </w:p>
        </w:tc>
        <w:tc>
          <w:tcPr>
            <w:tcW w:w="864" w:type="pct"/>
            <w:shd w:val="clear" w:color="auto" w:fill="auto"/>
            <w:tcMar>
              <w:left w:w="28" w:type="dxa"/>
              <w:right w:w="28" w:type="dxa"/>
            </w:tcMar>
            <w:vAlign w:val="center"/>
          </w:tcPr>
          <w:p w:rsidR="00371008" w:rsidRPr="003D6709" w:rsidRDefault="00371008" w:rsidP="004C7D8F">
            <w:pPr>
              <w:pStyle w:val="Tableheadingrow"/>
              <w:jc w:val="center"/>
              <w:rPr>
                <w:iCs/>
                <w:szCs w:val="20"/>
                <w:lang w:val="en-AU"/>
              </w:rPr>
            </w:pPr>
            <w:r w:rsidRPr="003D6709">
              <w:rPr>
                <w:iCs/>
                <w:szCs w:val="20"/>
                <w:lang w:val="en-AU"/>
              </w:rPr>
              <w:t>ACAL</w:t>
            </w:r>
          </w:p>
        </w:tc>
        <w:tc>
          <w:tcPr>
            <w:tcW w:w="865" w:type="pct"/>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IDEL/BEN + RITU</w:t>
            </w:r>
          </w:p>
        </w:tc>
        <w:tc>
          <w:tcPr>
            <w:tcW w:w="550" w:type="pct"/>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Absolute difference</w:t>
            </w:r>
          </w:p>
        </w:tc>
        <w:tc>
          <w:tcPr>
            <w:tcW w:w="758" w:type="pct"/>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HR (95% CI)</w:t>
            </w:r>
          </w:p>
        </w:tc>
      </w:tr>
      <w:tr w:rsidR="00371008" w:rsidRPr="003D6709" w:rsidTr="002A4FB3">
        <w:tc>
          <w:tcPr>
            <w:tcW w:w="705" w:type="pct"/>
            <w:vMerge w:val="restart"/>
            <w:tcMar>
              <w:left w:w="28" w:type="dxa"/>
              <w:right w:w="28" w:type="dxa"/>
            </w:tcMar>
            <w:vAlign w:val="center"/>
          </w:tcPr>
          <w:p w:rsidR="00371008" w:rsidRPr="003D6709" w:rsidRDefault="00371008" w:rsidP="004C7D8F">
            <w:pPr>
              <w:pStyle w:val="TableText"/>
              <w:rPr>
                <w:szCs w:val="20"/>
              </w:rPr>
            </w:pPr>
            <w:r w:rsidRPr="003D6709">
              <w:rPr>
                <w:szCs w:val="20"/>
              </w:rPr>
              <w:t xml:space="preserve">ASCEND </w:t>
            </w:r>
          </w:p>
          <w:p w:rsidR="00371008" w:rsidRPr="003D6709" w:rsidRDefault="00371008" w:rsidP="004C7D8F">
            <w:pPr>
              <w:pStyle w:val="TableText"/>
              <w:rPr>
                <w:szCs w:val="20"/>
              </w:rPr>
            </w:pPr>
            <w:r w:rsidRPr="003D6709">
              <w:rPr>
                <w:szCs w:val="20"/>
              </w:rPr>
              <w:t>(16 months)</w:t>
            </w:r>
          </w:p>
        </w:tc>
        <w:tc>
          <w:tcPr>
            <w:tcW w:w="1258" w:type="pct"/>
            <w:shd w:val="clear" w:color="auto" w:fill="auto"/>
            <w:tcMar>
              <w:left w:w="28" w:type="dxa"/>
              <w:right w:w="28" w:type="dxa"/>
            </w:tcMar>
            <w:vAlign w:val="center"/>
          </w:tcPr>
          <w:p w:rsidR="00371008" w:rsidRPr="003D6709" w:rsidRDefault="00371008" w:rsidP="004C7D8F">
            <w:pPr>
              <w:pStyle w:val="TableText"/>
              <w:rPr>
                <w:szCs w:val="20"/>
              </w:rPr>
            </w:pPr>
            <w:r w:rsidRPr="003D6709">
              <w:rPr>
                <w:szCs w:val="20"/>
              </w:rPr>
              <w:t>Deaths</w:t>
            </w:r>
            <w:r w:rsidR="0065677C" w:rsidRPr="003D6709">
              <w:rPr>
                <w:szCs w:val="20"/>
              </w:rPr>
              <w:t>,</w:t>
            </w:r>
            <w:r w:rsidRPr="003D6709">
              <w:rPr>
                <w:szCs w:val="20"/>
              </w:rPr>
              <w:t xml:space="preserve"> n/N (%)</w:t>
            </w:r>
          </w:p>
        </w:tc>
        <w:tc>
          <w:tcPr>
            <w:tcW w:w="864" w:type="pct"/>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iCs/>
                <w:szCs w:val="20"/>
              </w:rPr>
              <w:t>15/155 (9.7</w:t>
            </w:r>
            <w:r w:rsidR="0065677C" w:rsidRPr="003D6709">
              <w:rPr>
                <w:iCs/>
                <w:szCs w:val="20"/>
              </w:rPr>
              <w:t>%</w:t>
            </w:r>
            <w:r w:rsidRPr="003D6709">
              <w:rPr>
                <w:iCs/>
                <w:szCs w:val="20"/>
              </w:rPr>
              <w:t>)</w:t>
            </w:r>
          </w:p>
        </w:tc>
        <w:tc>
          <w:tcPr>
            <w:tcW w:w="865" w:type="pct"/>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iCs/>
                <w:szCs w:val="20"/>
              </w:rPr>
              <w:t>18/155 (11.6</w:t>
            </w:r>
            <w:r w:rsidR="0065677C" w:rsidRPr="003D6709">
              <w:rPr>
                <w:iCs/>
                <w:szCs w:val="20"/>
              </w:rPr>
              <w:t>%</w:t>
            </w:r>
            <w:r w:rsidRPr="003D6709">
              <w:rPr>
                <w:iCs/>
                <w:szCs w:val="20"/>
              </w:rPr>
              <w:t>)</w:t>
            </w:r>
          </w:p>
        </w:tc>
        <w:tc>
          <w:tcPr>
            <w:tcW w:w="550"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1.9</w:t>
            </w:r>
            <w:r w:rsidR="0065677C" w:rsidRPr="003D6709">
              <w:rPr>
                <w:szCs w:val="20"/>
              </w:rPr>
              <w:t>%</w:t>
            </w:r>
          </w:p>
        </w:tc>
        <w:tc>
          <w:tcPr>
            <w:tcW w:w="758"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w:t>
            </w:r>
          </w:p>
        </w:tc>
      </w:tr>
      <w:tr w:rsidR="00371008" w:rsidRPr="003D6709" w:rsidTr="002A4FB3">
        <w:tc>
          <w:tcPr>
            <w:tcW w:w="705" w:type="pct"/>
            <w:vMerge/>
            <w:tcBorders>
              <w:bottom w:val="double" w:sz="4" w:space="0" w:color="auto"/>
            </w:tcBorders>
            <w:tcMar>
              <w:left w:w="28" w:type="dxa"/>
              <w:right w:w="28" w:type="dxa"/>
            </w:tcMar>
            <w:vAlign w:val="center"/>
          </w:tcPr>
          <w:p w:rsidR="00371008" w:rsidRPr="003D6709" w:rsidRDefault="00371008" w:rsidP="004C7D8F">
            <w:pPr>
              <w:pStyle w:val="TableText"/>
              <w:rPr>
                <w:szCs w:val="20"/>
              </w:rPr>
            </w:pPr>
          </w:p>
        </w:tc>
        <w:tc>
          <w:tcPr>
            <w:tcW w:w="1258"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rPr>
                <w:szCs w:val="20"/>
              </w:rPr>
            </w:pPr>
            <w:r w:rsidRPr="003D6709">
              <w:rPr>
                <w:szCs w:val="20"/>
              </w:rPr>
              <w:t>Median OS, months (95% CI)</w:t>
            </w:r>
          </w:p>
        </w:tc>
        <w:tc>
          <w:tcPr>
            <w:tcW w:w="864"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szCs w:val="20"/>
              </w:rPr>
              <w:t>Not reached (NE)</w:t>
            </w:r>
          </w:p>
        </w:tc>
        <w:tc>
          <w:tcPr>
            <w:tcW w:w="865"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szCs w:val="20"/>
              </w:rPr>
              <w:t>Not reached (NE)</w:t>
            </w:r>
          </w:p>
        </w:tc>
        <w:tc>
          <w:tcPr>
            <w:tcW w:w="550"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w:t>
            </w:r>
          </w:p>
        </w:tc>
        <w:tc>
          <w:tcPr>
            <w:tcW w:w="758"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0.84 (0.42, 1.66)</w:t>
            </w:r>
          </w:p>
        </w:tc>
      </w:tr>
      <w:tr w:rsidR="00371008" w:rsidRPr="003D6709" w:rsidTr="002A4FB3">
        <w:tc>
          <w:tcPr>
            <w:tcW w:w="705" w:type="pct"/>
            <w:tcBorders>
              <w:top w:val="double" w:sz="4" w:space="0" w:color="auto"/>
              <w:bottom w:val="single" w:sz="4" w:space="0" w:color="auto"/>
            </w:tcBorders>
            <w:tcMar>
              <w:left w:w="28" w:type="dxa"/>
              <w:right w:w="28" w:type="dxa"/>
            </w:tcMar>
            <w:vAlign w:val="center"/>
          </w:tcPr>
          <w:p w:rsidR="00371008" w:rsidRPr="003D6709" w:rsidRDefault="00371008" w:rsidP="004C7D8F">
            <w:pPr>
              <w:pStyle w:val="Tableheadingrow"/>
              <w:rPr>
                <w:szCs w:val="20"/>
                <w:lang w:val="en-AU"/>
              </w:rPr>
            </w:pPr>
            <w:r w:rsidRPr="003D6709">
              <w:rPr>
                <w:szCs w:val="20"/>
                <w:lang w:val="en-AU"/>
              </w:rPr>
              <w:t>Trial</w:t>
            </w:r>
          </w:p>
        </w:tc>
        <w:tc>
          <w:tcPr>
            <w:tcW w:w="1258"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Outcome</w:t>
            </w:r>
          </w:p>
        </w:tc>
        <w:tc>
          <w:tcPr>
            <w:tcW w:w="864"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IBR + BEN + RITU</w:t>
            </w:r>
          </w:p>
        </w:tc>
        <w:tc>
          <w:tcPr>
            <w:tcW w:w="865"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PBO + BEN + RITU</w:t>
            </w:r>
          </w:p>
        </w:tc>
        <w:tc>
          <w:tcPr>
            <w:tcW w:w="550"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Absolute difference</w:t>
            </w:r>
          </w:p>
        </w:tc>
        <w:tc>
          <w:tcPr>
            <w:tcW w:w="758"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szCs w:val="20"/>
                <w:lang w:val="en-AU"/>
              </w:rPr>
            </w:pPr>
            <w:r w:rsidRPr="003D6709">
              <w:rPr>
                <w:szCs w:val="20"/>
                <w:lang w:val="en-AU"/>
              </w:rPr>
              <w:t>HR (95% CI)</w:t>
            </w:r>
          </w:p>
        </w:tc>
      </w:tr>
      <w:tr w:rsidR="00371008" w:rsidRPr="003D6709" w:rsidTr="002A4FB3">
        <w:tc>
          <w:tcPr>
            <w:tcW w:w="705" w:type="pct"/>
            <w:vMerge w:val="restart"/>
            <w:tcBorders>
              <w:top w:val="single" w:sz="4" w:space="0" w:color="auto"/>
            </w:tcBorders>
            <w:tcMar>
              <w:left w:w="28" w:type="dxa"/>
              <w:right w:w="28" w:type="dxa"/>
            </w:tcMar>
            <w:vAlign w:val="center"/>
          </w:tcPr>
          <w:p w:rsidR="00371008" w:rsidRPr="003D6709" w:rsidRDefault="00371008" w:rsidP="004C7D8F">
            <w:pPr>
              <w:pStyle w:val="TableText"/>
              <w:rPr>
                <w:szCs w:val="20"/>
              </w:rPr>
            </w:pPr>
            <w:r w:rsidRPr="003D6709">
              <w:rPr>
                <w:szCs w:val="20"/>
              </w:rPr>
              <w:t xml:space="preserve">HELIOS </w:t>
            </w:r>
          </w:p>
          <w:p w:rsidR="00371008" w:rsidRPr="003D6709" w:rsidRDefault="00371008" w:rsidP="004C7D8F">
            <w:pPr>
              <w:pStyle w:val="TableText"/>
              <w:rPr>
                <w:szCs w:val="20"/>
              </w:rPr>
            </w:pPr>
            <w:r w:rsidRPr="003D6709">
              <w:rPr>
                <w:szCs w:val="20"/>
              </w:rPr>
              <w:t>(17 months)</w:t>
            </w:r>
          </w:p>
        </w:tc>
        <w:tc>
          <w:tcPr>
            <w:tcW w:w="1258"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rPr>
                <w:szCs w:val="20"/>
              </w:rPr>
            </w:pPr>
            <w:r w:rsidRPr="003D6709">
              <w:rPr>
                <w:szCs w:val="20"/>
              </w:rPr>
              <w:t>Deaths</w:t>
            </w:r>
            <w:r w:rsidR="0065677C" w:rsidRPr="003D6709">
              <w:rPr>
                <w:szCs w:val="20"/>
              </w:rPr>
              <w:t>,</w:t>
            </w:r>
            <w:r w:rsidRPr="003D6709">
              <w:rPr>
                <w:szCs w:val="20"/>
              </w:rPr>
              <w:t xml:space="preserve"> n/N (%)</w:t>
            </w:r>
          </w:p>
        </w:tc>
        <w:tc>
          <w:tcPr>
            <w:tcW w:w="864"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NR</w:t>
            </w:r>
          </w:p>
        </w:tc>
        <w:tc>
          <w:tcPr>
            <w:tcW w:w="865"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NR</w:t>
            </w:r>
          </w:p>
        </w:tc>
        <w:tc>
          <w:tcPr>
            <w:tcW w:w="550"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NR</w:t>
            </w:r>
          </w:p>
        </w:tc>
        <w:tc>
          <w:tcPr>
            <w:tcW w:w="758"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w:t>
            </w:r>
          </w:p>
        </w:tc>
      </w:tr>
      <w:tr w:rsidR="00371008" w:rsidRPr="003D6709" w:rsidTr="002A4FB3">
        <w:tc>
          <w:tcPr>
            <w:tcW w:w="705" w:type="pct"/>
            <w:vMerge/>
            <w:tcMar>
              <w:left w:w="28" w:type="dxa"/>
              <w:right w:w="28" w:type="dxa"/>
            </w:tcMar>
            <w:vAlign w:val="center"/>
          </w:tcPr>
          <w:p w:rsidR="00371008" w:rsidRPr="003D6709" w:rsidRDefault="00371008" w:rsidP="004C7D8F">
            <w:pPr>
              <w:pStyle w:val="TableText"/>
              <w:jc w:val="center"/>
              <w:rPr>
                <w:szCs w:val="20"/>
              </w:rPr>
            </w:pPr>
          </w:p>
        </w:tc>
        <w:tc>
          <w:tcPr>
            <w:tcW w:w="1258" w:type="pct"/>
            <w:shd w:val="clear" w:color="auto" w:fill="auto"/>
            <w:tcMar>
              <w:left w:w="28" w:type="dxa"/>
              <w:right w:w="28" w:type="dxa"/>
            </w:tcMar>
            <w:vAlign w:val="center"/>
          </w:tcPr>
          <w:p w:rsidR="00371008" w:rsidRPr="003D6709" w:rsidRDefault="00371008" w:rsidP="004C7D8F">
            <w:pPr>
              <w:pStyle w:val="TableText"/>
              <w:rPr>
                <w:szCs w:val="20"/>
              </w:rPr>
            </w:pPr>
            <w:r w:rsidRPr="003D6709">
              <w:rPr>
                <w:szCs w:val="20"/>
              </w:rPr>
              <w:t>Median OS, months (95% CI)</w:t>
            </w:r>
          </w:p>
        </w:tc>
        <w:tc>
          <w:tcPr>
            <w:tcW w:w="864" w:type="pct"/>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iCs/>
                <w:szCs w:val="20"/>
              </w:rPr>
              <w:t>Not reached (NE)</w:t>
            </w:r>
          </w:p>
        </w:tc>
        <w:tc>
          <w:tcPr>
            <w:tcW w:w="865"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iCs/>
                <w:szCs w:val="20"/>
              </w:rPr>
              <w:t>Not reached (NE)</w:t>
            </w:r>
          </w:p>
        </w:tc>
        <w:tc>
          <w:tcPr>
            <w:tcW w:w="550"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w:t>
            </w:r>
          </w:p>
        </w:tc>
        <w:tc>
          <w:tcPr>
            <w:tcW w:w="758"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0.63 (0.39, 1.02)</w:t>
            </w:r>
          </w:p>
        </w:tc>
      </w:tr>
      <w:tr w:rsidR="00371008" w:rsidRPr="003D6709" w:rsidTr="002A4FB3">
        <w:tc>
          <w:tcPr>
            <w:tcW w:w="705" w:type="pct"/>
            <w:vMerge w:val="restart"/>
            <w:tcMar>
              <w:left w:w="28" w:type="dxa"/>
              <w:right w:w="28" w:type="dxa"/>
            </w:tcMar>
            <w:vAlign w:val="center"/>
          </w:tcPr>
          <w:p w:rsidR="00371008" w:rsidRPr="003D6709" w:rsidRDefault="00371008" w:rsidP="004C7D8F">
            <w:pPr>
              <w:pStyle w:val="TableText"/>
              <w:rPr>
                <w:szCs w:val="20"/>
              </w:rPr>
            </w:pPr>
            <w:r w:rsidRPr="003D6709">
              <w:rPr>
                <w:szCs w:val="20"/>
              </w:rPr>
              <w:t xml:space="preserve">HELIOS </w:t>
            </w:r>
          </w:p>
          <w:p w:rsidR="00371008" w:rsidRPr="003D6709" w:rsidRDefault="00371008" w:rsidP="004C7D8F">
            <w:pPr>
              <w:pStyle w:val="TableText"/>
              <w:rPr>
                <w:szCs w:val="20"/>
              </w:rPr>
            </w:pPr>
            <w:r w:rsidRPr="003D6709">
              <w:rPr>
                <w:szCs w:val="20"/>
              </w:rPr>
              <w:t>(34.8 months)</w:t>
            </w:r>
          </w:p>
        </w:tc>
        <w:tc>
          <w:tcPr>
            <w:tcW w:w="1258" w:type="pct"/>
            <w:shd w:val="clear" w:color="auto" w:fill="auto"/>
            <w:tcMar>
              <w:left w:w="28" w:type="dxa"/>
              <w:right w:w="28" w:type="dxa"/>
            </w:tcMar>
            <w:vAlign w:val="center"/>
          </w:tcPr>
          <w:p w:rsidR="00371008" w:rsidRPr="003D6709" w:rsidRDefault="00371008" w:rsidP="004C7D8F">
            <w:pPr>
              <w:pStyle w:val="TableText"/>
              <w:rPr>
                <w:szCs w:val="20"/>
              </w:rPr>
            </w:pPr>
            <w:r w:rsidRPr="003D6709">
              <w:rPr>
                <w:szCs w:val="20"/>
              </w:rPr>
              <w:t>Deaths</w:t>
            </w:r>
            <w:r w:rsidR="0065677C" w:rsidRPr="003D6709">
              <w:rPr>
                <w:szCs w:val="20"/>
              </w:rPr>
              <w:t>,</w:t>
            </w:r>
            <w:r w:rsidRPr="003D6709">
              <w:rPr>
                <w:szCs w:val="20"/>
              </w:rPr>
              <w:t xml:space="preserve"> n/N (%)</w:t>
            </w:r>
          </w:p>
        </w:tc>
        <w:tc>
          <w:tcPr>
            <w:tcW w:w="864" w:type="pct"/>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iCs/>
                <w:szCs w:val="20"/>
              </w:rPr>
              <w:t>NR</w:t>
            </w:r>
          </w:p>
        </w:tc>
        <w:tc>
          <w:tcPr>
            <w:tcW w:w="865"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NR</w:t>
            </w:r>
          </w:p>
        </w:tc>
        <w:tc>
          <w:tcPr>
            <w:tcW w:w="550"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NR</w:t>
            </w:r>
          </w:p>
        </w:tc>
        <w:tc>
          <w:tcPr>
            <w:tcW w:w="758" w:type="pct"/>
            <w:shd w:val="clear" w:color="auto" w:fill="auto"/>
            <w:tcMar>
              <w:left w:w="28" w:type="dxa"/>
              <w:right w:w="28" w:type="dxa"/>
            </w:tcMar>
            <w:vAlign w:val="center"/>
          </w:tcPr>
          <w:p w:rsidR="00371008" w:rsidRPr="003D6709" w:rsidRDefault="00371008" w:rsidP="004C7D8F">
            <w:pPr>
              <w:pStyle w:val="TableText"/>
              <w:jc w:val="center"/>
              <w:rPr>
                <w:b/>
                <w:szCs w:val="20"/>
              </w:rPr>
            </w:pPr>
            <w:r w:rsidRPr="003D6709">
              <w:rPr>
                <w:b/>
                <w:szCs w:val="20"/>
              </w:rPr>
              <w:t>-</w:t>
            </w:r>
          </w:p>
        </w:tc>
      </w:tr>
      <w:tr w:rsidR="00371008" w:rsidRPr="003D6709" w:rsidTr="002A4FB3">
        <w:tc>
          <w:tcPr>
            <w:tcW w:w="705" w:type="pct"/>
            <w:vMerge/>
            <w:tcMar>
              <w:left w:w="28" w:type="dxa"/>
              <w:right w:w="28" w:type="dxa"/>
            </w:tcMar>
            <w:vAlign w:val="center"/>
          </w:tcPr>
          <w:p w:rsidR="00371008" w:rsidRPr="003D6709" w:rsidRDefault="00371008" w:rsidP="004C7D8F">
            <w:pPr>
              <w:pStyle w:val="TableText"/>
              <w:jc w:val="center"/>
              <w:rPr>
                <w:szCs w:val="20"/>
              </w:rPr>
            </w:pPr>
          </w:p>
        </w:tc>
        <w:tc>
          <w:tcPr>
            <w:tcW w:w="1258" w:type="pct"/>
            <w:shd w:val="clear" w:color="auto" w:fill="auto"/>
            <w:tcMar>
              <w:left w:w="28" w:type="dxa"/>
              <w:right w:w="28" w:type="dxa"/>
            </w:tcMar>
            <w:vAlign w:val="center"/>
          </w:tcPr>
          <w:p w:rsidR="00371008" w:rsidRPr="003D6709" w:rsidRDefault="00371008" w:rsidP="004C7D8F">
            <w:pPr>
              <w:pStyle w:val="TableText"/>
              <w:rPr>
                <w:szCs w:val="20"/>
              </w:rPr>
            </w:pPr>
            <w:r w:rsidRPr="003D6709">
              <w:rPr>
                <w:szCs w:val="20"/>
              </w:rPr>
              <w:t>Median OS, months (95% CI)</w:t>
            </w:r>
          </w:p>
        </w:tc>
        <w:tc>
          <w:tcPr>
            <w:tcW w:w="864" w:type="pct"/>
            <w:shd w:val="clear" w:color="auto" w:fill="auto"/>
            <w:tcMar>
              <w:left w:w="28" w:type="dxa"/>
              <w:right w:w="28" w:type="dxa"/>
            </w:tcMar>
            <w:vAlign w:val="center"/>
          </w:tcPr>
          <w:p w:rsidR="00371008" w:rsidRPr="003D6709" w:rsidRDefault="00371008" w:rsidP="004C7D8F">
            <w:pPr>
              <w:pStyle w:val="TableText"/>
              <w:jc w:val="center"/>
              <w:rPr>
                <w:iCs/>
                <w:szCs w:val="20"/>
              </w:rPr>
            </w:pPr>
            <w:r w:rsidRPr="003D6709">
              <w:rPr>
                <w:iCs/>
                <w:szCs w:val="20"/>
              </w:rPr>
              <w:t>Not reached (NE)</w:t>
            </w:r>
          </w:p>
        </w:tc>
        <w:tc>
          <w:tcPr>
            <w:tcW w:w="865"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iCs/>
                <w:szCs w:val="20"/>
              </w:rPr>
              <w:t>Not reached (NE)</w:t>
            </w:r>
          </w:p>
        </w:tc>
        <w:tc>
          <w:tcPr>
            <w:tcW w:w="550" w:type="pct"/>
            <w:shd w:val="clear" w:color="auto" w:fill="auto"/>
            <w:tcMar>
              <w:left w:w="28" w:type="dxa"/>
              <w:right w:w="28" w:type="dxa"/>
            </w:tcMar>
            <w:vAlign w:val="center"/>
          </w:tcPr>
          <w:p w:rsidR="00371008" w:rsidRPr="003D6709" w:rsidRDefault="00371008" w:rsidP="004C7D8F">
            <w:pPr>
              <w:pStyle w:val="TableText"/>
              <w:jc w:val="center"/>
              <w:rPr>
                <w:szCs w:val="20"/>
              </w:rPr>
            </w:pPr>
            <w:r w:rsidRPr="003D6709">
              <w:rPr>
                <w:szCs w:val="20"/>
              </w:rPr>
              <w:t>-</w:t>
            </w:r>
          </w:p>
        </w:tc>
        <w:tc>
          <w:tcPr>
            <w:tcW w:w="758" w:type="pct"/>
            <w:shd w:val="clear" w:color="auto" w:fill="auto"/>
            <w:tcMar>
              <w:left w:w="28" w:type="dxa"/>
              <w:right w:w="28" w:type="dxa"/>
            </w:tcMar>
            <w:vAlign w:val="center"/>
          </w:tcPr>
          <w:p w:rsidR="00371008" w:rsidRPr="003D6709" w:rsidRDefault="00371008" w:rsidP="004C7D8F">
            <w:pPr>
              <w:pStyle w:val="TableText"/>
              <w:jc w:val="center"/>
              <w:rPr>
                <w:b/>
                <w:szCs w:val="20"/>
              </w:rPr>
            </w:pPr>
            <w:r w:rsidRPr="003D6709">
              <w:rPr>
                <w:b/>
                <w:szCs w:val="20"/>
              </w:rPr>
              <w:t>0.65 (0.45, 0.94)</w:t>
            </w:r>
          </w:p>
        </w:tc>
      </w:tr>
      <w:tr w:rsidR="00371008" w:rsidRPr="003D6709" w:rsidTr="002A4FB3">
        <w:tc>
          <w:tcPr>
            <w:tcW w:w="4242" w:type="pct"/>
            <w:gridSpan w:val="5"/>
            <w:tcMar>
              <w:left w:w="28" w:type="dxa"/>
              <w:right w:w="28" w:type="dxa"/>
            </w:tcMar>
            <w:vAlign w:val="center"/>
          </w:tcPr>
          <w:p w:rsidR="00371008" w:rsidRPr="003D6709" w:rsidRDefault="00371008" w:rsidP="0065677C">
            <w:pPr>
              <w:pStyle w:val="TableText"/>
              <w:rPr>
                <w:b/>
                <w:szCs w:val="20"/>
              </w:rPr>
            </w:pPr>
            <w:r w:rsidRPr="003D6709">
              <w:rPr>
                <w:b/>
                <w:szCs w:val="20"/>
              </w:rPr>
              <w:t>Indirect comparison ACAL (16.1 months) vs. IBR + BEN + RITU (17 months)</w:t>
            </w:r>
          </w:p>
        </w:tc>
        <w:tc>
          <w:tcPr>
            <w:tcW w:w="758" w:type="pct"/>
            <w:shd w:val="clear" w:color="auto" w:fill="auto"/>
            <w:tcMar>
              <w:left w:w="28" w:type="dxa"/>
              <w:right w:w="28" w:type="dxa"/>
            </w:tcMar>
          </w:tcPr>
          <w:p w:rsidR="00371008" w:rsidRPr="003D6709" w:rsidRDefault="00371008" w:rsidP="004C7D8F">
            <w:pPr>
              <w:pStyle w:val="TableText"/>
              <w:jc w:val="center"/>
              <w:rPr>
                <w:szCs w:val="20"/>
              </w:rPr>
            </w:pPr>
            <w:r w:rsidRPr="003D6709">
              <w:rPr>
                <w:szCs w:val="20"/>
              </w:rPr>
              <w:t>1.34 (0.58, 3.11)</w:t>
            </w:r>
          </w:p>
        </w:tc>
      </w:tr>
      <w:tr w:rsidR="00371008" w:rsidRPr="003D6709" w:rsidTr="002A4FB3">
        <w:tc>
          <w:tcPr>
            <w:tcW w:w="4242" w:type="pct"/>
            <w:gridSpan w:val="5"/>
            <w:tcMar>
              <w:left w:w="28" w:type="dxa"/>
              <w:right w:w="28" w:type="dxa"/>
            </w:tcMar>
            <w:vAlign w:val="center"/>
          </w:tcPr>
          <w:p w:rsidR="00371008" w:rsidRPr="003D6709" w:rsidRDefault="00371008" w:rsidP="0065677C">
            <w:pPr>
              <w:pStyle w:val="TableText"/>
              <w:rPr>
                <w:b/>
                <w:szCs w:val="20"/>
              </w:rPr>
            </w:pPr>
            <w:r w:rsidRPr="003D6709">
              <w:rPr>
                <w:b/>
                <w:szCs w:val="20"/>
              </w:rPr>
              <w:t>Indirect comparison ACAL (16.1 months) vs. IBR + BEN + RITU (34.8 months)</w:t>
            </w:r>
          </w:p>
        </w:tc>
        <w:tc>
          <w:tcPr>
            <w:tcW w:w="758" w:type="pct"/>
            <w:shd w:val="clear" w:color="auto" w:fill="auto"/>
            <w:tcMar>
              <w:left w:w="28" w:type="dxa"/>
              <w:right w:w="28" w:type="dxa"/>
            </w:tcMar>
          </w:tcPr>
          <w:p w:rsidR="00371008" w:rsidRPr="003D6709" w:rsidRDefault="00371008" w:rsidP="004C7D8F">
            <w:pPr>
              <w:pStyle w:val="TableText"/>
              <w:jc w:val="center"/>
              <w:rPr>
                <w:szCs w:val="20"/>
              </w:rPr>
            </w:pPr>
            <w:r w:rsidRPr="003D6709">
              <w:rPr>
                <w:szCs w:val="20"/>
              </w:rPr>
              <w:t>1.29 (0.59, 2.80)</w:t>
            </w:r>
          </w:p>
        </w:tc>
      </w:tr>
    </w:tbl>
    <w:p w:rsidR="00371008" w:rsidRPr="003D6709" w:rsidRDefault="00371008" w:rsidP="00371008">
      <w:pPr>
        <w:pStyle w:val="TableFigureFooter"/>
      </w:pPr>
      <w:r w:rsidRPr="003D6709">
        <w:t>Source: Table 2.6.12, p.93 of the submission.</w:t>
      </w:r>
    </w:p>
    <w:p w:rsidR="00371008" w:rsidRPr="003D6709" w:rsidRDefault="00371008" w:rsidP="00371008">
      <w:pPr>
        <w:pStyle w:val="TableFigureFooter"/>
      </w:pPr>
      <w:r w:rsidRPr="003D6709">
        <w:t xml:space="preserve">Abbreviations: ACAL, acalabrutinib; BEN, bendamustine; CI, confidence interval; HR, hazard ratio; IBR, ibrutinib; IDEL, idelalisib; </w:t>
      </w:r>
      <w:r w:rsidR="0059462D" w:rsidRPr="003D6709">
        <w:t xml:space="preserve">NE, not estimable; NR, not reported; </w:t>
      </w:r>
      <w:r w:rsidRPr="003D6709">
        <w:t>PBO, placebo; RITU, rituximab.</w:t>
      </w:r>
    </w:p>
    <w:p w:rsidR="00371008" w:rsidRPr="003D6709" w:rsidRDefault="00371008" w:rsidP="00371008">
      <w:pPr>
        <w:pStyle w:val="TableFigureFooter"/>
      </w:pPr>
      <w:r w:rsidRPr="003D6709">
        <w:t>Bolded result indicates statistically significant difference.</w:t>
      </w:r>
    </w:p>
    <w:p w:rsidR="00371008" w:rsidRPr="003D6709" w:rsidRDefault="005473C4" w:rsidP="00371008">
      <w:pPr>
        <w:pStyle w:val="ExecSumBodyText"/>
        <w:rPr>
          <w:color w:val="0066FF"/>
        </w:rPr>
      </w:pPr>
      <w:r w:rsidRPr="003D6709">
        <w:t>Based on the results of the indirect comparison, treatment with ibrutinib plus bendamustine plus rituximab was associated with a longer duration of overall survival compared to acalabrutinib, but the difference was not statistically significant f</w:t>
      </w:r>
      <w:r w:rsidR="00371008" w:rsidRPr="003D6709">
        <w:t xml:space="preserve">or either the 17-month (HR </w:t>
      </w:r>
      <w:r w:rsidR="00084A99" w:rsidRPr="003D6709">
        <w:t xml:space="preserve">= </w:t>
      </w:r>
      <w:r w:rsidR="00371008" w:rsidRPr="003D6709">
        <w:t xml:space="preserve">1.34; 95% CI: 0.58, 3.11) or 34.8-month comparisons (HR </w:t>
      </w:r>
      <w:r w:rsidR="00084A99" w:rsidRPr="003D6709">
        <w:t xml:space="preserve">= </w:t>
      </w:r>
      <w:r w:rsidR="00371008" w:rsidRPr="003D6709">
        <w:t xml:space="preserve">1.29; 0.59, 2.80). </w:t>
      </w:r>
      <w:r w:rsidR="0012144B" w:rsidRPr="003D6709">
        <w:t>T</w:t>
      </w:r>
      <w:r w:rsidR="00371008" w:rsidRPr="003D6709">
        <w:t xml:space="preserve">he </w:t>
      </w:r>
      <w:r w:rsidR="00F01579" w:rsidRPr="003D6709">
        <w:t xml:space="preserve">PBAC noted that the </w:t>
      </w:r>
      <w:r w:rsidR="00371008" w:rsidRPr="003D6709">
        <w:t>results should be interpreted with caution due to differences in trial populations, common reference arms, assessment time points and event rates. Additionally, the reported overall survival results were likely to be affected by patient crossover and the differential use of post-progression treatments.</w:t>
      </w:r>
      <w:r w:rsidR="0095347C" w:rsidRPr="003D6709">
        <w:t xml:space="preserve"> </w:t>
      </w:r>
    </w:p>
    <w:p w:rsidR="00371008" w:rsidRPr="003D6709" w:rsidRDefault="00371008" w:rsidP="00371008">
      <w:pPr>
        <w:pStyle w:val="5-SubSubSubHead"/>
      </w:pPr>
      <w:r w:rsidRPr="003D6709">
        <w:t xml:space="preserve">Indirect comparison of acalabrutinib versus venetoclax plus rituximab </w:t>
      </w:r>
    </w:p>
    <w:p w:rsidR="00E15F17" w:rsidRPr="003D6709" w:rsidRDefault="005473C4" w:rsidP="00371008">
      <w:pPr>
        <w:pStyle w:val="ExecSumBodyText"/>
      </w:pPr>
      <w:r w:rsidRPr="003D6709">
        <w:rPr>
          <w:snapToGrid/>
        </w:rPr>
        <w:t>The submission acknowledged that there were differences between the ASCEND and MURANO trials that may impact the indirect comparison</w:t>
      </w:r>
      <w:r w:rsidR="00371008" w:rsidRPr="003D6709">
        <w:rPr>
          <w:snapToGrid/>
        </w:rPr>
        <w:t>,</w:t>
      </w:r>
      <w:r w:rsidRPr="003D6709">
        <w:rPr>
          <w:snapToGrid/>
        </w:rPr>
        <w:t xml:space="preserve"> </w:t>
      </w:r>
      <w:r w:rsidR="00371008" w:rsidRPr="003D6709">
        <w:rPr>
          <w:snapToGrid/>
        </w:rPr>
        <w:t xml:space="preserve">including </w:t>
      </w:r>
      <w:r w:rsidRPr="003D6709">
        <w:rPr>
          <w:snapToGrid/>
        </w:rPr>
        <w:t xml:space="preserve">differences in </w:t>
      </w:r>
      <w:r w:rsidR="00371008" w:rsidRPr="003D6709">
        <w:rPr>
          <w:snapToGrid/>
        </w:rPr>
        <w:t>patient characteristics, common reference arms, follow-up duration</w:t>
      </w:r>
      <w:r w:rsidRPr="003D6709">
        <w:rPr>
          <w:snapToGrid/>
        </w:rPr>
        <w:t>s</w:t>
      </w:r>
      <w:r w:rsidR="00371008" w:rsidRPr="003D6709">
        <w:rPr>
          <w:snapToGrid/>
        </w:rPr>
        <w:t>, and the number of progression events in each of the common reference arms.</w:t>
      </w:r>
    </w:p>
    <w:p w:rsidR="00371008" w:rsidRPr="003D6709" w:rsidRDefault="000B501B" w:rsidP="00371008">
      <w:pPr>
        <w:pStyle w:val="ExecSumBodyText"/>
        <w:rPr>
          <w:color w:val="0066FF"/>
        </w:rPr>
      </w:pPr>
      <w:r w:rsidRPr="003D6709">
        <w:t xml:space="preserve">Table 10 </w:t>
      </w:r>
      <w:r w:rsidR="00371008" w:rsidRPr="003D6709">
        <w:t xml:space="preserve">presents the results of the indirect comparison of acalabrutinib versus venetoclax plus rituximab for independent review committee-assessed progression-free survival </w:t>
      </w:r>
      <w:r w:rsidR="001A1845" w:rsidRPr="003D6709">
        <w:t xml:space="preserve">based on </w:t>
      </w:r>
      <w:r w:rsidR="00371008" w:rsidRPr="003D6709">
        <w:t>the ASCEND (median follow-up 16 months) and MURANO</w:t>
      </w:r>
      <w:r w:rsidR="00E306FC" w:rsidRPr="003D6709">
        <w:t xml:space="preserve"> trials</w:t>
      </w:r>
      <w:r w:rsidR="00371008" w:rsidRPr="003D6709">
        <w:t xml:space="preserve"> (median follow-up 23.8 months).</w:t>
      </w:r>
    </w:p>
    <w:p w:rsidR="00371008" w:rsidRPr="003D6709" w:rsidRDefault="0095347C" w:rsidP="000B501B">
      <w:pPr>
        <w:pStyle w:val="TableHeading"/>
      </w:pPr>
      <w:bookmarkStart w:id="28" w:name="_Ref33453997"/>
      <w:r w:rsidRPr="003D6709">
        <w:lastRenderedPageBreak/>
        <w:t xml:space="preserve">Table </w:t>
      </w:r>
      <w:r w:rsidR="000B501B" w:rsidRPr="003D6709">
        <w:t>10</w:t>
      </w:r>
      <w:bookmarkEnd w:id="28"/>
      <w:r w:rsidR="00371008" w:rsidRPr="003D6709">
        <w:t>: Indirect comparison of independent review committee-assessed progression-free survival for acalabrutinib versus venetoclax plus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09"/>
        <w:gridCol w:w="1558"/>
        <w:gridCol w:w="1560"/>
        <w:gridCol w:w="994"/>
        <w:gridCol w:w="1367"/>
      </w:tblGrid>
      <w:tr w:rsidR="00371008" w:rsidRPr="003D6709" w:rsidTr="002A4FB3">
        <w:trPr>
          <w:tblHeader/>
        </w:trPr>
        <w:tc>
          <w:tcPr>
            <w:tcW w:w="626" w:type="pct"/>
            <w:tcMar>
              <w:left w:w="28" w:type="dxa"/>
              <w:right w:w="28" w:type="dxa"/>
            </w:tcMar>
            <w:vAlign w:val="center"/>
          </w:tcPr>
          <w:p w:rsidR="00371008" w:rsidRPr="003D6709" w:rsidRDefault="00371008" w:rsidP="004C7D8F">
            <w:pPr>
              <w:pStyle w:val="Tableheadingrow"/>
              <w:rPr>
                <w:lang w:val="en-AU"/>
              </w:rPr>
            </w:pPr>
            <w:r w:rsidRPr="003D6709">
              <w:rPr>
                <w:lang w:val="en-AU"/>
              </w:rPr>
              <w:t>Trial</w:t>
            </w:r>
          </w:p>
        </w:tc>
        <w:tc>
          <w:tcPr>
            <w:tcW w:w="1336" w:type="pct"/>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Outcome</w:t>
            </w:r>
          </w:p>
        </w:tc>
        <w:tc>
          <w:tcPr>
            <w:tcW w:w="864" w:type="pct"/>
            <w:shd w:val="clear" w:color="auto" w:fill="auto"/>
            <w:tcMar>
              <w:left w:w="28" w:type="dxa"/>
              <w:right w:w="28" w:type="dxa"/>
            </w:tcMar>
            <w:vAlign w:val="center"/>
          </w:tcPr>
          <w:p w:rsidR="00371008" w:rsidRPr="003D6709" w:rsidRDefault="00371008" w:rsidP="004C7D8F">
            <w:pPr>
              <w:pStyle w:val="Tableheadingrow"/>
              <w:jc w:val="center"/>
              <w:rPr>
                <w:iCs/>
                <w:lang w:val="en-AU"/>
              </w:rPr>
            </w:pPr>
            <w:r w:rsidRPr="003D6709">
              <w:rPr>
                <w:iCs/>
                <w:lang w:val="en-AU"/>
              </w:rPr>
              <w:t>ACAL</w:t>
            </w:r>
          </w:p>
        </w:tc>
        <w:tc>
          <w:tcPr>
            <w:tcW w:w="865" w:type="pct"/>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IDEL/BEN + RITU</w:t>
            </w:r>
          </w:p>
        </w:tc>
        <w:tc>
          <w:tcPr>
            <w:tcW w:w="551" w:type="pct"/>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Absolute difference</w:t>
            </w:r>
          </w:p>
        </w:tc>
        <w:tc>
          <w:tcPr>
            <w:tcW w:w="758" w:type="pct"/>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HR (95% CI)</w:t>
            </w:r>
          </w:p>
        </w:tc>
      </w:tr>
      <w:tr w:rsidR="00371008" w:rsidRPr="003D6709" w:rsidTr="002A4FB3">
        <w:tc>
          <w:tcPr>
            <w:tcW w:w="626" w:type="pct"/>
            <w:vMerge w:val="restart"/>
            <w:tcMar>
              <w:left w:w="28" w:type="dxa"/>
              <w:right w:w="28" w:type="dxa"/>
            </w:tcMar>
            <w:vAlign w:val="center"/>
          </w:tcPr>
          <w:p w:rsidR="00371008" w:rsidRPr="003D6709" w:rsidRDefault="00371008" w:rsidP="004C7D8F">
            <w:pPr>
              <w:pStyle w:val="TableText"/>
            </w:pPr>
            <w:r w:rsidRPr="003D6709">
              <w:t xml:space="preserve">ASCEND </w:t>
            </w:r>
          </w:p>
          <w:p w:rsidR="00371008" w:rsidRPr="003D6709" w:rsidRDefault="00371008" w:rsidP="004C7D8F">
            <w:pPr>
              <w:pStyle w:val="TableText"/>
            </w:pPr>
            <w:r w:rsidRPr="003D6709">
              <w:t>(16 months)</w:t>
            </w:r>
          </w:p>
        </w:tc>
        <w:tc>
          <w:tcPr>
            <w:tcW w:w="1336" w:type="pct"/>
            <w:shd w:val="clear" w:color="auto" w:fill="auto"/>
            <w:tcMar>
              <w:left w:w="28" w:type="dxa"/>
              <w:right w:w="28" w:type="dxa"/>
            </w:tcMar>
            <w:vAlign w:val="center"/>
          </w:tcPr>
          <w:p w:rsidR="00371008" w:rsidRPr="003D6709" w:rsidRDefault="00371008" w:rsidP="004C7D8F">
            <w:pPr>
              <w:pStyle w:val="TableText"/>
            </w:pPr>
            <w:r w:rsidRPr="003D6709">
              <w:t>Progressed</w:t>
            </w:r>
            <w:r w:rsidR="0065677C" w:rsidRPr="003D6709">
              <w:t>,</w:t>
            </w:r>
            <w:r w:rsidRPr="003D6709">
              <w:t xml:space="preserve"> n/N (%)</w:t>
            </w:r>
          </w:p>
        </w:tc>
        <w:tc>
          <w:tcPr>
            <w:tcW w:w="864" w:type="pct"/>
            <w:shd w:val="clear" w:color="auto" w:fill="auto"/>
            <w:tcMar>
              <w:left w:w="28" w:type="dxa"/>
              <w:right w:w="28" w:type="dxa"/>
            </w:tcMar>
            <w:vAlign w:val="center"/>
          </w:tcPr>
          <w:p w:rsidR="00371008" w:rsidRPr="003D6709" w:rsidRDefault="00371008" w:rsidP="004C7D8F">
            <w:pPr>
              <w:pStyle w:val="TableText"/>
              <w:jc w:val="center"/>
              <w:rPr>
                <w:iCs/>
              </w:rPr>
            </w:pPr>
            <w:r w:rsidRPr="003D6709">
              <w:rPr>
                <w:iCs/>
              </w:rPr>
              <w:t>27/155 (17.4</w:t>
            </w:r>
            <w:r w:rsidR="0065677C" w:rsidRPr="003D6709">
              <w:rPr>
                <w:iCs/>
              </w:rPr>
              <w:t>%</w:t>
            </w:r>
            <w:r w:rsidRPr="003D6709">
              <w:rPr>
                <w:iCs/>
              </w:rPr>
              <w:t>)</w:t>
            </w:r>
          </w:p>
        </w:tc>
        <w:tc>
          <w:tcPr>
            <w:tcW w:w="865" w:type="pct"/>
            <w:shd w:val="clear" w:color="auto" w:fill="auto"/>
            <w:tcMar>
              <w:left w:w="28" w:type="dxa"/>
              <w:right w:w="28" w:type="dxa"/>
            </w:tcMar>
            <w:vAlign w:val="center"/>
          </w:tcPr>
          <w:p w:rsidR="00371008" w:rsidRPr="003D6709" w:rsidRDefault="00371008" w:rsidP="004C7D8F">
            <w:pPr>
              <w:pStyle w:val="TableText"/>
              <w:jc w:val="center"/>
              <w:rPr>
                <w:iCs/>
              </w:rPr>
            </w:pPr>
            <w:r w:rsidRPr="003D6709">
              <w:rPr>
                <w:iCs/>
              </w:rPr>
              <w:t>68/155 (43.9</w:t>
            </w:r>
            <w:r w:rsidR="0065677C" w:rsidRPr="003D6709">
              <w:rPr>
                <w:iCs/>
              </w:rPr>
              <w:t>%</w:t>
            </w:r>
            <w:r w:rsidRPr="003D6709">
              <w:rPr>
                <w:iCs/>
              </w:rPr>
              <w:t>)</w:t>
            </w:r>
          </w:p>
        </w:tc>
        <w:tc>
          <w:tcPr>
            <w:tcW w:w="551" w:type="pct"/>
            <w:shd w:val="clear" w:color="auto" w:fill="auto"/>
            <w:tcMar>
              <w:left w:w="28" w:type="dxa"/>
              <w:right w:w="28" w:type="dxa"/>
            </w:tcMar>
            <w:vAlign w:val="center"/>
          </w:tcPr>
          <w:p w:rsidR="00371008" w:rsidRPr="003D6709" w:rsidRDefault="00371008" w:rsidP="004C7D8F">
            <w:pPr>
              <w:pStyle w:val="TableText"/>
              <w:jc w:val="center"/>
            </w:pPr>
            <w:r w:rsidRPr="003D6709">
              <w:t>26.5%</w:t>
            </w:r>
          </w:p>
        </w:tc>
        <w:tc>
          <w:tcPr>
            <w:tcW w:w="758" w:type="pct"/>
            <w:shd w:val="clear" w:color="auto" w:fill="auto"/>
            <w:tcMar>
              <w:left w:w="28" w:type="dxa"/>
              <w:right w:w="28" w:type="dxa"/>
            </w:tcMar>
            <w:vAlign w:val="center"/>
          </w:tcPr>
          <w:p w:rsidR="00371008" w:rsidRPr="003D6709" w:rsidRDefault="00371008" w:rsidP="004C7D8F">
            <w:pPr>
              <w:pStyle w:val="TableText"/>
              <w:jc w:val="center"/>
            </w:pPr>
            <w:r w:rsidRPr="003D6709">
              <w:t>-</w:t>
            </w:r>
          </w:p>
        </w:tc>
      </w:tr>
      <w:tr w:rsidR="00371008" w:rsidRPr="003D6709" w:rsidTr="002A4FB3">
        <w:tc>
          <w:tcPr>
            <w:tcW w:w="626" w:type="pct"/>
            <w:vMerge/>
            <w:tcBorders>
              <w:bottom w:val="double" w:sz="4" w:space="0" w:color="auto"/>
            </w:tcBorders>
            <w:tcMar>
              <w:left w:w="28" w:type="dxa"/>
              <w:right w:w="28" w:type="dxa"/>
            </w:tcMar>
            <w:vAlign w:val="center"/>
          </w:tcPr>
          <w:p w:rsidR="00371008" w:rsidRPr="003D6709" w:rsidRDefault="00371008" w:rsidP="004C7D8F">
            <w:pPr>
              <w:pStyle w:val="TableText"/>
            </w:pPr>
          </w:p>
        </w:tc>
        <w:tc>
          <w:tcPr>
            <w:tcW w:w="1336"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pPr>
            <w:r w:rsidRPr="003D6709">
              <w:t>Median PFS, months (95% CI)</w:t>
            </w:r>
          </w:p>
        </w:tc>
        <w:tc>
          <w:tcPr>
            <w:tcW w:w="864"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iCs/>
              </w:rPr>
            </w:pPr>
            <w:r w:rsidRPr="003D6709">
              <w:rPr>
                <w:iCs/>
              </w:rPr>
              <w:t>Not reached (NE)</w:t>
            </w:r>
          </w:p>
        </w:tc>
        <w:tc>
          <w:tcPr>
            <w:tcW w:w="865"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iCs/>
              </w:rPr>
            </w:pPr>
            <w:r w:rsidRPr="003D6709">
              <w:rPr>
                <w:iCs/>
              </w:rPr>
              <w:t>16.5 (14.0, 17.1)</w:t>
            </w:r>
          </w:p>
        </w:tc>
        <w:tc>
          <w:tcPr>
            <w:tcW w:w="551"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pPr>
            <w:r w:rsidRPr="003D6709">
              <w:t>-</w:t>
            </w:r>
          </w:p>
        </w:tc>
        <w:tc>
          <w:tcPr>
            <w:tcW w:w="758" w:type="pct"/>
            <w:tcBorders>
              <w:bottom w:val="double" w:sz="4" w:space="0" w:color="auto"/>
            </w:tcBorders>
            <w:shd w:val="clear" w:color="auto" w:fill="auto"/>
            <w:tcMar>
              <w:left w:w="28" w:type="dxa"/>
              <w:right w:w="28" w:type="dxa"/>
            </w:tcMar>
            <w:vAlign w:val="center"/>
          </w:tcPr>
          <w:p w:rsidR="00371008" w:rsidRPr="003D6709" w:rsidRDefault="00371008" w:rsidP="004C7D8F">
            <w:pPr>
              <w:pStyle w:val="TableText"/>
              <w:jc w:val="center"/>
              <w:rPr>
                <w:b/>
              </w:rPr>
            </w:pPr>
            <w:r w:rsidRPr="003D6709">
              <w:rPr>
                <w:b/>
              </w:rPr>
              <w:t>0.31 (0.20, 0.49)</w:t>
            </w:r>
          </w:p>
        </w:tc>
      </w:tr>
      <w:tr w:rsidR="00371008" w:rsidRPr="003D6709" w:rsidTr="002A4FB3">
        <w:tc>
          <w:tcPr>
            <w:tcW w:w="626" w:type="pct"/>
            <w:tcBorders>
              <w:top w:val="double" w:sz="4" w:space="0" w:color="auto"/>
              <w:bottom w:val="single" w:sz="4" w:space="0" w:color="auto"/>
            </w:tcBorders>
            <w:tcMar>
              <w:left w:w="28" w:type="dxa"/>
              <w:right w:w="28" w:type="dxa"/>
            </w:tcMar>
            <w:vAlign w:val="center"/>
          </w:tcPr>
          <w:p w:rsidR="00371008" w:rsidRPr="003D6709" w:rsidRDefault="00371008" w:rsidP="004C7D8F">
            <w:pPr>
              <w:pStyle w:val="Tableheadingrow"/>
              <w:rPr>
                <w:lang w:val="en-AU"/>
              </w:rPr>
            </w:pPr>
            <w:r w:rsidRPr="003D6709">
              <w:rPr>
                <w:lang w:val="en-AU"/>
              </w:rPr>
              <w:t>Trial</w:t>
            </w:r>
          </w:p>
        </w:tc>
        <w:tc>
          <w:tcPr>
            <w:tcW w:w="1336"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Outcome</w:t>
            </w:r>
          </w:p>
        </w:tc>
        <w:tc>
          <w:tcPr>
            <w:tcW w:w="864"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VEN + RITU</w:t>
            </w:r>
          </w:p>
        </w:tc>
        <w:tc>
          <w:tcPr>
            <w:tcW w:w="865"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BEN + RITU</w:t>
            </w:r>
          </w:p>
        </w:tc>
        <w:tc>
          <w:tcPr>
            <w:tcW w:w="551"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Absolute difference</w:t>
            </w:r>
          </w:p>
        </w:tc>
        <w:tc>
          <w:tcPr>
            <w:tcW w:w="758" w:type="pct"/>
            <w:tcBorders>
              <w:top w:val="double" w:sz="4" w:space="0" w:color="auto"/>
              <w:bottom w:val="single" w:sz="4" w:space="0" w:color="auto"/>
            </w:tcBorders>
            <w:shd w:val="clear" w:color="auto" w:fill="auto"/>
            <w:tcMar>
              <w:left w:w="28" w:type="dxa"/>
              <w:right w:w="28" w:type="dxa"/>
            </w:tcMar>
            <w:vAlign w:val="center"/>
          </w:tcPr>
          <w:p w:rsidR="00371008" w:rsidRPr="003D6709" w:rsidRDefault="00371008" w:rsidP="004C7D8F">
            <w:pPr>
              <w:pStyle w:val="Tableheadingrow"/>
              <w:jc w:val="center"/>
              <w:rPr>
                <w:lang w:val="en-AU"/>
              </w:rPr>
            </w:pPr>
            <w:r w:rsidRPr="003D6709">
              <w:rPr>
                <w:lang w:val="en-AU"/>
              </w:rPr>
              <w:t>HR (95% CI)</w:t>
            </w:r>
          </w:p>
        </w:tc>
      </w:tr>
      <w:tr w:rsidR="00371008" w:rsidRPr="003D6709" w:rsidTr="002A4FB3">
        <w:tc>
          <w:tcPr>
            <w:tcW w:w="626" w:type="pct"/>
            <w:vMerge w:val="restart"/>
            <w:tcBorders>
              <w:top w:val="single" w:sz="4" w:space="0" w:color="auto"/>
            </w:tcBorders>
            <w:tcMar>
              <w:left w:w="28" w:type="dxa"/>
              <w:right w:w="28" w:type="dxa"/>
            </w:tcMar>
            <w:vAlign w:val="center"/>
          </w:tcPr>
          <w:p w:rsidR="00371008" w:rsidRPr="003D6709" w:rsidRDefault="00371008" w:rsidP="004C7D8F">
            <w:pPr>
              <w:pStyle w:val="TableText"/>
            </w:pPr>
            <w:r w:rsidRPr="003D6709">
              <w:t>MURANO</w:t>
            </w:r>
          </w:p>
          <w:p w:rsidR="00371008" w:rsidRPr="003D6709" w:rsidRDefault="00371008" w:rsidP="004C7D8F">
            <w:pPr>
              <w:pStyle w:val="TableText"/>
            </w:pPr>
            <w:r w:rsidRPr="003D6709">
              <w:t>(23.8 months)</w:t>
            </w:r>
          </w:p>
        </w:tc>
        <w:tc>
          <w:tcPr>
            <w:tcW w:w="1336"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pPr>
            <w:r w:rsidRPr="003D6709">
              <w:t>Progressed</w:t>
            </w:r>
            <w:r w:rsidR="0065677C" w:rsidRPr="003D6709">
              <w:t>,</w:t>
            </w:r>
            <w:r w:rsidRPr="003D6709">
              <w:t xml:space="preserve"> n/N (%)</w:t>
            </w:r>
          </w:p>
        </w:tc>
        <w:tc>
          <w:tcPr>
            <w:tcW w:w="864" w:type="pct"/>
            <w:tcBorders>
              <w:top w:val="single" w:sz="4" w:space="0" w:color="auto"/>
            </w:tcBorders>
            <w:shd w:val="clear" w:color="auto" w:fill="auto"/>
            <w:tcMar>
              <w:left w:w="28" w:type="dxa"/>
              <w:right w:w="28" w:type="dxa"/>
            </w:tcMar>
          </w:tcPr>
          <w:p w:rsidR="00371008" w:rsidRPr="003D6709" w:rsidRDefault="00371008" w:rsidP="004C7D8F">
            <w:pPr>
              <w:pStyle w:val="TableText"/>
              <w:jc w:val="center"/>
            </w:pPr>
            <w:r w:rsidRPr="003D6709">
              <w:t>NR</w:t>
            </w:r>
          </w:p>
        </w:tc>
        <w:tc>
          <w:tcPr>
            <w:tcW w:w="865" w:type="pct"/>
            <w:tcBorders>
              <w:top w:val="single" w:sz="4" w:space="0" w:color="auto"/>
            </w:tcBorders>
            <w:shd w:val="clear" w:color="auto" w:fill="auto"/>
            <w:tcMar>
              <w:left w:w="28" w:type="dxa"/>
              <w:right w:w="28" w:type="dxa"/>
            </w:tcMar>
          </w:tcPr>
          <w:p w:rsidR="00371008" w:rsidRPr="003D6709" w:rsidRDefault="00371008" w:rsidP="004C7D8F">
            <w:pPr>
              <w:pStyle w:val="TableText"/>
              <w:jc w:val="center"/>
            </w:pPr>
            <w:r w:rsidRPr="003D6709">
              <w:t>NR</w:t>
            </w:r>
          </w:p>
        </w:tc>
        <w:tc>
          <w:tcPr>
            <w:tcW w:w="551"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jc w:val="center"/>
            </w:pPr>
            <w:r w:rsidRPr="003D6709">
              <w:t>NR</w:t>
            </w:r>
          </w:p>
        </w:tc>
        <w:tc>
          <w:tcPr>
            <w:tcW w:w="758" w:type="pct"/>
            <w:tcBorders>
              <w:top w:val="single" w:sz="4" w:space="0" w:color="auto"/>
            </w:tcBorders>
            <w:shd w:val="clear" w:color="auto" w:fill="auto"/>
            <w:tcMar>
              <w:left w:w="28" w:type="dxa"/>
              <w:right w:w="28" w:type="dxa"/>
            </w:tcMar>
            <w:vAlign w:val="center"/>
          </w:tcPr>
          <w:p w:rsidR="00371008" w:rsidRPr="003D6709" w:rsidRDefault="00371008" w:rsidP="004C7D8F">
            <w:pPr>
              <w:pStyle w:val="TableText"/>
              <w:jc w:val="center"/>
            </w:pPr>
            <w:r w:rsidRPr="003D6709">
              <w:t>-</w:t>
            </w:r>
          </w:p>
        </w:tc>
      </w:tr>
      <w:tr w:rsidR="00371008" w:rsidRPr="003D6709" w:rsidTr="002A4FB3">
        <w:tc>
          <w:tcPr>
            <w:tcW w:w="626" w:type="pct"/>
            <w:vMerge/>
            <w:tcMar>
              <w:left w:w="28" w:type="dxa"/>
              <w:right w:w="28" w:type="dxa"/>
            </w:tcMar>
            <w:vAlign w:val="center"/>
          </w:tcPr>
          <w:p w:rsidR="00371008" w:rsidRPr="003D6709" w:rsidRDefault="00371008" w:rsidP="004C7D8F">
            <w:pPr>
              <w:pStyle w:val="TableText"/>
              <w:jc w:val="center"/>
            </w:pPr>
          </w:p>
        </w:tc>
        <w:tc>
          <w:tcPr>
            <w:tcW w:w="1336" w:type="pct"/>
            <w:shd w:val="clear" w:color="auto" w:fill="auto"/>
            <w:tcMar>
              <w:left w:w="28" w:type="dxa"/>
              <w:right w:w="28" w:type="dxa"/>
            </w:tcMar>
            <w:vAlign w:val="center"/>
          </w:tcPr>
          <w:p w:rsidR="00371008" w:rsidRPr="003D6709" w:rsidRDefault="00371008" w:rsidP="004C7D8F">
            <w:pPr>
              <w:pStyle w:val="TableText"/>
            </w:pPr>
            <w:r w:rsidRPr="003D6709">
              <w:t>Median PFS, months (95% CI)</w:t>
            </w:r>
          </w:p>
        </w:tc>
        <w:tc>
          <w:tcPr>
            <w:tcW w:w="864" w:type="pct"/>
            <w:shd w:val="clear" w:color="auto" w:fill="auto"/>
            <w:tcMar>
              <w:left w:w="28" w:type="dxa"/>
              <w:right w:w="28" w:type="dxa"/>
            </w:tcMar>
            <w:vAlign w:val="center"/>
          </w:tcPr>
          <w:p w:rsidR="00371008" w:rsidRPr="003D6709" w:rsidRDefault="00371008" w:rsidP="004C7D8F">
            <w:pPr>
              <w:pStyle w:val="TableText"/>
              <w:jc w:val="center"/>
              <w:rPr>
                <w:iCs/>
              </w:rPr>
            </w:pPr>
            <w:r w:rsidRPr="003D6709">
              <w:rPr>
                <w:iCs/>
              </w:rPr>
              <w:t>NR</w:t>
            </w:r>
          </w:p>
        </w:tc>
        <w:tc>
          <w:tcPr>
            <w:tcW w:w="865" w:type="pct"/>
            <w:shd w:val="clear" w:color="auto" w:fill="auto"/>
            <w:tcMar>
              <w:left w:w="28" w:type="dxa"/>
              <w:right w:w="28" w:type="dxa"/>
            </w:tcMar>
            <w:vAlign w:val="center"/>
          </w:tcPr>
          <w:p w:rsidR="00371008" w:rsidRPr="003D6709" w:rsidRDefault="00371008" w:rsidP="004C7D8F">
            <w:pPr>
              <w:pStyle w:val="TableText"/>
              <w:jc w:val="center"/>
            </w:pPr>
            <w:r w:rsidRPr="003D6709">
              <w:t>NR</w:t>
            </w:r>
          </w:p>
        </w:tc>
        <w:tc>
          <w:tcPr>
            <w:tcW w:w="551" w:type="pct"/>
            <w:shd w:val="clear" w:color="auto" w:fill="auto"/>
            <w:tcMar>
              <w:left w:w="28" w:type="dxa"/>
              <w:right w:w="28" w:type="dxa"/>
            </w:tcMar>
            <w:vAlign w:val="center"/>
          </w:tcPr>
          <w:p w:rsidR="00371008" w:rsidRPr="003D6709" w:rsidRDefault="00371008" w:rsidP="004C7D8F">
            <w:pPr>
              <w:pStyle w:val="TableText"/>
              <w:jc w:val="center"/>
            </w:pPr>
            <w:r w:rsidRPr="003D6709">
              <w:t>-</w:t>
            </w:r>
          </w:p>
        </w:tc>
        <w:tc>
          <w:tcPr>
            <w:tcW w:w="758" w:type="pct"/>
            <w:shd w:val="clear" w:color="auto" w:fill="auto"/>
            <w:tcMar>
              <w:left w:w="28" w:type="dxa"/>
              <w:right w:w="28" w:type="dxa"/>
            </w:tcMar>
            <w:vAlign w:val="center"/>
          </w:tcPr>
          <w:p w:rsidR="00371008" w:rsidRPr="003D6709" w:rsidRDefault="00371008" w:rsidP="004C7D8F">
            <w:pPr>
              <w:pStyle w:val="TableText"/>
              <w:jc w:val="center"/>
              <w:rPr>
                <w:b/>
              </w:rPr>
            </w:pPr>
            <w:r w:rsidRPr="003D6709">
              <w:rPr>
                <w:b/>
              </w:rPr>
              <w:t>0.19 (0.13, 0.28)</w:t>
            </w:r>
          </w:p>
        </w:tc>
      </w:tr>
      <w:tr w:rsidR="00371008" w:rsidRPr="003D6709" w:rsidTr="002A4FB3">
        <w:tc>
          <w:tcPr>
            <w:tcW w:w="4242" w:type="pct"/>
            <w:gridSpan w:val="5"/>
            <w:tcMar>
              <w:left w:w="28" w:type="dxa"/>
              <w:right w:w="28" w:type="dxa"/>
            </w:tcMar>
            <w:vAlign w:val="center"/>
          </w:tcPr>
          <w:p w:rsidR="00371008" w:rsidRPr="003D6709" w:rsidRDefault="00371008" w:rsidP="0065677C">
            <w:pPr>
              <w:pStyle w:val="TableText"/>
              <w:rPr>
                <w:b/>
              </w:rPr>
            </w:pPr>
            <w:r w:rsidRPr="003D6709">
              <w:rPr>
                <w:b/>
              </w:rPr>
              <w:t>Indirect comparison ACAL (16.1 months) vs. VEN + RITU (23.8 months)</w:t>
            </w:r>
          </w:p>
        </w:tc>
        <w:tc>
          <w:tcPr>
            <w:tcW w:w="758" w:type="pct"/>
            <w:shd w:val="clear" w:color="auto" w:fill="auto"/>
            <w:tcMar>
              <w:left w:w="28" w:type="dxa"/>
              <w:right w:w="28" w:type="dxa"/>
            </w:tcMar>
            <w:vAlign w:val="center"/>
          </w:tcPr>
          <w:p w:rsidR="00371008" w:rsidRPr="003D6709" w:rsidRDefault="00371008" w:rsidP="004C7D8F">
            <w:pPr>
              <w:pStyle w:val="TableText"/>
              <w:jc w:val="center"/>
            </w:pPr>
            <w:r w:rsidRPr="003D6709">
              <w:t>1.63 (0.91, 2.94)</w:t>
            </w:r>
          </w:p>
        </w:tc>
      </w:tr>
    </w:tbl>
    <w:p w:rsidR="00371008" w:rsidRPr="003D6709" w:rsidRDefault="00371008" w:rsidP="00371008">
      <w:pPr>
        <w:pStyle w:val="TableFigureFooter"/>
      </w:pPr>
      <w:r w:rsidRPr="003D6709">
        <w:t>Source: Table 5.6.8, p.30 of ‘</w:t>
      </w:r>
      <w:proofErr w:type="spellStart"/>
      <w:r w:rsidRPr="003D6709">
        <w:t>Acalabrutinib_RR</w:t>
      </w:r>
      <w:proofErr w:type="spellEnd"/>
      <w:r w:rsidRPr="003D6709">
        <w:t xml:space="preserve"> CLL_PBAC Appendix 1_supplementary analyses’ document.</w:t>
      </w:r>
    </w:p>
    <w:p w:rsidR="00371008" w:rsidRPr="003D6709" w:rsidRDefault="00371008" w:rsidP="00371008">
      <w:pPr>
        <w:pStyle w:val="TableFigureFooter"/>
      </w:pPr>
      <w:r w:rsidRPr="003D6709">
        <w:t xml:space="preserve">Abbreviations: ACAL, acalabrutinib; BEN, bendamustine; CI, confidence interval; HR, hazard ratio; IDEL, idelalisib; </w:t>
      </w:r>
      <w:r w:rsidR="0059462D" w:rsidRPr="003D6709">
        <w:t xml:space="preserve">NE, not estimable; NR, not reported; </w:t>
      </w:r>
      <w:r w:rsidRPr="003D6709">
        <w:t>PFS, progression-free survival; RITU, rituximab; VEN, venetoclax.</w:t>
      </w:r>
    </w:p>
    <w:p w:rsidR="00371008" w:rsidRPr="003D6709" w:rsidRDefault="00371008" w:rsidP="00371008">
      <w:pPr>
        <w:pStyle w:val="TableFigureFooter"/>
      </w:pPr>
      <w:r w:rsidRPr="003D6709">
        <w:t>Bolded result indicates statistically significant difference.</w:t>
      </w:r>
    </w:p>
    <w:p w:rsidR="00371008" w:rsidRPr="003D6709" w:rsidRDefault="00371008" w:rsidP="005473C4">
      <w:pPr>
        <w:pStyle w:val="ExecSumBodyText"/>
        <w:rPr>
          <w:color w:val="0066FF"/>
        </w:rPr>
      </w:pPr>
      <w:r w:rsidRPr="003D6709">
        <w:t>Based on the results of the indirect comparison</w:t>
      </w:r>
      <w:r w:rsidR="005473C4" w:rsidRPr="003D6709">
        <w:t xml:space="preserve">, treatment with venetoclax plus rituximab was associated with a longer duration of progression-free survival compared to acalabrutinib, </w:t>
      </w:r>
      <w:r w:rsidR="0012144B" w:rsidRPr="003D6709">
        <w:t>although</w:t>
      </w:r>
      <w:r w:rsidR="005473C4" w:rsidRPr="003D6709">
        <w:t xml:space="preserve"> the difference was not statistically significant </w:t>
      </w:r>
      <w:r w:rsidRPr="003D6709">
        <w:t>(HR</w:t>
      </w:r>
      <w:r w:rsidR="00084A99" w:rsidRPr="003D6709">
        <w:t xml:space="preserve"> =</w:t>
      </w:r>
      <w:r w:rsidRPr="003D6709">
        <w:t xml:space="preserve"> 1.63; 95% CI: 0.91, 2.94). </w:t>
      </w:r>
      <w:r w:rsidR="0095347C" w:rsidRPr="003D6709">
        <w:t>T</w:t>
      </w:r>
      <w:r w:rsidRPr="003D6709">
        <w:t xml:space="preserve">he </w:t>
      </w:r>
      <w:r w:rsidR="00F01579" w:rsidRPr="003D6709">
        <w:t xml:space="preserve">PBAC noted that the </w:t>
      </w:r>
      <w:r w:rsidRPr="003D6709">
        <w:t xml:space="preserve">results should be interpreted with caution due to differences in trial populations, common reference arms, assessment time points, and event rates. </w:t>
      </w:r>
    </w:p>
    <w:p w:rsidR="00371008" w:rsidRPr="003D6709" w:rsidRDefault="000B501B" w:rsidP="00371008">
      <w:pPr>
        <w:pStyle w:val="ExecSumBodyText"/>
        <w:rPr>
          <w:color w:val="0066FF"/>
        </w:rPr>
      </w:pPr>
      <w:r w:rsidRPr="003D6709">
        <w:t xml:space="preserve">Table 11 </w:t>
      </w:r>
      <w:r w:rsidR="00371008" w:rsidRPr="003D6709">
        <w:t xml:space="preserve">presents the results of the indirect comparison of acalabrutinib versus venetoclax plus rituximab for overall survival based on </w:t>
      </w:r>
      <w:r w:rsidR="001A1845" w:rsidRPr="003D6709">
        <w:t xml:space="preserve">the </w:t>
      </w:r>
      <w:r w:rsidR="00371008" w:rsidRPr="003D6709">
        <w:t xml:space="preserve">ASCEND (median follow-up 16 months) and MURANO </w:t>
      </w:r>
      <w:r w:rsidR="001A1845" w:rsidRPr="003D6709">
        <w:t xml:space="preserve">trials </w:t>
      </w:r>
      <w:r w:rsidR="00371008" w:rsidRPr="003D6709">
        <w:t>(median follow-up 23.8 months and 36 months).</w:t>
      </w:r>
    </w:p>
    <w:p w:rsidR="00371008" w:rsidRPr="003D6709" w:rsidRDefault="000B501B" w:rsidP="00371008">
      <w:pPr>
        <w:pStyle w:val="TableFigureCaption"/>
        <w:jc w:val="both"/>
      </w:pPr>
      <w:bookmarkStart w:id="29" w:name="_Ref33454030"/>
      <w:r w:rsidRPr="003D6709">
        <w:t>Table 11</w:t>
      </w:r>
      <w:bookmarkEnd w:id="29"/>
      <w:r w:rsidR="00371008" w:rsidRPr="003D6709">
        <w:t>: Indirect comparison of overall survival for acalabrutinib versus venetoclax plus rituximab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69"/>
        <w:gridCol w:w="1558"/>
        <w:gridCol w:w="1560"/>
        <w:gridCol w:w="992"/>
        <w:gridCol w:w="1367"/>
      </w:tblGrid>
      <w:tr w:rsidR="00B41485" w:rsidRPr="003D6709" w:rsidTr="002A4FB3">
        <w:trPr>
          <w:tblHeader/>
        </w:trPr>
        <w:tc>
          <w:tcPr>
            <w:tcW w:w="705" w:type="pct"/>
            <w:tcMar>
              <w:left w:w="28" w:type="dxa"/>
              <w:right w:w="28" w:type="dxa"/>
            </w:tcMar>
            <w:vAlign w:val="center"/>
          </w:tcPr>
          <w:p w:rsidR="00B41485" w:rsidRPr="003D6709" w:rsidRDefault="00B41485" w:rsidP="0034144F">
            <w:pPr>
              <w:pStyle w:val="Tableheadingrow"/>
              <w:rPr>
                <w:lang w:val="en-AU"/>
              </w:rPr>
            </w:pPr>
            <w:r w:rsidRPr="003D6709">
              <w:rPr>
                <w:lang w:val="en-AU"/>
              </w:rPr>
              <w:t>Trial</w:t>
            </w:r>
          </w:p>
        </w:tc>
        <w:tc>
          <w:tcPr>
            <w:tcW w:w="1258" w:type="pct"/>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Outcome</w:t>
            </w:r>
          </w:p>
        </w:tc>
        <w:tc>
          <w:tcPr>
            <w:tcW w:w="864" w:type="pct"/>
            <w:shd w:val="clear" w:color="auto" w:fill="auto"/>
            <w:tcMar>
              <w:left w:w="28" w:type="dxa"/>
              <w:right w:w="28" w:type="dxa"/>
            </w:tcMar>
            <w:vAlign w:val="center"/>
          </w:tcPr>
          <w:p w:rsidR="00B41485" w:rsidRPr="003D6709" w:rsidRDefault="00B41485" w:rsidP="0034144F">
            <w:pPr>
              <w:pStyle w:val="Tableheadingrow"/>
              <w:jc w:val="center"/>
              <w:rPr>
                <w:iCs/>
                <w:lang w:val="en-AU"/>
              </w:rPr>
            </w:pPr>
            <w:r w:rsidRPr="003D6709">
              <w:rPr>
                <w:iCs/>
                <w:lang w:val="en-AU"/>
              </w:rPr>
              <w:t>ACAL</w:t>
            </w:r>
          </w:p>
        </w:tc>
        <w:tc>
          <w:tcPr>
            <w:tcW w:w="865" w:type="pct"/>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IDEL/BEN + RITU</w:t>
            </w:r>
          </w:p>
        </w:tc>
        <w:tc>
          <w:tcPr>
            <w:tcW w:w="550" w:type="pct"/>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Absolute difference</w:t>
            </w:r>
          </w:p>
        </w:tc>
        <w:tc>
          <w:tcPr>
            <w:tcW w:w="758" w:type="pct"/>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HR (95% CI)</w:t>
            </w:r>
          </w:p>
        </w:tc>
      </w:tr>
      <w:tr w:rsidR="00B41485" w:rsidRPr="003D6709" w:rsidTr="002A4FB3">
        <w:tc>
          <w:tcPr>
            <w:tcW w:w="705" w:type="pct"/>
            <w:vMerge w:val="restart"/>
            <w:tcMar>
              <w:left w:w="28" w:type="dxa"/>
              <w:right w:w="28" w:type="dxa"/>
            </w:tcMar>
            <w:vAlign w:val="center"/>
          </w:tcPr>
          <w:p w:rsidR="00B41485" w:rsidRPr="003D6709" w:rsidRDefault="00B41485" w:rsidP="0034144F">
            <w:pPr>
              <w:pStyle w:val="TableText"/>
            </w:pPr>
            <w:r w:rsidRPr="003D6709">
              <w:t xml:space="preserve">ASCEND </w:t>
            </w:r>
          </w:p>
          <w:p w:rsidR="00B41485" w:rsidRPr="003D6709" w:rsidRDefault="00B41485" w:rsidP="0034144F">
            <w:pPr>
              <w:pStyle w:val="TableText"/>
            </w:pPr>
            <w:r w:rsidRPr="003D6709">
              <w:t>(16 months)</w:t>
            </w:r>
          </w:p>
        </w:tc>
        <w:tc>
          <w:tcPr>
            <w:tcW w:w="1258" w:type="pct"/>
            <w:shd w:val="clear" w:color="auto" w:fill="auto"/>
            <w:tcMar>
              <w:left w:w="28" w:type="dxa"/>
              <w:right w:w="28" w:type="dxa"/>
            </w:tcMar>
            <w:vAlign w:val="center"/>
          </w:tcPr>
          <w:p w:rsidR="00B41485" w:rsidRPr="003D6709" w:rsidRDefault="00B41485" w:rsidP="0034144F">
            <w:pPr>
              <w:pStyle w:val="TableText"/>
            </w:pPr>
            <w:r w:rsidRPr="003D6709">
              <w:t>Deaths, n/N (%)</w:t>
            </w:r>
          </w:p>
        </w:tc>
        <w:tc>
          <w:tcPr>
            <w:tcW w:w="864" w:type="pct"/>
            <w:shd w:val="clear" w:color="auto" w:fill="auto"/>
            <w:tcMar>
              <w:left w:w="28" w:type="dxa"/>
              <w:right w:w="28" w:type="dxa"/>
            </w:tcMar>
            <w:vAlign w:val="center"/>
          </w:tcPr>
          <w:p w:rsidR="00B41485" w:rsidRPr="003D6709" w:rsidRDefault="00B41485" w:rsidP="0034144F">
            <w:pPr>
              <w:pStyle w:val="TableText"/>
              <w:jc w:val="center"/>
              <w:rPr>
                <w:iCs/>
              </w:rPr>
            </w:pPr>
            <w:r w:rsidRPr="003D6709">
              <w:rPr>
                <w:iCs/>
              </w:rPr>
              <w:t>15/155 (9.7%)</w:t>
            </w:r>
          </w:p>
        </w:tc>
        <w:tc>
          <w:tcPr>
            <w:tcW w:w="865" w:type="pct"/>
            <w:shd w:val="clear" w:color="auto" w:fill="auto"/>
            <w:tcMar>
              <w:left w:w="28" w:type="dxa"/>
              <w:right w:w="28" w:type="dxa"/>
            </w:tcMar>
            <w:vAlign w:val="center"/>
          </w:tcPr>
          <w:p w:rsidR="00B41485" w:rsidRPr="003D6709" w:rsidRDefault="00B41485" w:rsidP="0034144F">
            <w:pPr>
              <w:pStyle w:val="TableText"/>
              <w:jc w:val="center"/>
              <w:rPr>
                <w:iCs/>
              </w:rPr>
            </w:pPr>
            <w:r w:rsidRPr="003D6709">
              <w:rPr>
                <w:iCs/>
              </w:rPr>
              <w:t>18/155 (11.6%)</w:t>
            </w:r>
          </w:p>
        </w:tc>
        <w:tc>
          <w:tcPr>
            <w:tcW w:w="550" w:type="pct"/>
            <w:shd w:val="clear" w:color="auto" w:fill="auto"/>
            <w:tcMar>
              <w:left w:w="28" w:type="dxa"/>
              <w:right w:w="28" w:type="dxa"/>
            </w:tcMar>
            <w:vAlign w:val="center"/>
          </w:tcPr>
          <w:p w:rsidR="00B41485" w:rsidRPr="003D6709" w:rsidRDefault="00B41485" w:rsidP="0034144F">
            <w:pPr>
              <w:pStyle w:val="TableText"/>
              <w:jc w:val="center"/>
            </w:pPr>
            <w:r w:rsidRPr="003D6709">
              <w:t>1.9%</w:t>
            </w:r>
          </w:p>
        </w:tc>
        <w:tc>
          <w:tcPr>
            <w:tcW w:w="758" w:type="pct"/>
            <w:shd w:val="clear" w:color="auto" w:fill="auto"/>
            <w:tcMar>
              <w:left w:w="28" w:type="dxa"/>
              <w:right w:w="28" w:type="dxa"/>
            </w:tcMar>
            <w:vAlign w:val="center"/>
          </w:tcPr>
          <w:p w:rsidR="00B41485" w:rsidRPr="003D6709" w:rsidRDefault="00B41485" w:rsidP="0034144F">
            <w:pPr>
              <w:pStyle w:val="TableText"/>
              <w:jc w:val="center"/>
            </w:pPr>
            <w:r w:rsidRPr="003D6709">
              <w:t>-</w:t>
            </w:r>
          </w:p>
        </w:tc>
      </w:tr>
      <w:tr w:rsidR="00B41485" w:rsidRPr="003D6709" w:rsidTr="002A4FB3">
        <w:tc>
          <w:tcPr>
            <w:tcW w:w="705" w:type="pct"/>
            <w:vMerge/>
            <w:tcBorders>
              <w:bottom w:val="double" w:sz="4" w:space="0" w:color="auto"/>
            </w:tcBorders>
            <w:tcMar>
              <w:left w:w="28" w:type="dxa"/>
              <w:right w:w="28" w:type="dxa"/>
            </w:tcMar>
            <w:vAlign w:val="center"/>
          </w:tcPr>
          <w:p w:rsidR="00B41485" w:rsidRPr="003D6709" w:rsidRDefault="00B41485" w:rsidP="0034144F">
            <w:pPr>
              <w:pStyle w:val="TableText"/>
            </w:pPr>
          </w:p>
        </w:tc>
        <w:tc>
          <w:tcPr>
            <w:tcW w:w="1258" w:type="pct"/>
            <w:tcBorders>
              <w:bottom w:val="double" w:sz="4" w:space="0" w:color="auto"/>
            </w:tcBorders>
            <w:shd w:val="clear" w:color="auto" w:fill="auto"/>
            <w:tcMar>
              <w:left w:w="28" w:type="dxa"/>
              <w:right w:w="28" w:type="dxa"/>
            </w:tcMar>
            <w:vAlign w:val="center"/>
          </w:tcPr>
          <w:p w:rsidR="00B41485" w:rsidRPr="003D6709" w:rsidRDefault="00B41485" w:rsidP="0034144F">
            <w:pPr>
              <w:pStyle w:val="TableText"/>
            </w:pPr>
            <w:r w:rsidRPr="003D6709">
              <w:t>Median OS, months (95% CI)</w:t>
            </w:r>
          </w:p>
        </w:tc>
        <w:tc>
          <w:tcPr>
            <w:tcW w:w="864" w:type="pct"/>
            <w:tcBorders>
              <w:bottom w:val="double" w:sz="4" w:space="0" w:color="auto"/>
            </w:tcBorders>
            <w:shd w:val="clear" w:color="auto" w:fill="auto"/>
            <w:tcMar>
              <w:left w:w="28" w:type="dxa"/>
              <w:right w:w="28" w:type="dxa"/>
            </w:tcMar>
            <w:vAlign w:val="center"/>
          </w:tcPr>
          <w:p w:rsidR="00B41485" w:rsidRPr="003D6709" w:rsidRDefault="00B41485" w:rsidP="0034144F">
            <w:pPr>
              <w:pStyle w:val="TableText"/>
              <w:jc w:val="center"/>
              <w:rPr>
                <w:iCs/>
              </w:rPr>
            </w:pPr>
            <w:r w:rsidRPr="003D6709">
              <w:t>Not reached (NE)</w:t>
            </w:r>
          </w:p>
        </w:tc>
        <w:tc>
          <w:tcPr>
            <w:tcW w:w="865" w:type="pct"/>
            <w:tcBorders>
              <w:bottom w:val="double" w:sz="4" w:space="0" w:color="auto"/>
            </w:tcBorders>
            <w:shd w:val="clear" w:color="auto" w:fill="auto"/>
            <w:tcMar>
              <w:left w:w="28" w:type="dxa"/>
              <w:right w:w="28" w:type="dxa"/>
            </w:tcMar>
            <w:vAlign w:val="center"/>
          </w:tcPr>
          <w:p w:rsidR="00B41485" w:rsidRPr="003D6709" w:rsidRDefault="00B41485" w:rsidP="0034144F">
            <w:pPr>
              <w:pStyle w:val="TableText"/>
              <w:jc w:val="center"/>
              <w:rPr>
                <w:iCs/>
              </w:rPr>
            </w:pPr>
            <w:r w:rsidRPr="003D6709">
              <w:t>Not reached (NE)</w:t>
            </w:r>
          </w:p>
        </w:tc>
        <w:tc>
          <w:tcPr>
            <w:tcW w:w="550" w:type="pct"/>
            <w:tcBorders>
              <w:bottom w:val="double" w:sz="4" w:space="0" w:color="auto"/>
            </w:tcBorders>
            <w:shd w:val="clear" w:color="auto" w:fill="auto"/>
            <w:tcMar>
              <w:left w:w="28" w:type="dxa"/>
              <w:right w:w="28" w:type="dxa"/>
            </w:tcMar>
            <w:vAlign w:val="center"/>
          </w:tcPr>
          <w:p w:rsidR="00B41485" w:rsidRPr="003D6709" w:rsidRDefault="00B41485" w:rsidP="0034144F">
            <w:pPr>
              <w:pStyle w:val="TableText"/>
              <w:jc w:val="center"/>
            </w:pPr>
            <w:r w:rsidRPr="003D6709">
              <w:t>-</w:t>
            </w:r>
          </w:p>
        </w:tc>
        <w:tc>
          <w:tcPr>
            <w:tcW w:w="758" w:type="pct"/>
            <w:tcBorders>
              <w:bottom w:val="double" w:sz="4" w:space="0" w:color="auto"/>
            </w:tcBorders>
            <w:shd w:val="clear" w:color="auto" w:fill="auto"/>
            <w:tcMar>
              <w:left w:w="28" w:type="dxa"/>
              <w:right w:w="28" w:type="dxa"/>
            </w:tcMar>
            <w:vAlign w:val="center"/>
          </w:tcPr>
          <w:p w:rsidR="00B41485" w:rsidRPr="003D6709" w:rsidRDefault="00B41485" w:rsidP="0034144F">
            <w:pPr>
              <w:pStyle w:val="TableText"/>
              <w:jc w:val="center"/>
            </w:pPr>
            <w:r w:rsidRPr="003D6709">
              <w:t>0.84 (0.42, 1.66)</w:t>
            </w:r>
          </w:p>
        </w:tc>
      </w:tr>
      <w:tr w:rsidR="00B41485" w:rsidRPr="003D6709" w:rsidTr="002A4FB3">
        <w:tc>
          <w:tcPr>
            <w:tcW w:w="705" w:type="pct"/>
            <w:tcBorders>
              <w:top w:val="double" w:sz="4" w:space="0" w:color="auto"/>
              <w:bottom w:val="single" w:sz="4" w:space="0" w:color="auto"/>
            </w:tcBorders>
            <w:tcMar>
              <w:left w:w="28" w:type="dxa"/>
              <w:right w:w="28" w:type="dxa"/>
            </w:tcMar>
            <w:vAlign w:val="center"/>
          </w:tcPr>
          <w:p w:rsidR="00B41485" w:rsidRPr="003D6709" w:rsidRDefault="00B41485" w:rsidP="0034144F">
            <w:pPr>
              <w:pStyle w:val="Tableheadingrow"/>
              <w:rPr>
                <w:lang w:val="en-AU"/>
              </w:rPr>
            </w:pPr>
            <w:r w:rsidRPr="003D6709">
              <w:rPr>
                <w:lang w:val="en-AU"/>
              </w:rPr>
              <w:t>Trial</w:t>
            </w:r>
          </w:p>
        </w:tc>
        <w:tc>
          <w:tcPr>
            <w:tcW w:w="1258" w:type="pct"/>
            <w:tcBorders>
              <w:top w:val="double" w:sz="4" w:space="0" w:color="auto"/>
              <w:bottom w:val="single" w:sz="4" w:space="0" w:color="auto"/>
            </w:tcBorders>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Outcome</w:t>
            </w:r>
          </w:p>
        </w:tc>
        <w:tc>
          <w:tcPr>
            <w:tcW w:w="864" w:type="pct"/>
            <w:tcBorders>
              <w:top w:val="double" w:sz="4" w:space="0" w:color="auto"/>
              <w:bottom w:val="single" w:sz="4" w:space="0" w:color="auto"/>
            </w:tcBorders>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VEN + RITU</w:t>
            </w:r>
          </w:p>
        </w:tc>
        <w:tc>
          <w:tcPr>
            <w:tcW w:w="865" w:type="pct"/>
            <w:tcBorders>
              <w:top w:val="double" w:sz="4" w:space="0" w:color="auto"/>
              <w:bottom w:val="single" w:sz="4" w:space="0" w:color="auto"/>
            </w:tcBorders>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BEN + RITU</w:t>
            </w:r>
          </w:p>
        </w:tc>
        <w:tc>
          <w:tcPr>
            <w:tcW w:w="550" w:type="pct"/>
            <w:tcBorders>
              <w:top w:val="double" w:sz="4" w:space="0" w:color="auto"/>
              <w:bottom w:val="single" w:sz="4" w:space="0" w:color="auto"/>
            </w:tcBorders>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Absolute difference</w:t>
            </w:r>
          </w:p>
        </w:tc>
        <w:tc>
          <w:tcPr>
            <w:tcW w:w="758" w:type="pct"/>
            <w:tcBorders>
              <w:top w:val="double" w:sz="4" w:space="0" w:color="auto"/>
              <w:bottom w:val="single" w:sz="4" w:space="0" w:color="auto"/>
            </w:tcBorders>
            <w:shd w:val="clear" w:color="auto" w:fill="auto"/>
            <w:tcMar>
              <w:left w:w="28" w:type="dxa"/>
              <w:right w:w="28" w:type="dxa"/>
            </w:tcMar>
            <w:vAlign w:val="center"/>
          </w:tcPr>
          <w:p w:rsidR="00B41485" w:rsidRPr="003D6709" w:rsidRDefault="00B41485" w:rsidP="0034144F">
            <w:pPr>
              <w:pStyle w:val="Tableheadingrow"/>
              <w:jc w:val="center"/>
              <w:rPr>
                <w:lang w:val="en-AU"/>
              </w:rPr>
            </w:pPr>
            <w:r w:rsidRPr="003D6709">
              <w:rPr>
                <w:lang w:val="en-AU"/>
              </w:rPr>
              <w:t>HR (95% CI)</w:t>
            </w:r>
          </w:p>
        </w:tc>
      </w:tr>
      <w:tr w:rsidR="00B41485" w:rsidRPr="003D6709" w:rsidTr="002A4FB3">
        <w:tc>
          <w:tcPr>
            <w:tcW w:w="705" w:type="pct"/>
            <w:vMerge w:val="restart"/>
            <w:tcBorders>
              <w:top w:val="single" w:sz="4" w:space="0" w:color="auto"/>
            </w:tcBorders>
            <w:tcMar>
              <w:left w:w="28" w:type="dxa"/>
              <w:right w:w="28" w:type="dxa"/>
            </w:tcMar>
            <w:vAlign w:val="center"/>
          </w:tcPr>
          <w:p w:rsidR="00B41485" w:rsidRPr="003D6709" w:rsidRDefault="00B41485" w:rsidP="0034144F">
            <w:pPr>
              <w:pStyle w:val="TableText"/>
            </w:pPr>
            <w:r w:rsidRPr="003D6709">
              <w:t xml:space="preserve">HELIOS </w:t>
            </w:r>
          </w:p>
          <w:p w:rsidR="00B41485" w:rsidRPr="003D6709" w:rsidRDefault="00B41485" w:rsidP="0034144F">
            <w:pPr>
              <w:pStyle w:val="TableText"/>
            </w:pPr>
            <w:r w:rsidRPr="003D6709">
              <w:t>(17 months)</w:t>
            </w:r>
          </w:p>
        </w:tc>
        <w:tc>
          <w:tcPr>
            <w:tcW w:w="1258" w:type="pct"/>
            <w:tcBorders>
              <w:top w:val="single" w:sz="4" w:space="0" w:color="auto"/>
            </w:tcBorders>
            <w:shd w:val="clear" w:color="auto" w:fill="auto"/>
            <w:tcMar>
              <w:left w:w="28" w:type="dxa"/>
              <w:right w:w="28" w:type="dxa"/>
            </w:tcMar>
            <w:vAlign w:val="center"/>
          </w:tcPr>
          <w:p w:rsidR="00B41485" w:rsidRPr="003D6709" w:rsidRDefault="00B41485" w:rsidP="0034144F">
            <w:pPr>
              <w:pStyle w:val="TableText"/>
            </w:pPr>
            <w:r w:rsidRPr="003D6709">
              <w:t>Deaths, n/N (%)</w:t>
            </w:r>
          </w:p>
        </w:tc>
        <w:tc>
          <w:tcPr>
            <w:tcW w:w="864" w:type="pct"/>
            <w:tcBorders>
              <w:top w:val="single" w:sz="4" w:space="0" w:color="auto"/>
            </w:tcBorders>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865" w:type="pct"/>
            <w:tcBorders>
              <w:top w:val="single" w:sz="4" w:space="0" w:color="auto"/>
            </w:tcBorders>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550" w:type="pct"/>
            <w:tcBorders>
              <w:top w:val="single" w:sz="4" w:space="0" w:color="auto"/>
            </w:tcBorders>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758" w:type="pct"/>
            <w:tcBorders>
              <w:top w:val="single" w:sz="4" w:space="0" w:color="auto"/>
            </w:tcBorders>
            <w:shd w:val="clear" w:color="auto" w:fill="auto"/>
            <w:tcMar>
              <w:left w:w="28" w:type="dxa"/>
              <w:right w:w="28" w:type="dxa"/>
            </w:tcMar>
            <w:vAlign w:val="center"/>
          </w:tcPr>
          <w:p w:rsidR="00B41485" w:rsidRPr="003D6709" w:rsidRDefault="00B41485" w:rsidP="0034144F">
            <w:pPr>
              <w:pStyle w:val="TableText"/>
              <w:jc w:val="center"/>
            </w:pPr>
            <w:r w:rsidRPr="003D6709">
              <w:t>-</w:t>
            </w:r>
          </w:p>
        </w:tc>
      </w:tr>
      <w:tr w:rsidR="00B41485" w:rsidRPr="003D6709" w:rsidTr="002A4FB3">
        <w:tc>
          <w:tcPr>
            <w:tcW w:w="705" w:type="pct"/>
            <w:vMerge/>
            <w:tcMar>
              <w:left w:w="28" w:type="dxa"/>
              <w:right w:w="28" w:type="dxa"/>
            </w:tcMar>
            <w:vAlign w:val="center"/>
          </w:tcPr>
          <w:p w:rsidR="00B41485" w:rsidRPr="003D6709" w:rsidRDefault="00B41485" w:rsidP="0034144F">
            <w:pPr>
              <w:pStyle w:val="TableText"/>
              <w:jc w:val="center"/>
            </w:pPr>
          </w:p>
        </w:tc>
        <w:tc>
          <w:tcPr>
            <w:tcW w:w="1258" w:type="pct"/>
            <w:shd w:val="clear" w:color="auto" w:fill="auto"/>
            <w:tcMar>
              <w:left w:w="28" w:type="dxa"/>
              <w:right w:w="28" w:type="dxa"/>
            </w:tcMar>
            <w:vAlign w:val="center"/>
          </w:tcPr>
          <w:p w:rsidR="00B41485" w:rsidRPr="003D6709" w:rsidRDefault="00B41485" w:rsidP="0034144F">
            <w:pPr>
              <w:pStyle w:val="TableText"/>
            </w:pPr>
            <w:r w:rsidRPr="003D6709">
              <w:t>Median OS, months (95% CI)</w:t>
            </w:r>
          </w:p>
        </w:tc>
        <w:tc>
          <w:tcPr>
            <w:tcW w:w="864" w:type="pct"/>
            <w:shd w:val="clear" w:color="auto" w:fill="auto"/>
            <w:tcMar>
              <w:left w:w="28" w:type="dxa"/>
              <w:right w:w="28" w:type="dxa"/>
            </w:tcMar>
            <w:vAlign w:val="center"/>
          </w:tcPr>
          <w:p w:rsidR="00B41485" w:rsidRPr="003D6709" w:rsidRDefault="00B41485" w:rsidP="0034144F">
            <w:pPr>
              <w:pStyle w:val="TableText"/>
              <w:jc w:val="center"/>
              <w:rPr>
                <w:iCs/>
              </w:rPr>
            </w:pPr>
            <w:r w:rsidRPr="003D6709">
              <w:rPr>
                <w:iCs/>
              </w:rPr>
              <w:t>NR</w:t>
            </w:r>
          </w:p>
        </w:tc>
        <w:tc>
          <w:tcPr>
            <w:tcW w:w="865" w:type="pct"/>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550" w:type="pct"/>
            <w:shd w:val="clear" w:color="auto" w:fill="auto"/>
            <w:tcMar>
              <w:left w:w="28" w:type="dxa"/>
              <w:right w:w="28" w:type="dxa"/>
            </w:tcMar>
            <w:vAlign w:val="center"/>
          </w:tcPr>
          <w:p w:rsidR="00B41485" w:rsidRPr="003D6709" w:rsidRDefault="00B41485" w:rsidP="0034144F">
            <w:pPr>
              <w:pStyle w:val="TableText"/>
              <w:jc w:val="center"/>
            </w:pPr>
            <w:r w:rsidRPr="003D6709">
              <w:t>-</w:t>
            </w:r>
          </w:p>
        </w:tc>
        <w:tc>
          <w:tcPr>
            <w:tcW w:w="758" w:type="pct"/>
            <w:shd w:val="clear" w:color="auto" w:fill="auto"/>
            <w:tcMar>
              <w:left w:w="28" w:type="dxa"/>
              <w:right w:w="28" w:type="dxa"/>
            </w:tcMar>
            <w:vAlign w:val="center"/>
          </w:tcPr>
          <w:p w:rsidR="00B41485" w:rsidRPr="003D6709" w:rsidRDefault="00B41485" w:rsidP="0034144F">
            <w:pPr>
              <w:pStyle w:val="TableText"/>
              <w:jc w:val="center"/>
              <w:rPr>
                <w:b/>
              </w:rPr>
            </w:pPr>
            <w:r w:rsidRPr="003D6709">
              <w:rPr>
                <w:b/>
              </w:rPr>
              <w:t>0.48 (0.25, 0.90)</w:t>
            </w:r>
          </w:p>
        </w:tc>
      </w:tr>
      <w:tr w:rsidR="00B41485" w:rsidRPr="003D6709" w:rsidTr="002A4FB3">
        <w:tc>
          <w:tcPr>
            <w:tcW w:w="705" w:type="pct"/>
            <w:vMerge w:val="restart"/>
            <w:tcMar>
              <w:left w:w="28" w:type="dxa"/>
              <w:right w:w="28" w:type="dxa"/>
            </w:tcMar>
            <w:vAlign w:val="center"/>
          </w:tcPr>
          <w:p w:rsidR="00B41485" w:rsidRPr="003D6709" w:rsidRDefault="00B41485" w:rsidP="0034144F">
            <w:pPr>
              <w:pStyle w:val="TableText"/>
            </w:pPr>
            <w:r w:rsidRPr="003D6709">
              <w:t xml:space="preserve">HELIOS </w:t>
            </w:r>
          </w:p>
          <w:p w:rsidR="00B41485" w:rsidRPr="003D6709" w:rsidRDefault="00B41485" w:rsidP="0034144F">
            <w:pPr>
              <w:pStyle w:val="TableText"/>
            </w:pPr>
            <w:r w:rsidRPr="003D6709">
              <w:t>(34.8 months)</w:t>
            </w:r>
          </w:p>
        </w:tc>
        <w:tc>
          <w:tcPr>
            <w:tcW w:w="1258" w:type="pct"/>
            <w:shd w:val="clear" w:color="auto" w:fill="auto"/>
            <w:tcMar>
              <w:left w:w="28" w:type="dxa"/>
              <w:right w:w="28" w:type="dxa"/>
            </w:tcMar>
            <w:vAlign w:val="center"/>
          </w:tcPr>
          <w:p w:rsidR="00B41485" w:rsidRPr="003D6709" w:rsidRDefault="00B41485" w:rsidP="0034144F">
            <w:pPr>
              <w:pStyle w:val="TableText"/>
            </w:pPr>
            <w:r w:rsidRPr="003D6709">
              <w:t>Deaths, n/N (%)</w:t>
            </w:r>
          </w:p>
        </w:tc>
        <w:tc>
          <w:tcPr>
            <w:tcW w:w="864" w:type="pct"/>
            <w:shd w:val="clear" w:color="auto" w:fill="auto"/>
            <w:tcMar>
              <w:left w:w="28" w:type="dxa"/>
              <w:right w:w="28" w:type="dxa"/>
            </w:tcMar>
            <w:vAlign w:val="center"/>
          </w:tcPr>
          <w:p w:rsidR="00B41485" w:rsidRPr="003D6709" w:rsidRDefault="00B41485" w:rsidP="0034144F">
            <w:pPr>
              <w:pStyle w:val="TableText"/>
              <w:jc w:val="center"/>
              <w:rPr>
                <w:iCs/>
              </w:rPr>
            </w:pPr>
            <w:r w:rsidRPr="003D6709">
              <w:rPr>
                <w:iCs/>
              </w:rPr>
              <w:t>NR</w:t>
            </w:r>
          </w:p>
        </w:tc>
        <w:tc>
          <w:tcPr>
            <w:tcW w:w="865" w:type="pct"/>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550" w:type="pct"/>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758" w:type="pct"/>
            <w:shd w:val="clear" w:color="auto" w:fill="auto"/>
            <w:tcMar>
              <w:left w:w="28" w:type="dxa"/>
              <w:right w:w="28" w:type="dxa"/>
            </w:tcMar>
            <w:vAlign w:val="center"/>
          </w:tcPr>
          <w:p w:rsidR="00B41485" w:rsidRPr="003D6709" w:rsidRDefault="00B41485" w:rsidP="0034144F">
            <w:pPr>
              <w:pStyle w:val="TableText"/>
              <w:jc w:val="center"/>
              <w:rPr>
                <w:b/>
              </w:rPr>
            </w:pPr>
            <w:r w:rsidRPr="003D6709">
              <w:rPr>
                <w:b/>
              </w:rPr>
              <w:t>-</w:t>
            </w:r>
          </w:p>
        </w:tc>
      </w:tr>
      <w:tr w:rsidR="00B41485" w:rsidRPr="003D6709" w:rsidTr="002A4FB3">
        <w:tc>
          <w:tcPr>
            <w:tcW w:w="705" w:type="pct"/>
            <w:vMerge/>
            <w:tcMar>
              <w:left w:w="28" w:type="dxa"/>
              <w:right w:w="28" w:type="dxa"/>
            </w:tcMar>
            <w:vAlign w:val="center"/>
          </w:tcPr>
          <w:p w:rsidR="00B41485" w:rsidRPr="003D6709" w:rsidRDefault="00B41485" w:rsidP="0034144F">
            <w:pPr>
              <w:pStyle w:val="TableText"/>
              <w:jc w:val="center"/>
            </w:pPr>
          </w:p>
        </w:tc>
        <w:tc>
          <w:tcPr>
            <w:tcW w:w="1258" w:type="pct"/>
            <w:shd w:val="clear" w:color="auto" w:fill="auto"/>
            <w:tcMar>
              <w:left w:w="28" w:type="dxa"/>
              <w:right w:w="28" w:type="dxa"/>
            </w:tcMar>
            <w:vAlign w:val="center"/>
          </w:tcPr>
          <w:p w:rsidR="00B41485" w:rsidRPr="003D6709" w:rsidRDefault="00B41485" w:rsidP="0034144F">
            <w:pPr>
              <w:pStyle w:val="TableText"/>
            </w:pPr>
            <w:r w:rsidRPr="003D6709">
              <w:t>Median OS, months (95% CI)</w:t>
            </w:r>
          </w:p>
        </w:tc>
        <w:tc>
          <w:tcPr>
            <w:tcW w:w="864" w:type="pct"/>
            <w:shd w:val="clear" w:color="auto" w:fill="auto"/>
            <w:tcMar>
              <w:left w:w="28" w:type="dxa"/>
              <w:right w:w="28" w:type="dxa"/>
            </w:tcMar>
            <w:vAlign w:val="center"/>
          </w:tcPr>
          <w:p w:rsidR="00B41485" w:rsidRPr="003D6709" w:rsidRDefault="00B41485" w:rsidP="0034144F">
            <w:pPr>
              <w:pStyle w:val="TableText"/>
              <w:jc w:val="center"/>
              <w:rPr>
                <w:iCs/>
              </w:rPr>
            </w:pPr>
            <w:r w:rsidRPr="003D6709">
              <w:rPr>
                <w:iCs/>
              </w:rPr>
              <w:t>NR</w:t>
            </w:r>
          </w:p>
        </w:tc>
        <w:tc>
          <w:tcPr>
            <w:tcW w:w="865" w:type="pct"/>
            <w:shd w:val="clear" w:color="auto" w:fill="auto"/>
            <w:tcMar>
              <w:left w:w="28" w:type="dxa"/>
              <w:right w:w="28" w:type="dxa"/>
            </w:tcMar>
            <w:vAlign w:val="center"/>
          </w:tcPr>
          <w:p w:rsidR="00B41485" w:rsidRPr="003D6709" w:rsidRDefault="00B41485" w:rsidP="0034144F">
            <w:pPr>
              <w:pStyle w:val="TableText"/>
              <w:jc w:val="center"/>
            </w:pPr>
            <w:r w:rsidRPr="003D6709">
              <w:t>NR</w:t>
            </w:r>
          </w:p>
        </w:tc>
        <w:tc>
          <w:tcPr>
            <w:tcW w:w="550" w:type="pct"/>
            <w:shd w:val="clear" w:color="auto" w:fill="auto"/>
            <w:tcMar>
              <w:left w:w="28" w:type="dxa"/>
              <w:right w:w="28" w:type="dxa"/>
            </w:tcMar>
            <w:vAlign w:val="center"/>
          </w:tcPr>
          <w:p w:rsidR="00B41485" w:rsidRPr="003D6709" w:rsidRDefault="00B41485" w:rsidP="0034144F">
            <w:pPr>
              <w:pStyle w:val="TableText"/>
              <w:jc w:val="center"/>
            </w:pPr>
            <w:r w:rsidRPr="003D6709">
              <w:t>-</w:t>
            </w:r>
          </w:p>
        </w:tc>
        <w:tc>
          <w:tcPr>
            <w:tcW w:w="758" w:type="pct"/>
            <w:shd w:val="clear" w:color="auto" w:fill="auto"/>
            <w:tcMar>
              <w:left w:w="28" w:type="dxa"/>
              <w:right w:w="28" w:type="dxa"/>
            </w:tcMar>
            <w:vAlign w:val="center"/>
          </w:tcPr>
          <w:p w:rsidR="00B41485" w:rsidRPr="003D6709" w:rsidRDefault="00B41485" w:rsidP="0034144F">
            <w:pPr>
              <w:pStyle w:val="TableText"/>
              <w:jc w:val="center"/>
              <w:rPr>
                <w:b/>
              </w:rPr>
            </w:pPr>
            <w:r w:rsidRPr="003D6709">
              <w:rPr>
                <w:b/>
              </w:rPr>
              <w:t>0.50 (0.30, 0.85)</w:t>
            </w:r>
          </w:p>
        </w:tc>
      </w:tr>
      <w:tr w:rsidR="00B41485" w:rsidRPr="003D6709" w:rsidTr="002A4FB3">
        <w:tc>
          <w:tcPr>
            <w:tcW w:w="4242" w:type="pct"/>
            <w:gridSpan w:val="5"/>
            <w:tcMar>
              <w:left w:w="28" w:type="dxa"/>
              <w:right w:w="28" w:type="dxa"/>
            </w:tcMar>
            <w:vAlign w:val="center"/>
          </w:tcPr>
          <w:p w:rsidR="00B41485" w:rsidRPr="003D6709" w:rsidRDefault="00B41485" w:rsidP="00B41485">
            <w:pPr>
              <w:pStyle w:val="TableText"/>
              <w:rPr>
                <w:b/>
              </w:rPr>
            </w:pPr>
            <w:r w:rsidRPr="003D6709">
              <w:rPr>
                <w:b/>
              </w:rPr>
              <w:t>Indirect comparison ACAL (16.1 months) vs. VEN + RITU (23.8 months)</w:t>
            </w:r>
          </w:p>
        </w:tc>
        <w:tc>
          <w:tcPr>
            <w:tcW w:w="758" w:type="pct"/>
            <w:shd w:val="clear" w:color="auto" w:fill="auto"/>
            <w:tcMar>
              <w:left w:w="28" w:type="dxa"/>
              <w:right w:w="28" w:type="dxa"/>
            </w:tcMar>
          </w:tcPr>
          <w:p w:rsidR="00B41485" w:rsidRPr="003D6709" w:rsidRDefault="00B41485" w:rsidP="00B41485">
            <w:pPr>
              <w:pStyle w:val="TableText"/>
              <w:jc w:val="center"/>
            </w:pPr>
            <w:r w:rsidRPr="003D6709">
              <w:t>1.75 (0.68, 4.48)</w:t>
            </w:r>
          </w:p>
        </w:tc>
      </w:tr>
      <w:tr w:rsidR="00B41485" w:rsidRPr="003D6709" w:rsidTr="002A4FB3">
        <w:tc>
          <w:tcPr>
            <w:tcW w:w="4242" w:type="pct"/>
            <w:gridSpan w:val="5"/>
            <w:tcMar>
              <w:left w:w="28" w:type="dxa"/>
              <w:right w:w="28" w:type="dxa"/>
            </w:tcMar>
            <w:vAlign w:val="center"/>
          </w:tcPr>
          <w:p w:rsidR="00B41485" w:rsidRPr="003D6709" w:rsidRDefault="00B41485" w:rsidP="00B41485">
            <w:pPr>
              <w:pStyle w:val="TableText"/>
              <w:rPr>
                <w:b/>
              </w:rPr>
            </w:pPr>
            <w:r w:rsidRPr="003D6709">
              <w:rPr>
                <w:b/>
              </w:rPr>
              <w:t>Indirect comparison ACAL (16.1 months) vs VEN + RITU (34.8 months)</w:t>
            </w:r>
          </w:p>
        </w:tc>
        <w:tc>
          <w:tcPr>
            <w:tcW w:w="758" w:type="pct"/>
            <w:shd w:val="clear" w:color="auto" w:fill="auto"/>
            <w:tcMar>
              <w:left w:w="28" w:type="dxa"/>
              <w:right w:w="28" w:type="dxa"/>
            </w:tcMar>
          </w:tcPr>
          <w:p w:rsidR="00B41485" w:rsidRPr="003D6709" w:rsidRDefault="00B41485" w:rsidP="00B41485">
            <w:pPr>
              <w:pStyle w:val="TableText"/>
              <w:jc w:val="center"/>
            </w:pPr>
            <w:r w:rsidRPr="003D6709">
              <w:t>1.68 (0.71, 3.98)</w:t>
            </w:r>
          </w:p>
        </w:tc>
      </w:tr>
    </w:tbl>
    <w:p w:rsidR="00371008" w:rsidRPr="003D6709" w:rsidRDefault="00371008" w:rsidP="00371008">
      <w:pPr>
        <w:pStyle w:val="TableFigureFooter"/>
      </w:pPr>
      <w:r w:rsidRPr="003D6709">
        <w:t>Source: Table 5.6.10, p.32 of ‘</w:t>
      </w:r>
      <w:proofErr w:type="spellStart"/>
      <w:r w:rsidRPr="003D6709">
        <w:t>Acalabrutinib_RR</w:t>
      </w:r>
      <w:proofErr w:type="spellEnd"/>
      <w:r w:rsidRPr="003D6709">
        <w:t xml:space="preserve"> CLL_PBAC Appendix 1_supplementary analyses’ document.</w:t>
      </w:r>
    </w:p>
    <w:p w:rsidR="00371008" w:rsidRPr="003D6709" w:rsidRDefault="00371008" w:rsidP="00371008">
      <w:pPr>
        <w:pStyle w:val="TableFigureFooter"/>
      </w:pPr>
      <w:r w:rsidRPr="003D6709">
        <w:t xml:space="preserve">Abbreviations: ACAL, acalabrutinib; BEN, bendamustine; CI, confidence interval; HR, hazard ratio; IDEL, idelalisib; </w:t>
      </w:r>
      <w:r w:rsidR="0059462D" w:rsidRPr="003D6709">
        <w:t xml:space="preserve">NE, not estimable; NR, not reported; </w:t>
      </w:r>
      <w:r w:rsidRPr="003D6709">
        <w:t>OS, overall survival; RITU, rituximab; VEN, venetoclax.</w:t>
      </w:r>
    </w:p>
    <w:p w:rsidR="00371008" w:rsidRPr="003D6709" w:rsidRDefault="00371008" w:rsidP="00371008">
      <w:pPr>
        <w:pStyle w:val="TableFigureFooter"/>
      </w:pPr>
      <w:r w:rsidRPr="003D6709">
        <w:t>Bolded result indicates statistically significant difference.</w:t>
      </w:r>
    </w:p>
    <w:p w:rsidR="00371008" w:rsidRPr="003D6709" w:rsidRDefault="00371008" w:rsidP="0095347C">
      <w:pPr>
        <w:pStyle w:val="ExecSumBodyText"/>
        <w:rPr>
          <w:color w:val="0066FF"/>
        </w:rPr>
      </w:pPr>
      <w:r w:rsidRPr="003D6709">
        <w:t>Based on the res</w:t>
      </w:r>
      <w:r w:rsidR="0095347C" w:rsidRPr="003D6709">
        <w:t xml:space="preserve">ults of the indirect comparison, treatment with venetoclax plus rituximab was associated with a longer duration of overall survival compared to acalabrutinib, </w:t>
      </w:r>
      <w:r w:rsidR="0012144B" w:rsidRPr="003D6709">
        <w:t>although</w:t>
      </w:r>
      <w:r w:rsidR="0095347C" w:rsidRPr="003D6709">
        <w:t xml:space="preserve"> the difference was not statistically significant </w:t>
      </w:r>
      <w:r w:rsidRPr="003D6709">
        <w:t>for the 23.8-month (HR</w:t>
      </w:r>
      <w:r w:rsidR="00084A99" w:rsidRPr="003D6709">
        <w:t xml:space="preserve"> =</w:t>
      </w:r>
      <w:r w:rsidRPr="003D6709">
        <w:t xml:space="preserve"> 1.75; 95% CI: 0.68, 4.48) or 34.8-month comparisons (HR</w:t>
      </w:r>
      <w:r w:rsidR="00084A99" w:rsidRPr="003D6709">
        <w:t xml:space="preserve"> =</w:t>
      </w:r>
      <w:r w:rsidRPr="003D6709">
        <w:t xml:space="preserve"> 1.68; 95% CI: 0.71, 3.98). </w:t>
      </w:r>
      <w:r w:rsidR="0095347C" w:rsidRPr="003D6709">
        <w:t>T</w:t>
      </w:r>
      <w:r w:rsidRPr="003D6709">
        <w:t xml:space="preserve">he </w:t>
      </w:r>
      <w:r w:rsidR="00703648" w:rsidRPr="003D6709">
        <w:t xml:space="preserve">PBAC noted that the </w:t>
      </w:r>
      <w:r w:rsidRPr="003D6709">
        <w:t>results should be interpreted with caution due to diffe</w:t>
      </w:r>
      <w:r w:rsidR="0095347C" w:rsidRPr="003D6709">
        <w:t xml:space="preserve">rences in the trial populations, </w:t>
      </w:r>
      <w:r w:rsidRPr="003D6709">
        <w:t>common reference arms</w:t>
      </w:r>
      <w:r w:rsidR="0095347C" w:rsidRPr="003D6709">
        <w:t xml:space="preserve"> and follow-up </w:t>
      </w:r>
      <w:r w:rsidR="0095347C" w:rsidRPr="003D6709">
        <w:lastRenderedPageBreak/>
        <w:t xml:space="preserve">durations. The reported overall survival results were likely to be affected by patient crossover and the differential use of post-progression treatments. </w:t>
      </w:r>
    </w:p>
    <w:p w:rsidR="00B60939" w:rsidRPr="003D6709" w:rsidRDefault="00B60939" w:rsidP="00D86231">
      <w:pPr>
        <w:pStyle w:val="3-SubsectionHeading"/>
      </w:pPr>
      <w:bookmarkStart w:id="30" w:name="_Toc22897642"/>
      <w:bookmarkStart w:id="31" w:name="_Toc30588523"/>
      <w:r w:rsidRPr="003D6709">
        <w:t>Comparative harms</w:t>
      </w:r>
      <w:bookmarkEnd w:id="30"/>
      <w:bookmarkEnd w:id="31"/>
    </w:p>
    <w:p w:rsidR="00777EEB" w:rsidRPr="003D6709" w:rsidRDefault="008F2DBD" w:rsidP="00777EEB">
      <w:pPr>
        <w:pStyle w:val="ExecSumBodyText"/>
      </w:pPr>
      <w:r w:rsidRPr="003D6709">
        <w:t>There wa</w:t>
      </w:r>
      <w:r w:rsidR="00E51A8D" w:rsidRPr="003D6709">
        <w:t xml:space="preserve">s limited long-term efficacy and safety data for acalabrutinib. Results presented in the submission were based on an interim analysis of the ASCEND trial, with a median duration of follow-up of 16 months. </w:t>
      </w:r>
      <w:r w:rsidR="000B501B" w:rsidRPr="003D6709">
        <w:t xml:space="preserve">Table 12 </w:t>
      </w:r>
      <w:r w:rsidR="0095347C" w:rsidRPr="003D6709">
        <w:t>presents</w:t>
      </w:r>
      <w:r w:rsidR="00777EEB" w:rsidRPr="003D6709">
        <w:t xml:space="preserve"> the results of safety outcomes for the ASCEND trial at the interim analysis.</w:t>
      </w:r>
    </w:p>
    <w:p w:rsidR="00777EEB" w:rsidRPr="003D6709" w:rsidRDefault="000B501B" w:rsidP="00EF69E3">
      <w:pPr>
        <w:pStyle w:val="TableHeading"/>
      </w:pPr>
      <w:bookmarkStart w:id="32" w:name="_Ref33454073"/>
      <w:r w:rsidRPr="003D6709">
        <w:lastRenderedPageBreak/>
        <w:t>Table 12</w:t>
      </w:r>
      <w:bookmarkEnd w:id="32"/>
      <w:r w:rsidR="00777EEB" w:rsidRPr="003D6709">
        <w:t xml:space="preserve">: Summary of </w:t>
      </w:r>
      <w:r w:rsidR="0012144B" w:rsidRPr="003D6709">
        <w:t>safety outcomes</w:t>
      </w:r>
      <w:r w:rsidR="00777EEB" w:rsidRPr="003D6709">
        <w:t xml:space="preserve"> for the ASCEND trial at the interim analysis</w:t>
      </w:r>
    </w:p>
    <w:tbl>
      <w:tblPr>
        <w:tblStyle w:val="Summarybox1"/>
        <w:tblW w:w="5000" w:type="pct"/>
        <w:tblLook w:val="04A0" w:firstRow="1" w:lastRow="0" w:firstColumn="1" w:lastColumn="0" w:noHBand="0" w:noVBand="1"/>
        <w:tblCaption w:val="Table 12: Summary of safety outcomes for the ASCEND trial at the interim analysis"/>
      </w:tblPr>
      <w:tblGrid>
        <w:gridCol w:w="3823"/>
        <w:gridCol w:w="1845"/>
        <w:gridCol w:w="1702"/>
        <w:gridCol w:w="1647"/>
      </w:tblGrid>
      <w:tr w:rsidR="00777EEB" w:rsidRPr="003D6709" w:rsidTr="002A4FB3">
        <w:trPr>
          <w:tblHeader/>
        </w:trPr>
        <w:tc>
          <w:tcPr>
            <w:tcW w:w="2120" w:type="pct"/>
            <w:tcBorders>
              <w:bottom w:val="single" w:sz="4" w:space="0" w:color="auto"/>
            </w:tcBorders>
          </w:tcPr>
          <w:p w:rsidR="00777EEB" w:rsidRPr="003D6709" w:rsidRDefault="00777EEB" w:rsidP="00EF69E3">
            <w:pPr>
              <w:keepNext/>
              <w:rPr>
                <w:rFonts w:ascii="Arial Narrow" w:hAnsi="Arial Narrow"/>
                <w:sz w:val="20"/>
                <w:szCs w:val="20"/>
              </w:rPr>
            </w:pPr>
          </w:p>
        </w:tc>
        <w:tc>
          <w:tcPr>
            <w:tcW w:w="1023" w:type="pct"/>
            <w:tcBorders>
              <w:bottom w:val="single" w:sz="4" w:space="0" w:color="auto"/>
            </w:tcBorders>
            <w:vAlign w:val="center"/>
          </w:tcPr>
          <w:p w:rsidR="00777EEB" w:rsidRPr="003D6709" w:rsidRDefault="00777EEB" w:rsidP="00EF69E3">
            <w:pPr>
              <w:keepNext/>
              <w:jc w:val="center"/>
              <w:rPr>
                <w:rFonts w:ascii="Arial Narrow" w:hAnsi="Arial Narrow"/>
                <w:b/>
                <w:iCs/>
                <w:sz w:val="20"/>
                <w:szCs w:val="20"/>
              </w:rPr>
            </w:pPr>
            <w:r w:rsidRPr="003D6709">
              <w:rPr>
                <w:rFonts w:ascii="Arial Narrow" w:hAnsi="Arial Narrow"/>
                <w:b/>
                <w:iCs/>
                <w:sz w:val="20"/>
                <w:szCs w:val="20"/>
              </w:rPr>
              <w:t xml:space="preserve">ACAL </w:t>
            </w:r>
          </w:p>
          <w:p w:rsidR="00777EEB" w:rsidRPr="003D6709" w:rsidRDefault="00777EEB" w:rsidP="00EF69E3">
            <w:pPr>
              <w:keepNext/>
              <w:jc w:val="center"/>
              <w:rPr>
                <w:rFonts w:ascii="Arial Narrow" w:hAnsi="Arial Narrow"/>
                <w:b/>
                <w:sz w:val="20"/>
                <w:szCs w:val="20"/>
              </w:rPr>
            </w:pPr>
            <w:r w:rsidRPr="003D6709">
              <w:rPr>
                <w:rFonts w:ascii="Arial Narrow" w:hAnsi="Arial Narrow"/>
                <w:b/>
                <w:iCs/>
                <w:sz w:val="20"/>
                <w:szCs w:val="20"/>
              </w:rPr>
              <w:t>N=155</w:t>
            </w:r>
          </w:p>
        </w:tc>
        <w:tc>
          <w:tcPr>
            <w:tcW w:w="944" w:type="pct"/>
            <w:tcBorders>
              <w:bottom w:val="single" w:sz="4" w:space="0" w:color="auto"/>
            </w:tcBorders>
            <w:vAlign w:val="center"/>
          </w:tcPr>
          <w:p w:rsidR="00777EEB" w:rsidRPr="003D6709" w:rsidRDefault="00777EEB" w:rsidP="00EF69E3">
            <w:pPr>
              <w:keepNext/>
              <w:jc w:val="center"/>
              <w:rPr>
                <w:rFonts w:ascii="Arial Narrow" w:hAnsi="Arial Narrow"/>
                <w:b/>
                <w:sz w:val="20"/>
                <w:szCs w:val="20"/>
              </w:rPr>
            </w:pPr>
            <w:r w:rsidRPr="003D6709">
              <w:rPr>
                <w:rFonts w:ascii="Arial Narrow" w:hAnsi="Arial Narrow"/>
                <w:b/>
                <w:sz w:val="20"/>
                <w:szCs w:val="20"/>
              </w:rPr>
              <w:t>IDEL + RITU</w:t>
            </w:r>
          </w:p>
          <w:p w:rsidR="00777EEB" w:rsidRPr="003D6709" w:rsidRDefault="00777EEB" w:rsidP="00EF69E3">
            <w:pPr>
              <w:keepNext/>
              <w:jc w:val="center"/>
              <w:rPr>
                <w:rFonts w:ascii="Arial Narrow" w:hAnsi="Arial Narrow"/>
                <w:b/>
                <w:sz w:val="20"/>
                <w:szCs w:val="20"/>
              </w:rPr>
            </w:pPr>
            <w:r w:rsidRPr="003D6709">
              <w:rPr>
                <w:rFonts w:ascii="Arial Narrow" w:hAnsi="Arial Narrow"/>
                <w:b/>
                <w:sz w:val="20"/>
                <w:szCs w:val="20"/>
              </w:rPr>
              <w:t>N=118</w:t>
            </w:r>
          </w:p>
        </w:tc>
        <w:tc>
          <w:tcPr>
            <w:tcW w:w="913" w:type="pct"/>
            <w:tcBorders>
              <w:bottom w:val="single" w:sz="4" w:space="0" w:color="auto"/>
            </w:tcBorders>
            <w:vAlign w:val="center"/>
          </w:tcPr>
          <w:p w:rsidR="00777EEB" w:rsidRPr="003D6709" w:rsidRDefault="00777EEB" w:rsidP="00EF69E3">
            <w:pPr>
              <w:keepNext/>
              <w:jc w:val="center"/>
              <w:rPr>
                <w:rFonts w:ascii="Arial Narrow" w:hAnsi="Arial Narrow"/>
                <w:b/>
                <w:sz w:val="20"/>
                <w:szCs w:val="20"/>
              </w:rPr>
            </w:pPr>
            <w:r w:rsidRPr="003D6709">
              <w:rPr>
                <w:rFonts w:ascii="Arial Narrow" w:hAnsi="Arial Narrow"/>
                <w:b/>
                <w:sz w:val="20"/>
                <w:szCs w:val="20"/>
              </w:rPr>
              <w:t>BEN + RITU</w:t>
            </w:r>
          </w:p>
          <w:p w:rsidR="00777EEB" w:rsidRPr="003D6709" w:rsidRDefault="00777EEB" w:rsidP="00EF69E3">
            <w:pPr>
              <w:keepNext/>
              <w:jc w:val="center"/>
              <w:rPr>
                <w:rFonts w:ascii="Arial Narrow" w:hAnsi="Arial Narrow"/>
                <w:b/>
                <w:sz w:val="20"/>
                <w:szCs w:val="20"/>
              </w:rPr>
            </w:pPr>
            <w:r w:rsidRPr="003D6709">
              <w:rPr>
                <w:rFonts w:ascii="Arial Narrow" w:hAnsi="Arial Narrow"/>
                <w:b/>
                <w:sz w:val="20"/>
                <w:szCs w:val="20"/>
              </w:rPr>
              <w:t>N=35</w:t>
            </w:r>
          </w:p>
        </w:tc>
      </w:tr>
      <w:tr w:rsidR="00777EEB" w:rsidRPr="003D6709" w:rsidTr="002A4FB3">
        <w:tc>
          <w:tcPr>
            <w:tcW w:w="2120" w:type="pct"/>
            <w:tcBorders>
              <w:top w:val="single" w:sz="4" w:space="0" w:color="auto"/>
            </w:tcBorders>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Median duration of follow-up, months (range)</w:t>
            </w:r>
          </w:p>
        </w:tc>
        <w:tc>
          <w:tcPr>
            <w:tcW w:w="1023" w:type="pct"/>
            <w:tcBorders>
              <w:top w:val="single" w:sz="4" w:space="0" w:color="auto"/>
            </w:tcBorders>
            <w:vAlign w:val="center"/>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16.1 (0.53–22.41)</w:t>
            </w:r>
          </w:p>
        </w:tc>
        <w:tc>
          <w:tcPr>
            <w:tcW w:w="1857" w:type="pct"/>
            <w:gridSpan w:val="2"/>
            <w:tcBorders>
              <w:top w:val="single" w:sz="4" w:space="0" w:color="auto"/>
            </w:tcBorders>
            <w:vAlign w:val="center"/>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15.74 (0.03–22.05)</w:t>
            </w:r>
          </w:p>
        </w:tc>
      </w:tr>
      <w:tr w:rsidR="00777EEB" w:rsidRPr="003D6709" w:rsidTr="002A4FB3">
        <w:tc>
          <w:tcPr>
            <w:tcW w:w="2120" w:type="pct"/>
            <w:tcBorders>
              <w:top w:val="single" w:sz="4" w:space="0" w:color="auto"/>
            </w:tcBorders>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Grade 3 or 4 AE, n (%)</w:t>
            </w:r>
          </w:p>
        </w:tc>
        <w:tc>
          <w:tcPr>
            <w:tcW w:w="1023" w:type="pct"/>
            <w:tcBorders>
              <w:top w:val="single" w:sz="4" w:space="0" w:color="auto"/>
            </w:tcBorders>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70 (45.5</w:t>
            </w:r>
            <w:r w:rsidR="00C960D6" w:rsidRPr="003D6709">
              <w:rPr>
                <w:rFonts w:ascii="Arial Narrow" w:hAnsi="Arial Narrow"/>
                <w:sz w:val="20"/>
                <w:szCs w:val="20"/>
              </w:rPr>
              <w:t>%</w:t>
            </w:r>
            <w:r w:rsidRPr="003D6709">
              <w:rPr>
                <w:rFonts w:ascii="Arial Narrow" w:hAnsi="Arial Narrow"/>
                <w:sz w:val="20"/>
                <w:szCs w:val="20"/>
              </w:rPr>
              <w:t>)</w:t>
            </w:r>
          </w:p>
        </w:tc>
        <w:tc>
          <w:tcPr>
            <w:tcW w:w="944" w:type="pct"/>
            <w:tcBorders>
              <w:top w:val="single" w:sz="4" w:space="0" w:color="auto"/>
            </w:tcBorders>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101 (65.6</w:t>
            </w:r>
            <w:r w:rsidR="00C960D6" w:rsidRPr="003D6709">
              <w:rPr>
                <w:rFonts w:ascii="Arial Narrow" w:hAnsi="Arial Narrow"/>
                <w:sz w:val="20"/>
                <w:szCs w:val="20"/>
              </w:rPr>
              <w:t>%</w:t>
            </w:r>
            <w:r w:rsidRPr="003D6709">
              <w:rPr>
                <w:rFonts w:ascii="Arial Narrow" w:hAnsi="Arial Narrow"/>
                <w:sz w:val="20"/>
                <w:szCs w:val="20"/>
              </w:rPr>
              <w:t>)</w:t>
            </w:r>
          </w:p>
        </w:tc>
        <w:tc>
          <w:tcPr>
            <w:tcW w:w="913" w:type="pct"/>
            <w:tcBorders>
              <w:top w:val="single" w:sz="4" w:space="0" w:color="auto"/>
            </w:tcBorders>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15 (</w:t>
            </w:r>
            <w:r w:rsidR="00B30096" w:rsidRPr="003D6709">
              <w:rPr>
                <w:rFonts w:ascii="Arial Narrow" w:hAnsi="Arial Narrow"/>
                <w:sz w:val="20"/>
                <w:szCs w:val="20"/>
              </w:rPr>
              <w:t>42.9</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c>
          <w:tcPr>
            <w:tcW w:w="2120" w:type="pct"/>
            <w:tcBorders>
              <w:top w:val="single" w:sz="4" w:space="0" w:color="auto"/>
            </w:tcBorders>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Serious AE, n (%)</w:t>
            </w:r>
          </w:p>
        </w:tc>
        <w:tc>
          <w:tcPr>
            <w:tcW w:w="1023" w:type="pct"/>
            <w:tcBorders>
              <w:top w:val="single" w:sz="4" w:space="0" w:color="auto"/>
            </w:tcBorders>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44 (28.6</w:t>
            </w:r>
            <w:r w:rsidR="00C960D6" w:rsidRPr="003D6709">
              <w:rPr>
                <w:rFonts w:ascii="Arial Narrow" w:hAnsi="Arial Narrow"/>
                <w:sz w:val="20"/>
                <w:szCs w:val="20"/>
              </w:rPr>
              <w:t>%</w:t>
            </w:r>
            <w:r w:rsidRPr="003D6709">
              <w:rPr>
                <w:rFonts w:ascii="Arial Narrow" w:hAnsi="Arial Narrow"/>
                <w:sz w:val="20"/>
                <w:szCs w:val="20"/>
              </w:rPr>
              <w:t>)</w:t>
            </w:r>
          </w:p>
        </w:tc>
        <w:tc>
          <w:tcPr>
            <w:tcW w:w="944" w:type="pct"/>
            <w:tcBorders>
              <w:top w:val="single" w:sz="4" w:space="0" w:color="auto"/>
            </w:tcBorders>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66 (55.9</w:t>
            </w:r>
            <w:r w:rsidR="00C960D6" w:rsidRPr="003D6709">
              <w:rPr>
                <w:rFonts w:ascii="Arial Narrow" w:hAnsi="Arial Narrow"/>
                <w:sz w:val="20"/>
                <w:szCs w:val="20"/>
              </w:rPr>
              <w:t>%</w:t>
            </w:r>
            <w:r w:rsidRPr="003D6709">
              <w:rPr>
                <w:rFonts w:ascii="Arial Narrow" w:hAnsi="Arial Narrow"/>
                <w:sz w:val="20"/>
                <w:szCs w:val="20"/>
              </w:rPr>
              <w:t>)</w:t>
            </w:r>
          </w:p>
        </w:tc>
        <w:tc>
          <w:tcPr>
            <w:tcW w:w="913" w:type="pct"/>
            <w:tcBorders>
              <w:top w:val="single" w:sz="4" w:space="0" w:color="auto"/>
            </w:tcBorders>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9 (25.7</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c>
          <w:tcPr>
            <w:tcW w:w="2120" w:type="pct"/>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Treatment related AE, n (%)</w:t>
            </w:r>
          </w:p>
        </w:tc>
        <w:tc>
          <w:tcPr>
            <w:tcW w:w="102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101 (65.6</w:t>
            </w:r>
            <w:r w:rsidR="00C960D6" w:rsidRPr="003D6709">
              <w:rPr>
                <w:rFonts w:ascii="Arial Narrow" w:hAnsi="Arial Narrow"/>
                <w:sz w:val="20"/>
                <w:szCs w:val="20"/>
              </w:rPr>
              <w:t>%</w:t>
            </w:r>
            <w:r w:rsidRPr="003D6709">
              <w:rPr>
                <w:rFonts w:ascii="Arial Narrow" w:hAnsi="Arial Narrow"/>
                <w:sz w:val="20"/>
                <w:szCs w:val="20"/>
              </w:rPr>
              <w:t xml:space="preserve">) </w:t>
            </w:r>
          </w:p>
        </w:tc>
        <w:tc>
          <w:tcPr>
            <w:tcW w:w="944"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111 (94.1</w:t>
            </w:r>
            <w:r w:rsidR="00C960D6" w:rsidRPr="003D6709">
              <w:rPr>
                <w:rFonts w:ascii="Arial Narrow" w:hAnsi="Arial Narrow"/>
                <w:sz w:val="20"/>
                <w:szCs w:val="20"/>
              </w:rPr>
              <w:t>%</w:t>
            </w:r>
            <w:r w:rsidRPr="003D6709">
              <w:rPr>
                <w:rFonts w:ascii="Arial Narrow" w:hAnsi="Arial Narrow"/>
                <w:sz w:val="20"/>
                <w:szCs w:val="20"/>
              </w:rPr>
              <w:t>)</w:t>
            </w:r>
          </w:p>
        </w:tc>
        <w:tc>
          <w:tcPr>
            <w:tcW w:w="91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24 (68.6</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c>
          <w:tcPr>
            <w:tcW w:w="2120" w:type="pct"/>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Discontinuation due to AE, n (%)</w:t>
            </w:r>
          </w:p>
        </w:tc>
        <w:tc>
          <w:tcPr>
            <w:tcW w:w="102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16 (10.4</w:t>
            </w:r>
            <w:r w:rsidR="00C960D6" w:rsidRPr="003D6709">
              <w:rPr>
                <w:rFonts w:ascii="Arial Narrow" w:hAnsi="Arial Narrow"/>
                <w:sz w:val="20"/>
                <w:szCs w:val="20"/>
              </w:rPr>
              <w:t>%</w:t>
            </w:r>
            <w:r w:rsidRPr="003D6709">
              <w:rPr>
                <w:rFonts w:ascii="Arial Narrow" w:hAnsi="Arial Narrow"/>
                <w:sz w:val="20"/>
                <w:szCs w:val="20"/>
              </w:rPr>
              <w:t>)</w:t>
            </w:r>
          </w:p>
        </w:tc>
        <w:tc>
          <w:tcPr>
            <w:tcW w:w="944"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62 (52.5</w:t>
            </w:r>
            <w:r w:rsidR="00C960D6" w:rsidRPr="003D6709">
              <w:rPr>
                <w:rFonts w:ascii="Arial Narrow" w:hAnsi="Arial Narrow"/>
                <w:sz w:val="20"/>
                <w:szCs w:val="20"/>
              </w:rPr>
              <w:t>%</w:t>
            </w:r>
            <w:r w:rsidRPr="003D6709">
              <w:rPr>
                <w:rFonts w:ascii="Arial Narrow" w:hAnsi="Arial Narrow"/>
                <w:sz w:val="20"/>
                <w:szCs w:val="20"/>
              </w:rPr>
              <w:t>)</w:t>
            </w:r>
          </w:p>
        </w:tc>
        <w:tc>
          <w:tcPr>
            <w:tcW w:w="91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 (17.1</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c>
          <w:tcPr>
            <w:tcW w:w="2120" w:type="pct"/>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AE leading to death, n (%)</w:t>
            </w:r>
          </w:p>
        </w:tc>
        <w:tc>
          <w:tcPr>
            <w:tcW w:w="102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 (3.9</w:t>
            </w:r>
            <w:r w:rsidR="00C960D6" w:rsidRPr="003D6709">
              <w:rPr>
                <w:rFonts w:ascii="Arial Narrow" w:hAnsi="Arial Narrow"/>
                <w:sz w:val="20"/>
                <w:szCs w:val="20"/>
              </w:rPr>
              <w:t>%</w:t>
            </w:r>
            <w:r w:rsidRPr="003D6709">
              <w:rPr>
                <w:rFonts w:ascii="Arial Narrow" w:hAnsi="Arial Narrow"/>
                <w:sz w:val="20"/>
                <w:szCs w:val="20"/>
              </w:rPr>
              <w:t>)</w:t>
            </w:r>
          </w:p>
        </w:tc>
        <w:tc>
          <w:tcPr>
            <w:tcW w:w="944"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5 (4.2</w:t>
            </w:r>
            <w:r w:rsidR="00C960D6" w:rsidRPr="003D6709">
              <w:rPr>
                <w:rFonts w:ascii="Arial Narrow" w:hAnsi="Arial Narrow"/>
                <w:sz w:val="20"/>
                <w:szCs w:val="20"/>
              </w:rPr>
              <w:t>%</w:t>
            </w:r>
            <w:r w:rsidRPr="003D6709">
              <w:rPr>
                <w:rFonts w:ascii="Arial Narrow" w:hAnsi="Arial Narrow"/>
                <w:sz w:val="20"/>
                <w:szCs w:val="20"/>
              </w:rPr>
              <w:t>)</w:t>
            </w:r>
          </w:p>
        </w:tc>
        <w:tc>
          <w:tcPr>
            <w:tcW w:w="91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(5.7</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rPr>
          <w:trHeight w:val="64"/>
        </w:trPr>
        <w:tc>
          <w:tcPr>
            <w:tcW w:w="2120" w:type="pct"/>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Any AE, n (%)</w:t>
            </w:r>
          </w:p>
        </w:tc>
        <w:tc>
          <w:tcPr>
            <w:tcW w:w="102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144 (93.5</w:t>
            </w:r>
            <w:r w:rsidR="00C960D6" w:rsidRPr="003D6709">
              <w:rPr>
                <w:rFonts w:ascii="Arial Narrow" w:hAnsi="Arial Narrow"/>
                <w:sz w:val="20"/>
                <w:szCs w:val="20"/>
              </w:rPr>
              <w:t>%</w:t>
            </w:r>
            <w:r w:rsidRPr="003D6709">
              <w:rPr>
                <w:rFonts w:ascii="Arial Narrow" w:hAnsi="Arial Narrow"/>
                <w:sz w:val="20"/>
                <w:szCs w:val="20"/>
              </w:rPr>
              <w:t>)</w:t>
            </w:r>
          </w:p>
        </w:tc>
        <w:tc>
          <w:tcPr>
            <w:tcW w:w="944"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117 (99.2</w:t>
            </w:r>
            <w:r w:rsidR="00C960D6" w:rsidRPr="003D6709">
              <w:rPr>
                <w:rFonts w:ascii="Arial Narrow" w:hAnsi="Arial Narrow"/>
                <w:sz w:val="20"/>
                <w:szCs w:val="20"/>
              </w:rPr>
              <w:t>%</w:t>
            </w:r>
            <w:r w:rsidRPr="003D6709">
              <w:rPr>
                <w:rFonts w:ascii="Arial Narrow" w:hAnsi="Arial Narrow"/>
                <w:sz w:val="20"/>
                <w:szCs w:val="20"/>
              </w:rPr>
              <w:t>)</w:t>
            </w:r>
          </w:p>
        </w:tc>
        <w:tc>
          <w:tcPr>
            <w:tcW w:w="91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28 (80.0</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rPr>
          <w:trHeight w:val="3356"/>
        </w:trPr>
        <w:tc>
          <w:tcPr>
            <w:tcW w:w="2120" w:type="pct"/>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Any AE incidence &gt;10%, n (%)</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Headache</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Neutropenia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Diarrhoea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Anaemia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Cough</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Upper respiratory tract infection</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Pyrexia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Thrombocytopenia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Pneumonia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Respiratory tract infection</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Fatigue</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Nausea</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Rash</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Alanine aminotransferase increased</w:t>
            </w:r>
          </w:p>
          <w:p w:rsidR="00777EEB" w:rsidRPr="003D6709" w:rsidRDefault="00777EEB" w:rsidP="00AD6416">
            <w:pPr>
              <w:pStyle w:val="ListParagraph"/>
              <w:keepNext/>
              <w:numPr>
                <w:ilvl w:val="0"/>
                <w:numId w:val="6"/>
              </w:numPr>
              <w:ind w:left="170" w:hanging="170"/>
              <w:jc w:val="left"/>
              <w:rPr>
                <w:rFonts w:ascii="Arial Narrow" w:hAnsi="Arial Narrow"/>
                <w:sz w:val="20"/>
                <w:szCs w:val="20"/>
              </w:rPr>
            </w:pPr>
            <w:r w:rsidRPr="003D6709">
              <w:rPr>
                <w:rFonts w:ascii="Arial Narrow" w:hAnsi="Arial Narrow"/>
                <w:sz w:val="20"/>
                <w:szCs w:val="20"/>
              </w:rPr>
              <w:t>Infusion-related reaction</w:t>
            </w:r>
          </w:p>
        </w:tc>
        <w:tc>
          <w:tcPr>
            <w:tcW w:w="1023" w:type="pct"/>
          </w:tcPr>
          <w:p w:rsidR="00777EEB" w:rsidRPr="003D6709" w:rsidRDefault="00777EEB" w:rsidP="00EF69E3">
            <w:pPr>
              <w:keepNext/>
              <w:jc w:val="center"/>
              <w:rPr>
                <w:rFonts w:ascii="Arial Narrow" w:hAnsi="Arial Narrow"/>
                <w:sz w:val="20"/>
                <w:szCs w:val="20"/>
              </w:rPr>
            </w:pP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34 (22.1</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30 (19.5</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28 (18.2</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23 (14.9</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23 (14.9</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22 (14.3</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19 (12.3</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17 (11.0</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16 (10.4</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16 (10.4</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15 (9.7</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11 (7.1</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 (6.5</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(1.9</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 xml:space="preserve">0 </w:t>
            </w:r>
          </w:p>
        </w:tc>
        <w:tc>
          <w:tcPr>
            <w:tcW w:w="944" w:type="pct"/>
          </w:tcPr>
          <w:p w:rsidR="00777EEB" w:rsidRPr="003D6709" w:rsidRDefault="00777EEB" w:rsidP="00EF69E3">
            <w:pPr>
              <w:keepNext/>
              <w:jc w:val="center"/>
              <w:rPr>
                <w:rFonts w:ascii="Arial Narrow" w:hAnsi="Arial Narrow"/>
                <w:sz w:val="20"/>
                <w:szCs w:val="20"/>
              </w:rPr>
            </w:pP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7 (5.9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53 (44.9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55 (46.6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 (8.5</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18 (15.3</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17 (14.4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21 (17.8</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16 (13.6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14 (11.9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8 (6.8</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 (8.5</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15 (12.7</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16 (13.6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14 (11.9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9 (7.6</w:t>
            </w:r>
            <w:r w:rsidR="00C960D6" w:rsidRPr="003D6709">
              <w:rPr>
                <w:rFonts w:ascii="Arial Narrow" w:hAnsi="Arial Narrow"/>
                <w:sz w:val="20"/>
                <w:szCs w:val="20"/>
              </w:rPr>
              <w:t>%</w:t>
            </w:r>
            <w:r w:rsidRPr="003D6709">
              <w:rPr>
                <w:rFonts w:ascii="Arial Narrow" w:hAnsi="Arial Narrow"/>
                <w:sz w:val="20"/>
                <w:szCs w:val="20"/>
              </w:rPr>
              <w:t>)</w:t>
            </w:r>
          </w:p>
        </w:tc>
        <w:tc>
          <w:tcPr>
            <w:tcW w:w="913" w:type="pct"/>
          </w:tcPr>
          <w:p w:rsidR="00777EEB" w:rsidRPr="003D6709" w:rsidRDefault="00777EEB" w:rsidP="00EF69E3">
            <w:pPr>
              <w:keepNext/>
              <w:jc w:val="center"/>
              <w:rPr>
                <w:rFonts w:ascii="Arial Narrow" w:hAnsi="Arial Narrow"/>
                <w:sz w:val="20"/>
                <w:szCs w:val="20"/>
              </w:rPr>
            </w:pP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12 (34.3</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5 (14.3</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 (11.4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(5.7</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 (11.4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 (17.1</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5 (14.3</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(5.7</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8 (22.9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7 (20.0</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(5.7</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(8.6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8 (22.9</w:t>
            </w:r>
            <w:r w:rsidR="00C960D6" w:rsidRPr="003D6709">
              <w:rPr>
                <w:rFonts w:ascii="Arial Narrow" w:hAnsi="Arial Narrow"/>
                <w:sz w:val="20"/>
                <w:szCs w:val="20"/>
              </w:rPr>
              <w:t>%</w:t>
            </w:r>
            <w:r w:rsidRPr="003D6709">
              <w:rPr>
                <w:rFonts w:ascii="Arial Narrow" w:hAnsi="Arial Narrow"/>
                <w:sz w:val="20"/>
                <w:szCs w:val="20"/>
              </w:rPr>
              <w:t>)</w:t>
            </w:r>
          </w:p>
        </w:tc>
      </w:tr>
      <w:tr w:rsidR="00777EEB" w:rsidRPr="003D6709" w:rsidTr="002A4FB3">
        <w:trPr>
          <w:cantSplit/>
          <w:trHeight w:val="49"/>
        </w:trPr>
        <w:tc>
          <w:tcPr>
            <w:tcW w:w="2120" w:type="pct"/>
          </w:tcPr>
          <w:p w:rsidR="00777EEB" w:rsidRPr="003D6709" w:rsidRDefault="00777EEB" w:rsidP="00EF69E3">
            <w:pPr>
              <w:keepNext/>
              <w:jc w:val="left"/>
              <w:rPr>
                <w:rFonts w:ascii="Arial Narrow" w:hAnsi="Arial Narrow"/>
                <w:sz w:val="20"/>
                <w:szCs w:val="20"/>
              </w:rPr>
            </w:pPr>
            <w:r w:rsidRPr="003D6709">
              <w:rPr>
                <w:rFonts w:ascii="Arial Narrow" w:hAnsi="Arial Narrow"/>
                <w:sz w:val="20"/>
                <w:szCs w:val="20"/>
              </w:rPr>
              <w:t>Grade ≥3 AE incidence &gt;2%, n (%)</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Neutropenia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Anaemia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Pneumonia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Thrombocytopenia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Upper respiratory tract infection</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Alanine aminotransferase increased</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Diarrhoea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Neutrophil count decreased</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Aspartate aminotransferase increased</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Febrile neutropenia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Influenza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Pyrexia</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Transaminases increased</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Pneumonia pneumococcal</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Rash</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r w:rsidR="00777EEB" w:rsidRPr="003D6709">
              <w:rPr>
                <w:rFonts w:ascii="Arial Narrow" w:hAnsi="Arial Narrow"/>
                <w:sz w:val="20"/>
                <w:szCs w:val="20"/>
              </w:rPr>
              <w:t>Colitis</w:t>
            </w:r>
          </w:p>
          <w:p w:rsidR="00777EEB" w:rsidRPr="003D6709" w:rsidRDefault="008F1492" w:rsidP="00EF69E3">
            <w:pPr>
              <w:keepNext/>
              <w:jc w:val="left"/>
              <w:rPr>
                <w:rFonts w:ascii="Arial Narrow" w:hAnsi="Arial Narrow"/>
                <w:sz w:val="20"/>
                <w:szCs w:val="20"/>
              </w:rPr>
            </w:pPr>
            <w:r w:rsidRPr="003D6709">
              <w:rPr>
                <w:rFonts w:ascii="Arial Narrow" w:hAnsi="Arial Narrow"/>
                <w:sz w:val="20"/>
                <w:szCs w:val="20"/>
              </w:rPr>
              <w:t xml:space="preserve">- </w:t>
            </w:r>
            <w:proofErr w:type="spellStart"/>
            <w:r w:rsidR="00777EEB" w:rsidRPr="003D6709">
              <w:rPr>
                <w:rFonts w:ascii="Arial Narrow" w:hAnsi="Arial Narrow"/>
                <w:sz w:val="20"/>
                <w:szCs w:val="20"/>
              </w:rPr>
              <w:t>Granulocytopenia</w:t>
            </w:r>
            <w:proofErr w:type="spellEnd"/>
          </w:p>
        </w:tc>
        <w:tc>
          <w:tcPr>
            <w:tcW w:w="102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76 (49.4</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24 (15.6</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18 (11.7</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8 (5.2</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 (3.9</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(1.9</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(1.3</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(1.3</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(1.3</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(0.6</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(0.6</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(0.6</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(0.6</w:t>
            </w:r>
            <w:r w:rsidR="00C960D6" w:rsidRPr="003D6709">
              <w:rPr>
                <w:rFonts w:ascii="Arial Narrow" w:hAnsi="Arial Narrow"/>
                <w:sz w:val="20"/>
                <w:szCs w:val="20"/>
              </w:rPr>
              <w:t>%</w:t>
            </w:r>
            <w:r w:rsidRPr="003D6709">
              <w:rPr>
                <w:rFonts w:ascii="Arial Narrow" w:hAnsi="Arial Narrow"/>
                <w:sz w:val="20"/>
                <w:szCs w:val="20"/>
              </w:rPr>
              <w:t xml:space="preserve">) </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tc>
        <w:tc>
          <w:tcPr>
            <w:tcW w:w="944"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106 (89.8</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47 (39.8</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8 (6.8</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 (8.5</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9 (7.6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 (3.4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10 (8.5</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28 (23.7</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9 (7.6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 (5.1</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(2.5</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2 (1.7</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8 (6.8</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6 (5.1</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 (3.4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4 (3.4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(2.5</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(2.5</w:t>
            </w:r>
            <w:r w:rsidR="00C960D6" w:rsidRPr="003D6709">
              <w:rPr>
                <w:rFonts w:ascii="Arial Narrow" w:hAnsi="Arial Narrow"/>
                <w:sz w:val="20"/>
                <w:szCs w:val="20"/>
              </w:rPr>
              <w:t>%</w:t>
            </w:r>
            <w:r w:rsidRPr="003D6709">
              <w:rPr>
                <w:rFonts w:ascii="Arial Narrow" w:hAnsi="Arial Narrow"/>
                <w:sz w:val="20"/>
                <w:szCs w:val="20"/>
              </w:rPr>
              <w:t>)</w:t>
            </w:r>
          </w:p>
        </w:tc>
        <w:tc>
          <w:tcPr>
            <w:tcW w:w="913" w:type="pct"/>
          </w:tcPr>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17 (48.6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11 (31.4</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3 (8.6</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1 (2.9</w:t>
            </w:r>
            <w:r w:rsidR="00C960D6" w:rsidRPr="003D6709">
              <w:rPr>
                <w:rFonts w:ascii="Arial Narrow" w:hAnsi="Arial Narrow"/>
                <w:sz w:val="20"/>
                <w:szCs w:val="20"/>
              </w:rPr>
              <w:t>%</w:t>
            </w:r>
            <w:r w:rsidRPr="003D6709">
              <w:rPr>
                <w:rFonts w:ascii="Arial Narrow" w:hAnsi="Arial Narrow"/>
                <w:sz w:val="20"/>
                <w:szCs w:val="20"/>
              </w:rPr>
              <w:t>)</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p w:rsidR="00777EEB" w:rsidRPr="003D6709" w:rsidRDefault="00777EEB" w:rsidP="00EF69E3">
            <w:pPr>
              <w:keepNext/>
              <w:jc w:val="center"/>
              <w:rPr>
                <w:rFonts w:ascii="Arial Narrow" w:hAnsi="Arial Narrow"/>
                <w:sz w:val="20"/>
                <w:szCs w:val="20"/>
              </w:rPr>
            </w:pPr>
            <w:r w:rsidRPr="003D6709">
              <w:rPr>
                <w:rFonts w:ascii="Arial Narrow" w:hAnsi="Arial Narrow"/>
                <w:sz w:val="20"/>
                <w:szCs w:val="20"/>
              </w:rPr>
              <w:t>0</w:t>
            </w:r>
          </w:p>
        </w:tc>
      </w:tr>
    </w:tbl>
    <w:p w:rsidR="00777EEB" w:rsidRPr="003D6709" w:rsidRDefault="00777EEB" w:rsidP="00777EEB">
      <w:pPr>
        <w:pStyle w:val="TableFooter"/>
        <w:spacing w:after="120"/>
      </w:pPr>
      <w:r w:rsidRPr="003D6709">
        <w:t>Source: Table 2.5.6, p.75 of the submission.</w:t>
      </w:r>
    </w:p>
    <w:p w:rsidR="00777EEB" w:rsidRPr="003D6709" w:rsidRDefault="00777EEB" w:rsidP="00777EEB">
      <w:pPr>
        <w:pStyle w:val="TableFooter"/>
        <w:spacing w:after="120"/>
      </w:pPr>
      <w:r w:rsidRPr="003D6709">
        <w:t>Abbreviations: AE, adverse event; ACAL, acalabrutinib; BEN, bendamustine; IDEL, idelalisib; RITU, rituximab.</w:t>
      </w:r>
    </w:p>
    <w:p w:rsidR="00777EEB" w:rsidRPr="003D6709" w:rsidRDefault="00777EEB" w:rsidP="00777EEB">
      <w:pPr>
        <w:pStyle w:val="ExecSumBodyText"/>
      </w:pPr>
      <w:r w:rsidRPr="003D6709">
        <w:rPr>
          <w:snapToGrid/>
        </w:rPr>
        <w:t xml:space="preserve">Treatment with acalabrutinib was associated with high rates of treatment-emergent adverse events (93.5%), treatment-related adverse events (65.6%) and Grade 3/4 adverse events (45.5%). There were numerically lower Grade 3/4 adverse events, serious adverse events, treatment-related adverse events, and discontinuations due to adverse events in </w:t>
      </w:r>
      <w:r w:rsidR="0037162F" w:rsidRPr="003D6709">
        <w:rPr>
          <w:snapToGrid/>
        </w:rPr>
        <w:t>patients treated with</w:t>
      </w:r>
      <w:r w:rsidRPr="003D6709">
        <w:rPr>
          <w:snapToGrid/>
        </w:rPr>
        <w:t xml:space="preserve"> acalabrutinib compared to patients treated </w:t>
      </w:r>
      <w:r w:rsidRPr="003D6709">
        <w:rPr>
          <w:snapToGrid/>
        </w:rPr>
        <w:lastRenderedPageBreak/>
        <w:t xml:space="preserve">with idelalisib plus rituximab. </w:t>
      </w:r>
      <w:r w:rsidR="000515FF" w:rsidRPr="003D6709">
        <w:t>The ESC considered that th</w:t>
      </w:r>
      <w:r w:rsidR="00B41485" w:rsidRPr="003D6709">
        <w:t>ese</w:t>
      </w:r>
      <w:r w:rsidR="000515FF" w:rsidRPr="003D6709">
        <w:t xml:space="preserve"> difference</w:t>
      </w:r>
      <w:r w:rsidR="00B41485" w:rsidRPr="003D6709">
        <w:t>s were</w:t>
      </w:r>
      <w:r w:rsidR="000515FF" w:rsidRPr="003D6709">
        <w:t xml:space="preserve"> likely to be clinically relevant</w:t>
      </w:r>
      <w:r w:rsidR="007D580E" w:rsidRPr="003D6709">
        <w:t xml:space="preserve"> </w:t>
      </w:r>
      <w:r w:rsidR="00491D0F" w:rsidRPr="003D6709">
        <w:t>as</w:t>
      </w:r>
      <w:r w:rsidR="007D580E" w:rsidRPr="003D6709">
        <w:t xml:space="preserve"> idelalisib is notably toxic</w:t>
      </w:r>
      <w:r w:rsidR="000515FF" w:rsidRPr="003D6709">
        <w:t xml:space="preserve">. </w:t>
      </w:r>
    </w:p>
    <w:p w:rsidR="00D9285C" w:rsidRPr="003D6709" w:rsidRDefault="00A36E63" w:rsidP="00D9285C">
      <w:pPr>
        <w:pStyle w:val="5-SubSubSubHead"/>
      </w:pPr>
      <w:r w:rsidRPr="003D6709">
        <w:t xml:space="preserve">MAIC of acalabrutinib versus ibrutinib </w:t>
      </w:r>
    </w:p>
    <w:p w:rsidR="00170A15" w:rsidRPr="003D6709" w:rsidRDefault="00FA2F71" w:rsidP="00170A15">
      <w:pPr>
        <w:pStyle w:val="ExecSumBodyText"/>
      </w:pPr>
      <w:r w:rsidRPr="003D6709">
        <w:rPr>
          <w:snapToGrid/>
        </w:rPr>
        <w:t xml:space="preserve">The submission presented </w:t>
      </w:r>
      <w:r w:rsidR="00D9285C" w:rsidRPr="003D6709">
        <w:rPr>
          <w:snapToGrid/>
        </w:rPr>
        <w:t>MAIC</w:t>
      </w:r>
      <w:r w:rsidRPr="003D6709">
        <w:rPr>
          <w:snapToGrid/>
        </w:rPr>
        <w:t>s</w:t>
      </w:r>
      <w:r w:rsidR="00D9285C" w:rsidRPr="003D6709">
        <w:rPr>
          <w:snapToGrid/>
        </w:rPr>
        <w:t xml:space="preserve"> of </w:t>
      </w:r>
      <w:r w:rsidR="0014073F" w:rsidRPr="003D6709">
        <w:rPr>
          <w:snapToGrid/>
        </w:rPr>
        <w:t xml:space="preserve">acalabrutinib and ibrutinib </w:t>
      </w:r>
      <w:r w:rsidRPr="003D6709">
        <w:rPr>
          <w:snapToGrid/>
        </w:rPr>
        <w:t>for</w:t>
      </w:r>
      <w:r w:rsidR="0014073F" w:rsidRPr="003D6709">
        <w:rPr>
          <w:snapToGrid/>
        </w:rPr>
        <w:t xml:space="preserve"> </w:t>
      </w:r>
      <w:r w:rsidR="00D9285C" w:rsidRPr="003D6709">
        <w:rPr>
          <w:snapToGrid/>
        </w:rPr>
        <w:t xml:space="preserve">Grade 1-4 </w:t>
      </w:r>
      <w:r w:rsidRPr="003D6709">
        <w:rPr>
          <w:snapToGrid/>
        </w:rPr>
        <w:t xml:space="preserve">and Grade 3/4 </w:t>
      </w:r>
      <w:r w:rsidR="00D9285C" w:rsidRPr="003D6709">
        <w:rPr>
          <w:snapToGrid/>
        </w:rPr>
        <w:t>adverse events</w:t>
      </w:r>
      <w:r w:rsidR="000934B0" w:rsidRPr="003D6709">
        <w:rPr>
          <w:snapToGrid/>
        </w:rPr>
        <w:t xml:space="preserve"> based on the </w:t>
      </w:r>
      <w:r w:rsidR="00563D8A" w:rsidRPr="003D6709">
        <w:rPr>
          <w:snapToGrid/>
        </w:rPr>
        <w:t xml:space="preserve">results of the </w:t>
      </w:r>
      <w:r w:rsidR="000934B0" w:rsidRPr="003D6709">
        <w:rPr>
          <w:snapToGrid/>
        </w:rPr>
        <w:t>ASCEND and RESONATE trials</w:t>
      </w:r>
      <w:r w:rsidR="00D9285C" w:rsidRPr="003D6709">
        <w:rPr>
          <w:snapToGrid/>
        </w:rPr>
        <w:t xml:space="preserve">. </w:t>
      </w:r>
      <w:r w:rsidR="00170A15" w:rsidRPr="003D6709">
        <w:rPr>
          <w:snapToGrid/>
        </w:rPr>
        <w:t xml:space="preserve">The MAIC was conducted by matching of patient characteristics that were considered to be prognostic and treatment effect modifier variables for </w:t>
      </w:r>
      <w:r w:rsidR="009B7EC5" w:rsidRPr="003D6709">
        <w:rPr>
          <w:snapToGrid/>
        </w:rPr>
        <w:t>CLL/SLL</w:t>
      </w:r>
      <w:r w:rsidR="00170A15" w:rsidRPr="003D6709">
        <w:rPr>
          <w:snapToGrid/>
        </w:rPr>
        <w:t xml:space="preserve"> disease. The</w:t>
      </w:r>
      <w:r w:rsidR="00C960D6" w:rsidRPr="003D6709">
        <w:rPr>
          <w:snapToGrid/>
        </w:rPr>
        <w:t xml:space="preserve"> ESC considered that the</w:t>
      </w:r>
      <w:r w:rsidR="00170A15" w:rsidRPr="003D6709">
        <w:rPr>
          <w:snapToGrid/>
        </w:rPr>
        <w:t>se variables may not be relevant to the occurrence of adverse events. Th</w:t>
      </w:r>
      <w:r w:rsidR="00B41485" w:rsidRPr="003D6709">
        <w:rPr>
          <w:snapToGrid/>
        </w:rPr>
        <w:t>e ESC noted that th</w:t>
      </w:r>
      <w:r w:rsidR="00170A15" w:rsidRPr="003D6709">
        <w:rPr>
          <w:snapToGrid/>
        </w:rPr>
        <w:t>is approach has not been validated and is unlikely to be reliable.</w:t>
      </w:r>
      <w:r w:rsidR="00C427B9" w:rsidRPr="003D6709">
        <w:rPr>
          <w:snapToGrid/>
        </w:rPr>
        <w:t xml:space="preserve"> </w:t>
      </w:r>
    </w:p>
    <w:p w:rsidR="00FA2F71" w:rsidRPr="003D6709" w:rsidRDefault="00FA2F71" w:rsidP="00170A15">
      <w:pPr>
        <w:pStyle w:val="ExecSumBodyText"/>
      </w:pPr>
      <w:r w:rsidRPr="003D6709">
        <w:rPr>
          <w:snapToGrid/>
        </w:rPr>
        <w:t>Adverse event data for ibrutinib were based on various durations of follow-up (9.4 months, 16 months and 19 months), compared to 16.1 months for acalabrutinib. The longer median duration of follow-up for some adverse event outcomes for ibrutinib may bias against ibrutinib, whereas the shorter median duration of follow-up for some adverse event outcomes may bias against acalabrutinib.</w:t>
      </w:r>
    </w:p>
    <w:p w:rsidR="00D9285C" w:rsidRPr="003D6709" w:rsidRDefault="000B501B" w:rsidP="00D9285C">
      <w:pPr>
        <w:pStyle w:val="ExecSumBodyText"/>
      </w:pPr>
      <w:r w:rsidRPr="003D6709">
        <w:t>Table 13</w:t>
      </w:r>
      <w:r w:rsidR="00D9285C" w:rsidRPr="003D6709">
        <w:rPr>
          <w:snapToGrid/>
        </w:rPr>
        <w:t xml:space="preserve"> presents the results </w:t>
      </w:r>
      <w:r w:rsidR="00563D8A" w:rsidRPr="003D6709">
        <w:rPr>
          <w:snapToGrid/>
        </w:rPr>
        <w:t>of</w:t>
      </w:r>
      <w:r w:rsidR="00D9285C" w:rsidRPr="003D6709">
        <w:rPr>
          <w:snapToGrid/>
        </w:rPr>
        <w:t xml:space="preserve"> the </w:t>
      </w:r>
      <w:r w:rsidR="00FA2F71" w:rsidRPr="003D6709">
        <w:rPr>
          <w:snapToGrid/>
        </w:rPr>
        <w:t>MAIC</w:t>
      </w:r>
      <w:r w:rsidR="00D9285C" w:rsidRPr="003D6709">
        <w:rPr>
          <w:snapToGrid/>
        </w:rPr>
        <w:t xml:space="preserve"> of Grade 3/4 adverse events</w:t>
      </w:r>
      <w:r w:rsidR="00563D8A" w:rsidRPr="003D6709">
        <w:rPr>
          <w:snapToGrid/>
        </w:rPr>
        <w:t xml:space="preserve"> for acalabrutinib versus ibrutinib</w:t>
      </w:r>
      <w:r w:rsidR="000934B0" w:rsidRPr="003D6709">
        <w:rPr>
          <w:snapToGrid/>
        </w:rPr>
        <w:t>.</w:t>
      </w:r>
    </w:p>
    <w:p w:rsidR="00D9285C" w:rsidRPr="003D6709" w:rsidRDefault="000B501B" w:rsidP="002A4FB3">
      <w:pPr>
        <w:pStyle w:val="TableHeading"/>
        <w:keepLines/>
        <w:widowControl w:val="0"/>
      </w:pPr>
      <w:bookmarkStart w:id="33" w:name="_Ref33454137"/>
      <w:r w:rsidRPr="003D6709">
        <w:lastRenderedPageBreak/>
        <w:t>Table 13</w:t>
      </w:r>
      <w:bookmarkEnd w:id="33"/>
      <w:r w:rsidR="00D9285C" w:rsidRPr="003D6709">
        <w:t xml:space="preserve">: Results </w:t>
      </w:r>
      <w:r w:rsidR="00563D8A" w:rsidRPr="003D6709">
        <w:t>of</w:t>
      </w:r>
      <w:r w:rsidR="00D9285C" w:rsidRPr="003D6709">
        <w:t xml:space="preserve"> the </w:t>
      </w:r>
      <w:r w:rsidR="004B4A93" w:rsidRPr="003D6709">
        <w:t>MAIC</w:t>
      </w:r>
      <w:r w:rsidR="00D9285C" w:rsidRPr="003D6709">
        <w:t xml:space="preserve"> of Grade 3/4 adverse events for acalabrutinib versus ibrutinib</w:t>
      </w:r>
    </w:p>
    <w:tbl>
      <w:tblPr>
        <w:tblStyle w:val="AZTable"/>
        <w:tblW w:w="5000" w:type="pct"/>
        <w:tblLook w:val="0000" w:firstRow="0" w:lastRow="0" w:firstColumn="0" w:lastColumn="0" w:noHBand="0" w:noVBand="0"/>
        <w:tblCaption w:val="Table 13: Results of the MAIC of Grade 3/4 adverse events for acalabrutinib versus ibrutinib"/>
      </w:tblPr>
      <w:tblGrid>
        <w:gridCol w:w="1981"/>
        <w:gridCol w:w="992"/>
        <w:gridCol w:w="992"/>
        <w:gridCol w:w="1535"/>
        <w:gridCol w:w="1004"/>
        <w:gridCol w:w="1004"/>
        <w:gridCol w:w="1509"/>
      </w:tblGrid>
      <w:tr w:rsidR="00D9285C" w:rsidRPr="003D6709" w:rsidTr="003221CF">
        <w:trPr>
          <w:tblHeader/>
        </w:trPr>
        <w:tc>
          <w:tcPr>
            <w:tcW w:w="1098" w:type="pct"/>
            <w:vMerge w:val="restart"/>
            <w:tcBorders>
              <w:top w:val="single" w:sz="4" w:space="0" w:color="auto"/>
            </w:tcBorders>
            <w:vAlign w:val="center"/>
          </w:tcPr>
          <w:p w:rsidR="00D9285C" w:rsidRPr="003D6709" w:rsidRDefault="00D9285C" w:rsidP="002A4FB3">
            <w:pPr>
              <w:pStyle w:val="TableHeading"/>
              <w:keepLines/>
              <w:widowControl w:val="0"/>
              <w:jc w:val="left"/>
              <w:rPr>
                <w:szCs w:val="20"/>
              </w:rPr>
            </w:pPr>
            <w:r w:rsidRPr="003D6709">
              <w:rPr>
                <w:szCs w:val="20"/>
              </w:rPr>
              <w:t>Adverse event, any Grade</w:t>
            </w:r>
            <w:r w:rsidR="00C960D6" w:rsidRPr="003D6709">
              <w:rPr>
                <w:szCs w:val="20"/>
              </w:rPr>
              <w:t xml:space="preserve"> 3/4, %</w:t>
            </w:r>
          </w:p>
        </w:tc>
        <w:tc>
          <w:tcPr>
            <w:tcW w:w="1951" w:type="pct"/>
            <w:gridSpan w:val="3"/>
            <w:tcBorders>
              <w:top w:val="single" w:sz="4" w:space="0" w:color="auto"/>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Unadjusted</w:t>
            </w:r>
          </w:p>
        </w:tc>
        <w:tc>
          <w:tcPr>
            <w:tcW w:w="1951" w:type="pct"/>
            <w:gridSpan w:val="3"/>
            <w:tcBorders>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MAIC adjusted</w:t>
            </w:r>
          </w:p>
        </w:tc>
      </w:tr>
      <w:tr w:rsidR="00D9285C" w:rsidRPr="003D6709" w:rsidTr="003221CF">
        <w:trPr>
          <w:tblHeader/>
        </w:trPr>
        <w:tc>
          <w:tcPr>
            <w:tcW w:w="1098" w:type="pct"/>
            <w:vMerge/>
            <w:vAlign w:val="center"/>
          </w:tcPr>
          <w:p w:rsidR="00D9285C" w:rsidRPr="003D6709" w:rsidRDefault="00D9285C" w:rsidP="002A4FB3">
            <w:pPr>
              <w:pStyle w:val="TableHeading"/>
              <w:keepLines/>
              <w:widowControl w:val="0"/>
              <w:jc w:val="left"/>
              <w:rPr>
                <w:szCs w:val="20"/>
              </w:rPr>
            </w:pPr>
          </w:p>
        </w:tc>
        <w:tc>
          <w:tcPr>
            <w:tcW w:w="550" w:type="pct"/>
            <w:tcBorders>
              <w:top w:val="single" w:sz="4" w:space="0" w:color="auto"/>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ACAL</w:t>
            </w:r>
          </w:p>
          <w:p w:rsidR="00D9285C" w:rsidRPr="003D6709" w:rsidRDefault="00D9285C" w:rsidP="002A4FB3">
            <w:pPr>
              <w:pStyle w:val="TableHeading"/>
              <w:keepLines/>
              <w:widowControl w:val="0"/>
              <w:jc w:val="center"/>
              <w:rPr>
                <w:szCs w:val="20"/>
                <w:vertAlign w:val="superscript"/>
              </w:rPr>
            </w:pPr>
            <w:r w:rsidRPr="003D6709">
              <w:rPr>
                <w:szCs w:val="20"/>
              </w:rPr>
              <w:t>(N=132)</w:t>
            </w:r>
            <w:r w:rsidRPr="003D6709">
              <w:rPr>
                <w:szCs w:val="20"/>
                <w:vertAlign w:val="superscript"/>
              </w:rPr>
              <w:t>1</w:t>
            </w:r>
          </w:p>
        </w:tc>
        <w:tc>
          <w:tcPr>
            <w:tcW w:w="550" w:type="pct"/>
            <w:tcBorders>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IBR</w:t>
            </w:r>
          </w:p>
          <w:p w:rsidR="00D9285C" w:rsidRPr="003D6709" w:rsidRDefault="00D9285C" w:rsidP="002A4FB3">
            <w:pPr>
              <w:pStyle w:val="TableHeading"/>
              <w:keepLines/>
              <w:widowControl w:val="0"/>
              <w:jc w:val="center"/>
              <w:rPr>
                <w:szCs w:val="20"/>
              </w:rPr>
            </w:pPr>
            <w:r w:rsidRPr="003D6709">
              <w:rPr>
                <w:szCs w:val="20"/>
              </w:rPr>
              <w:t>(N=195)</w:t>
            </w:r>
          </w:p>
        </w:tc>
        <w:tc>
          <w:tcPr>
            <w:tcW w:w="851" w:type="pct"/>
            <w:tcBorders>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 xml:space="preserve">RD </w:t>
            </w:r>
          </w:p>
          <w:p w:rsidR="00D9285C" w:rsidRPr="003D6709" w:rsidRDefault="00D9285C" w:rsidP="002A4FB3">
            <w:pPr>
              <w:pStyle w:val="TableHeading"/>
              <w:keepLines/>
              <w:widowControl w:val="0"/>
              <w:jc w:val="center"/>
              <w:rPr>
                <w:szCs w:val="20"/>
              </w:rPr>
            </w:pPr>
            <w:r w:rsidRPr="003D6709">
              <w:rPr>
                <w:szCs w:val="20"/>
              </w:rPr>
              <w:t>(95% CI)</w:t>
            </w:r>
          </w:p>
        </w:tc>
        <w:tc>
          <w:tcPr>
            <w:tcW w:w="557" w:type="pct"/>
            <w:tcBorders>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ACAL</w:t>
            </w:r>
          </w:p>
          <w:p w:rsidR="00D9285C" w:rsidRPr="003D6709" w:rsidRDefault="00D9285C" w:rsidP="002A4FB3">
            <w:pPr>
              <w:pStyle w:val="TableHeading"/>
              <w:keepLines/>
              <w:widowControl w:val="0"/>
              <w:jc w:val="center"/>
              <w:rPr>
                <w:szCs w:val="20"/>
                <w:vertAlign w:val="superscript"/>
              </w:rPr>
            </w:pPr>
            <w:r w:rsidRPr="003D6709">
              <w:rPr>
                <w:szCs w:val="20"/>
              </w:rPr>
              <w:t>(N=44)</w:t>
            </w:r>
            <w:r w:rsidRPr="003D6709">
              <w:rPr>
                <w:szCs w:val="20"/>
                <w:vertAlign w:val="superscript"/>
              </w:rPr>
              <w:t>2</w:t>
            </w:r>
          </w:p>
        </w:tc>
        <w:tc>
          <w:tcPr>
            <w:tcW w:w="557" w:type="pct"/>
            <w:tcBorders>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IBR</w:t>
            </w:r>
          </w:p>
          <w:p w:rsidR="00D9285C" w:rsidRPr="003D6709" w:rsidRDefault="00D9285C" w:rsidP="002A4FB3">
            <w:pPr>
              <w:pStyle w:val="TableHeading"/>
              <w:keepLines/>
              <w:widowControl w:val="0"/>
              <w:jc w:val="center"/>
              <w:rPr>
                <w:szCs w:val="20"/>
              </w:rPr>
            </w:pPr>
            <w:r w:rsidRPr="003D6709">
              <w:rPr>
                <w:szCs w:val="20"/>
              </w:rPr>
              <w:t>(N=195)</w:t>
            </w:r>
          </w:p>
        </w:tc>
        <w:tc>
          <w:tcPr>
            <w:tcW w:w="837" w:type="pct"/>
            <w:tcBorders>
              <w:bottom w:val="single" w:sz="4" w:space="0" w:color="auto"/>
            </w:tcBorders>
            <w:vAlign w:val="center"/>
          </w:tcPr>
          <w:p w:rsidR="00D9285C" w:rsidRPr="003D6709" w:rsidRDefault="00D9285C" w:rsidP="002A4FB3">
            <w:pPr>
              <w:pStyle w:val="TableHeading"/>
              <w:keepLines/>
              <w:widowControl w:val="0"/>
              <w:jc w:val="center"/>
              <w:rPr>
                <w:szCs w:val="20"/>
              </w:rPr>
            </w:pPr>
            <w:r w:rsidRPr="003D6709">
              <w:rPr>
                <w:szCs w:val="20"/>
              </w:rPr>
              <w:t xml:space="preserve">RD </w:t>
            </w:r>
          </w:p>
          <w:p w:rsidR="00D9285C" w:rsidRPr="003D6709" w:rsidRDefault="00D9285C" w:rsidP="002A4FB3">
            <w:pPr>
              <w:pStyle w:val="TableHeading"/>
              <w:keepLines/>
              <w:widowControl w:val="0"/>
              <w:jc w:val="center"/>
              <w:rPr>
                <w:szCs w:val="20"/>
              </w:rPr>
            </w:pPr>
            <w:r w:rsidRPr="003D6709">
              <w:rPr>
                <w:szCs w:val="20"/>
              </w:rPr>
              <w:t>(95% CI)</w:t>
            </w:r>
          </w:p>
        </w:tc>
      </w:tr>
      <w:tr w:rsidR="00D9285C" w:rsidRPr="003D6709" w:rsidTr="002A4FB3">
        <w:tc>
          <w:tcPr>
            <w:tcW w:w="5000" w:type="pct"/>
            <w:gridSpan w:val="7"/>
          </w:tcPr>
          <w:p w:rsidR="00D9285C" w:rsidRPr="003D6709" w:rsidRDefault="00D9285C" w:rsidP="002A4FB3">
            <w:pPr>
              <w:pStyle w:val="TableText"/>
              <w:keepLines/>
              <w:widowControl w:val="0"/>
              <w:rPr>
                <w:b/>
                <w:sz w:val="20"/>
                <w:szCs w:val="20"/>
              </w:rPr>
            </w:pPr>
            <w:r w:rsidRPr="003D6709">
              <w:rPr>
                <w:b/>
                <w:sz w:val="20"/>
                <w:szCs w:val="20"/>
              </w:rPr>
              <w:t>IBR median follow-up: 9.4 months</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Any Grade 3/4</w:t>
            </w:r>
            <w:r w:rsidR="00C960D6" w:rsidRPr="003D6709">
              <w:rPr>
                <w:sz w:val="20"/>
                <w:szCs w:val="20"/>
              </w:rPr>
              <w:t xml:space="preserve">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47.0</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51.0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-4.0 (-15.1, 7.0)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47.4</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51.0</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-3.6 (-23.8, 1.0)</w:t>
            </w:r>
          </w:p>
        </w:tc>
      </w:tr>
      <w:tr w:rsidR="00D9285C" w:rsidRPr="003D6709" w:rsidTr="002A4FB3">
        <w:tc>
          <w:tcPr>
            <w:tcW w:w="1098" w:type="pct"/>
          </w:tcPr>
          <w:p w:rsidR="00D9285C" w:rsidRPr="003D6709" w:rsidRDefault="00C960D6" w:rsidP="002A4FB3">
            <w:pPr>
              <w:pStyle w:val="TableText"/>
              <w:keepLines/>
              <w:widowControl w:val="0"/>
              <w:rPr>
                <w:sz w:val="20"/>
                <w:szCs w:val="20"/>
              </w:rPr>
            </w:pPr>
            <w:r w:rsidRPr="003D6709">
              <w:rPr>
                <w:sz w:val="20"/>
                <w:szCs w:val="20"/>
              </w:rPr>
              <w:t>Serious AE</w:t>
            </w:r>
            <w:r w:rsidR="00D9285C" w:rsidRPr="003D6709">
              <w:rPr>
                <w:sz w:val="20"/>
                <w:szCs w:val="20"/>
              </w:rPr>
              <w:t xml:space="preserve">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27.3</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42.0</w:t>
            </w:r>
            <w:r w:rsidR="00C960D6" w:rsidRPr="003D6709">
              <w:rPr>
                <w:sz w:val="20"/>
                <w:szCs w:val="20"/>
              </w:rPr>
              <w:t>%</w:t>
            </w:r>
          </w:p>
        </w:tc>
        <w:tc>
          <w:tcPr>
            <w:tcW w:w="851" w:type="pct"/>
          </w:tcPr>
          <w:p w:rsidR="00D9285C" w:rsidRPr="003D6709" w:rsidRDefault="00D9285C" w:rsidP="002A4FB3">
            <w:pPr>
              <w:pStyle w:val="TableText"/>
              <w:keepLines/>
              <w:widowControl w:val="0"/>
              <w:jc w:val="center"/>
              <w:rPr>
                <w:b/>
                <w:sz w:val="20"/>
                <w:szCs w:val="20"/>
              </w:rPr>
            </w:pPr>
            <w:r w:rsidRPr="003D6709">
              <w:rPr>
                <w:b/>
                <w:sz w:val="20"/>
                <w:szCs w:val="20"/>
              </w:rPr>
              <w:t>-14.7 (-25.0, -4.0)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29.3</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42.0</w:t>
            </w:r>
            <w:r w:rsidR="00C960D6" w:rsidRPr="003D6709">
              <w:rPr>
                <w:sz w:val="20"/>
                <w:szCs w:val="20"/>
              </w:rPr>
              <w:t>%</w:t>
            </w:r>
          </w:p>
        </w:tc>
        <w:tc>
          <w:tcPr>
            <w:tcW w:w="837" w:type="pct"/>
          </w:tcPr>
          <w:p w:rsidR="00D9285C" w:rsidRPr="003D6709" w:rsidRDefault="00D9285C" w:rsidP="002A4FB3">
            <w:pPr>
              <w:pStyle w:val="TableText"/>
              <w:keepLines/>
              <w:widowControl w:val="0"/>
              <w:jc w:val="center"/>
              <w:rPr>
                <w:b/>
                <w:sz w:val="20"/>
                <w:szCs w:val="20"/>
              </w:rPr>
            </w:pPr>
            <w:r w:rsidRPr="003D6709">
              <w:rPr>
                <w:b/>
                <w:sz w:val="20"/>
                <w:szCs w:val="20"/>
              </w:rPr>
              <w:t>-12.7 (-23.8, -1.0)</w:t>
            </w:r>
          </w:p>
        </w:tc>
      </w:tr>
      <w:tr w:rsidR="00D9285C" w:rsidRPr="003D6709" w:rsidTr="002A4FB3">
        <w:tc>
          <w:tcPr>
            <w:tcW w:w="1098" w:type="pct"/>
          </w:tcPr>
          <w:p w:rsidR="00D9285C" w:rsidRPr="003D6709" w:rsidRDefault="00D9285C" w:rsidP="002A4FB3">
            <w:pPr>
              <w:pStyle w:val="TableText"/>
              <w:keepLines/>
              <w:widowControl w:val="0"/>
              <w:rPr>
                <w:szCs w:val="20"/>
              </w:rPr>
            </w:pPr>
            <w:r w:rsidRPr="003D6709">
              <w:rPr>
                <w:sz w:val="20"/>
                <w:szCs w:val="20"/>
              </w:rPr>
              <w:t xml:space="preserve">Infections  </w:t>
            </w:r>
          </w:p>
        </w:tc>
        <w:tc>
          <w:tcPr>
            <w:tcW w:w="550" w:type="pct"/>
          </w:tcPr>
          <w:p w:rsidR="00D9285C" w:rsidRPr="003D6709" w:rsidRDefault="00D9285C" w:rsidP="002A4FB3">
            <w:pPr>
              <w:pStyle w:val="TableText"/>
              <w:keepLines/>
              <w:widowControl w:val="0"/>
              <w:jc w:val="center"/>
              <w:rPr>
                <w:szCs w:val="20"/>
              </w:rPr>
            </w:pPr>
            <w:r w:rsidRPr="003D6709">
              <w:rPr>
                <w:sz w:val="20"/>
                <w:szCs w:val="20"/>
              </w:rPr>
              <w:t>13.6</w:t>
            </w:r>
            <w:r w:rsidR="00C960D6" w:rsidRPr="003D6709">
              <w:rPr>
                <w:sz w:val="20"/>
                <w:szCs w:val="20"/>
              </w:rPr>
              <w:t>%</w:t>
            </w:r>
          </w:p>
        </w:tc>
        <w:tc>
          <w:tcPr>
            <w:tcW w:w="550" w:type="pct"/>
          </w:tcPr>
          <w:p w:rsidR="00D9285C" w:rsidRPr="003D6709" w:rsidRDefault="00D9285C" w:rsidP="002A4FB3">
            <w:pPr>
              <w:pStyle w:val="TableText"/>
              <w:keepLines/>
              <w:widowControl w:val="0"/>
              <w:jc w:val="center"/>
              <w:rPr>
                <w:szCs w:val="20"/>
              </w:rPr>
            </w:pPr>
            <w:r w:rsidRPr="003D6709">
              <w:rPr>
                <w:sz w:val="20"/>
                <w:szCs w:val="20"/>
              </w:rPr>
              <w:t>21.0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Cs w:val="20"/>
              </w:rPr>
            </w:pPr>
            <w:r w:rsidRPr="003D6709">
              <w:rPr>
                <w:sz w:val="20"/>
                <w:szCs w:val="20"/>
              </w:rPr>
              <w:t>-7.4 (-15.6, 0.0)</w:t>
            </w:r>
          </w:p>
        </w:tc>
        <w:tc>
          <w:tcPr>
            <w:tcW w:w="557" w:type="pct"/>
          </w:tcPr>
          <w:p w:rsidR="00D9285C" w:rsidRPr="003D6709" w:rsidRDefault="00D9285C" w:rsidP="002A4FB3">
            <w:pPr>
              <w:pStyle w:val="TableText"/>
              <w:keepLines/>
              <w:widowControl w:val="0"/>
              <w:jc w:val="center"/>
              <w:rPr>
                <w:szCs w:val="20"/>
              </w:rPr>
            </w:pPr>
            <w:r w:rsidRPr="003D6709">
              <w:rPr>
                <w:sz w:val="20"/>
                <w:szCs w:val="20"/>
              </w:rPr>
              <w:t>11.1</w:t>
            </w:r>
            <w:r w:rsidR="00C960D6" w:rsidRPr="003D6709">
              <w:rPr>
                <w:sz w:val="20"/>
                <w:szCs w:val="20"/>
              </w:rPr>
              <w:t>%</w:t>
            </w:r>
          </w:p>
        </w:tc>
        <w:tc>
          <w:tcPr>
            <w:tcW w:w="557" w:type="pct"/>
          </w:tcPr>
          <w:p w:rsidR="00D9285C" w:rsidRPr="003D6709" w:rsidRDefault="00D9285C" w:rsidP="002A4FB3">
            <w:pPr>
              <w:pStyle w:val="TableText"/>
              <w:keepLines/>
              <w:widowControl w:val="0"/>
              <w:jc w:val="center"/>
              <w:rPr>
                <w:szCs w:val="20"/>
              </w:rPr>
            </w:pPr>
            <w:r w:rsidRPr="003D6709">
              <w:rPr>
                <w:sz w:val="20"/>
                <w:szCs w:val="20"/>
              </w:rPr>
              <w:t>21.0</w:t>
            </w:r>
            <w:r w:rsidR="00C960D6" w:rsidRPr="003D6709">
              <w:rPr>
                <w:sz w:val="20"/>
                <w:szCs w:val="20"/>
              </w:rPr>
              <w:t>%</w:t>
            </w:r>
          </w:p>
        </w:tc>
        <w:tc>
          <w:tcPr>
            <w:tcW w:w="837" w:type="pct"/>
          </w:tcPr>
          <w:p w:rsidR="00D9285C" w:rsidRPr="003D6709" w:rsidRDefault="00D9285C" w:rsidP="002A4FB3">
            <w:pPr>
              <w:pStyle w:val="TableText"/>
              <w:keepLines/>
              <w:widowControl w:val="0"/>
              <w:jc w:val="center"/>
              <w:rPr>
                <w:szCs w:val="20"/>
              </w:rPr>
            </w:pPr>
            <w:r w:rsidRPr="003D6709">
              <w:rPr>
                <w:b/>
                <w:sz w:val="20"/>
                <w:szCs w:val="20"/>
              </w:rPr>
              <w:t>-9.9 (-18.9, 0.0)</w:t>
            </w:r>
          </w:p>
        </w:tc>
      </w:tr>
      <w:tr w:rsidR="00D9285C" w:rsidRPr="003D6709" w:rsidTr="002A4FB3">
        <w:tc>
          <w:tcPr>
            <w:tcW w:w="5000" w:type="pct"/>
            <w:gridSpan w:val="7"/>
          </w:tcPr>
          <w:p w:rsidR="00D9285C" w:rsidRPr="003D6709" w:rsidRDefault="00D9285C" w:rsidP="002A4FB3">
            <w:pPr>
              <w:pStyle w:val="TableText"/>
              <w:keepLines/>
              <w:widowControl w:val="0"/>
              <w:rPr>
                <w:b/>
                <w:sz w:val="20"/>
                <w:szCs w:val="20"/>
              </w:rPr>
            </w:pPr>
            <w:r w:rsidRPr="003D6709">
              <w:rPr>
                <w:b/>
                <w:sz w:val="20"/>
                <w:szCs w:val="20"/>
              </w:rPr>
              <w:t>IBR median follow-up: 16 months</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Anaemia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10.6</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6.0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4.6 (-1.6, 10.0)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16.5</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6.0</w:t>
            </w:r>
            <w:r w:rsidR="00C960D6" w:rsidRPr="003D6709">
              <w:rPr>
                <w:sz w:val="20"/>
                <w:szCs w:val="20"/>
              </w:rPr>
              <w:t>%</w:t>
            </w:r>
          </w:p>
        </w:tc>
        <w:tc>
          <w:tcPr>
            <w:tcW w:w="837" w:type="pct"/>
          </w:tcPr>
          <w:p w:rsidR="00D9285C" w:rsidRPr="003D6709" w:rsidRDefault="00D9285C" w:rsidP="002A4FB3">
            <w:pPr>
              <w:pStyle w:val="TableText"/>
              <w:keepLines/>
              <w:widowControl w:val="0"/>
              <w:jc w:val="center"/>
              <w:rPr>
                <w:b/>
                <w:sz w:val="20"/>
                <w:szCs w:val="20"/>
              </w:rPr>
            </w:pPr>
            <w:r w:rsidRPr="003D6709">
              <w:rPr>
                <w:b/>
                <w:sz w:val="20"/>
                <w:szCs w:val="20"/>
              </w:rPr>
              <w:t>10.5 (0.5, 20.0)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Neutropenia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18.2</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18.0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0.2 (-8.3, 8.0)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15.7</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18.0</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-2.3 (-11.4, 6.0)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Thrombocytopenia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6.8</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6.0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0.8 (-4.6, 6.0)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3.4</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6.0</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-2.6 (-6.9, 1.0)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Hypertension</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2.3</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6.0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-3.7 (-7.9, 0.0)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0.4</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6.0</w:t>
            </w:r>
            <w:r w:rsidR="00C960D6" w:rsidRPr="003D6709">
              <w:rPr>
                <w:sz w:val="20"/>
                <w:szCs w:val="20"/>
              </w:rPr>
              <w:t>%</w:t>
            </w:r>
          </w:p>
        </w:tc>
        <w:tc>
          <w:tcPr>
            <w:tcW w:w="837" w:type="pct"/>
          </w:tcPr>
          <w:p w:rsidR="00D9285C" w:rsidRPr="003D6709" w:rsidRDefault="00D9285C" w:rsidP="002A4FB3">
            <w:pPr>
              <w:pStyle w:val="TableText"/>
              <w:keepLines/>
              <w:widowControl w:val="0"/>
              <w:jc w:val="center"/>
              <w:rPr>
                <w:b/>
                <w:sz w:val="20"/>
                <w:szCs w:val="20"/>
              </w:rPr>
            </w:pPr>
            <w:r w:rsidRPr="003D6709">
              <w:rPr>
                <w:b/>
                <w:sz w:val="20"/>
                <w:szCs w:val="20"/>
              </w:rPr>
              <w:t>-5.6 (-9.0, -2.0)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Pneumonia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5.3</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9.0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-3.7 (-9.3, 1.0)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7.7</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9.0</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-1.3 (-9.0, 6.0)</w:t>
            </w:r>
          </w:p>
        </w:tc>
      </w:tr>
      <w:tr w:rsidR="00D9285C" w:rsidRPr="003D6709" w:rsidTr="002A4FB3">
        <w:tc>
          <w:tcPr>
            <w:tcW w:w="5000" w:type="pct"/>
            <w:gridSpan w:val="7"/>
          </w:tcPr>
          <w:p w:rsidR="00D9285C" w:rsidRPr="003D6709" w:rsidRDefault="00D9285C" w:rsidP="002A4FB3">
            <w:pPr>
              <w:pStyle w:val="TableText"/>
              <w:keepLines/>
              <w:widowControl w:val="0"/>
              <w:rPr>
                <w:b/>
                <w:sz w:val="20"/>
                <w:szCs w:val="20"/>
              </w:rPr>
            </w:pPr>
            <w:r w:rsidRPr="003D6709">
              <w:rPr>
                <w:b/>
                <w:sz w:val="20"/>
                <w:szCs w:val="20"/>
              </w:rPr>
              <w:t>IBR median follow-up: 19 months</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Headache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0.8</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-0.7 (-3.0, 1.0)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3.3</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37" w:type="pct"/>
          </w:tcPr>
          <w:p w:rsidR="00D9285C" w:rsidRPr="003D6709" w:rsidRDefault="00D9285C" w:rsidP="002A4FB3">
            <w:pPr>
              <w:pStyle w:val="TableText"/>
              <w:keepLines/>
              <w:widowControl w:val="0"/>
              <w:jc w:val="center"/>
              <w:rPr>
                <w:b/>
                <w:sz w:val="20"/>
                <w:szCs w:val="20"/>
              </w:rPr>
            </w:pPr>
            <w:r w:rsidRPr="003D6709">
              <w:rPr>
                <w:sz w:val="20"/>
                <w:szCs w:val="20"/>
              </w:rPr>
              <w:t>1.8 (-3.4, 6.0)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Atrial fibrillation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3.6</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-2.1 (-5.4, 10.0)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0.8</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3.6</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-2.8 (-5.7,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Diarrhoea</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4.6</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-3.1 (-6.7, 0.0)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0.3</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4.6</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b/>
                <w:sz w:val="20"/>
                <w:szCs w:val="20"/>
              </w:rPr>
              <w:t>-4.3 (-7.3, -1.0)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Haemorrhage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3.0</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-1.5 (-4.7, 1.0)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0.5</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3.0</w:t>
            </w:r>
            <w:r w:rsidR="00C960D6" w:rsidRPr="003D6709">
              <w:rPr>
                <w:sz w:val="20"/>
                <w:szCs w:val="20"/>
              </w:rPr>
              <w:t>%</w:t>
            </w:r>
          </w:p>
        </w:tc>
        <w:tc>
          <w:tcPr>
            <w:tcW w:w="837" w:type="pct"/>
          </w:tcPr>
          <w:p w:rsidR="00D9285C" w:rsidRPr="003D6709" w:rsidRDefault="00D9285C" w:rsidP="002A4FB3">
            <w:pPr>
              <w:pStyle w:val="TableText"/>
              <w:keepLines/>
              <w:widowControl w:val="0"/>
              <w:jc w:val="center"/>
              <w:rPr>
                <w:b/>
                <w:sz w:val="20"/>
                <w:szCs w:val="20"/>
              </w:rPr>
            </w:pPr>
            <w:r w:rsidRPr="003D6709">
              <w:rPr>
                <w:sz w:val="20"/>
                <w:szCs w:val="20"/>
              </w:rPr>
              <w:t>-2.5 (-5.0,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Fatigue</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0.8</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3.6</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-2.8 (-6.0, 0.0)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0.5</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3.6</w:t>
            </w:r>
            <w:r w:rsidR="00C960D6" w:rsidRPr="003D6709">
              <w:rPr>
                <w:sz w:val="20"/>
                <w:szCs w:val="20"/>
              </w:rPr>
              <w:t>%</w:t>
            </w:r>
          </w:p>
        </w:tc>
        <w:tc>
          <w:tcPr>
            <w:tcW w:w="837" w:type="pct"/>
          </w:tcPr>
          <w:p w:rsidR="00D9285C" w:rsidRPr="003D6709" w:rsidRDefault="00D9285C" w:rsidP="002A4FB3">
            <w:pPr>
              <w:pStyle w:val="TableText"/>
              <w:keepLines/>
              <w:widowControl w:val="0"/>
              <w:jc w:val="center"/>
              <w:rPr>
                <w:b/>
                <w:sz w:val="20"/>
                <w:szCs w:val="20"/>
              </w:rPr>
            </w:pPr>
            <w:r w:rsidRPr="003D6709">
              <w:rPr>
                <w:b/>
                <w:sz w:val="20"/>
                <w:szCs w:val="20"/>
              </w:rPr>
              <w:t>-3.1 (-5.9,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Pyrexia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0.8</w:t>
            </w:r>
            <w:r w:rsidR="00C960D6" w:rsidRPr="003D6709">
              <w:rPr>
                <w:sz w:val="20"/>
                <w:szCs w:val="20"/>
              </w:rPr>
              <w:t>%</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-0.7 (-3.0, 1.0)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0.3</w:t>
            </w:r>
            <w:r w:rsidR="00C960D6" w:rsidRPr="003D6709">
              <w:rPr>
                <w:sz w:val="20"/>
                <w:szCs w:val="20"/>
              </w:rPr>
              <w:t>%</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-1.2 (-3.0, 0.0)</w:t>
            </w:r>
          </w:p>
        </w:tc>
      </w:tr>
      <w:tr w:rsidR="00D9285C" w:rsidRPr="003D6709" w:rsidTr="002A4FB3">
        <w:tc>
          <w:tcPr>
            <w:tcW w:w="1098" w:type="pct"/>
          </w:tcPr>
          <w:p w:rsidR="00D9285C" w:rsidRPr="003D6709" w:rsidRDefault="00C960D6" w:rsidP="002A4FB3">
            <w:pPr>
              <w:pStyle w:val="TableText"/>
              <w:keepLines/>
              <w:widowControl w:val="0"/>
              <w:rPr>
                <w:sz w:val="20"/>
                <w:szCs w:val="20"/>
              </w:rPr>
            </w:pPr>
            <w:r w:rsidRPr="003D6709">
              <w:rPr>
                <w:sz w:val="20"/>
                <w:szCs w:val="20"/>
              </w:rPr>
              <w:t>Nausea</w:t>
            </w:r>
            <w:r w:rsidR="00D9285C" w:rsidRPr="003D6709">
              <w:rPr>
                <w:sz w:val="20"/>
                <w:szCs w:val="20"/>
              </w:rPr>
              <w:t xml:space="preserve"> </w:t>
            </w:r>
          </w:p>
        </w:tc>
        <w:tc>
          <w:tcPr>
            <w:tcW w:w="550"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-1.5 (-3.2, 0.0)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-1.5 (-3.2,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Cough </w:t>
            </w:r>
          </w:p>
        </w:tc>
        <w:tc>
          <w:tcPr>
            <w:tcW w:w="550"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0.5</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-0.5 (-1.5, 0.0)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0.5</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-0.5 (-1.5,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Peripheral oedema  </w:t>
            </w:r>
          </w:p>
        </w:tc>
        <w:tc>
          <w:tcPr>
            <w:tcW w:w="550"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0.0 (0.0, 0.0)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0.0 (0.0,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Arthralgia</w:t>
            </w:r>
          </w:p>
        </w:tc>
        <w:tc>
          <w:tcPr>
            <w:tcW w:w="550"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-1.5 (-3.2, 0.0)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7" w:type="pct"/>
          </w:tcPr>
          <w:p w:rsidR="00D9285C" w:rsidRPr="003D6709" w:rsidRDefault="00D9285C" w:rsidP="002A4FB3">
            <w:pPr>
              <w:pStyle w:val="TableText"/>
              <w:keepLines/>
              <w:widowControl w:val="0"/>
              <w:jc w:val="center"/>
              <w:rPr>
                <w:sz w:val="20"/>
                <w:szCs w:val="20"/>
              </w:rPr>
            </w:pPr>
            <w:r w:rsidRPr="003D6709">
              <w:rPr>
                <w:sz w:val="20"/>
                <w:szCs w:val="20"/>
              </w:rPr>
              <w:t>1.5</w:t>
            </w:r>
            <w:r w:rsidR="00C960D6" w:rsidRPr="003D6709">
              <w:rPr>
                <w:sz w:val="20"/>
                <w:szCs w:val="20"/>
              </w:rPr>
              <w:t>%</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-1.5 (-3.2, 0.0)</w:t>
            </w:r>
          </w:p>
        </w:tc>
      </w:tr>
      <w:tr w:rsidR="00D9285C" w:rsidRPr="003D6709" w:rsidTr="002A4FB3">
        <w:tc>
          <w:tcPr>
            <w:tcW w:w="1098" w:type="pct"/>
          </w:tcPr>
          <w:p w:rsidR="00D9285C" w:rsidRPr="003D6709" w:rsidRDefault="00D9285C" w:rsidP="002A4FB3">
            <w:pPr>
              <w:pStyle w:val="TableText"/>
              <w:keepLines/>
              <w:widowControl w:val="0"/>
              <w:rPr>
                <w:sz w:val="20"/>
                <w:szCs w:val="20"/>
              </w:rPr>
            </w:pPr>
            <w:r w:rsidRPr="003D6709">
              <w:rPr>
                <w:sz w:val="20"/>
                <w:szCs w:val="20"/>
              </w:rPr>
              <w:t xml:space="preserve">Constipation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w:t>
            </w:r>
          </w:p>
        </w:tc>
        <w:tc>
          <w:tcPr>
            <w:tcW w:w="550"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0.0 (0.0, 0.0)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0.0 (0.0, 0.0)</w:t>
            </w:r>
          </w:p>
        </w:tc>
      </w:tr>
      <w:tr w:rsidR="00D9285C" w:rsidRPr="003D6709" w:rsidTr="002A4FB3">
        <w:tc>
          <w:tcPr>
            <w:tcW w:w="1098" w:type="pct"/>
          </w:tcPr>
          <w:p w:rsidR="00D9285C" w:rsidRPr="003D6709" w:rsidRDefault="00D9285C" w:rsidP="002A4FB3">
            <w:pPr>
              <w:pStyle w:val="TableText"/>
              <w:keepLines/>
              <w:widowControl w:val="0"/>
              <w:rPr>
                <w:sz w:val="20"/>
                <w:szCs w:val="20"/>
                <w:highlight w:val="yellow"/>
              </w:rPr>
            </w:pPr>
            <w:r w:rsidRPr="003D6709">
              <w:rPr>
                <w:sz w:val="20"/>
                <w:szCs w:val="20"/>
              </w:rPr>
              <w:t xml:space="preserve">Vomiting </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w:t>
            </w:r>
          </w:p>
        </w:tc>
        <w:tc>
          <w:tcPr>
            <w:tcW w:w="550" w:type="pct"/>
          </w:tcPr>
          <w:p w:rsidR="00D9285C" w:rsidRPr="003D6709" w:rsidRDefault="00D9285C" w:rsidP="002A4FB3">
            <w:pPr>
              <w:pStyle w:val="TableText"/>
              <w:keepLines/>
              <w:widowControl w:val="0"/>
              <w:jc w:val="center"/>
              <w:rPr>
                <w:sz w:val="20"/>
                <w:szCs w:val="20"/>
              </w:rPr>
            </w:pPr>
            <w:r w:rsidRPr="003D6709">
              <w:rPr>
                <w:sz w:val="20"/>
                <w:szCs w:val="20"/>
              </w:rPr>
              <w:t>0</w:t>
            </w:r>
          </w:p>
        </w:tc>
        <w:tc>
          <w:tcPr>
            <w:tcW w:w="851" w:type="pct"/>
          </w:tcPr>
          <w:p w:rsidR="00D9285C" w:rsidRPr="003D6709" w:rsidRDefault="00D9285C" w:rsidP="002A4FB3">
            <w:pPr>
              <w:pStyle w:val="TableText"/>
              <w:keepLines/>
              <w:widowControl w:val="0"/>
              <w:jc w:val="center"/>
              <w:rPr>
                <w:sz w:val="20"/>
                <w:szCs w:val="20"/>
              </w:rPr>
            </w:pPr>
            <w:r w:rsidRPr="003D6709">
              <w:rPr>
                <w:sz w:val="20"/>
                <w:szCs w:val="20"/>
              </w:rPr>
              <w:t>0.0 (0.0, 0.0)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557" w:type="pct"/>
          </w:tcPr>
          <w:p w:rsidR="00D9285C" w:rsidRPr="003D6709" w:rsidRDefault="00C960D6" w:rsidP="002A4FB3">
            <w:pPr>
              <w:pStyle w:val="TableText"/>
              <w:keepLines/>
              <w:widowControl w:val="0"/>
              <w:jc w:val="center"/>
              <w:rPr>
                <w:sz w:val="20"/>
                <w:szCs w:val="20"/>
              </w:rPr>
            </w:pPr>
            <w:r w:rsidRPr="003D6709">
              <w:rPr>
                <w:sz w:val="20"/>
                <w:szCs w:val="20"/>
              </w:rPr>
              <w:t>0</w:t>
            </w:r>
          </w:p>
        </w:tc>
        <w:tc>
          <w:tcPr>
            <w:tcW w:w="837" w:type="pct"/>
          </w:tcPr>
          <w:p w:rsidR="00D9285C" w:rsidRPr="003D6709" w:rsidRDefault="00D9285C" w:rsidP="002A4FB3">
            <w:pPr>
              <w:pStyle w:val="TableText"/>
              <w:keepLines/>
              <w:widowControl w:val="0"/>
              <w:jc w:val="center"/>
              <w:rPr>
                <w:sz w:val="20"/>
                <w:szCs w:val="20"/>
              </w:rPr>
            </w:pPr>
            <w:r w:rsidRPr="003D6709">
              <w:rPr>
                <w:sz w:val="20"/>
                <w:szCs w:val="20"/>
              </w:rPr>
              <w:t>0</w:t>
            </w:r>
            <w:r w:rsidR="00423296" w:rsidRPr="003D6709">
              <w:rPr>
                <w:sz w:val="20"/>
                <w:szCs w:val="20"/>
              </w:rPr>
              <w:t>.0</w:t>
            </w:r>
            <w:r w:rsidRPr="003D6709">
              <w:rPr>
                <w:sz w:val="20"/>
                <w:szCs w:val="20"/>
              </w:rPr>
              <w:t xml:space="preserve"> (0.0, 0.0)</w:t>
            </w:r>
          </w:p>
        </w:tc>
      </w:tr>
    </w:tbl>
    <w:p w:rsidR="00D9285C" w:rsidRPr="003D6709" w:rsidRDefault="00D9285C" w:rsidP="002A4FB3">
      <w:pPr>
        <w:pStyle w:val="TableFooter"/>
        <w:keepNext/>
        <w:keepLines/>
        <w:spacing w:after="120"/>
      </w:pPr>
      <w:r w:rsidRPr="003D6709">
        <w:t>Source: Table 2.6.4, pp83-84 of the submission.</w:t>
      </w:r>
    </w:p>
    <w:p w:rsidR="00D9285C" w:rsidRPr="003D6709" w:rsidRDefault="00D9285C" w:rsidP="002A4FB3">
      <w:pPr>
        <w:pStyle w:val="TableFooter"/>
        <w:keepNext/>
        <w:keepLines/>
        <w:spacing w:after="120"/>
      </w:pPr>
      <w:r w:rsidRPr="003D6709">
        <w:t>Abbreviations: ACAL, acalabrutinib; AE, adverse event; IBR, ibrutinib; MAIC, matching adjusted indirect comparison; RD, risk difference.</w:t>
      </w:r>
    </w:p>
    <w:p w:rsidR="00D9285C" w:rsidRPr="003D6709" w:rsidRDefault="00D9285C" w:rsidP="002A4FB3">
      <w:pPr>
        <w:pStyle w:val="TableFooter"/>
        <w:keepNext/>
        <w:keepLines/>
        <w:spacing w:after="120"/>
      </w:pPr>
      <w:r w:rsidRPr="003D6709">
        <w:t>Bolded results indicate statistically significant difference (p&lt;0.05).</w:t>
      </w:r>
    </w:p>
    <w:p w:rsidR="00D9285C" w:rsidRPr="003D6709" w:rsidRDefault="00D9285C" w:rsidP="002A4FB3">
      <w:pPr>
        <w:pStyle w:val="TableFooter"/>
        <w:keepNext/>
        <w:keepLines/>
        <w:spacing w:after="120"/>
      </w:pPr>
      <w:r w:rsidRPr="003D6709">
        <w:rPr>
          <w:vertAlign w:val="superscript"/>
        </w:rPr>
        <w:t>1</w:t>
      </w:r>
      <w:r w:rsidRPr="003D6709">
        <w:t xml:space="preserve"> Patients in ASCEND who were ECOG score 2 at baseline (n=19) were not included in the matching because RESONATE did not include patients with this performance status. A further four patients were removed due to missing baseline characteristics therefore 132 ACA patients were matched.</w:t>
      </w:r>
    </w:p>
    <w:p w:rsidR="00D9285C" w:rsidRPr="003D6709" w:rsidRDefault="00D9285C" w:rsidP="002A4FB3">
      <w:pPr>
        <w:pStyle w:val="TableFooter"/>
        <w:keepNext/>
        <w:keepLines/>
        <w:spacing w:after="120"/>
        <w:rPr>
          <w:color w:val="0066FF"/>
        </w:rPr>
      </w:pPr>
      <w:r w:rsidRPr="003D6709">
        <w:rPr>
          <w:vertAlign w:val="superscript"/>
        </w:rPr>
        <w:t>2</w:t>
      </w:r>
      <w:r w:rsidRPr="003D6709">
        <w:t xml:space="preserve"> Effective sample size after reweighting.</w:t>
      </w:r>
    </w:p>
    <w:p w:rsidR="00D9285C" w:rsidRPr="003D6709" w:rsidRDefault="00D9285C" w:rsidP="00F80A23">
      <w:pPr>
        <w:pStyle w:val="ExecSumBodyText"/>
        <w:keepLines/>
      </w:pPr>
      <w:r w:rsidRPr="003D6709">
        <w:rPr>
          <w:snapToGrid/>
        </w:rPr>
        <w:t xml:space="preserve">Prior to MAIC adjustment (i.e. based on a naïve comparison of acalabrutinib and ibrutinib), there was a statistically significant difference favouring acalabrutinib for serious adverse events. After MAIC adjustment, there were statistically significant differences favouring acalabrutinib for serious adverse events and hypertension, and favouring ibrutinib for anaemia. </w:t>
      </w:r>
      <w:r w:rsidR="004B4A93" w:rsidRPr="003D6709">
        <w:rPr>
          <w:snapToGrid/>
        </w:rPr>
        <w:t xml:space="preserve">The </w:t>
      </w:r>
      <w:r w:rsidR="00F01579" w:rsidRPr="003D6709">
        <w:rPr>
          <w:snapToGrid/>
        </w:rPr>
        <w:t xml:space="preserve">PBAC noted that the </w:t>
      </w:r>
      <w:r w:rsidR="004B4A93" w:rsidRPr="003D6709">
        <w:rPr>
          <w:snapToGrid/>
        </w:rPr>
        <w:t>results should be interpreted with caution due to inadequate justification for the application of the MAIC methodology to specific adverse events, the low effective sample size for acalabrutinib, and differences in the duration of follow-up between the trials.</w:t>
      </w:r>
      <w:r w:rsidR="00D54A72" w:rsidRPr="003D6709">
        <w:rPr>
          <w:snapToGrid/>
        </w:rPr>
        <w:t xml:space="preserve"> </w:t>
      </w:r>
    </w:p>
    <w:p w:rsidR="00AE05B5" w:rsidRPr="003D6709" w:rsidRDefault="00AE05B5" w:rsidP="00AE05B5">
      <w:pPr>
        <w:pStyle w:val="ExecSumBodyText"/>
      </w:pPr>
      <w:r w:rsidRPr="003D6709">
        <w:rPr>
          <w:color w:val="000000" w:themeColor="text1"/>
        </w:rPr>
        <w:t xml:space="preserve">The proposed restriction includes patients who have developed intolerance to another BTK inhibitor (i.e. ibrutinib) of a severity necessitating permanent treatment withdrawal. </w:t>
      </w:r>
    </w:p>
    <w:p w:rsidR="00AE05B5" w:rsidRPr="003D6709" w:rsidRDefault="00AE05B5" w:rsidP="00AE05B5">
      <w:pPr>
        <w:pStyle w:val="ExecSumBodyText"/>
        <w:keepLines/>
      </w:pPr>
      <w:r w:rsidRPr="003D6709">
        <w:rPr>
          <w:color w:val="000000" w:themeColor="text1"/>
        </w:rPr>
        <w:t>The submission</w:t>
      </w:r>
      <w:r w:rsidRPr="003D6709">
        <w:t xml:space="preserve"> </w:t>
      </w:r>
      <w:r w:rsidRPr="003D6709">
        <w:rPr>
          <w:color w:val="000000" w:themeColor="text1"/>
        </w:rPr>
        <w:t xml:space="preserve">noted that in a study by Awan et al. (2016), patients with ibrutinib intolerance were successfully treated with acalabrutinib without recurrence of symptoms. </w:t>
      </w:r>
    </w:p>
    <w:p w:rsidR="00AE05B5" w:rsidRPr="003D6709" w:rsidRDefault="00AE05B5" w:rsidP="00AE05B5">
      <w:pPr>
        <w:pStyle w:val="ExecSumBodyText"/>
        <w:keepLines/>
      </w:pPr>
      <w:r w:rsidRPr="003D6709">
        <w:rPr>
          <w:color w:val="000000" w:themeColor="text1"/>
        </w:rPr>
        <w:lastRenderedPageBreak/>
        <w:t xml:space="preserve">Another study, Awan et al. (2019), assessed the safety and efficacy of acalabrutinib among an open-label cohort of patients with CLL/SLL who discontinued ibrutinib due to intolerance (as determined by the investigator). The study comprised 33 patients with a median duration of prior ibrutinib treatment of 11.6 months. After a median of 19.0 months treatment (range: 0.2, 30.6), 23 patients remained on acalabrutinib and 10 had discontinued. Grade 3/4 adverse events occurred in 58% of patients, with neutropenia (12%), and thrombocytopenia (9%), the most commonly reported. Of 62 ibrutinib-related adverse events associated with intolerance, 72% did not recur and 13% recurred at a lower grade with acalabrutinib. The study authors noted a number of study limitations, including the use of lower doses and retrospective reporting. </w:t>
      </w:r>
    </w:p>
    <w:p w:rsidR="00AE05B5" w:rsidRPr="003D6709" w:rsidRDefault="00AE05B5" w:rsidP="002A4FB3">
      <w:pPr>
        <w:pStyle w:val="ExecSumBodyText"/>
      </w:pPr>
      <w:r w:rsidRPr="003D6709">
        <w:t>One additional Phase 2 study of 60 patients was noted during the evaluation (Rogers et al., 2019; NCT02717611). Patients who had discontinued ibrutinib due to Grade 3/4 adverse events or persistent/recurrent Grade 2 adverse events and had progressive disease after ibrutinib discontinuation were treated with acalabrutinib. The median duration of prior ibrutinib therapy was 6 months. At a median follow-up of 19 months (range: 1, 31), 67% of patients remained on acalabrutinib. Discontinuations due to adverse events occurred in 10% of patients.</w:t>
      </w:r>
    </w:p>
    <w:p w:rsidR="00D9285C" w:rsidRPr="003D6709" w:rsidRDefault="00D9285C" w:rsidP="00D9285C">
      <w:pPr>
        <w:pStyle w:val="5-SubSubSubHead"/>
      </w:pPr>
      <w:r w:rsidRPr="003D6709">
        <w:t xml:space="preserve">MAIC of acalabrutinib versus venetoclax plus rituximab </w:t>
      </w:r>
    </w:p>
    <w:p w:rsidR="000934B0" w:rsidRPr="003D6709" w:rsidRDefault="000934B0" w:rsidP="00A36E63">
      <w:pPr>
        <w:pStyle w:val="ExecSumBodyText"/>
      </w:pPr>
      <w:r w:rsidRPr="003D6709">
        <w:rPr>
          <w:snapToGrid/>
        </w:rPr>
        <w:t xml:space="preserve">The submission presented MAICs of acalabrutinib and venetoclax plus rituximab for Grade 1-4 and Grade 3/4 adverse events based on the </w:t>
      </w:r>
      <w:r w:rsidR="00563D8A" w:rsidRPr="003D6709">
        <w:rPr>
          <w:snapToGrid/>
        </w:rPr>
        <w:t xml:space="preserve">results of the </w:t>
      </w:r>
      <w:r w:rsidRPr="003D6709">
        <w:rPr>
          <w:snapToGrid/>
        </w:rPr>
        <w:t>ASCEND and MURANO trials.</w:t>
      </w:r>
    </w:p>
    <w:p w:rsidR="00A36E63" w:rsidRPr="003D6709" w:rsidRDefault="000B501B" w:rsidP="00A36E63">
      <w:pPr>
        <w:pStyle w:val="ExecSumBodyText"/>
      </w:pPr>
      <w:r w:rsidRPr="003D6709">
        <w:t>Table 14</w:t>
      </w:r>
      <w:r w:rsidR="00A36E63" w:rsidRPr="003D6709">
        <w:rPr>
          <w:snapToGrid/>
        </w:rPr>
        <w:t xml:space="preserve"> presents the results </w:t>
      </w:r>
      <w:r w:rsidR="00563D8A" w:rsidRPr="003D6709">
        <w:rPr>
          <w:snapToGrid/>
        </w:rPr>
        <w:t>of</w:t>
      </w:r>
      <w:r w:rsidR="00A36E63" w:rsidRPr="003D6709">
        <w:rPr>
          <w:snapToGrid/>
        </w:rPr>
        <w:t xml:space="preserve"> the </w:t>
      </w:r>
      <w:r w:rsidR="004B4A93" w:rsidRPr="003D6709">
        <w:rPr>
          <w:snapToGrid/>
        </w:rPr>
        <w:t>MAIC</w:t>
      </w:r>
      <w:r w:rsidR="00A36E63" w:rsidRPr="003D6709">
        <w:rPr>
          <w:snapToGrid/>
        </w:rPr>
        <w:t xml:space="preserve"> </w:t>
      </w:r>
      <w:r w:rsidR="00D9285C" w:rsidRPr="003D6709">
        <w:rPr>
          <w:snapToGrid/>
        </w:rPr>
        <w:t>of</w:t>
      </w:r>
      <w:r w:rsidR="00A36E63" w:rsidRPr="003D6709">
        <w:rPr>
          <w:snapToGrid/>
        </w:rPr>
        <w:t xml:space="preserve"> </w:t>
      </w:r>
      <w:r w:rsidR="00D9285C" w:rsidRPr="003D6709">
        <w:rPr>
          <w:snapToGrid/>
        </w:rPr>
        <w:t>Grade 3/4 adverse events</w:t>
      </w:r>
      <w:r w:rsidR="00563D8A" w:rsidRPr="003D6709">
        <w:rPr>
          <w:snapToGrid/>
        </w:rPr>
        <w:t xml:space="preserve"> for acalabrutinib versus venetoclax plus rituximab</w:t>
      </w:r>
      <w:r w:rsidR="000934B0" w:rsidRPr="003D6709">
        <w:rPr>
          <w:snapToGrid/>
        </w:rPr>
        <w:t>.</w:t>
      </w:r>
    </w:p>
    <w:p w:rsidR="00A36E63" w:rsidRPr="003D6709" w:rsidRDefault="000B501B" w:rsidP="00A36E63">
      <w:pPr>
        <w:pStyle w:val="TableHeading"/>
      </w:pPr>
      <w:bookmarkStart w:id="34" w:name="_Ref33454173"/>
      <w:r w:rsidRPr="003D6709">
        <w:t>Table 14</w:t>
      </w:r>
      <w:bookmarkEnd w:id="34"/>
      <w:r w:rsidR="00A36E63" w:rsidRPr="003D6709">
        <w:t xml:space="preserve">: </w:t>
      </w:r>
      <w:r w:rsidR="000934B0" w:rsidRPr="003D6709">
        <w:t xml:space="preserve">Results </w:t>
      </w:r>
      <w:r w:rsidR="00563D8A" w:rsidRPr="003D6709">
        <w:t>of</w:t>
      </w:r>
      <w:r w:rsidR="00A36E63" w:rsidRPr="003D6709">
        <w:t xml:space="preserve"> the </w:t>
      </w:r>
      <w:r w:rsidR="004B4A93" w:rsidRPr="003D6709">
        <w:t>MAIC</w:t>
      </w:r>
      <w:r w:rsidR="00A36E63" w:rsidRPr="003D6709">
        <w:t xml:space="preserve"> </w:t>
      </w:r>
      <w:r w:rsidR="004B4A93" w:rsidRPr="003D6709">
        <w:t>of</w:t>
      </w:r>
      <w:r w:rsidR="00A36E63" w:rsidRPr="003D6709">
        <w:t xml:space="preserve"> Grade 3/4 adverse events for acalabrutinib versus venetoclax plus rituximab</w:t>
      </w:r>
    </w:p>
    <w:tbl>
      <w:tblPr>
        <w:tblStyle w:val="AZTable"/>
        <w:tblW w:w="5000" w:type="pct"/>
        <w:tblLook w:val="0000" w:firstRow="0" w:lastRow="0" w:firstColumn="0" w:lastColumn="0" w:noHBand="0" w:noVBand="0"/>
        <w:tblCaption w:val="Table 14: Results of the MAIC of Grade 3/4 adverse events for acalabrutinib versus venetoclax plus rituximab"/>
      </w:tblPr>
      <w:tblGrid>
        <w:gridCol w:w="1980"/>
        <w:gridCol w:w="992"/>
        <w:gridCol w:w="992"/>
        <w:gridCol w:w="1560"/>
        <w:gridCol w:w="992"/>
        <w:gridCol w:w="992"/>
        <w:gridCol w:w="1509"/>
      </w:tblGrid>
      <w:tr w:rsidR="00A36E63" w:rsidRPr="003D6709" w:rsidTr="003221CF">
        <w:trPr>
          <w:tblHeader/>
        </w:trPr>
        <w:tc>
          <w:tcPr>
            <w:tcW w:w="1098" w:type="pct"/>
            <w:vMerge w:val="restart"/>
            <w:tcBorders>
              <w:top w:val="single" w:sz="4" w:space="0" w:color="auto"/>
            </w:tcBorders>
            <w:vAlign w:val="center"/>
          </w:tcPr>
          <w:p w:rsidR="00A36E63" w:rsidRPr="003D6709" w:rsidRDefault="00A5160D" w:rsidP="00D35E6E">
            <w:pPr>
              <w:pStyle w:val="TableHeading"/>
              <w:jc w:val="left"/>
              <w:rPr>
                <w:szCs w:val="20"/>
              </w:rPr>
            </w:pPr>
            <w:r w:rsidRPr="003D6709">
              <w:rPr>
                <w:szCs w:val="20"/>
              </w:rPr>
              <w:t>Adverse event, any Grade 3/</w:t>
            </w:r>
            <w:r w:rsidR="00A36E63" w:rsidRPr="003D6709">
              <w:rPr>
                <w:szCs w:val="20"/>
              </w:rPr>
              <w:t>4</w:t>
            </w:r>
            <w:r w:rsidR="00C960D6" w:rsidRPr="003D6709">
              <w:rPr>
                <w:szCs w:val="20"/>
              </w:rPr>
              <w:t>, %</w:t>
            </w:r>
          </w:p>
        </w:tc>
        <w:tc>
          <w:tcPr>
            <w:tcW w:w="1965" w:type="pct"/>
            <w:gridSpan w:val="3"/>
            <w:tcBorders>
              <w:top w:val="single" w:sz="4" w:space="0" w:color="auto"/>
              <w:bottom w:val="single" w:sz="4" w:space="0" w:color="auto"/>
            </w:tcBorders>
            <w:vAlign w:val="center"/>
          </w:tcPr>
          <w:p w:rsidR="00A36E63" w:rsidRPr="003D6709" w:rsidRDefault="00A36E63" w:rsidP="00D35E6E">
            <w:pPr>
              <w:pStyle w:val="TableHeading"/>
              <w:keepNext w:val="0"/>
              <w:jc w:val="center"/>
              <w:rPr>
                <w:szCs w:val="20"/>
              </w:rPr>
            </w:pPr>
            <w:r w:rsidRPr="003D6709">
              <w:rPr>
                <w:szCs w:val="20"/>
              </w:rPr>
              <w:t>Unadjusted</w:t>
            </w:r>
          </w:p>
        </w:tc>
        <w:tc>
          <w:tcPr>
            <w:tcW w:w="1937" w:type="pct"/>
            <w:gridSpan w:val="3"/>
            <w:tcBorders>
              <w:bottom w:val="single" w:sz="4" w:space="0" w:color="auto"/>
            </w:tcBorders>
            <w:vAlign w:val="center"/>
          </w:tcPr>
          <w:p w:rsidR="00A36E63" w:rsidRPr="003D6709" w:rsidRDefault="00A36E63" w:rsidP="00D35E6E">
            <w:pPr>
              <w:pStyle w:val="TableHeading"/>
              <w:keepNext w:val="0"/>
              <w:jc w:val="center"/>
              <w:rPr>
                <w:szCs w:val="20"/>
              </w:rPr>
            </w:pPr>
            <w:r w:rsidRPr="003D6709">
              <w:rPr>
                <w:szCs w:val="20"/>
              </w:rPr>
              <w:t>MAIC adjusted</w:t>
            </w:r>
          </w:p>
        </w:tc>
      </w:tr>
      <w:tr w:rsidR="00A36E63" w:rsidRPr="003D6709" w:rsidTr="003221CF">
        <w:trPr>
          <w:tblHeader/>
        </w:trPr>
        <w:tc>
          <w:tcPr>
            <w:tcW w:w="1098" w:type="pct"/>
            <w:vMerge/>
            <w:vAlign w:val="center"/>
          </w:tcPr>
          <w:p w:rsidR="00A36E63" w:rsidRPr="003D6709" w:rsidRDefault="00A36E63" w:rsidP="00D35E6E">
            <w:pPr>
              <w:pStyle w:val="TableHeading"/>
              <w:keepNext w:val="0"/>
              <w:jc w:val="left"/>
              <w:rPr>
                <w:szCs w:val="20"/>
              </w:rPr>
            </w:pPr>
          </w:p>
        </w:tc>
        <w:tc>
          <w:tcPr>
            <w:tcW w:w="550" w:type="pct"/>
            <w:tcBorders>
              <w:top w:val="single" w:sz="4" w:space="0" w:color="auto"/>
              <w:bottom w:val="single" w:sz="4" w:space="0" w:color="auto"/>
            </w:tcBorders>
            <w:vAlign w:val="center"/>
          </w:tcPr>
          <w:p w:rsidR="00A36E63" w:rsidRPr="003D6709" w:rsidRDefault="00A36E63" w:rsidP="00D35E6E">
            <w:pPr>
              <w:pStyle w:val="TableHeading"/>
              <w:jc w:val="center"/>
              <w:rPr>
                <w:szCs w:val="20"/>
              </w:rPr>
            </w:pPr>
            <w:r w:rsidRPr="003D6709">
              <w:rPr>
                <w:szCs w:val="20"/>
              </w:rPr>
              <w:t>ACAL</w:t>
            </w:r>
          </w:p>
          <w:p w:rsidR="00A36E63" w:rsidRPr="003D6709" w:rsidRDefault="00A36E63" w:rsidP="00D35E6E">
            <w:pPr>
              <w:pStyle w:val="TableHeading"/>
              <w:keepNext w:val="0"/>
              <w:jc w:val="center"/>
              <w:rPr>
                <w:szCs w:val="20"/>
                <w:vertAlign w:val="superscript"/>
              </w:rPr>
            </w:pPr>
            <w:r w:rsidRPr="003D6709">
              <w:rPr>
                <w:szCs w:val="20"/>
              </w:rPr>
              <w:t>(N=150)</w:t>
            </w:r>
            <w:r w:rsidRPr="003D6709">
              <w:rPr>
                <w:szCs w:val="20"/>
                <w:vertAlign w:val="superscript"/>
              </w:rPr>
              <w:t>1</w:t>
            </w:r>
          </w:p>
        </w:tc>
        <w:tc>
          <w:tcPr>
            <w:tcW w:w="550" w:type="pct"/>
            <w:tcBorders>
              <w:bottom w:val="single" w:sz="4" w:space="0" w:color="auto"/>
            </w:tcBorders>
            <w:vAlign w:val="center"/>
          </w:tcPr>
          <w:p w:rsidR="00A36E63" w:rsidRPr="003D6709" w:rsidRDefault="00A36E63" w:rsidP="00D35E6E">
            <w:pPr>
              <w:pStyle w:val="TableHeading"/>
              <w:jc w:val="center"/>
              <w:rPr>
                <w:szCs w:val="20"/>
              </w:rPr>
            </w:pPr>
            <w:r w:rsidRPr="003D6709">
              <w:rPr>
                <w:szCs w:val="20"/>
              </w:rPr>
              <w:t>VEN + RITU</w:t>
            </w:r>
          </w:p>
          <w:p w:rsidR="00A36E63" w:rsidRPr="003D6709" w:rsidRDefault="00A36E63" w:rsidP="00D35E6E">
            <w:pPr>
              <w:pStyle w:val="TableHeading"/>
              <w:keepNext w:val="0"/>
              <w:jc w:val="center"/>
              <w:rPr>
                <w:szCs w:val="20"/>
              </w:rPr>
            </w:pPr>
            <w:r w:rsidRPr="003D6709">
              <w:rPr>
                <w:szCs w:val="20"/>
              </w:rPr>
              <w:t>(N=194)</w:t>
            </w:r>
          </w:p>
        </w:tc>
        <w:tc>
          <w:tcPr>
            <w:tcW w:w="865" w:type="pct"/>
            <w:tcBorders>
              <w:bottom w:val="single" w:sz="4" w:space="0" w:color="auto"/>
            </w:tcBorders>
            <w:vAlign w:val="center"/>
          </w:tcPr>
          <w:p w:rsidR="00A36E63" w:rsidRPr="003D6709" w:rsidRDefault="00A36E63" w:rsidP="00D35E6E">
            <w:pPr>
              <w:pStyle w:val="TableHeading"/>
              <w:jc w:val="center"/>
              <w:rPr>
                <w:szCs w:val="20"/>
              </w:rPr>
            </w:pPr>
            <w:r w:rsidRPr="003D6709">
              <w:rPr>
                <w:szCs w:val="20"/>
              </w:rPr>
              <w:t xml:space="preserve">RD </w:t>
            </w:r>
          </w:p>
          <w:p w:rsidR="00A36E63" w:rsidRPr="003D6709" w:rsidRDefault="00A36E63" w:rsidP="00D35E6E">
            <w:pPr>
              <w:pStyle w:val="TableHeading"/>
              <w:keepNext w:val="0"/>
              <w:jc w:val="center"/>
              <w:rPr>
                <w:szCs w:val="20"/>
              </w:rPr>
            </w:pPr>
            <w:r w:rsidRPr="003D6709">
              <w:rPr>
                <w:szCs w:val="20"/>
              </w:rPr>
              <w:t>(95% CI)</w:t>
            </w:r>
          </w:p>
        </w:tc>
        <w:tc>
          <w:tcPr>
            <w:tcW w:w="550" w:type="pct"/>
            <w:tcBorders>
              <w:bottom w:val="single" w:sz="4" w:space="0" w:color="auto"/>
            </w:tcBorders>
            <w:vAlign w:val="center"/>
          </w:tcPr>
          <w:p w:rsidR="00A36E63" w:rsidRPr="003D6709" w:rsidRDefault="00A36E63" w:rsidP="00D35E6E">
            <w:pPr>
              <w:pStyle w:val="TableHeading"/>
              <w:jc w:val="center"/>
              <w:rPr>
                <w:szCs w:val="20"/>
              </w:rPr>
            </w:pPr>
            <w:r w:rsidRPr="003D6709">
              <w:rPr>
                <w:szCs w:val="20"/>
              </w:rPr>
              <w:t>ACAL</w:t>
            </w:r>
          </w:p>
          <w:p w:rsidR="00A36E63" w:rsidRPr="003D6709" w:rsidRDefault="00A36E63" w:rsidP="00D35E6E">
            <w:pPr>
              <w:pStyle w:val="TableHeading"/>
              <w:keepNext w:val="0"/>
              <w:jc w:val="center"/>
              <w:rPr>
                <w:szCs w:val="20"/>
                <w:vertAlign w:val="superscript"/>
              </w:rPr>
            </w:pPr>
            <w:r w:rsidRPr="003D6709">
              <w:rPr>
                <w:szCs w:val="20"/>
              </w:rPr>
              <w:t>(N=86)</w:t>
            </w:r>
            <w:r w:rsidRPr="003D6709">
              <w:rPr>
                <w:szCs w:val="20"/>
                <w:vertAlign w:val="superscript"/>
              </w:rPr>
              <w:t>2</w:t>
            </w:r>
          </w:p>
        </w:tc>
        <w:tc>
          <w:tcPr>
            <w:tcW w:w="550" w:type="pct"/>
            <w:tcBorders>
              <w:bottom w:val="single" w:sz="4" w:space="0" w:color="auto"/>
            </w:tcBorders>
            <w:vAlign w:val="center"/>
          </w:tcPr>
          <w:p w:rsidR="00A36E63" w:rsidRPr="003D6709" w:rsidRDefault="00A36E63" w:rsidP="00D35E6E">
            <w:pPr>
              <w:pStyle w:val="TableHeading"/>
              <w:jc w:val="center"/>
              <w:rPr>
                <w:szCs w:val="20"/>
              </w:rPr>
            </w:pPr>
            <w:r w:rsidRPr="003D6709">
              <w:rPr>
                <w:szCs w:val="20"/>
              </w:rPr>
              <w:t>VEN + RITU</w:t>
            </w:r>
          </w:p>
          <w:p w:rsidR="00A36E63" w:rsidRPr="003D6709" w:rsidRDefault="00A36E63" w:rsidP="00D35E6E">
            <w:pPr>
              <w:pStyle w:val="TableHeading"/>
              <w:keepNext w:val="0"/>
              <w:jc w:val="center"/>
              <w:rPr>
                <w:szCs w:val="20"/>
              </w:rPr>
            </w:pPr>
            <w:r w:rsidRPr="003D6709">
              <w:rPr>
                <w:szCs w:val="20"/>
              </w:rPr>
              <w:t xml:space="preserve"> (N=194)</w:t>
            </w:r>
          </w:p>
        </w:tc>
        <w:tc>
          <w:tcPr>
            <w:tcW w:w="837" w:type="pct"/>
            <w:tcBorders>
              <w:bottom w:val="single" w:sz="4" w:space="0" w:color="auto"/>
            </w:tcBorders>
            <w:vAlign w:val="center"/>
          </w:tcPr>
          <w:p w:rsidR="00A36E63" w:rsidRPr="003D6709" w:rsidRDefault="00A36E63" w:rsidP="00D35E6E">
            <w:pPr>
              <w:pStyle w:val="TableHeading"/>
              <w:jc w:val="center"/>
              <w:rPr>
                <w:szCs w:val="20"/>
              </w:rPr>
            </w:pPr>
            <w:r w:rsidRPr="003D6709">
              <w:rPr>
                <w:szCs w:val="20"/>
              </w:rPr>
              <w:t xml:space="preserve">RD </w:t>
            </w:r>
          </w:p>
          <w:p w:rsidR="00A36E63" w:rsidRPr="003D6709" w:rsidRDefault="00A36E63" w:rsidP="00D35E6E">
            <w:pPr>
              <w:pStyle w:val="TableHeading"/>
              <w:keepNext w:val="0"/>
              <w:jc w:val="center"/>
              <w:rPr>
                <w:szCs w:val="20"/>
              </w:rPr>
            </w:pPr>
            <w:r w:rsidRPr="003D6709">
              <w:rPr>
                <w:szCs w:val="20"/>
              </w:rPr>
              <w:t>(95% CI)</w:t>
            </w:r>
          </w:p>
        </w:tc>
      </w:tr>
      <w:tr w:rsidR="00A36E63" w:rsidRPr="003D6709" w:rsidTr="002A4FB3">
        <w:tc>
          <w:tcPr>
            <w:tcW w:w="5000" w:type="pct"/>
            <w:gridSpan w:val="7"/>
          </w:tcPr>
          <w:p w:rsidR="00A36E63" w:rsidRPr="003D6709" w:rsidRDefault="00A36E63" w:rsidP="00D35E6E">
            <w:pPr>
              <w:pStyle w:val="TableText"/>
              <w:keepNext w:val="0"/>
              <w:rPr>
                <w:sz w:val="20"/>
                <w:szCs w:val="20"/>
              </w:rPr>
            </w:pPr>
            <w:r w:rsidRPr="003D6709">
              <w:rPr>
                <w:b/>
                <w:sz w:val="20"/>
                <w:szCs w:val="20"/>
              </w:rPr>
              <w:t>VEN + RITU median follow-up: 23.8 months</w:t>
            </w:r>
          </w:p>
        </w:tc>
      </w:tr>
      <w:tr w:rsidR="00A36E63" w:rsidRPr="003D6709" w:rsidTr="002A4FB3">
        <w:tc>
          <w:tcPr>
            <w:tcW w:w="1098" w:type="pct"/>
          </w:tcPr>
          <w:p w:rsidR="00A36E63" w:rsidRPr="003D6709" w:rsidRDefault="00A36E63" w:rsidP="00D35E6E">
            <w:pPr>
              <w:pStyle w:val="TableText"/>
              <w:keepNext w:val="0"/>
              <w:rPr>
                <w:sz w:val="20"/>
                <w:szCs w:val="20"/>
              </w:rPr>
            </w:pPr>
            <w:r w:rsidRPr="003D6709">
              <w:rPr>
                <w:sz w:val="20"/>
                <w:szCs w:val="20"/>
              </w:rPr>
              <w:t>Any AE</w:t>
            </w:r>
          </w:p>
        </w:tc>
        <w:tc>
          <w:tcPr>
            <w:tcW w:w="550" w:type="pct"/>
          </w:tcPr>
          <w:p w:rsidR="00A36E63" w:rsidRPr="003D6709" w:rsidRDefault="00A36E63" w:rsidP="00D35E6E">
            <w:pPr>
              <w:pStyle w:val="TableText"/>
              <w:keepNext w:val="0"/>
              <w:jc w:val="center"/>
              <w:rPr>
                <w:sz w:val="20"/>
                <w:szCs w:val="20"/>
              </w:rPr>
            </w:pPr>
            <w:r w:rsidRPr="003D6709">
              <w:rPr>
                <w:sz w:val="20"/>
                <w:szCs w:val="20"/>
              </w:rPr>
              <w:t>48.7</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82.0</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sz w:val="20"/>
                <w:szCs w:val="20"/>
              </w:rPr>
            </w:pPr>
            <w:r w:rsidRPr="003D6709">
              <w:rPr>
                <w:b/>
                <w:sz w:val="20"/>
                <w:szCs w:val="20"/>
              </w:rPr>
              <w:t>-33.3 (-43.0, -23.7)</w:t>
            </w:r>
          </w:p>
        </w:tc>
        <w:tc>
          <w:tcPr>
            <w:tcW w:w="550" w:type="pct"/>
          </w:tcPr>
          <w:p w:rsidR="00A36E63" w:rsidRPr="003D6709" w:rsidRDefault="00A36E63" w:rsidP="00D35E6E">
            <w:pPr>
              <w:pStyle w:val="TableText"/>
              <w:keepNext w:val="0"/>
              <w:jc w:val="center"/>
              <w:rPr>
                <w:sz w:val="20"/>
                <w:szCs w:val="20"/>
              </w:rPr>
            </w:pPr>
            <w:r w:rsidRPr="003D6709">
              <w:rPr>
                <w:sz w:val="20"/>
                <w:szCs w:val="20"/>
              </w:rPr>
              <w:t>40.7</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82.0</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sz w:val="20"/>
                <w:szCs w:val="20"/>
              </w:rPr>
            </w:pPr>
            <w:r w:rsidRPr="003D6709">
              <w:rPr>
                <w:b/>
                <w:sz w:val="20"/>
                <w:szCs w:val="20"/>
              </w:rPr>
              <w:t>-41.3 (-51.0, -31.5)</w:t>
            </w:r>
          </w:p>
        </w:tc>
      </w:tr>
      <w:tr w:rsidR="00A36E63" w:rsidRPr="003D6709" w:rsidTr="002A4FB3">
        <w:tc>
          <w:tcPr>
            <w:tcW w:w="1098" w:type="pct"/>
          </w:tcPr>
          <w:p w:rsidR="00A36E63" w:rsidRPr="003D6709" w:rsidRDefault="00A36E63" w:rsidP="00A5160D">
            <w:pPr>
              <w:pStyle w:val="TableText"/>
              <w:keepNext w:val="0"/>
              <w:rPr>
                <w:sz w:val="20"/>
                <w:szCs w:val="20"/>
              </w:rPr>
            </w:pPr>
            <w:r w:rsidRPr="003D6709">
              <w:rPr>
                <w:sz w:val="20"/>
                <w:szCs w:val="20"/>
              </w:rPr>
              <w:t xml:space="preserve">Serious AE  </w:t>
            </w:r>
          </w:p>
        </w:tc>
        <w:tc>
          <w:tcPr>
            <w:tcW w:w="550" w:type="pct"/>
          </w:tcPr>
          <w:p w:rsidR="00A36E63" w:rsidRPr="003D6709" w:rsidRDefault="00A36E63" w:rsidP="00D35E6E">
            <w:pPr>
              <w:pStyle w:val="TableText"/>
              <w:keepNext w:val="0"/>
              <w:jc w:val="center"/>
              <w:rPr>
                <w:sz w:val="20"/>
                <w:szCs w:val="20"/>
              </w:rPr>
            </w:pPr>
            <w:r w:rsidRPr="003D6709">
              <w:rPr>
                <w:sz w:val="20"/>
                <w:szCs w:val="20"/>
              </w:rPr>
              <w:t>30.0</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46.4</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b/>
                <w:sz w:val="20"/>
                <w:szCs w:val="20"/>
              </w:rPr>
            </w:pPr>
            <w:r w:rsidRPr="003D6709">
              <w:rPr>
                <w:b/>
                <w:sz w:val="20"/>
                <w:szCs w:val="20"/>
              </w:rPr>
              <w:t>-16.4 (-26.6, -6.2)</w:t>
            </w:r>
          </w:p>
        </w:tc>
        <w:tc>
          <w:tcPr>
            <w:tcW w:w="550" w:type="pct"/>
          </w:tcPr>
          <w:p w:rsidR="00A36E63" w:rsidRPr="003D6709" w:rsidRDefault="00A36E63" w:rsidP="00D35E6E">
            <w:pPr>
              <w:pStyle w:val="TableText"/>
              <w:keepNext w:val="0"/>
              <w:jc w:val="center"/>
              <w:rPr>
                <w:sz w:val="20"/>
                <w:szCs w:val="20"/>
              </w:rPr>
            </w:pPr>
            <w:r w:rsidRPr="003D6709">
              <w:rPr>
                <w:sz w:val="20"/>
                <w:szCs w:val="20"/>
              </w:rPr>
              <w:t>18.9</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46.4</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b/>
                <w:sz w:val="20"/>
                <w:szCs w:val="20"/>
              </w:rPr>
            </w:pPr>
            <w:r w:rsidRPr="003D6709">
              <w:rPr>
                <w:b/>
                <w:sz w:val="20"/>
                <w:szCs w:val="20"/>
              </w:rPr>
              <w:t>-27.5 (-36.6, -18.4)</w:t>
            </w:r>
          </w:p>
        </w:tc>
      </w:tr>
      <w:tr w:rsidR="00A36E63" w:rsidRPr="003D6709" w:rsidTr="002A4FB3">
        <w:tc>
          <w:tcPr>
            <w:tcW w:w="1098" w:type="pct"/>
          </w:tcPr>
          <w:p w:rsidR="00A36E63" w:rsidRPr="003D6709" w:rsidRDefault="00A5160D" w:rsidP="00D35E6E">
            <w:pPr>
              <w:pStyle w:val="TableText"/>
              <w:keepNext w:val="0"/>
              <w:rPr>
                <w:sz w:val="20"/>
                <w:szCs w:val="20"/>
              </w:rPr>
            </w:pPr>
            <w:r w:rsidRPr="003D6709">
              <w:rPr>
                <w:sz w:val="20"/>
                <w:szCs w:val="20"/>
              </w:rPr>
              <w:t>Anaemia</w:t>
            </w:r>
            <w:r w:rsidR="00A36E63" w:rsidRPr="003D6709">
              <w:rPr>
                <w:sz w:val="20"/>
                <w:szCs w:val="20"/>
              </w:rPr>
              <w:t xml:space="preserve">  </w:t>
            </w:r>
          </w:p>
        </w:tc>
        <w:tc>
          <w:tcPr>
            <w:tcW w:w="550" w:type="pct"/>
          </w:tcPr>
          <w:p w:rsidR="00A36E63" w:rsidRPr="003D6709" w:rsidRDefault="00A36E63" w:rsidP="00D35E6E">
            <w:pPr>
              <w:pStyle w:val="TableText"/>
              <w:keepNext w:val="0"/>
              <w:jc w:val="center"/>
              <w:rPr>
                <w:sz w:val="20"/>
                <w:szCs w:val="20"/>
              </w:rPr>
            </w:pPr>
            <w:r w:rsidRPr="003D6709">
              <w:rPr>
                <w:sz w:val="20"/>
                <w:szCs w:val="20"/>
              </w:rPr>
              <w:t>11.3</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10.8</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sz w:val="20"/>
                <w:szCs w:val="20"/>
              </w:rPr>
            </w:pPr>
            <w:r w:rsidRPr="003D6709">
              <w:rPr>
                <w:sz w:val="20"/>
                <w:szCs w:val="20"/>
              </w:rPr>
              <w:t>0.5 (-6.2, 7.2)</w:t>
            </w:r>
          </w:p>
        </w:tc>
        <w:tc>
          <w:tcPr>
            <w:tcW w:w="550" w:type="pct"/>
          </w:tcPr>
          <w:p w:rsidR="00A36E63" w:rsidRPr="003D6709" w:rsidRDefault="00A36E63" w:rsidP="00D35E6E">
            <w:pPr>
              <w:pStyle w:val="TableText"/>
              <w:keepNext w:val="0"/>
              <w:jc w:val="center"/>
              <w:rPr>
                <w:sz w:val="20"/>
                <w:szCs w:val="20"/>
              </w:rPr>
            </w:pPr>
            <w:r w:rsidRPr="003D6709">
              <w:rPr>
                <w:sz w:val="20"/>
                <w:szCs w:val="20"/>
              </w:rPr>
              <w:t>7.3</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10.8</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sz w:val="20"/>
                <w:szCs w:val="20"/>
              </w:rPr>
            </w:pPr>
            <w:r w:rsidRPr="003D6709">
              <w:rPr>
                <w:sz w:val="20"/>
                <w:szCs w:val="20"/>
              </w:rPr>
              <w:t>-3.5 (-9.9, 3.0)</w:t>
            </w:r>
          </w:p>
        </w:tc>
      </w:tr>
      <w:tr w:rsidR="00A36E63" w:rsidRPr="003D6709" w:rsidTr="002A4FB3">
        <w:tc>
          <w:tcPr>
            <w:tcW w:w="1098" w:type="pct"/>
          </w:tcPr>
          <w:p w:rsidR="00A36E63" w:rsidRPr="003D6709" w:rsidRDefault="00A36E63" w:rsidP="00A5160D">
            <w:pPr>
              <w:pStyle w:val="TableText"/>
              <w:keepNext w:val="0"/>
              <w:rPr>
                <w:sz w:val="20"/>
                <w:szCs w:val="20"/>
              </w:rPr>
            </w:pPr>
            <w:r w:rsidRPr="003D6709">
              <w:rPr>
                <w:sz w:val="20"/>
                <w:szCs w:val="20"/>
              </w:rPr>
              <w:t xml:space="preserve">Neutropenia  </w:t>
            </w:r>
          </w:p>
        </w:tc>
        <w:tc>
          <w:tcPr>
            <w:tcW w:w="550" w:type="pct"/>
          </w:tcPr>
          <w:p w:rsidR="00A36E63" w:rsidRPr="003D6709" w:rsidRDefault="00A36E63" w:rsidP="00D35E6E">
            <w:pPr>
              <w:pStyle w:val="TableText"/>
              <w:keepNext w:val="0"/>
              <w:jc w:val="center"/>
              <w:rPr>
                <w:sz w:val="20"/>
                <w:szCs w:val="20"/>
              </w:rPr>
            </w:pPr>
            <w:r w:rsidRPr="003D6709">
              <w:rPr>
                <w:sz w:val="20"/>
                <w:szCs w:val="20"/>
              </w:rPr>
              <w:t>19.3</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57.7</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sz w:val="20"/>
                <w:szCs w:val="20"/>
              </w:rPr>
            </w:pPr>
            <w:r w:rsidRPr="003D6709">
              <w:rPr>
                <w:b/>
                <w:sz w:val="20"/>
                <w:szCs w:val="20"/>
              </w:rPr>
              <w:t>-38.4 (-47.8, -29.0)</w:t>
            </w:r>
          </w:p>
        </w:tc>
        <w:tc>
          <w:tcPr>
            <w:tcW w:w="550" w:type="pct"/>
          </w:tcPr>
          <w:p w:rsidR="00A36E63" w:rsidRPr="003D6709" w:rsidRDefault="00A36E63" w:rsidP="00D35E6E">
            <w:pPr>
              <w:pStyle w:val="TableText"/>
              <w:keepNext w:val="0"/>
              <w:jc w:val="center"/>
              <w:rPr>
                <w:sz w:val="20"/>
                <w:szCs w:val="20"/>
              </w:rPr>
            </w:pPr>
            <w:r w:rsidRPr="003D6709">
              <w:rPr>
                <w:sz w:val="20"/>
                <w:szCs w:val="20"/>
              </w:rPr>
              <w:t>18.0</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57.7</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sz w:val="20"/>
                <w:szCs w:val="20"/>
              </w:rPr>
            </w:pPr>
            <w:r w:rsidRPr="003D6709">
              <w:rPr>
                <w:b/>
                <w:sz w:val="20"/>
                <w:szCs w:val="20"/>
              </w:rPr>
              <w:t>-39.7 (-49.5, -30.0)</w:t>
            </w:r>
          </w:p>
        </w:tc>
      </w:tr>
      <w:tr w:rsidR="00A36E63" w:rsidRPr="003D6709" w:rsidTr="002A4FB3">
        <w:tc>
          <w:tcPr>
            <w:tcW w:w="1098" w:type="pct"/>
          </w:tcPr>
          <w:p w:rsidR="00A36E63" w:rsidRPr="003D6709" w:rsidRDefault="00A36E63" w:rsidP="00A5160D">
            <w:pPr>
              <w:pStyle w:val="TableText"/>
              <w:keepNext w:val="0"/>
              <w:rPr>
                <w:sz w:val="20"/>
                <w:szCs w:val="20"/>
              </w:rPr>
            </w:pPr>
            <w:r w:rsidRPr="003D6709">
              <w:rPr>
                <w:sz w:val="20"/>
                <w:szCs w:val="20"/>
              </w:rPr>
              <w:t xml:space="preserve">Thrombocytopenia  </w:t>
            </w:r>
          </w:p>
        </w:tc>
        <w:tc>
          <w:tcPr>
            <w:tcW w:w="550" w:type="pct"/>
          </w:tcPr>
          <w:p w:rsidR="00A36E63" w:rsidRPr="003D6709" w:rsidRDefault="00A36E63" w:rsidP="00D35E6E">
            <w:pPr>
              <w:pStyle w:val="TableText"/>
              <w:keepNext w:val="0"/>
              <w:jc w:val="center"/>
              <w:rPr>
                <w:sz w:val="20"/>
                <w:szCs w:val="20"/>
              </w:rPr>
            </w:pPr>
            <w:r w:rsidRPr="003D6709">
              <w:rPr>
                <w:sz w:val="20"/>
                <w:szCs w:val="20"/>
              </w:rPr>
              <w:t>6.7</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5.7</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sz w:val="20"/>
                <w:szCs w:val="20"/>
              </w:rPr>
            </w:pPr>
            <w:r w:rsidRPr="003D6709">
              <w:rPr>
                <w:sz w:val="20"/>
                <w:szCs w:val="20"/>
              </w:rPr>
              <w:t>1.0 (-4.2, 6.1)</w:t>
            </w:r>
          </w:p>
        </w:tc>
        <w:tc>
          <w:tcPr>
            <w:tcW w:w="550" w:type="pct"/>
          </w:tcPr>
          <w:p w:rsidR="00A36E63" w:rsidRPr="003D6709" w:rsidRDefault="00A36E63" w:rsidP="00D35E6E">
            <w:pPr>
              <w:pStyle w:val="TableText"/>
              <w:keepNext w:val="0"/>
              <w:jc w:val="center"/>
              <w:rPr>
                <w:sz w:val="20"/>
                <w:szCs w:val="20"/>
              </w:rPr>
            </w:pPr>
            <w:r w:rsidRPr="003D6709">
              <w:rPr>
                <w:sz w:val="20"/>
                <w:szCs w:val="20"/>
              </w:rPr>
              <w:t>3.8</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5.7</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sz w:val="20"/>
                <w:szCs w:val="20"/>
              </w:rPr>
            </w:pPr>
            <w:r w:rsidRPr="003D6709">
              <w:rPr>
                <w:sz w:val="20"/>
                <w:szCs w:val="20"/>
              </w:rPr>
              <w:t>-1.9 (-6.1, 2.4)</w:t>
            </w:r>
          </w:p>
        </w:tc>
      </w:tr>
      <w:tr w:rsidR="00A36E63" w:rsidRPr="003D6709" w:rsidTr="002A4FB3">
        <w:tc>
          <w:tcPr>
            <w:tcW w:w="1098" w:type="pct"/>
          </w:tcPr>
          <w:p w:rsidR="00A36E63" w:rsidRPr="003D6709" w:rsidRDefault="00A36E63" w:rsidP="00D35E6E">
            <w:pPr>
              <w:pStyle w:val="TableText"/>
              <w:keepNext w:val="0"/>
              <w:rPr>
                <w:sz w:val="20"/>
                <w:szCs w:val="20"/>
              </w:rPr>
            </w:pPr>
            <w:r w:rsidRPr="003D6709">
              <w:rPr>
                <w:sz w:val="20"/>
                <w:szCs w:val="20"/>
              </w:rPr>
              <w:t>Pneumonia</w:t>
            </w:r>
          </w:p>
        </w:tc>
        <w:tc>
          <w:tcPr>
            <w:tcW w:w="550" w:type="pct"/>
          </w:tcPr>
          <w:p w:rsidR="00A36E63" w:rsidRPr="003D6709" w:rsidRDefault="00A36E63" w:rsidP="00D35E6E">
            <w:pPr>
              <w:pStyle w:val="TableText"/>
              <w:keepNext w:val="0"/>
              <w:jc w:val="center"/>
              <w:rPr>
                <w:sz w:val="20"/>
                <w:szCs w:val="20"/>
              </w:rPr>
            </w:pPr>
            <w:r w:rsidRPr="003D6709">
              <w:rPr>
                <w:sz w:val="20"/>
                <w:szCs w:val="20"/>
              </w:rPr>
              <w:t>6.7</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5.2</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b/>
                <w:sz w:val="20"/>
                <w:szCs w:val="20"/>
              </w:rPr>
            </w:pPr>
            <w:r w:rsidRPr="003D6709">
              <w:rPr>
                <w:sz w:val="20"/>
                <w:szCs w:val="20"/>
              </w:rPr>
              <w:t>1.5 (-3.6, 6.5)</w:t>
            </w:r>
          </w:p>
        </w:tc>
        <w:tc>
          <w:tcPr>
            <w:tcW w:w="550" w:type="pct"/>
          </w:tcPr>
          <w:p w:rsidR="00A36E63" w:rsidRPr="003D6709" w:rsidRDefault="00A36E63" w:rsidP="00D35E6E">
            <w:pPr>
              <w:pStyle w:val="TableText"/>
              <w:keepNext w:val="0"/>
              <w:jc w:val="center"/>
              <w:rPr>
                <w:sz w:val="20"/>
                <w:szCs w:val="20"/>
              </w:rPr>
            </w:pPr>
            <w:r w:rsidRPr="003D6709">
              <w:rPr>
                <w:sz w:val="20"/>
                <w:szCs w:val="20"/>
              </w:rPr>
              <w:t>4.7</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5.2</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b/>
                <w:sz w:val="20"/>
                <w:szCs w:val="20"/>
              </w:rPr>
            </w:pPr>
            <w:r w:rsidRPr="003D6709">
              <w:rPr>
                <w:sz w:val="20"/>
                <w:szCs w:val="20"/>
              </w:rPr>
              <w:t>-0.5 (-5.1, 4.1)</w:t>
            </w:r>
          </w:p>
        </w:tc>
      </w:tr>
      <w:tr w:rsidR="00A36E63" w:rsidRPr="003D6709" w:rsidTr="002A4FB3">
        <w:tc>
          <w:tcPr>
            <w:tcW w:w="1098" w:type="pct"/>
          </w:tcPr>
          <w:p w:rsidR="00A36E63" w:rsidRPr="003D6709" w:rsidRDefault="00A36E63" w:rsidP="00D35E6E">
            <w:pPr>
              <w:pStyle w:val="TableText"/>
              <w:keepNext w:val="0"/>
              <w:rPr>
                <w:sz w:val="20"/>
                <w:szCs w:val="20"/>
              </w:rPr>
            </w:pPr>
            <w:r w:rsidRPr="003D6709">
              <w:rPr>
                <w:sz w:val="20"/>
                <w:szCs w:val="20"/>
              </w:rPr>
              <w:t xml:space="preserve">Infections  </w:t>
            </w:r>
          </w:p>
        </w:tc>
        <w:tc>
          <w:tcPr>
            <w:tcW w:w="550" w:type="pct"/>
          </w:tcPr>
          <w:p w:rsidR="00A36E63" w:rsidRPr="003D6709" w:rsidRDefault="00A36E63" w:rsidP="00D35E6E">
            <w:pPr>
              <w:pStyle w:val="TableText"/>
              <w:keepNext w:val="0"/>
              <w:jc w:val="center"/>
              <w:rPr>
                <w:sz w:val="20"/>
                <w:szCs w:val="20"/>
              </w:rPr>
            </w:pPr>
            <w:r w:rsidRPr="003D6709">
              <w:rPr>
                <w:sz w:val="20"/>
                <w:szCs w:val="20"/>
              </w:rPr>
              <w:t>14.7</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17.5</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b/>
                <w:sz w:val="20"/>
                <w:szCs w:val="20"/>
              </w:rPr>
            </w:pPr>
            <w:r w:rsidRPr="003D6709">
              <w:rPr>
                <w:sz w:val="20"/>
                <w:szCs w:val="20"/>
              </w:rPr>
              <w:t>-2.8 (-10.6, 5.0)</w:t>
            </w:r>
          </w:p>
        </w:tc>
        <w:tc>
          <w:tcPr>
            <w:tcW w:w="550" w:type="pct"/>
          </w:tcPr>
          <w:p w:rsidR="00A36E63" w:rsidRPr="003D6709" w:rsidRDefault="00A36E63" w:rsidP="00D35E6E">
            <w:pPr>
              <w:pStyle w:val="TableText"/>
              <w:keepNext w:val="0"/>
              <w:jc w:val="center"/>
              <w:rPr>
                <w:sz w:val="20"/>
                <w:szCs w:val="20"/>
              </w:rPr>
            </w:pPr>
            <w:r w:rsidRPr="003D6709">
              <w:rPr>
                <w:sz w:val="20"/>
                <w:szCs w:val="20"/>
              </w:rPr>
              <w:t>12.2</w:t>
            </w:r>
            <w:r w:rsidR="00A5160D" w:rsidRPr="003D6709">
              <w:rPr>
                <w:sz w:val="20"/>
                <w:szCs w:val="20"/>
              </w:rPr>
              <w:t>%</w:t>
            </w:r>
          </w:p>
        </w:tc>
        <w:tc>
          <w:tcPr>
            <w:tcW w:w="550" w:type="pct"/>
          </w:tcPr>
          <w:p w:rsidR="00A36E63" w:rsidRPr="003D6709" w:rsidRDefault="00A36E63" w:rsidP="00D35E6E">
            <w:pPr>
              <w:pStyle w:val="TableText"/>
              <w:keepNext w:val="0"/>
              <w:jc w:val="center"/>
              <w:rPr>
                <w:sz w:val="20"/>
                <w:szCs w:val="20"/>
              </w:rPr>
            </w:pPr>
            <w:r w:rsidRPr="003D6709">
              <w:rPr>
                <w:sz w:val="20"/>
                <w:szCs w:val="20"/>
              </w:rPr>
              <w:t>17.5</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b/>
                <w:sz w:val="20"/>
                <w:szCs w:val="20"/>
              </w:rPr>
            </w:pPr>
            <w:r w:rsidRPr="003D6709">
              <w:rPr>
                <w:sz w:val="20"/>
                <w:szCs w:val="20"/>
              </w:rPr>
              <w:t>-5.3 (-13.1, 2.5)</w:t>
            </w:r>
          </w:p>
        </w:tc>
      </w:tr>
      <w:tr w:rsidR="00A36E63" w:rsidRPr="003D6709" w:rsidTr="002A4FB3">
        <w:tc>
          <w:tcPr>
            <w:tcW w:w="1098" w:type="pct"/>
          </w:tcPr>
          <w:p w:rsidR="00A36E63" w:rsidRPr="003D6709" w:rsidRDefault="00A36E63" w:rsidP="00A5160D">
            <w:pPr>
              <w:pStyle w:val="TableText"/>
              <w:keepNext w:val="0"/>
              <w:rPr>
                <w:sz w:val="20"/>
                <w:szCs w:val="20"/>
              </w:rPr>
            </w:pPr>
            <w:r w:rsidRPr="003D6709">
              <w:rPr>
                <w:sz w:val="20"/>
                <w:szCs w:val="20"/>
              </w:rPr>
              <w:t xml:space="preserve">Infusion reaction  </w:t>
            </w:r>
          </w:p>
        </w:tc>
        <w:tc>
          <w:tcPr>
            <w:tcW w:w="550" w:type="pct"/>
          </w:tcPr>
          <w:p w:rsidR="00A36E63" w:rsidRPr="003D6709" w:rsidRDefault="00A36E63" w:rsidP="00D35E6E">
            <w:pPr>
              <w:pStyle w:val="TableText"/>
              <w:keepNext w:val="0"/>
              <w:jc w:val="center"/>
              <w:rPr>
                <w:sz w:val="20"/>
                <w:szCs w:val="20"/>
              </w:rPr>
            </w:pPr>
            <w:r w:rsidRPr="003D6709">
              <w:rPr>
                <w:sz w:val="20"/>
                <w:szCs w:val="20"/>
              </w:rPr>
              <w:t>0</w:t>
            </w:r>
          </w:p>
        </w:tc>
        <w:tc>
          <w:tcPr>
            <w:tcW w:w="550" w:type="pct"/>
          </w:tcPr>
          <w:p w:rsidR="00A36E63" w:rsidRPr="003D6709" w:rsidRDefault="00A36E63" w:rsidP="00D35E6E">
            <w:pPr>
              <w:pStyle w:val="TableText"/>
              <w:keepNext w:val="0"/>
              <w:jc w:val="center"/>
              <w:rPr>
                <w:sz w:val="20"/>
                <w:szCs w:val="20"/>
              </w:rPr>
            </w:pPr>
            <w:r w:rsidRPr="003D6709">
              <w:rPr>
                <w:sz w:val="20"/>
                <w:szCs w:val="20"/>
              </w:rPr>
              <w:t>1.5</w:t>
            </w:r>
            <w:r w:rsidR="00A5160D" w:rsidRPr="003D6709">
              <w:rPr>
                <w:sz w:val="20"/>
                <w:szCs w:val="20"/>
              </w:rPr>
              <w:t>%</w:t>
            </w:r>
          </w:p>
        </w:tc>
        <w:tc>
          <w:tcPr>
            <w:tcW w:w="865" w:type="pct"/>
            <w:tcMar>
              <w:left w:w="28" w:type="dxa"/>
              <w:right w:w="28" w:type="dxa"/>
            </w:tcMar>
          </w:tcPr>
          <w:p w:rsidR="00A36E63" w:rsidRPr="003D6709" w:rsidRDefault="00A36E63" w:rsidP="00D35E6E">
            <w:pPr>
              <w:pStyle w:val="TableText"/>
              <w:keepNext w:val="0"/>
              <w:jc w:val="center"/>
              <w:rPr>
                <w:sz w:val="20"/>
                <w:szCs w:val="20"/>
              </w:rPr>
            </w:pPr>
            <w:r w:rsidRPr="003D6709">
              <w:rPr>
                <w:sz w:val="20"/>
                <w:szCs w:val="20"/>
              </w:rPr>
              <w:t>-1.5 (-3.2, 0.2)</w:t>
            </w:r>
          </w:p>
        </w:tc>
        <w:tc>
          <w:tcPr>
            <w:tcW w:w="550" w:type="pct"/>
          </w:tcPr>
          <w:p w:rsidR="00A36E63" w:rsidRPr="003D6709" w:rsidRDefault="00A5160D" w:rsidP="00D35E6E">
            <w:pPr>
              <w:pStyle w:val="TableText"/>
              <w:keepNext w:val="0"/>
              <w:jc w:val="center"/>
              <w:rPr>
                <w:sz w:val="20"/>
                <w:szCs w:val="20"/>
              </w:rPr>
            </w:pPr>
            <w:r w:rsidRPr="003D6709">
              <w:rPr>
                <w:sz w:val="20"/>
                <w:szCs w:val="20"/>
              </w:rPr>
              <w:t>0</w:t>
            </w:r>
          </w:p>
        </w:tc>
        <w:tc>
          <w:tcPr>
            <w:tcW w:w="550" w:type="pct"/>
          </w:tcPr>
          <w:p w:rsidR="00A36E63" w:rsidRPr="003D6709" w:rsidRDefault="00A36E63" w:rsidP="00D35E6E">
            <w:pPr>
              <w:pStyle w:val="TableText"/>
              <w:keepNext w:val="0"/>
              <w:jc w:val="center"/>
              <w:rPr>
                <w:sz w:val="20"/>
                <w:szCs w:val="20"/>
              </w:rPr>
            </w:pPr>
            <w:r w:rsidRPr="003D6709">
              <w:rPr>
                <w:sz w:val="20"/>
                <w:szCs w:val="20"/>
              </w:rPr>
              <w:t>1.5</w:t>
            </w:r>
            <w:r w:rsidR="00A5160D" w:rsidRPr="003D6709">
              <w:rPr>
                <w:sz w:val="20"/>
                <w:szCs w:val="20"/>
              </w:rPr>
              <w:t>%</w:t>
            </w:r>
          </w:p>
        </w:tc>
        <w:tc>
          <w:tcPr>
            <w:tcW w:w="837" w:type="pct"/>
            <w:tcMar>
              <w:left w:w="28" w:type="dxa"/>
              <w:right w:w="28" w:type="dxa"/>
            </w:tcMar>
          </w:tcPr>
          <w:p w:rsidR="00A36E63" w:rsidRPr="003D6709" w:rsidRDefault="00A36E63" w:rsidP="00D35E6E">
            <w:pPr>
              <w:pStyle w:val="TableText"/>
              <w:keepNext w:val="0"/>
              <w:jc w:val="center"/>
              <w:rPr>
                <w:sz w:val="20"/>
                <w:szCs w:val="20"/>
              </w:rPr>
            </w:pPr>
            <w:r w:rsidRPr="003D6709">
              <w:rPr>
                <w:sz w:val="20"/>
                <w:szCs w:val="20"/>
              </w:rPr>
              <w:t>-1.5 (-3.2, 0.2)</w:t>
            </w:r>
          </w:p>
        </w:tc>
      </w:tr>
      <w:tr w:rsidR="00A36E63" w:rsidRPr="003D6709" w:rsidTr="002A4FB3">
        <w:tc>
          <w:tcPr>
            <w:tcW w:w="1098" w:type="pct"/>
          </w:tcPr>
          <w:p w:rsidR="00A36E63" w:rsidRPr="003D6709" w:rsidRDefault="00A36E63" w:rsidP="00D35E6E">
            <w:pPr>
              <w:pStyle w:val="TableText"/>
              <w:keepNext w:val="0"/>
              <w:rPr>
                <w:sz w:val="20"/>
                <w:szCs w:val="20"/>
              </w:rPr>
            </w:pPr>
            <w:r w:rsidRPr="003D6709">
              <w:rPr>
                <w:sz w:val="20"/>
                <w:szCs w:val="20"/>
              </w:rPr>
              <w:t>Tumour lysis syndrome</w:t>
            </w:r>
          </w:p>
        </w:tc>
        <w:tc>
          <w:tcPr>
            <w:tcW w:w="550" w:type="pct"/>
            <w:vAlign w:val="center"/>
          </w:tcPr>
          <w:p w:rsidR="00A36E63" w:rsidRPr="003D6709" w:rsidRDefault="00A36E63" w:rsidP="00D35E6E">
            <w:pPr>
              <w:pStyle w:val="TableText"/>
              <w:keepNext w:val="0"/>
              <w:jc w:val="center"/>
              <w:rPr>
                <w:sz w:val="20"/>
                <w:szCs w:val="20"/>
              </w:rPr>
            </w:pPr>
            <w:r w:rsidRPr="003D6709">
              <w:rPr>
                <w:sz w:val="20"/>
                <w:szCs w:val="20"/>
              </w:rPr>
              <w:t>0.7</w:t>
            </w:r>
            <w:r w:rsidR="00A5160D" w:rsidRPr="003D6709">
              <w:rPr>
                <w:sz w:val="20"/>
                <w:szCs w:val="20"/>
              </w:rPr>
              <w:t>%</w:t>
            </w:r>
          </w:p>
        </w:tc>
        <w:tc>
          <w:tcPr>
            <w:tcW w:w="550" w:type="pct"/>
            <w:vAlign w:val="center"/>
          </w:tcPr>
          <w:p w:rsidR="00A36E63" w:rsidRPr="003D6709" w:rsidRDefault="00A36E63" w:rsidP="00D35E6E">
            <w:pPr>
              <w:pStyle w:val="TableText"/>
              <w:keepNext w:val="0"/>
              <w:jc w:val="center"/>
              <w:rPr>
                <w:sz w:val="20"/>
                <w:szCs w:val="20"/>
              </w:rPr>
            </w:pPr>
            <w:r w:rsidRPr="003D6709">
              <w:rPr>
                <w:sz w:val="20"/>
                <w:szCs w:val="20"/>
              </w:rPr>
              <w:t>3.1</w:t>
            </w:r>
            <w:r w:rsidR="00A5160D" w:rsidRPr="003D6709">
              <w:rPr>
                <w:sz w:val="20"/>
                <w:szCs w:val="20"/>
              </w:rPr>
              <w:t>%</w:t>
            </w:r>
          </w:p>
        </w:tc>
        <w:tc>
          <w:tcPr>
            <w:tcW w:w="865" w:type="pct"/>
            <w:tcMar>
              <w:left w:w="28" w:type="dxa"/>
              <w:right w:w="28" w:type="dxa"/>
            </w:tcMar>
            <w:vAlign w:val="center"/>
          </w:tcPr>
          <w:p w:rsidR="00A36E63" w:rsidRPr="003D6709" w:rsidRDefault="00A36E63" w:rsidP="00D35E6E">
            <w:pPr>
              <w:pStyle w:val="TableText"/>
              <w:keepNext w:val="0"/>
              <w:jc w:val="center"/>
              <w:rPr>
                <w:sz w:val="20"/>
                <w:szCs w:val="20"/>
              </w:rPr>
            </w:pPr>
            <w:r w:rsidRPr="003D6709">
              <w:rPr>
                <w:sz w:val="20"/>
                <w:szCs w:val="20"/>
              </w:rPr>
              <w:t>-2.4 (-5.2, 0.3)</w:t>
            </w:r>
          </w:p>
        </w:tc>
        <w:tc>
          <w:tcPr>
            <w:tcW w:w="550" w:type="pct"/>
            <w:vAlign w:val="center"/>
          </w:tcPr>
          <w:p w:rsidR="00A36E63" w:rsidRPr="003D6709" w:rsidRDefault="00A36E63" w:rsidP="00D35E6E">
            <w:pPr>
              <w:pStyle w:val="TableText"/>
              <w:keepNext w:val="0"/>
              <w:jc w:val="center"/>
              <w:rPr>
                <w:sz w:val="20"/>
                <w:szCs w:val="20"/>
              </w:rPr>
            </w:pPr>
            <w:r w:rsidRPr="003D6709">
              <w:rPr>
                <w:sz w:val="20"/>
                <w:szCs w:val="20"/>
              </w:rPr>
              <w:t>0.6</w:t>
            </w:r>
            <w:r w:rsidR="00A5160D" w:rsidRPr="003D6709">
              <w:rPr>
                <w:sz w:val="20"/>
                <w:szCs w:val="20"/>
              </w:rPr>
              <w:t>%</w:t>
            </w:r>
          </w:p>
        </w:tc>
        <w:tc>
          <w:tcPr>
            <w:tcW w:w="550" w:type="pct"/>
            <w:vAlign w:val="center"/>
          </w:tcPr>
          <w:p w:rsidR="00A36E63" w:rsidRPr="003D6709" w:rsidRDefault="00A36E63" w:rsidP="00D35E6E">
            <w:pPr>
              <w:pStyle w:val="TableText"/>
              <w:keepNext w:val="0"/>
              <w:jc w:val="center"/>
              <w:rPr>
                <w:sz w:val="20"/>
                <w:szCs w:val="20"/>
              </w:rPr>
            </w:pPr>
            <w:r w:rsidRPr="003D6709">
              <w:rPr>
                <w:sz w:val="20"/>
                <w:szCs w:val="20"/>
              </w:rPr>
              <w:t>3.1</w:t>
            </w:r>
            <w:r w:rsidR="00A5160D" w:rsidRPr="003D6709">
              <w:rPr>
                <w:sz w:val="20"/>
                <w:szCs w:val="20"/>
              </w:rPr>
              <w:t>%</w:t>
            </w:r>
          </w:p>
        </w:tc>
        <w:tc>
          <w:tcPr>
            <w:tcW w:w="837" w:type="pct"/>
            <w:tcMar>
              <w:left w:w="28" w:type="dxa"/>
              <w:right w:w="28" w:type="dxa"/>
            </w:tcMar>
            <w:vAlign w:val="center"/>
          </w:tcPr>
          <w:p w:rsidR="00A36E63" w:rsidRPr="003D6709" w:rsidRDefault="00A36E63" w:rsidP="00D35E6E">
            <w:pPr>
              <w:pStyle w:val="TableText"/>
              <w:keepNext w:val="0"/>
              <w:jc w:val="center"/>
              <w:rPr>
                <w:sz w:val="20"/>
                <w:szCs w:val="20"/>
              </w:rPr>
            </w:pPr>
            <w:r w:rsidRPr="003D6709">
              <w:rPr>
                <w:sz w:val="20"/>
                <w:szCs w:val="20"/>
              </w:rPr>
              <w:t>-2.5 (-5.2, 0.2)</w:t>
            </w:r>
          </w:p>
        </w:tc>
      </w:tr>
    </w:tbl>
    <w:p w:rsidR="00A36E63" w:rsidRPr="003D6709" w:rsidRDefault="00A36E63" w:rsidP="00A36E63">
      <w:pPr>
        <w:pStyle w:val="TableFooter"/>
        <w:spacing w:after="120"/>
      </w:pPr>
      <w:r w:rsidRPr="003D6709">
        <w:t>Source: Table 5.6.7, p.29 of ‘</w:t>
      </w:r>
      <w:proofErr w:type="spellStart"/>
      <w:r w:rsidRPr="003D6709">
        <w:t>Acalabrutinib_RR</w:t>
      </w:r>
      <w:proofErr w:type="spellEnd"/>
      <w:r w:rsidRPr="003D6709">
        <w:t xml:space="preserve"> CLL_PBAC Appendix 1_supplementary analyses’ document.</w:t>
      </w:r>
    </w:p>
    <w:p w:rsidR="00A36E63" w:rsidRPr="003D6709" w:rsidRDefault="00A36E63" w:rsidP="00A36E63">
      <w:pPr>
        <w:pStyle w:val="TableFooter"/>
        <w:spacing w:after="120"/>
      </w:pPr>
      <w:r w:rsidRPr="003D6709">
        <w:t>Abbreviations: ACAL, acalabrutinib; CI, confidence interval; IBR, ibrutinib; MAIC, matching adjusted indirect comparison; RD, risk difference.</w:t>
      </w:r>
    </w:p>
    <w:p w:rsidR="00A36E63" w:rsidRPr="003D6709" w:rsidRDefault="00A36E63" w:rsidP="00A36E63">
      <w:pPr>
        <w:pStyle w:val="TableFooter"/>
        <w:spacing w:after="120"/>
      </w:pPr>
      <w:r w:rsidRPr="003D6709">
        <w:rPr>
          <w:vertAlign w:val="superscript"/>
        </w:rPr>
        <w:t>1</w:t>
      </w:r>
      <w:r w:rsidRPr="003D6709">
        <w:t xml:space="preserve"> N=150 rather than 155 due to incomplete baseline data recording for some patients in some outcomes.</w:t>
      </w:r>
    </w:p>
    <w:p w:rsidR="00A36E63" w:rsidRPr="003D6709" w:rsidRDefault="00A36E63" w:rsidP="00A36E63">
      <w:pPr>
        <w:pStyle w:val="TableFooter"/>
        <w:spacing w:after="120"/>
      </w:pPr>
      <w:r w:rsidRPr="003D6709">
        <w:rPr>
          <w:vertAlign w:val="superscript"/>
        </w:rPr>
        <w:t>2</w:t>
      </w:r>
      <w:r w:rsidRPr="003D6709">
        <w:t xml:space="preserve"> Effective sample size after reweighting.</w:t>
      </w:r>
    </w:p>
    <w:p w:rsidR="00A36E63" w:rsidRPr="003D6709" w:rsidRDefault="00A36E63" w:rsidP="00A36E63">
      <w:pPr>
        <w:pStyle w:val="ExecSumBodyText"/>
      </w:pPr>
      <w:r w:rsidRPr="003D6709">
        <w:rPr>
          <w:snapToGrid/>
        </w:rPr>
        <w:t xml:space="preserve">Prior to MAIC adjustment (i.e. based on </w:t>
      </w:r>
      <w:r w:rsidR="00EC68C6" w:rsidRPr="003D6709">
        <w:rPr>
          <w:snapToGrid/>
        </w:rPr>
        <w:t xml:space="preserve">a </w:t>
      </w:r>
      <w:r w:rsidRPr="003D6709">
        <w:rPr>
          <w:snapToGrid/>
        </w:rPr>
        <w:t xml:space="preserve">naïve comparison of acalabrutinib and venetoclax plus rituximab), there was a statistically significant difference favouring </w:t>
      </w:r>
      <w:r w:rsidRPr="003D6709">
        <w:rPr>
          <w:snapToGrid/>
        </w:rPr>
        <w:lastRenderedPageBreak/>
        <w:t xml:space="preserve">acalabrutinib for any </w:t>
      </w:r>
      <w:r w:rsidR="00EC68C6" w:rsidRPr="003D6709">
        <w:rPr>
          <w:snapToGrid/>
        </w:rPr>
        <w:t xml:space="preserve">Grade 3/4 </w:t>
      </w:r>
      <w:r w:rsidRPr="003D6709">
        <w:rPr>
          <w:snapToGrid/>
        </w:rPr>
        <w:t xml:space="preserve">adverse event, serious adverse events and neutropenia. These events remained statistically significantly different after MAIC adjustment. </w:t>
      </w:r>
      <w:r w:rsidR="00EC68C6" w:rsidRPr="003D6709">
        <w:rPr>
          <w:snapToGrid/>
        </w:rPr>
        <w:t xml:space="preserve">The </w:t>
      </w:r>
      <w:r w:rsidR="00F01579" w:rsidRPr="003D6709">
        <w:rPr>
          <w:snapToGrid/>
        </w:rPr>
        <w:t xml:space="preserve">PBAC noted that the </w:t>
      </w:r>
      <w:r w:rsidR="00EC68C6" w:rsidRPr="003D6709">
        <w:rPr>
          <w:snapToGrid/>
        </w:rPr>
        <w:t>results should be interpreted with caution due to inadequate justification for the application of the MAIC methodology to specific adverse events, the relatively low effective sample size for acalabrutinib, and differences in the duration of follow-up between the trials.</w:t>
      </w:r>
    </w:p>
    <w:p w:rsidR="007F1017" w:rsidRPr="003D6709" w:rsidRDefault="007F1017" w:rsidP="00D86231">
      <w:pPr>
        <w:pStyle w:val="3-SubsectionHeading"/>
      </w:pPr>
      <w:bookmarkStart w:id="35" w:name="_Toc22897643"/>
      <w:bookmarkStart w:id="36" w:name="_Toc30588524"/>
      <w:r w:rsidRPr="003D6709">
        <w:t>Benefits/harms</w:t>
      </w:r>
      <w:bookmarkEnd w:id="35"/>
      <w:bookmarkEnd w:id="36"/>
    </w:p>
    <w:p w:rsidR="001B2AFD" w:rsidRPr="003D6709" w:rsidRDefault="00EE7863" w:rsidP="00D35E6E">
      <w:pPr>
        <w:pStyle w:val="ExecSumBodyText"/>
      </w:pPr>
      <w:r w:rsidRPr="003D6709">
        <w:t xml:space="preserve">Noting that </w:t>
      </w:r>
      <w:r w:rsidR="001B2AFD" w:rsidRPr="003D6709">
        <w:t xml:space="preserve">the </w:t>
      </w:r>
      <w:r w:rsidR="00EC68C6" w:rsidRPr="003D6709">
        <w:t>results of the MAIC</w:t>
      </w:r>
      <w:r w:rsidR="001B2AFD" w:rsidRPr="003D6709">
        <w:t xml:space="preserve"> </w:t>
      </w:r>
      <w:r w:rsidR="00EC68C6" w:rsidRPr="003D6709">
        <w:t xml:space="preserve">of acalabrutinib and ibrutinib </w:t>
      </w:r>
      <w:r w:rsidR="001B2AFD" w:rsidRPr="003D6709">
        <w:t xml:space="preserve">presented </w:t>
      </w:r>
      <w:r w:rsidR="00EC68C6" w:rsidRPr="003D6709">
        <w:t>in</w:t>
      </w:r>
      <w:r w:rsidR="001B2AFD" w:rsidRPr="003D6709">
        <w:t xml:space="preserve"> the submission</w:t>
      </w:r>
      <w:r w:rsidRPr="003D6709">
        <w:t xml:space="preserve"> were highly uncertain</w:t>
      </w:r>
      <w:r w:rsidR="001B2AFD" w:rsidRPr="003D6709">
        <w:t xml:space="preserve">, </w:t>
      </w:r>
      <w:r w:rsidRPr="003D6709">
        <w:t xml:space="preserve">the PBAC considered it likely that </w:t>
      </w:r>
      <w:r w:rsidR="001B2AFD" w:rsidRPr="003D6709">
        <w:t>patients treated with acalabrutinib would experience a similar duration of progression-free survival and overall survival compared to ibrutinib, and</w:t>
      </w:r>
      <w:r w:rsidR="00D86599">
        <w:t xml:space="preserve"> that, although overall safety would likely be non-inferior,</w:t>
      </w:r>
      <w:r w:rsidR="001B2AFD" w:rsidRPr="003D6709">
        <w:t xml:space="preserve"> for every 100 patients treated with acalabrutinib compared to ibrutinib</w:t>
      </w:r>
      <w:r w:rsidRPr="003D6709">
        <w:t xml:space="preserve"> it was estimated that</w:t>
      </w:r>
      <w:r w:rsidR="001B2AFD" w:rsidRPr="003D6709">
        <w:t>:</w:t>
      </w:r>
    </w:p>
    <w:p w:rsidR="001B2AFD" w:rsidRPr="003D6709" w:rsidRDefault="00563D8A" w:rsidP="00AD6416">
      <w:pPr>
        <w:pStyle w:val="ExecSumBodyText"/>
        <w:numPr>
          <w:ilvl w:val="0"/>
          <w:numId w:val="15"/>
        </w:numPr>
        <w:spacing w:after="0"/>
      </w:pPr>
      <w:r w:rsidRPr="003D6709">
        <w:t>a</w:t>
      </w:r>
      <w:r w:rsidR="001B2AFD" w:rsidRPr="003D6709">
        <w:t>pproximately 11 more patients would experience Grade 3/4 anaemia</w:t>
      </w:r>
      <w:r w:rsidR="00EC68C6" w:rsidRPr="003D6709">
        <w:t>;</w:t>
      </w:r>
    </w:p>
    <w:p w:rsidR="001B2AFD" w:rsidRPr="003D6709" w:rsidRDefault="00563D8A" w:rsidP="00AD6416">
      <w:pPr>
        <w:pStyle w:val="ExecSumBodyText"/>
        <w:numPr>
          <w:ilvl w:val="0"/>
          <w:numId w:val="15"/>
        </w:numPr>
        <w:spacing w:after="0"/>
      </w:pPr>
      <w:r w:rsidRPr="003D6709">
        <w:t>a</w:t>
      </w:r>
      <w:r w:rsidR="001B2AFD" w:rsidRPr="003D6709">
        <w:t>pproximately 6 fewer patients would experience Grade 3/4 hypertension</w:t>
      </w:r>
      <w:r w:rsidR="00EC68C6" w:rsidRPr="003D6709">
        <w:t>;</w:t>
      </w:r>
    </w:p>
    <w:p w:rsidR="001B2AFD" w:rsidRPr="003D6709" w:rsidRDefault="00563D8A" w:rsidP="00AD6416">
      <w:pPr>
        <w:pStyle w:val="ExecSumBodyText"/>
        <w:numPr>
          <w:ilvl w:val="0"/>
          <w:numId w:val="15"/>
        </w:numPr>
        <w:spacing w:after="0"/>
      </w:pPr>
      <w:r w:rsidRPr="003D6709">
        <w:t>a</w:t>
      </w:r>
      <w:r w:rsidR="001B2AFD" w:rsidRPr="003D6709">
        <w:t>pproximately 4 fewer patients would experience Grade 3/4 diarrhoea</w:t>
      </w:r>
      <w:r w:rsidR="00EC68C6" w:rsidRPr="003D6709">
        <w:t>;</w:t>
      </w:r>
    </w:p>
    <w:p w:rsidR="00A5160D" w:rsidRPr="003D6709" w:rsidRDefault="00563D8A" w:rsidP="00AD6416">
      <w:pPr>
        <w:pStyle w:val="ExecSumBodyText"/>
        <w:numPr>
          <w:ilvl w:val="0"/>
          <w:numId w:val="15"/>
        </w:numPr>
        <w:spacing w:after="0"/>
        <w:ind w:left="1077" w:hanging="357"/>
      </w:pPr>
      <w:r w:rsidRPr="003D6709">
        <w:t>a</w:t>
      </w:r>
      <w:r w:rsidR="001B2AFD" w:rsidRPr="003D6709">
        <w:t>pproximately 3 fewer patients would experience Grade 3/4 fatigue</w:t>
      </w:r>
    </w:p>
    <w:p w:rsidR="00A5160D" w:rsidRPr="003D6709" w:rsidRDefault="00A5160D" w:rsidP="00AD6416">
      <w:pPr>
        <w:pStyle w:val="ExecSumBodyText"/>
        <w:numPr>
          <w:ilvl w:val="0"/>
          <w:numId w:val="15"/>
        </w:numPr>
        <w:spacing w:after="0"/>
        <w:ind w:left="1077" w:hanging="357"/>
      </w:pPr>
      <w:r w:rsidRPr="003D6709">
        <w:t>approximately 3 fewer patients would experience Grade 3/4 atrial fibrillation; and</w:t>
      </w:r>
    </w:p>
    <w:p w:rsidR="001B2AFD" w:rsidRPr="003D6709" w:rsidRDefault="00A5160D" w:rsidP="00AD6416">
      <w:pPr>
        <w:pStyle w:val="ExecSumBodyText"/>
        <w:numPr>
          <w:ilvl w:val="0"/>
          <w:numId w:val="15"/>
        </w:numPr>
      </w:pPr>
      <w:proofErr w:type="gramStart"/>
      <w:r w:rsidRPr="003D6709">
        <w:t>approximately</w:t>
      </w:r>
      <w:proofErr w:type="gramEnd"/>
      <w:r w:rsidRPr="003D6709">
        <w:t xml:space="preserve"> 3 fewer patients would experience Grade 3/4 haemorrhage</w:t>
      </w:r>
      <w:r w:rsidR="00EC68C6" w:rsidRPr="003D6709">
        <w:t>.</w:t>
      </w:r>
    </w:p>
    <w:p w:rsidR="005E0670" w:rsidRPr="003D6709" w:rsidRDefault="00EE7863" w:rsidP="00BD3830">
      <w:pPr>
        <w:pStyle w:val="ExecSumBodyText"/>
      </w:pPr>
      <w:r w:rsidRPr="003D6709">
        <w:t xml:space="preserve">The ESC noted that acalabrutinib resulted in a </w:t>
      </w:r>
      <w:r w:rsidR="00844B26" w:rsidRPr="003D6709">
        <w:t xml:space="preserve">potentially </w:t>
      </w:r>
      <w:r w:rsidRPr="003D6709">
        <w:t xml:space="preserve">reduced risk of atrial fibrillation and haemorrhage compared to ibrutinib (as shown in Table 13) and considered that these reductions were likely to be clinically relevant for some patients. The PBAC considered the data remained uncertain, although noted that a reduced risk of atrial fibrillation and haemorrhage compared with ibrutinib may provide a suitable alternative treatment for some patients, particularly </w:t>
      </w:r>
      <w:r w:rsidR="00D86599">
        <w:t xml:space="preserve">those who are </w:t>
      </w:r>
      <w:r w:rsidRPr="003D6709">
        <w:t xml:space="preserve">older </w:t>
      </w:r>
      <w:r w:rsidR="00D86599">
        <w:t>and</w:t>
      </w:r>
      <w:r w:rsidRPr="003D6709">
        <w:t xml:space="preserve"> who have significant comorbidities.</w:t>
      </w:r>
    </w:p>
    <w:p w:rsidR="00B60939" w:rsidRPr="003D6709" w:rsidRDefault="00B60939" w:rsidP="00E9094A">
      <w:pPr>
        <w:pStyle w:val="3-SubsectionHeading"/>
      </w:pPr>
      <w:bookmarkStart w:id="37" w:name="_Toc22897644"/>
      <w:bookmarkStart w:id="38" w:name="_Toc30588525"/>
      <w:r w:rsidRPr="003D6709">
        <w:t>Clinical claim</w:t>
      </w:r>
      <w:bookmarkEnd w:id="37"/>
      <w:bookmarkEnd w:id="38"/>
    </w:p>
    <w:p w:rsidR="00F01579" w:rsidRPr="003D6709" w:rsidRDefault="00553F73" w:rsidP="00B65E74">
      <w:pPr>
        <w:pStyle w:val="ExecSumBodyText"/>
        <w:rPr>
          <w:rFonts w:eastAsia="Calibri"/>
        </w:rPr>
      </w:pPr>
      <w:r w:rsidRPr="003D6709">
        <w:rPr>
          <w:rFonts w:eastAsia="Calibri"/>
        </w:rPr>
        <w:t xml:space="preserve">The submission described acalabrutinib as non-inferior in terms of effectiveness, and superior in terms of safety compared to ibrutinib. </w:t>
      </w:r>
    </w:p>
    <w:p w:rsidR="00F01579" w:rsidRPr="003D6709" w:rsidRDefault="00F01579" w:rsidP="00B65E74">
      <w:pPr>
        <w:pStyle w:val="ExecSumBodyText"/>
        <w:rPr>
          <w:rFonts w:eastAsia="Calibri"/>
        </w:rPr>
      </w:pPr>
      <w:r w:rsidRPr="003D6709">
        <w:rPr>
          <w:rFonts w:eastAsia="Calibri"/>
        </w:rPr>
        <w:t>In terms of the efficacy claim:</w:t>
      </w:r>
    </w:p>
    <w:p w:rsidR="002B2B98" w:rsidRPr="003D6709" w:rsidRDefault="002B2B98" w:rsidP="002B2B98">
      <w:pPr>
        <w:pStyle w:val="ListParagraph"/>
        <w:numPr>
          <w:ilvl w:val="0"/>
          <w:numId w:val="15"/>
        </w:numPr>
        <w:rPr>
          <w:rFonts w:eastAsia="Calibri"/>
        </w:rPr>
      </w:pPr>
      <w:r w:rsidRPr="003D6709">
        <w:rPr>
          <w:rFonts w:eastAsia="Calibri"/>
        </w:rPr>
        <w:t xml:space="preserve">The results of the unanchored MAIC of acalabrutinib versus ibrutinib were highly uncertain. Matching of the selected prognostic and treatment effect modifier variables resulted in an effective sample size of 44 (from 132), suggesting poor overlap between the trial populations. Additionally, it was unclear whether all relevant prognostic and treatment effect modifier variables were identified and matched in the analysis. </w:t>
      </w:r>
      <w:r w:rsidRPr="003D6709">
        <w:t xml:space="preserve">The ESC considered that the effective sample size may not be sufficient to measure a clinically meaningful difference; however, it is likely that acalabrutinib is of a similar efficacy to ibrutinib in this population. The pre-PBAC response stated that the MAIC minimised the impact of the differences in trial </w:t>
      </w:r>
      <w:r w:rsidRPr="003D6709">
        <w:lastRenderedPageBreak/>
        <w:t>population and that there is a role for population adjusted indirect comparison methods to facilitate health technology assessment</w:t>
      </w:r>
      <w:r w:rsidR="007813BF">
        <w:t>.</w:t>
      </w:r>
    </w:p>
    <w:p w:rsidR="002B2B98" w:rsidRPr="003D6709" w:rsidRDefault="002B2B98" w:rsidP="002B2B98">
      <w:pPr>
        <w:pStyle w:val="ListParagraph"/>
        <w:numPr>
          <w:ilvl w:val="0"/>
          <w:numId w:val="15"/>
        </w:numPr>
        <w:rPr>
          <w:rFonts w:eastAsia="Calibri"/>
        </w:rPr>
      </w:pPr>
      <w:r w:rsidRPr="003D6709">
        <w:rPr>
          <w:rFonts w:eastAsia="Calibri"/>
        </w:rPr>
        <w:t xml:space="preserve">The Bucher method indirect comparison </w:t>
      </w:r>
      <w:r w:rsidR="00FF0F35" w:rsidRPr="003D6709">
        <w:rPr>
          <w:rFonts w:eastAsia="Calibri"/>
        </w:rPr>
        <w:t>was unreliable</w:t>
      </w:r>
      <w:r w:rsidRPr="003D6709">
        <w:rPr>
          <w:rFonts w:eastAsia="Calibri"/>
        </w:rPr>
        <w:t xml:space="preserve"> given differences between the ASCEND and HELIOS trials, including differences in trial populations, study design and common reference arms. Additionally, the comparison relied on the use of ibrutinib plus bendamustine plus rituximab as a proxy for ibrutinib monotherapy. The ESC considered that the use of the ibrutinib proxy </w:t>
      </w:r>
      <w:r w:rsidRPr="003D6709">
        <w:t>for ibrutinib monotherapy proxy was only appropriate for the comparison of efficacy, but not safety.</w:t>
      </w:r>
    </w:p>
    <w:p w:rsidR="002B2B98" w:rsidRPr="003D6709" w:rsidRDefault="002B2B98" w:rsidP="002B2B98">
      <w:pPr>
        <w:pStyle w:val="ListParagraph"/>
        <w:numPr>
          <w:ilvl w:val="0"/>
          <w:numId w:val="15"/>
        </w:numPr>
        <w:spacing w:after="120"/>
        <w:ind w:left="1077" w:hanging="357"/>
        <w:rPr>
          <w:rFonts w:eastAsia="Calibri"/>
        </w:rPr>
      </w:pPr>
      <w:r w:rsidRPr="003D6709">
        <w:rPr>
          <w:rFonts w:eastAsia="Calibri"/>
        </w:rPr>
        <w:t xml:space="preserve">No non-inferiority margins for progression-free survival or overall survival were proposed in the submission. The lack of a statistically significant difference </w:t>
      </w:r>
      <w:r w:rsidRPr="003D6709">
        <w:t>for progression-free survival or overall survival</w:t>
      </w:r>
      <w:r w:rsidRPr="003D6709">
        <w:rPr>
          <w:rFonts w:eastAsia="Calibri"/>
        </w:rPr>
        <w:t xml:space="preserve"> may not be sufficient to establish non-inferiority, as the 95% confidence intervals were wide and may include a clinically important difference. </w:t>
      </w:r>
      <w:r w:rsidRPr="003D6709">
        <w:rPr>
          <w:color w:val="000000" w:themeColor="text1"/>
        </w:rPr>
        <w:t>The PSCR noted that there are no widely accepted non-inferiority margins in this disease area, in addition the PBAC submission for venetoclax plus rituximab in November 2018, did not nominate a non-inferiority margin. The ESC noted the previous recommendation, but considered t</w:t>
      </w:r>
      <w:r w:rsidRPr="003D6709">
        <w:t>he lack of a statistically significant difference may not be sufficient to establish non-inferiority</w:t>
      </w:r>
      <w:r w:rsidR="003D6709">
        <w:t xml:space="preserve">. </w:t>
      </w:r>
    </w:p>
    <w:p w:rsidR="002B2B98" w:rsidRPr="003D6709" w:rsidRDefault="002B2B98" w:rsidP="002B2B98">
      <w:pPr>
        <w:pStyle w:val="ExecSumBodyText"/>
      </w:pPr>
      <w:r w:rsidRPr="003D6709">
        <w:t xml:space="preserve">The ESC considered that acalabrutinib was likely to be non-inferior </w:t>
      </w:r>
      <w:r w:rsidR="00084A99" w:rsidRPr="003D6709">
        <w:t xml:space="preserve">compared </w:t>
      </w:r>
      <w:r w:rsidRPr="003D6709">
        <w:t>to ibrutinib in terms of efficacy</w:t>
      </w:r>
      <w:r w:rsidRPr="003D6709">
        <w:rPr>
          <w:i/>
        </w:rPr>
        <w:t xml:space="preserve">. </w:t>
      </w:r>
      <w:r w:rsidRPr="003D6709">
        <w:t>Overall, t</w:t>
      </w:r>
      <w:r w:rsidRPr="003D6709">
        <w:rPr>
          <w:szCs w:val="20"/>
          <w:lang w:eastAsia="en-US"/>
        </w:rPr>
        <w:t>he PBAC considered that the claim of non-inferior comparative effectiveness was likely to be reasonable</w:t>
      </w:r>
      <w:r w:rsidR="00084A99" w:rsidRPr="003D6709">
        <w:rPr>
          <w:szCs w:val="20"/>
          <w:lang w:eastAsia="en-US"/>
        </w:rPr>
        <w:t>,</w:t>
      </w:r>
      <w:r w:rsidRPr="003D6709">
        <w:rPr>
          <w:szCs w:val="20"/>
          <w:lang w:eastAsia="en-US"/>
        </w:rPr>
        <w:t xml:space="preserve"> although it noted that the </w:t>
      </w:r>
      <w:r w:rsidRPr="003D6709">
        <w:rPr>
          <w:rFonts w:eastAsia="Calibri"/>
        </w:rPr>
        <w:t>results of the unanchored MAIC</w:t>
      </w:r>
      <w:r w:rsidR="005A0679" w:rsidRPr="003D6709">
        <w:rPr>
          <w:rFonts w:eastAsia="Calibri"/>
        </w:rPr>
        <w:t>s</w:t>
      </w:r>
      <w:r w:rsidRPr="003D6709">
        <w:rPr>
          <w:rFonts w:eastAsia="Calibri"/>
        </w:rPr>
        <w:t xml:space="preserve"> </w:t>
      </w:r>
      <w:r w:rsidR="005A0679" w:rsidRPr="003D6709">
        <w:rPr>
          <w:rFonts w:eastAsia="Calibri"/>
        </w:rPr>
        <w:t xml:space="preserve">and indirect comparisons </w:t>
      </w:r>
      <w:r w:rsidRPr="003D6709">
        <w:rPr>
          <w:rFonts w:eastAsia="Calibri"/>
        </w:rPr>
        <w:t>of acalabrutinib versus ibrutinib were highly uncertain</w:t>
      </w:r>
      <w:r w:rsidRPr="003D6709">
        <w:rPr>
          <w:szCs w:val="20"/>
          <w:lang w:eastAsia="en-US"/>
        </w:rPr>
        <w:t xml:space="preserve">. </w:t>
      </w:r>
    </w:p>
    <w:p w:rsidR="00553F73" w:rsidRPr="003D6709" w:rsidRDefault="002B2B98" w:rsidP="00B65E74">
      <w:pPr>
        <w:pStyle w:val="ExecSumBodyText"/>
        <w:rPr>
          <w:rFonts w:eastAsia="Calibri"/>
        </w:rPr>
      </w:pPr>
      <w:r w:rsidRPr="003D6709">
        <w:rPr>
          <w:rFonts w:eastAsia="Calibri"/>
        </w:rPr>
        <w:t>In terms of safety:</w:t>
      </w:r>
    </w:p>
    <w:p w:rsidR="002B2B98" w:rsidRPr="003D6709" w:rsidRDefault="002B2B98" w:rsidP="005A0679">
      <w:pPr>
        <w:pStyle w:val="ExecSumBodyText"/>
        <w:numPr>
          <w:ilvl w:val="0"/>
          <w:numId w:val="21"/>
        </w:numPr>
        <w:ind w:left="1077" w:hanging="357"/>
        <w:rPr>
          <w:rFonts w:eastAsia="Calibri"/>
        </w:rPr>
      </w:pPr>
      <w:r w:rsidRPr="003D6709">
        <w:rPr>
          <w:rFonts w:eastAsia="Calibri"/>
        </w:rPr>
        <w:t xml:space="preserve">The results of the MAIC of safety outcomes were considered to be unreliable, as the submission did not adequately justify the application of the MAIC methodology (based on adjustment for CLL/SLL disease prognostic and treatment effect modifier variables) to specific adverse event outcomes. The PSCR argued that </w:t>
      </w:r>
      <w:r w:rsidRPr="003D6709">
        <w:t xml:space="preserve">the application of the MAIC to adverse events was performed to support the results of the naïve comparisons which suggest a superior safety profile for acalabrutinib. The PSCR acknowledged the application of the MAIC methodology was limited; however, it maintained that acalabrutinib is superior in safety to ibrutinib because it is more selective based on the results of in vivo/in vitro studies presented in the submission. </w:t>
      </w:r>
    </w:p>
    <w:p w:rsidR="002B2B98" w:rsidRPr="003D6709" w:rsidRDefault="009431E0" w:rsidP="002B2B98">
      <w:pPr>
        <w:pStyle w:val="ExecSumBodyText"/>
      </w:pPr>
      <w:r w:rsidRPr="003D6709">
        <w:t>The ESC considered that the safety data was unreliable and that it remains unclear whether the results of the in vivo/in vitro studies will translate into clinically meaningful differences in safety. T</w:t>
      </w:r>
      <w:r w:rsidR="002B2B98" w:rsidRPr="003D6709">
        <w:rPr>
          <w:szCs w:val="20"/>
          <w:lang w:eastAsia="en-US"/>
        </w:rPr>
        <w:t xml:space="preserve">he PBAC considered that the claim of superior comparative safety of acalabrutinib to ibrutinib was not adequately supported by the data due to the </w:t>
      </w:r>
      <w:r w:rsidR="002B2B98" w:rsidRPr="003D6709">
        <w:rPr>
          <w:rFonts w:eastAsia="Calibri"/>
        </w:rPr>
        <w:t>results of the MAIC of safety outcomes which were considered to be unreliable</w:t>
      </w:r>
      <w:r w:rsidR="002B2B98" w:rsidRPr="003D6709">
        <w:rPr>
          <w:szCs w:val="20"/>
          <w:lang w:eastAsia="en-US"/>
        </w:rPr>
        <w:t xml:space="preserve">. </w:t>
      </w:r>
      <w:r w:rsidRPr="003D6709">
        <w:rPr>
          <w:szCs w:val="20"/>
          <w:lang w:eastAsia="en-US"/>
        </w:rPr>
        <w:t xml:space="preserve">Although the PBAC </w:t>
      </w:r>
      <w:r w:rsidR="002B2B98" w:rsidRPr="003D6709">
        <w:rPr>
          <w:szCs w:val="20"/>
          <w:lang w:eastAsia="en-US"/>
        </w:rPr>
        <w:t xml:space="preserve">considered that acalabrutinib </w:t>
      </w:r>
      <w:r w:rsidRPr="003D6709">
        <w:rPr>
          <w:szCs w:val="20"/>
          <w:lang w:eastAsia="en-US"/>
        </w:rPr>
        <w:t>wa</w:t>
      </w:r>
      <w:r w:rsidR="002B2B98" w:rsidRPr="003D6709">
        <w:rPr>
          <w:szCs w:val="20"/>
          <w:lang w:eastAsia="en-US"/>
        </w:rPr>
        <w:t xml:space="preserve">s likely to present a </w:t>
      </w:r>
      <w:r w:rsidR="00AE05B5" w:rsidRPr="003D6709">
        <w:rPr>
          <w:szCs w:val="20"/>
          <w:lang w:eastAsia="en-US"/>
        </w:rPr>
        <w:lastRenderedPageBreak/>
        <w:t xml:space="preserve">different </w:t>
      </w:r>
      <w:r w:rsidR="002B2B98" w:rsidRPr="003D6709">
        <w:rPr>
          <w:szCs w:val="20"/>
          <w:lang w:eastAsia="en-US"/>
        </w:rPr>
        <w:t>toxicity profile to ibrutinib for some patients</w:t>
      </w:r>
      <w:r w:rsidRPr="003D6709">
        <w:rPr>
          <w:szCs w:val="20"/>
          <w:lang w:eastAsia="en-US"/>
        </w:rPr>
        <w:t xml:space="preserve">, overall, </w:t>
      </w:r>
      <w:r w:rsidR="00EE7863" w:rsidRPr="003D6709">
        <w:rPr>
          <w:szCs w:val="20"/>
          <w:lang w:eastAsia="en-US"/>
        </w:rPr>
        <w:t>it</w:t>
      </w:r>
      <w:r w:rsidRPr="003D6709">
        <w:rPr>
          <w:szCs w:val="20"/>
          <w:lang w:eastAsia="en-US"/>
        </w:rPr>
        <w:t xml:space="preserve"> considered that acalabrutinib was likely to be non-inferior to ibrutinib in terms of comparative safety</w:t>
      </w:r>
      <w:r w:rsidR="002B2B98" w:rsidRPr="003D6709">
        <w:rPr>
          <w:szCs w:val="20"/>
          <w:lang w:eastAsia="en-US"/>
        </w:rPr>
        <w:t>.</w:t>
      </w:r>
    </w:p>
    <w:p w:rsidR="00553F73" w:rsidRPr="003D6709" w:rsidRDefault="00553F73" w:rsidP="00E96DA1">
      <w:pPr>
        <w:pStyle w:val="ExecSumBodyText"/>
        <w:rPr>
          <w:rFonts w:eastAsia="Calibri"/>
        </w:rPr>
      </w:pPr>
      <w:r w:rsidRPr="003D6709">
        <w:rPr>
          <w:rFonts w:eastAsia="Calibri"/>
        </w:rPr>
        <w:t>The submission also presented the results of a comparison of acalabrutinib and venetoclax plus rituximab. While a clinical claim was not explicitly included, the submission stated that there was no statistically significant difference</w:t>
      </w:r>
      <w:r w:rsidR="0013271C" w:rsidRPr="003D6709">
        <w:rPr>
          <w:rFonts w:eastAsia="Calibri"/>
        </w:rPr>
        <w:t>s</w:t>
      </w:r>
      <w:r w:rsidRPr="003D6709">
        <w:rPr>
          <w:rFonts w:eastAsia="Calibri"/>
        </w:rPr>
        <w:t xml:space="preserve"> between </w:t>
      </w:r>
      <w:r w:rsidR="00F80CA0" w:rsidRPr="003D6709">
        <w:rPr>
          <w:rFonts w:eastAsia="Calibri"/>
        </w:rPr>
        <w:t>them</w:t>
      </w:r>
      <w:r w:rsidRPr="003D6709">
        <w:rPr>
          <w:rFonts w:eastAsia="Calibri"/>
        </w:rPr>
        <w:t xml:space="preserve"> based on the comparisons of progression-free survival and overall survival presented in the submission.</w:t>
      </w:r>
      <w:r w:rsidR="00F80CA0" w:rsidRPr="003D6709">
        <w:rPr>
          <w:rFonts w:eastAsia="Calibri"/>
        </w:rPr>
        <w:t xml:space="preserve"> However, t</w:t>
      </w:r>
      <w:r w:rsidRPr="003D6709">
        <w:rPr>
          <w:rFonts w:eastAsia="Calibri"/>
        </w:rPr>
        <w:t>he following issues were noted:</w:t>
      </w:r>
    </w:p>
    <w:p w:rsidR="00D8031E" w:rsidRPr="003D6709" w:rsidRDefault="00AA33ED" w:rsidP="00AD6416">
      <w:pPr>
        <w:pStyle w:val="ExecSumBodyText"/>
        <w:numPr>
          <w:ilvl w:val="0"/>
          <w:numId w:val="7"/>
        </w:numPr>
        <w:spacing w:after="0"/>
        <w:ind w:left="1134" w:hanging="357"/>
        <w:rPr>
          <w:rFonts w:eastAsia="Calibri"/>
        </w:rPr>
      </w:pPr>
      <w:r w:rsidRPr="003D6709">
        <w:rPr>
          <w:rFonts w:eastAsia="Calibri"/>
        </w:rPr>
        <w:t xml:space="preserve">The results of the unanchored MAIC of acalabrutinib versus ibrutinib were highly uncertain. </w:t>
      </w:r>
      <w:r w:rsidR="00957C88" w:rsidRPr="003D6709">
        <w:rPr>
          <w:rFonts w:eastAsia="Calibri"/>
        </w:rPr>
        <w:t>Matching for the selected variables resulted in an effective sample size of 86</w:t>
      </w:r>
      <w:r w:rsidR="00B2230C" w:rsidRPr="003D6709">
        <w:rPr>
          <w:rFonts w:eastAsia="Calibri"/>
        </w:rPr>
        <w:t xml:space="preserve"> (from </w:t>
      </w:r>
      <w:r w:rsidR="00D278F1" w:rsidRPr="003D6709">
        <w:rPr>
          <w:rFonts w:eastAsia="Calibri"/>
        </w:rPr>
        <w:t>150</w:t>
      </w:r>
      <w:r w:rsidR="00B2230C" w:rsidRPr="003D6709">
        <w:rPr>
          <w:rFonts w:eastAsia="Calibri"/>
        </w:rPr>
        <w:t>)</w:t>
      </w:r>
      <w:r w:rsidR="00957C88" w:rsidRPr="003D6709">
        <w:rPr>
          <w:rFonts w:eastAsia="Calibri"/>
        </w:rPr>
        <w:t xml:space="preserve">, indicating relatively poor overlap between the included trial populations. </w:t>
      </w:r>
      <w:r w:rsidR="00D8031E" w:rsidRPr="003D6709">
        <w:rPr>
          <w:rFonts w:eastAsia="Calibri"/>
        </w:rPr>
        <w:t xml:space="preserve">Matching was constrained by the availability of baseline characteristics for the MURANO trial, and a number of potential prognostic/effect modifier variables were </w:t>
      </w:r>
      <w:r w:rsidR="00A238BF" w:rsidRPr="003D6709">
        <w:rPr>
          <w:rFonts w:eastAsia="Calibri"/>
        </w:rPr>
        <w:t xml:space="preserve">not </w:t>
      </w:r>
      <w:r w:rsidR="00D8031E" w:rsidRPr="003D6709">
        <w:rPr>
          <w:rFonts w:eastAsia="Calibri"/>
        </w:rPr>
        <w:t xml:space="preserve">included in the analysis. </w:t>
      </w:r>
    </w:p>
    <w:p w:rsidR="0013271C" w:rsidRPr="003D6709" w:rsidRDefault="00553F73" w:rsidP="00AD6416">
      <w:pPr>
        <w:pStyle w:val="ExecSumBodyText"/>
        <w:numPr>
          <w:ilvl w:val="0"/>
          <w:numId w:val="7"/>
        </w:numPr>
        <w:spacing w:after="0"/>
        <w:ind w:left="1134" w:hanging="357"/>
        <w:rPr>
          <w:rFonts w:eastAsia="Calibri"/>
        </w:rPr>
      </w:pPr>
      <w:r w:rsidRPr="003D6709">
        <w:rPr>
          <w:rFonts w:eastAsia="Calibri"/>
        </w:rPr>
        <w:t>The submission did not adequately justify the application of the MAIC methodology (based on adjustment for CLL</w:t>
      </w:r>
      <w:r w:rsidR="00EC4B2B" w:rsidRPr="003D6709">
        <w:rPr>
          <w:rFonts w:eastAsia="Calibri"/>
        </w:rPr>
        <w:t>/SLL</w:t>
      </w:r>
      <w:r w:rsidRPr="003D6709">
        <w:rPr>
          <w:rFonts w:eastAsia="Calibri"/>
        </w:rPr>
        <w:t xml:space="preserve"> disease prognostic and treatment effect modifier variables) to specific adverse event outcomes.</w:t>
      </w:r>
    </w:p>
    <w:p w:rsidR="00553F73" w:rsidRPr="003D6709" w:rsidRDefault="0013271C" w:rsidP="00AD6416">
      <w:pPr>
        <w:pStyle w:val="ExecSumBodyText"/>
        <w:numPr>
          <w:ilvl w:val="0"/>
          <w:numId w:val="7"/>
        </w:numPr>
        <w:spacing w:after="0"/>
        <w:ind w:left="1134" w:hanging="357"/>
        <w:rPr>
          <w:rFonts w:eastAsia="Calibri"/>
        </w:rPr>
      </w:pPr>
      <w:r w:rsidRPr="003D6709">
        <w:rPr>
          <w:rFonts w:eastAsia="Calibri"/>
        </w:rPr>
        <w:t>Comparison of adverse events was affected by large differences in follow-up durations between the trials, which biased against venetoclax plus rituximab.</w:t>
      </w:r>
      <w:r w:rsidR="00112A9D" w:rsidRPr="003D6709">
        <w:rPr>
          <w:rFonts w:eastAsia="Calibri"/>
        </w:rPr>
        <w:t xml:space="preserve"> </w:t>
      </w:r>
    </w:p>
    <w:p w:rsidR="00AA33ED" w:rsidRPr="003D6709" w:rsidRDefault="00553F73" w:rsidP="00AD6416">
      <w:pPr>
        <w:pStyle w:val="ExecSumBodyText"/>
        <w:keepLines/>
        <w:numPr>
          <w:ilvl w:val="0"/>
          <w:numId w:val="7"/>
        </w:numPr>
        <w:ind w:left="1134" w:hanging="357"/>
        <w:rPr>
          <w:rFonts w:eastAsia="Calibri"/>
        </w:rPr>
      </w:pPr>
      <w:r w:rsidRPr="003D6709">
        <w:rPr>
          <w:rFonts w:eastAsia="Calibri"/>
        </w:rPr>
        <w:t>The Bucher method indirect comparison may not be reliable due to differences between the ASCEND and MURANO trials, including differences in trial populations, common reference arms and assessment time points.</w:t>
      </w:r>
    </w:p>
    <w:p w:rsidR="000C048A" w:rsidRPr="003D6709" w:rsidRDefault="0057547A" w:rsidP="000C048A">
      <w:pPr>
        <w:pStyle w:val="ExecSumBodyText"/>
      </w:pPr>
      <w:r w:rsidRPr="003D6709">
        <w:t xml:space="preserve">The </w:t>
      </w:r>
      <w:r w:rsidR="009431E0" w:rsidRPr="003D6709">
        <w:t xml:space="preserve">PBAC agreed with </w:t>
      </w:r>
      <w:r w:rsidRPr="003D6709">
        <w:t xml:space="preserve">ESC </w:t>
      </w:r>
      <w:r w:rsidR="009431E0" w:rsidRPr="003D6709">
        <w:t xml:space="preserve">and </w:t>
      </w:r>
      <w:r w:rsidRPr="003D6709">
        <w:t xml:space="preserve">considered </w:t>
      </w:r>
      <w:r w:rsidR="009431E0" w:rsidRPr="003D6709">
        <w:t xml:space="preserve">that </w:t>
      </w:r>
      <w:r w:rsidRPr="003D6709">
        <w:t>the comparison</w:t>
      </w:r>
      <w:r w:rsidR="002B6EED" w:rsidRPr="003D6709">
        <w:t>s</w:t>
      </w:r>
      <w:r w:rsidRPr="003D6709">
        <w:t xml:space="preserve"> resulted in a high level of uncertainty.</w:t>
      </w:r>
    </w:p>
    <w:p w:rsidR="00B60939" w:rsidRPr="003D6709" w:rsidRDefault="00B60939" w:rsidP="00E9094A">
      <w:pPr>
        <w:pStyle w:val="3-SubsectionHeading"/>
      </w:pPr>
      <w:bookmarkStart w:id="39" w:name="_Toc22897645"/>
      <w:bookmarkStart w:id="40" w:name="_Toc30588526"/>
      <w:r w:rsidRPr="003D6709">
        <w:t>Economic analysis</w:t>
      </w:r>
      <w:bookmarkEnd w:id="39"/>
      <w:bookmarkEnd w:id="40"/>
      <w:r w:rsidR="00491B3A" w:rsidRPr="003D6709">
        <w:t xml:space="preserve"> </w:t>
      </w:r>
    </w:p>
    <w:p w:rsidR="00067130" w:rsidRPr="003D6709" w:rsidRDefault="00067130" w:rsidP="00067130">
      <w:pPr>
        <w:pStyle w:val="ExecSumBodyText"/>
        <w:rPr>
          <w:bCs/>
        </w:rPr>
      </w:pPr>
      <w:r w:rsidRPr="003D6709">
        <w:rPr>
          <w:bCs/>
        </w:rPr>
        <w:t>The submission presented a cost-minimisation analysis of acalabrutinib versus ibrutinib based on the claim of non-inferior effectiveness and superior safety</w:t>
      </w:r>
      <w:r w:rsidR="00EB5981" w:rsidRPr="003D6709">
        <w:rPr>
          <w:bCs/>
        </w:rPr>
        <w:t>.</w:t>
      </w:r>
    </w:p>
    <w:p w:rsidR="00EB5981" w:rsidRPr="003D6709" w:rsidRDefault="00EB5981" w:rsidP="00EB5981">
      <w:pPr>
        <w:pStyle w:val="ExecSumBodyText"/>
        <w:rPr>
          <w:bCs/>
        </w:rPr>
      </w:pPr>
      <w:r w:rsidRPr="003D6709">
        <w:rPr>
          <w:bCs/>
        </w:rPr>
        <w:t xml:space="preserve">The </w:t>
      </w:r>
      <w:proofErr w:type="spellStart"/>
      <w:r w:rsidRPr="003D6709">
        <w:rPr>
          <w:bCs/>
        </w:rPr>
        <w:t>equi</w:t>
      </w:r>
      <w:proofErr w:type="spellEnd"/>
      <w:r w:rsidRPr="003D6709">
        <w:rPr>
          <w:bCs/>
        </w:rPr>
        <w:t xml:space="preserve">-effective doses were based on the doses of acalabrutinib and ibrutinib used in the ASCEND and RESONATE trials. These doses were consistent with the doses recommended in the respective </w:t>
      </w:r>
      <w:r w:rsidR="0013271C" w:rsidRPr="003D6709">
        <w:rPr>
          <w:bCs/>
        </w:rPr>
        <w:t>P</w:t>
      </w:r>
      <w:r w:rsidRPr="003D6709">
        <w:rPr>
          <w:bCs/>
        </w:rPr>
        <w:t xml:space="preserve">roduct </w:t>
      </w:r>
      <w:r w:rsidR="0013271C" w:rsidRPr="003D6709">
        <w:rPr>
          <w:bCs/>
        </w:rPr>
        <w:t>I</w:t>
      </w:r>
      <w:r w:rsidRPr="003D6709">
        <w:rPr>
          <w:bCs/>
        </w:rPr>
        <w:t>nformation documents. For both acalabrutinib and ibrutinib, treatment is recommended</w:t>
      </w:r>
      <w:r w:rsidR="00D8031E" w:rsidRPr="003D6709">
        <w:rPr>
          <w:bCs/>
        </w:rPr>
        <w:t xml:space="preserve"> to continue</w:t>
      </w:r>
      <w:r w:rsidRPr="003D6709">
        <w:rPr>
          <w:bCs/>
        </w:rPr>
        <w:t xml:space="preserve"> until disease progression or unacceptable toxicity.</w:t>
      </w:r>
    </w:p>
    <w:p w:rsidR="005D43E4" w:rsidRPr="003D6709" w:rsidRDefault="005D43E4" w:rsidP="005D43E4">
      <w:pPr>
        <w:pStyle w:val="ExecSumBodyText"/>
        <w:rPr>
          <w:bCs/>
        </w:rPr>
      </w:pPr>
      <w:r w:rsidRPr="003D6709">
        <w:rPr>
          <w:bCs/>
        </w:rPr>
        <w:t xml:space="preserve">The submission proposed the following </w:t>
      </w:r>
      <w:proofErr w:type="spellStart"/>
      <w:r w:rsidRPr="003D6709">
        <w:rPr>
          <w:bCs/>
        </w:rPr>
        <w:t>equi</w:t>
      </w:r>
      <w:proofErr w:type="spellEnd"/>
      <w:r w:rsidRPr="003D6709">
        <w:rPr>
          <w:bCs/>
        </w:rPr>
        <w:t xml:space="preserve">-effective doses: </w:t>
      </w:r>
    </w:p>
    <w:p w:rsidR="005D43E4" w:rsidRPr="003D6709" w:rsidRDefault="005D43E4" w:rsidP="009431E0">
      <w:pPr>
        <w:pStyle w:val="ExecSumBodyText"/>
        <w:numPr>
          <w:ilvl w:val="0"/>
          <w:numId w:val="0"/>
        </w:numPr>
        <w:ind w:left="1134"/>
        <w:rPr>
          <w:bCs/>
        </w:rPr>
      </w:pPr>
      <w:r w:rsidRPr="003D6709">
        <w:rPr>
          <w:bCs/>
        </w:rPr>
        <w:t xml:space="preserve">Acalabrutinib 100 mg twice daily for a median duration of </w:t>
      </w:r>
      <w:r w:rsidR="004D4273">
        <w:rPr>
          <w:bCs/>
          <w:noProof/>
          <w:color w:val="000000"/>
          <w:highlight w:val="black"/>
        </w:rPr>
        <w:t>'''''''''</w:t>
      </w:r>
      <w:r w:rsidRPr="003D6709">
        <w:rPr>
          <w:bCs/>
        </w:rPr>
        <w:t xml:space="preserve"> months </w:t>
      </w:r>
      <w:r w:rsidR="009431E0" w:rsidRPr="003D6709">
        <w:rPr>
          <w:bCs/>
        </w:rPr>
        <w:t>=</w:t>
      </w:r>
      <w:r w:rsidR="009431E0" w:rsidRPr="003D6709">
        <w:rPr>
          <w:bCs/>
        </w:rPr>
        <w:br/>
        <w:t>I</w:t>
      </w:r>
      <w:r w:rsidRPr="003D6709">
        <w:rPr>
          <w:bCs/>
        </w:rPr>
        <w:t xml:space="preserve">brutinib 420 mg once daily for a median duration of </w:t>
      </w:r>
      <w:r w:rsidR="004D4273">
        <w:rPr>
          <w:bCs/>
          <w:noProof/>
          <w:color w:val="000000"/>
          <w:highlight w:val="black"/>
        </w:rPr>
        <w:t>'''''''''</w:t>
      </w:r>
      <w:r w:rsidRPr="003D6709">
        <w:rPr>
          <w:bCs/>
        </w:rPr>
        <w:t xml:space="preserve"> months.</w:t>
      </w:r>
      <w:r w:rsidR="00812951" w:rsidRPr="003D6709">
        <w:rPr>
          <w:bCs/>
        </w:rPr>
        <w:t xml:space="preserve"> </w:t>
      </w:r>
    </w:p>
    <w:p w:rsidR="00A70851" w:rsidRPr="003D6709" w:rsidRDefault="00EB5981" w:rsidP="00F80A23">
      <w:pPr>
        <w:pStyle w:val="ExecSumBodyText"/>
        <w:keepLines/>
        <w:rPr>
          <w:bCs/>
        </w:rPr>
      </w:pPr>
      <w:r w:rsidRPr="003D6709">
        <w:lastRenderedPageBreak/>
        <w:t xml:space="preserve">The </w:t>
      </w:r>
      <w:r w:rsidR="0013271C" w:rsidRPr="003D6709">
        <w:t xml:space="preserve">reported </w:t>
      </w:r>
      <w:r w:rsidR="00D8031E" w:rsidRPr="003D6709">
        <w:t xml:space="preserve">median </w:t>
      </w:r>
      <w:r w:rsidRPr="003D6709">
        <w:t xml:space="preserve">treatment durations </w:t>
      </w:r>
      <w:r w:rsidR="0013271C" w:rsidRPr="003D6709">
        <w:t xml:space="preserve">presented in the proposed </w:t>
      </w:r>
      <w:proofErr w:type="spellStart"/>
      <w:r w:rsidR="0013271C" w:rsidRPr="003D6709">
        <w:t>equi</w:t>
      </w:r>
      <w:proofErr w:type="spellEnd"/>
      <w:r w:rsidR="0013271C" w:rsidRPr="003D6709">
        <w:t xml:space="preserve">-effective doses </w:t>
      </w:r>
      <w:r w:rsidR="00D8031E" w:rsidRPr="003D6709">
        <w:t xml:space="preserve">may not </w:t>
      </w:r>
      <w:r w:rsidRPr="003D6709">
        <w:t>be reasonable,</w:t>
      </w:r>
      <w:r w:rsidR="00F10305" w:rsidRPr="003D6709">
        <w:t xml:space="preserve"> given that the </w:t>
      </w:r>
      <w:r w:rsidR="0013271C" w:rsidRPr="003D6709">
        <w:t>values</w:t>
      </w:r>
      <w:r w:rsidR="00D8031E" w:rsidRPr="003D6709">
        <w:t xml:space="preserve"> </w:t>
      </w:r>
      <w:r w:rsidR="005074C0" w:rsidRPr="003D6709">
        <w:t>reported for acalabrutinib in the clinical study report and for ibrutinib in Brown et al. (2014)</w:t>
      </w:r>
      <w:r w:rsidR="001B60F3" w:rsidRPr="003D6709">
        <w:t>,</w:t>
      </w:r>
      <w:r w:rsidR="005074C0" w:rsidRPr="003D6709">
        <w:t xml:space="preserve"> </w:t>
      </w:r>
      <w:r w:rsidR="00D8031E" w:rsidRPr="003D6709">
        <w:t xml:space="preserve">did not represent the </w:t>
      </w:r>
      <w:r w:rsidR="0013271C" w:rsidRPr="003D6709">
        <w:t xml:space="preserve">actual </w:t>
      </w:r>
      <w:r w:rsidR="00D8031E" w:rsidRPr="003D6709">
        <w:t xml:space="preserve">median treatment durations, which had not yet been reached (80.6% of acalabrutinib patients and 76% of ibrutinib patients remained on treatment at the respective assessment time-points). </w:t>
      </w:r>
      <w:r w:rsidR="00F10305" w:rsidRPr="003D6709">
        <w:t xml:space="preserve">Additionally, the reported median treatment durations </w:t>
      </w:r>
      <w:r w:rsidR="00D8031E" w:rsidRPr="003D6709">
        <w:t>may have been</w:t>
      </w:r>
      <w:r w:rsidR="00F10305" w:rsidRPr="003D6709">
        <w:t xml:space="preserve"> </w:t>
      </w:r>
      <w:r w:rsidR="005D43E4" w:rsidRPr="003D6709">
        <w:t>affected</w:t>
      </w:r>
      <w:r w:rsidR="00F10305" w:rsidRPr="003D6709">
        <w:t xml:space="preserve"> by other </w:t>
      </w:r>
      <w:r w:rsidRPr="003D6709">
        <w:t>factors, such as differences in the study populations</w:t>
      </w:r>
      <w:r w:rsidR="00491991" w:rsidRPr="003D6709">
        <w:t>, trial design,</w:t>
      </w:r>
      <w:r w:rsidRPr="003D6709">
        <w:t xml:space="preserve"> and </w:t>
      </w:r>
      <w:r w:rsidR="00491991" w:rsidRPr="003D6709">
        <w:t xml:space="preserve">the </w:t>
      </w:r>
      <w:r w:rsidRPr="003D6709">
        <w:t xml:space="preserve">duration </w:t>
      </w:r>
      <w:r w:rsidR="005D43E4" w:rsidRPr="003D6709">
        <w:t>of follow-up between the trials.</w:t>
      </w:r>
      <w:r w:rsidR="00293ED1" w:rsidRPr="003D6709">
        <w:t xml:space="preserve"> The PSCR</w:t>
      </w:r>
      <w:r w:rsidR="0024129D" w:rsidRPr="003D6709">
        <w:t xml:space="preserve"> </w:t>
      </w:r>
      <w:r w:rsidR="00293ED1" w:rsidRPr="003D6709">
        <w:t>reiterated that the cost-minimisation analysis was based on the most accurate da</w:t>
      </w:r>
      <w:r w:rsidR="0024129D" w:rsidRPr="003D6709">
        <w:t>ta available</w:t>
      </w:r>
      <w:r w:rsidR="00293ED1" w:rsidRPr="003D6709">
        <w:t>.</w:t>
      </w:r>
      <w:r w:rsidR="00087E1A" w:rsidRPr="003D6709">
        <w:t xml:space="preserve"> The ESC considered that it </w:t>
      </w:r>
      <w:r w:rsidR="00763367" w:rsidRPr="003D6709">
        <w:t>wa</w:t>
      </w:r>
      <w:r w:rsidR="00087E1A" w:rsidRPr="003D6709">
        <w:t>s likely that the treatment duration</w:t>
      </w:r>
      <w:r w:rsidR="002B6EED" w:rsidRPr="003D6709">
        <w:t>s were</w:t>
      </w:r>
      <w:r w:rsidR="00087E1A" w:rsidRPr="003D6709">
        <w:t xml:space="preserve"> underestimated</w:t>
      </w:r>
      <w:r w:rsidR="003D6709">
        <w:t xml:space="preserve">. </w:t>
      </w:r>
    </w:p>
    <w:p w:rsidR="009431E0" w:rsidRPr="003D6709" w:rsidRDefault="001B60F3" w:rsidP="00423372">
      <w:pPr>
        <w:pStyle w:val="ExecSumBodyText"/>
        <w:rPr>
          <w:bCs/>
        </w:rPr>
      </w:pPr>
      <w:r w:rsidRPr="003D6709">
        <w:rPr>
          <w:bCs/>
        </w:rPr>
        <w:t xml:space="preserve">The ESC </w:t>
      </w:r>
      <w:r w:rsidR="00763367" w:rsidRPr="003D6709">
        <w:rPr>
          <w:bCs/>
        </w:rPr>
        <w:t>considered</w:t>
      </w:r>
      <w:r w:rsidRPr="003D6709">
        <w:rPr>
          <w:bCs/>
        </w:rPr>
        <w:t xml:space="preserve"> that i</w:t>
      </w:r>
      <w:r w:rsidR="00A70851" w:rsidRPr="003D6709">
        <w:rPr>
          <w:bCs/>
        </w:rPr>
        <w:t xml:space="preserve">t may </w:t>
      </w:r>
      <w:r w:rsidR="00A13160" w:rsidRPr="003D6709">
        <w:rPr>
          <w:bCs/>
        </w:rPr>
        <w:t>have been</w:t>
      </w:r>
      <w:r w:rsidR="00A70851" w:rsidRPr="003D6709">
        <w:rPr>
          <w:bCs/>
        </w:rPr>
        <w:t xml:space="preserve"> more appropriate to compare mean treatment durations and </w:t>
      </w:r>
      <w:r w:rsidR="005074C0" w:rsidRPr="003D6709">
        <w:rPr>
          <w:bCs/>
        </w:rPr>
        <w:t xml:space="preserve">mean </w:t>
      </w:r>
      <w:r w:rsidR="00A70851" w:rsidRPr="003D6709">
        <w:rPr>
          <w:bCs/>
        </w:rPr>
        <w:t>dose intensity</w:t>
      </w:r>
      <w:r w:rsidRPr="003D6709">
        <w:rPr>
          <w:bCs/>
        </w:rPr>
        <w:t>, instead of using median treatment duration</w:t>
      </w:r>
      <w:r w:rsidR="005074C0" w:rsidRPr="003D6709">
        <w:rPr>
          <w:bCs/>
        </w:rPr>
        <w:t>.</w:t>
      </w:r>
      <w:r w:rsidR="00A70851" w:rsidRPr="003D6709">
        <w:rPr>
          <w:bCs/>
        </w:rPr>
        <w:t xml:space="preserve"> However, </w:t>
      </w:r>
      <w:r w:rsidR="00763367" w:rsidRPr="003D6709">
        <w:rPr>
          <w:bCs/>
        </w:rPr>
        <w:t xml:space="preserve">noting that </w:t>
      </w:r>
      <w:r w:rsidR="00A70851" w:rsidRPr="003D6709">
        <w:rPr>
          <w:bCs/>
        </w:rPr>
        <w:t xml:space="preserve">the mean treatment duration and dose intensity </w:t>
      </w:r>
      <w:r w:rsidR="00E3693D" w:rsidRPr="003D6709">
        <w:rPr>
          <w:bCs/>
        </w:rPr>
        <w:t xml:space="preserve">for </w:t>
      </w:r>
      <w:r w:rsidR="00276048" w:rsidRPr="003D6709">
        <w:rPr>
          <w:bCs/>
        </w:rPr>
        <w:t>i</w:t>
      </w:r>
      <w:r w:rsidR="00E3693D" w:rsidRPr="003D6709">
        <w:rPr>
          <w:bCs/>
        </w:rPr>
        <w:t xml:space="preserve">brutinib </w:t>
      </w:r>
      <w:r w:rsidR="00A70851" w:rsidRPr="003D6709">
        <w:rPr>
          <w:bCs/>
        </w:rPr>
        <w:t>were not reported in Brown et al. (2014)</w:t>
      </w:r>
      <w:r w:rsidR="00763367" w:rsidRPr="003D6709">
        <w:rPr>
          <w:bCs/>
        </w:rPr>
        <w:t>, t</w:t>
      </w:r>
      <w:r w:rsidRPr="003D6709">
        <w:rPr>
          <w:bCs/>
        </w:rPr>
        <w:t xml:space="preserve">he ESC </w:t>
      </w:r>
      <w:r w:rsidR="00B57A43" w:rsidRPr="003D6709">
        <w:rPr>
          <w:bCs/>
        </w:rPr>
        <w:t>recalled that when considering venetoclax plus rituximab in the relapsed or refractory setting that the PBAC recommended that the cost</w:t>
      </w:r>
      <w:r w:rsidR="00276048" w:rsidRPr="003D6709">
        <w:rPr>
          <w:bCs/>
        </w:rPr>
        <w:t>-</w:t>
      </w:r>
      <w:r w:rsidR="00B57A43" w:rsidRPr="003D6709">
        <w:rPr>
          <w:bCs/>
        </w:rPr>
        <w:t>minimisation analysis should be based on the duration of ibrutinib which was accepted at the time of its initial PBS listing and include the dose intensity of each medici</w:t>
      </w:r>
      <w:r w:rsidR="0024129D" w:rsidRPr="003D6709">
        <w:rPr>
          <w:bCs/>
        </w:rPr>
        <w:t xml:space="preserve">ne (paragraph 7.8, Venetoclax </w:t>
      </w:r>
      <w:r w:rsidR="00157902">
        <w:rPr>
          <w:bCs/>
        </w:rPr>
        <w:t>Public Summary Document (</w:t>
      </w:r>
      <w:r w:rsidR="0024129D" w:rsidRPr="003D6709">
        <w:rPr>
          <w:bCs/>
        </w:rPr>
        <w:t>P</w:t>
      </w:r>
      <w:r w:rsidR="00B57A43" w:rsidRPr="003D6709">
        <w:rPr>
          <w:bCs/>
        </w:rPr>
        <w:t>S</w:t>
      </w:r>
      <w:r w:rsidR="0024129D" w:rsidRPr="003D6709">
        <w:rPr>
          <w:bCs/>
        </w:rPr>
        <w:t>D</w:t>
      </w:r>
      <w:r w:rsidR="00157902">
        <w:rPr>
          <w:bCs/>
        </w:rPr>
        <w:t>)</w:t>
      </w:r>
      <w:r w:rsidR="00B57A43" w:rsidRPr="003D6709">
        <w:rPr>
          <w:bCs/>
        </w:rPr>
        <w:t xml:space="preserve">, November 2018). The ESC </w:t>
      </w:r>
      <w:r w:rsidRPr="003D6709">
        <w:rPr>
          <w:bCs/>
        </w:rPr>
        <w:t xml:space="preserve">considered that the </w:t>
      </w:r>
      <w:r w:rsidR="00B57A43" w:rsidRPr="003D6709">
        <w:rPr>
          <w:bCs/>
        </w:rPr>
        <w:t>same approach should be adopted for the cost minimisation analysis between acalabrutinib and ibrutinib.</w:t>
      </w:r>
      <w:r w:rsidRPr="003D6709">
        <w:rPr>
          <w:bCs/>
        </w:rPr>
        <w:t xml:space="preserve"> </w:t>
      </w:r>
    </w:p>
    <w:p w:rsidR="00F10305" w:rsidRPr="003D6709" w:rsidRDefault="00960349" w:rsidP="00423372">
      <w:pPr>
        <w:pStyle w:val="ExecSumBodyText"/>
        <w:rPr>
          <w:bCs/>
        </w:rPr>
      </w:pPr>
      <w:r w:rsidRPr="003D6709">
        <w:rPr>
          <w:bCs/>
        </w:rPr>
        <w:t xml:space="preserve">The PBAC agreed with ESC </w:t>
      </w:r>
      <w:r w:rsidR="009431E0" w:rsidRPr="003D6709">
        <w:rPr>
          <w:bCs/>
        </w:rPr>
        <w:t xml:space="preserve">in </w:t>
      </w:r>
      <w:r w:rsidRPr="003D6709">
        <w:rPr>
          <w:bCs/>
        </w:rPr>
        <w:t>that the same approach taken for the venetoclax submission in November 2018 should be adopted</w:t>
      </w:r>
      <w:r w:rsidR="009431E0" w:rsidRPr="003D6709">
        <w:rPr>
          <w:bCs/>
        </w:rPr>
        <w:t xml:space="preserve">, </w:t>
      </w:r>
      <w:r w:rsidR="009431E0" w:rsidRPr="003D6709">
        <w:t xml:space="preserve">and that the duration of treatment for acalabrutinib should equal that </w:t>
      </w:r>
      <w:r w:rsidR="006D6E31" w:rsidRPr="003D6709">
        <w:t xml:space="preserve">which was accepted for </w:t>
      </w:r>
      <w:r w:rsidR="009431E0" w:rsidRPr="003D6709">
        <w:t>ibrutinib</w:t>
      </w:r>
      <w:r w:rsidR="006D6E31" w:rsidRPr="003D6709">
        <w:t xml:space="preserve"> at the time of its PBS listing.</w:t>
      </w:r>
      <w:r w:rsidRPr="003D6709">
        <w:rPr>
          <w:bCs/>
        </w:rPr>
        <w:t xml:space="preserve"> </w:t>
      </w:r>
    </w:p>
    <w:p w:rsidR="00EB5981" w:rsidRPr="003D6709" w:rsidRDefault="00EB5981" w:rsidP="001A489F">
      <w:pPr>
        <w:pStyle w:val="ExecSumBodyText"/>
      </w:pPr>
      <w:r w:rsidRPr="003D6709">
        <w:t>The cost-minimisation analysis included costs associated with Grade 1/2 diarrhoea and vomiting</w:t>
      </w:r>
      <w:r w:rsidR="00A70851" w:rsidRPr="003D6709">
        <w:t>,</w:t>
      </w:r>
      <w:r w:rsidRPr="003D6709">
        <w:t xml:space="preserve"> and Grade 3/4 hypertension, infection, anaemia and diarrhoea. The </w:t>
      </w:r>
      <w:r w:rsidR="001A489F" w:rsidRPr="003D6709">
        <w:t xml:space="preserve">rates of adverse events for acalabrutinib and ibrutinib were based on the adverse event rates reported in the MAIC analysis, which </w:t>
      </w:r>
      <w:r w:rsidR="00200E3C" w:rsidRPr="003D6709">
        <w:t>were</w:t>
      </w:r>
      <w:r w:rsidR="001A489F" w:rsidRPr="003D6709">
        <w:t xml:space="preserve"> not </w:t>
      </w:r>
      <w:r w:rsidR="00200E3C" w:rsidRPr="003D6709">
        <w:t>considered reliable</w:t>
      </w:r>
      <w:r w:rsidR="001A489F" w:rsidRPr="003D6709">
        <w:t xml:space="preserve">. </w:t>
      </w:r>
    </w:p>
    <w:p w:rsidR="0070750B" w:rsidRPr="003D6709" w:rsidRDefault="00EB5981" w:rsidP="001A489F">
      <w:pPr>
        <w:pStyle w:val="ExecSumBodyText"/>
        <w:rPr>
          <w:b/>
          <w:bCs/>
          <w:color w:val="0066FF"/>
        </w:rPr>
      </w:pPr>
      <w:r w:rsidRPr="003D6709">
        <w:t xml:space="preserve">Based on the included adverse event costs and proportions, the estimated cost of treating adverse </w:t>
      </w:r>
      <w:r w:rsidRPr="00E96BF9">
        <w:t xml:space="preserve">events </w:t>
      </w:r>
      <w:r w:rsidR="00491991" w:rsidRPr="00E96BF9">
        <w:t xml:space="preserve">was </w:t>
      </w:r>
      <w:r w:rsidRPr="00E96BF9">
        <w:t xml:space="preserve">$645.72 for acalabrutinib and $1,581.67 for ibrutinib, a difference of $935.96. </w:t>
      </w:r>
      <w:r w:rsidR="001A489F" w:rsidRPr="00E96BF9">
        <w:t>Given the lack of available head-to-head safety data, and the uncertainty associated with the MAIC analysis of safety outcomes,</w:t>
      </w:r>
      <w:r w:rsidR="00087E1A" w:rsidRPr="00E96BF9">
        <w:t xml:space="preserve"> the evaluators considered </w:t>
      </w:r>
      <w:r w:rsidR="001A489F" w:rsidRPr="00E96BF9">
        <w:t>it may be more appropriate</w:t>
      </w:r>
      <w:r w:rsidR="001A489F" w:rsidRPr="003D6709">
        <w:t xml:space="preserve"> to exclude adverse event costs from the cost-minimisation analysis.</w:t>
      </w:r>
      <w:r w:rsidR="00087E1A" w:rsidRPr="003D6709">
        <w:t xml:space="preserve"> The PSCR </w:t>
      </w:r>
      <w:r w:rsidR="002B6EED" w:rsidRPr="003D6709">
        <w:t>stat</w:t>
      </w:r>
      <w:r w:rsidR="00087E1A" w:rsidRPr="003D6709">
        <w:t xml:space="preserve">ed </w:t>
      </w:r>
      <w:r w:rsidR="002B6EED" w:rsidRPr="003D6709">
        <w:t xml:space="preserve">that </w:t>
      </w:r>
      <w:r w:rsidR="00087E1A" w:rsidRPr="003D6709">
        <w:t xml:space="preserve">the data presented </w:t>
      </w:r>
      <w:r w:rsidR="00763367" w:rsidRPr="003D6709">
        <w:t>wa</w:t>
      </w:r>
      <w:r w:rsidR="00087E1A" w:rsidRPr="003D6709">
        <w:t>s reasonable to support the differences in the safety profile between acalabrutinib and ibrutinib</w:t>
      </w:r>
      <w:r w:rsidR="00F623D3" w:rsidRPr="003D6709">
        <w:t>, and that the cost-minimisation analysis exclude</w:t>
      </w:r>
      <w:r w:rsidR="00763367" w:rsidRPr="003D6709">
        <w:t>d</w:t>
      </w:r>
      <w:r w:rsidR="00F623D3" w:rsidRPr="003D6709">
        <w:t xml:space="preserve"> the majority of costs associated with Grade 1/2 adverse events, which was considered conservative</w:t>
      </w:r>
      <w:r w:rsidR="00087E1A" w:rsidRPr="003D6709">
        <w:t>. The ESC</w:t>
      </w:r>
      <w:r w:rsidR="00763367" w:rsidRPr="003D6709">
        <w:t xml:space="preserve">, noting the high degree of uncertainty with the safety comparison, </w:t>
      </w:r>
      <w:r w:rsidR="002B6EED" w:rsidRPr="003D6709">
        <w:t xml:space="preserve">considered that the cost minimisation analysis </w:t>
      </w:r>
      <w:r w:rsidR="00763367" w:rsidRPr="003D6709">
        <w:t>should only include cost offsets related to atrial fibrillation and haemorrhage.</w:t>
      </w:r>
      <w:r w:rsidR="00087E1A" w:rsidRPr="003D6709">
        <w:t xml:space="preserve"> </w:t>
      </w:r>
      <w:r w:rsidR="00E310C2" w:rsidRPr="003D6709">
        <w:t xml:space="preserve">The </w:t>
      </w:r>
      <w:r w:rsidR="00DD5D66" w:rsidRPr="003D6709">
        <w:t>p</w:t>
      </w:r>
      <w:r w:rsidR="00E310C2" w:rsidRPr="003D6709">
        <w:t>re-PBAC response presented the results of an adjusted cost-</w:t>
      </w:r>
      <w:r w:rsidR="00E310C2" w:rsidRPr="003D6709">
        <w:lastRenderedPageBreak/>
        <w:t>minimised analysis only including Grade 3/4 atrial fibrillation</w:t>
      </w:r>
      <w:r w:rsidR="0070750B" w:rsidRPr="003D6709">
        <w:t xml:space="preserve"> (acalabrutinib arm: $24; ibrutinib arm: $107)</w:t>
      </w:r>
      <w:r w:rsidR="00E310C2" w:rsidRPr="003D6709">
        <w:t xml:space="preserve"> and haemorrhage </w:t>
      </w:r>
      <w:r w:rsidR="0070750B" w:rsidRPr="003D6709">
        <w:t xml:space="preserve">(acalabrutinib arm: $25; ibrutinib arm: $151) costs. </w:t>
      </w:r>
    </w:p>
    <w:p w:rsidR="00EB5981" w:rsidRPr="003D6709" w:rsidRDefault="0070750B" w:rsidP="001A489F">
      <w:pPr>
        <w:pStyle w:val="ExecSumBodyText"/>
        <w:rPr>
          <w:b/>
          <w:bCs/>
          <w:color w:val="0066FF"/>
        </w:rPr>
      </w:pPr>
      <w:r w:rsidRPr="003D6709">
        <w:t>However, the PBAC considered that overall</w:t>
      </w:r>
      <w:r w:rsidR="00C83852" w:rsidRPr="003D6709">
        <w:t xml:space="preserve"> the superior comparative safety claim was inadequately supported and</w:t>
      </w:r>
      <w:r w:rsidRPr="003D6709">
        <w:t xml:space="preserve"> acalabrutinib was likely to be non-inferior to ibrutinib</w:t>
      </w:r>
      <w:r w:rsidR="00C83852" w:rsidRPr="003D6709">
        <w:t>.</w:t>
      </w:r>
      <w:r w:rsidRPr="003D6709">
        <w:t xml:space="preserve"> </w:t>
      </w:r>
      <w:r w:rsidR="00C83852" w:rsidRPr="003D6709">
        <w:t>T</w:t>
      </w:r>
      <w:r w:rsidR="00D046DF" w:rsidRPr="003D6709">
        <w:t xml:space="preserve">he PBAC </w:t>
      </w:r>
      <w:r w:rsidR="00C83852" w:rsidRPr="003D6709">
        <w:t xml:space="preserve">therefore agreed with the evaluator option and </w:t>
      </w:r>
      <w:r w:rsidRPr="003D6709">
        <w:t xml:space="preserve">recommended that </w:t>
      </w:r>
      <w:r w:rsidR="00276048" w:rsidRPr="003D6709">
        <w:t xml:space="preserve">adverse event costs </w:t>
      </w:r>
      <w:r w:rsidRPr="003D6709">
        <w:t xml:space="preserve">were excluded </w:t>
      </w:r>
      <w:r w:rsidR="00276048" w:rsidRPr="003D6709">
        <w:t>from the cost-minimisation analysis</w:t>
      </w:r>
      <w:r w:rsidRPr="003D6709">
        <w:t xml:space="preserve">. </w:t>
      </w:r>
    </w:p>
    <w:p w:rsidR="00F01579" w:rsidRPr="003D6709" w:rsidRDefault="00F01579" w:rsidP="00992148">
      <w:pPr>
        <w:pStyle w:val="ExecSumBodyText"/>
      </w:pPr>
      <w:r w:rsidRPr="003D6709">
        <w:t>The PBAC noted the reduced risk of atrial fibrillation and haemorrhage</w:t>
      </w:r>
      <w:r w:rsidR="00434DB5" w:rsidRPr="003D6709">
        <w:t xml:space="preserve"> compared to ibrutinib for some patients. The PBAC </w:t>
      </w:r>
      <w:r w:rsidRPr="003D6709">
        <w:t>considered that if the</w:t>
      </w:r>
      <w:r w:rsidR="00434DB5" w:rsidRPr="003D6709">
        <w:t>se</w:t>
      </w:r>
      <w:r w:rsidRPr="003D6709">
        <w:t xml:space="preserve"> cost offsets were to be included in the </w:t>
      </w:r>
      <w:r w:rsidR="00434DB5" w:rsidRPr="003D6709">
        <w:t>cost-minimisation analysis,</w:t>
      </w:r>
      <w:r w:rsidRPr="003D6709">
        <w:t xml:space="preserve"> use of acalabrutinib </w:t>
      </w:r>
      <w:r w:rsidR="00C83852" w:rsidRPr="003D6709">
        <w:t>would need to</w:t>
      </w:r>
      <w:r w:rsidR="00D6417E" w:rsidRPr="003D6709">
        <w:t xml:space="preserve"> be restricted </w:t>
      </w:r>
      <w:r w:rsidR="00434DB5" w:rsidRPr="003D6709">
        <w:t xml:space="preserve">to the </w:t>
      </w:r>
      <w:r w:rsidRPr="003D6709">
        <w:t>patient population</w:t>
      </w:r>
      <w:r w:rsidR="00D6417E" w:rsidRPr="003D6709">
        <w:t xml:space="preserve"> who are </w:t>
      </w:r>
      <w:r w:rsidRPr="003D6709">
        <w:t>intoleran</w:t>
      </w:r>
      <w:r w:rsidR="00D6417E" w:rsidRPr="003D6709">
        <w:t>t to ibrutinib</w:t>
      </w:r>
      <w:r w:rsidRPr="003D6709">
        <w:t>.</w:t>
      </w:r>
    </w:p>
    <w:p w:rsidR="00C25D9C" w:rsidRPr="003D6709" w:rsidRDefault="00CA27DB" w:rsidP="00BB732D">
      <w:pPr>
        <w:pStyle w:val="3-SubsectionHeading"/>
      </w:pPr>
      <w:bookmarkStart w:id="41" w:name="_Toc22897646"/>
      <w:bookmarkStart w:id="42" w:name="_Toc30588527"/>
      <w:r w:rsidRPr="003D6709">
        <w:t>Acalabrutinib</w:t>
      </w:r>
      <w:r w:rsidR="00C25D9C" w:rsidRPr="003D6709">
        <w:t xml:space="preserve"> cost/patient/</w:t>
      </w:r>
      <w:bookmarkEnd w:id="41"/>
      <w:r w:rsidRPr="003D6709">
        <w:t>year</w:t>
      </w:r>
      <w:bookmarkEnd w:id="42"/>
    </w:p>
    <w:p w:rsidR="00200E3C" w:rsidRPr="003D6709" w:rsidRDefault="004667C8" w:rsidP="00200E3C">
      <w:pPr>
        <w:pStyle w:val="ExecSumBodyText"/>
      </w:pPr>
      <w:r>
        <w:t>Table 15</w:t>
      </w:r>
      <w:r w:rsidR="00200E3C" w:rsidRPr="003D6709">
        <w:t xml:space="preserve"> presents the drug cost per patient per year for acalabrutinib and ibrutinib</w:t>
      </w:r>
      <w:r w:rsidR="00FE0856" w:rsidRPr="003D6709">
        <w:t>, based on published prices and the submission’s proposed duration of therapy</w:t>
      </w:r>
      <w:r w:rsidR="00200E3C" w:rsidRPr="003D6709">
        <w:t>.</w:t>
      </w:r>
      <w:r w:rsidR="00F23072" w:rsidRPr="003D6709">
        <w:t xml:space="preserve"> The PBAC</w:t>
      </w:r>
      <w:r w:rsidR="000B1711" w:rsidRPr="003D6709">
        <w:t>,</w:t>
      </w:r>
      <w:r w:rsidR="00F23072" w:rsidRPr="003D6709">
        <w:t xml:space="preserve"> not</w:t>
      </w:r>
      <w:r w:rsidR="000B1711" w:rsidRPr="003D6709">
        <w:t>ing</w:t>
      </w:r>
      <w:r w:rsidR="00F23072" w:rsidRPr="003D6709">
        <w:t xml:space="preserve"> that</w:t>
      </w:r>
      <w:r w:rsidR="000B1711" w:rsidRPr="003D6709">
        <w:t xml:space="preserve"> </w:t>
      </w:r>
      <w:r w:rsidR="00F23072" w:rsidRPr="003D6709">
        <w:t>it did not accept the different treatment durations or adverse event differences between acalabrutinib and ibrutinib</w:t>
      </w:r>
      <w:r w:rsidR="000B1711" w:rsidRPr="003D6709">
        <w:t>, considered that the effective cost per patient per year of acalabrutinib would be equal to that of ibrutinib</w:t>
      </w:r>
      <w:r w:rsidR="00F23072" w:rsidRPr="003D6709">
        <w:t>.</w:t>
      </w:r>
    </w:p>
    <w:p w:rsidR="001B2AFD" w:rsidRPr="003D6709" w:rsidRDefault="001B2AFD" w:rsidP="000B501B">
      <w:pPr>
        <w:pStyle w:val="TableHeading"/>
      </w:pPr>
      <w:bookmarkStart w:id="43" w:name="_Ref33454324"/>
      <w:r w:rsidRPr="003D6709">
        <w:t>T</w:t>
      </w:r>
      <w:r w:rsidR="000B501B" w:rsidRPr="003D6709">
        <w:t xml:space="preserve">able </w:t>
      </w:r>
      <w:bookmarkEnd w:id="43"/>
      <w:r w:rsidR="004667C8">
        <w:t>15</w:t>
      </w:r>
      <w:r w:rsidRPr="003D6709">
        <w:t>: Drug cost per patient for acalabrutinib and ibrutinib</w:t>
      </w:r>
      <w:r w:rsidR="0009751B" w:rsidRPr="003D6709">
        <w:t xml:space="preserve"> as presented in the submission</w:t>
      </w:r>
      <w:r w:rsidR="000B1711" w:rsidRPr="003D6709">
        <w:t xml:space="preserve"> (</w:t>
      </w:r>
      <w:r w:rsidR="0009751B" w:rsidRPr="003D6709">
        <w:t>published prices</w:t>
      </w:r>
      <w:r w:rsidR="000B1711" w:rsidRPr="003D670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243"/>
        <w:gridCol w:w="1244"/>
        <w:gridCol w:w="1244"/>
        <w:gridCol w:w="1244"/>
        <w:gridCol w:w="1243"/>
        <w:gridCol w:w="1244"/>
      </w:tblGrid>
      <w:tr w:rsidR="001B2AFD" w:rsidRPr="003D6709" w:rsidTr="002A4FB3">
        <w:trPr>
          <w:cantSplit/>
          <w:tblHeader/>
          <w:jc w:val="center"/>
        </w:trPr>
        <w:tc>
          <w:tcPr>
            <w:tcW w:w="862" w:type="pct"/>
            <w:shd w:val="clear" w:color="auto" w:fill="auto"/>
            <w:vAlign w:val="center"/>
          </w:tcPr>
          <w:p w:rsidR="001B2AFD" w:rsidRPr="003D6709" w:rsidRDefault="001B2AFD" w:rsidP="00D35E6E">
            <w:pPr>
              <w:pStyle w:val="Tableheadingrow"/>
              <w:jc w:val="center"/>
              <w:rPr>
                <w:szCs w:val="20"/>
                <w:lang w:val="en-AU"/>
              </w:rPr>
            </w:pPr>
          </w:p>
        </w:tc>
        <w:tc>
          <w:tcPr>
            <w:tcW w:w="2069" w:type="pct"/>
            <w:gridSpan w:val="3"/>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ACAL</w:t>
            </w:r>
          </w:p>
        </w:tc>
        <w:tc>
          <w:tcPr>
            <w:tcW w:w="2069" w:type="pct"/>
            <w:gridSpan w:val="3"/>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IBR</w:t>
            </w:r>
          </w:p>
        </w:tc>
      </w:tr>
      <w:tr w:rsidR="001B2AFD" w:rsidRPr="003D6709" w:rsidTr="002A4FB3">
        <w:trPr>
          <w:cantSplit/>
          <w:tblHeader/>
          <w:jc w:val="center"/>
        </w:trPr>
        <w:tc>
          <w:tcPr>
            <w:tcW w:w="862" w:type="pct"/>
            <w:shd w:val="clear" w:color="auto" w:fill="auto"/>
            <w:vAlign w:val="center"/>
          </w:tcPr>
          <w:p w:rsidR="001B2AFD" w:rsidRPr="003D6709" w:rsidRDefault="001B2AFD" w:rsidP="00D35E6E">
            <w:pPr>
              <w:pStyle w:val="Tableheadingrow"/>
              <w:jc w:val="center"/>
              <w:rPr>
                <w:szCs w:val="20"/>
                <w:lang w:val="en-AU"/>
              </w:rPr>
            </w:pPr>
          </w:p>
        </w:tc>
        <w:tc>
          <w:tcPr>
            <w:tcW w:w="689" w:type="pct"/>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Trial dose and duration</w:t>
            </w:r>
          </w:p>
        </w:tc>
        <w:tc>
          <w:tcPr>
            <w:tcW w:w="690" w:type="pct"/>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Economic analysis</w:t>
            </w:r>
          </w:p>
        </w:tc>
        <w:tc>
          <w:tcPr>
            <w:tcW w:w="690" w:type="pct"/>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Financial estimates</w:t>
            </w:r>
          </w:p>
        </w:tc>
        <w:tc>
          <w:tcPr>
            <w:tcW w:w="690" w:type="pct"/>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Trial dose and duration</w:t>
            </w:r>
          </w:p>
        </w:tc>
        <w:tc>
          <w:tcPr>
            <w:tcW w:w="689" w:type="pct"/>
            <w:shd w:val="clear" w:color="auto" w:fill="auto"/>
            <w:vAlign w:val="center"/>
          </w:tcPr>
          <w:p w:rsidR="001B2AFD" w:rsidRPr="003D6709" w:rsidRDefault="001B2AFD" w:rsidP="00D35E6E">
            <w:pPr>
              <w:pStyle w:val="Tableheadingrow"/>
              <w:jc w:val="center"/>
              <w:rPr>
                <w:szCs w:val="20"/>
                <w:lang w:val="en-AU"/>
              </w:rPr>
            </w:pPr>
            <w:r w:rsidRPr="003D6709">
              <w:rPr>
                <w:szCs w:val="20"/>
                <w:lang w:val="en-AU"/>
              </w:rPr>
              <w:t>Economic analysis</w:t>
            </w:r>
          </w:p>
        </w:tc>
        <w:tc>
          <w:tcPr>
            <w:tcW w:w="690" w:type="pct"/>
            <w:vAlign w:val="center"/>
          </w:tcPr>
          <w:p w:rsidR="001B2AFD" w:rsidRPr="003D6709" w:rsidRDefault="001B2AFD" w:rsidP="00D35E6E">
            <w:pPr>
              <w:pStyle w:val="Tableheadingrow"/>
              <w:jc w:val="center"/>
              <w:rPr>
                <w:szCs w:val="20"/>
                <w:lang w:val="en-AU"/>
              </w:rPr>
            </w:pPr>
            <w:r w:rsidRPr="003D6709">
              <w:rPr>
                <w:szCs w:val="20"/>
                <w:lang w:val="en-AU"/>
              </w:rPr>
              <w:t>Financial estimates</w:t>
            </w:r>
          </w:p>
        </w:tc>
      </w:tr>
      <w:tr w:rsidR="001B2AFD" w:rsidRPr="003D6709" w:rsidTr="002A4FB3">
        <w:trPr>
          <w:cantSplit/>
          <w:jc w:val="center"/>
        </w:trPr>
        <w:tc>
          <w:tcPr>
            <w:tcW w:w="862" w:type="pct"/>
            <w:shd w:val="clear" w:color="auto" w:fill="auto"/>
            <w:vAlign w:val="center"/>
          </w:tcPr>
          <w:p w:rsidR="001B2AFD" w:rsidRPr="003D6709" w:rsidRDefault="001B2AFD" w:rsidP="00D35E6E">
            <w:pPr>
              <w:pStyle w:val="TableText"/>
              <w:rPr>
                <w:szCs w:val="20"/>
              </w:rPr>
            </w:pPr>
            <w:r w:rsidRPr="003D6709">
              <w:rPr>
                <w:szCs w:val="20"/>
              </w:rPr>
              <w:t>Dose</w:t>
            </w:r>
          </w:p>
        </w:tc>
        <w:tc>
          <w:tcPr>
            <w:tcW w:w="689" w:type="pct"/>
            <w:shd w:val="clear" w:color="auto" w:fill="auto"/>
            <w:vAlign w:val="center"/>
          </w:tcPr>
          <w:p w:rsidR="001B2AFD" w:rsidRPr="003D6709" w:rsidRDefault="001B2AFD" w:rsidP="00D35E6E">
            <w:pPr>
              <w:pStyle w:val="TableText"/>
              <w:jc w:val="center"/>
              <w:rPr>
                <w:szCs w:val="20"/>
              </w:rPr>
            </w:pPr>
            <w:r w:rsidRPr="003D6709">
              <w:rPr>
                <w:szCs w:val="20"/>
              </w:rPr>
              <w:t>200 mg/day</w:t>
            </w:r>
          </w:p>
        </w:tc>
        <w:tc>
          <w:tcPr>
            <w:tcW w:w="690" w:type="pct"/>
            <w:shd w:val="clear" w:color="auto" w:fill="auto"/>
            <w:vAlign w:val="center"/>
          </w:tcPr>
          <w:p w:rsidR="001B2AFD" w:rsidRPr="003D6709" w:rsidRDefault="001B2AFD" w:rsidP="00D35E6E">
            <w:pPr>
              <w:pStyle w:val="TableText"/>
              <w:jc w:val="center"/>
              <w:rPr>
                <w:szCs w:val="20"/>
              </w:rPr>
            </w:pPr>
            <w:r w:rsidRPr="003D6709">
              <w:rPr>
                <w:szCs w:val="20"/>
              </w:rPr>
              <w:t>200 mg/day</w:t>
            </w:r>
          </w:p>
        </w:tc>
        <w:tc>
          <w:tcPr>
            <w:tcW w:w="690" w:type="pct"/>
            <w:shd w:val="clear" w:color="auto" w:fill="auto"/>
            <w:vAlign w:val="center"/>
          </w:tcPr>
          <w:p w:rsidR="001B2AFD" w:rsidRPr="003D6709" w:rsidRDefault="001B2AFD" w:rsidP="00D35E6E">
            <w:pPr>
              <w:pStyle w:val="TableText"/>
              <w:jc w:val="center"/>
              <w:rPr>
                <w:szCs w:val="20"/>
              </w:rPr>
            </w:pPr>
            <w:r w:rsidRPr="003D6709">
              <w:rPr>
                <w:szCs w:val="20"/>
              </w:rPr>
              <w:t>200 mg/day</w:t>
            </w:r>
          </w:p>
        </w:tc>
        <w:tc>
          <w:tcPr>
            <w:tcW w:w="690" w:type="pct"/>
            <w:shd w:val="clear" w:color="auto" w:fill="auto"/>
            <w:vAlign w:val="center"/>
          </w:tcPr>
          <w:p w:rsidR="001B2AFD" w:rsidRPr="003D6709" w:rsidRDefault="001B2AFD" w:rsidP="00D35E6E">
            <w:pPr>
              <w:pStyle w:val="TableText"/>
              <w:jc w:val="center"/>
              <w:rPr>
                <w:szCs w:val="20"/>
              </w:rPr>
            </w:pPr>
            <w:r w:rsidRPr="003D6709">
              <w:rPr>
                <w:szCs w:val="20"/>
              </w:rPr>
              <w:t>420 mg/day</w:t>
            </w:r>
          </w:p>
        </w:tc>
        <w:tc>
          <w:tcPr>
            <w:tcW w:w="689" w:type="pct"/>
            <w:shd w:val="clear" w:color="auto" w:fill="auto"/>
            <w:vAlign w:val="center"/>
          </w:tcPr>
          <w:p w:rsidR="001B2AFD" w:rsidRPr="003D6709" w:rsidRDefault="001B2AFD" w:rsidP="00D35E6E">
            <w:pPr>
              <w:pStyle w:val="TableText"/>
              <w:jc w:val="center"/>
              <w:rPr>
                <w:szCs w:val="20"/>
              </w:rPr>
            </w:pPr>
            <w:r w:rsidRPr="003D6709">
              <w:rPr>
                <w:szCs w:val="20"/>
              </w:rPr>
              <w:t>420 mg/day</w:t>
            </w:r>
          </w:p>
        </w:tc>
        <w:tc>
          <w:tcPr>
            <w:tcW w:w="690" w:type="pct"/>
          </w:tcPr>
          <w:p w:rsidR="001B2AFD" w:rsidRPr="003D6709" w:rsidRDefault="001B2AFD" w:rsidP="00D35E6E">
            <w:pPr>
              <w:pStyle w:val="TableText"/>
              <w:jc w:val="center"/>
              <w:rPr>
                <w:szCs w:val="20"/>
              </w:rPr>
            </w:pPr>
            <w:r w:rsidRPr="003D6709">
              <w:rPr>
                <w:szCs w:val="20"/>
              </w:rPr>
              <w:t>420 mg/day</w:t>
            </w:r>
          </w:p>
        </w:tc>
      </w:tr>
      <w:tr w:rsidR="001B2AFD" w:rsidRPr="003D6709" w:rsidTr="002A4FB3">
        <w:trPr>
          <w:cantSplit/>
          <w:jc w:val="center"/>
        </w:trPr>
        <w:tc>
          <w:tcPr>
            <w:tcW w:w="862" w:type="pct"/>
            <w:shd w:val="clear" w:color="auto" w:fill="auto"/>
            <w:vAlign w:val="center"/>
          </w:tcPr>
          <w:p w:rsidR="001B2AFD" w:rsidRPr="003D6709" w:rsidRDefault="001B2AFD" w:rsidP="00D35E6E">
            <w:pPr>
              <w:pStyle w:val="TableText"/>
              <w:rPr>
                <w:szCs w:val="20"/>
              </w:rPr>
            </w:pPr>
            <w:r w:rsidRPr="003D6709">
              <w:rPr>
                <w:szCs w:val="20"/>
              </w:rPr>
              <w:t>Median duration</w:t>
            </w:r>
          </w:p>
        </w:tc>
        <w:tc>
          <w:tcPr>
            <w:tcW w:w="689" w:type="pct"/>
            <w:shd w:val="clear" w:color="auto" w:fill="auto"/>
            <w:vAlign w:val="center"/>
          </w:tcPr>
          <w:p w:rsidR="001B2AFD" w:rsidRPr="008C772E" w:rsidRDefault="004D4273" w:rsidP="00D35E6E">
            <w:pPr>
              <w:pStyle w:val="TableText"/>
              <w:jc w:val="center"/>
              <w:rPr>
                <w:szCs w:val="20"/>
              </w:rPr>
            </w:pPr>
            <w:r>
              <w:rPr>
                <w:noProof/>
                <w:color w:val="000000"/>
                <w:szCs w:val="20"/>
                <w:highlight w:val="black"/>
              </w:rPr>
              <w:t>'''''''''''</w:t>
            </w:r>
            <w:r w:rsidR="001B2AFD" w:rsidRPr="008C772E">
              <w:rPr>
                <w:szCs w:val="20"/>
              </w:rPr>
              <w:t xml:space="preserve"> months</w:t>
            </w:r>
          </w:p>
        </w:tc>
        <w:tc>
          <w:tcPr>
            <w:tcW w:w="690" w:type="pct"/>
            <w:shd w:val="clear" w:color="auto" w:fill="auto"/>
            <w:vAlign w:val="center"/>
          </w:tcPr>
          <w:p w:rsidR="001B2AFD" w:rsidRPr="008C772E" w:rsidRDefault="004D4273" w:rsidP="00D35E6E">
            <w:pPr>
              <w:pStyle w:val="TableText"/>
              <w:jc w:val="center"/>
              <w:rPr>
                <w:szCs w:val="20"/>
              </w:rPr>
            </w:pPr>
            <w:r>
              <w:rPr>
                <w:noProof/>
                <w:color w:val="000000"/>
                <w:szCs w:val="20"/>
                <w:highlight w:val="black"/>
              </w:rPr>
              <w:t>''''''''''''</w:t>
            </w:r>
            <w:r w:rsidR="001B2AFD" w:rsidRPr="008C772E">
              <w:rPr>
                <w:szCs w:val="20"/>
              </w:rPr>
              <w:t xml:space="preserve"> months</w:t>
            </w:r>
          </w:p>
        </w:tc>
        <w:tc>
          <w:tcPr>
            <w:tcW w:w="690" w:type="pct"/>
            <w:shd w:val="clear" w:color="auto" w:fill="auto"/>
            <w:vAlign w:val="center"/>
          </w:tcPr>
          <w:p w:rsidR="001B2AFD" w:rsidRPr="008C772E" w:rsidRDefault="001B2AFD" w:rsidP="00D35E6E">
            <w:pPr>
              <w:pStyle w:val="TableText"/>
              <w:jc w:val="center"/>
              <w:rPr>
                <w:szCs w:val="20"/>
                <w:vertAlign w:val="superscript"/>
              </w:rPr>
            </w:pPr>
            <w:r w:rsidRPr="008C772E">
              <w:rPr>
                <w:szCs w:val="20"/>
              </w:rPr>
              <w:t>NE</w:t>
            </w:r>
            <w:r w:rsidRPr="008C772E">
              <w:rPr>
                <w:szCs w:val="20"/>
                <w:vertAlign w:val="superscript"/>
              </w:rPr>
              <w:t>1</w:t>
            </w:r>
          </w:p>
        </w:tc>
        <w:tc>
          <w:tcPr>
            <w:tcW w:w="690" w:type="pct"/>
            <w:shd w:val="clear" w:color="auto" w:fill="auto"/>
            <w:vAlign w:val="center"/>
          </w:tcPr>
          <w:p w:rsidR="001B2AFD" w:rsidRPr="008C772E" w:rsidRDefault="004D4273" w:rsidP="00D35E6E">
            <w:pPr>
              <w:pStyle w:val="TableText"/>
              <w:jc w:val="center"/>
              <w:rPr>
                <w:szCs w:val="20"/>
              </w:rPr>
            </w:pPr>
            <w:r>
              <w:rPr>
                <w:noProof/>
                <w:color w:val="000000"/>
                <w:szCs w:val="20"/>
                <w:highlight w:val="black"/>
              </w:rPr>
              <w:t>''''''''''</w:t>
            </w:r>
            <w:r w:rsidR="001B2AFD" w:rsidRPr="008C772E">
              <w:rPr>
                <w:szCs w:val="20"/>
              </w:rPr>
              <w:t xml:space="preserve"> months</w:t>
            </w:r>
          </w:p>
        </w:tc>
        <w:tc>
          <w:tcPr>
            <w:tcW w:w="689" w:type="pct"/>
            <w:shd w:val="clear" w:color="auto" w:fill="auto"/>
            <w:vAlign w:val="center"/>
          </w:tcPr>
          <w:p w:rsidR="001B2AFD" w:rsidRPr="008C772E" w:rsidRDefault="004D4273" w:rsidP="00D35E6E">
            <w:pPr>
              <w:pStyle w:val="TableText"/>
              <w:jc w:val="center"/>
              <w:rPr>
                <w:szCs w:val="20"/>
              </w:rPr>
            </w:pPr>
            <w:r>
              <w:rPr>
                <w:noProof/>
                <w:color w:val="000000"/>
                <w:szCs w:val="20"/>
                <w:highlight w:val="black"/>
              </w:rPr>
              <w:t>'''''''''''</w:t>
            </w:r>
            <w:r w:rsidR="001B2AFD" w:rsidRPr="008C772E">
              <w:rPr>
                <w:szCs w:val="20"/>
              </w:rPr>
              <w:t xml:space="preserve"> months</w:t>
            </w:r>
          </w:p>
        </w:tc>
        <w:tc>
          <w:tcPr>
            <w:tcW w:w="690" w:type="pct"/>
          </w:tcPr>
          <w:p w:rsidR="001B2AFD" w:rsidRPr="008C772E" w:rsidRDefault="001B2AFD" w:rsidP="00D35E6E">
            <w:pPr>
              <w:pStyle w:val="TableText"/>
              <w:jc w:val="center"/>
              <w:rPr>
                <w:szCs w:val="20"/>
                <w:vertAlign w:val="superscript"/>
              </w:rPr>
            </w:pPr>
            <w:r w:rsidRPr="008C772E">
              <w:rPr>
                <w:szCs w:val="20"/>
              </w:rPr>
              <w:t>NE</w:t>
            </w:r>
            <w:r w:rsidRPr="008C772E">
              <w:rPr>
                <w:szCs w:val="20"/>
                <w:vertAlign w:val="superscript"/>
              </w:rPr>
              <w:t>1</w:t>
            </w:r>
          </w:p>
        </w:tc>
      </w:tr>
      <w:tr w:rsidR="001B2AFD" w:rsidRPr="003D6709" w:rsidTr="002A4FB3">
        <w:trPr>
          <w:cantSplit/>
          <w:jc w:val="center"/>
        </w:trPr>
        <w:tc>
          <w:tcPr>
            <w:tcW w:w="862" w:type="pct"/>
            <w:shd w:val="clear" w:color="auto" w:fill="auto"/>
            <w:vAlign w:val="center"/>
          </w:tcPr>
          <w:p w:rsidR="001B2AFD" w:rsidRPr="003D6709" w:rsidRDefault="001B2AFD" w:rsidP="00D35E6E">
            <w:pPr>
              <w:pStyle w:val="TableText"/>
              <w:rPr>
                <w:szCs w:val="20"/>
              </w:rPr>
            </w:pPr>
            <w:r w:rsidRPr="003D6709">
              <w:rPr>
                <w:szCs w:val="20"/>
              </w:rPr>
              <w:t>Mean dose intensity</w:t>
            </w:r>
          </w:p>
        </w:tc>
        <w:tc>
          <w:tcPr>
            <w:tcW w:w="689" w:type="pct"/>
            <w:shd w:val="clear" w:color="auto" w:fill="auto"/>
            <w:vAlign w:val="center"/>
          </w:tcPr>
          <w:p w:rsidR="001B2AFD" w:rsidRPr="008C772E" w:rsidRDefault="001B2AFD" w:rsidP="00D35E6E">
            <w:pPr>
              <w:pStyle w:val="TableText"/>
              <w:jc w:val="center"/>
              <w:rPr>
                <w:szCs w:val="20"/>
              </w:rPr>
            </w:pPr>
            <w:r w:rsidRPr="008C772E">
              <w:rPr>
                <w:szCs w:val="20"/>
              </w:rPr>
              <w:t>97.32%</w:t>
            </w:r>
          </w:p>
        </w:tc>
        <w:tc>
          <w:tcPr>
            <w:tcW w:w="690" w:type="pct"/>
            <w:shd w:val="clear" w:color="auto" w:fill="auto"/>
            <w:vAlign w:val="center"/>
          </w:tcPr>
          <w:p w:rsidR="001B2AFD" w:rsidRPr="008C772E" w:rsidRDefault="001B2AFD" w:rsidP="00D35E6E">
            <w:pPr>
              <w:pStyle w:val="TableText"/>
              <w:jc w:val="center"/>
              <w:rPr>
                <w:szCs w:val="20"/>
              </w:rPr>
            </w:pPr>
            <w:r w:rsidRPr="008C772E">
              <w:rPr>
                <w:szCs w:val="20"/>
              </w:rPr>
              <w:t>100%</w:t>
            </w:r>
          </w:p>
        </w:tc>
        <w:tc>
          <w:tcPr>
            <w:tcW w:w="690" w:type="pct"/>
            <w:shd w:val="clear" w:color="auto" w:fill="auto"/>
            <w:vAlign w:val="center"/>
          </w:tcPr>
          <w:p w:rsidR="001B2AFD" w:rsidRPr="008C772E" w:rsidRDefault="001B2AFD" w:rsidP="00D35E6E">
            <w:pPr>
              <w:pStyle w:val="TableText"/>
              <w:jc w:val="center"/>
              <w:rPr>
                <w:szCs w:val="20"/>
                <w:vertAlign w:val="superscript"/>
              </w:rPr>
            </w:pPr>
            <w:r w:rsidRPr="008C772E">
              <w:rPr>
                <w:szCs w:val="20"/>
              </w:rPr>
              <w:t>100%</w:t>
            </w:r>
          </w:p>
        </w:tc>
        <w:tc>
          <w:tcPr>
            <w:tcW w:w="690" w:type="pct"/>
            <w:shd w:val="clear" w:color="auto" w:fill="auto"/>
            <w:vAlign w:val="center"/>
          </w:tcPr>
          <w:p w:rsidR="001B2AFD" w:rsidRPr="008C772E" w:rsidRDefault="001B2AFD" w:rsidP="00D35E6E">
            <w:pPr>
              <w:pStyle w:val="TableText"/>
              <w:jc w:val="center"/>
              <w:rPr>
                <w:szCs w:val="20"/>
              </w:rPr>
            </w:pPr>
            <w:r w:rsidRPr="008C772E">
              <w:rPr>
                <w:szCs w:val="20"/>
              </w:rPr>
              <w:t>NR</w:t>
            </w:r>
          </w:p>
        </w:tc>
        <w:tc>
          <w:tcPr>
            <w:tcW w:w="689" w:type="pct"/>
            <w:shd w:val="clear" w:color="auto" w:fill="auto"/>
            <w:vAlign w:val="center"/>
          </w:tcPr>
          <w:p w:rsidR="001B2AFD" w:rsidRPr="008C772E" w:rsidRDefault="001B2AFD" w:rsidP="00D35E6E">
            <w:pPr>
              <w:pStyle w:val="TableText"/>
              <w:jc w:val="center"/>
              <w:rPr>
                <w:szCs w:val="20"/>
              </w:rPr>
            </w:pPr>
            <w:r w:rsidRPr="008C772E">
              <w:rPr>
                <w:szCs w:val="20"/>
              </w:rPr>
              <w:t>100%</w:t>
            </w:r>
          </w:p>
        </w:tc>
        <w:tc>
          <w:tcPr>
            <w:tcW w:w="690" w:type="pct"/>
          </w:tcPr>
          <w:p w:rsidR="001B2AFD" w:rsidRPr="008C772E" w:rsidRDefault="001B2AFD" w:rsidP="00D35E6E">
            <w:pPr>
              <w:pStyle w:val="TableText"/>
              <w:jc w:val="center"/>
              <w:rPr>
                <w:szCs w:val="20"/>
                <w:vertAlign w:val="superscript"/>
              </w:rPr>
            </w:pPr>
            <w:r w:rsidRPr="008C772E">
              <w:rPr>
                <w:szCs w:val="20"/>
              </w:rPr>
              <w:t>100%</w:t>
            </w:r>
          </w:p>
        </w:tc>
      </w:tr>
      <w:tr w:rsidR="001B2AFD" w:rsidRPr="003D6709" w:rsidTr="002A4FB3">
        <w:trPr>
          <w:cantSplit/>
          <w:jc w:val="center"/>
        </w:trPr>
        <w:tc>
          <w:tcPr>
            <w:tcW w:w="862" w:type="pct"/>
            <w:shd w:val="clear" w:color="auto" w:fill="auto"/>
            <w:vAlign w:val="center"/>
          </w:tcPr>
          <w:p w:rsidR="001B2AFD" w:rsidRPr="003D6709" w:rsidRDefault="001B2AFD" w:rsidP="00D35E6E">
            <w:pPr>
              <w:pStyle w:val="TableText"/>
              <w:rPr>
                <w:szCs w:val="20"/>
                <w:vertAlign w:val="superscript"/>
              </w:rPr>
            </w:pPr>
            <w:r w:rsidRPr="003D6709">
              <w:rPr>
                <w:szCs w:val="20"/>
              </w:rPr>
              <w:t>Cost/patient/course</w:t>
            </w:r>
            <w:r w:rsidRPr="003D6709">
              <w:rPr>
                <w:szCs w:val="20"/>
                <w:vertAlign w:val="superscript"/>
              </w:rPr>
              <w:t>2</w:t>
            </w:r>
          </w:p>
        </w:tc>
        <w:tc>
          <w:tcPr>
            <w:tcW w:w="689" w:type="pct"/>
            <w:shd w:val="clear" w:color="auto" w:fill="auto"/>
            <w:vAlign w:val="center"/>
          </w:tcPr>
          <w:p w:rsidR="001B2AFD" w:rsidRPr="008C772E" w:rsidRDefault="001B2AFD" w:rsidP="00D35E6E">
            <w:pPr>
              <w:pStyle w:val="TableText"/>
              <w:jc w:val="center"/>
              <w:rPr>
                <w:szCs w:val="20"/>
                <w:vertAlign w:val="superscript"/>
              </w:rPr>
            </w:pPr>
            <w:r w:rsidRPr="008C772E">
              <w:rPr>
                <w:szCs w:val="20"/>
              </w:rPr>
              <w:t>$</w:t>
            </w:r>
            <w:r w:rsidR="004D4273">
              <w:rPr>
                <w:noProof/>
                <w:color w:val="000000"/>
                <w:szCs w:val="20"/>
                <w:highlight w:val="black"/>
              </w:rPr>
              <w:t>'''''''''''''''''''''''''''''</w:t>
            </w:r>
            <w:r w:rsidR="00860080" w:rsidRPr="008C772E">
              <w:rPr>
                <w:szCs w:val="20"/>
                <w:vertAlign w:val="superscript"/>
              </w:rPr>
              <w:t>3</w:t>
            </w:r>
          </w:p>
        </w:tc>
        <w:tc>
          <w:tcPr>
            <w:tcW w:w="690" w:type="pct"/>
            <w:shd w:val="clear" w:color="auto" w:fill="auto"/>
            <w:vAlign w:val="center"/>
          </w:tcPr>
          <w:p w:rsidR="001B2AFD" w:rsidRPr="008C772E" w:rsidRDefault="001B2AFD" w:rsidP="00D35E6E">
            <w:pPr>
              <w:pStyle w:val="TableText"/>
              <w:jc w:val="center"/>
              <w:rPr>
                <w:szCs w:val="20"/>
                <w:vertAlign w:val="superscript"/>
              </w:rPr>
            </w:pPr>
            <w:r w:rsidRPr="008C772E">
              <w:rPr>
                <w:szCs w:val="20"/>
              </w:rPr>
              <w:t>$</w:t>
            </w:r>
            <w:r w:rsidR="004D4273">
              <w:rPr>
                <w:noProof/>
                <w:color w:val="000000"/>
                <w:szCs w:val="20"/>
                <w:highlight w:val="black"/>
              </w:rPr>
              <w:t>'''''''''''''''''''''''''''''</w:t>
            </w:r>
            <w:r w:rsidR="00860080" w:rsidRPr="008C772E">
              <w:rPr>
                <w:szCs w:val="20"/>
                <w:vertAlign w:val="superscript"/>
              </w:rPr>
              <w:t>3</w:t>
            </w:r>
          </w:p>
        </w:tc>
        <w:tc>
          <w:tcPr>
            <w:tcW w:w="690" w:type="pct"/>
            <w:shd w:val="clear" w:color="auto" w:fill="auto"/>
            <w:vAlign w:val="center"/>
          </w:tcPr>
          <w:p w:rsidR="001B2AFD" w:rsidRPr="008C772E" w:rsidRDefault="001B2AFD" w:rsidP="00D35E6E">
            <w:pPr>
              <w:jc w:val="center"/>
              <w:rPr>
                <w:rFonts w:ascii="Arial Narrow" w:hAnsi="Arial Narrow"/>
                <w:sz w:val="20"/>
                <w:szCs w:val="20"/>
                <w:vertAlign w:val="superscript"/>
              </w:rPr>
            </w:pPr>
            <w:r w:rsidRPr="008C772E">
              <w:rPr>
                <w:rFonts w:ascii="Arial Narrow" w:hAnsi="Arial Narrow"/>
                <w:sz w:val="20"/>
                <w:szCs w:val="20"/>
              </w:rPr>
              <w:t>NE</w:t>
            </w:r>
            <w:r w:rsidRPr="008C772E">
              <w:rPr>
                <w:rFonts w:ascii="Arial Narrow" w:hAnsi="Arial Narrow"/>
                <w:sz w:val="20"/>
                <w:szCs w:val="20"/>
                <w:vertAlign w:val="superscript"/>
              </w:rPr>
              <w:t>1</w:t>
            </w:r>
          </w:p>
        </w:tc>
        <w:tc>
          <w:tcPr>
            <w:tcW w:w="690" w:type="pct"/>
            <w:shd w:val="clear" w:color="auto" w:fill="auto"/>
            <w:vAlign w:val="center"/>
          </w:tcPr>
          <w:p w:rsidR="001B2AFD" w:rsidRPr="008C772E" w:rsidRDefault="001B2AFD" w:rsidP="00D35E6E">
            <w:pPr>
              <w:pStyle w:val="TableText"/>
              <w:jc w:val="center"/>
              <w:rPr>
                <w:szCs w:val="20"/>
              </w:rPr>
            </w:pPr>
            <w:r w:rsidRPr="008C772E">
              <w:rPr>
                <w:szCs w:val="20"/>
              </w:rPr>
              <w:t>NE</w:t>
            </w:r>
          </w:p>
        </w:tc>
        <w:tc>
          <w:tcPr>
            <w:tcW w:w="689" w:type="pct"/>
            <w:shd w:val="clear" w:color="auto" w:fill="auto"/>
            <w:vAlign w:val="center"/>
          </w:tcPr>
          <w:p w:rsidR="001B2AFD" w:rsidRPr="008C772E" w:rsidRDefault="001B2AFD" w:rsidP="00D35E6E">
            <w:pPr>
              <w:pStyle w:val="TableText"/>
              <w:jc w:val="center"/>
              <w:rPr>
                <w:szCs w:val="20"/>
              </w:rPr>
            </w:pPr>
            <w:r w:rsidRPr="008C772E">
              <w:rPr>
                <w:szCs w:val="20"/>
              </w:rPr>
              <w:t>$</w:t>
            </w:r>
            <w:r w:rsidR="004D4273">
              <w:rPr>
                <w:noProof/>
                <w:color w:val="000000"/>
                <w:szCs w:val="20"/>
                <w:highlight w:val="black"/>
              </w:rPr>
              <w:t>'''''''''''''''''''''''''</w:t>
            </w:r>
          </w:p>
        </w:tc>
        <w:tc>
          <w:tcPr>
            <w:tcW w:w="690" w:type="pct"/>
          </w:tcPr>
          <w:p w:rsidR="001B2AFD" w:rsidRPr="008C772E" w:rsidRDefault="001B2AFD" w:rsidP="00D35E6E">
            <w:pPr>
              <w:pStyle w:val="TableText"/>
              <w:jc w:val="center"/>
              <w:rPr>
                <w:szCs w:val="20"/>
                <w:vertAlign w:val="superscript"/>
              </w:rPr>
            </w:pPr>
            <w:r w:rsidRPr="008C772E">
              <w:rPr>
                <w:szCs w:val="20"/>
              </w:rPr>
              <w:t>NE</w:t>
            </w:r>
            <w:r w:rsidRPr="008C772E">
              <w:rPr>
                <w:szCs w:val="20"/>
                <w:vertAlign w:val="superscript"/>
              </w:rPr>
              <w:t>1</w:t>
            </w:r>
          </w:p>
        </w:tc>
      </w:tr>
      <w:tr w:rsidR="001B2AFD" w:rsidRPr="003D6709" w:rsidTr="002A4FB3">
        <w:trPr>
          <w:cantSplit/>
          <w:jc w:val="center"/>
        </w:trPr>
        <w:tc>
          <w:tcPr>
            <w:tcW w:w="862" w:type="pct"/>
            <w:shd w:val="clear" w:color="auto" w:fill="auto"/>
            <w:vAlign w:val="center"/>
          </w:tcPr>
          <w:p w:rsidR="001B2AFD" w:rsidRPr="003D6709" w:rsidRDefault="001B2AFD" w:rsidP="00D35E6E">
            <w:pPr>
              <w:pStyle w:val="TableText"/>
              <w:rPr>
                <w:szCs w:val="20"/>
              </w:rPr>
            </w:pPr>
            <w:r w:rsidRPr="003D6709">
              <w:rPr>
                <w:szCs w:val="20"/>
              </w:rPr>
              <w:t>Cost/patient/year</w:t>
            </w:r>
          </w:p>
        </w:tc>
        <w:tc>
          <w:tcPr>
            <w:tcW w:w="689" w:type="pct"/>
            <w:shd w:val="clear" w:color="auto" w:fill="auto"/>
            <w:vAlign w:val="center"/>
          </w:tcPr>
          <w:p w:rsidR="001B2AFD" w:rsidRPr="008C772E" w:rsidRDefault="001B2AFD" w:rsidP="00D35E6E">
            <w:pPr>
              <w:pStyle w:val="TableText"/>
              <w:jc w:val="center"/>
              <w:rPr>
                <w:szCs w:val="20"/>
                <w:vertAlign w:val="superscript"/>
              </w:rPr>
            </w:pPr>
            <w:r w:rsidRPr="008C772E">
              <w:rPr>
                <w:szCs w:val="20"/>
              </w:rPr>
              <w:t>$</w:t>
            </w:r>
            <w:r w:rsidR="004D4273">
              <w:rPr>
                <w:noProof/>
                <w:color w:val="000000"/>
                <w:szCs w:val="20"/>
                <w:highlight w:val="black"/>
              </w:rPr>
              <w:t>''''''''''''''''''''''''''''</w:t>
            </w:r>
            <w:r w:rsidR="00860080" w:rsidRPr="008C772E">
              <w:rPr>
                <w:szCs w:val="20"/>
                <w:vertAlign w:val="superscript"/>
              </w:rPr>
              <w:t>3</w:t>
            </w:r>
          </w:p>
        </w:tc>
        <w:tc>
          <w:tcPr>
            <w:tcW w:w="690" w:type="pct"/>
            <w:shd w:val="clear" w:color="auto" w:fill="auto"/>
            <w:vAlign w:val="center"/>
          </w:tcPr>
          <w:p w:rsidR="001B2AFD" w:rsidRPr="008C772E" w:rsidRDefault="001B2AFD" w:rsidP="00D35E6E">
            <w:pPr>
              <w:pStyle w:val="TableText"/>
              <w:jc w:val="center"/>
              <w:rPr>
                <w:szCs w:val="20"/>
                <w:vertAlign w:val="superscript"/>
              </w:rPr>
            </w:pPr>
            <w:r w:rsidRPr="008C772E">
              <w:rPr>
                <w:szCs w:val="20"/>
              </w:rPr>
              <w:t>$</w:t>
            </w:r>
            <w:r w:rsidR="004D4273">
              <w:rPr>
                <w:noProof/>
                <w:color w:val="000000"/>
                <w:szCs w:val="20"/>
                <w:highlight w:val="black"/>
              </w:rPr>
              <w:t>'''''''''''''''''''''''''''''</w:t>
            </w:r>
            <w:r w:rsidR="00860080" w:rsidRPr="008C772E">
              <w:rPr>
                <w:szCs w:val="20"/>
                <w:vertAlign w:val="superscript"/>
              </w:rPr>
              <w:t>3</w:t>
            </w:r>
          </w:p>
        </w:tc>
        <w:tc>
          <w:tcPr>
            <w:tcW w:w="690" w:type="pct"/>
            <w:shd w:val="clear" w:color="auto" w:fill="auto"/>
            <w:vAlign w:val="center"/>
          </w:tcPr>
          <w:p w:rsidR="001B2AFD" w:rsidRPr="008C772E" w:rsidRDefault="00930BDF" w:rsidP="00D35E6E">
            <w:pPr>
              <w:pStyle w:val="TableText"/>
              <w:jc w:val="center"/>
              <w:rPr>
                <w:szCs w:val="20"/>
                <w:vertAlign w:val="superscript"/>
              </w:rPr>
            </w:pPr>
            <w:r w:rsidRPr="008C772E">
              <w:rPr>
                <w:szCs w:val="20"/>
              </w:rPr>
              <w:t>$</w:t>
            </w:r>
            <w:r w:rsidR="004D4273">
              <w:rPr>
                <w:noProof/>
                <w:color w:val="000000"/>
                <w:szCs w:val="20"/>
                <w:highlight w:val="black"/>
              </w:rPr>
              <w:t>''''''''''''''''''''''''''</w:t>
            </w:r>
            <w:r w:rsidRPr="008C772E">
              <w:rPr>
                <w:szCs w:val="20"/>
                <w:vertAlign w:val="superscript"/>
              </w:rPr>
              <w:t>3</w:t>
            </w:r>
          </w:p>
        </w:tc>
        <w:tc>
          <w:tcPr>
            <w:tcW w:w="690" w:type="pct"/>
            <w:shd w:val="clear" w:color="auto" w:fill="auto"/>
            <w:vAlign w:val="center"/>
          </w:tcPr>
          <w:p w:rsidR="001B2AFD" w:rsidRPr="008C772E" w:rsidRDefault="001B2AFD" w:rsidP="00D35E6E">
            <w:pPr>
              <w:pStyle w:val="TableText"/>
              <w:jc w:val="center"/>
              <w:rPr>
                <w:szCs w:val="20"/>
              </w:rPr>
            </w:pPr>
            <w:r w:rsidRPr="008C772E">
              <w:rPr>
                <w:szCs w:val="20"/>
              </w:rPr>
              <w:t>NE</w:t>
            </w:r>
          </w:p>
        </w:tc>
        <w:tc>
          <w:tcPr>
            <w:tcW w:w="689" w:type="pct"/>
            <w:shd w:val="clear" w:color="auto" w:fill="auto"/>
            <w:vAlign w:val="center"/>
          </w:tcPr>
          <w:p w:rsidR="001B2AFD" w:rsidRPr="008C772E" w:rsidRDefault="001B2AFD" w:rsidP="00D35E6E">
            <w:pPr>
              <w:pStyle w:val="TableText"/>
              <w:jc w:val="center"/>
              <w:rPr>
                <w:szCs w:val="20"/>
              </w:rPr>
            </w:pPr>
            <w:r w:rsidRPr="008C772E">
              <w:rPr>
                <w:szCs w:val="20"/>
              </w:rPr>
              <w:t>$</w:t>
            </w:r>
            <w:r w:rsidR="004D4273">
              <w:rPr>
                <w:noProof/>
                <w:color w:val="000000"/>
                <w:szCs w:val="20"/>
                <w:highlight w:val="black"/>
              </w:rPr>
              <w:t>''''''''''''''''''''''''''''</w:t>
            </w:r>
          </w:p>
        </w:tc>
        <w:tc>
          <w:tcPr>
            <w:tcW w:w="690" w:type="pct"/>
          </w:tcPr>
          <w:p w:rsidR="001B2AFD" w:rsidRPr="008C772E" w:rsidRDefault="00930BDF" w:rsidP="00D35E6E">
            <w:pPr>
              <w:pStyle w:val="TableText"/>
              <w:jc w:val="center"/>
              <w:rPr>
                <w:szCs w:val="20"/>
                <w:vertAlign w:val="superscript"/>
              </w:rPr>
            </w:pPr>
            <w:r w:rsidRPr="008C772E">
              <w:rPr>
                <w:szCs w:val="20"/>
              </w:rPr>
              <w:t>$</w:t>
            </w:r>
            <w:r w:rsidR="004D4273">
              <w:rPr>
                <w:noProof/>
                <w:color w:val="000000"/>
                <w:szCs w:val="20"/>
                <w:highlight w:val="black"/>
              </w:rPr>
              <w:t>'''''''''''''''''''''''''''</w:t>
            </w:r>
          </w:p>
        </w:tc>
      </w:tr>
    </w:tbl>
    <w:p w:rsidR="001B2AFD" w:rsidRPr="003D6709" w:rsidRDefault="001B2AFD" w:rsidP="001B2AFD">
      <w:pPr>
        <w:pStyle w:val="TableFigureFooter"/>
      </w:pPr>
      <w:r w:rsidRPr="003D6709">
        <w:t xml:space="preserve">Source: </w:t>
      </w:r>
      <w:r w:rsidR="001A4A35" w:rsidRPr="003D6709">
        <w:t>Table 32, pp142-143 of the submission.</w:t>
      </w:r>
    </w:p>
    <w:p w:rsidR="00957C88" w:rsidRPr="003D6709" w:rsidRDefault="00957C88" w:rsidP="00957C88">
      <w:pPr>
        <w:pStyle w:val="TableFigureFooter"/>
      </w:pPr>
      <w:r w:rsidRPr="003D6709">
        <w:t>Abbreviations: ACAL, acalabrutinib; IBR, ibrutinib; NE, not estimable; NR, not reported.</w:t>
      </w:r>
    </w:p>
    <w:p w:rsidR="001B2AFD" w:rsidRPr="003D6709" w:rsidRDefault="001B2AFD" w:rsidP="001B2AFD">
      <w:pPr>
        <w:pStyle w:val="TableFigureFooter"/>
      </w:pPr>
      <w:r w:rsidRPr="003D6709">
        <w:rPr>
          <w:vertAlign w:val="superscript"/>
        </w:rPr>
        <w:t>1</w:t>
      </w:r>
      <w:r w:rsidRPr="003D6709">
        <w:t xml:space="preserve"> Financial estimates were derived from projected ibrutinib scripts. The underlying treatment duration for ibrutinib was not estimated.</w:t>
      </w:r>
    </w:p>
    <w:p w:rsidR="001B2AFD" w:rsidRPr="003D6709" w:rsidRDefault="001B2AFD" w:rsidP="001B2AFD">
      <w:pPr>
        <w:pStyle w:val="TableFigureFooter"/>
      </w:pPr>
      <w:r w:rsidRPr="003D6709">
        <w:rPr>
          <w:vertAlign w:val="superscript"/>
        </w:rPr>
        <w:t>2</w:t>
      </w:r>
      <w:r w:rsidRPr="003D6709">
        <w:t xml:space="preserve"> Treatment course based on the reported median treatment duration.</w:t>
      </w:r>
    </w:p>
    <w:p w:rsidR="00860080" w:rsidRPr="003D6709" w:rsidRDefault="00860080" w:rsidP="001B2AFD">
      <w:pPr>
        <w:pStyle w:val="TableFigureFooter"/>
      </w:pPr>
      <w:r w:rsidRPr="003D6709">
        <w:rPr>
          <w:vertAlign w:val="superscript"/>
        </w:rPr>
        <w:t>3</w:t>
      </w:r>
      <w:r w:rsidRPr="003D6709">
        <w:t xml:space="preserve"> Based on the cost-minimised DPMQ for acalabrutinib of $</w:t>
      </w:r>
      <w:r w:rsidR="004D4273">
        <w:rPr>
          <w:noProof/>
          <w:color w:val="000000"/>
          <w:highlight w:val="black"/>
        </w:rPr>
        <w:t>''''''''''''''''''''</w:t>
      </w:r>
      <w:r w:rsidRPr="003D6709">
        <w:t>. The requested published price of $</w:t>
      </w:r>
      <w:r w:rsidR="004D4273">
        <w:rPr>
          <w:noProof/>
          <w:color w:val="000000"/>
          <w:highlight w:val="black"/>
        </w:rPr>
        <w:t>'''''''''''''''''''''''</w:t>
      </w:r>
      <w:r w:rsidRPr="003D6709">
        <w:t xml:space="preserve"> was higher than the price derived in the cost-minimisation based on the ibrutinib published price.</w:t>
      </w:r>
    </w:p>
    <w:p w:rsidR="00B60939" w:rsidRPr="003D6709" w:rsidRDefault="00B60939" w:rsidP="002B05A1">
      <w:pPr>
        <w:pStyle w:val="3-SubsectionHeading"/>
      </w:pPr>
      <w:bookmarkStart w:id="44" w:name="_Toc22897647"/>
      <w:bookmarkStart w:id="45" w:name="_Toc30588528"/>
      <w:r w:rsidRPr="003D6709">
        <w:t>Estimated PBS usage &amp; financial implications</w:t>
      </w:r>
      <w:bookmarkEnd w:id="44"/>
      <w:bookmarkEnd w:id="45"/>
    </w:p>
    <w:p w:rsidR="002B05A1" w:rsidRPr="003D6709" w:rsidRDefault="00C25D9C" w:rsidP="001109EE">
      <w:pPr>
        <w:pStyle w:val="ExecSumBodyText"/>
        <w:rPr>
          <w:color w:val="0066FF"/>
        </w:rPr>
      </w:pPr>
      <w:r w:rsidRPr="003D6709">
        <w:t xml:space="preserve">This submission </w:t>
      </w:r>
      <w:r w:rsidR="00763367" w:rsidRPr="003D6709">
        <w:t xml:space="preserve">was </w:t>
      </w:r>
      <w:r w:rsidR="001109EE" w:rsidRPr="003D6709">
        <w:t>not</w:t>
      </w:r>
      <w:r w:rsidRPr="003D6709">
        <w:t xml:space="preserve"> considered by DUSC.</w:t>
      </w:r>
      <w:r w:rsidR="00BC591F" w:rsidRPr="003D6709">
        <w:t xml:space="preserve"> </w:t>
      </w:r>
      <w:r w:rsidR="001109EE" w:rsidRPr="003D6709">
        <w:t xml:space="preserve">The submission used a market-share approach to estimate the utilisation and financial impacts associated with the PBS listing of acalabrutinib. The sources of data used in the financial estimates are presented in the </w:t>
      </w:r>
      <w:r w:rsidR="00524BF4" w:rsidRPr="003D6709">
        <w:t>t</w:t>
      </w:r>
      <w:r w:rsidR="001109EE" w:rsidRPr="003D6709">
        <w:t>able below.</w:t>
      </w:r>
    </w:p>
    <w:p w:rsidR="00E42F73" w:rsidRPr="003D6709" w:rsidRDefault="00E42F73" w:rsidP="000B501B">
      <w:pPr>
        <w:pStyle w:val="TableHeading"/>
      </w:pPr>
      <w:r w:rsidRPr="003D6709">
        <w:lastRenderedPageBreak/>
        <w:t>T</w:t>
      </w:r>
      <w:r w:rsidR="001A489F" w:rsidRPr="003D6709">
        <w:t>able</w:t>
      </w:r>
      <w:r w:rsidR="004667C8">
        <w:t xml:space="preserve"> 16</w:t>
      </w:r>
      <w:r w:rsidRPr="003D6709">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13"/>
        <w:gridCol w:w="3668"/>
        <w:gridCol w:w="3636"/>
      </w:tblGrid>
      <w:tr w:rsidR="00E42F73" w:rsidRPr="003D6709" w:rsidTr="002A4FB3">
        <w:trPr>
          <w:cantSplit/>
          <w:tblHeader/>
        </w:trPr>
        <w:tc>
          <w:tcPr>
            <w:tcW w:w="950" w:type="pct"/>
            <w:shd w:val="clear" w:color="auto" w:fill="auto"/>
            <w:vAlign w:val="center"/>
          </w:tcPr>
          <w:p w:rsidR="00E42F73" w:rsidRPr="003D6709" w:rsidRDefault="004658B5" w:rsidP="00EF69E3">
            <w:pPr>
              <w:pStyle w:val="Tableheadingrow"/>
              <w:rPr>
                <w:lang w:val="en-AU"/>
              </w:rPr>
            </w:pPr>
            <w:r w:rsidRPr="003D6709">
              <w:rPr>
                <w:lang w:val="en-AU"/>
              </w:rPr>
              <w:t>Parameter</w:t>
            </w:r>
          </w:p>
        </w:tc>
        <w:tc>
          <w:tcPr>
            <w:tcW w:w="2034" w:type="pct"/>
            <w:shd w:val="clear" w:color="auto" w:fill="auto"/>
            <w:vAlign w:val="center"/>
          </w:tcPr>
          <w:p w:rsidR="00E42F73" w:rsidRPr="003D6709" w:rsidRDefault="004658B5" w:rsidP="00EF69E3">
            <w:pPr>
              <w:pStyle w:val="Tableheadingrow"/>
              <w:rPr>
                <w:lang w:val="en-AU"/>
              </w:rPr>
            </w:pPr>
            <w:r w:rsidRPr="003D6709">
              <w:rPr>
                <w:lang w:val="en-AU"/>
              </w:rPr>
              <w:t>Value applied and source</w:t>
            </w:r>
          </w:p>
        </w:tc>
        <w:tc>
          <w:tcPr>
            <w:tcW w:w="2016" w:type="pct"/>
            <w:shd w:val="clear" w:color="auto" w:fill="auto"/>
            <w:vAlign w:val="center"/>
          </w:tcPr>
          <w:p w:rsidR="00E42F73" w:rsidRPr="003D6709" w:rsidRDefault="004658B5" w:rsidP="00EF69E3">
            <w:pPr>
              <w:pStyle w:val="Tableheadingrow"/>
              <w:rPr>
                <w:lang w:val="en-AU"/>
              </w:rPr>
            </w:pPr>
            <w:r w:rsidRPr="003D6709">
              <w:rPr>
                <w:lang w:val="en-AU"/>
              </w:rPr>
              <w:t>Comment</w:t>
            </w:r>
          </w:p>
        </w:tc>
      </w:tr>
      <w:tr w:rsidR="009C5AE2" w:rsidRPr="003D6709" w:rsidTr="002A4FB3">
        <w:trPr>
          <w:cantSplit/>
        </w:trPr>
        <w:tc>
          <w:tcPr>
            <w:tcW w:w="950" w:type="pct"/>
            <w:shd w:val="clear" w:color="auto" w:fill="auto"/>
          </w:tcPr>
          <w:p w:rsidR="009C5AE2" w:rsidRPr="003D6709" w:rsidRDefault="009C5AE2" w:rsidP="00EF69E3">
            <w:pPr>
              <w:pStyle w:val="TableText"/>
            </w:pPr>
            <w:r w:rsidRPr="003D6709">
              <w:t xml:space="preserve">Current utilisation of therapies </w:t>
            </w:r>
            <w:r w:rsidR="00200E3C" w:rsidRPr="003D6709">
              <w:t>among patients with relapsed/</w:t>
            </w:r>
            <w:r w:rsidRPr="003D6709">
              <w:t xml:space="preserve">refractory </w:t>
            </w:r>
            <w:r w:rsidR="00EC4B2B" w:rsidRPr="003D6709">
              <w:t>CLL/SLL</w:t>
            </w:r>
          </w:p>
        </w:tc>
        <w:tc>
          <w:tcPr>
            <w:tcW w:w="2034" w:type="pct"/>
            <w:shd w:val="clear" w:color="auto" w:fill="auto"/>
          </w:tcPr>
          <w:p w:rsidR="009C5AE2" w:rsidRPr="003D6709" w:rsidRDefault="009C5AE2" w:rsidP="00EF69E3">
            <w:pPr>
              <w:pStyle w:val="TableText"/>
            </w:pPr>
            <w:r w:rsidRPr="003D6709">
              <w:t>12,640</w:t>
            </w:r>
            <w:r w:rsidR="004A0194" w:rsidRPr="003D6709">
              <w:t xml:space="preserve"> sc</w:t>
            </w:r>
            <w:r w:rsidR="00D9285C" w:rsidRPr="003D6709">
              <w:t>r</w:t>
            </w:r>
            <w:r w:rsidR="004A0194" w:rsidRPr="003D6709">
              <w:t>ipts</w:t>
            </w:r>
            <w:r w:rsidRPr="003D6709">
              <w:t xml:space="preserve">. </w:t>
            </w:r>
            <w:r w:rsidR="006425A3" w:rsidRPr="003D6709">
              <w:t>PBS statistics s</w:t>
            </w:r>
            <w:r w:rsidRPr="003D6709">
              <w:t>cript data for ibrutinib, venetoclax and idelalisib from September 2018 and August 2019.</w:t>
            </w:r>
          </w:p>
        </w:tc>
        <w:tc>
          <w:tcPr>
            <w:tcW w:w="2016" w:type="pct"/>
            <w:shd w:val="clear" w:color="auto" w:fill="auto"/>
          </w:tcPr>
          <w:p w:rsidR="009C5AE2" w:rsidRPr="003D6709" w:rsidRDefault="009C5AE2" w:rsidP="00EF69E3">
            <w:pPr>
              <w:pStyle w:val="TableText"/>
            </w:pPr>
            <w:r w:rsidRPr="003D6709">
              <w:t>Chemo</w:t>
            </w:r>
            <w:r w:rsidR="001F75A1" w:rsidRPr="003D6709">
              <w:t>-</w:t>
            </w:r>
            <w:r w:rsidRPr="003D6709">
              <w:t xml:space="preserve">immunotherapy combinations (such as </w:t>
            </w:r>
            <w:proofErr w:type="spellStart"/>
            <w:r w:rsidRPr="003D6709">
              <w:t>chlorambucil</w:t>
            </w:r>
            <w:proofErr w:type="spellEnd"/>
            <w:r w:rsidRPr="003D6709">
              <w:t xml:space="preserve"> plus rituximab) were not inc</w:t>
            </w:r>
            <w:r w:rsidR="006425A3" w:rsidRPr="003D6709">
              <w:t xml:space="preserve">luded in the analysis which may have resulted in an underestimation of the total relapsed/refractory </w:t>
            </w:r>
            <w:r w:rsidR="00EC4B2B" w:rsidRPr="003D6709">
              <w:t>CLL/SLL</w:t>
            </w:r>
            <w:r w:rsidR="006425A3" w:rsidRPr="003D6709">
              <w:t xml:space="preserve"> market.</w:t>
            </w:r>
          </w:p>
        </w:tc>
      </w:tr>
      <w:tr w:rsidR="009C5AE2" w:rsidRPr="003D6709" w:rsidTr="002A4FB3">
        <w:trPr>
          <w:cantSplit/>
        </w:trPr>
        <w:tc>
          <w:tcPr>
            <w:tcW w:w="950" w:type="pct"/>
            <w:shd w:val="clear" w:color="auto" w:fill="auto"/>
          </w:tcPr>
          <w:p w:rsidR="009C5AE2" w:rsidRPr="003D6709" w:rsidRDefault="006425A3" w:rsidP="00EF69E3">
            <w:pPr>
              <w:pStyle w:val="TableText"/>
            </w:pPr>
            <w:r w:rsidRPr="003D6709">
              <w:t>A</w:t>
            </w:r>
            <w:r w:rsidR="009C5AE2" w:rsidRPr="003D6709">
              <w:t xml:space="preserve">nnual growth in </w:t>
            </w:r>
            <w:r w:rsidR="00200E3C" w:rsidRPr="003D6709">
              <w:t>relapsed/</w:t>
            </w:r>
            <w:r w:rsidR="009C5AE2" w:rsidRPr="003D6709">
              <w:t xml:space="preserve">refractory </w:t>
            </w:r>
            <w:r w:rsidR="00EC4B2B" w:rsidRPr="003D6709">
              <w:t>CLL/SLL</w:t>
            </w:r>
            <w:r w:rsidR="009C5AE2" w:rsidRPr="003D6709">
              <w:t xml:space="preserve"> scripts </w:t>
            </w:r>
          </w:p>
        </w:tc>
        <w:tc>
          <w:tcPr>
            <w:tcW w:w="2034" w:type="pct"/>
            <w:shd w:val="clear" w:color="auto" w:fill="auto"/>
          </w:tcPr>
          <w:p w:rsidR="009C5AE2" w:rsidRPr="003D6709" w:rsidRDefault="009C5AE2" w:rsidP="00EF69E3">
            <w:pPr>
              <w:pStyle w:val="TableText"/>
            </w:pPr>
            <w:r w:rsidRPr="003D6709">
              <w:t>5.21%</w:t>
            </w:r>
            <w:r w:rsidR="006425A3" w:rsidRPr="003D6709">
              <w:t xml:space="preserve"> per year</w:t>
            </w:r>
            <w:r w:rsidRPr="003D6709">
              <w:t>. Derived based on the mean annual growth in the 5-year CLL prevalence rate fr</w:t>
            </w:r>
            <w:r w:rsidR="006425A3" w:rsidRPr="003D6709">
              <w:t xml:space="preserve">om 2009 (4,146) to 2012 (4,828) reported in </w:t>
            </w:r>
            <w:r w:rsidR="00200E3C" w:rsidRPr="003D6709">
              <w:t xml:space="preserve">the </w:t>
            </w:r>
            <w:r w:rsidR="006425A3" w:rsidRPr="003D6709">
              <w:t>AIHW ‘Cancer in Australia 2014’ report.</w:t>
            </w:r>
          </w:p>
        </w:tc>
        <w:tc>
          <w:tcPr>
            <w:tcW w:w="2016" w:type="pct"/>
            <w:shd w:val="clear" w:color="auto" w:fill="auto"/>
          </w:tcPr>
          <w:p w:rsidR="009C5AE2" w:rsidRPr="003D6709" w:rsidRDefault="009C5AE2" w:rsidP="00FE0856">
            <w:pPr>
              <w:pStyle w:val="TableText"/>
              <w:rPr>
                <w:i/>
              </w:rPr>
            </w:pPr>
            <w:r w:rsidRPr="003D6709">
              <w:t xml:space="preserve">May underestimate growth </w:t>
            </w:r>
            <w:r w:rsidR="00FE0856" w:rsidRPr="003D6709">
              <w:t>if</w:t>
            </w:r>
            <w:r w:rsidRPr="003D6709">
              <w:t xml:space="preserve"> patients are likely to cycle through available therapies.</w:t>
            </w:r>
            <w:r w:rsidR="00FE0856" w:rsidRPr="003D6709">
              <w:t xml:space="preserve"> </w:t>
            </w:r>
            <w:r w:rsidR="00FE0856" w:rsidRPr="00044384">
              <w:t>PBAC noted that the estimated market for R/R CLL/SLL has previously been accepted in the ibrutinib and venetoclax RSA, and no additional cycling of treatments is an option with acalabrutinib (i</w:t>
            </w:r>
            <w:r w:rsidR="00992148" w:rsidRPr="00044384">
              <w:t>.</w:t>
            </w:r>
            <w:r w:rsidR="00FE0856" w:rsidRPr="00044384">
              <w:t>e</w:t>
            </w:r>
            <w:r w:rsidR="00992148" w:rsidRPr="00044384">
              <w:t>.</w:t>
            </w:r>
            <w:r w:rsidR="00FE0856" w:rsidRPr="00044384">
              <w:t xml:space="preserve"> patents intolerant or unsuitable for ibrutinib will be treated with acalabrutinib – these are not additional patients).</w:t>
            </w:r>
          </w:p>
        </w:tc>
      </w:tr>
      <w:tr w:rsidR="00E42F73" w:rsidRPr="003D6709" w:rsidTr="002A4FB3">
        <w:trPr>
          <w:cantSplit/>
        </w:trPr>
        <w:tc>
          <w:tcPr>
            <w:tcW w:w="950" w:type="pct"/>
            <w:shd w:val="clear" w:color="auto" w:fill="auto"/>
            <w:vAlign w:val="center"/>
          </w:tcPr>
          <w:p w:rsidR="00E42F73" w:rsidRPr="00B66F5D" w:rsidRDefault="00EC4B2B" w:rsidP="00EF69E3">
            <w:pPr>
              <w:pStyle w:val="TableText"/>
            </w:pPr>
            <w:r w:rsidRPr="00B66F5D">
              <w:t>CLL/SLL</w:t>
            </w:r>
            <w:r w:rsidR="009C5AE2" w:rsidRPr="00B66F5D">
              <w:t xml:space="preserve"> scripts per year</w:t>
            </w:r>
          </w:p>
        </w:tc>
        <w:tc>
          <w:tcPr>
            <w:tcW w:w="2034" w:type="pct"/>
            <w:shd w:val="clear" w:color="auto" w:fill="auto"/>
            <w:vAlign w:val="center"/>
          </w:tcPr>
          <w:p w:rsidR="00E42F73" w:rsidRPr="00B66F5D" w:rsidRDefault="006703E2" w:rsidP="00EF69E3">
            <w:pPr>
              <w:pStyle w:val="TableText"/>
            </w:pPr>
            <w:r>
              <w:t>10,000 to &lt;</w:t>
            </w:r>
            <w:r w:rsidR="00DA41E5">
              <w:t> </w:t>
            </w:r>
            <w:r>
              <w:t>20,000</w:t>
            </w:r>
            <w:r w:rsidR="009C5AE2" w:rsidRPr="00B66F5D">
              <w:t xml:space="preserve"> in Year 1 increasing to </w:t>
            </w:r>
            <w:r>
              <w:t>20,000 to &lt;</w:t>
            </w:r>
            <w:r w:rsidR="00DA41E5">
              <w:t> </w:t>
            </w:r>
            <w:r>
              <w:t>30,000</w:t>
            </w:r>
            <w:r w:rsidR="009C5AE2" w:rsidRPr="00B66F5D">
              <w:t xml:space="preserve"> in Year 6. Estimated current utilisation of </w:t>
            </w:r>
            <w:r w:rsidR="009C5AE2" w:rsidRPr="006703E2">
              <w:t>12,640</w:t>
            </w:r>
            <w:r w:rsidR="009C5AE2" w:rsidRPr="00B66F5D">
              <w:t xml:space="preserve"> scripts per month extrapolated </w:t>
            </w:r>
            <w:r w:rsidR="00200E3C" w:rsidRPr="00B66F5D">
              <w:t xml:space="preserve">to Year 1 of listing </w:t>
            </w:r>
            <w:r w:rsidR="009C5AE2" w:rsidRPr="00B66F5D">
              <w:t xml:space="preserve">based on assumed annual growth in relapsed/refractory </w:t>
            </w:r>
            <w:r w:rsidR="00EC4B2B" w:rsidRPr="00B66F5D">
              <w:t>CLL/SLL</w:t>
            </w:r>
            <w:r w:rsidR="009C5AE2" w:rsidRPr="00B66F5D">
              <w:t xml:space="preserve"> scripts of 5.21%.</w:t>
            </w:r>
          </w:p>
        </w:tc>
        <w:tc>
          <w:tcPr>
            <w:tcW w:w="2016" w:type="pct"/>
            <w:shd w:val="clear" w:color="auto" w:fill="auto"/>
            <w:vAlign w:val="center"/>
          </w:tcPr>
          <w:p w:rsidR="00E42F73" w:rsidRPr="003D6709" w:rsidRDefault="009C5AE2" w:rsidP="00EF69E3">
            <w:pPr>
              <w:pStyle w:val="TableText"/>
            </w:pPr>
            <w:r w:rsidRPr="003D6709">
              <w:t xml:space="preserve">There may be potential for acalabrutinib to substitute for other therapies (including venetoclax plus rituximab, idelalisib plus rituximab, chemo-immunotherapy combinations) among patients with prior ibrutinib </w:t>
            </w:r>
            <w:r w:rsidR="00200E3C" w:rsidRPr="003D6709">
              <w:t>intolerance</w:t>
            </w:r>
            <w:r w:rsidRPr="003D6709">
              <w:t>, or among patients considered unsuitable for ibrutinib due to comorbidities.</w:t>
            </w:r>
          </w:p>
        </w:tc>
      </w:tr>
      <w:tr w:rsidR="00A05C32" w:rsidRPr="003D6709" w:rsidTr="002A4FB3">
        <w:trPr>
          <w:cantSplit/>
        </w:trPr>
        <w:tc>
          <w:tcPr>
            <w:tcW w:w="950" w:type="pct"/>
            <w:shd w:val="clear" w:color="auto" w:fill="auto"/>
            <w:vAlign w:val="center"/>
          </w:tcPr>
          <w:p w:rsidR="00A05C32" w:rsidRPr="003D6709" w:rsidRDefault="009C5AE2" w:rsidP="00EF69E3">
            <w:pPr>
              <w:pStyle w:val="TableText"/>
            </w:pPr>
            <w:r w:rsidRPr="003D6709">
              <w:t>Market share (ACAL not listed)</w:t>
            </w:r>
          </w:p>
        </w:tc>
        <w:tc>
          <w:tcPr>
            <w:tcW w:w="2034" w:type="pct"/>
            <w:shd w:val="clear" w:color="auto" w:fill="auto"/>
            <w:vAlign w:val="center"/>
          </w:tcPr>
          <w:p w:rsidR="00A05C32" w:rsidRPr="003D6709" w:rsidRDefault="009C5AE2" w:rsidP="00EF69E3">
            <w:pPr>
              <w:pStyle w:val="TableText"/>
            </w:pPr>
            <w:r w:rsidRPr="003D6709">
              <w:t>IBR: 90%; VEN + RITU: 10%; IDEL + RITU: 0%. Assumption based on expert opinion.</w:t>
            </w:r>
          </w:p>
        </w:tc>
        <w:tc>
          <w:tcPr>
            <w:tcW w:w="2016" w:type="pct"/>
            <w:shd w:val="clear" w:color="auto" w:fill="auto"/>
            <w:vAlign w:val="center"/>
          </w:tcPr>
          <w:p w:rsidR="00A05C32" w:rsidRPr="003D6709" w:rsidRDefault="009C5AE2" w:rsidP="00EF69E3">
            <w:pPr>
              <w:pStyle w:val="TableText"/>
            </w:pPr>
            <w:r w:rsidRPr="003D6709">
              <w:t>Chemo</w:t>
            </w:r>
            <w:r w:rsidR="001F75A1" w:rsidRPr="003D6709">
              <w:t>-</w:t>
            </w:r>
            <w:r w:rsidRPr="003D6709">
              <w:t xml:space="preserve">immunotherapy combinations (such as </w:t>
            </w:r>
            <w:proofErr w:type="spellStart"/>
            <w:r w:rsidRPr="003D6709">
              <w:t>chlorambucil</w:t>
            </w:r>
            <w:proofErr w:type="spellEnd"/>
            <w:r w:rsidRPr="003D6709">
              <w:t xml:space="preserve"> plus rituximab) were excluded from the analysis</w:t>
            </w:r>
            <w:r w:rsidR="003E408E" w:rsidRPr="003D6709">
              <w:t xml:space="preserve">. </w:t>
            </w:r>
            <w:r w:rsidRPr="003D6709">
              <w:t xml:space="preserve">VEN + RITU was only recently listed for this indication and may </w:t>
            </w:r>
            <w:r w:rsidR="00200E3C" w:rsidRPr="003D6709">
              <w:t>achieve</w:t>
            </w:r>
            <w:r w:rsidRPr="003D6709">
              <w:t xml:space="preserve"> a higher market share</w:t>
            </w:r>
            <w:r w:rsidR="00200E3C" w:rsidRPr="003D6709">
              <w:t xml:space="preserve"> than assumed given the fixed duration of treatment</w:t>
            </w:r>
            <w:r w:rsidRPr="003D6709">
              <w:t>.</w:t>
            </w:r>
          </w:p>
        </w:tc>
      </w:tr>
      <w:tr w:rsidR="009C5AE2" w:rsidRPr="003D6709" w:rsidTr="002A4FB3">
        <w:trPr>
          <w:cantSplit/>
        </w:trPr>
        <w:tc>
          <w:tcPr>
            <w:tcW w:w="950" w:type="pct"/>
            <w:shd w:val="clear" w:color="auto" w:fill="auto"/>
          </w:tcPr>
          <w:p w:rsidR="009C5AE2" w:rsidRPr="003D6709" w:rsidRDefault="009C5AE2" w:rsidP="00EF69E3">
            <w:pPr>
              <w:pStyle w:val="TableText"/>
            </w:pPr>
            <w:r w:rsidRPr="003D6709">
              <w:t>Proportion of IBR displaced by ACAL (ACAL listed)</w:t>
            </w:r>
          </w:p>
        </w:tc>
        <w:tc>
          <w:tcPr>
            <w:tcW w:w="2034" w:type="pct"/>
            <w:shd w:val="clear" w:color="auto" w:fill="auto"/>
          </w:tcPr>
          <w:p w:rsidR="009C5AE2" w:rsidRPr="003D6709" w:rsidRDefault="009C5AE2" w:rsidP="00EF69E3">
            <w:pPr>
              <w:pStyle w:val="TableText"/>
            </w:pPr>
            <w:r w:rsidRPr="003D6709">
              <w:t>35% in Year 1 increasing to 60% in Year 6. Assumption based on expert opinion.</w:t>
            </w:r>
          </w:p>
        </w:tc>
        <w:tc>
          <w:tcPr>
            <w:tcW w:w="2016" w:type="pct"/>
            <w:shd w:val="clear" w:color="auto" w:fill="auto"/>
            <w:vAlign w:val="center"/>
          </w:tcPr>
          <w:p w:rsidR="00256050" w:rsidRPr="003D6709" w:rsidRDefault="00763367" w:rsidP="00EF69E3">
            <w:pPr>
              <w:pStyle w:val="TableText"/>
            </w:pPr>
            <w:r w:rsidRPr="003D6709">
              <w:t xml:space="preserve">The ESC considered that the </w:t>
            </w:r>
            <w:r w:rsidR="00256050" w:rsidRPr="003D6709">
              <w:t xml:space="preserve">estimated </w:t>
            </w:r>
            <w:r w:rsidRPr="003D6709">
              <w:t>proportion of displacement was</w:t>
            </w:r>
            <w:r w:rsidR="00256050" w:rsidRPr="003D6709">
              <w:t xml:space="preserve"> overestimated as it was:</w:t>
            </w:r>
          </w:p>
          <w:p w:rsidR="00256050" w:rsidRPr="003D6709" w:rsidRDefault="00256050" w:rsidP="00EF69E3">
            <w:pPr>
              <w:pStyle w:val="TableText"/>
            </w:pPr>
            <w:r w:rsidRPr="003D6709">
              <w:t xml:space="preserve">- </w:t>
            </w:r>
            <w:r w:rsidR="00200E3C" w:rsidRPr="003D6709">
              <w:t xml:space="preserve"> </w:t>
            </w:r>
            <w:r w:rsidR="00957C88" w:rsidRPr="003D6709">
              <w:t>unclear whether clinicians would initiate relapsed/refractory patients on acalabrutinib based on the claimed safety advantages or with ibrutinib given the longer duration of clinical trial data</w:t>
            </w:r>
            <w:r w:rsidRPr="003D6709">
              <w:t>;</w:t>
            </w:r>
          </w:p>
          <w:p w:rsidR="00256050" w:rsidRPr="003D6709" w:rsidRDefault="00256050" w:rsidP="00EF69E3">
            <w:pPr>
              <w:pStyle w:val="TableText"/>
            </w:pPr>
            <w:r w:rsidRPr="003D6709">
              <w:t xml:space="preserve">- </w:t>
            </w:r>
            <w:proofErr w:type="gramStart"/>
            <w:r w:rsidR="003E408E" w:rsidRPr="003D6709">
              <w:t>unclear</w:t>
            </w:r>
            <w:proofErr w:type="gramEnd"/>
            <w:r w:rsidR="003E408E" w:rsidRPr="003D6709">
              <w:t xml:space="preserve"> whether patients currently treated with ibrutinib would switch to acalabrutinib based on the claimed safety advantages.</w:t>
            </w:r>
          </w:p>
        </w:tc>
      </w:tr>
      <w:tr w:rsidR="009C5AE2" w:rsidRPr="003D6709" w:rsidTr="002A4FB3">
        <w:trPr>
          <w:cantSplit/>
        </w:trPr>
        <w:tc>
          <w:tcPr>
            <w:tcW w:w="950" w:type="pct"/>
            <w:shd w:val="clear" w:color="auto" w:fill="auto"/>
          </w:tcPr>
          <w:p w:rsidR="009C5AE2" w:rsidRPr="003D6709" w:rsidRDefault="009C5AE2" w:rsidP="00EF69E3">
            <w:pPr>
              <w:pStyle w:val="TableText"/>
            </w:pPr>
            <w:r w:rsidRPr="003D6709">
              <w:t>Adjustment factor</w:t>
            </w:r>
          </w:p>
        </w:tc>
        <w:tc>
          <w:tcPr>
            <w:tcW w:w="2034" w:type="pct"/>
            <w:shd w:val="clear" w:color="auto" w:fill="auto"/>
          </w:tcPr>
          <w:p w:rsidR="009C5AE2" w:rsidRPr="003D6709" w:rsidRDefault="009C5AE2" w:rsidP="00EF69E3">
            <w:pPr>
              <w:pStyle w:val="TableText"/>
            </w:pPr>
            <w:r w:rsidRPr="003D6709">
              <w:t xml:space="preserve">1.05. The number of acalabrutinib scripts was </w:t>
            </w:r>
            <w:r w:rsidR="006425A3" w:rsidRPr="003D6709">
              <w:t>estimated</w:t>
            </w:r>
            <w:r w:rsidRPr="003D6709">
              <w:t xml:space="preserve"> by applying an adjustment factor to the estimated number of displaced ibrutinib scripts. The adjustment factor was based on differences in pack sizes and differences in the assumed median treatment durations for ibrutinib and acalabrutinib (</w:t>
            </w:r>
            <w:r w:rsidR="006425A3" w:rsidRPr="003D6709">
              <w:t xml:space="preserve">ibrutinib: </w:t>
            </w:r>
            <w:r w:rsidRPr="003D6709">
              <w:t>16.0 months</w:t>
            </w:r>
            <w:r w:rsidR="006425A3" w:rsidRPr="003D6709">
              <w:t>; acalabrutinib: 1</w:t>
            </w:r>
            <w:r w:rsidRPr="003D6709">
              <w:t>5.7 months</w:t>
            </w:r>
            <w:r w:rsidR="006425A3" w:rsidRPr="003D6709">
              <w:t>).</w:t>
            </w:r>
          </w:p>
        </w:tc>
        <w:tc>
          <w:tcPr>
            <w:tcW w:w="2016" w:type="pct"/>
            <w:shd w:val="clear" w:color="auto" w:fill="auto"/>
          </w:tcPr>
          <w:p w:rsidR="009C5AE2" w:rsidRPr="003D6709" w:rsidRDefault="009C5AE2" w:rsidP="00EF69E3">
            <w:pPr>
              <w:pStyle w:val="TableText"/>
            </w:pPr>
            <w:r w:rsidRPr="003D6709">
              <w:t>The submission did not adequately justify the assumption of different treatment durations for ibrutinib and acalabrutinib.</w:t>
            </w:r>
            <w:r w:rsidR="003E408E" w:rsidRPr="003D6709">
              <w:t xml:space="preserve"> The median treatment durations reported for acalabrutinib in the clinical study report and for ibrutinib in Brown et al. (2014) did not represent the underlying median treatment durations, which had not yet been reached.</w:t>
            </w:r>
            <w:r w:rsidRPr="003D6709">
              <w:t xml:space="preserve"> </w:t>
            </w:r>
          </w:p>
        </w:tc>
      </w:tr>
      <w:tr w:rsidR="004A0194" w:rsidRPr="003D6709" w:rsidTr="002A4FB3">
        <w:trPr>
          <w:cantSplit/>
        </w:trPr>
        <w:tc>
          <w:tcPr>
            <w:tcW w:w="950" w:type="pct"/>
            <w:shd w:val="clear" w:color="auto" w:fill="auto"/>
          </w:tcPr>
          <w:p w:rsidR="004A0194" w:rsidRPr="003D6709" w:rsidRDefault="004A0194" w:rsidP="00EF69E3">
            <w:pPr>
              <w:pStyle w:val="TableText"/>
            </w:pPr>
            <w:r w:rsidRPr="003D6709">
              <w:t>ACAL DPMQ</w:t>
            </w:r>
          </w:p>
        </w:tc>
        <w:tc>
          <w:tcPr>
            <w:tcW w:w="2034" w:type="pct"/>
            <w:shd w:val="clear" w:color="auto" w:fill="auto"/>
          </w:tcPr>
          <w:p w:rsidR="004A0194" w:rsidRPr="003D6709" w:rsidRDefault="004A0194" w:rsidP="00EF69E3">
            <w:pPr>
              <w:pStyle w:val="TableText"/>
            </w:pPr>
            <w:r w:rsidRPr="003D6709">
              <w:t>$</w:t>
            </w:r>
            <w:r w:rsidR="004D4273">
              <w:rPr>
                <w:noProof/>
                <w:color w:val="000000"/>
                <w:highlight w:val="black"/>
              </w:rPr>
              <w:t>''''''''''''''''''''</w:t>
            </w:r>
            <w:r w:rsidRPr="003D6709">
              <w:t>. DPMQ based on cost-minimisation of acalabrutinib to ibrutinib.</w:t>
            </w:r>
          </w:p>
        </w:tc>
        <w:tc>
          <w:tcPr>
            <w:tcW w:w="2016" w:type="pct"/>
            <w:shd w:val="clear" w:color="auto" w:fill="auto"/>
          </w:tcPr>
          <w:p w:rsidR="004A0194" w:rsidRPr="003D6709" w:rsidRDefault="004A0194" w:rsidP="00EF69E3">
            <w:pPr>
              <w:pStyle w:val="TableText"/>
            </w:pPr>
            <w:r w:rsidRPr="003D6709">
              <w:t>The requested published price of $</w:t>
            </w:r>
            <w:r w:rsidR="004D4273">
              <w:rPr>
                <w:noProof/>
                <w:color w:val="000000"/>
                <w:highlight w:val="black"/>
              </w:rPr>
              <w:t>'''''''''''''''''''</w:t>
            </w:r>
            <w:r w:rsidRPr="003D6709">
              <w:t xml:space="preserve"> was higher than the price derived in the cost-minimisation based on the ibrutinib published price.</w:t>
            </w:r>
          </w:p>
        </w:tc>
      </w:tr>
    </w:tbl>
    <w:p w:rsidR="005C50F1" w:rsidRPr="003D6709" w:rsidRDefault="005C50F1" w:rsidP="005C50F1">
      <w:pPr>
        <w:pStyle w:val="TableFigureFooter"/>
      </w:pPr>
      <w:r w:rsidRPr="003D6709">
        <w:t xml:space="preserve">Source: Table 4.1.1, p.109; Table 4.2.2, p.111; Table 4.2.3, p.112; Table 4.2.6, p.113; Table 4.2.7, p.113; Table 4.2.8, pp113-114; Table 4.2.10, p.115 of the submission; ‘Section 4 _Acalabrutinib BIM </w:t>
      </w:r>
      <w:proofErr w:type="spellStart"/>
      <w:r w:rsidRPr="003D6709">
        <w:t>model_FINAL</w:t>
      </w:r>
      <w:proofErr w:type="spellEnd"/>
      <w:r w:rsidRPr="003D6709">
        <w:t>’ Excel workbook</w:t>
      </w:r>
      <w:r w:rsidR="003D6709">
        <w:t xml:space="preserve">. </w:t>
      </w:r>
    </w:p>
    <w:p w:rsidR="005C50F1" w:rsidRPr="003D6709" w:rsidRDefault="005C50F1" w:rsidP="005C50F1">
      <w:pPr>
        <w:pStyle w:val="TableFigureFooter"/>
        <w:rPr>
          <w:sz w:val="20"/>
        </w:rPr>
      </w:pPr>
      <w:r w:rsidRPr="003D6709">
        <w:lastRenderedPageBreak/>
        <w:t>Abbreviations: ACAL, acalabrutinib; CLL, chronic lymphocytic anaemia; DPMQ, dispensed price for maximum quantity; IBR, ibrutinib; IDEL, idelalisib; RITU, rituximab; VEN, venetoclax.</w:t>
      </w:r>
    </w:p>
    <w:p w:rsidR="00B505C8" w:rsidRPr="003D6709" w:rsidRDefault="004667C8" w:rsidP="00CC6811">
      <w:pPr>
        <w:pStyle w:val="ExecSumBodyText"/>
        <w:keepLines/>
        <w:rPr>
          <w:color w:val="0066FF"/>
        </w:rPr>
      </w:pPr>
      <w:r>
        <w:t xml:space="preserve">Table 17 </w:t>
      </w:r>
      <w:r w:rsidR="001109EE" w:rsidRPr="003D6709">
        <w:t xml:space="preserve">presents </w:t>
      </w:r>
      <w:r w:rsidR="002839D3" w:rsidRPr="003D6709">
        <w:t xml:space="preserve">the </w:t>
      </w:r>
      <w:r w:rsidR="001109EE" w:rsidRPr="003D6709">
        <w:t>estimated financial implications for the health budget of listing acalabrutinib</w:t>
      </w:r>
      <w:r w:rsidR="002839D3" w:rsidRPr="003D6709">
        <w:t>,</w:t>
      </w:r>
      <w:r w:rsidR="001109EE" w:rsidRPr="003D6709">
        <w:t xml:space="preserve"> based on the cost-minimised </w:t>
      </w:r>
      <w:r w:rsidR="002839D3" w:rsidRPr="003D6709">
        <w:t xml:space="preserve">price of </w:t>
      </w:r>
      <w:r w:rsidR="001109EE" w:rsidRPr="003D6709">
        <w:t>acalabrutinib (DPMQ $</w:t>
      </w:r>
      <w:r w:rsidR="004D4273">
        <w:rPr>
          <w:noProof/>
          <w:color w:val="000000"/>
          <w:highlight w:val="black"/>
        </w:rPr>
        <w:t>'''''''''''''''</w:t>
      </w:r>
      <w:r w:rsidR="001109EE" w:rsidRPr="003D6709">
        <w:t>) and the published price of ibrutinib (DPMQ $8,785.41).</w:t>
      </w:r>
    </w:p>
    <w:p w:rsidR="001109EE" w:rsidRPr="003D6709" w:rsidRDefault="00480FC8" w:rsidP="00EF69E3">
      <w:pPr>
        <w:pStyle w:val="TableHeading"/>
      </w:pPr>
      <w:bookmarkStart w:id="46" w:name="_Ref33454397"/>
      <w:r w:rsidRPr="003D6709">
        <w:t>Table</w:t>
      </w:r>
      <w:bookmarkEnd w:id="46"/>
      <w:r w:rsidR="004667C8">
        <w:t xml:space="preserve"> 17</w:t>
      </w:r>
      <w:r w:rsidR="001109EE" w:rsidRPr="003D6709">
        <w:t xml:space="preserve">: Estimated </w:t>
      </w:r>
      <w:r w:rsidR="002839D3" w:rsidRPr="003D6709">
        <w:t xml:space="preserve">extent </w:t>
      </w:r>
      <w:r w:rsidRPr="003D6709">
        <w:t>of use and financial impact of acalabrutinib</w:t>
      </w:r>
    </w:p>
    <w:tbl>
      <w:tblPr>
        <w:tblStyle w:val="Summarybox8"/>
        <w:tblW w:w="0" w:type="auto"/>
        <w:tblLayout w:type="fixed"/>
        <w:tblCellMar>
          <w:left w:w="28" w:type="dxa"/>
          <w:right w:w="28" w:type="dxa"/>
        </w:tblCellMar>
        <w:tblLook w:val="04A0" w:firstRow="1" w:lastRow="0" w:firstColumn="1" w:lastColumn="0" w:noHBand="0" w:noVBand="1"/>
        <w:tblCaption w:val="Table 17: Estimated extent of use and financial impact of acalabrutinib"/>
      </w:tblPr>
      <w:tblGrid>
        <w:gridCol w:w="2547"/>
        <w:gridCol w:w="1078"/>
        <w:gridCol w:w="1078"/>
        <w:gridCol w:w="1078"/>
        <w:gridCol w:w="1078"/>
        <w:gridCol w:w="1078"/>
        <w:gridCol w:w="1079"/>
      </w:tblGrid>
      <w:tr w:rsidR="001109EE" w:rsidRPr="003D6709" w:rsidTr="003221CF">
        <w:trPr>
          <w:trHeight w:val="209"/>
          <w:tblHeader/>
        </w:trPr>
        <w:tc>
          <w:tcPr>
            <w:tcW w:w="2547" w:type="dxa"/>
            <w:hideMark/>
          </w:tcPr>
          <w:p w:rsidR="001109EE" w:rsidRPr="003D6709" w:rsidRDefault="001109EE" w:rsidP="00EF69E3">
            <w:pPr>
              <w:pStyle w:val="TableText"/>
              <w:rPr>
                <w:sz w:val="20"/>
                <w:szCs w:val="20"/>
              </w:rPr>
            </w:pPr>
            <w:r w:rsidRPr="003D6709">
              <w:rPr>
                <w:sz w:val="20"/>
                <w:szCs w:val="20"/>
              </w:rPr>
              <w:t> </w:t>
            </w:r>
          </w:p>
        </w:tc>
        <w:tc>
          <w:tcPr>
            <w:tcW w:w="1078" w:type="dxa"/>
            <w:vAlign w:val="bottom"/>
            <w:hideMark/>
          </w:tcPr>
          <w:p w:rsidR="001109EE" w:rsidRPr="003D6709" w:rsidRDefault="001109EE" w:rsidP="00EF69E3">
            <w:pPr>
              <w:keepNext/>
              <w:jc w:val="center"/>
              <w:rPr>
                <w:rFonts w:ascii="Arial Narrow" w:eastAsia="Times New Roman" w:hAnsi="Arial Narrow"/>
                <w:b/>
                <w:bCs/>
                <w:snapToGrid w:val="0"/>
                <w:sz w:val="20"/>
                <w:szCs w:val="20"/>
                <w:lang w:eastAsia="en-AU"/>
              </w:rPr>
            </w:pPr>
            <w:r w:rsidRPr="003D6709">
              <w:rPr>
                <w:rFonts w:ascii="Arial Narrow" w:eastAsia="Times New Roman" w:hAnsi="Arial Narrow"/>
                <w:b/>
                <w:bCs/>
                <w:snapToGrid w:val="0"/>
                <w:sz w:val="20"/>
                <w:szCs w:val="20"/>
                <w:lang w:eastAsia="en-AU"/>
              </w:rPr>
              <w:t>Year 1</w:t>
            </w:r>
          </w:p>
          <w:p w:rsidR="001109EE" w:rsidRPr="003D6709" w:rsidRDefault="001109EE" w:rsidP="00EF69E3">
            <w:pPr>
              <w:pStyle w:val="TableText"/>
              <w:jc w:val="center"/>
              <w:rPr>
                <w:b/>
                <w:sz w:val="20"/>
                <w:szCs w:val="20"/>
              </w:rPr>
            </w:pPr>
            <w:r w:rsidRPr="003D6709">
              <w:rPr>
                <w:rFonts w:eastAsia="Times New Roman" w:cs="Arial"/>
                <w:b/>
                <w:bCs w:val="0"/>
                <w:snapToGrid w:val="0"/>
                <w:sz w:val="20"/>
                <w:szCs w:val="20"/>
                <w:lang w:eastAsia="en-AU"/>
              </w:rPr>
              <w:t>(2020)</w:t>
            </w:r>
          </w:p>
        </w:tc>
        <w:tc>
          <w:tcPr>
            <w:tcW w:w="1078" w:type="dxa"/>
            <w:vAlign w:val="bottom"/>
            <w:hideMark/>
          </w:tcPr>
          <w:p w:rsidR="001109EE" w:rsidRPr="003D6709" w:rsidRDefault="001109EE" w:rsidP="00EF69E3">
            <w:pPr>
              <w:keepNext/>
              <w:jc w:val="center"/>
              <w:rPr>
                <w:rFonts w:ascii="Arial Narrow" w:eastAsia="Times New Roman" w:hAnsi="Arial Narrow"/>
                <w:b/>
                <w:bCs/>
                <w:snapToGrid w:val="0"/>
                <w:sz w:val="20"/>
                <w:szCs w:val="20"/>
                <w:lang w:eastAsia="en-AU"/>
              </w:rPr>
            </w:pPr>
            <w:r w:rsidRPr="003D6709">
              <w:rPr>
                <w:rFonts w:ascii="Arial Narrow" w:eastAsia="Times New Roman" w:hAnsi="Arial Narrow"/>
                <w:b/>
                <w:bCs/>
                <w:snapToGrid w:val="0"/>
                <w:sz w:val="20"/>
                <w:szCs w:val="20"/>
                <w:lang w:eastAsia="en-AU"/>
              </w:rPr>
              <w:t>Year 2</w:t>
            </w:r>
          </w:p>
          <w:p w:rsidR="001109EE" w:rsidRPr="003D6709" w:rsidRDefault="001109EE" w:rsidP="00EF69E3">
            <w:pPr>
              <w:pStyle w:val="TableText"/>
              <w:jc w:val="center"/>
              <w:rPr>
                <w:b/>
                <w:sz w:val="20"/>
                <w:szCs w:val="20"/>
              </w:rPr>
            </w:pPr>
            <w:r w:rsidRPr="003D6709">
              <w:rPr>
                <w:rFonts w:eastAsia="Times New Roman" w:cs="Arial"/>
                <w:b/>
                <w:bCs w:val="0"/>
                <w:snapToGrid w:val="0"/>
                <w:sz w:val="20"/>
                <w:szCs w:val="20"/>
                <w:lang w:eastAsia="en-AU"/>
              </w:rPr>
              <w:t>(2021)</w:t>
            </w:r>
          </w:p>
        </w:tc>
        <w:tc>
          <w:tcPr>
            <w:tcW w:w="1078" w:type="dxa"/>
            <w:vAlign w:val="bottom"/>
            <w:hideMark/>
          </w:tcPr>
          <w:p w:rsidR="001109EE" w:rsidRPr="003D6709" w:rsidRDefault="001109EE" w:rsidP="00EF69E3">
            <w:pPr>
              <w:pStyle w:val="TableText"/>
              <w:jc w:val="center"/>
              <w:rPr>
                <w:b/>
                <w:sz w:val="20"/>
                <w:szCs w:val="20"/>
              </w:rPr>
            </w:pPr>
            <w:r w:rsidRPr="003D6709">
              <w:rPr>
                <w:rFonts w:eastAsia="Times New Roman" w:cs="Arial"/>
                <w:b/>
                <w:bCs w:val="0"/>
                <w:snapToGrid w:val="0"/>
                <w:sz w:val="20"/>
                <w:szCs w:val="20"/>
                <w:lang w:eastAsia="en-AU"/>
              </w:rPr>
              <w:t>Year 3</w:t>
            </w:r>
            <w:r w:rsidRPr="003D6709">
              <w:rPr>
                <w:rFonts w:eastAsia="Times New Roman" w:cs="Arial"/>
                <w:b/>
                <w:bCs w:val="0"/>
                <w:snapToGrid w:val="0"/>
                <w:sz w:val="20"/>
                <w:szCs w:val="20"/>
                <w:lang w:eastAsia="en-AU"/>
              </w:rPr>
              <w:br/>
              <w:t>(2022)</w:t>
            </w:r>
          </w:p>
        </w:tc>
        <w:tc>
          <w:tcPr>
            <w:tcW w:w="1078" w:type="dxa"/>
            <w:vAlign w:val="bottom"/>
            <w:hideMark/>
          </w:tcPr>
          <w:p w:rsidR="001109EE" w:rsidRPr="003D6709" w:rsidRDefault="001109EE" w:rsidP="00EF69E3">
            <w:pPr>
              <w:keepNext/>
              <w:jc w:val="center"/>
              <w:rPr>
                <w:rFonts w:ascii="Arial Narrow" w:eastAsia="Times New Roman" w:hAnsi="Arial Narrow"/>
                <w:b/>
                <w:bCs/>
                <w:snapToGrid w:val="0"/>
                <w:sz w:val="20"/>
                <w:szCs w:val="20"/>
                <w:lang w:eastAsia="en-AU"/>
              </w:rPr>
            </w:pPr>
            <w:r w:rsidRPr="003D6709">
              <w:rPr>
                <w:rFonts w:ascii="Arial Narrow" w:eastAsia="Times New Roman" w:hAnsi="Arial Narrow"/>
                <w:b/>
                <w:bCs/>
                <w:snapToGrid w:val="0"/>
                <w:sz w:val="20"/>
                <w:szCs w:val="20"/>
                <w:lang w:eastAsia="en-AU"/>
              </w:rPr>
              <w:t>Year 4</w:t>
            </w:r>
          </w:p>
          <w:p w:rsidR="001109EE" w:rsidRPr="003D6709" w:rsidRDefault="001109EE" w:rsidP="00EF69E3">
            <w:pPr>
              <w:pStyle w:val="TableText"/>
              <w:jc w:val="center"/>
              <w:rPr>
                <w:b/>
                <w:sz w:val="20"/>
                <w:szCs w:val="20"/>
              </w:rPr>
            </w:pPr>
            <w:r w:rsidRPr="003D6709">
              <w:rPr>
                <w:rFonts w:eastAsia="Times New Roman" w:cs="Arial"/>
                <w:b/>
                <w:bCs w:val="0"/>
                <w:snapToGrid w:val="0"/>
                <w:sz w:val="20"/>
                <w:szCs w:val="20"/>
                <w:lang w:eastAsia="en-AU"/>
              </w:rPr>
              <w:t>(2023)</w:t>
            </w:r>
          </w:p>
        </w:tc>
        <w:tc>
          <w:tcPr>
            <w:tcW w:w="1078" w:type="dxa"/>
            <w:vAlign w:val="bottom"/>
            <w:hideMark/>
          </w:tcPr>
          <w:p w:rsidR="001109EE" w:rsidRPr="003D6709" w:rsidRDefault="001109EE" w:rsidP="00EF69E3">
            <w:pPr>
              <w:keepNext/>
              <w:jc w:val="center"/>
              <w:rPr>
                <w:rFonts w:ascii="Arial Narrow" w:eastAsia="Times New Roman" w:hAnsi="Arial Narrow"/>
                <w:b/>
                <w:bCs/>
                <w:snapToGrid w:val="0"/>
                <w:sz w:val="20"/>
                <w:szCs w:val="20"/>
                <w:lang w:eastAsia="en-AU"/>
              </w:rPr>
            </w:pPr>
            <w:r w:rsidRPr="003D6709">
              <w:rPr>
                <w:rFonts w:ascii="Arial Narrow" w:eastAsia="Times New Roman" w:hAnsi="Arial Narrow"/>
                <w:b/>
                <w:bCs/>
                <w:snapToGrid w:val="0"/>
                <w:sz w:val="20"/>
                <w:szCs w:val="20"/>
                <w:lang w:eastAsia="en-AU"/>
              </w:rPr>
              <w:t>Year 5</w:t>
            </w:r>
          </w:p>
          <w:p w:rsidR="001109EE" w:rsidRPr="003D6709" w:rsidRDefault="001109EE" w:rsidP="00EF69E3">
            <w:pPr>
              <w:pStyle w:val="TableText"/>
              <w:jc w:val="center"/>
              <w:rPr>
                <w:b/>
                <w:sz w:val="20"/>
                <w:szCs w:val="20"/>
              </w:rPr>
            </w:pPr>
            <w:r w:rsidRPr="003D6709">
              <w:rPr>
                <w:rFonts w:eastAsia="Times New Roman" w:cs="Arial"/>
                <w:b/>
                <w:bCs w:val="0"/>
                <w:snapToGrid w:val="0"/>
                <w:sz w:val="20"/>
                <w:szCs w:val="20"/>
                <w:lang w:eastAsia="en-AU"/>
              </w:rPr>
              <w:t>(2024)</w:t>
            </w:r>
          </w:p>
        </w:tc>
        <w:tc>
          <w:tcPr>
            <w:tcW w:w="1079" w:type="dxa"/>
            <w:hideMark/>
          </w:tcPr>
          <w:p w:rsidR="001109EE" w:rsidRPr="003D6709" w:rsidRDefault="001109EE" w:rsidP="00EF69E3">
            <w:pPr>
              <w:keepNext/>
              <w:jc w:val="center"/>
              <w:rPr>
                <w:rFonts w:ascii="Arial Narrow" w:eastAsia="Times New Roman" w:hAnsi="Arial Narrow"/>
                <w:b/>
                <w:bCs/>
                <w:snapToGrid w:val="0"/>
                <w:sz w:val="20"/>
                <w:szCs w:val="20"/>
                <w:lang w:eastAsia="en-AU"/>
              </w:rPr>
            </w:pPr>
            <w:r w:rsidRPr="003D6709">
              <w:rPr>
                <w:rFonts w:ascii="Arial Narrow" w:eastAsia="Times New Roman" w:hAnsi="Arial Narrow"/>
                <w:b/>
                <w:bCs/>
                <w:snapToGrid w:val="0"/>
                <w:sz w:val="20"/>
                <w:szCs w:val="20"/>
                <w:lang w:eastAsia="en-AU"/>
              </w:rPr>
              <w:t>Year 6</w:t>
            </w:r>
          </w:p>
          <w:p w:rsidR="001109EE" w:rsidRPr="003D6709" w:rsidRDefault="001109EE" w:rsidP="00EF69E3">
            <w:pPr>
              <w:pStyle w:val="TableText"/>
              <w:jc w:val="center"/>
              <w:rPr>
                <w:b/>
                <w:sz w:val="20"/>
                <w:szCs w:val="20"/>
              </w:rPr>
            </w:pPr>
            <w:r w:rsidRPr="003D6709">
              <w:rPr>
                <w:rFonts w:eastAsia="Times New Roman" w:cs="Arial"/>
                <w:b/>
                <w:bCs w:val="0"/>
                <w:snapToGrid w:val="0"/>
                <w:sz w:val="20"/>
                <w:szCs w:val="20"/>
                <w:lang w:eastAsia="en-AU"/>
              </w:rPr>
              <w:t>(2025)</w:t>
            </w:r>
          </w:p>
        </w:tc>
      </w:tr>
      <w:tr w:rsidR="001109EE" w:rsidRPr="003D6709" w:rsidTr="004C7D8F">
        <w:tc>
          <w:tcPr>
            <w:tcW w:w="9016" w:type="dxa"/>
            <w:gridSpan w:val="7"/>
            <w:tcBorders>
              <w:left w:val="single" w:sz="4" w:space="0" w:color="auto"/>
              <w:bottom w:val="single" w:sz="4" w:space="0" w:color="auto"/>
              <w:right w:val="single" w:sz="4" w:space="0" w:color="auto"/>
            </w:tcBorders>
            <w:shd w:val="clear" w:color="auto" w:fill="auto"/>
            <w:noWrap/>
          </w:tcPr>
          <w:p w:rsidR="001109EE" w:rsidRPr="003D6709" w:rsidRDefault="001109EE" w:rsidP="00EF69E3">
            <w:pPr>
              <w:pStyle w:val="Tabletextcentred"/>
              <w:jc w:val="left"/>
              <w:rPr>
                <w:b/>
              </w:rPr>
            </w:pPr>
            <w:r w:rsidRPr="003D6709">
              <w:rPr>
                <w:b/>
              </w:rPr>
              <w:t>Cost of listing ACAL</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b/>
                <w:sz w:val="20"/>
                <w:szCs w:val="20"/>
              </w:rPr>
            </w:pPr>
            <w:r w:rsidRPr="003D6709">
              <w:rPr>
                <w:sz w:val="20"/>
                <w:szCs w:val="20"/>
              </w:rPr>
              <w:t xml:space="preserve">Estimated scripts for IBR, VEN, IDEL (relapsed/refractory </w:t>
            </w:r>
            <w:r w:rsidR="00EC4B2B" w:rsidRPr="003D6709">
              <w:rPr>
                <w:sz w:val="20"/>
                <w:szCs w:val="20"/>
              </w:rPr>
              <w:t>CLL/SLL</w:t>
            </w:r>
            <w:r w:rsidRPr="003D6709">
              <w:rPr>
                <w:sz w:val="20"/>
                <w:szCs w:val="20"/>
              </w:rPr>
              <w:t>)</w:t>
            </w:r>
          </w:p>
        </w:tc>
        <w:tc>
          <w:tcPr>
            <w:tcW w:w="1078" w:type="dxa"/>
            <w:tcBorders>
              <w:bottom w:val="single" w:sz="4" w:space="0" w:color="auto"/>
            </w:tcBorders>
            <w:shd w:val="clear" w:color="auto" w:fill="auto"/>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tcBorders>
              <w:bottom w:val="single" w:sz="4" w:space="0" w:color="auto"/>
            </w:tcBorders>
            <w:shd w:val="clear" w:color="auto" w:fill="auto"/>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tcBorders>
              <w:bottom w:val="single" w:sz="4" w:space="0" w:color="auto"/>
            </w:tcBorders>
            <w:shd w:val="clear" w:color="auto" w:fill="auto"/>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tcBorders>
              <w:bottom w:val="single" w:sz="4" w:space="0" w:color="auto"/>
            </w:tcBorders>
            <w:shd w:val="clear" w:color="auto" w:fill="auto"/>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tcBorders>
              <w:bottom w:val="single" w:sz="4" w:space="0" w:color="auto"/>
              <w:right w:val="single" w:sz="4" w:space="0" w:color="auto"/>
            </w:tcBorders>
            <w:shd w:val="clear" w:color="auto" w:fill="auto"/>
            <w:noWrap/>
            <w:vAlign w:val="center"/>
          </w:tcPr>
          <w:p w:rsidR="001109EE" w:rsidRPr="004D4273" w:rsidRDefault="004D4273" w:rsidP="00EF69E3">
            <w:pPr>
              <w:pStyle w:val="Tabletextcentred"/>
              <w:rPr>
                <w:highlight w:val="black"/>
              </w:rPr>
            </w:pPr>
            <w:r>
              <w:rPr>
                <w:noProof/>
                <w:color w:val="000000"/>
                <w:highlight w:val="black"/>
              </w:rPr>
              <w:t>'''''''''''''''</w:t>
            </w:r>
          </w:p>
        </w:tc>
        <w:tc>
          <w:tcPr>
            <w:tcW w:w="1079" w:type="dxa"/>
            <w:tcBorders>
              <w:bottom w:val="single" w:sz="4" w:space="0" w:color="auto"/>
              <w:right w:val="single" w:sz="4" w:space="0" w:color="auto"/>
            </w:tcBorders>
            <w:noWrap/>
            <w:vAlign w:val="center"/>
          </w:tcPr>
          <w:p w:rsidR="001109EE" w:rsidRPr="004D4273" w:rsidRDefault="004D4273" w:rsidP="00EF69E3">
            <w:pPr>
              <w:pStyle w:val="Tabletextcentred"/>
              <w:rPr>
                <w:highlight w:val="black"/>
              </w:rPr>
            </w:pPr>
            <w:r>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vAlign w:val="bottom"/>
          </w:tcPr>
          <w:p w:rsidR="001109EE" w:rsidRPr="003D6709" w:rsidRDefault="001109EE" w:rsidP="00EF69E3">
            <w:pPr>
              <w:pStyle w:val="TableText"/>
              <w:rPr>
                <w:sz w:val="20"/>
                <w:szCs w:val="20"/>
              </w:rPr>
            </w:pPr>
            <w:r w:rsidRPr="003D6709">
              <w:rPr>
                <w:sz w:val="20"/>
                <w:szCs w:val="20"/>
                <w:lang w:eastAsia="en-AU"/>
              </w:rPr>
              <w:t>Estimated ibrutinib scripts without ACAL listing (90% of market)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9" w:type="dxa"/>
            <w:noWrap/>
            <w:vAlign w:val="center"/>
          </w:tcPr>
          <w:p w:rsidR="001109EE" w:rsidRPr="004D4273" w:rsidRDefault="004D4273" w:rsidP="00EF69E3">
            <w:pPr>
              <w:pStyle w:val="Tabletextcentred"/>
              <w:rPr>
                <w:highlight w:val="black"/>
              </w:rPr>
            </w:pPr>
            <w:r>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Proportion of ibrutinib scripts displaced by ACAL</w:t>
            </w:r>
          </w:p>
        </w:tc>
        <w:tc>
          <w:tcPr>
            <w:tcW w:w="1078" w:type="dxa"/>
            <w:noWrap/>
            <w:vAlign w:val="center"/>
          </w:tcPr>
          <w:p w:rsidR="001109EE" w:rsidRPr="003D6709" w:rsidRDefault="001109EE" w:rsidP="00EF69E3">
            <w:pPr>
              <w:pStyle w:val="Tabletextcentred"/>
            </w:pPr>
            <w:r w:rsidRPr="00FB14B2">
              <w:t>35</w:t>
            </w:r>
            <w:r w:rsidRPr="003D6709">
              <w:t>%</w:t>
            </w:r>
          </w:p>
        </w:tc>
        <w:tc>
          <w:tcPr>
            <w:tcW w:w="1078" w:type="dxa"/>
            <w:noWrap/>
            <w:vAlign w:val="center"/>
          </w:tcPr>
          <w:p w:rsidR="001109EE" w:rsidRPr="003D6709" w:rsidRDefault="001109EE" w:rsidP="00EF69E3">
            <w:pPr>
              <w:pStyle w:val="Tabletextcentred"/>
            </w:pPr>
            <w:r w:rsidRPr="00FB14B2">
              <w:t>45</w:t>
            </w:r>
            <w:r w:rsidRPr="003D6709">
              <w:t>%</w:t>
            </w:r>
          </w:p>
        </w:tc>
        <w:tc>
          <w:tcPr>
            <w:tcW w:w="1078" w:type="dxa"/>
            <w:noWrap/>
            <w:vAlign w:val="center"/>
          </w:tcPr>
          <w:p w:rsidR="001109EE" w:rsidRPr="003D6709" w:rsidRDefault="001109EE" w:rsidP="00EF69E3">
            <w:pPr>
              <w:pStyle w:val="Tabletextcentred"/>
            </w:pPr>
            <w:r w:rsidRPr="00FB14B2">
              <w:t>55</w:t>
            </w:r>
            <w:r w:rsidRPr="003D6709">
              <w:t>%</w:t>
            </w:r>
          </w:p>
        </w:tc>
        <w:tc>
          <w:tcPr>
            <w:tcW w:w="1078" w:type="dxa"/>
            <w:noWrap/>
            <w:vAlign w:val="center"/>
          </w:tcPr>
          <w:p w:rsidR="001109EE" w:rsidRPr="003D6709" w:rsidRDefault="001109EE" w:rsidP="00EF69E3">
            <w:pPr>
              <w:pStyle w:val="Tabletextcentred"/>
            </w:pPr>
            <w:r w:rsidRPr="00FB14B2">
              <w:t>60</w:t>
            </w:r>
            <w:r w:rsidRPr="003D6709">
              <w:t>%</w:t>
            </w:r>
          </w:p>
        </w:tc>
        <w:tc>
          <w:tcPr>
            <w:tcW w:w="1078" w:type="dxa"/>
            <w:noWrap/>
            <w:vAlign w:val="center"/>
          </w:tcPr>
          <w:p w:rsidR="001109EE" w:rsidRPr="003D6709" w:rsidRDefault="001109EE" w:rsidP="00EF69E3">
            <w:pPr>
              <w:pStyle w:val="Tabletextcentred"/>
            </w:pPr>
            <w:r w:rsidRPr="00FB14B2">
              <w:t>60</w:t>
            </w:r>
            <w:r w:rsidRPr="003D6709">
              <w:t>%</w:t>
            </w:r>
          </w:p>
        </w:tc>
        <w:tc>
          <w:tcPr>
            <w:tcW w:w="1079" w:type="dxa"/>
            <w:noWrap/>
            <w:vAlign w:val="center"/>
          </w:tcPr>
          <w:p w:rsidR="001109EE" w:rsidRPr="003D6709" w:rsidRDefault="001109EE" w:rsidP="00EF69E3">
            <w:pPr>
              <w:pStyle w:val="Tabletextcentred"/>
            </w:pPr>
            <w:r w:rsidRPr="00FB14B2">
              <w:t>60</w:t>
            </w:r>
            <w:r w:rsidRPr="003D6709">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Displaced ibrutinib scripts</w:t>
            </w:r>
            <w:bookmarkStart w:id="47" w:name="_GoBack"/>
            <w:bookmarkEnd w:id="47"/>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9" w:type="dxa"/>
            <w:noWrap/>
            <w:vAlign w:val="center"/>
          </w:tcPr>
          <w:p w:rsidR="001109EE" w:rsidRPr="004D4273" w:rsidRDefault="004D4273" w:rsidP="00EF69E3">
            <w:pPr>
              <w:pStyle w:val="Tabletextcentred"/>
              <w:rPr>
                <w:highlight w:val="black"/>
              </w:rPr>
            </w:pPr>
            <w:r>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Adjustment factor</w:t>
            </w:r>
            <w:r w:rsidRPr="003D6709">
              <w:rPr>
                <w:sz w:val="20"/>
                <w:szCs w:val="20"/>
                <w:vertAlign w:val="superscript"/>
              </w:rPr>
              <w:t>1</w:t>
            </w:r>
          </w:p>
        </w:tc>
        <w:tc>
          <w:tcPr>
            <w:tcW w:w="1078" w:type="dxa"/>
            <w:noWrap/>
            <w:vAlign w:val="center"/>
          </w:tcPr>
          <w:p w:rsidR="001109EE" w:rsidRPr="00F630AE" w:rsidRDefault="001109EE" w:rsidP="00EF69E3">
            <w:pPr>
              <w:pStyle w:val="Tabletextcentred"/>
            </w:pPr>
            <w:r w:rsidRPr="00F630AE">
              <w:t>1.05</w:t>
            </w:r>
          </w:p>
        </w:tc>
        <w:tc>
          <w:tcPr>
            <w:tcW w:w="1078" w:type="dxa"/>
            <w:noWrap/>
            <w:vAlign w:val="center"/>
          </w:tcPr>
          <w:p w:rsidR="001109EE" w:rsidRPr="00F630AE" w:rsidRDefault="001109EE" w:rsidP="00EF69E3">
            <w:pPr>
              <w:pStyle w:val="Tabletextcentred"/>
            </w:pPr>
            <w:r w:rsidRPr="00F630AE">
              <w:t>1.05</w:t>
            </w:r>
          </w:p>
        </w:tc>
        <w:tc>
          <w:tcPr>
            <w:tcW w:w="1078" w:type="dxa"/>
            <w:noWrap/>
            <w:vAlign w:val="center"/>
          </w:tcPr>
          <w:p w:rsidR="001109EE" w:rsidRPr="00F630AE" w:rsidRDefault="001109EE" w:rsidP="00EF69E3">
            <w:pPr>
              <w:pStyle w:val="Tabletextcentred"/>
            </w:pPr>
            <w:r w:rsidRPr="00F630AE">
              <w:t>1.05</w:t>
            </w:r>
          </w:p>
        </w:tc>
        <w:tc>
          <w:tcPr>
            <w:tcW w:w="1078" w:type="dxa"/>
            <w:noWrap/>
            <w:vAlign w:val="center"/>
          </w:tcPr>
          <w:p w:rsidR="001109EE" w:rsidRPr="00F630AE" w:rsidRDefault="001109EE" w:rsidP="00EF69E3">
            <w:pPr>
              <w:pStyle w:val="Tabletextcentred"/>
            </w:pPr>
            <w:r w:rsidRPr="00F630AE">
              <w:t>1.05</w:t>
            </w:r>
          </w:p>
        </w:tc>
        <w:tc>
          <w:tcPr>
            <w:tcW w:w="1078" w:type="dxa"/>
            <w:noWrap/>
            <w:vAlign w:val="center"/>
          </w:tcPr>
          <w:p w:rsidR="001109EE" w:rsidRPr="00F630AE" w:rsidRDefault="001109EE" w:rsidP="00EF69E3">
            <w:pPr>
              <w:pStyle w:val="Tabletextcentred"/>
            </w:pPr>
            <w:r w:rsidRPr="00F630AE">
              <w:t>1.05</w:t>
            </w:r>
          </w:p>
        </w:tc>
        <w:tc>
          <w:tcPr>
            <w:tcW w:w="1079" w:type="dxa"/>
            <w:noWrap/>
            <w:vAlign w:val="center"/>
          </w:tcPr>
          <w:p w:rsidR="001109EE" w:rsidRPr="00F630AE" w:rsidRDefault="001109EE" w:rsidP="00EF69E3">
            <w:pPr>
              <w:pStyle w:val="Tabletextcentred"/>
            </w:pPr>
            <w:r w:rsidRPr="00F630AE">
              <w:t>1.05</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Total ACAL scripts</w:t>
            </w:r>
          </w:p>
        </w:tc>
        <w:tc>
          <w:tcPr>
            <w:tcW w:w="1078" w:type="dxa"/>
            <w:noWrap/>
          </w:tcPr>
          <w:p w:rsidR="001109EE" w:rsidRPr="004D4273" w:rsidRDefault="004D4273" w:rsidP="00EF69E3">
            <w:pPr>
              <w:pStyle w:val="Tabletextcentred"/>
              <w:rPr>
                <w:highlight w:val="black"/>
              </w:rPr>
            </w:pPr>
            <w:r>
              <w:rPr>
                <w:noProof/>
                <w:color w:val="000000"/>
                <w:highlight w:val="black"/>
              </w:rPr>
              <w:t>''''''''''''''</w:t>
            </w:r>
          </w:p>
        </w:tc>
        <w:tc>
          <w:tcPr>
            <w:tcW w:w="1078" w:type="dxa"/>
            <w:noWrap/>
          </w:tcPr>
          <w:p w:rsidR="001109EE" w:rsidRPr="004D4273" w:rsidRDefault="004D4273" w:rsidP="00EF69E3">
            <w:pPr>
              <w:pStyle w:val="Tabletextcentred"/>
              <w:rPr>
                <w:highlight w:val="black"/>
              </w:rPr>
            </w:pPr>
            <w:r>
              <w:rPr>
                <w:noProof/>
                <w:color w:val="000000"/>
                <w:highlight w:val="black"/>
              </w:rPr>
              <w:t>''''''''''''''</w:t>
            </w:r>
          </w:p>
        </w:tc>
        <w:tc>
          <w:tcPr>
            <w:tcW w:w="1078" w:type="dxa"/>
            <w:noWrap/>
          </w:tcPr>
          <w:p w:rsidR="001109EE" w:rsidRPr="004D4273" w:rsidRDefault="004D4273" w:rsidP="00EF69E3">
            <w:pPr>
              <w:pStyle w:val="Tabletextcentred"/>
              <w:rPr>
                <w:highlight w:val="black"/>
              </w:rPr>
            </w:pPr>
            <w:r>
              <w:rPr>
                <w:noProof/>
                <w:color w:val="000000"/>
                <w:highlight w:val="black"/>
              </w:rPr>
              <w:t>'''''''''''''</w:t>
            </w:r>
          </w:p>
        </w:tc>
        <w:tc>
          <w:tcPr>
            <w:tcW w:w="1078" w:type="dxa"/>
            <w:noWrap/>
          </w:tcPr>
          <w:p w:rsidR="001109EE" w:rsidRPr="004D4273" w:rsidRDefault="004D4273" w:rsidP="00EF69E3">
            <w:pPr>
              <w:pStyle w:val="Tabletextcentred"/>
              <w:rPr>
                <w:highlight w:val="black"/>
              </w:rPr>
            </w:pPr>
            <w:r>
              <w:rPr>
                <w:noProof/>
                <w:color w:val="000000"/>
                <w:highlight w:val="black"/>
              </w:rPr>
              <w:t>'''''''''''''''</w:t>
            </w:r>
          </w:p>
        </w:tc>
        <w:tc>
          <w:tcPr>
            <w:tcW w:w="1078" w:type="dxa"/>
            <w:noWrap/>
          </w:tcPr>
          <w:p w:rsidR="001109EE" w:rsidRPr="004D4273" w:rsidRDefault="004D4273" w:rsidP="00EF69E3">
            <w:pPr>
              <w:pStyle w:val="Tabletextcentred"/>
              <w:rPr>
                <w:highlight w:val="black"/>
              </w:rPr>
            </w:pPr>
            <w:r>
              <w:rPr>
                <w:noProof/>
                <w:color w:val="000000"/>
                <w:highlight w:val="black"/>
              </w:rPr>
              <w:t>''''''''''''''''</w:t>
            </w:r>
          </w:p>
        </w:tc>
        <w:tc>
          <w:tcPr>
            <w:tcW w:w="1079" w:type="dxa"/>
            <w:noWrap/>
          </w:tcPr>
          <w:p w:rsidR="001109EE" w:rsidRPr="004D4273" w:rsidRDefault="004D4273" w:rsidP="00EF69E3">
            <w:pPr>
              <w:pStyle w:val="Tabletextcentred"/>
              <w:rPr>
                <w:highlight w:val="black"/>
              </w:rPr>
            </w:pPr>
            <w:r>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vAlign w:val="bottom"/>
          </w:tcPr>
          <w:p w:rsidR="001109EE" w:rsidRPr="003D6709" w:rsidRDefault="001109EE" w:rsidP="00EF69E3">
            <w:pPr>
              <w:pStyle w:val="TableText"/>
              <w:rPr>
                <w:sz w:val="20"/>
                <w:szCs w:val="20"/>
              </w:rPr>
            </w:pPr>
            <w:r w:rsidRPr="003D6709">
              <w:rPr>
                <w:sz w:val="20"/>
                <w:szCs w:val="20"/>
              </w:rPr>
              <w:t>PBS/RPBS cost</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9" w:type="dxa"/>
            <w:noWrap/>
          </w:tcPr>
          <w:p w:rsidR="001109EE" w:rsidRPr="003D6709" w:rsidRDefault="00820F64" w:rsidP="00EF69E3">
            <w:pPr>
              <w:pStyle w:val="Tabletextcentred"/>
            </w:pPr>
            <w:r w:rsidRPr="003D6709">
              <w:t>$</w:t>
            </w:r>
            <w:r w:rsidR="004D4273">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 xml:space="preserve">Patient </w:t>
            </w:r>
            <w:proofErr w:type="spellStart"/>
            <w:r w:rsidRPr="003D6709">
              <w:rPr>
                <w:sz w:val="20"/>
                <w:szCs w:val="20"/>
              </w:rPr>
              <w:t>copayments</w:t>
            </w:r>
            <w:proofErr w:type="spellEnd"/>
            <w:r w:rsidRPr="003D6709">
              <w:rPr>
                <w:sz w:val="20"/>
                <w:szCs w:val="20"/>
              </w:rPr>
              <w:t xml:space="preserve"> ($14.43 per script)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9" w:type="dxa"/>
            <w:noWrap/>
            <w:vAlign w:val="center"/>
          </w:tcPr>
          <w:p w:rsidR="001109EE" w:rsidRPr="003D6709" w:rsidRDefault="001109EE" w:rsidP="00EF69E3">
            <w:pPr>
              <w:pStyle w:val="Tabletextcentred"/>
            </w:pPr>
            <w:r w:rsidRPr="003D6709">
              <w:t>$</w:t>
            </w:r>
            <w:r w:rsidR="004D4273">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Net PBS/RPBS cost</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pPr>
            <w:r w:rsidRPr="003D6709">
              <w:t>$</w:t>
            </w:r>
            <w:r w:rsidR="004D4273">
              <w:rPr>
                <w:noProof/>
                <w:color w:val="000000"/>
                <w:highlight w:val="black"/>
              </w:rPr>
              <w:t>'''''''''''''''''''''''</w:t>
            </w:r>
            <w:r w:rsidRPr="003D6709">
              <w:t xml:space="preserve"> </w:t>
            </w:r>
          </w:p>
        </w:tc>
        <w:tc>
          <w:tcPr>
            <w:tcW w:w="1079" w:type="dxa"/>
            <w:noWrap/>
          </w:tcPr>
          <w:p w:rsidR="001109EE" w:rsidRPr="003D6709" w:rsidRDefault="00820F64" w:rsidP="00EF69E3">
            <w:pPr>
              <w:pStyle w:val="Tabletextcentred"/>
            </w:pPr>
            <w:r w:rsidRPr="003D6709">
              <w:t>$</w:t>
            </w:r>
            <w:r w:rsidR="004D4273">
              <w:rPr>
                <w:noProof/>
                <w:color w:val="000000"/>
                <w:highlight w:val="black"/>
              </w:rPr>
              <w:t>''''''''''''''''''''''''''</w:t>
            </w:r>
          </w:p>
        </w:tc>
      </w:tr>
      <w:tr w:rsidR="001109EE" w:rsidRPr="003D6709" w:rsidTr="004C7D8F">
        <w:tc>
          <w:tcPr>
            <w:tcW w:w="9016" w:type="dxa"/>
            <w:gridSpan w:val="7"/>
            <w:tcBorders>
              <w:left w:val="single" w:sz="4" w:space="0" w:color="auto"/>
              <w:bottom w:val="single" w:sz="4" w:space="0" w:color="auto"/>
            </w:tcBorders>
            <w:shd w:val="clear" w:color="auto" w:fill="auto"/>
            <w:noWrap/>
          </w:tcPr>
          <w:p w:rsidR="001109EE" w:rsidRPr="003D6709" w:rsidRDefault="001109EE" w:rsidP="00EF69E3">
            <w:pPr>
              <w:pStyle w:val="Tabletextcentred"/>
              <w:jc w:val="left"/>
              <w:rPr>
                <w:b/>
              </w:rPr>
            </w:pPr>
            <w:r w:rsidRPr="003D6709">
              <w:rPr>
                <w:b/>
              </w:rPr>
              <w:t>Reduction in cost of IBR with ACAL listing</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vertAlign w:val="superscript"/>
              </w:rPr>
            </w:pPr>
            <w:r w:rsidRPr="003D6709">
              <w:rPr>
                <w:sz w:val="20"/>
                <w:szCs w:val="20"/>
              </w:rPr>
              <w:t>Displaced ibrutinib scripts</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8" w:type="dxa"/>
            <w:noWrap/>
            <w:vAlign w:val="center"/>
          </w:tcPr>
          <w:p w:rsidR="001109EE" w:rsidRPr="004D4273" w:rsidRDefault="004D4273" w:rsidP="00EF69E3">
            <w:pPr>
              <w:pStyle w:val="Tabletextcentred"/>
              <w:rPr>
                <w:highlight w:val="black"/>
              </w:rPr>
            </w:pPr>
            <w:r>
              <w:rPr>
                <w:noProof/>
                <w:color w:val="000000"/>
                <w:highlight w:val="black"/>
              </w:rPr>
              <w:t>'''''''''''''''''</w:t>
            </w:r>
          </w:p>
        </w:tc>
        <w:tc>
          <w:tcPr>
            <w:tcW w:w="1079" w:type="dxa"/>
            <w:noWrap/>
            <w:vAlign w:val="center"/>
          </w:tcPr>
          <w:p w:rsidR="001109EE" w:rsidRPr="004D4273" w:rsidRDefault="004D4273" w:rsidP="00EF69E3">
            <w:pPr>
              <w:pStyle w:val="Tabletextcentred"/>
              <w:rPr>
                <w:highlight w:val="black"/>
              </w:rPr>
            </w:pPr>
            <w:r>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vAlign w:val="bottom"/>
          </w:tcPr>
          <w:p w:rsidR="001109EE" w:rsidRPr="003D6709" w:rsidRDefault="001109EE" w:rsidP="00EF69E3">
            <w:pPr>
              <w:pStyle w:val="TableText"/>
              <w:rPr>
                <w:sz w:val="20"/>
                <w:szCs w:val="20"/>
              </w:rPr>
            </w:pPr>
            <w:r w:rsidRPr="003D6709">
              <w:rPr>
                <w:sz w:val="20"/>
                <w:szCs w:val="20"/>
              </w:rPr>
              <w:t>PBS/RPBS cost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9" w:type="dxa"/>
            <w:noWrap/>
            <w:vAlign w:val="center"/>
          </w:tcPr>
          <w:p w:rsidR="001109EE" w:rsidRPr="003D6709" w:rsidRDefault="001109EE" w:rsidP="00EF69E3">
            <w:pPr>
              <w:pStyle w:val="Tabletextcentred"/>
            </w:pPr>
            <w:r w:rsidRPr="003D6709">
              <w:t>$</w:t>
            </w:r>
            <w:r w:rsidR="004D4273">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 xml:space="preserve">Patient </w:t>
            </w:r>
            <w:proofErr w:type="spellStart"/>
            <w:r w:rsidRPr="003D6709">
              <w:rPr>
                <w:sz w:val="20"/>
                <w:szCs w:val="20"/>
              </w:rPr>
              <w:t>copayments</w:t>
            </w:r>
            <w:proofErr w:type="spellEnd"/>
            <w:r w:rsidRPr="003D6709">
              <w:rPr>
                <w:sz w:val="20"/>
                <w:szCs w:val="20"/>
              </w:rPr>
              <w:t xml:space="preserve"> ($14.43 per script)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9" w:type="dxa"/>
            <w:noWrap/>
            <w:vAlign w:val="center"/>
          </w:tcPr>
          <w:p w:rsidR="001109EE" w:rsidRPr="003D6709" w:rsidRDefault="001109EE" w:rsidP="00EF69E3">
            <w:pPr>
              <w:pStyle w:val="Tabletextcentred"/>
            </w:pPr>
            <w:r w:rsidRPr="003D6709">
              <w:t>$</w:t>
            </w:r>
            <w:r w:rsidR="004D4273">
              <w:rPr>
                <w:noProof/>
                <w:color w:val="000000"/>
                <w:highlight w:val="black"/>
              </w:rPr>
              <w:t>'''''''''''''''''''''</w:t>
            </w:r>
          </w:p>
        </w:tc>
      </w:tr>
      <w:tr w:rsidR="001109EE" w:rsidRPr="003D6709" w:rsidTr="004C7D8F">
        <w:tc>
          <w:tcPr>
            <w:tcW w:w="2547" w:type="dxa"/>
            <w:tcBorders>
              <w:left w:val="single" w:sz="4" w:space="0" w:color="auto"/>
              <w:bottom w:val="single" w:sz="4" w:space="0" w:color="auto"/>
            </w:tcBorders>
            <w:shd w:val="clear" w:color="auto" w:fill="auto"/>
            <w:noWrap/>
          </w:tcPr>
          <w:p w:rsidR="001109EE" w:rsidRPr="003D6709" w:rsidRDefault="001109EE" w:rsidP="00EF69E3">
            <w:pPr>
              <w:pStyle w:val="TableText"/>
              <w:rPr>
                <w:sz w:val="20"/>
                <w:szCs w:val="20"/>
              </w:rPr>
            </w:pPr>
            <w:r w:rsidRPr="003D6709">
              <w:rPr>
                <w:sz w:val="20"/>
                <w:szCs w:val="20"/>
              </w:rPr>
              <w:t>Net PBS/RPBS cost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pPr>
            <w:r w:rsidRPr="003D6709">
              <w:t>$</w:t>
            </w:r>
            <w:r w:rsidR="004D4273">
              <w:rPr>
                <w:noProof/>
                <w:color w:val="000000"/>
                <w:highlight w:val="black"/>
              </w:rPr>
              <w:t>'''''''''''''''''''''''''''</w:t>
            </w:r>
          </w:p>
        </w:tc>
        <w:tc>
          <w:tcPr>
            <w:tcW w:w="1079" w:type="dxa"/>
            <w:noWrap/>
            <w:vAlign w:val="center"/>
          </w:tcPr>
          <w:p w:rsidR="001109EE" w:rsidRPr="003D6709" w:rsidRDefault="001109EE" w:rsidP="00EF69E3">
            <w:pPr>
              <w:pStyle w:val="Tabletextcentred"/>
            </w:pPr>
            <w:r w:rsidRPr="003D6709">
              <w:t>$</w:t>
            </w:r>
            <w:r w:rsidR="004D4273">
              <w:rPr>
                <w:noProof/>
                <w:color w:val="000000"/>
                <w:highlight w:val="black"/>
              </w:rPr>
              <w:t>'''''''''''''''''''''''''''''</w:t>
            </w:r>
          </w:p>
        </w:tc>
      </w:tr>
      <w:tr w:rsidR="001109EE" w:rsidRPr="003D6709" w:rsidTr="004C7D8F">
        <w:tc>
          <w:tcPr>
            <w:tcW w:w="9016" w:type="dxa"/>
            <w:gridSpan w:val="7"/>
            <w:noWrap/>
          </w:tcPr>
          <w:p w:rsidR="001109EE" w:rsidRPr="003D6709" w:rsidRDefault="001109EE" w:rsidP="00EF69E3">
            <w:pPr>
              <w:pStyle w:val="Tabletextcentred"/>
              <w:jc w:val="left"/>
              <w:rPr>
                <w:b/>
              </w:rPr>
            </w:pPr>
            <w:r w:rsidRPr="003D6709">
              <w:rPr>
                <w:b/>
                <w:lang w:eastAsia="en-AU"/>
              </w:rPr>
              <w:t>Net cost to the PBS/RPBS</w:t>
            </w:r>
          </w:p>
        </w:tc>
      </w:tr>
      <w:tr w:rsidR="001109EE" w:rsidRPr="003D6709" w:rsidTr="004C7D8F">
        <w:tc>
          <w:tcPr>
            <w:tcW w:w="2547" w:type="dxa"/>
            <w:noWrap/>
          </w:tcPr>
          <w:p w:rsidR="001109EE" w:rsidRPr="003D6709" w:rsidRDefault="001109EE" w:rsidP="00EF69E3">
            <w:pPr>
              <w:pStyle w:val="TableText"/>
              <w:rPr>
                <w:sz w:val="20"/>
                <w:szCs w:val="20"/>
              </w:rPr>
            </w:pPr>
            <w:r w:rsidRPr="003D6709">
              <w:rPr>
                <w:sz w:val="20"/>
                <w:szCs w:val="20"/>
              </w:rPr>
              <w:t>Cost of ACAL</w:t>
            </w:r>
          </w:p>
        </w:tc>
        <w:tc>
          <w:tcPr>
            <w:tcW w:w="1078" w:type="dxa"/>
            <w:noWrap/>
          </w:tcPr>
          <w:p w:rsidR="001109EE" w:rsidRPr="003D6709" w:rsidRDefault="001109EE" w:rsidP="00EF69E3">
            <w:pPr>
              <w:pStyle w:val="Tabletextcentred"/>
              <w:rPr>
                <w:b/>
              </w:rPr>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rPr>
                <w:b/>
              </w:rPr>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rPr>
                <w:b/>
              </w:rPr>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rPr>
                <w:b/>
              </w:rPr>
            </w:pPr>
            <w:r w:rsidRPr="003D6709">
              <w:t>$</w:t>
            </w:r>
            <w:r w:rsidR="004D4273">
              <w:rPr>
                <w:noProof/>
                <w:color w:val="000000"/>
                <w:highlight w:val="black"/>
              </w:rPr>
              <w:t>'''''''''''''''''''''''''''''</w:t>
            </w:r>
            <w:r w:rsidRPr="003D6709">
              <w:t xml:space="preserve"> </w:t>
            </w:r>
          </w:p>
        </w:tc>
        <w:tc>
          <w:tcPr>
            <w:tcW w:w="1078" w:type="dxa"/>
            <w:noWrap/>
          </w:tcPr>
          <w:p w:rsidR="001109EE" w:rsidRPr="003D6709" w:rsidRDefault="001109EE" w:rsidP="00EF69E3">
            <w:pPr>
              <w:pStyle w:val="Tabletextcentred"/>
              <w:rPr>
                <w:b/>
              </w:rPr>
            </w:pPr>
            <w:r w:rsidRPr="003D6709">
              <w:t>$</w:t>
            </w:r>
            <w:r w:rsidR="004D4273">
              <w:rPr>
                <w:noProof/>
                <w:color w:val="000000"/>
                <w:highlight w:val="black"/>
              </w:rPr>
              <w:t>''''''''''''''''''''''''''</w:t>
            </w:r>
            <w:r w:rsidRPr="003D6709">
              <w:t xml:space="preserve"> </w:t>
            </w:r>
          </w:p>
        </w:tc>
        <w:tc>
          <w:tcPr>
            <w:tcW w:w="1079" w:type="dxa"/>
            <w:noWrap/>
          </w:tcPr>
          <w:p w:rsidR="001109EE" w:rsidRPr="003D6709" w:rsidRDefault="00820F64" w:rsidP="00EF69E3">
            <w:pPr>
              <w:pStyle w:val="Tabletextcentred"/>
              <w:rPr>
                <w:b/>
              </w:rPr>
            </w:pPr>
            <w:r w:rsidRPr="003D6709">
              <w:t>$</w:t>
            </w:r>
            <w:r w:rsidR="004D4273">
              <w:rPr>
                <w:noProof/>
                <w:color w:val="000000"/>
                <w:highlight w:val="black"/>
              </w:rPr>
              <w:t>'''''''''''''''''''''''''''''</w:t>
            </w:r>
          </w:p>
        </w:tc>
      </w:tr>
      <w:tr w:rsidR="001109EE" w:rsidRPr="003D6709" w:rsidTr="004C7D8F">
        <w:tc>
          <w:tcPr>
            <w:tcW w:w="2547" w:type="dxa"/>
            <w:noWrap/>
          </w:tcPr>
          <w:p w:rsidR="001109EE" w:rsidRPr="003D6709" w:rsidRDefault="001109EE" w:rsidP="00EF69E3">
            <w:pPr>
              <w:pStyle w:val="TableText"/>
              <w:rPr>
                <w:sz w:val="20"/>
                <w:szCs w:val="20"/>
              </w:rPr>
            </w:pPr>
            <w:r w:rsidRPr="003D6709">
              <w:rPr>
                <w:sz w:val="20"/>
                <w:szCs w:val="20"/>
              </w:rPr>
              <w:t>Cost of displaced IBR</w:t>
            </w:r>
          </w:p>
        </w:tc>
        <w:tc>
          <w:tcPr>
            <w:tcW w:w="1078" w:type="dxa"/>
            <w:noWrap/>
            <w:vAlign w:val="center"/>
          </w:tcPr>
          <w:p w:rsidR="001109EE" w:rsidRPr="003D6709" w:rsidRDefault="001109EE" w:rsidP="00EF69E3">
            <w:pPr>
              <w:pStyle w:val="Tabletextcentred"/>
              <w:rPr>
                <w:b/>
              </w:rPr>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rPr>
                <w:b/>
              </w:rPr>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rPr>
                <w:b/>
              </w:rPr>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rPr>
                <w:b/>
              </w:rPr>
            </w:pPr>
            <w:r w:rsidRPr="003D6709">
              <w:t>$</w:t>
            </w:r>
            <w:r w:rsidR="004D4273">
              <w:rPr>
                <w:noProof/>
                <w:color w:val="000000"/>
                <w:highlight w:val="black"/>
              </w:rPr>
              <w:t>''''''''''''''''''''''''''</w:t>
            </w:r>
          </w:p>
        </w:tc>
        <w:tc>
          <w:tcPr>
            <w:tcW w:w="1078" w:type="dxa"/>
            <w:noWrap/>
            <w:vAlign w:val="center"/>
          </w:tcPr>
          <w:p w:rsidR="001109EE" w:rsidRPr="003D6709" w:rsidRDefault="001109EE" w:rsidP="00EF69E3">
            <w:pPr>
              <w:pStyle w:val="Tabletextcentred"/>
              <w:rPr>
                <w:b/>
              </w:rPr>
            </w:pPr>
            <w:r w:rsidRPr="003D6709">
              <w:t>$</w:t>
            </w:r>
            <w:r w:rsidR="004D4273">
              <w:rPr>
                <w:noProof/>
                <w:color w:val="000000"/>
                <w:highlight w:val="black"/>
              </w:rPr>
              <w:t>'''''''''''''''''''''''''</w:t>
            </w:r>
          </w:p>
        </w:tc>
        <w:tc>
          <w:tcPr>
            <w:tcW w:w="1079" w:type="dxa"/>
            <w:noWrap/>
            <w:vAlign w:val="center"/>
          </w:tcPr>
          <w:p w:rsidR="001109EE" w:rsidRPr="003D6709" w:rsidRDefault="001109EE" w:rsidP="00EF69E3">
            <w:pPr>
              <w:pStyle w:val="Tabletextcentred"/>
              <w:rPr>
                <w:b/>
              </w:rPr>
            </w:pPr>
            <w:r w:rsidRPr="003D6709">
              <w:t>$</w:t>
            </w:r>
            <w:r w:rsidR="004D4273">
              <w:rPr>
                <w:noProof/>
                <w:color w:val="000000"/>
                <w:highlight w:val="black"/>
              </w:rPr>
              <w:t>''''''''''''''''''''''''''''</w:t>
            </w:r>
          </w:p>
        </w:tc>
      </w:tr>
      <w:tr w:rsidR="001109EE" w:rsidRPr="003D6709" w:rsidTr="004C7D8F">
        <w:tc>
          <w:tcPr>
            <w:tcW w:w="2547" w:type="dxa"/>
            <w:noWrap/>
          </w:tcPr>
          <w:p w:rsidR="001109EE" w:rsidRPr="003D6709" w:rsidRDefault="001109EE" w:rsidP="00EF69E3">
            <w:pPr>
              <w:pStyle w:val="TableText"/>
              <w:rPr>
                <w:b/>
                <w:sz w:val="20"/>
                <w:szCs w:val="20"/>
              </w:rPr>
            </w:pPr>
            <w:r w:rsidRPr="003D6709">
              <w:rPr>
                <w:b/>
                <w:sz w:val="20"/>
                <w:szCs w:val="20"/>
              </w:rPr>
              <w:t>Overall net cost of ACAL</w:t>
            </w:r>
          </w:p>
        </w:tc>
        <w:tc>
          <w:tcPr>
            <w:tcW w:w="1078" w:type="dxa"/>
            <w:noWrap/>
          </w:tcPr>
          <w:p w:rsidR="001109EE" w:rsidRPr="003D6709" w:rsidRDefault="001109EE" w:rsidP="00EF69E3">
            <w:pPr>
              <w:pStyle w:val="Tabletextcentred"/>
              <w:rPr>
                <w:b/>
              </w:rPr>
            </w:pPr>
            <w:r w:rsidRPr="003D6709">
              <w:rPr>
                <w:b/>
              </w:rPr>
              <w:t>$</w:t>
            </w:r>
            <w:r w:rsidR="004D4273">
              <w:rPr>
                <w:b/>
                <w:noProof/>
                <w:color w:val="000000"/>
                <w:highlight w:val="black"/>
              </w:rPr>
              <w:t>'''''''''''''''</w:t>
            </w:r>
            <w:r w:rsidRPr="003D6709">
              <w:rPr>
                <w:b/>
              </w:rPr>
              <w:t xml:space="preserve"> </w:t>
            </w:r>
          </w:p>
        </w:tc>
        <w:tc>
          <w:tcPr>
            <w:tcW w:w="1078" w:type="dxa"/>
            <w:noWrap/>
          </w:tcPr>
          <w:p w:rsidR="001109EE" w:rsidRPr="003D6709" w:rsidRDefault="001109EE" w:rsidP="00EF69E3">
            <w:pPr>
              <w:pStyle w:val="Tabletextcentred"/>
              <w:rPr>
                <w:b/>
              </w:rPr>
            </w:pPr>
            <w:r w:rsidRPr="003D6709">
              <w:rPr>
                <w:b/>
              </w:rPr>
              <w:t>$</w:t>
            </w:r>
            <w:r w:rsidR="004D4273">
              <w:rPr>
                <w:b/>
                <w:noProof/>
                <w:color w:val="000000"/>
                <w:highlight w:val="black"/>
              </w:rPr>
              <w:t>'''''''''''''''</w:t>
            </w:r>
            <w:r w:rsidRPr="003D6709">
              <w:rPr>
                <w:b/>
              </w:rPr>
              <w:t xml:space="preserve"> </w:t>
            </w:r>
          </w:p>
        </w:tc>
        <w:tc>
          <w:tcPr>
            <w:tcW w:w="1078" w:type="dxa"/>
            <w:noWrap/>
          </w:tcPr>
          <w:p w:rsidR="001109EE" w:rsidRPr="003D6709" w:rsidRDefault="001109EE" w:rsidP="00EF69E3">
            <w:pPr>
              <w:pStyle w:val="Tabletextcentred"/>
              <w:rPr>
                <w:b/>
              </w:rPr>
            </w:pPr>
            <w:r w:rsidRPr="003D6709">
              <w:rPr>
                <w:b/>
              </w:rPr>
              <w:t>$</w:t>
            </w:r>
            <w:r w:rsidR="004D4273">
              <w:rPr>
                <w:b/>
                <w:noProof/>
                <w:color w:val="000000"/>
                <w:highlight w:val="black"/>
              </w:rPr>
              <w:t>'''''''''''''''</w:t>
            </w:r>
            <w:r w:rsidRPr="003D6709">
              <w:rPr>
                <w:b/>
              </w:rPr>
              <w:t xml:space="preserve"> </w:t>
            </w:r>
          </w:p>
        </w:tc>
        <w:tc>
          <w:tcPr>
            <w:tcW w:w="1078" w:type="dxa"/>
            <w:noWrap/>
          </w:tcPr>
          <w:p w:rsidR="001109EE" w:rsidRPr="003D6709" w:rsidRDefault="001109EE" w:rsidP="00EF69E3">
            <w:pPr>
              <w:pStyle w:val="Tabletextcentred"/>
              <w:rPr>
                <w:b/>
              </w:rPr>
            </w:pPr>
            <w:r w:rsidRPr="003D6709">
              <w:rPr>
                <w:b/>
              </w:rPr>
              <w:t>$</w:t>
            </w:r>
            <w:r w:rsidR="004D4273">
              <w:rPr>
                <w:b/>
                <w:noProof/>
                <w:color w:val="000000"/>
                <w:highlight w:val="black"/>
              </w:rPr>
              <w:t>'''''''''''''''</w:t>
            </w:r>
            <w:r w:rsidRPr="003D6709">
              <w:rPr>
                <w:b/>
              </w:rPr>
              <w:t xml:space="preserve"> </w:t>
            </w:r>
          </w:p>
        </w:tc>
        <w:tc>
          <w:tcPr>
            <w:tcW w:w="1078" w:type="dxa"/>
            <w:noWrap/>
          </w:tcPr>
          <w:p w:rsidR="001109EE" w:rsidRPr="003D6709" w:rsidRDefault="001109EE" w:rsidP="00EF69E3">
            <w:pPr>
              <w:pStyle w:val="Tabletextcentred"/>
              <w:rPr>
                <w:b/>
              </w:rPr>
            </w:pPr>
            <w:r w:rsidRPr="003D6709">
              <w:rPr>
                <w:b/>
              </w:rPr>
              <w:t>$</w:t>
            </w:r>
            <w:r w:rsidR="004D4273">
              <w:rPr>
                <w:b/>
                <w:noProof/>
                <w:color w:val="000000"/>
                <w:highlight w:val="black"/>
              </w:rPr>
              <w:t>'''''''''''''''''</w:t>
            </w:r>
            <w:r w:rsidRPr="003D6709">
              <w:rPr>
                <w:b/>
              </w:rPr>
              <w:t xml:space="preserve"> </w:t>
            </w:r>
          </w:p>
        </w:tc>
        <w:tc>
          <w:tcPr>
            <w:tcW w:w="1079" w:type="dxa"/>
            <w:noWrap/>
          </w:tcPr>
          <w:p w:rsidR="001109EE" w:rsidRPr="003D6709" w:rsidRDefault="001109EE" w:rsidP="00EF69E3">
            <w:pPr>
              <w:pStyle w:val="Tabletextcentred"/>
              <w:rPr>
                <w:b/>
              </w:rPr>
            </w:pPr>
            <w:r w:rsidRPr="003D6709">
              <w:rPr>
                <w:b/>
              </w:rPr>
              <w:t>$</w:t>
            </w:r>
            <w:r w:rsidR="004D4273">
              <w:rPr>
                <w:b/>
                <w:noProof/>
                <w:color w:val="000000"/>
                <w:highlight w:val="black"/>
              </w:rPr>
              <w:t>''''''''''''''''</w:t>
            </w:r>
            <w:r w:rsidRPr="003D6709">
              <w:rPr>
                <w:b/>
              </w:rPr>
              <w:t xml:space="preserve"> </w:t>
            </w:r>
          </w:p>
        </w:tc>
      </w:tr>
    </w:tbl>
    <w:p w:rsidR="001109EE" w:rsidRPr="003D6709" w:rsidRDefault="001109EE" w:rsidP="001109EE">
      <w:pPr>
        <w:pStyle w:val="TableFooter"/>
        <w:widowControl/>
        <w:spacing w:after="120"/>
      </w:pPr>
      <w:r w:rsidRPr="003D6709">
        <w:t>Source: Table 4.2.8, p.113; Table 4.2.11, p.115; Table 4.2.13, p.116; Table 4.3.4, p.118; Table 4.4.1, p.120 of the submission.</w:t>
      </w:r>
    </w:p>
    <w:p w:rsidR="001109EE" w:rsidRPr="003D6709" w:rsidRDefault="001109EE" w:rsidP="001109EE">
      <w:pPr>
        <w:pStyle w:val="TableFooter"/>
        <w:widowControl/>
        <w:spacing w:after="120"/>
      </w:pPr>
      <w:r w:rsidRPr="003D6709">
        <w:t>Abbreviations: ACAL, acalabrutinib; IBR, ibrutinib; IDEL, idelalisib.</w:t>
      </w:r>
    </w:p>
    <w:p w:rsidR="001109EE" w:rsidRDefault="001109EE" w:rsidP="001109EE">
      <w:pPr>
        <w:pStyle w:val="TableFooter"/>
        <w:widowControl/>
        <w:spacing w:after="120"/>
      </w:pPr>
      <w:r w:rsidRPr="003D6709">
        <w:rPr>
          <w:vertAlign w:val="superscript"/>
        </w:rPr>
        <w:t>1</w:t>
      </w:r>
      <w:r w:rsidRPr="003D6709">
        <w:t xml:space="preserve"> Adjustment factor applied to adjust for differences in pack sizes and differences in the assumed median treatment durations for ibrutinib and acalabrutinib (16.0 months for ibrutinib and 15.7 months for acalabrutinib).</w:t>
      </w:r>
    </w:p>
    <w:p w:rsidR="00F60A1C" w:rsidRDefault="00F60A1C" w:rsidP="001109EE">
      <w:pPr>
        <w:pStyle w:val="TableFooter"/>
        <w:widowControl/>
        <w:spacing w:after="120"/>
      </w:pPr>
    </w:p>
    <w:p w:rsidR="00F60A1C" w:rsidRPr="007112FD" w:rsidRDefault="00F60A1C" w:rsidP="001109EE">
      <w:pPr>
        <w:pStyle w:val="TableFooter"/>
        <w:widowControl/>
        <w:spacing w:after="120"/>
        <w:rPr>
          <w:rFonts w:asciiTheme="minorHAnsi" w:hAnsiTheme="minorHAnsi"/>
          <w:i/>
          <w:sz w:val="24"/>
          <w:szCs w:val="24"/>
        </w:rPr>
      </w:pPr>
      <w:r w:rsidRPr="007112FD">
        <w:rPr>
          <w:rFonts w:asciiTheme="minorHAnsi" w:hAnsiTheme="minorHAnsi"/>
          <w:i/>
          <w:sz w:val="24"/>
          <w:szCs w:val="24"/>
        </w:rPr>
        <w:t>The redacted table shows that at Year 6, the estimated number of acalabrutinib scripts was 10,000 to &lt;</w:t>
      </w:r>
      <w:r w:rsidR="00DA41E5">
        <w:rPr>
          <w:rFonts w:asciiTheme="minorHAnsi" w:hAnsiTheme="minorHAnsi"/>
          <w:i/>
          <w:sz w:val="24"/>
          <w:szCs w:val="24"/>
        </w:rPr>
        <w:t> </w:t>
      </w:r>
      <w:r w:rsidRPr="007112FD">
        <w:rPr>
          <w:rFonts w:asciiTheme="minorHAnsi" w:hAnsiTheme="minorHAnsi"/>
          <w:i/>
          <w:sz w:val="24"/>
          <w:szCs w:val="24"/>
        </w:rPr>
        <w:t xml:space="preserve">20,000. </w:t>
      </w:r>
    </w:p>
    <w:p w:rsidR="00616C5C" w:rsidRPr="003D6709" w:rsidRDefault="001109EE" w:rsidP="00F623D3">
      <w:pPr>
        <w:pStyle w:val="ExecSumBodyText"/>
      </w:pPr>
      <w:r w:rsidRPr="003D6709">
        <w:t xml:space="preserve">The </w:t>
      </w:r>
      <w:r w:rsidR="00F93367" w:rsidRPr="003D6709">
        <w:t xml:space="preserve">submission </w:t>
      </w:r>
      <w:r w:rsidRPr="003D6709">
        <w:t xml:space="preserve">estimated </w:t>
      </w:r>
      <w:r w:rsidR="00F93367" w:rsidRPr="003D6709">
        <w:t xml:space="preserve">a </w:t>
      </w:r>
      <w:r w:rsidRPr="003D6709">
        <w:t xml:space="preserve">net cost to the PBS </w:t>
      </w:r>
      <w:r w:rsidR="00F93367" w:rsidRPr="003D6709">
        <w:t>of</w:t>
      </w:r>
      <w:r w:rsidRPr="003D6709">
        <w:t xml:space="preserve"> $</w:t>
      </w:r>
      <w:r w:rsidR="005207C3">
        <w:t>0 to &lt;</w:t>
      </w:r>
      <w:r w:rsidR="00DA41E5">
        <w:t> </w:t>
      </w:r>
      <w:r w:rsidR="005207C3">
        <w:t>$10</w:t>
      </w:r>
      <w:r w:rsidRPr="003D6709">
        <w:t xml:space="preserve"> million in Year 1 of listing, increasing to $</w:t>
      </w:r>
      <w:r w:rsidR="005207C3">
        <w:t>0 to &lt;</w:t>
      </w:r>
      <w:r w:rsidR="00DA41E5">
        <w:t> </w:t>
      </w:r>
      <w:r w:rsidR="005207C3">
        <w:t>$10</w:t>
      </w:r>
      <w:r w:rsidRPr="003D6709">
        <w:t xml:space="preserve"> million in Year 6, an estimated net cost of $</w:t>
      </w:r>
      <w:r w:rsidR="005207C3">
        <w:t>0 to &lt;</w:t>
      </w:r>
      <w:r w:rsidR="00DA41E5">
        <w:t> </w:t>
      </w:r>
      <w:r w:rsidR="005207C3">
        <w:t>$10</w:t>
      </w:r>
      <w:r w:rsidRPr="003D6709">
        <w:t xml:space="preserve"> million over the first six years of listing.</w:t>
      </w:r>
      <w:r w:rsidR="00F93367" w:rsidRPr="003D6709">
        <w:t xml:space="preserve"> The net cost was driven by the higher price of acalabrutinib compared to ibrutinib, which was partially offset by the shorter assumed treatment duration for acalabrutinib (15.7 months versus 16.0 months for ibrutinib) and a small increase in </w:t>
      </w:r>
      <w:proofErr w:type="spellStart"/>
      <w:r w:rsidR="00F93367" w:rsidRPr="003D6709">
        <w:t>copayments</w:t>
      </w:r>
      <w:proofErr w:type="spellEnd"/>
      <w:r w:rsidR="00F93367" w:rsidRPr="003D6709">
        <w:t xml:space="preserve"> for acalabrutinib compared to ibrutinib due to differences in pack sizes.</w:t>
      </w:r>
      <w:r w:rsidR="00542914" w:rsidRPr="003D6709">
        <w:t xml:space="preserve"> The PBAC noted th</w:t>
      </w:r>
      <w:r w:rsidR="00D6417E" w:rsidRPr="003D6709">
        <w:t xml:space="preserve">at acalabrutinib would essentially be cost-neutral to ibrutinib if the cost-minimisation analysis was recalculated to include the </w:t>
      </w:r>
      <w:r w:rsidR="00D6417E" w:rsidRPr="003D6709">
        <w:lastRenderedPageBreak/>
        <w:t xml:space="preserve">same duration of treatment for acalabrutinib and ibrutinib and exclude adverse event costs. </w:t>
      </w:r>
    </w:p>
    <w:p w:rsidR="001109EE" w:rsidRPr="003D6709" w:rsidRDefault="001109EE" w:rsidP="001109EE">
      <w:pPr>
        <w:pStyle w:val="ExecSumBodyText"/>
      </w:pPr>
      <w:r w:rsidRPr="003D6709">
        <w:t xml:space="preserve">The </w:t>
      </w:r>
      <w:r w:rsidR="00430ADC" w:rsidRPr="003D6709">
        <w:t xml:space="preserve">ESC </w:t>
      </w:r>
      <w:r w:rsidR="005E71B0" w:rsidRPr="003D6709">
        <w:t>noted</w:t>
      </w:r>
      <w:r w:rsidR="003A0C4A" w:rsidRPr="003D6709">
        <w:t xml:space="preserve"> that</w:t>
      </w:r>
      <w:r w:rsidR="00430ADC" w:rsidRPr="003D6709">
        <w:t xml:space="preserve"> the </w:t>
      </w:r>
      <w:r w:rsidRPr="003D6709">
        <w:t>utilisation/financial estimates were uncertain due to the following issues:</w:t>
      </w:r>
    </w:p>
    <w:p w:rsidR="001109EE" w:rsidRPr="003D6709" w:rsidRDefault="001109EE" w:rsidP="00AD6416">
      <w:pPr>
        <w:pStyle w:val="ListParagraph"/>
        <w:numPr>
          <w:ilvl w:val="0"/>
          <w:numId w:val="16"/>
        </w:numPr>
      </w:pPr>
      <w:r w:rsidRPr="003D6709">
        <w:t>The submission did not adequately justify the assumed difference in treatment durations for ibrutinib and acalabrutinib.</w:t>
      </w:r>
    </w:p>
    <w:p w:rsidR="001109EE" w:rsidRPr="003D6709" w:rsidRDefault="001109EE" w:rsidP="00AD6416">
      <w:pPr>
        <w:pStyle w:val="ListParagraph"/>
        <w:numPr>
          <w:ilvl w:val="0"/>
          <w:numId w:val="16"/>
        </w:numPr>
      </w:pPr>
      <w:r w:rsidRPr="003D6709">
        <w:t>Ibrutinib received a positive recommendation at the November 2019 meeting for the first-line treatment of CLL/SLL patients with 17p deletion (PBAC Outcomes, November 2019 PBAC meeting). Use of ibrutinib in the first-lin</w:t>
      </w:r>
      <w:r w:rsidR="00575C1A" w:rsidRPr="003D6709">
        <w:t>e</w:t>
      </w:r>
      <w:r w:rsidRPr="003D6709">
        <w:t xml:space="preserve"> setting is likely to result in a reduction in use of </w:t>
      </w:r>
      <w:r w:rsidR="00575C1A" w:rsidRPr="003D6709">
        <w:t>BTK</w:t>
      </w:r>
      <w:r w:rsidRPr="003D6709">
        <w:t xml:space="preserve"> inhibitors </w:t>
      </w:r>
      <w:r w:rsidR="002839D3" w:rsidRPr="003D6709">
        <w:t xml:space="preserve">in the </w:t>
      </w:r>
      <w:r w:rsidR="00575C1A" w:rsidRPr="003D6709">
        <w:t>second-line</w:t>
      </w:r>
      <w:r w:rsidR="002839D3" w:rsidRPr="003D6709">
        <w:t xml:space="preserve"> setting.</w:t>
      </w:r>
    </w:p>
    <w:p w:rsidR="00957C88" w:rsidRPr="003D6709" w:rsidRDefault="00957C88" w:rsidP="00AD6416">
      <w:pPr>
        <w:pStyle w:val="ListParagraph"/>
        <w:numPr>
          <w:ilvl w:val="0"/>
          <w:numId w:val="16"/>
        </w:numPr>
      </w:pPr>
      <w:r w:rsidRPr="003D6709">
        <w:t>T</w:t>
      </w:r>
      <w:r w:rsidR="00162C2B" w:rsidRPr="003D6709">
        <w:t xml:space="preserve">he submission noted that patients with prior intolerance to ibrutinib (requiring treatment withdrawal) and patients considered unsuitable for ibrutinib due to the risk of adverse events, may also be treated with acalabrutinib. In this case, acalabrutinib </w:t>
      </w:r>
      <w:r w:rsidR="003115C8" w:rsidRPr="003D6709">
        <w:t xml:space="preserve">utilisation may increase due to </w:t>
      </w:r>
      <w:r w:rsidR="00162C2B" w:rsidRPr="003D6709">
        <w:t>substitut</w:t>
      </w:r>
      <w:r w:rsidR="003115C8" w:rsidRPr="003D6709">
        <w:t>ion</w:t>
      </w:r>
      <w:r w:rsidR="00162C2B" w:rsidRPr="003D6709">
        <w:t xml:space="preserve"> for other therapies, including venetoclax plus rituximab, idelalisib plus rituximab, and chemo</w:t>
      </w:r>
      <w:r w:rsidR="001F75A1" w:rsidRPr="003D6709">
        <w:t>-</w:t>
      </w:r>
      <w:r w:rsidR="00162C2B" w:rsidRPr="003D6709">
        <w:t>immunotherapy regimens.</w:t>
      </w:r>
    </w:p>
    <w:p w:rsidR="00957C88" w:rsidRPr="003D6709" w:rsidRDefault="001109EE" w:rsidP="00AD6416">
      <w:pPr>
        <w:pStyle w:val="ListParagraph"/>
        <w:numPr>
          <w:ilvl w:val="0"/>
          <w:numId w:val="16"/>
        </w:numPr>
      </w:pPr>
      <w:r w:rsidRPr="003D6709">
        <w:t xml:space="preserve">The assumed </w:t>
      </w:r>
      <w:r w:rsidR="00ED5C84" w:rsidRPr="003D6709">
        <w:t xml:space="preserve">ibrutinib displacement </w:t>
      </w:r>
      <w:r w:rsidRPr="003D6709">
        <w:t xml:space="preserve">rates were considered </w:t>
      </w:r>
      <w:r w:rsidR="00430ADC" w:rsidRPr="003D6709">
        <w:t xml:space="preserve">highly </w:t>
      </w:r>
      <w:r w:rsidRPr="003D6709">
        <w:t>uncertain</w:t>
      </w:r>
      <w:r w:rsidR="00575C1A" w:rsidRPr="003D6709">
        <w:t xml:space="preserve"> </w:t>
      </w:r>
      <w:r w:rsidR="00430ADC" w:rsidRPr="003D6709">
        <w:t xml:space="preserve">and overestimated </w:t>
      </w:r>
      <w:r w:rsidR="00575C1A" w:rsidRPr="003D6709">
        <w:t>as i</w:t>
      </w:r>
      <w:r w:rsidR="00162C2B" w:rsidRPr="003D6709">
        <w:t xml:space="preserve">t </w:t>
      </w:r>
      <w:r w:rsidR="00ED5C84" w:rsidRPr="003D6709">
        <w:t>wa</w:t>
      </w:r>
      <w:r w:rsidR="00162C2B" w:rsidRPr="003D6709">
        <w:t>s unclear whether patients currently treated with ibrutinib would switch to acalabrutinib based on the claimed safety advantages.</w:t>
      </w:r>
      <w:r w:rsidR="00430ADC" w:rsidRPr="003D6709">
        <w:t xml:space="preserve"> The ESC considered that</w:t>
      </w:r>
      <w:r w:rsidR="00ED5C84" w:rsidRPr="003D6709">
        <w:t xml:space="preserve"> clinicians</w:t>
      </w:r>
      <w:r w:rsidR="00430ADC" w:rsidRPr="003D6709">
        <w:t xml:space="preserve"> </w:t>
      </w:r>
      <w:r w:rsidR="00ED5C84" w:rsidRPr="003D6709">
        <w:t xml:space="preserve">would be </w:t>
      </w:r>
      <w:r w:rsidR="00430ADC" w:rsidRPr="003D6709">
        <w:t xml:space="preserve">likely continue to recommend </w:t>
      </w:r>
      <w:r w:rsidR="00ED5C84" w:rsidRPr="003D6709">
        <w:t xml:space="preserve">ibrutinib </w:t>
      </w:r>
      <w:r w:rsidR="00430ADC" w:rsidRPr="003D6709">
        <w:t xml:space="preserve">unless </w:t>
      </w:r>
      <w:r w:rsidR="00ED5C84" w:rsidRPr="003D6709">
        <w:t>there was</w:t>
      </w:r>
      <w:r w:rsidR="00430ADC" w:rsidRPr="003D6709">
        <w:t xml:space="preserve"> a clear contraindication or interaction with ibrutinib.</w:t>
      </w:r>
      <w:r w:rsidR="00ED5C84" w:rsidRPr="003D6709">
        <w:t xml:space="preserve"> The ESC considered that ibrutinib displacement would </w:t>
      </w:r>
      <w:r w:rsidR="001671DA" w:rsidRPr="003D6709">
        <w:t xml:space="preserve">more likely </w:t>
      </w:r>
      <w:r w:rsidR="004E3C0C" w:rsidRPr="003D6709">
        <w:t>be in the range of 10% to 3</w:t>
      </w:r>
      <w:r w:rsidR="00ED5C84" w:rsidRPr="003D6709">
        <w:t>0%.</w:t>
      </w:r>
      <w:r w:rsidR="00D61957" w:rsidRPr="003D6709">
        <w:t xml:space="preserve"> The </w:t>
      </w:r>
      <w:r w:rsidR="00DD5D66" w:rsidRPr="003D6709">
        <w:t>p</w:t>
      </w:r>
      <w:r w:rsidR="00D61957" w:rsidRPr="003D6709">
        <w:t xml:space="preserve">re-PBAC response noted that estimates in the use of acalabrutinib in </w:t>
      </w:r>
      <w:r w:rsidR="009A0517" w:rsidRPr="003D6709">
        <w:t>R/R</w:t>
      </w:r>
      <w:r w:rsidR="00D61957" w:rsidRPr="003D6709">
        <w:t xml:space="preserve"> CLL treatment setting will most likely reach a steady state market share of approximately 50% (based on interim market research data). The </w:t>
      </w:r>
      <w:r w:rsidR="00D6417E" w:rsidRPr="003D6709">
        <w:t xml:space="preserve">pre-PBAC </w:t>
      </w:r>
      <w:r w:rsidR="00D61957" w:rsidRPr="003D6709">
        <w:t xml:space="preserve">response considered that over time, newer patients will be initiated on acalabrutinib over ibrutinib due to its more favourable safety profile. </w:t>
      </w:r>
      <w:r w:rsidR="009A0517" w:rsidRPr="003D6709">
        <w:t xml:space="preserve">The PBAC considered that </w:t>
      </w:r>
      <w:r w:rsidR="009F5238" w:rsidRPr="003D6709">
        <w:t>the estimated rate of uptake remained highly uncertain</w:t>
      </w:r>
      <w:r w:rsidR="003D6709">
        <w:t xml:space="preserve">. </w:t>
      </w:r>
    </w:p>
    <w:p w:rsidR="00957C88" w:rsidRPr="003D6709" w:rsidRDefault="00575C1A" w:rsidP="00AD6416">
      <w:pPr>
        <w:pStyle w:val="ListParagraph"/>
        <w:numPr>
          <w:ilvl w:val="0"/>
          <w:numId w:val="16"/>
        </w:numPr>
      </w:pPr>
      <w:r w:rsidRPr="003D6709">
        <w:t>T</w:t>
      </w:r>
      <w:r w:rsidR="00957C88" w:rsidRPr="003D6709">
        <w:t xml:space="preserve">reatment with venetoclax plus rituximab is based on a fixed treatment duration which may be preferred by patients/clinicians, </w:t>
      </w:r>
      <w:r w:rsidRPr="003D6709">
        <w:t xml:space="preserve">therefore </w:t>
      </w:r>
      <w:r w:rsidR="00957C88" w:rsidRPr="003D6709">
        <w:t>the</w:t>
      </w:r>
      <w:r w:rsidR="00162C2B" w:rsidRPr="003D6709">
        <w:t xml:space="preserve"> assumed market share of 10% may be an underestimate</w:t>
      </w:r>
      <w:r w:rsidR="00957C88" w:rsidRPr="003D6709">
        <w:t>.</w:t>
      </w:r>
      <w:r w:rsidR="001109EE" w:rsidRPr="003D6709">
        <w:t xml:space="preserve"> </w:t>
      </w:r>
      <w:r w:rsidR="00D61957" w:rsidRPr="003D6709">
        <w:t xml:space="preserve">The </w:t>
      </w:r>
      <w:r w:rsidR="00DD5D66" w:rsidRPr="003D6709">
        <w:t>p</w:t>
      </w:r>
      <w:r w:rsidR="00D61957" w:rsidRPr="003D6709">
        <w:t xml:space="preserve">re-PBAC response added that the assumed market share of 10% was based on current PBS utilisation data, and agreed that it may be an underestimate since venetoclax plus rituximab was only PBS-listed on 1 March 2019. </w:t>
      </w:r>
    </w:p>
    <w:p w:rsidR="001109EE" w:rsidRPr="003D6709" w:rsidRDefault="00162C2B" w:rsidP="00AD6416">
      <w:pPr>
        <w:pStyle w:val="ListParagraph"/>
        <w:numPr>
          <w:ilvl w:val="0"/>
          <w:numId w:val="16"/>
        </w:numPr>
        <w:spacing w:after="120"/>
      </w:pPr>
      <w:r w:rsidRPr="003D6709">
        <w:t>There may be</w:t>
      </w:r>
      <w:r w:rsidR="001109EE" w:rsidRPr="003D6709">
        <w:t xml:space="preserve"> </w:t>
      </w:r>
      <w:r w:rsidR="003A0C4A" w:rsidRPr="003D6709">
        <w:t xml:space="preserve">a small </w:t>
      </w:r>
      <w:r w:rsidR="001109EE" w:rsidRPr="003D6709">
        <w:t>potential for use of acalabrutinib in combination with other agents, such</w:t>
      </w:r>
      <w:r w:rsidR="00ED53D3" w:rsidRPr="003D6709">
        <w:t xml:space="preserve"> as</w:t>
      </w:r>
      <w:r w:rsidR="001109EE" w:rsidRPr="003D6709">
        <w:t xml:space="preserve"> CD20 antagonists</w:t>
      </w:r>
      <w:r w:rsidRPr="003D6709">
        <w:t xml:space="preserve"> (</w:t>
      </w:r>
      <w:r w:rsidR="00AC012E" w:rsidRPr="003D6709">
        <w:t xml:space="preserve">i.e. </w:t>
      </w:r>
      <w:r w:rsidRPr="003D6709">
        <w:t>outside of the proposed restriction)</w:t>
      </w:r>
      <w:r w:rsidR="00560F1F" w:rsidRPr="003D6709">
        <w:t>, or in the first-line setting</w:t>
      </w:r>
      <w:r w:rsidR="001109EE" w:rsidRPr="003D6709">
        <w:t>.</w:t>
      </w:r>
    </w:p>
    <w:p w:rsidR="00697567" w:rsidRPr="003D6709" w:rsidRDefault="00697567" w:rsidP="00697567">
      <w:pPr>
        <w:pStyle w:val="ExecSumBodyText"/>
      </w:pPr>
      <w:r w:rsidRPr="003D6709">
        <w:t xml:space="preserve">The submission estimated that there would be approximately </w:t>
      </w:r>
      <w:r w:rsidR="005207C3">
        <w:t>&lt;</w:t>
      </w:r>
      <w:r w:rsidR="00DA41E5">
        <w:t> </w:t>
      </w:r>
      <w:r w:rsidR="005207C3">
        <w:t>500</w:t>
      </w:r>
      <w:r w:rsidRPr="003D6709">
        <w:t xml:space="preserve"> grandfathered patients at the time of listing</w:t>
      </w:r>
      <w:r w:rsidR="003115C8" w:rsidRPr="003D6709">
        <w:t>. The submission inappropriately did not include these patients</w:t>
      </w:r>
      <w:r w:rsidRPr="003D6709">
        <w:t xml:space="preserve"> in the budget impact estimates.</w:t>
      </w:r>
    </w:p>
    <w:p w:rsidR="00AC012E" w:rsidRPr="003D6709" w:rsidRDefault="00AC012E" w:rsidP="00AC012E">
      <w:pPr>
        <w:pStyle w:val="ExecSumBodyText"/>
      </w:pPr>
      <w:r w:rsidRPr="003D6709">
        <w:lastRenderedPageBreak/>
        <w:t xml:space="preserve">The submission noted that </w:t>
      </w:r>
      <w:r w:rsidR="009A0517" w:rsidRPr="003D6709">
        <w:t>R/R</w:t>
      </w:r>
      <w:r w:rsidRPr="003D6709">
        <w:t xml:space="preserve"> </w:t>
      </w:r>
      <w:r w:rsidR="00EC4B2B" w:rsidRPr="003D6709">
        <w:t>CLL/SLL</w:t>
      </w:r>
      <w:r w:rsidRPr="003D6709">
        <w:t xml:space="preserve"> patients currently undergo testing for 17p deletion via FISH (MBS item 73343) to assess eligibility for </w:t>
      </w:r>
      <w:r w:rsidR="00697567" w:rsidRPr="003D6709">
        <w:t xml:space="preserve">treatment with </w:t>
      </w:r>
      <w:r w:rsidRPr="003D6709">
        <w:t xml:space="preserve">ibrutinib, and argued that no net change in utilisation/cost of MBS item 73343 is expected with acalabrutinib listing. </w:t>
      </w:r>
    </w:p>
    <w:p w:rsidR="00576972" w:rsidRPr="003D6709" w:rsidRDefault="00576972" w:rsidP="00606FBA">
      <w:pPr>
        <w:pStyle w:val="3-SubsectionHeading"/>
      </w:pPr>
      <w:bookmarkStart w:id="48" w:name="_Toc22897649"/>
      <w:bookmarkStart w:id="49" w:name="_Toc30588530"/>
      <w:r w:rsidRPr="003D6709">
        <w:t>Financial Management – Risk Sharing Arrangements</w:t>
      </w:r>
      <w:bookmarkEnd w:id="48"/>
      <w:bookmarkEnd w:id="49"/>
    </w:p>
    <w:p w:rsidR="00576972" w:rsidRPr="003D6709" w:rsidRDefault="001B2AFD" w:rsidP="00076B24">
      <w:pPr>
        <w:pStyle w:val="ExecSumBodyText"/>
      </w:pPr>
      <w:r w:rsidRPr="003D6709">
        <w:t xml:space="preserve">No risk sharing arrangements </w:t>
      </w:r>
      <w:r w:rsidR="00B96B5F" w:rsidRPr="003D6709">
        <w:t xml:space="preserve">(RSA) are </w:t>
      </w:r>
      <w:r w:rsidRPr="003D6709">
        <w:t>proposed in the submission.</w:t>
      </w:r>
    </w:p>
    <w:p w:rsidR="009F5238" w:rsidRPr="003D6709" w:rsidRDefault="009F5238" w:rsidP="00076B24">
      <w:pPr>
        <w:pStyle w:val="ExecSumBodyText"/>
      </w:pPr>
      <w:r w:rsidRPr="003D6709">
        <w:t>The PBAC considered that it would be appropriate for acalabrutinib to join the current RSA for RR CLL/SLL.</w:t>
      </w:r>
    </w:p>
    <w:p w:rsidR="009E5F0F" w:rsidRPr="003D6709" w:rsidRDefault="009E5F0F" w:rsidP="009E5F0F">
      <w:pPr>
        <w:pStyle w:val="ExecSumBodyText"/>
        <w:numPr>
          <w:ilvl w:val="0"/>
          <w:numId w:val="0"/>
        </w:numPr>
        <w:ind w:left="720"/>
      </w:pPr>
      <w:r w:rsidRPr="003D6709">
        <w:rPr>
          <w:i/>
        </w:rPr>
        <w:t>For more detail on PBAC’s view, see section 7 PBAC outcome.</w:t>
      </w:r>
    </w:p>
    <w:p w:rsidR="006C155C" w:rsidRPr="003D6709" w:rsidRDefault="006C155C" w:rsidP="006C155C">
      <w:pPr>
        <w:pStyle w:val="2-SectionHeading"/>
      </w:pPr>
      <w:r w:rsidRPr="003D6709">
        <w:t>PBAC Outcome</w:t>
      </w:r>
    </w:p>
    <w:p w:rsidR="00EE4E35" w:rsidRPr="003D6709" w:rsidRDefault="006C155C" w:rsidP="009F5238">
      <w:pPr>
        <w:pStyle w:val="ExecSumBodyText"/>
      </w:pPr>
      <w:r w:rsidRPr="003D6709">
        <w:t xml:space="preserve">The PBAC recommended the </w:t>
      </w:r>
      <w:r w:rsidR="00B35885" w:rsidRPr="003D6709">
        <w:t xml:space="preserve">Authority </w:t>
      </w:r>
      <w:proofErr w:type="gramStart"/>
      <w:r w:rsidR="00B35885" w:rsidRPr="003D6709">
        <w:t>Required</w:t>
      </w:r>
      <w:proofErr w:type="gramEnd"/>
      <w:r w:rsidR="00B35885" w:rsidRPr="003D6709">
        <w:t xml:space="preserve"> </w:t>
      </w:r>
      <w:r w:rsidRPr="003D6709">
        <w:t xml:space="preserve">listing of </w:t>
      </w:r>
      <w:r w:rsidR="00FF100A" w:rsidRPr="003D6709">
        <w:t>acalabrutinib</w:t>
      </w:r>
      <w:r w:rsidR="00F26A5F" w:rsidRPr="003D6709">
        <w:t>,</w:t>
      </w:r>
      <w:r w:rsidR="00B35885" w:rsidRPr="003D6709">
        <w:t xml:space="preserve"> </w:t>
      </w:r>
      <w:r w:rsidR="00FF100A" w:rsidRPr="003D6709">
        <w:t xml:space="preserve">for the treatment of patients with relapsed or refractory </w:t>
      </w:r>
      <w:r w:rsidR="00D66358" w:rsidRPr="003D6709">
        <w:t xml:space="preserve">(R/R) </w:t>
      </w:r>
      <w:r w:rsidR="00FF100A" w:rsidRPr="003D6709">
        <w:t>chronic lymphocytic leukaemia (CLL)/small lymphocytic leukaemia (SLL) considered unsuitable for treatment or retreatment with a purine analogue</w:t>
      </w:r>
      <w:r w:rsidR="00F26A5F" w:rsidRPr="003D6709">
        <w:t>.</w:t>
      </w:r>
      <w:r w:rsidRPr="003D6709">
        <w:t xml:space="preserve"> </w:t>
      </w:r>
      <w:r w:rsidR="0066334A" w:rsidRPr="003D6709">
        <w:t xml:space="preserve">The PBAC recommended listing </w:t>
      </w:r>
      <w:r w:rsidR="00DA7159" w:rsidRPr="003D6709">
        <w:t>on</w:t>
      </w:r>
      <w:r w:rsidR="0066334A" w:rsidRPr="003D6709">
        <w:t xml:space="preserve"> a cost-minimisation </w:t>
      </w:r>
      <w:r w:rsidR="00DA7159" w:rsidRPr="003D6709">
        <w:t>basis to</w:t>
      </w:r>
      <w:r w:rsidR="0066334A" w:rsidRPr="003D6709">
        <w:t xml:space="preserve"> ibrutinib</w:t>
      </w:r>
      <w:r w:rsidR="00DA7159" w:rsidRPr="003D6709">
        <w:t>,</w:t>
      </w:r>
      <w:r w:rsidR="0066334A" w:rsidRPr="003D6709">
        <w:t xml:space="preserve"> </w:t>
      </w:r>
      <w:r w:rsidR="00DA7159" w:rsidRPr="003D6709">
        <w:t>with</w:t>
      </w:r>
      <w:r w:rsidR="0066334A" w:rsidRPr="003D6709">
        <w:t xml:space="preserve"> equivalent </w:t>
      </w:r>
      <w:r w:rsidR="00DA7159" w:rsidRPr="003D6709">
        <w:t>treatment duration</w:t>
      </w:r>
      <w:r w:rsidR="00992148" w:rsidRPr="003D6709">
        <w:t>;</w:t>
      </w:r>
      <w:r w:rsidR="00CF0CF4" w:rsidRPr="003D6709">
        <w:t xml:space="preserve"> </w:t>
      </w:r>
      <w:r w:rsidR="00453303" w:rsidRPr="003D6709">
        <w:t>however</w:t>
      </w:r>
      <w:r w:rsidR="00992148" w:rsidRPr="003D6709">
        <w:t>,</w:t>
      </w:r>
      <w:r w:rsidR="00453303" w:rsidRPr="003D6709">
        <w:t xml:space="preserve"> it did not accept the proposed</w:t>
      </w:r>
      <w:r w:rsidR="00CF0CF4" w:rsidRPr="003D6709">
        <w:t xml:space="preserve"> adverse event cost offsets. The PBAC recommended acalabrutinib be </w:t>
      </w:r>
      <w:r w:rsidR="0066334A" w:rsidRPr="003D6709">
        <w:t>i</w:t>
      </w:r>
      <w:r w:rsidR="00CF0CF4" w:rsidRPr="003D6709">
        <w:t>n</w:t>
      </w:r>
      <w:r w:rsidR="0066334A" w:rsidRPr="003D6709">
        <w:t>clu</w:t>
      </w:r>
      <w:r w:rsidR="00CF0CF4" w:rsidRPr="003D6709">
        <w:t>ded</w:t>
      </w:r>
      <w:r w:rsidR="0066334A" w:rsidRPr="003D6709">
        <w:t xml:space="preserve"> in the existing risk</w:t>
      </w:r>
      <w:r w:rsidR="00BA6ADA" w:rsidRPr="003D6709">
        <w:t xml:space="preserve"> </w:t>
      </w:r>
      <w:r w:rsidR="0066334A" w:rsidRPr="003D6709">
        <w:t xml:space="preserve">sharing agreement (RSA) for </w:t>
      </w:r>
      <w:r w:rsidR="00CF0CF4" w:rsidRPr="003D6709">
        <w:t>R/R CLL/SLL,</w:t>
      </w:r>
      <w:r w:rsidR="0066334A" w:rsidRPr="003D6709">
        <w:t xml:space="preserve"> with no change to the annual expenditure caps. </w:t>
      </w:r>
    </w:p>
    <w:p w:rsidR="00D00A1F" w:rsidRPr="003D6709" w:rsidRDefault="00D00A1F" w:rsidP="00D00A1F">
      <w:pPr>
        <w:pStyle w:val="ExecSumBodyText"/>
      </w:pPr>
      <w:r w:rsidRPr="003D6709">
        <w:t xml:space="preserve">The PBAC noted that the requested restriction was based on the current listing for ibrutinib in R/R CLL/SLL and the inclusion criteria in the key acalabrutinib trial. The PBAC considered that the acalabrutinib listing should align with the current PBS listing for ibrutinib in terms of: </w:t>
      </w:r>
    </w:p>
    <w:p w:rsidR="00D00A1F" w:rsidRPr="003D6709" w:rsidRDefault="00D00A1F" w:rsidP="00D00A1F">
      <w:pPr>
        <w:pStyle w:val="ExecSumBodyText"/>
        <w:numPr>
          <w:ilvl w:val="1"/>
          <w:numId w:val="23"/>
        </w:numPr>
        <w:ind w:left="1077" w:hanging="357"/>
      </w:pPr>
      <w:r w:rsidRPr="003D6709">
        <w:t>the authority level, i.e. Authority Required (Telephone) for both initial and continuing restrictions;</w:t>
      </w:r>
    </w:p>
    <w:p w:rsidR="00D00A1F" w:rsidRPr="003D6709" w:rsidRDefault="00992148" w:rsidP="00D00A1F">
      <w:pPr>
        <w:pStyle w:val="ExecSumBodyText"/>
        <w:numPr>
          <w:ilvl w:val="1"/>
          <w:numId w:val="23"/>
        </w:numPr>
        <w:ind w:left="1077" w:hanging="357"/>
      </w:pPr>
      <w:proofErr w:type="gramStart"/>
      <w:r w:rsidRPr="003D6709">
        <w:t>t</w:t>
      </w:r>
      <w:r w:rsidR="00D00A1F" w:rsidRPr="003D6709">
        <w:t>he</w:t>
      </w:r>
      <w:proofErr w:type="gramEnd"/>
      <w:r w:rsidR="00D00A1F" w:rsidRPr="003D6709">
        <w:t xml:space="preserve"> WHO performance status. The proposed restriction, like the key acalabrutinib trial, requested patients have a WHO status of </w:t>
      </w:r>
      <w:r w:rsidR="00D00A1F" w:rsidRPr="003D6709">
        <w:rPr>
          <w:rFonts w:cstheme="minorHAnsi"/>
        </w:rPr>
        <w:t>≤</w:t>
      </w:r>
      <w:r w:rsidR="00D00A1F" w:rsidRPr="003D6709">
        <w:t xml:space="preserve"> 2 at initiation</w:t>
      </w:r>
      <w:r w:rsidR="004B2EB5" w:rsidRPr="003D6709">
        <w:t xml:space="preserve"> (less than 14% of patients in the ASCEND trial had a WHO performance status of 2)</w:t>
      </w:r>
      <w:r w:rsidR="00D00A1F" w:rsidRPr="003D6709">
        <w:t xml:space="preserve">; however, the current ibrutinib restriction requires a WHO status of </w:t>
      </w:r>
      <w:r w:rsidR="00D00A1F" w:rsidRPr="003D6709">
        <w:rPr>
          <w:rFonts w:cstheme="minorHAnsi"/>
        </w:rPr>
        <w:t>≤</w:t>
      </w:r>
      <w:r w:rsidR="00D00A1F" w:rsidRPr="003D6709">
        <w:t xml:space="preserve"> 1; and</w:t>
      </w:r>
    </w:p>
    <w:p w:rsidR="00D00A1F" w:rsidRPr="003D6709" w:rsidRDefault="00D00A1F" w:rsidP="00D00A1F">
      <w:pPr>
        <w:pStyle w:val="ExecSumBodyText"/>
        <w:numPr>
          <w:ilvl w:val="1"/>
          <w:numId w:val="23"/>
        </w:numPr>
        <w:ind w:left="1077" w:hanging="357"/>
      </w:pPr>
      <w:proofErr w:type="gramStart"/>
      <w:r w:rsidRPr="003D6709">
        <w:t>include</w:t>
      </w:r>
      <w:proofErr w:type="gramEnd"/>
      <w:r w:rsidRPr="003D6709">
        <w:t xml:space="preserve"> a grandfathering restriction.</w:t>
      </w:r>
    </w:p>
    <w:p w:rsidR="00D00A1F" w:rsidRPr="003D6709" w:rsidRDefault="00D00A1F" w:rsidP="00D00A1F">
      <w:pPr>
        <w:pStyle w:val="ExecSumBodyText"/>
      </w:pPr>
      <w:r w:rsidRPr="003D6709">
        <w:t xml:space="preserve">The PBAC </w:t>
      </w:r>
      <w:r w:rsidR="000D0552" w:rsidRPr="003D6709">
        <w:t>noted</w:t>
      </w:r>
      <w:r w:rsidRPr="003D6709">
        <w:t xml:space="preserve"> </w:t>
      </w:r>
      <w:r w:rsidR="000D0552" w:rsidRPr="003D6709">
        <w:t>that acalabrutinib was a</w:t>
      </w:r>
      <w:r w:rsidRPr="003D6709">
        <w:t xml:space="preserve"> more selective</w:t>
      </w:r>
      <w:r w:rsidR="000D0552" w:rsidRPr="003D6709">
        <w:t xml:space="preserve"> inhibitor of </w:t>
      </w:r>
      <w:proofErr w:type="spellStart"/>
      <w:r w:rsidR="000D0552" w:rsidRPr="003D6709">
        <w:t>Bruton’s</w:t>
      </w:r>
      <w:proofErr w:type="spellEnd"/>
      <w:r w:rsidR="000D0552" w:rsidRPr="003D6709">
        <w:t xml:space="preserve"> tyrosine kinase (BTK) than ibrutinib and this </w:t>
      </w:r>
      <w:r w:rsidR="00A349C1" w:rsidRPr="003D6709">
        <w:t xml:space="preserve">may </w:t>
      </w:r>
      <w:r w:rsidR="000D0552" w:rsidRPr="003D6709">
        <w:t xml:space="preserve">mean a lower incidence of </w:t>
      </w:r>
      <w:r w:rsidR="0009027C" w:rsidRPr="003D6709">
        <w:t xml:space="preserve">some adverse events (e.g. </w:t>
      </w:r>
      <w:r w:rsidR="000D0552" w:rsidRPr="003D6709">
        <w:t>haemorrhage and atrial fibrillation</w:t>
      </w:r>
      <w:r w:rsidR="0009027C" w:rsidRPr="003D6709">
        <w:t>)</w:t>
      </w:r>
      <w:r w:rsidR="00F23072" w:rsidRPr="003D6709">
        <w:t xml:space="preserve"> for some patients</w:t>
      </w:r>
      <w:r w:rsidR="000D0552" w:rsidRPr="003D6709">
        <w:t>. Thus, the PBAC accepted the additional clinical criteria in the proposed restriction that allowed patients to have received a prior BTK inhibitor</w:t>
      </w:r>
      <w:r w:rsidRPr="003D6709">
        <w:t xml:space="preserve"> </w:t>
      </w:r>
      <w:r w:rsidR="000D0552" w:rsidRPr="003D6709">
        <w:t xml:space="preserve">if they </w:t>
      </w:r>
      <w:r w:rsidRPr="003D6709">
        <w:t>have developed intolerance of a severity necessitating permanent treatment withdrawal</w:t>
      </w:r>
      <w:r w:rsidR="004B2EB5" w:rsidRPr="003D6709">
        <w:t xml:space="preserve"> in the </w:t>
      </w:r>
      <w:r w:rsidR="003D2896" w:rsidRPr="003D6709">
        <w:t>R/R CLL/SLL</w:t>
      </w:r>
      <w:r w:rsidR="004B2EB5" w:rsidRPr="003D6709">
        <w:t xml:space="preserve"> setting</w:t>
      </w:r>
      <w:r w:rsidR="000D0552" w:rsidRPr="003D6709">
        <w:t>.</w:t>
      </w:r>
      <w:r w:rsidR="0026523E" w:rsidRPr="003D6709">
        <w:t xml:space="preserve"> The PBAC noted flow-on restriction changes would be required for ibrutinib in the R/R CLL/SLL setting.</w:t>
      </w:r>
      <w:r w:rsidRPr="003D6709">
        <w:t xml:space="preserve"> </w:t>
      </w:r>
    </w:p>
    <w:p w:rsidR="006D6E31" w:rsidRPr="003D6709" w:rsidRDefault="006D6E31" w:rsidP="009F5238">
      <w:pPr>
        <w:pStyle w:val="ExecSumBodyText"/>
      </w:pPr>
      <w:r w:rsidRPr="003D6709">
        <w:lastRenderedPageBreak/>
        <w:t xml:space="preserve">The PBAC noted that advice from the Medical Services Advisory Committee (MSAC) was still pending to include acalabrutinib on the existing MBS Item 73343 for the purpose of assessing PBS eligibility for acalabrutinib treatment. </w:t>
      </w:r>
    </w:p>
    <w:p w:rsidR="006D6E31" w:rsidRPr="003D6709" w:rsidRDefault="006D6E31" w:rsidP="009C3A0E">
      <w:pPr>
        <w:pStyle w:val="ExecSumBodyText"/>
      </w:pPr>
      <w:r w:rsidRPr="003D6709">
        <w:t xml:space="preserve">The PBAC considered that ibrutinib was the appropriate comparator. The PBAC agreed with the </w:t>
      </w:r>
      <w:r w:rsidRPr="003D6709">
        <w:rPr>
          <w:snapToGrid/>
        </w:rPr>
        <w:t>submission claim that acalabrutinib would provide an alternative treatment option for patients who are intolerant to ibrutinib and for patients considered unsuitable for ibrutinib due to safety concerns. However, it noted that the submission was not seeking listing for this population exclusively, but for the whole R/R CLL/SLL population.</w:t>
      </w:r>
      <w:r w:rsidRPr="003D6709">
        <w:t xml:space="preserve"> The PBAC also accepted venetoclax plus rituximab as an appropriate supplementary comparator.</w:t>
      </w:r>
      <w:r w:rsidR="0065147C" w:rsidRPr="003D6709">
        <w:t xml:space="preserve"> However, venetoclax would likely be displace</w:t>
      </w:r>
      <w:r w:rsidR="00BE3B38" w:rsidRPr="003D6709">
        <w:t>d</w:t>
      </w:r>
      <w:r w:rsidR="000B1711" w:rsidRPr="003D6709">
        <w:t>,</w:t>
      </w:r>
      <w:r w:rsidR="0065147C" w:rsidRPr="003D6709">
        <w:t xml:space="preserve"> rather than replaced</w:t>
      </w:r>
      <w:r w:rsidR="000B1711" w:rsidRPr="003D6709">
        <w:t xml:space="preserve">, </w:t>
      </w:r>
      <w:r w:rsidR="0065147C" w:rsidRPr="003D6709">
        <w:t>by acalabrutinib</w:t>
      </w:r>
      <w:r w:rsidR="003D6709">
        <w:t xml:space="preserve">. </w:t>
      </w:r>
      <w:r w:rsidRPr="003D6709">
        <w:t xml:space="preserve">The PBAC did not consider idelalisib plus rituximab to be an appropriate comparator due to its higher toxicity and lower efficacy. </w:t>
      </w:r>
    </w:p>
    <w:p w:rsidR="006D6E31" w:rsidRPr="003D6709" w:rsidRDefault="00272701" w:rsidP="009C3A0E">
      <w:pPr>
        <w:pStyle w:val="ExecSumBodyText"/>
      </w:pPr>
      <w:r w:rsidRPr="003D6709">
        <w:t xml:space="preserve">The PBAC noted that no head-to-head trials comparing acalabrutinib with ibrutinib </w:t>
      </w:r>
      <w:r w:rsidR="004B57ED" w:rsidRPr="003D6709">
        <w:t>(</w:t>
      </w:r>
      <w:r w:rsidRPr="003D6709">
        <w:t xml:space="preserve">or </w:t>
      </w:r>
      <w:r w:rsidR="00CF0CF4" w:rsidRPr="003D6709">
        <w:t xml:space="preserve">with </w:t>
      </w:r>
      <w:r w:rsidRPr="003D6709">
        <w:t>venetoclax plus rituximab</w:t>
      </w:r>
      <w:r w:rsidR="004B57ED" w:rsidRPr="003D6709">
        <w:t>)</w:t>
      </w:r>
      <w:r w:rsidRPr="003D6709">
        <w:t xml:space="preserve"> were </w:t>
      </w:r>
      <w:r w:rsidR="00BB5051" w:rsidRPr="003D6709">
        <w:t>available</w:t>
      </w:r>
      <w:r w:rsidRPr="003D6709">
        <w:t xml:space="preserve">. </w:t>
      </w:r>
      <w:r w:rsidR="00BB5051" w:rsidRPr="003D6709">
        <w:t>T</w:t>
      </w:r>
      <w:r w:rsidR="002F7C70" w:rsidRPr="003D6709">
        <w:t xml:space="preserve">he submission presented </w:t>
      </w:r>
      <w:r w:rsidR="00085A31" w:rsidRPr="003D6709">
        <w:t xml:space="preserve">unanchored matching adjusted indirect comparisons (MAICs) and Bucher method indirect comparisons between acalabrutinib and ibrutinib </w:t>
      </w:r>
      <w:r w:rsidR="004B57ED" w:rsidRPr="003D6709">
        <w:t>(</w:t>
      </w:r>
      <w:r w:rsidR="00085A31" w:rsidRPr="003D6709">
        <w:t>and venetoclax plus rituximab</w:t>
      </w:r>
      <w:r w:rsidR="004B57ED" w:rsidRPr="003D6709">
        <w:t>)</w:t>
      </w:r>
      <w:r w:rsidR="005A0679" w:rsidRPr="003D6709">
        <w:t xml:space="preserve"> for efficacy and safety</w:t>
      </w:r>
      <w:r w:rsidR="00085A31" w:rsidRPr="003D6709">
        <w:t xml:space="preserve">. </w:t>
      </w:r>
    </w:p>
    <w:p w:rsidR="00085A31" w:rsidRPr="003D6709" w:rsidRDefault="00085A31" w:rsidP="002F7C70">
      <w:pPr>
        <w:pStyle w:val="ExecSumBodyText"/>
      </w:pPr>
      <w:r w:rsidRPr="003D6709">
        <w:t>The results from the MAIC demonstrated that acalabrutinib and ibrutinib were not statistically different in terms of progression free survival (HR = 0.72; 95% CI: 0.33, 1.60) or overall survival (HR = 0.92; 95% CI: 0.38, 2.27)</w:t>
      </w:r>
      <w:r w:rsidR="004B57ED" w:rsidRPr="003D6709">
        <w:t>. The PBAC considered that the results of the MAIC</w:t>
      </w:r>
      <w:r w:rsidR="005A0679" w:rsidRPr="003D6709">
        <w:t>s</w:t>
      </w:r>
      <w:r w:rsidR="004B57ED" w:rsidRPr="003D6709">
        <w:t xml:space="preserve"> </w:t>
      </w:r>
      <w:r w:rsidR="00C208D0" w:rsidRPr="003D6709">
        <w:t>were uncertain</w:t>
      </w:r>
      <w:r w:rsidR="004B57ED" w:rsidRPr="003D6709">
        <w:t xml:space="preserve"> due to the low effective sample size in the acalabrutinib arm after matching (N=44, reduced from 132), differences in the duration of follow-up between the trials and differences between the trials in eligibility criteria.</w:t>
      </w:r>
    </w:p>
    <w:p w:rsidR="004B57ED" w:rsidRPr="003D6709" w:rsidRDefault="004B57ED" w:rsidP="002F7C70">
      <w:pPr>
        <w:pStyle w:val="ExecSumBodyText"/>
      </w:pPr>
      <w:r w:rsidRPr="003D6709">
        <w:t xml:space="preserve">The results of the indirect comparison between acalabrutinib and ibrutinib </w:t>
      </w:r>
      <w:r w:rsidR="0037082D" w:rsidRPr="003D6709">
        <w:t xml:space="preserve">using the Bucher method </w:t>
      </w:r>
      <w:r w:rsidRPr="003D6709">
        <w:t>demonstrated no statistically significant differences in terms of progression free survival (HR = 1.53; 95% CI: 0.89, 2.63) and overall survival (HR = 1.34; 95% CI: 0.58, 3.11)</w:t>
      </w:r>
      <w:r w:rsidR="005A0679" w:rsidRPr="003D6709">
        <w:t xml:space="preserve">. The PBAC considered that the results of the indirect comparisons </w:t>
      </w:r>
      <w:r w:rsidR="00C208D0" w:rsidRPr="003D6709">
        <w:t>were uncertain</w:t>
      </w:r>
      <w:r w:rsidR="005A0679" w:rsidRPr="003D6709">
        <w:t xml:space="preserve"> due to differences in the trial populations, study design, common reference arms and event rates.</w:t>
      </w:r>
    </w:p>
    <w:p w:rsidR="005A0679" w:rsidRPr="003D6709" w:rsidRDefault="005A0679" w:rsidP="002F7C70">
      <w:pPr>
        <w:pStyle w:val="ExecSumBodyText"/>
      </w:pPr>
      <w:r w:rsidRPr="003D6709">
        <w:t xml:space="preserve">Overall, </w:t>
      </w:r>
      <w:r w:rsidR="00DD6184" w:rsidRPr="003D6709">
        <w:t xml:space="preserve">the PBAC accepted the evidence, while uncertain, supported a claim of non-inferior comparative effectiveness </w:t>
      </w:r>
      <w:r w:rsidRPr="003D6709">
        <w:t>compared to ibrutinib</w:t>
      </w:r>
      <w:r w:rsidR="002B1B85" w:rsidRPr="003D6709">
        <w:t>.</w:t>
      </w:r>
    </w:p>
    <w:p w:rsidR="005A0679" w:rsidRPr="003D6709" w:rsidRDefault="00B02D14" w:rsidP="002F7C70">
      <w:pPr>
        <w:pStyle w:val="ExecSumBodyText"/>
      </w:pPr>
      <w:r w:rsidRPr="003D6709">
        <w:t xml:space="preserve">The PBAC considered the safety of acalabrutinib to be difficult to determine due to </w:t>
      </w:r>
      <w:r w:rsidRPr="003D6709">
        <w:rPr>
          <w:snapToGrid/>
        </w:rPr>
        <w:t xml:space="preserve">inadequate justification for the application of the MAIC methodology to specific adverse events, the low effective sample size for acalabrutinib, and differences in the duration of follow-up between the trials. However, </w:t>
      </w:r>
      <w:r w:rsidR="00CF0CF4" w:rsidRPr="003D6709">
        <w:rPr>
          <w:snapToGrid/>
        </w:rPr>
        <w:t xml:space="preserve">overall, </w:t>
      </w:r>
      <w:r w:rsidRPr="003D6709">
        <w:rPr>
          <w:snapToGrid/>
        </w:rPr>
        <w:t>t</w:t>
      </w:r>
      <w:r w:rsidRPr="003D6709">
        <w:t xml:space="preserve">he PBAC considered that the safety of </w:t>
      </w:r>
      <w:r w:rsidR="00185477" w:rsidRPr="003D6709">
        <w:t xml:space="preserve">acalabrutinib </w:t>
      </w:r>
      <w:r w:rsidRPr="003D6709">
        <w:t xml:space="preserve">is likely to be </w:t>
      </w:r>
      <w:r w:rsidR="00B26169" w:rsidRPr="003D6709">
        <w:t>non-inferior to</w:t>
      </w:r>
      <w:r w:rsidRPr="003D6709">
        <w:t xml:space="preserve"> ibrutinib, and that acalabrutinib appears likely to be safe to use after treatment with ibrutinib, which is important for the population of patients that would benefit from acalabrutinib after ceasing ibrutinib due to intolerability.</w:t>
      </w:r>
    </w:p>
    <w:p w:rsidR="001D1BF8" w:rsidRPr="003D6709" w:rsidRDefault="00B02D14" w:rsidP="00F26A5F">
      <w:pPr>
        <w:pStyle w:val="ExecSumBodyText"/>
      </w:pPr>
      <w:r w:rsidRPr="003D6709">
        <w:lastRenderedPageBreak/>
        <w:t xml:space="preserve">The PBAC noted that the submission presented a cost-minimisation analysis between acalabrutinib and ibrutinib and considered that this was appropriate. </w:t>
      </w:r>
      <w:r w:rsidR="001D1BF8" w:rsidRPr="003D6709">
        <w:t>The PBAC considered that the cost-minimisation analysis should:</w:t>
      </w:r>
    </w:p>
    <w:p w:rsidR="001D1BF8" w:rsidRPr="003D6709" w:rsidRDefault="001D1BF8" w:rsidP="001D1BF8">
      <w:pPr>
        <w:pStyle w:val="ExecSumBodyText"/>
        <w:numPr>
          <w:ilvl w:val="1"/>
          <w:numId w:val="22"/>
        </w:numPr>
        <w:ind w:left="1077" w:hanging="357"/>
      </w:pPr>
      <w:proofErr w:type="gramStart"/>
      <w:r w:rsidRPr="003D6709">
        <w:t>adopt</w:t>
      </w:r>
      <w:proofErr w:type="gramEnd"/>
      <w:r w:rsidRPr="003D6709">
        <w:t xml:space="preserve"> the same approach taken for the November 2018 venetoclax cost-minimisation with ibrutinib. The duration of treatment for acalabrutinib should equal that which was accepted for ibrutinib at the time of its PBS listing; and</w:t>
      </w:r>
    </w:p>
    <w:p w:rsidR="001D1BF8" w:rsidRPr="003D6709" w:rsidRDefault="001D1BF8" w:rsidP="001D1BF8">
      <w:pPr>
        <w:pStyle w:val="ExecSumBodyText"/>
        <w:numPr>
          <w:ilvl w:val="1"/>
          <w:numId w:val="22"/>
        </w:numPr>
        <w:ind w:left="1077" w:hanging="357"/>
      </w:pPr>
      <w:r w:rsidRPr="003D6709">
        <w:t xml:space="preserve">not include adverse events costs </w:t>
      </w:r>
      <w:r w:rsidR="0009027C" w:rsidRPr="003D6709">
        <w:t xml:space="preserve">due to the </w:t>
      </w:r>
      <w:r w:rsidR="005F66C1" w:rsidRPr="003D6709">
        <w:t xml:space="preserve">unreliability </w:t>
      </w:r>
      <w:r w:rsidR="0009027C" w:rsidRPr="003D6709">
        <w:t xml:space="preserve"> </w:t>
      </w:r>
      <w:r w:rsidR="005F66C1" w:rsidRPr="003D6709">
        <w:t xml:space="preserve">of the data presented in the </w:t>
      </w:r>
      <w:r w:rsidR="0009027C" w:rsidRPr="003D6709">
        <w:t>MAIC</w:t>
      </w:r>
      <w:r w:rsidRPr="003D6709">
        <w:t xml:space="preserve"> </w:t>
      </w:r>
    </w:p>
    <w:p w:rsidR="006D78F5" w:rsidRPr="003D6709" w:rsidRDefault="006D78F5" w:rsidP="0037082D">
      <w:pPr>
        <w:pStyle w:val="ExecSumBodyText"/>
        <w:numPr>
          <w:ilvl w:val="1"/>
          <w:numId w:val="22"/>
        </w:numPr>
        <w:ind w:left="1134" w:hanging="425"/>
      </w:pPr>
      <w:r w:rsidRPr="003D6709">
        <w:t xml:space="preserve">The PBAC considered that the </w:t>
      </w:r>
      <w:proofErr w:type="spellStart"/>
      <w:r w:rsidRPr="003D6709">
        <w:t>equi</w:t>
      </w:r>
      <w:proofErr w:type="spellEnd"/>
      <w:r w:rsidRPr="003D6709">
        <w:t>-effective doses were:</w:t>
      </w:r>
    </w:p>
    <w:p w:rsidR="006D78F5" w:rsidRPr="003D6709" w:rsidRDefault="006D78F5" w:rsidP="006D78F5">
      <w:pPr>
        <w:pStyle w:val="ExecSumBodyText"/>
        <w:numPr>
          <w:ilvl w:val="0"/>
          <w:numId w:val="0"/>
        </w:numPr>
        <w:ind w:left="1440"/>
      </w:pPr>
      <w:r w:rsidRPr="003D6709">
        <w:t xml:space="preserve">Acalabrutinib 100 mg twice daily = Ibrutinib 420 mg once daily </w:t>
      </w:r>
    </w:p>
    <w:p w:rsidR="00556FC2" w:rsidRPr="003D6709" w:rsidRDefault="00556FC2" w:rsidP="001D1BF8">
      <w:pPr>
        <w:pStyle w:val="ExecSumBodyText"/>
      </w:pPr>
      <w:r w:rsidRPr="003D6709">
        <w:t>In terms of the estimated financial impact, the PBAC considered that acalabrutinib would essentially be cost-neutral to ibrutinib. The PBAC considered that the estimated rate of uptake was highly uncertain.</w:t>
      </w:r>
    </w:p>
    <w:p w:rsidR="00D66358" w:rsidRPr="003D6709" w:rsidRDefault="00D66358" w:rsidP="00F26A5F">
      <w:pPr>
        <w:pStyle w:val="ExecSumBodyText"/>
      </w:pPr>
      <w:r w:rsidRPr="003D6709">
        <w:t>The PBAC noted th</w:t>
      </w:r>
      <w:r w:rsidR="00556FC2" w:rsidRPr="003D6709">
        <w:t xml:space="preserve">at a two tier </w:t>
      </w:r>
      <w:r w:rsidRPr="003D6709">
        <w:t xml:space="preserve">RSA </w:t>
      </w:r>
      <w:r w:rsidR="000462F3" w:rsidRPr="003D6709">
        <w:t xml:space="preserve">is </w:t>
      </w:r>
      <w:r w:rsidRPr="003D6709">
        <w:t xml:space="preserve">in place </w:t>
      </w:r>
      <w:r w:rsidR="00AF585F" w:rsidRPr="003D6709">
        <w:t xml:space="preserve">for </w:t>
      </w:r>
      <w:r w:rsidR="009A0517" w:rsidRPr="003D6709">
        <w:t>R/R</w:t>
      </w:r>
      <w:r w:rsidR="00AF585F" w:rsidRPr="003D6709">
        <w:t xml:space="preserve"> CLL/SLL</w:t>
      </w:r>
      <w:r w:rsidR="00556FC2" w:rsidRPr="003D6709">
        <w:t xml:space="preserve"> that </w:t>
      </w:r>
      <w:r w:rsidR="00AF585F" w:rsidRPr="003D6709">
        <w:t>encompasses both ibrutinib and venetoclax</w:t>
      </w:r>
      <w:r w:rsidR="00556FC2" w:rsidRPr="003D6709">
        <w:t xml:space="preserve">. The PBAC recommended that acalabrutinib join the current arrangement and considered that no changes to the subsidisation caps would be </w:t>
      </w:r>
      <w:r w:rsidR="008452BB">
        <w:t>appropriate</w:t>
      </w:r>
      <w:r w:rsidR="009A0517" w:rsidRPr="003D6709">
        <w:t xml:space="preserve">. </w:t>
      </w:r>
    </w:p>
    <w:p w:rsidR="000B1711" w:rsidRPr="003D6709" w:rsidRDefault="000B1711" w:rsidP="00F26A5F">
      <w:pPr>
        <w:pStyle w:val="ExecSumBodyText"/>
      </w:pPr>
      <w:r w:rsidRPr="003D6709">
        <w:t xml:space="preserve">The PBAC recommended that a grandfather listing be in operation for 12 months to transition the approximately </w:t>
      </w:r>
      <w:r w:rsidR="005207C3">
        <w:t>&lt;</w:t>
      </w:r>
      <w:r w:rsidR="00DA41E5">
        <w:t> </w:t>
      </w:r>
      <w:r w:rsidR="005207C3">
        <w:t>500</w:t>
      </w:r>
      <w:r w:rsidRPr="003D6709">
        <w:t xml:space="preserve"> patients who commenced on non-PBS subsidised acalabrutinib through a compassionate access program. </w:t>
      </w:r>
    </w:p>
    <w:p w:rsidR="006C155C" w:rsidRPr="003D6709" w:rsidRDefault="006C155C" w:rsidP="006C155C">
      <w:pPr>
        <w:pStyle w:val="ExecSumBodyText"/>
      </w:pPr>
      <w:r w:rsidRPr="003D6709">
        <w:t>The PBAC recommended that</w:t>
      </w:r>
      <w:r w:rsidR="00620A4C" w:rsidRPr="003D6709">
        <w:t xml:space="preserve"> under Section 101(3BA) of the </w:t>
      </w:r>
      <w:r w:rsidR="00620A4C" w:rsidRPr="003D6709">
        <w:rPr>
          <w:i/>
        </w:rPr>
        <w:t>National Health Act, 1953</w:t>
      </w:r>
      <w:r w:rsidR="00620A4C" w:rsidRPr="003D6709">
        <w:t xml:space="preserve"> that acalabrutinib </w:t>
      </w:r>
      <w:r w:rsidRPr="003D6709">
        <w:t xml:space="preserve">should be treated as interchangeable on an individual patient basis with </w:t>
      </w:r>
      <w:r w:rsidR="00620A4C" w:rsidRPr="003D6709">
        <w:t>ibrutinib</w:t>
      </w:r>
      <w:r w:rsidRPr="003D6709">
        <w:t xml:space="preserve">. </w:t>
      </w:r>
    </w:p>
    <w:p w:rsidR="006C155C" w:rsidRPr="003D6709" w:rsidRDefault="00620A4C" w:rsidP="006C155C">
      <w:pPr>
        <w:pStyle w:val="ExecSumBodyText"/>
      </w:pPr>
      <w:r w:rsidRPr="003D6709">
        <w:t>The PBAC advised that acalabrutinib</w:t>
      </w:r>
      <w:r w:rsidR="006C155C" w:rsidRPr="003D6709">
        <w:t xml:space="preserve"> is not suitable for prescribing by nurse practitioners</w:t>
      </w:r>
      <w:r w:rsidR="003D6709">
        <w:t xml:space="preserve">. </w:t>
      </w:r>
    </w:p>
    <w:p w:rsidR="006C155C" w:rsidRPr="003D6709" w:rsidRDefault="006C155C" w:rsidP="006C155C">
      <w:pPr>
        <w:pStyle w:val="ExecSumBodyText"/>
      </w:pPr>
      <w:r w:rsidRPr="003D6709">
        <w:t>The PBAC recommended th</w:t>
      </w:r>
      <w:r w:rsidR="00620A4C" w:rsidRPr="003D6709">
        <w:t>at the Early Supply Rule should</w:t>
      </w:r>
      <w:r w:rsidRPr="003D6709">
        <w:t xml:space="preserve"> apply</w:t>
      </w:r>
      <w:r w:rsidR="00620A4C" w:rsidRPr="003D6709">
        <w:t xml:space="preserve"> to be consistent with the listing for ibrutinib</w:t>
      </w:r>
      <w:r w:rsidRPr="003D6709">
        <w:t xml:space="preserve">. </w:t>
      </w:r>
    </w:p>
    <w:p w:rsidR="00866DAD" w:rsidRPr="003D6709" w:rsidRDefault="00866DAD" w:rsidP="00BB730E">
      <w:pPr>
        <w:pStyle w:val="ExecSumBodyText"/>
        <w:rPr>
          <w:bCs/>
          <w:i/>
        </w:rPr>
      </w:pPr>
      <w:r w:rsidRPr="003D6709">
        <w:t>The PBAC</w:t>
      </w:r>
      <w:r w:rsidR="00BB730E" w:rsidRPr="003D6709">
        <w:t xml:space="preserve">, noting that its recommendation was on a cost-minimisation basis, advised that as acalabrutinib was not expected to provide a substantial and clinically relevant improvement in efficacy or a reduction in toxicity over ibrutinib and not expected to address a high and urgent unmet clinical need, the criteria </w:t>
      </w:r>
      <w:r w:rsidRPr="003D6709">
        <w:t xml:space="preserve">prescribed by the </w:t>
      </w:r>
      <w:r w:rsidRPr="003D6709">
        <w:rPr>
          <w:i/>
        </w:rPr>
        <w:t>National Health (Pharmaceuticals and Vaccines – Cost Recovery) Regulations 2009</w:t>
      </w:r>
      <w:r w:rsidRPr="003D6709">
        <w:t xml:space="preserve"> for Pricing Pathway A were not met. </w:t>
      </w:r>
    </w:p>
    <w:p w:rsidR="006C155C" w:rsidRPr="003D6709" w:rsidRDefault="006C155C" w:rsidP="00620A4C">
      <w:pPr>
        <w:pStyle w:val="ExecSumBodyText"/>
        <w:rPr>
          <w:bCs/>
          <w:i/>
        </w:rPr>
      </w:pPr>
      <w:r w:rsidRPr="003D6709">
        <w:t xml:space="preserve">The PBAC noted that this submission is </w:t>
      </w:r>
      <w:r w:rsidR="00620A4C" w:rsidRPr="003D6709">
        <w:t xml:space="preserve">not </w:t>
      </w:r>
      <w:r w:rsidRPr="003D6709">
        <w:t>eligible for an Independent Review</w:t>
      </w:r>
      <w:r w:rsidR="00620A4C" w:rsidRPr="003D6709">
        <w:t xml:space="preserve"> since it received a positive recommendation</w:t>
      </w:r>
      <w:r w:rsidRPr="003D6709">
        <w:t xml:space="preserve">. </w:t>
      </w:r>
    </w:p>
    <w:p w:rsidR="006C155C" w:rsidRPr="003D6709" w:rsidRDefault="006C155C" w:rsidP="006C155C">
      <w:pPr>
        <w:spacing w:before="240"/>
        <w:rPr>
          <w:rFonts w:asciiTheme="minorHAnsi" w:hAnsiTheme="minorHAnsi"/>
          <w:b/>
          <w:bCs/>
          <w:snapToGrid w:val="0"/>
        </w:rPr>
      </w:pPr>
      <w:r w:rsidRPr="003D6709">
        <w:rPr>
          <w:rFonts w:asciiTheme="minorHAnsi" w:hAnsiTheme="minorHAnsi"/>
          <w:b/>
          <w:bCs/>
          <w:snapToGrid w:val="0"/>
        </w:rPr>
        <w:t>Outcome:</w:t>
      </w:r>
    </w:p>
    <w:p w:rsidR="006C155C" w:rsidRPr="006F4C55" w:rsidRDefault="006C155C" w:rsidP="006F4C55">
      <w:pPr>
        <w:rPr>
          <w:rFonts w:asciiTheme="minorHAnsi" w:hAnsiTheme="minorHAnsi"/>
          <w:bCs/>
          <w:snapToGrid w:val="0"/>
        </w:rPr>
      </w:pPr>
      <w:r w:rsidRPr="003D6709">
        <w:rPr>
          <w:rFonts w:asciiTheme="minorHAnsi" w:hAnsiTheme="minorHAnsi"/>
          <w:bCs/>
          <w:snapToGrid w:val="0"/>
        </w:rPr>
        <w:t xml:space="preserve">Recommended </w:t>
      </w:r>
    </w:p>
    <w:p w:rsidR="006C155C" w:rsidRPr="003D6709" w:rsidRDefault="006C155C" w:rsidP="006C155C">
      <w:pPr>
        <w:pStyle w:val="2-SectionHeading"/>
        <w:rPr>
          <w:i/>
        </w:rPr>
      </w:pPr>
      <w:r w:rsidRPr="003D6709">
        <w:lastRenderedPageBreak/>
        <w:t>Recommended listing</w:t>
      </w:r>
    </w:p>
    <w:p w:rsidR="008101AD" w:rsidRPr="003D6709" w:rsidRDefault="006C155C" w:rsidP="00E367EF">
      <w:pPr>
        <w:pStyle w:val="ExecSumBodyText"/>
        <w:rPr>
          <w:b/>
        </w:rPr>
      </w:pPr>
      <w:r w:rsidRPr="003D6709">
        <w:rPr>
          <w:bCs/>
        </w:rPr>
        <w:t>Add new item:</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720"/>
        <w:gridCol w:w="1290"/>
        <w:gridCol w:w="862"/>
        <w:gridCol w:w="859"/>
        <w:gridCol w:w="717"/>
        <w:gridCol w:w="1146"/>
        <w:gridCol w:w="1433"/>
      </w:tblGrid>
      <w:tr w:rsidR="008101AD" w:rsidRPr="003D6709" w:rsidTr="006F4C55">
        <w:trPr>
          <w:cantSplit/>
          <w:trHeight w:val="471"/>
        </w:trPr>
        <w:tc>
          <w:tcPr>
            <w:tcW w:w="1506" w:type="pct"/>
          </w:tcPr>
          <w:p w:rsidR="008101AD" w:rsidRPr="003D6709" w:rsidRDefault="008101AD" w:rsidP="008101AD">
            <w:pPr>
              <w:keepNext/>
              <w:ind w:left="-108"/>
              <w:rPr>
                <w:rFonts w:ascii="Arial Narrow" w:hAnsi="Arial Narrow"/>
                <w:b/>
                <w:sz w:val="18"/>
                <w:szCs w:val="18"/>
              </w:rPr>
            </w:pPr>
            <w:r w:rsidRPr="003D6709">
              <w:rPr>
                <w:rFonts w:ascii="Arial Narrow" w:hAnsi="Arial Narrow"/>
                <w:b/>
                <w:sz w:val="18"/>
                <w:szCs w:val="18"/>
              </w:rPr>
              <w:t>Name, Restriction,</w:t>
            </w:r>
          </w:p>
          <w:p w:rsidR="008101AD" w:rsidRPr="003D6709" w:rsidRDefault="008101AD" w:rsidP="008101AD">
            <w:pPr>
              <w:keepNext/>
              <w:ind w:left="-108"/>
              <w:rPr>
                <w:rFonts w:ascii="Arial Narrow" w:hAnsi="Arial Narrow"/>
                <w:b/>
                <w:sz w:val="18"/>
                <w:szCs w:val="18"/>
              </w:rPr>
            </w:pPr>
            <w:r w:rsidRPr="003D6709">
              <w:rPr>
                <w:rFonts w:ascii="Arial Narrow" w:hAnsi="Arial Narrow"/>
                <w:b/>
                <w:sz w:val="18"/>
                <w:szCs w:val="18"/>
              </w:rPr>
              <w:t>Manner of administration and form</w:t>
            </w:r>
          </w:p>
        </w:tc>
        <w:tc>
          <w:tcPr>
            <w:tcW w:w="714" w:type="pct"/>
          </w:tcPr>
          <w:p w:rsidR="008101AD" w:rsidRPr="003D6709" w:rsidRDefault="008101AD" w:rsidP="008101AD">
            <w:pPr>
              <w:keepNext/>
              <w:ind w:left="-108"/>
              <w:jc w:val="center"/>
              <w:rPr>
                <w:rFonts w:ascii="Arial Narrow" w:hAnsi="Arial Narrow"/>
                <w:b/>
                <w:sz w:val="18"/>
                <w:szCs w:val="18"/>
              </w:rPr>
            </w:pPr>
            <w:r w:rsidRPr="003D6709">
              <w:rPr>
                <w:rFonts w:ascii="Arial Narrow" w:hAnsi="Arial Narrow"/>
                <w:b/>
                <w:sz w:val="18"/>
                <w:szCs w:val="18"/>
              </w:rPr>
              <w:t>PBS item code</w:t>
            </w:r>
          </w:p>
        </w:tc>
        <w:tc>
          <w:tcPr>
            <w:tcW w:w="477" w:type="pct"/>
          </w:tcPr>
          <w:p w:rsidR="008101AD" w:rsidRPr="003D6709" w:rsidRDefault="008101AD" w:rsidP="008101AD">
            <w:pPr>
              <w:keepNext/>
              <w:ind w:left="-108"/>
              <w:jc w:val="center"/>
              <w:rPr>
                <w:rFonts w:ascii="Arial Narrow" w:hAnsi="Arial Narrow"/>
                <w:b/>
                <w:sz w:val="18"/>
                <w:szCs w:val="18"/>
              </w:rPr>
            </w:pPr>
            <w:r w:rsidRPr="003D6709">
              <w:rPr>
                <w:rFonts w:ascii="Arial Narrow" w:hAnsi="Arial Narrow"/>
                <w:b/>
                <w:sz w:val="18"/>
                <w:szCs w:val="18"/>
              </w:rPr>
              <w:t xml:space="preserve">Max. </w:t>
            </w:r>
            <w:proofErr w:type="spellStart"/>
            <w:r w:rsidRPr="003D6709">
              <w:rPr>
                <w:rFonts w:ascii="Arial Narrow" w:hAnsi="Arial Narrow"/>
                <w:b/>
                <w:sz w:val="18"/>
                <w:szCs w:val="18"/>
              </w:rPr>
              <w:t>qty</w:t>
            </w:r>
            <w:proofErr w:type="spellEnd"/>
            <w:r w:rsidRPr="003D6709">
              <w:rPr>
                <w:rFonts w:ascii="Arial Narrow" w:hAnsi="Arial Narrow"/>
                <w:b/>
                <w:sz w:val="18"/>
                <w:szCs w:val="18"/>
              </w:rPr>
              <w:t xml:space="preserve"> packs</w:t>
            </w:r>
          </w:p>
        </w:tc>
        <w:tc>
          <w:tcPr>
            <w:tcW w:w="476" w:type="pct"/>
          </w:tcPr>
          <w:p w:rsidR="008101AD" w:rsidRPr="003D6709" w:rsidRDefault="008101AD" w:rsidP="008101AD">
            <w:pPr>
              <w:keepNext/>
              <w:ind w:left="-108"/>
              <w:jc w:val="center"/>
              <w:rPr>
                <w:rFonts w:ascii="Arial Narrow" w:hAnsi="Arial Narrow"/>
                <w:b/>
                <w:sz w:val="18"/>
                <w:szCs w:val="18"/>
              </w:rPr>
            </w:pPr>
            <w:r w:rsidRPr="003D6709">
              <w:rPr>
                <w:rFonts w:ascii="Arial Narrow" w:hAnsi="Arial Narrow"/>
                <w:b/>
                <w:sz w:val="18"/>
                <w:szCs w:val="18"/>
              </w:rPr>
              <w:t xml:space="preserve">Max. </w:t>
            </w:r>
            <w:proofErr w:type="spellStart"/>
            <w:r w:rsidRPr="003D6709">
              <w:rPr>
                <w:rFonts w:ascii="Arial Narrow" w:hAnsi="Arial Narrow"/>
                <w:b/>
                <w:sz w:val="18"/>
                <w:szCs w:val="18"/>
              </w:rPr>
              <w:t>qty</w:t>
            </w:r>
            <w:proofErr w:type="spellEnd"/>
            <w:r w:rsidRPr="003D6709">
              <w:rPr>
                <w:rFonts w:ascii="Arial Narrow" w:hAnsi="Arial Narrow"/>
                <w:b/>
                <w:sz w:val="18"/>
                <w:szCs w:val="18"/>
              </w:rPr>
              <w:t xml:space="preserve"> units</w:t>
            </w:r>
          </w:p>
        </w:tc>
        <w:tc>
          <w:tcPr>
            <w:tcW w:w="397" w:type="pct"/>
          </w:tcPr>
          <w:p w:rsidR="008101AD" w:rsidRPr="003D6709" w:rsidRDefault="008101AD" w:rsidP="008101AD">
            <w:pPr>
              <w:keepNext/>
              <w:ind w:left="-108"/>
              <w:jc w:val="center"/>
              <w:rPr>
                <w:rFonts w:ascii="Arial Narrow" w:hAnsi="Arial Narrow"/>
                <w:b/>
                <w:sz w:val="18"/>
                <w:szCs w:val="18"/>
              </w:rPr>
            </w:pPr>
            <w:r w:rsidRPr="003D6709">
              <w:rPr>
                <w:rFonts w:ascii="Arial Narrow" w:hAnsi="Arial Narrow"/>
                <w:b/>
                <w:sz w:val="18"/>
                <w:szCs w:val="18"/>
              </w:rPr>
              <w:t>№.of</w:t>
            </w:r>
          </w:p>
          <w:p w:rsidR="008101AD" w:rsidRPr="003D6709" w:rsidRDefault="008101AD" w:rsidP="008101AD">
            <w:pPr>
              <w:keepNext/>
              <w:ind w:left="-108"/>
              <w:jc w:val="center"/>
              <w:rPr>
                <w:rFonts w:ascii="Arial Narrow" w:hAnsi="Arial Narrow"/>
                <w:b/>
                <w:sz w:val="18"/>
                <w:szCs w:val="18"/>
              </w:rPr>
            </w:pPr>
            <w:r w:rsidRPr="003D6709">
              <w:rPr>
                <w:rFonts w:ascii="Arial Narrow" w:hAnsi="Arial Narrow"/>
                <w:b/>
                <w:sz w:val="18"/>
                <w:szCs w:val="18"/>
              </w:rPr>
              <w:t>Rpts</w:t>
            </w:r>
          </w:p>
        </w:tc>
        <w:tc>
          <w:tcPr>
            <w:tcW w:w="1429" w:type="pct"/>
            <w:gridSpan w:val="2"/>
          </w:tcPr>
          <w:p w:rsidR="008101AD" w:rsidRPr="003D6709" w:rsidRDefault="008101AD" w:rsidP="008101AD">
            <w:pPr>
              <w:keepNext/>
              <w:jc w:val="left"/>
              <w:rPr>
                <w:rFonts w:ascii="Arial Narrow" w:hAnsi="Arial Narrow"/>
                <w:b/>
                <w:sz w:val="18"/>
                <w:szCs w:val="18"/>
              </w:rPr>
            </w:pPr>
            <w:r w:rsidRPr="003D6709">
              <w:rPr>
                <w:rFonts w:ascii="Arial Narrow" w:hAnsi="Arial Narrow"/>
                <w:b/>
                <w:sz w:val="18"/>
                <w:szCs w:val="18"/>
              </w:rPr>
              <w:t>Proprietary Name and Manufacturer</w:t>
            </w:r>
          </w:p>
        </w:tc>
      </w:tr>
      <w:tr w:rsidR="008101AD" w:rsidRPr="003D6709" w:rsidTr="006F4C55">
        <w:trPr>
          <w:cantSplit/>
          <w:trHeight w:val="623"/>
        </w:trPr>
        <w:tc>
          <w:tcPr>
            <w:tcW w:w="1506" w:type="pct"/>
          </w:tcPr>
          <w:p w:rsidR="008101AD" w:rsidRPr="003D6709" w:rsidRDefault="008101AD" w:rsidP="008101AD">
            <w:pPr>
              <w:keepNext/>
              <w:ind w:left="-108"/>
              <w:rPr>
                <w:rFonts w:ascii="Arial Narrow" w:hAnsi="Arial Narrow"/>
                <w:sz w:val="18"/>
                <w:szCs w:val="18"/>
              </w:rPr>
            </w:pPr>
            <w:r w:rsidRPr="003D6709">
              <w:rPr>
                <w:rFonts w:ascii="Arial Narrow" w:hAnsi="Arial Narrow"/>
                <w:sz w:val="18"/>
                <w:szCs w:val="18"/>
              </w:rPr>
              <w:t>ACALABRUTINIB</w:t>
            </w:r>
          </w:p>
          <w:p w:rsidR="008101AD" w:rsidRPr="003D6709" w:rsidRDefault="008101AD" w:rsidP="008101AD">
            <w:pPr>
              <w:keepNext/>
              <w:ind w:left="-108"/>
              <w:rPr>
                <w:rFonts w:ascii="Arial Narrow" w:hAnsi="Arial Narrow"/>
                <w:sz w:val="18"/>
                <w:szCs w:val="18"/>
              </w:rPr>
            </w:pPr>
            <w:r w:rsidRPr="003D6709">
              <w:rPr>
                <w:rFonts w:ascii="Arial Narrow" w:hAnsi="Arial Narrow"/>
                <w:sz w:val="18"/>
                <w:szCs w:val="18"/>
              </w:rPr>
              <w:t>acalabrutinib 100 mg capsule, 56</w:t>
            </w:r>
          </w:p>
        </w:tc>
        <w:tc>
          <w:tcPr>
            <w:tcW w:w="714" w:type="pct"/>
          </w:tcPr>
          <w:p w:rsidR="008101AD" w:rsidRPr="003D6709" w:rsidRDefault="008101AD" w:rsidP="008101AD">
            <w:pPr>
              <w:keepNext/>
              <w:ind w:left="-108"/>
              <w:jc w:val="center"/>
              <w:rPr>
                <w:rFonts w:ascii="Arial Narrow" w:hAnsi="Arial Narrow"/>
                <w:sz w:val="18"/>
                <w:szCs w:val="18"/>
              </w:rPr>
            </w:pPr>
          </w:p>
          <w:p w:rsidR="008101AD" w:rsidRPr="003D6709" w:rsidRDefault="008101AD" w:rsidP="008101AD">
            <w:pPr>
              <w:keepNext/>
              <w:ind w:left="-108"/>
              <w:jc w:val="center"/>
              <w:rPr>
                <w:rFonts w:ascii="Arial Narrow" w:hAnsi="Arial Narrow"/>
                <w:sz w:val="18"/>
                <w:szCs w:val="18"/>
              </w:rPr>
            </w:pPr>
            <w:r w:rsidRPr="003D6709">
              <w:rPr>
                <w:rFonts w:ascii="Arial Narrow" w:hAnsi="Arial Narrow"/>
                <w:sz w:val="18"/>
                <w:szCs w:val="18"/>
              </w:rPr>
              <w:t>NEW</w:t>
            </w:r>
          </w:p>
        </w:tc>
        <w:tc>
          <w:tcPr>
            <w:tcW w:w="477" w:type="pct"/>
          </w:tcPr>
          <w:p w:rsidR="008101AD" w:rsidRPr="003D6709" w:rsidRDefault="008101AD" w:rsidP="008101AD">
            <w:pPr>
              <w:keepNext/>
              <w:jc w:val="center"/>
              <w:rPr>
                <w:rFonts w:ascii="Arial Narrow" w:hAnsi="Arial Narrow"/>
                <w:sz w:val="18"/>
                <w:szCs w:val="18"/>
              </w:rPr>
            </w:pPr>
          </w:p>
          <w:p w:rsidR="008101AD" w:rsidRPr="003D6709" w:rsidRDefault="008101AD" w:rsidP="008101AD">
            <w:pPr>
              <w:keepNext/>
              <w:jc w:val="center"/>
              <w:rPr>
                <w:rFonts w:ascii="Arial Narrow" w:hAnsi="Arial Narrow"/>
                <w:sz w:val="18"/>
                <w:szCs w:val="18"/>
              </w:rPr>
            </w:pPr>
            <w:r w:rsidRPr="003D6709">
              <w:rPr>
                <w:rFonts w:ascii="Arial Narrow" w:hAnsi="Arial Narrow"/>
                <w:sz w:val="18"/>
                <w:szCs w:val="18"/>
              </w:rPr>
              <w:t>1</w:t>
            </w:r>
          </w:p>
        </w:tc>
        <w:tc>
          <w:tcPr>
            <w:tcW w:w="476" w:type="pct"/>
          </w:tcPr>
          <w:p w:rsidR="008101AD" w:rsidRPr="003D6709" w:rsidRDefault="008101AD" w:rsidP="008101AD">
            <w:pPr>
              <w:keepNext/>
              <w:ind w:left="-108"/>
              <w:jc w:val="center"/>
              <w:rPr>
                <w:rFonts w:ascii="Arial Narrow" w:hAnsi="Arial Narrow"/>
                <w:sz w:val="18"/>
                <w:szCs w:val="18"/>
              </w:rPr>
            </w:pPr>
          </w:p>
          <w:p w:rsidR="008101AD" w:rsidRPr="003D6709" w:rsidRDefault="008101AD" w:rsidP="008101AD">
            <w:pPr>
              <w:keepNext/>
              <w:ind w:left="-108"/>
              <w:jc w:val="center"/>
              <w:rPr>
                <w:rFonts w:ascii="Arial Narrow" w:hAnsi="Arial Narrow"/>
                <w:sz w:val="18"/>
                <w:szCs w:val="18"/>
              </w:rPr>
            </w:pPr>
            <w:r w:rsidRPr="003D6709">
              <w:rPr>
                <w:rFonts w:ascii="Arial Narrow" w:hAnsi="Arial Narrow"/>
                <w:sz w:val="18"/>
                <w:szCs w:val="18"/>
              </w:rPr>
              <w:t>56</w:t>
            </w:r>
          </w:p>
        </w:tc>
        <w:tc>
          <w:tcPr>
            <w:tcW w:w="397" w:type="pct"/>
          </w:tcPr>
          <w:p w:rsidR="008101AD" w:rsidRPr="003D6709" w:rsidRDefault="008101AD" w:rsidP="008101AD">
            <w:pPr>
              <w:keepNext/>
              <w:ind w:left="-108"/>
              <w:jc w:val="center"/>
              <w:rPr>
                <w:rFonts w:ascii="Arial Narrow" w:hAnsi="Arial Narrow"/>
                <w:sz w:val="18"/>
                <w:szCs w:val="18"/>
              </w:rPr>
            </w:pPr>
          </w:p>
          <w:p w:rsidR="008101AD" w:rsidRPr="003D6709" w:rsidRDefault="007C7755" w:rsidP="008101AD">
            <w:pPr>
              <w:keepNext/>
              <w:ind w:left="-108"/>
              <w:jc w:val="center"/>
              <w:rPr>
                <w:rFonts w:ascii="Arial Narrow" w:hAnsi="Arial Narrow"/>
                <w:sz w:val="18"/>
                <w:szCs w:val="18"/>
              </w:rPr>
            </w:pPr>
            <w:r w:rsidRPr="003D6709">
              <w:rPr>
                <w:rFonts w:ascii="Arial Narrow" w:hAnsi="Arial Narrow"/>
                <w:sz w:val="18"/>
                <w:szCs w:val="18"/>
              </w:rPr>
              <w:t>5</w:t>
            </w:r>
          </w:p>
          <w:p w:rsidR="008101AD" w:rsidRPr="003D6709" w:rsidRDefault="008101AD" w:rsidP="008101AD">
            <w:pPr>
              <w:keepNext/>
              <w:rPr>
                <w:rFonts w:ascii="Arial Narrow" w:hAnsi="Arial Narrow"/>
                <w:sz w:val="18"/>
                <w:szCs w:val="18"/>
              </w:rPr>
            </w:pPr>
          </w:p>
        </w:tc>
        <w:tc>
          <w:tcPr>
            <w:tcW w:w="635" w:type="pct"/>
          </w:tcPr>
          <w:p w:rsidR="008101AD" w:rsidRPr="003D6709" w:rsidRDefault="008101AD" w:rsidP="008101AD">
            <w:pPr>
              <w:keepNext/>
              <w:rPr>
                <w:rFonts w:ascii="Arial Narrow" w:hAnsi="Arial Narrow"/>
                <w:sz w:val="18"/>
                <w:szCs w:val="18"/>
              </w:rPr>
            </w:pPr>
          </w:p>
          <w:p w:rsidR="008101AD" w:rsidRPr="003D6709" w:rsidRDefault="008101AD" w:rsidP="008101AD">
            <w:pPr>
              <w:keepNext/>
              <w:rPr>
                <w:rFonts w:ascii="Arial Narrow" w:hAnsi="Arial Narrow"/>
                <w:sz w:val="18"/>
                <w:szCs w:val="18"/>
              </w:rPr>
            </w:pPr>
            <w:r w:rsidRPr="003D6709">
              <w:rPr>
                <w:rFonts w:ascii="Arial Narrow" w:hAnsi="Arial Narrow"/>
                <w:sz w:val="18"/>
                <w:szCs w:val="18"/>
              </w:rPr>
              <w:t>Calquence</w:t>
            </w:r>
            <w:r w:rsidRPr="003D6709">
              <w:rPr>
                <w:rFonts w:ascii="Arial Narrow" w:hAnsi="Arial Narrow"/>
                <w:sz w:val="18"/>
                <w:szCs w:val="18"/>
                <w:vertAlign w:val="superscript"/>
              </w:rPr>
              <w:t>®</w:t>
            </w:r>
          </w:p>
        </w:tc>
        <w:tc>
          <w:tcPr>
            <w:tcW w:w="794" w:type="pct"/>
          </w:tcPr>
          <w:p w:rsidR="008101AD" w:rsidRPr="003D6709" w:rsidRDefault="008101AD" w:rsidP="008101AD">
            <w:pPr>
              <w:keepNext/>
              <w:rPr>
                <w:rFonts w:ascii="Arial Narrow" w:hAnsi="Arial Narrow"/>
                <w:sz w:val="18"/>
                <w:szCs w:val="18"/>
              </w:rPr>
            </w:pPr>
          </w:p>
          <w:p w:rsidR="008101AD" w:rsidRPr="003D6709" w:rsidRDefault="008101AD" w:rsidP="008101AD">
            <w:pPr>
              <w:keepNext/>
              <w:rPr>
                <w:rFonts w:ascii="Arial Narrow" w:hAnsi="Arial Narrow"/>
                <w:sz w:val="18"/>
                <w:szCs w:val="18"/>
              </w:rPr>
            </w:pPr>
            <w:r w:rsidRPr="003D6709">
              <w:rPr>
                <w:rFonts w:ascii="Arial Narrow" w:hAnsi="Arial Narrow"/>
                <w:sz w:val="18"/>
                <w:szCs w:val="18"/>
              </w:rPr>
              <w:t>AstraZeneca Australia Pty Ltd</w:t>
            </w:r>
          </w:p>
        </w:tc>
      </w:tr>
    </w:tbl>
    <w:p w:rsidR="008101AD" w:rsidRPr="003D6709" w:rsidRDefault="008101AD" w:rsidP="008101AD">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825186" w:rsidRPr="003D6709" w:rsidTr="006F4C55">
        <w:tc>
          <w:tcPr>
            <w:tcW w:w="5000" w:type="pct"/>
            <w:tcBorders>
              <w:top w:val="single" w:sz="4" w:space="0" w:color="auto"/>
              <w:left w:val="single" w:sz="4" w:space="0" w:color="auto"/>
              <w:bottom w:val="single" w:sz="4" w:space="0" w:color="auto"/>
              <w:right w:val="single" w:sz="4" w:space="0" w:color="auto"/>
            </w:tcBorders>
          </w:tcPr>
          <w:p w:rsidR="00825186" w:rsidRPr="003D6709" w:rsidRDefault="00825186" w:rsidP="008101AD">
            <w:pPr>
              <w:rPr>
                <w:rFonts w:ascii="Arial Narrow" w:hAnsi="Arial Narrow"/>
                <w:sz w:val="18"/>
                <w:szCs w:val="18"/>
              </w:rPr>
            </w:pPr>
            <w:r w:rsidRPr="003D6709">
              <w:rPr>
                <w:rFonts w:ascii="Arial Narrow" w:hAnsi="Arial Narrow"/>
                <w:b/>
                <w:sz w:val="18"/>
                <w:szCs w:val="18"/>
              </w:rPr>
              <w:t xml:space="preserve">Category / Program: </w:t>
            </w:r>
            <w:r w:rsidRPr="003D6709">
              <w:rPr>
                <w:rFonts w:ascii="Arial Narrow" w:hAnsi="Arial Narrow"/>
                <w:sz w:val="18"/>
                <w:szCs w:val="18"/>
              </w:rPr>
              <w:t xml:space="preserve">GENERAL – General Schedule (Code GE) </w:t>
            </w:r>
          </w:p>
        </w:tc>
      </w:tr>
      <w:tr w:rsidR="00825186" w:rsidRPr="003D6709" w:rsidTr="006F4C55">
        <w:trPr>
          <w:trHeight w:val="220"/>
        </w:trPr>
        <w:tc>
          <w:tcPr>
            <w:tcW w:w="5000" w:type="pct"/>
            <w:tcBorders>
              <w:top w:val="single" w:sz="4" w:space="0" w:color="auto"/>
              <w:left w:val="single" w:sz="4" w:space="0" w:color="auto"/>
              <w:bottom w:val="single" w:sz="4" w:space="0" w:color="auto"/>
              <w:right w:val="single" w:sz="4" w:space="0" w:color="auto"/>
            </w:tcBorders>
          </w:tcPr>
          <w:p w:rsidR="00825186" w:rsidRPr="003D6709" w:rsidRDefault="00825186" w:rsidP="008101AD">
            <w:pPr>
              <w:rPr>
                <w:rFonts w:ascii="Arial Narrow" w:hAnsi="Arial Narrow"/>
                <w:sz w:val="18"/>
                <w:szCs w:val="18"/>
              </w:rPr>
            </w:pPr>
            <w:r w:rsidRPr="003D6709">
              <w:rPr>
                <w:rFonts w:ascii="Arial Narrow" w:hAnsi="Arial Narrow"/>
                <w:b/>
                <w:sz w:val="18"/>
                <w:szCs w:val="18"/>
              </w:rPr>
              <w:t xml:space="preserve">Prescriber type:  </w:t>
            </w: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Dental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Medical Practitioners  </w:t>
            </w:r>
            <w:r w:rsidRPr="003D6709">
              <w:rPr>
                <w:rFonts w:ascii="Arial Narrow" w:hAnsi="Arial Narrow"/>
                <w:sz w:val="18"/>
                <w:szCs w:val="18"/>
              </w:rPr>
              <w:fldChar w:fldCharType="begin">
                <w:ffData>
                  <w:name w:val="Check3"/>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Nurse practitioners  </w:t>
            </w: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Optometrists    </w:t>
            </w:r>
            <w:r w:rsidRPr="003D6709">
              <w:rPr>
                <w:rFonts w:ascii="Arial Narrow" w:hAnsi="Arial Narrow"/>
                <w:sz w:val="18"/>
                <w:szCs w:val="18"/>
              </w:rPr>
              <w:fldChar w:fldCharType="begin">
                <w:ffData>
                  <w:name w:val="Check5"/>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Midwives</w:t>
            </w:r>
          </w:p>
        </w:tc>
      </w:tr>
      <w:tr w:rsidR="00825186" w:rsidRPr="003D6709" w:rsidTr="006F4C55">
        <w:tc>
          <w:tcPr>
            <w:tcW w:w="5000" w:type="pct"/>
            <w:tcBorders>
              <w:top w:val="single" w:sz="4" w:space="0" w:color="auto"/>
              <w:left w:val="single" w:sz="4" w:space="0" w:color="auto"/>
              <w:bottom w:val="single" w:sz="4" w:space="0" w:color="auto"/>
              <w:right w:val="single" w:sz="4" w:space="0" w:color="auto"/>
            </w:tcBorders>
          </w:tcPr>
          <w:p w:rsidR="00825186" w:rsidRPr="003D6709" w:rsidRDefault="00825186" w:rsidP="008101AD">
            <w:pPr>
              <w:rPr>
                <w:rFonts w:ascii="Arial Narrow" w:hAnsi="Arial Narrow"/>
                <w:b/>
                <w:sz w:val="18"/>
                <w:szCs w:val="18"/>
              </w:rPr>
            </w:pPr>
            <w:r w:rsidRPr="003D6709">
              <w:rPr>
                <w:rFonts w:ascii="Arial Narrow" w:hAnsi="Arial Narrow"/>
                <w:b/>
                <w:sz w:val="18"/>
                <w:szCs w:val="18"/>
              </w:rPr>
              <w:t xml:space="preserve">Restriction Level / Method: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Authority Required – Telephone/Electronic/Emergency</w:t>
            </w:r>
          </w:p>
        </w:tc>
      </w:tr>
      <w:tr w:rsidR="00825186" w:rsidRPr="003D6709" w:rsidTr="006F4C55">
        <w:tc>
          <w:tcPr>
            <w:tcW w:w="5000" w:type="pct"/>
            <w:tcBorders>
              <w:bottom w:val="nil"/>
            </w:tcBorders>
            <w:vAlign w:val="center"/>
            <w:hideMark/>
          </w:tcPr>
          <w:p w:rsidR="00825186" w:rsidRPr="003D6709" w:rsidRDefault="00825186" w:rsidP="008101AD">
            <w:pPr>
              <w:jc w:val="left"/>
              <w:rPr>
                <w:rFonts w:ascii="Arial Narrow" w:hAnsi="Arial Narrow"/>
                <w:color w:val="333333"/>
                <w:sz w:val="18"/>
                <w:szCs w:val="18"/>
              </w:rPr>
            </w:pPr>
            <w:r w:rsidRPr="003D6709">
              <w:rPr>
                <w:rFonts w:ascii="Arial Narrow" w:hAnsi="Arial Narrow"/>
                <w:b/>
                <w:color w:val="333333"/>
                <w:sz w:val="18"/>
                <w:szCs w:val="18"/>
              </w:rPr>
              <w:t>Indication:</w:t>
            </w:r>
            <w:r w:rsidRPr="003D6709">
              <w:rPr>
                <w:rFonts w:ascii="Arial Narrow" w:hAnsi="Arial Narrow"/>
                <w:color w:val="333333"/>
                <w:sz w:val="18"/>
                <w:szCs w:val="18"/>
              </w:rPr>
              <w:t xml:space="preserve"> Relapsed or refractory chronic lymphocytic leukaemia (CLL) or small lymphocytic lymphoma (SLL)</w:t>
            </w:r>
          </w:p>
        </w:tc>
      </w:tr>
      <w:tr w:rsidR="00825186" w:rsidRPr="003D6709" w:rsidTr="006F4C55">
        <w:tc>
          <w:tcPr>
            <w:tcW w:w="5000" w:type="pct"/>
            <w:tcBorders>
              <w:top w:val="nil"/>
              <w:bottom w:val="nil"/>
            </w:tcBorders>
            <w:vAlign w:val="center"/>
            <w:hideMark/>
          </w:tcPr>
          <w:p w:rsidR="00825186" w:rsidRPr="003D6709" w:rsidRDefault="00825186" w:rsidP="008101AD">
            <w:pPr>
              <w:rPr>
                <w:rFonts w:ascii="Arial Narrow" w:hAnsi="Arial Narrow"/>
                <w:i/>
                <w:color w:val="333333"/>
                <w:sz w:val="18"/>
                <w:szCs w:val="18"/>
              </w:rPr>
            </w:pPr>
            <w:r w:rsidRPr="003D6709">
              <w:rPr>
                <w:rFonts w:ascii="Arial Narrow" w:hAnsi="Arial Narrow"/>
                <w:b/>
                <w:bCs/>
                <w:color w:val="333333"/>
                <w:sz w:val="18"/>
                <w:szCs w:val="18"/>
              </w:rPr>
              <w:t>Treatment Phase:</w:t>
            </w:r>
            <w:r w:rsidRPr="003D6709">
              <w:rPr>
                <w:rFonts w:ascii="Arial Narrow" w:hAnsi="Arial Narrow"/>
                <w:color w:val="333333"/>
                <w:sz w:val="18"/>
                <w:szCs w:val="18"/>
              </w:rPr>
              <w:t xml:space="preserve"> Initial treatment </w:t>
            </w:r>
          </w:p>
        </w:tc>
      </w:tr>
      <w:tr w:rsidR="00825186" w:rsidRPr="003D6709" w:rsidTr="006F4C55">
        <w:tc>
          <w:tcPr>
            <w:tcW w:w="5000" w:type="pct"/>
            <w:tcBorders>
              <w:top w:val="nil"/>
              <w:bottom w:val="nil"/>
            </w:tcBorders>
            <w:vAlign w:val="center"/>
          </w:tcPr>
          <w:p w:rsidR="00825186" w:rsidRPr="003D6709" w:rsidRDefault="00825186" w:rsidP="008101AD">
            <w:pPr>
              <w:rPr>
                <w:rFonts w:ascii="Arial Narrow" w:hAnsi="Arial Narrow"/>
                <w:b/>
                <w:bCs/>
                <w:color w:val="333333"/>
                <w:sz w:val="18"/>
                <w:szCs w:val="18"/>
              </w:rPr>
            </w:pPr>
            <w:r w:rsidRPr="003D6709">
              <w:rPr>
                <w:rFonts w:ascii="Arial Narrow" w:hAnsi="Arial Narrow"/>
                <w:b/>
                <w:bCs/>
                <w:color w:val="333333"/>
                <w:sz w:val="18"/>
                <w:szCs w:val="18"/>
              </w:rPr>
              <w:t>Clinical criteria:</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6"/>
              </w:numPr>
              <w:rPr>
                <w:rFonts w:ascii="Arial Narrow" w:hAnsi="Arial Narrow"/>
                <w:b/>
                <w:bCs/>
                <w:color w:val="333333"/>
                <w:sz w:val="18"/>
                <w:szCs w:val="18"/>
              </w:rPr>
            </w:pPr>
            <w:r w:rsidRPr="003D6709">
              <w:rPr>
                <w:rFonts w:ascii="Arial Narrow" w:hAnsi="Arial Narrow"/>
                <w:color w:val="333333"/>
                <w:sz w:val="18"/>
                <w:szCs w:val="18"/>
              </w:rPr>
              <w:t>The treatment must be the sole PBS-subsidised therapy for this condition</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rPr>
                <w:rFonts w:ascii="Arial Narrow" w:hAnsi="Arial Narrow"/>
                <w:color w:val="333333"/>
                <w:sz w:val="18"/>
                <w:szCs w:val="18"/>
              </w:rPr>
            </w:pPr>
            <w:r w:rsidRPr="003D6709">
              <w:rPr>
                <w:rFonts w:ascii="Arial Narrow" w:hAnsi="Arial Narrow"/>
                <w:b/>
                <w:bCs/>
                <w:color w:val="333333"/>
                <w:sz w:val="18"/>
                <w:szCs w:val="18"/>
              </w:rPr>
              <w:t>AND</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6"/>
              </w:numPr>
              <w:rPr>
                <w:rFonts w:ascii="Arial Narrow" w:hAnsi="Arial Narrow"/>
                <w:color w:val="333333"/>
                <w:sz w:val="18"/>
                <w:szCs w:val="18"/>
              </w:rPr>
            </w:pPr>
            <w:r w:rsidRPr="003D6709">
              <w:rPr>
                <w:rFonts w:ascii="Arial Narrow" w:hAnsi="Arial Narrow"/>
                <w:color w:val="333333"/>
                <w:sz w:val="18"/>
                <w:szCs w:val="18"/>
              </w:rPr>
              <w:t>The condition must have relapsed or be refractory to at least one prior therapy</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rPr>
                <w:rFonts w:ascii="Arial Narrow" w:hAnsi="Arial Narrow"/>
                <w:color w:val="333333"/>
                <w:sz w:val="18"/>
                <w:szCs w:val="18"/>
              </w:rPr>
            </w:pPr>
            <w:r w:rsidRPr="003D6709">
              <w:rPr>
                <w:rFonts w:ascii="Arial Narrow" w:hAnsi="Arial Narrow"/>
                <w:b/>
                <w:bCs/>
                <w:color w:val="333333"/>
                <w:sz w:val="18"/>
                <w:szCs w:val="18"/>
              </w:rPr>
              <w:t>AND</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6"/>
              </w:numPr>
              <w:rPr>
                <w:rFonts w:ascii="Arial Narrow" w:hAnsi="Arial Narrow"/>
                <w:color w:val="333333"/>
                <w:sz w:val="18"/>
                <w:szCs w:val="18"/>
              </w:rPr>
            </w:pPr>
            <w:r w:rsidRPr="003D6709">
              <w:rPr>
                <w:rFonts w:ascii="Arial Narrow" w:hAnsi="Arial Narrow"/>
                <w:bCs/>
                <w:color w:val="333333"/>
                <w:sz w:val="18"/>
                <w:szCs w:val="18"/>
              </w:rPr>
              <w:t>Patient must have a WHO performance status of 0 or 1</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jc w:val="left"/>
              <w:rPr>
                <w:rFonts w:ascii="Arial Narrow" w:hAnsi="Arial Narrow"/>
                <w:color w:val="333333"/>
                <w:sz w:val="18"/>
                <w:szCs w:val="18"/>
              </w:rPr>
            </w:pPr>
            <w:r w:rsidRPr="003D6709">
              <w:rPr>
                <w:rFonts w:ascii="Arial Narrow" w:hAnsi="Arial Narrow"/>
                <w:b/>
                <w:bCs/>
                <w:color w:val="333333"/>
                <w:sz w:val="18"/>
                <w:szCs w:val="18"/>
              </w:rPr>
              <w:t>AND</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6"/>
              </w:numPr>
              <w:jc w:val="left"/>
              <w:rPr>
                <w:rFonts w:ascii="Arial Narrow" w:hAnsi="Arial Narrow"/>
                <w:b/>
                <w:bCs/>
                <w:color w:val="333333"/>
                <w:sz w:val="18"/>
                <w:szCs w:val="18"/>
              </w:rPr>
            </w:pPr>
            <w:r w:rsidRPr="003D6709">
              <w:rPr>
                <w:rFonts w:ascii="Arial Narrow" w:hAnsi="Arial Narrow"/>
                <w:bCs/>
                <w:color w:val="333333"/>
                <w:sz w:val="18"/>
                <w:szCs w:val="18"/>
              </w:rPr>
              <w:t>Patient must not have previously received PBS-subsidised treatment with this drug for this condition</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jc w:val="left"/>
              <w:rPr>
                <w:rFonts w:ascii="Arial Narrow" w:hAnsi="Arial Narrow"/>
                <w:bCs/>
                <w:color w:val="333333"/>
                <w:sz w:val="18"/>
                <w:szCs w:val="18"/>
              </w:rPr>
            </w:pPr>
            <w:r w:rsidRPr="003D6709">
              <w:rPr>
                <w:rFonts w:ascii="Arial Narrow" w:hAnsi="Arial Narrow"/>
                <w:b/>
                <w:bCs/>
                <w:color w:val="333333"/>
                <w:sz w:val="18"/>
                <w:szCs w:val="18"/>
              </w:rPr>
              <w:t>AND</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6"/>
              </w:numPr>
              <w:jc w:val="left"/>
              <w:rPr>
                <w:rFonts w:ascii="Arial Narrow" w:hAnsi="Arial Narrow"/>
                <w:bCs/>
                <w:color w:val="333333"/>
                <w:sz w:val="18"/>
                <w:szCs w:val="18"/>
              </w:rPr>
            </w:pPr>
            <w:r w:rsidRPr="003D6709">
              <w:rPr>
                <w:rFonts w:ascii="Arial Narrow" w:hAnsi="Arial Narrow"/>
                <w:bCs/>
                <w:color w:val="333333"/>
                <w:sz w:val="18"/>
                <w:szCs w:val="18"/>
              </w:rPr>
              <w:t>Patient must be considered unsuitable for treatment or retreatment with a purine analogue</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jc w:val="left"/>
              <w:rPr>
                <w:rFonts w:ascii="Arial Narrow" w:hAnsi="Arial Narrow"/>
                <w:b/>
                <w:bCs/>
                <w:color w:val="333333"/>
                <w:sz w:val="18"/>
                <w:szCs w:val="18"/>
              </w:rPr>
            </w:pPr>
            <w:r w:rsidRPr="003D6709">
              <w:rPr>
                <w:rFonts w:ascii="Arial Narrow" w:hAnsi="Arial Narrow"/>
                <w:b/>
                <w:bCs/>
                <w:color w:val="333333"/>
                <w:sz w:val="18"/>
                <w:szCs w:val="18"/>
              </w:rPr>
              <w:t>AND</w:t>
            </w:r>
          </w:p>
        </w:tc>
      </w:tr>
      <w:tr w:rsidR="00825186" w:rsidRPr="003D6709" w:rsidTr="006F4C55">
        <w:tc>
          <w:tcPr>
            <w:tcW w:w="5000" w:type="pct"/>
            <w:tcBorders>
              <w:top w:val="nil"/>
              <w:bottom w:val="nil"/>
            </w:tcBorders>
            <w:vAlign w:val="center"/>
            <w:hideMark/>
          </w:tcPr>
          <w:p w:rsidR="00825186" w:rsidRPr="003D6709" w:rsidRDefault="00825186" w:rsidP="00825186">
            <w:pPr>
              <w:pStyle w:val="ListParagraph"/>
              <w:numPr>
                <w:ilvl w:val="0"/>
                <w:numId w:val="26"/>
              </w:numPr>
              <w:jc w:val="left"/>
              <w:rPr>
                <w:rFonts w:ascii="Arial Narrow" w:hAnsi="Arial Narrow"/>
                <w:color w:val="333333"/>
                <w:sz w:val="18"/>
                <w:szCs w:val="18"/>
              </w:rPr>
            </w:pPr>
            <w:r w:rsidRPr="003D6709">
              <w:rPr>
                <w:rFonts w:ascii="Arial Narrow" w:hAnsi="Arial Narrow"/>
                <w:bCs/>
                <w:color w:val="333333"/>
                <w:sz w:val="18"/>
                <w:szCs w:val="18"/>
              </w:rPr>
              <w:t xml:space="preserve">Patient must not have received treatment with another </w:t>
            </w:r>
            <w:proofErr w:type="spellStart"/>
            <w:r w:rsidRPr="003D6709">
              <w:rPr>
                <w:rFonts w:ascii="Arial Narrow" w:hAnsi="Arial Narrow"/>
                <w:bCs/>
                <w:color w:val="333333"/>
                <w:sz w:val="18"/>
                <w:szCs w:val="18"/>
              </w:rPr>
              <w:t>Bruton’s</w:t>
            </w:r>
            <w:proofErr w:type="spellEnd"/>
            <w:r w:rsidRPr="003D6709">
              <w:rPr>
                <w:rFonts w:ascii="Arial Narrow" w:hAnsi="Arial Narrow"/>
                <w:bCs/>
                <w:color w:val="333333"/>
                <w:sz w:val="18"/>
                <w:szCs w:val="18"/>
              </w:rPr>
              <w:t xml:space="preserve"> tyrosine kinase (BTK) inhibitor for any line of treatment of CLL/SLL (untreated or relapsed/refractory disease); or </w:t>
            </w:r>
          </w:p>
        </w:tc>
      </w:tr>
      <w:tr w:rsidR="00825186" w:rsidRPr="003D6709" w:rsidTr="006F4C55">
        <w:tc>
          <w:tcPr>
            <w:tcW w:w="5000" w:type="pct"/>
            <w:tcBorders>
              <w:top w:val="nil"/>
            </w:tcBorders>
            <w:vAlign w:val="center"/>
          </w:tcPr>
          <w:p w:rsidR="00825186" w:rsidRPr="003D6709" w:rsidRDefault="00825186" w:rsidP="00825186">
            <w:pPr>
              <w:pStyle w:val="ListParagraph"/>
              <w:numPr>
                <w:ilvl w:val="0"/>
                <w:numId w:val="26"/>
              </w:numPr>
              <w:jc w:val="left"/>
              <w:rPr>
                <w:rFonts w:ascii="Arial Narrow" w:hAnsi="Arial Narrow"/>
                <w:color w:val="333333"/>
                <w:sz w:val="18"/>
                <w:szCs w:val="18"/>
              </w:rPr>
            </w:pPr>
            <w:r w:rsidRPr="003D6709">
              <w:rPr>
                <w:rFonts w:ascii="Arial Narrow" w:hAnsi="Arial Narrow"/>
                <w:bCs/>
                <w:color w:val="333333"/>
                <w:sz w:val="18"/>
                <w:szCs w:val="18"/>
              </w:rPr>
              <w:t xml:space="preserve">Patient must have developed intolerance to another </w:t>
            </w:r>
            <w:proofErr w:type="spellStart"/>
            <w:r w:rsidRPr="003D6709">
              <w:rPr>
                <w:rFonts w:ascii="Arial Narrow" w:hAnsi="Arial Narrow"/>
                <w:bCs/>
                <w:color w:val="333333"/>
                <w:sz w:val="18"/>
                <w:szCs w:val="18"/>
              </w:rPr>
              <w:t>Bruton’s</w:t>
            </w:r>
            <w:proofErr w:type="spellEnd"/>
            <w:r w:rsidRPr="003D6709">
              <w:rPr>
                <w:rFonts w:ascii="Arial Narrow" w:hAnsi="Arial Narrow"/>
                <w:bCs/>
                <w:color w:val="333333"/>
                <w:sz w:val="18"/>
                <w:szCs w:val="18"/>
              </w:rPr>
              <w:t xml:space="preserve"> tyrosine kinase (BTK) inhibitor of a severity necessitating permanent treatment withdrawal when being treated for relapsed or refractory CLL/SLL</w:t>
            </w:r>
          </w:p>
        </w:tc>
      </w:tr>
      <w:tr w:rsidR="00825186" w:rsidRPr="003D6709" w:rsidTr="006F4C55">
        <w:tc>
          <w:tcPr>
            <w:tcW w:w="5000" w:type="pct"/>
            <w:vAlign w:val="center"/>
            <w:hideMark/>
          </w:tcPr>
          <w:p w:rsidR="00825186" w:rsidRPr="003D6709" w:rsidRDefault="00825186" w:rsidP="007C7755">
            <w:pPr>
              <w:rPr>
                <w:rFonts w:ascii="Arial Narrow" w:hAnsi="Arial Narrow"/>
                <w:b/>
                <w:bCs/>
                <w:color w:val="333333"/>
                <w:sz w:val="18"/>
                <w:szCs w:val="18"/>
              </w:rPr>
            </w:pPr>
            <w:r w:rsidRPr="003D6709">
              <w:rPr>
                <w:rFonts w:ascii="Arial Narrow" w:hAnsi="Arial Narrow"/>
                <w:b/>
                <w:bCs/>
                <w:color w:val="333333"/>
                <w:sz w:val="18"/>
                <w:szCs w:val="18"/>
              </w:rPr>
              <w:t xml:space="preserve">Prescribing Instructions: </w:t>
            </w:r>
          </w:p>
          <w:p w:rsidR="00825186" w:rsidRPr="003D6709" w:rsidRDefault="00825186" w:rsidP="007C7755">
            <w:pPr>
              <w:jc w:val="left"/>
              <w:rPr>
                <w:rFonts w:ascii="Arial Narrow" w:hAnsi="Arial Narrow"/>
                <w:bCs/>
                <w:color w:val="333333"/>
                <w:sz w:val="18"/>
                <w:szCs w:val="18"/>
              </w:rPr>
            </w:pPr>
            <w:r w:rsidRPr="003D6709">
              <w:rPr>
                <w:rFonts w:ascii="Arial Narrow" w:hAnsi="Arial Narrow"/>
                <w:bCs/>
                <w:color w:val="333333"/>
                <w:sz w:val="18"/>
                <w:szCs w:val="18"/>
              </w:rPr>
              <w:t>A patient is considered unsuitable for treatment or retreatment with a purine analogue as demonstrated by at least one of the following:</w:t>
            </w:r>
          </w:p>
          <w:p w:rsidR="00825186" w:rsidRPr="003D6709" w:rsidRDefault="00825186" w:rsidP="007C7755">
            <w:pPr>
              <w:jc w:val="left"/>
              <w:rPr>
                <w:rFonts w:ascii="Arial Narrow" w:hAnsi="Arial Narrow"/>
                <w:bCs/>
                <w:color w:val="333333"/>
                <w:sz w:val="18"/>
                <w:szCs w:val="18"/>
              </w:rPr>
            </w:pPr>
            <w:r w:rsidRPr="003D6709">
              <w:rPr>
                <w:rFonts w:ascii="Arial Narrow" w:hAnsi="Arial Narrow"/>
                <w:bCs/>
                <w:color w:val="333333"/>
                <w:sz w:val="18"/>
                <w:szCs w:val="18"/>
              </w:rPr>
              <w:t xml:space="preserve">a) Failure to respond (stable disease or disease progression on treatment), or a progression-free interval of less than 3 years from treatment with a purine analogue-based therapy and anti-CD20-containing </w:t>
            </w:r>
            <w:proofErr w:type="spellStart"/>
            <w:r w:rsidRPr="003D6709">
              <w:rPr>
                <w:rFonts w:ascii="Arial Narrow" w:hAnsi="Arial Narrow"/>
                <w:bCs/>
                <w:color w:val="333333"/>
                <w:sz w:val="18"/>
                <w:szCs w:val="18"/>
              </w:rPr>
              <w:t>chemoimmunotherapy</w:t>
            </w:r>
            <w:proofErr w:type="spellEnd"/>
            <w:r w:rsidRPr="003D6709">
              <w:rPr>
                <w:rFonts w:ascii="Arial Narrow" w:hAnsi="Arial Narrow"/>
                <w:bCs/>
                <w:color w:val="333333"/>
                <w:sz w:val="18"/>
                <w:szCs w:val="18"/>
              </w:rPr>
              <w:t xml:space="preserve"> regimen after at least two cycles;</w:t>
            </w:r>
          </w:p>
          <w:p w:rsidR="00825186" w:rsidRPr="003D6709" w:rsidRDefault="00825186" w:rsidP="007C7755">
            <w:pPr>
              <w:jc w:val="left"/>
              <w:rPr>
                <w:rFonts w:ascii="Arial Narrow" w:hAnsi="Arial Narrow"/>
                <w:bCs/>
                <w:color w:val="333333"/>
                <w:sz w:val="18"/>
                <w:szCs w:val="18"/>
              </w:rPr>
            </w:pPr>
            <w:r w:rsidRPr="003D6709">
              <w:rPr>
                <w:rFonts w:ascii="Arial Narrow" w:hAnsi="Arial Narrow"/>
                <w:bCs/>
                <w:color w:val="333333"/>
                <w:sz w:val="18"/>
                <w:szCs w:val="18"/>
              </w:rPr>
              <w:t>b) Age is 70 years or older;</w:t>
            </w:r>
          </w:p>
          <w:p w:rsidR="00825186" w:rsidRPr="003D6709" w:rsidRDefault="00825186" w:rsidP="007C7755">
            <w:pPr>
              <w:jc w:val="left"/>
              <w:rPr>
                <w:rFonts w:ascii="Arial Narrow" w:hAnsi="Arial Narrow"/>
                <w:bCs/>
                <w:color w:val="333333"/>
                <w:sz w:val="18"/>
                <w:szCs w:val="18"/>
              </w:rPr>
            </w:pPr>
            <w:r w:rsidRPr="003D6709">
              <w:rPr>
                <w:rFonts w:ascii="Arial Narrow" w:hAnsi="Arial Narrow"/>
                <w:bCs/>
                <w:color w:val="333333"/>
                <w:sz w:val="18"/>
                <w:szCs w:val="18"/>
              </w:rPr>
              <w:t xml:space="preserve">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3D6709">
              <w:rPr>
                <w:rFonts w:ascii="Arial Narrow" w:hAnsi="Arial Narrow"/>
                <w:bCs/>
                <w:color w:val="333333"/>
                <w:sz w:val="18"/>
                <w:szCs w:val="18"/>
              </w:rPr>
              <w:t>chemoimmunotherapy</w:t>
            </w:r>
            <w:proofErr w:type="spellEnd"/>
            <w:r w:rsidRPr="003D6709">
              <w:rPr>
                <w:rFonts w:ascii="Arial Narrow" w:hAnsi="Arial Narrow"/>
                <w:bCs/>
                <w:color w:val="333333"/>
                <w:sz w:val="18"/>
                <w:szCs w:val="18"/>
              </w:rPr>
              <w:t xml:space="preserve"> regimen;</w:t>
            </w:r>
          </w:p>
          <w:p w:rsidR="00825186" w:rsidRPr="003D6709" w:rsidRDefault="00825186" w:rsidP="007C7755">
            <w:pPr>
              <w:jc w:val="left"/>
              <w:rPr>
                <w:rFonts w:ascii="Arial Narrow" w:hAnsi="Arial Narrow"/>
                <w:bCs/>
                <w:color w:val="333333"/>
                <w:sz w:val="18"/>
                <w:szCs w:val="18"/>
              </w:rPr>
            </w:pPr>
            <w:r w:rsidRPr="003D6709">
              <w:rPr>
                <w:rFonts w:ascii="Arial Narrow" w:hAnsi="Arial Narrow"/>
                <w:bCs/>
                <w:color w:val="333333"/>
                <w:sz w:val="18"/>
                <w:szCs w:val="18"/>
              </w:rPr>
              <w:t>d) History of purine analogue-associated autoimmune anaemia or autoimmune thrombocytopenia;</w:t>
            </w:r>
          </w:p>
          <w:p w:rsidR="00825186" w:rsidRPr="003D6709" w:rsidRDefault="00825186" w:rsidP="00825186">
            <w:pPr>
              <w:rPr>
                <w:rFonts w:ascii="Arial Narrow" w:hAnsi="Arial Narrow"/>
                <w:bCs/>
                <w:color w:val="333333"/>
                <w:sz w:val="18"/>
                <w:szCs w:val="18"/>
              </w:rPr>
            </w:pPr>
            <w:r w:rsidRPr="003D6709">
              <w:rPr>
                <w:rFonts w:ascii="Arial Narrow" w:hAnsi="Arial Narrow"/>
                <w:bCs/>
                <w:color w:val="333333"/>
                <w:sz w:val="18"/>
                <w:szCs w:val="18"/>
              </w:rPr>
              <w:t xml:space="preserve">e) Evidence of one or more 17p chromosomal deletions demonstrated by </w:t>
            </w:r>
            <w:r w:rsidRPr="003D6709">
              <w:rPr>
                <w:rFonts w:ascii="Arial Narrow" w:hAnsi="Arial Narrow" w:cs="Times New Roman"/>
                <w:color w:val="333333"/>
                <w:sz w:val="18"/>
                <w:szCs w:val="18"/>
              </w:rPr>
              <w:t xml:space="preserve">a </w:t>
            </w:r>
            <w:r w:rsidRPr="003D6709">
              <w:rPr>
                <w:rFonts w:ascii="Arial Narrow" w:hAnsi="Arial Narrow"/>
                <w:bCs/>
                <w:color w:val="333333"/>
                <w:sz w:val="18"/>
                <w:szCs w:val="18"/>
              </w:rPr>
              <w:t>test method listed in the Medical Benefits Schedule for such a purpose</w:t>
            </w:r>
          </w:p>
        </w:tc>
      </w:tr>
      <w:tr w:rsidR="00825186" w:rsidRPr="003D6709" w:rsidTr="006F4C55">
        <w:trPr>
          <w:trHeight w:val="453"/>
        </w:trPr>
        <w:tc>
          <w:tcPr>
            <w:tcW w:w="5000" w:type="pct"/>
            <w:vAlign w:val="center"/>
            <w:hideMark/>
          </w:tcPr>
          <w:p w:rsidR="00825186" w:rsidRPr="003D6709" w:rsidRDefault="00825186" w:rsidP="00D62CC0">
            <w:pPr>
              <w:rPr>
                <w:rFonts w:ascii="Arial Narrow" w:hAnsi="Arial Narrow"/>
                <w:color w:val="333333"/>
                <w:sz w:val="18"/>
                <w:szCs w:val="18"/>
              </w:rPr>
            </w:pPr>
            <w:r w:rsidRPr="003D6709">
              <w:rPr>
                <w:rFonts w:ascii="Arial Narrow" w:hAnsi="Arial Narrow"/>
                <w:b/>
                <w:bCs/>
                <w:color w:val="333333"/>
                <w:sz w:val="18"/>
                <w:szCs w:val="18"/>
              </w:rPr>
              <w:t>Administrative Advice:</w:t>
            </w:r>
            <w:r w:rsidRPr="003D6709">
              <w:rPr>
                <w:rFonts w:ascii="Arial Narrow" w:hAnsi="Arial Narrow"/>
                <w:color w:val="333333"/>
                <w:sz w:val="18"/>
                <w:szCs w:val="18"/>
              </w:rPr>
              <w:t xml:space="preserve"> </w:t>
            </w:r>
          </w:p>
          <w:p w:rsidR="00825186" w:rsidRPr="003D6709" w:rsidRDefault="00825186" w:rsidP="00D62CC0">
            <w:pPr>
              <w:rPr>
                <w:rFonts w:ascii="Arial Narrow" w:hAnsi="Arial Narrow"/>
                <w:color w:val="333333"/>
                <w:sz w:val="18"/>
                <w:szCs w:val="18"/>
              </w:rPr>
            </w:pPr>
            <w:r w:rsidRPr="003D6709">
              <w:rPr>
                <w:rFonts w:ascii="Arial Narrow" w:hAnsi="Arial Narrow"/>
                <w:color w:val="333333"/>
                <w:sz w:val="18"/>
                <w:szCs w:val="18"/>
              </w:rPr>
              <w:t>No increase in the maximum number of repeats may be authorised.</w:t>
            </w:r>
          </w:p>
          <w:p w:rsidR="00825186" w:rsidRPr="003D6709" w:rsidRDefault="00825186" w:rsidP="00D62CC0">
            <w:pPr>
              <w:rPr>
                <w:rFonts w:ascii="Arial Narrow" w:hAnsi="Arial Narrow"/>
                <w:color w:val="333333"/>
                <w:sz w:val="18"/>
                <w:szCs w:val="18"/>
              </w:rPr>
            </w:pPr>
            <w:r w:rsidRPr="003D6709">
              <w:rPr>
                <w:rFonts w:ascii="Arial Narrow" w:hAnsi="Arial Narrow"/>
                <w:color w:val="333333"/>
                <w:sz w:val="18"/>
                <w:szCs w:val="18"/>
              </w:rPr>
              <w:t xml:space="preserve">Special Pricing Arrangements apply. </w:t>
            </w:r>
          </w:p>
        </w:tc>
      </w:tr>
    </w:tbl>
    <w:p w:rsidR="008101AD" w:rsidRPr="003D6709" w:rsidRDefault="008101AD" w:rsidP="008101AD">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825186" w:rsidRPr="003D6709" w:rsidTr="006F4C55">
        <w:tc>
          <w:tcPr>
            <w:tcW w:w="5000" w:type="pct"/>
            <w:tcBorders>
              <w:top w:val="single" w:sz="4" w:space="0" w:color="auto"/>
              <w:left w:val="single" w:sz="4" w:space="0" w:color="auto"/>
              <w:bottom w:val="single" w:sz="4" w:space="0" w:color="auto"/>
              <w:right w:val="single" w:sz="4" w:space="0" w:color="auto"/>
            </w:tcBorders>
          </w:tcPr>
          <w:p w:rsidR="00825186" w:rsidRPr="003D6709" w:rsidRDefault="00825186" w:rsidP="008101AD">
            <w:pPr>
              <w:rPr>
                <w:rFonts w:ascii="Arial Narrow" w:hAnsi="Arial Narrow"/>
                <w:sz w:val="18"/>
                <w:szCs w:val="18"/>
              </w:rPr>
            </w:pPr>
            <w:r w:rsidRPr="003D6709">
              <w:rPr>
                <w:rFonts w:ascii="Arial Narrow" w:hAnsi="Arial Narrow"/>
                <w:b/>
                <w:sz w:val="18"/>
                <w:szCs w:val="18"/>
              </w:rPr>
              <w:t xml:space="preserve">Category / Program: </w:t>
            </w:r>
            <w:r w:rsidRPr="003D6709">
              <w:rPr>
                <w:rFonts w:ascii="Arial Narrow" w:hAnsi="Arial Narrow"/>
                <w:sz w:val="18"/>
                <w:szCs w:val="18"/>
              </w:rPr>
              <w:t xml:space="preserve">GENERAL – General Schedule (Code GE) </w:t>
            </w:r>
          </w:p>
        </w:tc>
      </w:tr>
      <w:tr w:rsidR="00825186" w:rsidRPr="003D6709" w:rsidTr="006F4C55">
        <w:trPr>
          <w:trHeight w:val="221"/>
        </w:trPr>
        <w:tc>
          <w:tcPr>
            <w:tcW w:w="5000" w:type="pct"/>
            <w:tcBorders>
              <w:top w:val="single" w:sz="4" w:space="0" w:color="auto"/>
              <w:left w:val="single" w:sz="4" w:space="0" w:color="auto"/>
              <w:bottom w:val="single" w:sz="4" w:space="0" w:color="auto"/>
              <w:right w:val="single" w:sz="4" w:space="0" w:color="auto"/>
            </w:tcBorders>
          </w:tcPr>
          <w:p w:rsidR="00825186" w:rsidRPr="003D6709" w:rsidRDefault="00825186" w:rsidP="008101AD">
            <w:pPr>
              <w:rPr>
                <w:rFonts w:ascii="Arial Narrow" w:hAnsi="Arial Narrow"/>
                <w:sz w:val="18"/>
                <w:szCs w:val="18"/>
              </w:rPr>
            </w:pPr>
            <w:r w:rsidRPr="003D6709">
              <w:rPr>
                <w:rFonts w:ascii="Arial Narrow" w:hAnsi="Arial Narrow"/>
                <w:b/>
                <w:sz w:val="18"/>
                <w:szCs w:val="18"/>
              </w:rPr>
              <w:t xml:space="preserve">Prescriber type:  </w:t>
            </w: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Dental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Medical Practitioners  </w:t>
            </w:r>
            <w:r w:rsidRPr="003D6709">
              <w:rPr>
                <w:rFonts w:ascii="Arial Narrow" w:hAnsi="Arial Narrow"/>
                <w:sz w:val="18"/>
                <w:szCs w:val="18"/>
              </w:rPr>
              <w:fldChar w:fldCharType="begin">
                <w:ffData>
                  <w:name w:val="Check3"/>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Nurse practitioners  </w:t>
            </w: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Optometrists    </w:t>
            </w:r>
            <w:r w:rsidRPr="003D6709">
              <w:rPr>
                <w:rFonts w:ascii="Arial Narrow" w:hAnsi="Arial Narrow"/>
                <w:sz w:val="18"/>
                <w:szCs w:val="18"/>
              </w:rPr>
              <w:fldChar w:fldCharType="begin">
                <w:ffData>
                  <w:name w:val="Check5"/>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Midwives</w:t>
            </w:r>
          </w:p>
        </w:tc>
      </w:tr>
      <w:tr w:rsidR="00825186" w:rsidRPr="003D6709" w:rsidTr="006F4C55">
        <w:tc>
          <w:tcPr>
            <w:tcW w:w="5000" w:type="pct"/>
            <w:tcBorders>
              <w:top w:val="single" w:sz="4" w:space="0" w:color="auto"/>
              <w:left w:val="single" w:sz="4" w:space="0" w:color="auto"/>
              <w:bottom w:val="single" w:sz="4" w:space="0" w:color="auto"/>
              <w:right w:val="single" w:sz="4" w:space="0" w:color="auto"/>
            </w:tcBorders>
          </w:tcPr>
          <w:p w:rsidR="00825186" w:rsidRPr="003D6709" w:rsidRDefault="00825186" w:rsidP="008101AD">
            <w:pPr>
              <w:rPr>
                <w:rFonts w:ascii="Arial Narrow" w:hAnsi="Arial Narrow"/>
                <w:b/>
                <w:sz w:val="18"/>
                <w:szCs w:val="18"/>
              </w:rPr>
            </w:pPr>
            <w:r w:rsidRPr="003D6709">
              <w:rPr>
                <w:rFonts w:ascii="Arial Narrow" w:hAnsi="Arial Narrow"/>
                <w:b/>
                <w:sz w:val="18"/>
                <w:szCs w:val="18"/>
              </w:rPr>
              <w:t xml:space="preserve">Restriction Level / Method: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Authority Required – Telephone/Electronic/Emergency</w:t>
            </w:r>
          </w:p>
        </w:tc>
      </w:tr>
      <w:tr w:rsidR="00825186" w:rsidRPr="003D6709" w:rsidTr="006F4C55">
        <w:tc>
          <w:tcPr>
            <w:tcW w:w="5000" w:type="pct"/>
            <w:tcBorders>
              <w:bottom w:val="nil"/>
            </w:tcBorders>
            <w:vAlign w:val="center"/>
            <w:hideMark/>
          </w:tcPr>
          <w:p w:rsidR="00825186" w:rsidRPr="003D6709" w:rsidRDefault="00825186" w:rsidP="008101AD">
            <w:pPr>
              <w:jc w:val="left"/>
              <w:rPr>
                <w:rFonts w:ascii="Arial Narrow" w:hAnsi="Arial Narrow"/>
                <w:color w:val="333333"/>
                <w:sz w:val="18"/>
                <w:szCs w:val="18"/>
              </w:rPr>
            </w:pPr>
            <w:r w:rsidRPr="003D6709">
              <w:rPr>
                <w:rFonts w:ascii="Arial Narrow" w:hAnsi="Arial Narrow"/>
                <w:b/>
                <w:color w:val="333333"/>
                <w:sz w:val="18"/>
                <w:szCs w:val="18"/>
              </w:rPr>
              <w:t>Indication:</w:t>
            </w:r>
            <w:r w:rsidRPr="003D6709">
              <w:rPr>
                <w:rFonts w:ascii="Arial Narrow" w:hAnsi="Arial Narrow"/>
                <w:color w:val="333333"/>
                <w:sz w:val="18"/>
                <w:szCs w:val="18"/>
              </w:rPr>
              <w:t xml:space="preserve"> Relapsed or refractory chronic lymphocytic leukaemia (CLL) or small lymphocytic lymphoma (SLL) </w:t>
            </w:r>
          </w:p>
        </w:tc>
      </w:tr>
      <w:tr w:rsidR="00825186" w:rsidRPr="003D6709" w:rsidTr="006F4C55">
        <w:tc>
          <w:tcPr>
            <w:tcW w:w="5000" w:type="pct"/>
            <w:tcBorders>
              <w:top w:val="nil"/>
              <w:bottom w:val="nil"/>
            </w:tcBorders>
            <w:vAlign w:val="center"/>
            <w:hideMark/>
          </w:tcPr>
          <w:p w:rsidR="00825186" w:rsidRPr="003D6709" w:rsidRDefault="00825186" w:rsidP="008101AD">
            <w:pPr>
              <w:rPr>
                <w:rFonts w:ascii="Arial Narrow" w:hAnsi="Arial Narrow"/>
                <w:color w:val="333333"/>
                <w:sz w:val="18"/>
                <w:szCs w:val="18"/>
              </w:rPr>
            </w:pPr>
            <w:r w:rsidRPr="003D6709">
              <w:rPr>
                <w:rFonts w:ascii="Arial Narrow" w:hAnsi="Arial Narrow"/>
                <w:b/>
                <w:bCs/>
                <w:color w:val="333333"/>
                <w:sz w:val="18"/>
                <w:szCs w:val="18"/>
              </w:rPr>
              <w:t>Treatment Phase:</w:t>
            </w:r>
            <w:r w:rsidRPr="003D6709">
              <w:rPr>
                <w:rFonts w:ascii="Arial Narrow" w:hAnsi="Arial Narrow"/>
                <w:color w:val="333333"/>
                <w:sz w:val="18"/>
                <w:szCs w:val="18"/>
              </w:rPr>
              <w:t xml:space="preserve"> Continuing treatment of relapsed or refractory CLL/SLL</w:t>
            </w:r>
          </w:p>
        </w:tc>
      </w:tr>
      <w:tr w:rsidR="00825186" w:rsidRPr="003D6709" w:rsidTr="006F4C55">
        <w:tc>
          <w:tcPr>
            <w:tcW w:w="5000" w:type="pct"/>
            <w:tcBorders>
              <w:top w:val="nil"/>
              <w:bottom w:val="nil"/>
            </w:tcBorders>
            <w:vAlign w:val="center"/>
          </w:tcPr>
          <w:p w:rsidR="00825186" w:rsidRPr="003D6709" w:rsidRDefault="00825186" w:rsidP="008101AD">
            <w:pPr>
              <w:rPr>
                <w:rFonts w:ascii="Arial Narrow" w:hAnsi="Arial Narrow"/>
                <w:b/>
                <w:bCs/>
                <w:color w:val="333333"/>
                <w:sz w:val="18"/>
                <w:szCs w:val="18"/>
              </w:rPr>
            </w:pPr>
            <w:r w:rsidRPr="003D6709">
              <w:rPr>
                <w:rFonts w:ascii="Arial Narrow" w:hAnsi="Arial Narrow"/>
                <w:b/>
                <w:bCs/>
                <w:color w:val="333333"/>
                <w:sz w:val="18"/>
                <w:szCs w:val="18"/>
              </w:rPr>
              <w:t>Clinical criteria:</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7"/>
              </w:numPr>
              <w:rPr>
                <w:rFonts w:ascii="Arial Narrow" w:hAnsi="Arial Narrow"/>
                <w:b/>
                <w:bCs/>
                <w:color w:val="333333"/>
                <w:sz w:val="18"/>
                <w:szCs w:val="18"/>
              </w:rPr>
            </w:pPr>
            <w:r w:rsidRPr="003D6709">
              <w:rPr>
                <w:rFonts w:ascii="Arial Narrow" w:hAnsi="Arial Narrow"/>
                <w:color w:val="333333"/>
                <w:sz w:val="18"/>
                <w:szCs w:val="18"/>
              </w:rPr>
              <w:t>The treatment must be the sole PBS-subsidised therapy for this condition</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rPr>
                <w:rFonts w:ascii="Arial Narrow" w:hAnsi="Arial Narrow"/>
                <w:color w:val="333333"/>
                <w:sz w:val="18"/>
                <w:szCs w:val="18"/>
              </w:rPr>
            </w:pPr>
            <w:r w:rsidRPr="003D6709">
              <w:rPr>
                <w:rFonts w:ascii="Arial Narrow" w:hAnsi="Arial Narrow"/>
                <w:b/>
                <w:bCs/>
                <w:color w:val="333333"/>
                <w:sz w:val="18"/>
                <w:szCs w:val="18"/>
              </w:rPr>
              <w:t>AND</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numPr>
                <w:ilvl w:val="0"/>
                <w:numId w:val="27"/>
              </w:numPr>
              <w:rPr>
                <w:rFonts w:ascii="Arial Narrow" w:hAnsi="Arial Narrow"/>
                <w:color w:val="333333"/>
                <w:sz w:val="18"/>
                <w:szCs w:val="18"/>
              </w:rPr>
            </w:pPr>
            <w:r w:rsidRPr="003D6709">
              <w:rPr>
                <w:rFonts w:ascii="Arial Narrow" w:hAnsi="Arial Narrow"/>
                <w:color w:val="333333"/>
                <w:sz w:val="18"/>
                <w:szCs w:val="18"/>
              </w:rPr>
              <w:t>Patient must have previously received PBS-subsidised treatment with this drug for this condition</w:t>
            </w:r>
          </w:p>
        </w:tc>
      </w:tr>
      <w:tr w:rsidR="00825186" w:rsidRPr="003D6709" w:rsidTr="006F4C55">
        <w:tc>
          <w:tcPr>
            <w:tcW w:w="5000" w:type="pct"/>
            <w:tcBorders>
              <w:top w:val="nil"/>
              <w:bottom w:val="nil"/>
            </w:tcBorders>
            <w:vAlign w:val="center"/>
          </w:tcPr>
          <w:p w:rsidR="00825186" w:rsidRPr="003D6709" w:rsidRDefault="00825186" w:rsidP="00825186">
            <w:pPr>
              <w:pStyle w:val="ListParagraph"/>
              <w:rPr>
                <w:rFonts w:ascii="Arial Narrow" w:hAnsi="Arial Narrow"/>
                <w:color w:val="333333"/>
                <w:sz w:val="18"/>
                <w:szCs w:val="18"/>
              </w:rPr>
            </w:pPr>
            <w:r w:rsidRPr="003D6709">
              <w:rPr>
                <w:rFonts w:ascii="Arial Narrow" w:hAnsi="Arial Narrow"/>
                <w:b/>
                <w:bCs/>
                <w:color w:val="333333"/>
                <w:sz w:val="18"/>
                <w:szCs w:val="18"/>
              </w:rPr>
              <w:lastRenderedPageBreak/>
              <w:t>AND</w:t>
            </w:r>
          </w:p>
        </w:tc>
      </w:tr>
      <w:tr w:rsidR="00825186" w:rsidRPr="003D6709" w:rsidTr="006F4C55">
        <w:trPr>
          <w:trHeight w:val="176"/>
        </w:trPr>
        <w:tc>
          <w:tcPr>
            <w:tcW w:w="5000" w:type="pct"/>
            <w:tcBorders>
              <w:top w:val="nil"/>
            </w:tcBorders>
            <w:vAlign w:val="center"/>
          </w:tcPr>
          <w:p w:rsidR="00825186" w:rsidRPr="003D6709" w:rsidRDefault="00825186" w:rsidP="00825186">
            <w:pPr>
              <w:pStyle w:val="ListParagraph"/>
              <w:numPr>
                <w:ilvl w:val="0"/>
                <w:numId w:val="27"/>
              </w:numPr>
              <w:rPr>
                <w:rFonts w:ascii="Arial Narrow" w:hAnsi="Arial Narrow"/>
                <w:color w:val="333333"/>
                <w:sz w:val="18"/>
                <w:szCs w:val="18"/>
              </w:rPr>
            </w:pPr>
            <w:r w:rsidRPr="003D6709">
              <w:rPr>
                <w:rFonts w:ascii="Arial Narrow" w:hAnsi="Arial Narrow"/>
                <w:bCs/>
                <w:color w:val="333333"/>
                <w:sz w:val="18"/>
                <w:szCs w:val="18"/>
              </w:rPr>
              <w:t xml:space="preserve">Patient must not develop disease progression while receiving PBS-subsidised treatment with this drug for this condition </w:t>
            </w:r>
          </w:p>
        </w:tc>
      </w:tr>
      <w:tr w:rsidR="000E1DD2" w:rsidRPr="003D6709" w:rsidTr="006F4C55">
        <w:trPr>
          <w:trHeight w:val="453"/>
        </w:trPr>
        <w:tc>
          <w:tcPr>
            <w:tcW w:w="5000" w:type="pct"/>
            <w:vAlign w:val="center"/>
            <w:hideMark/>
          </w:tcPr>
          <w:p w:rsidR="000E1DD2" w:rsidRPr="003D6709" w:rsidRDefault="000E1DD2" w:rsidP="008101AD">
            <w:pPr>
              <w:rPr>
                <w:rFonts w:ascii="Arial Narrow" w:hAnsi="Arial Narrow"/>
                <w:color w:val="333333"/>
                <w:sz w:val="18"/>
                <w:szCs w:val="18"/>
              </w:rPr>
            </w:pPr>
            <w:r w:rsidRPr="003D6709">
              <w:rPr>
                <w:rFonts w:ascii="Arial Narrow" w:hAnsi="Arial Narrow"/>
                <w:b/>
                <w:bCs/>
                <w:color w:val="333333"/>
                <w:sz w:val="18"/>
                <w:szCs w:val="18"/>
              </w:rPr>
              <w:t>Administrative Advice:</w:t>
            </w:r>
            <w:r w:rsidRPr="003D6709">
              <w:rPr>
                <w:rFonts w:ascii="Arial Narrow" w:hAnsi="Arial Narrow"/>
                <w:color w:val="333333"/>
                <w:sz w:val="18"/>
                <w:szCs w:val="18"/>
              </w:rPr>
              <w:t xml:space="preserve"> </w:t>
            </w:r>
          </w:p>
          <w:p w:rsidR="000E1DD2" w:rsidRPr="003D6709" w:rsidRDefault="000E1DD2" w:rsidP="008101AD">
            <w:pPr>
              <w:rPr>
                <w:rFonts w:ascii="Arial Narrow" w:hAnsi="Arial Narrow"/>
                <w:color w:val="333333"/>
                <w:sz w:val="18"/>
                <w:szCs w:val="18"/>
              </w:rPr>
            </w:pPr>
            <w:r w:rsidRPr="003D6709">
              <w:rPr>
                <w:rFonts w:ascii="Arial Narrow" w:hAnsi="Arial Narrow"/>
                <w:color w:val="333333"/>
                <w:sz w:val="18"/>
                <w:szCs w:val="18"/>
              </w:rPr>
              <w:t>No increase in the maximum number of repeats may be authorised.</w:t>
            </w:r>
          </w:p>
          <w:p w:rsidR="000E1DD2" w:rsidRPr="003D6709" w:rsidRDefault="000E1DD2" w:rsidP="008101AD">
            <w:pPr>
              <w:rPr>
                <w:rFonts w:ascii="Arial Narrow" w:hAnsi="Arial Narrow"/>
                <w:color w:val="333333"/>
                <w:sz w:val="18"/>
                <w:szCs w:val="18"/>
              </w:rPr>
            </w:pPr>
            <w:r w:rsidRPr="003D6709">
              <w:rPr>
                <w:rFonts w:ascii="Arial Narrow" w:hAnsi="Arial Narrow"/>
                <w:color w:val="333333"/>
                <w:sz w:val="18"/>
                <w:szCs w:val="18"/>
              </w:rPr>
              <w:t xml:space="preserve">Special Pricing Arrangements apply. </w:t>
            </w:r>
          </w:p>
        </w:tc>
      </w:tr>
    </w:tbl>
    <w:p w:rsidR="008101AD" w:rsidRPr="003D6709" w:rsidRDefault="008101AD" w:rsidP="008101AD">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0E1DD2" w:rsidRPr="003D6709" w:rsidTr="006F4C55">
        <w:tc>
          <w:tcPr>
            <w:tcW w:w="5000" w:type="pct"/>
            <w:tcBorders>
              <w:top w:val="single" w:sz="4" w:space="0" w:color="auto"/>
              <w:left w:val="single" w:sz="4" w:space="0" w:color="auto"/>
              <w:bottom w:val="single" w:sz="4" w:space="0" w:color="auto"/>
              <w:right w:val="single" w:sz="4" w:space="0" w:color="auto"/>
            </w:tcBorders>
          </w:tcPr>
          <w:p w:rsidR="000E1DD2" w:rsidRPr="003D6709" w:rsidRDefault="000E1DD2" w:rsidP="008101AD">
            <w:pPr>
              <w:rPr>
                <w:rFonts w:ascii="Arial Narrow" w:hAnsi="Arial Narrow"/>
                <w:sz w:val="18"/>
                <w:szCs w:val="18"/>
              </w:rPr>
            </w:pPr>
            <w:r w:rsidRPr="003D6709">
              <w:rPr>
                <w:rFonts w:ascii="Arial Narrow" w:hAnsi="Arial Narrow"/>
                <w:b/>
                <w:sz w:val="18"/>
                <w:szCs w:val="18"/>
              </w:rPr>
              <w:t xml:space="preserve">Category / Program: </w:t>
            </w:r>
            <w:r w:rsidRPr="003D6709">
              <w:rPr>
                <w:rFonts w:ascii="Arial Narrow" w:hAnsi="Arial Narrow"/>
                <w:sz w:val="18"/>
                <w:szCs w:val="18"/>
              </w:rPr>
              <w:t xml:space="preserve">GENERAL – General Schedule (Code GE) </w:t>
            </w:r>
          </w:p>
        </w:tc>
      </w:tr>
      <w:tr w:rsidR="000E1DD2" w:rsidRPr="003D6709" w:rsidTr="006F4C55">
        <w:trPr>
          <w:trHeight w:val="262"/>
        </w:trPr>
        <w:tc>
          <w:tcPr>
            <w:tcW w:w="5000" w:type="pct"/>
            <w:tcBorders>
              <w:top w:val="single" w:sz="4" w:space="0" w:color="auto"/>
              <w:left w:val="single" w:sz="4" w:space="0" w:color="auto"/>
              <w:bottom w:val="single" w:sz="4" w:space="0" w:color="auto"/>
              <w:right w:val="single" w:sz="4" w:space="0" w:color="auto"/>
            </w:tcBorders>
          </w:tcPr>
          <w:p w:rsidR="000E1DD2" w:rsidRPr="003D6709" w:rsidRDefault="000E1DD2" w:rsidP="008101AD">
            <w:pPr>
              <w:rPr>
                <w:rFonts w:ascii="Arial Narrow" w:hAnsi="Arial Narrow"/>
                <w:sz w:val="18"/>
                <w:szCs w:val="18"/>
              </w:rPr>
            </w:pPr>
            <w:r w:rsidRPr="003D6709">
              <w:rPr>
                <w:rFonts w:ascii="Arial Narrow" w:hAnsi="Arial Narrow"/>
                <w:b/>
                <w:sz w:val="18"/>
                <w:szCs w:val="18"/>
              </w:rPr>
              <w:t xml:space="preserve">Prescriber type:  </w:t>
            </w:r>
            <w:r w:rsidRPr="003D6709">
              <w:rPr>
                <w:rFonts w:ascii="Arial Narrow" w:hAnsi="Arial Narrow"/>
                <w:sz w:val="18"/>
                <w:szCs w:val="18"/>
              </w:rPr>
              <w:fldChar w:fldCharType="begin">
                <w:ffData>
                  <w:name w:val="Check1"/>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Dental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 Medical Practitioners  </w:t>
            </w:r>
            <w:r w:rsidRPr="003D6709">
              <w:rPr>
                <w:rFonts w:ascii="Arial Narrow" w:hAnsi="Arial Narrow"/>
                <w:sz w:val="18"/>
                <w:szCs w:val="18"/>
              </w:rPr>
              <w:fldChar w:fldCharType="begin">
                <w:ffData>
                  <w:name w:val="Check3"/>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Nurse practitioners  </w:t>
            </w:r>
            <w:r w:rsidRPr="003D6709">
              <w:rPr>
                <w:rFonts w:ascii="Arial Narrow" w:hAnsi="Arial Narrow"/>
                <w:sz w:val="18"/>
                <w:szCs w:val="18"/>
              </w:rPr>
              <w:fldChar w:fldCharType="begin">
                <w:ffData>
                  <w:name w:val=""/>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Optometrists    </w:t>
            </w:r>
            <w:r w:rsidRPr="003D6709">
              <w:rPr>
                <w:rFonts w:ascii="Arial Narrow" w:hAnsi="Arial Narrow"/>
                <w:sz w:val="18"/>
                <w:szCs w:val="18"/>
              </w:rPr>
              <w:fldChar w:fldCharType="begin">
                <w:ffData>
                  <w:name w:val="Check5"/>
                  <w:enabled/>
                  <w:calcOnExit w:val="0"/>
                  <w:checkBox>
                    <w:sizeAuto/>
                    <w:default w:val="0"/>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Midwives</w:t>
            </w:r>
          </w:p>
        </w:tc>
      </w:tr>
      <w:tr w:rsidR="000E1DD2" w:rsidRPr="003D6709" w:rsidTr="006F4C55">
        <w:tc>
          <w:tcPr>
            <w:tcW w:w="5000" w:type="pct"/>
            <w:tcBorders>
              <w:top w:val="single" w:sz="4" w:space="0" w:color="auto"/>
              <w:left w:val="single" w:sz="4" w:space="0" w:color="auto"/>
              <w:bottom w:val="single" w:sz="4" w:space="0" w:color="auto"/>
              <w:right w:val="single" w:sz="4" w:space="0" w:color="auto"/>
            </w:tcBorders>
          </w:tcPr>
          <w:p w:rsidR="000E1DD2" w:rsidRPr="003D6709" w:rsidRDefault="000E1DD2" w:rsidP="008101AD">
            <w:pPr>
              <w:rPr>
                <w:rFonts w:ascii="Arial Narrow" w:hAnsi="Arial Narrow"/>
                <w:b/>
                <w:sz w:val="18"/>
                <w:szCs w:val="18"/>
              </w:rPr>
            </w:pPr>
            <w:r w:rsidRPr="003D6709">
              <w:rPr>
                <w:rFonts w:ascii="Arial Narrow" w:hAnsi="Arial Narrow"/>
                <w:b/>
                <w:sz w:val="18"/>
                <w:szCs w:val="18"/>
              </w:rPr>
              <w:t xml:space="preserve">Restriction Level / Method: </w:t>
            </w:r>
            <w:r w:rsidRPr="003D6709">
              <w:rPr>
                <w:rFonts w:ascii="Arial Narrow" w:hAnsi="Arial Narrow"/>
                <w:sz w:val="18"/>
                <w:szCs w:val="18"/>
              </w:rPr>
              <w:fldChar w:fldCharType="begin">
                <w:ffData>
                  <w:name w:val=""/>
                  <w:enabled/>
                  <w:calcOnExit w:val="0"/>
                  <w:checkBox>
                    <w:sizeAuto/>
                    <w:default w:val="1"/>
                  </w:checkBox>
                </w:ffData>
              </w:fldChar>
            </w:r>
            <w:r w:rsidRPr="003D6709">
              <w:rPr>
                <w:rFonts w:ascii="Arial Narrow" w:hAnsi="Arial Narrow"/>
                <w:sz w:val="18"/>
                <w:szCs w:val="18"/>
              </w:rPr>
              <w:instrText xml:space="preserve"> FORMCHECKBOX </w:instrText>
            </w:r>
            <w:r w:rsidR="005E63F7">
              <w:rPr>
                <w:rFonts w:ascii="Arial Narrow" w:hAnsi="Arial Narrow"/>
                <w:sz w:val="18"/>
                <w:szCs w:val="18"/>
              </w:rPr>
            </w:r>
            <w:r w:rsidR="005E63F7">
              <w:rPr>
                <w:rFonts w:ascii="Arial Narrow" w:hAnsi="Arial Narrow"/>
                <w:sz w:val="18"/>
                <w:szCs w:val="18"/>
              </w:rPr>
              <w:fldChar w:fldCharType="separate"/>
            </w:r>
            <w:r w:rsidRPr="003D6709">
              <w:rPr>
                <w:rFonts w:ascii="Arial Narrow" w:hAnsi="Arial Narrow"/>
                <w:sz w:val="18"/>
                <w:szCs w:val="18"/>
              </w:rPr>
              <w:fldChar w:fldCharType="end"/>
            </w:r>
            <w:r w:rsidRPr="003D6709">
              <w:rPr>
                <w:rFonts w:ascii="Arial Narrow" w:hAnsi="Arial Narrow"/>
                <w:sz w:val="18"/>
                <w:szCs w:val="18"/>
              </w:rPr>
              <w:t xml:space="preserve"> Authority Required – Telephone/Electronic/Emergency</w:t>
            </w:r>
          </w:p>
        </w:tc>
      </w:tr>
      <w:tr w:rsidR="000E1DD2" w:rsidRPr="003D6709" w:rsidTr="006F4C55">
        <w:tc>
          <w:tcPr>
            <w:tcW w:w="5000" w:type="pct"/>
            <w:tcBorders>
              <w:bottom w:val="nil"/>
            </w:tcBorders>
            <w:vAlign w:val="center"/>
            <w:hideMark/>
          </w:tcPr>
          <w:p w:rsidR="000E1DD2" w:rsidRPr="003D6709" w:rsidRDefault="000E1DD2" w:rsidP="008101AD">
            <w:pPr>
              <w:jc w:val="left"/>
              <w:rPr>
                <w:rFonts w:ascii="Arial Narrow" w:hAnsi="Arial Narrow"/>
                <w:color w:val="333333"/>
                <w:sz w:val="18"/>
                <w:szCs w:val="18"/>
              </w:rPr>
            </w:pPr>
            <w:r w:rsidRPr="003D6709">
              <w:rPr>
                <w:rFonts w:ascii="Arial Narrow" w:hAnsi="Arial Narrow"/>
                <w:b/>
                <w:color w:val="333333"/>
                <w:sz w:val="18"/>
                <w:szCs w:val="18"/>
              </w:rPr>
              <w:t>Indication:</w:t>
            </w:r>
            <w:r w:rsidRPr="003D6709">
              <w:rPr>
                <w:rFonts w:ascii="Arial Narrow" w:hAnsi="Arial Narrow"/>
                <w:color w:val="333333"/>
                <w:sz w:val="18"/>
                <w:szCs w:val="18"/>
              </w:rPr>
              <w:t xml:space="preserve"> Relapsed or refractory chronic lymphocytic leukaemia (CLL) or small lymphocytic lymphoma (SLL)</w:t>
            </w:r>
          </w:p>
        </w:tc>
      </w:tr>
      <w:tr w:rsidR="000E1DD2" w:rsidRPr="003D6709" w:rsidTr="006F4C55">
        <w:trPr>
          <w:trHeight w:val="176"/>
        </w:trPr>
        <w:tc>
          <w:tcPr>
            <w:tcW w:w="5000" w:type="pct"/>
            <w:tcBorders>
              <w:top w:val="nil"/>
              <w:bottom w:val="nil"/>
            </w:tcBorders>
            <w:vAlign w:val="center"/>
            <w:hideMark/>
          </w:tcPr>
          <w:p w:rsidR="000E1DD2" w:rsidRPr="003D6709" w:rsidRDefault="000E1DD2" w:rsidP="008101AD">
            <w:pPr>
              <w:jc w:val="left"/>
              <w:rPr>
                <w:rFonts w:ascii="Arial Narrow" w:hAnsi="Arial Narrow"/>
                <w:color w:val="333333"/>
                <w:sz w:val="18"/>
                <w:szCs w:val="18"/>
              </w:rPr>
            </w:pPr>
            <w:r w:rsidRPr="003D6709">
              <w:rPr>
                <w:rFonts w:ascii="Arial Narrow" w:hAnsi="Arial Narrow"/>
                <w:b/>
                <w:bCs/>
                <w:color w:val="333333"/>
                <w:sz w:val="18"/>
                <w:szCs w:val="18"/>
              </w:rPr>
              <w:t>Treatment Phase:</w:t>
            </w:r>
            <w:r w:rsidRPr="003D6709">
              <w:rPr>
                <w:rFonts w:ascii="Arial Narrow" w:hAnsi="Arial Narrow"/>
                <w:color w:val="333333"/>
                <w:sz w:val="18"/>
                <w:szCs w:val="18"/>
              </w:rPr>
              <w:t xml:space="preserve"> Grandfather treatment (initial treatment in a patient commenced on non-PBS subsidised treatment)</w:t>
            </w:r>
          </w:p>
        </w:tc>
      </w:tr>
      <w:tr w:rsidR="000E1DD2" w:rsidRPr="003D6709" w:rsidTr="006F4C55">
        <w:tc>
          <w:tcPr>
            <w:tcW w:w="5000" w:type="pct"/>
            <w:tcBorders>
              <w:top w:val="nil"/>
              <w:bottom w:val="nil"/>
            </w:tcBorders>
            <w:vAlign w:val="center"/>
          </w:tcPr>
          <w:p w:rsidR="000E1DD2" w:rsidRPr="003D6709" w:rsidRDefault="000E1DD2" w:rsidP="008101AD">
            <w:pPr>
              <w:jc w:val="left"/>
              <w:rPr>
                <w:rFonts w:ascii="Arial Narrow" w:hAnsi="Arial Narrow"/>
                <w:b/>
                <w:bCs/>
                <w:color w:val="333333"/>
                <w:sz w:val="18"/>
                <w:szCs w:val="18"/>
              </w:rPr>
            </w:pPr>
            <w:r w:rsidRPr="003D6709">
              <w:rPr>
                <w:rFonts w:ascii="Arial Narrow" w:hAnsi="Arial Narrow"/>
                <w:b/>
                <w:bCs/>
                <w:color w:val="333333"/>
                <w:sz w:val="18"/>
                <w:szCs w:val="18"/>
              </w:rPr>
              <w:t>Clinical criteria:</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b/>
                <w:bCs/>
                <w:color w:val="333333"/>
                <w:sz w:val="18"/>
                <w:szCs w:val="18"/>
              </w:rPr>
            </w:pPr>
            <w:r w:rsidRPr="003D6709">
              <w:rPr>
                <w:rFonts w:ascii="Arial Narrow" w:hAnsi="Arial Narrow"/>
                <w:color w:val="333333"/>
                <w:sz w:val="18"/>
                <w:szCs w:val="18"/>
              </w:rPr>
              <w:t xml:space="preserve">Patient must have previously received non-PBS-subsidised treatment with this drug for relapsed or refractory CLL/SLL prior to 1 Month 202X </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b/>
                <w:color w:val="333333"/>
                <w:sz w:val="18"/>
                <w:szCs w:val="18"/>
              </w:rPr>
            </w:pPr>
            <w:r w:rsidRPr="003D6709">
              <w:rPr>
                <w:rFonts w:ascii="Arial Narrow" w:hAnsi="Arial Narrow"/>
                <w:b/>
                <w:color w:val="333333"/>
                <w:sz w:val="18"/>
                <w:szCs w:val="18"/>
              </w:rPr>
              <w:t>AND</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color w:val="333333"/>
                <w:sz w:val="18"/>
                <w:szCs w:val="18"/>
              </w:rPr>
            </w:pPr>
            <w:r w:rsidRPr="003D6709">
              <w:rPr>
                <w:rFonts w:ascii="Arial Narrow" w:hAnsi="Arial Narrow"/>
                <w:color w:val="333333"/>
                <w:sz w:val="18"/>
                <w:szCs w:val="18"/>
              </w:rPr>
              <w:t>The treatment must be the sole PBS-subsidised therapy for this condition</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color w:val="333333"/>
                <w:sz w:val="18"/>
                <w:szCs w:val="18"/>
              </w:rPr>
            </w:pPr>
            <w:r w:rsidRPr="003D6709">
              <w:rPr>
                <w:rFonts w:ascii="Arial Narrow" w:hAnsi="Arial Narrow"/>
                <w:b/>
                <w:bCs/>
                <w:color w:val="333333"/>
                <w:sz w:val="18"/>
                <w:szCs w:val="18"/>
              </w:rPr>
              <w:t>AND</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color w:val="333333"/>
                <w:sz w:val="18"/>
                <w:szCs w:val="18"/>
              </w:rPr>
            </w:pPr>
            <w:r w:rsidRPr="003D6709">
              <w:rPr>
                <w:rFonts w:ascii="Arial Narrow" w:hAnsi="Arial Narrow"/>
                <w:color w:val="333333"/>
                <w:sz w:val="18"/>
                <w:szCs w:val="18"/>
              </w:rPr>
              <w:t>The condition must have relapsed or be refractory to at least one prior therapy prior to initiating non-PBS subsidised treatment with this drug for this condition</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color w:val="333333"/>
                <w:sz w:val="18"/>
                <w:szCs w:val="18"/>
              </w:rPr>
            </w:pPr>
            <w:r w:rsidRPr="003D6709">
              <w:rPr>
                <w:rFonts w:ascii="Arial Narrow" w:hAnsi="Arial Narrow"/>
                <w:b/>
                <w:bCs/>
                <w:color w:val="333333"/>
                <w:sz w:val="18"/>
                <w:szCs w:val="18"/>
              </w:rPr>
              <w:t>AND</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color w:val="333333"/>
                <w:sz w:val="18"/>
                <w:szCs w:val="18"/>
              </w:rPr>
            </w:pPr>
            <w:r w:rsidRPr="003D6709">
              <w:rPr>
                <w:rFonts w:ascii="Arial Narrow" w:hAnsi="Arial Narrow"/>
                <w:bCs/>
                <w:color w:val="333333"/>
                <w:sz w:val="18"/>
                <w:szCs w:val="18"/>
              </w:rPr>
              <w:t>Patient must have had a WHO performance status of 0 or 1 prior to initiating non-PBS subsidised treatment with this drug for this condition</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color w:val="333333"/>
                <w:sz w:val="18"/>
                <w:szCs w:val="18"/>
              </w:rPr>
            </w:pPr>
            <w:r w:rsidRPr="003D6709">
              <w:rPr>
                <w:rFonts w:ascii="Arial Narrow" w:hAnsi="Arial Narrow"/>
                <w:b/>
                <w:bCs/>
                <w:color w:val="333333"/>
                <w:sz w:val="18"/>
                <w:szCs w:val="18"/>
              </w:rPr>
              <w:t>AND</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color w:val="333333"/>
                <w:sz w:val="18"/>
                <w:szCs w:val="18"/>
              </w:rPr>
            </w:pPr>
            <w:r w:rsidRPr="003D6709">
              <w:rPr>
                <w:rFonts w:ascii="Arial Narrow" w:hAnsi="Arial Narrow"/>
                <w:bCs/>
                <w:color w:val="333333"/>
                <w:sz w:val="18"/>
                <w:szCs w:val="18"/>
              </w:rPr>
              <w:t>Patient must have been considered unsuitable for treatment or retreatment with a purine analogue</w:t>
            </w:r>
            <w:r w:rsidRPr="003D6709">
              <w:t xml:space="preserve"> </w:t>
            </w:r>
            <w:r w:rsidRPr="003D6709">
              <w:rPr>
                <w:rFonts w:ascii="Arial Narrow" w:hAnsi="Arial Narrow"/>
                <w:bCs/>
                <w:color w:val="333333"/>
                <w:sz w:val="18"/>
                <w:szCs w:val="18"/>
              </w:rPr>
              <w:t>prior to initiating non-PBS subsidised treatment with this drug for this condition</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bCs/>
                <w:color w:val="333333"/>
                <w:sz w:val="18"/>
                <w:szCs w:val="18"/>
              </w:rPr>
            </w:pPr>
            <w:r w:rsidRPr="003D6709">
              <w:rPr>
                <w:rFonts w:ascii="Arial Narrow" w:hAnsi="Arial Narrow"/>
                <w:b/>
                <w:bCs/>
                <w:color w:val="333333"/>
                <w:sz w:val="18"/>
                <w:szCs w:val="18"/>
              </w:rPr>
              <w:t>AND</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bCs/>
                <w:color w:val="333333"/>
                <w:sz w:val="18"/>
                <w:szCs w:val="18"/>
              </w:rPr>
            </w:pPr>
            <w:r w:rsidRPr="003D6709">
              <w:rPr>
                <w:rFonts w:ascii="Arial Narrow" w:hAnsi="Arial Narrow"/>
                <w:bCs/>
                <w:color w:val="333333"/>
                <w:sz w:val="18"/>
                <w:szCs w:val="18"/>
              </w:rPr>
              <w:t>Patient must be considered unsuitable for treatment or retreatment with a purine analogue</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b/>
                <w:bCs/>
                <w:color w:val="333333"/>
                <w:sz w:val="18"/>
                <w:szCs w:val="18"/>
              </w:rPr>
            </w:pPr>
            <w:r w:rsidRPr="003D6709">
              <w:rPr>
                <w:rFonts w:ascii="Arial Narrow" w:hAnsi="Arial Narrow"/>
                <w:b/>
                <w:bCs/>
                <w:color w:val="333333"/>
                <w:sz w:val="18"/>
                <w:szCs w:val="18"/>
              </w:rPr>
              <w:t>AND</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b/>
                <w:bCs/>
                <w:color w:val="333333"/>
                <w:sz w:val="18"/>
                <w:szCs w:val="18"/>
              </w:rPr>
            </w:pPr>
            <w:r w:rsidRPr="003D6709">
              <w:rPr>
                <w:rFonts w:ascii="Arial Narrow" w:hAnsi="Arial Narrow"/>
                <w:bCs/>
                <w:color w:val="333333"/>
                <w:sz w:val="18"/>
                <w:szCs w:val="18"/>
              </w:rPr>
              <w:t>Patient must not have received treat</w:t>
            </w:r>
            <w:r w:rsidR="00496990" w:rsidRPr="003D6709">
              <w:rPr>
                <w:rFonts w:ascii="Arial Narrow" w:hAnsi="Arial Narrow"/>
                <w:bCs/>
                <w:color w:val="333333"/>
                <w:sz w:val="18"/>
                <w:szCs w:val="18"/>
              </w:rPr>
              <w:t>m</w:t>
            </w:r>
            <w:r w:rsidRPr="003D6709">
              <w:rPr>
                <w:rFonts w:ascii="Arial Narrow" w:hAnsi="Arial Narrow"/>
                <w:bCs/>
                <w:color w:val="333333"/>
                <w:sz w:val="18"/>
                <w:szCs w:val="18"/>
              </w:rPr>
              <w:t xml:space="preserve">ent with another </w:t>
            </w:r>
            <w:proofErr w:type="spellStart"/>
            <w:r w:rsidRPr="003D6709">
              <w:rPr>
                <w:rFonts w:ascii="Arial Narrow" w:hAnsi="Arial Narrow"/>
                <w:bCs/>
                <w:color w:val="333333"/>
                <w:sz w:val="18"/>
                <w:szCs w:val="18"/>
              </w:rPr>
              <w:t>Bruton’s</w:t>
            </w:r>
            <w:proofErr w:type="spellEnd"/>
            <w:r w:rsidRPr="003D6709">
              <w:rPr>
                <w:rFonts w:ascii="Arial Narrow" w:hAnsi="Arial Narrow"/>
                <w:bCs/>
                <w:color w:val="333333"/>
                <w:sz w:val="18"/>
                <w:szCs w:val="18"/>
              </w:rPr>
              <w:t xml:space="preserve"> tyrosine kinase (BTK) inhibitor for any line of treatment of CLL/SLL (untreated or relapsed/refractory disease) prior to initiating non-PBS subsidised treatment with this drug for this condition; or </w:t>
            </w:r>
          </w:p>
        </w:tc>
      </w:tr>
      <w:tr w:rsidR="000E1DD2" w:rsidRPr="003D6709" w:rsidTr="006F4C55">
        <w:trPr>
          <w:trHeight w:val="650"/>
        </w:trPr>
        <w:tc>
          <w:tcPr>
            <w:tcW w:w="5000" w:type="pct"/>
            <w:tcBorders>
              <w:top w:val="nil"/>
              <w:bottom w:val="nil"/>
            </w:tcBorders>
            <w:vAlign w:val="center"/>
          </w:tcPr>
          <w:p w:rsidR="000E1DD2" w:rsidRPr="003D6709" w:rsidRDefault="000E1DD2" w:rsidP="000E1DD2">
            <w:pPr>
              <w:pStyle w:val="ListParagraph"/>
              <w:numPr>
                <w:ilvl w:val="0"/>
                <w:numId w:val="28"/>
              </w:numPr>
              <w:jc w:val="left"/>
              <w:rPr>
                <w:rFonts w:ascii="Arial Narrow" w:hAnsi="Arial Narrow"/>
                <w:b/>
                <w:bCs/>
                <w:color w:val="333333"/>
                <w:sz w:val="18"/>
                <w:szCs w:val="18"/>
              </w:rPr>
            </w:pPr>
            <w:r w:rsidRPr="003D6709">
              <w:rPr>
                <w:rFonts w:ascii="Arial Narrow" w:hAnsi="Arial Narrow"/>
                <w:bCs/>
                <w:color w:val="333333"/>
                <w:sz w:val="18"/>
                <w:szCs w:val="18"/>
              </w:rPr>
              <w:t xml:space="preserve">Patient must have developed intolerance to another </w:t>
            </w:r>
            <w:proofErr w:type="spellStart"/>
            <w:r w:rsidRPr="003D6709">
              <w:rPr>
                <w:rFonts w:ascii="Arial Narrow" w:hAnsi="Arial Narrow"/>
                <w:bCs/>
                <w:color w:val="333333"/>
                <w:sz w:val="18"/>
                <w:szCs w:val="18"/>
              </w:rPr>
              <w:t>Bruton’s</w:t>
            </w:r>
            <w:proofErr w:type="spellEnd"/>
            <w:r w:rsidRPr="003D6709">
              <w:rPr>
                <w:rFonts w:ascii="Arial Narrow" w:hAnsi="Arial Narrow"/>
                <w:bCs/>
                <w:color w:val="333333"/>
                <w:sz w:val="18"/>
                <w:szCs w:val="18"/>
              </w:rPr>
              <w:t xml:space="preserve"> tyrosine kinase (BTK) inhibitor of a severity necessitating permanent treatment withdrawal when being treated for relapsed or refractory CLL/SLL</w:t>
            </w:r>
            <w:r w:rsidRPr="003D6709">
              <w:t xml:space="preserve"> </w:t>
            </w:r>
            <w:r w:rsidRPr="003D6709">
              <w:rPr>
                <w:rFonts w:ascii="Arial Narrow" w:hAnsi="Arial Narrow"/>
                <w:bCs/>
                <w:color w:val="333333"/>
                <w:sz w:val="18"/>
                <w:szCs w:val="18"/>
              </w:rPr>
              <w:t>prior to initiating non-PBS subsidised treatment with this drug for this condition</w:t>
            </w:r>
          </w:p>
        </w:tc>
      </w:tr>
      <w:tr w:rsidR="000E1DD2" w:rsidRPr="003D6709" w:rsidTr="006F4C55">
        <w:tc>
          <w:tcPr>
            <w:tcW w:w="5000" w:type="pct"/>
            <w:tcBorders>
              <w:top w:val="nil"/>
              <w:bottom w:val="nil"/>
            </w:tcBorders>
            <w:vAlign w:val="center"/>
          </w:tcPr>
          <w:p w:rsidR="000E1DD2" w:rsidRPr="003D6709" w:rsidRDefault="000E1DD2" w:rsidP="000E1DD2">
            <w:pPr>
              <w:pStyle w:val="ListParagraph"/>
              <w:jc w:val="left"/>
              <w:rPr>
                <w:rFonts w:ascii="Arial Narrow" w:hAnsi="Arial Narrow"/>
                <w:b/>
                <w:bCs/>
                <w:color w:val="333333"/>
                <w:sz w:val="18"/>
                <w:szCs w:val="18"/>
              </w:rPr>
            </w:pPr>
            <w:r w:rsidRPr="003D6709">
              <w:rPr>
                <w:rFonts w:ascii="Arial Narrow" w:hAnsi="Arial Narrow"/>
                <w:b/>
                <w:bCs/>
                <w:color w:val="333333"/>
                <w:sz w:val="18"/>
                <w:szCs w:val="18"/>
              </w:rPr>
              <w:t>AND</w:t>
            </w:r>
          </w:p>
        </w:tc>
      </w:tr>
      <w:tr w:rsidR="000E1DD2" w:rsidRPr="003D6709" w:rsidTr="006F4C55">
        <w:trPr>
          <w:trHeight w:val="176"/>
        </w:trPr>
        <w:tc>
          <w:tcPr>
            <w:tcW w:w="5000" w:type="pct"/>
            <w:tcBorders>
              <w:top w:val="nil"/>
            </w:tcBorders>
            <w:vAlign w:val="center"/>
          </w:tcPr>
          <w:p w:rsidR="000E1DD2" w:rsidRPr="003D6709" w:rsidRDefault="000E1DD2" w:rsidP="000E1DD2">
            <w:pPr>
              <w:pStyle w:val="ListParagraph"/>
              <w:numPr>
                <w:ilvl w:val="0"/>
                <w:numId w:val="28"/>
              </w:numPr>
              <w:jc w:val="left"/>
              <w:rPr>
                <w:rFonts w:ascii="Arial Narrow" w:hAnsi="Arial Narrow"/>
                <w:color w:val="333333"/>
                <w:sz w:val="18"/>
                <w:szCs w:val="18"/>
              </w:rPr>
            </w:pPr>
            <w:r w:rsidRPr="003D6709">
              <w:rPr>
                <w:rFonts w:ascii="Arial Narrow" w:hAnsi="Arial Narrow"/>
                <w:bCs/>
                <w:color w:val="333333"/>
                <w:sz w:val="18"/>
                <w:szCs w:val="18"/>
              </w:rPr>
              <w:t xml:space="preserve">Patient must not have developed disease progression while receiving treatment with this drug for this condition </w:t>
            </w:r>
          </w:p>
        </w:tc>
      </w:tr>
      <w:tr w:rsidR="000E1DD2" w:rsidRPr="003D6709" w:rsidTr="006F4C55">
        <w:tc>
          <w:tcPr>
            <w:tcW w:w="5000" w:type="pct"/>
            <w:vAlign w:val="center"/>
          </w:tcPr>
          <w:p w:rsidR="000E1DD2" w:rsidRPr="003D6709" w:rsidRDefault="000E1DD2" w:rsidP="00D62CC0">
            <w:pPr>
              <w:jc w:val="left"/>
              <w:rPr>
                <w:rFonts w:ascii="Arial Narrow" w:hAnsi="Arial Narrow"/>
                <w:b/>
                <w:bCs/>
                <w:color w:val="333333"/>
                <w:sz w:val="18"/>
                <w:szCs w:val="18"/>
              </w:rPr>
            </w:pPr>
            <w:r w:rsidRPr="003D6709">
              <w:rPr>
                <w:rFonts w:ascii="Arial Narrow" w:hAnsi="Arial Narrow"/>
                <w:b/>
                <w:bCs/>
                <w:color w:val="333333"/>
                <w:sz w:val="18"/>
                <w:szCs w:val="18"/>
              </w:rPr>
              <w:t xml:space="preserve">Prescribing Instructions: </w:t>
            </w:r>
          </w:p>
          <w:p w:rsidR="000E1DD2" w:rsidRPr="003D6709" w:rsidRDefault="000E1DD2" w:rsidP="00D62CC0">
            <w:pPr>
              <w:jc w:val="left"/>
              <w:rPr>
                <w:rFonts w:ascii="Arial Narrow" w:hAnsi="Arial Narrow"/>
                <w:bCs/>
                <w:color w:val="333333"/>
                <w:sz w:val="18"/>
                <w:szCs w:val="18"/>
              </w:rPr>
            </w:pPr>
            <w:r w:rsidRPr="003D6709">
              <w:rPr>
                <w:rFonts w:ascii="Arial Narrow" w:hAnsi="Arial Narrow"/>
                <w:bCs/>
                <w:color w:val="333333"/>
                <w:sz w:val="18"/>
                <w:szCs w:val="18"/>
              </w:rPr>
              <w:t>A patient is considered unsuitable for treatment or retreatment with a purine analogue as demonstrated by at least one of the following:</w:t>
            </w:r>
          </w:p>
          <w:p w:rsidR="000E1DD2" w:rsidRPr="003D6709" w:rsidRDefault="000E1DD2" w:rsidP="00D62CC0">
            <w:pPr>
              <w:jc w:val="left"/>
              <w:rPr>
                <w:rFonts w:ascii="Arial Narrow" w:hAnsi="Arial Narrow"/>
                <w:bCs/>
                <w:color w:val="333333"/>
                <w:sz w:val="18"/>
                <w:szCs w:val="18"/>
              </w:rPr>
            </w:pPr>
            <w:r w:rsidRPr="003D6709">
              <w:rPr>
                <w:rFonts w:ascii="Arial Narrow" w:hAnsi="Arial Narrow"/>
                <w:bCs/>
                <w:color w:val="333333"/>
                <w:sz w:val="18"/>
                <w:szCs w:val="18"/>
              </w:rPr>
              <w:t xml:space="preserve">a) Failure to respond (stable disease or disease progression on treatment), or a progression-free interval of less than 3 years from treatment with a purine analogue-based therapy and anti-CD20-containing </w:t>
            </w:r>
            <w:proofErr w:type="spellStart"/>
            <w:r w:rsidRPr="003D6709">
              <w:rPr>
                <w:rFonts w:ascii="Arial Narrow" w:hAnsi="Arial Narrow"/>
                <w:bCs/>
                <w:color w:val="333333"/>
                <w:sz w:val="18"/>
                <w:szCs w:val="18"/>
              </w:rPr>
              <w:t>chemoimmunotherapy</w:t>
            </w:r>
            <w:proofErr w:type="spellEnd"/>
            <w:r w:rsidRPr="003D6709">
              <w:rPr>
                <w:rFonts w:ascii="Arial Narrow" w:hAnsi="Arial Narrow"/>
                <w:bCs/>
                <w:color w:val="333333"/>
                <w:sz w:val="18"/>
                <w:szCs w:val="18"/>
              </w:rPr>
              <w:t xml:space="preserve"> regimen after at least two cycles;</w:t>
            </w:r>
          </w:p>
          <w:p w:rsidR="000E1DD2" w:rsidRPr="003D6709" w:rsidRDefault="000E1DD2" w:rsidP="00D62CC0">
            <w:pPr>
              <w:jc w:val="left"/>
              <w:rPr>
                <w:rFonts w:ascii="Arial Narrow" w:hAnsi="Arial Narrow"/>
                <w:bCs/>
                <w:color w:val="333333"/>
                <w:sz w:val="18"/>
                <w:szCs w:val="18"/>
              </w:rPr>
            </w:pPr>
            <w:r w:rsidRPr="003D6709">
              <w:rPr>
                <w:rFonts w:ascii="Arial Narrow" w:hAnsi="Arial Narrow"/>
                <w:bCs/>
                <w:color w:val="333333"/>
                <w:sz w:val="18"/>
                <w:szCs w:val="18"/>
              </w:rPr>
              <w:t>b) Age is 70 years or older;</w:t>
            </w:r>
          </w:p>
          <w:p w:rsidR="000E1DD2" w:rsidRPr="003D6709" w:rsidRDefault="000E1DD2" w:rsidP="00D62CC0">
            <w:pPr>
              <w:jc w:val="left"/>
              <w:rPr>
                <w:rFonts w:ascii="Arial Narrow" w:hAnsi="Arial Narrow"/>
                <w:bCs/>
                <w:color w:val="333333"/>
                <w:sz w:val="18"/>
                <w:szCs w:val="18"/>
              </w:rPr>
            </w:pPr>
            <w:r w:rsidRPr="003D6709">
              <w:rPr>
                <w:rFonts w:ascii="Arial Narrow" w:hAnsi="Arial Narrow"/>
                <w:bCs/>
                <w:color w:val="333333"/>
                <w:sz w:val="18"/>
                <w:szCs w:val="18"/>
              </w:rPr>
              <w:t xml:space="preserve">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w:t>
            </w:r>
            <w:proofErr w:type="spellStart"/>
            <w:r w:rsidRPr="003D6709">
              <w:rPr>
                <w:rFonts w:ascii="Arial Narrow" w:hAnsi="Arial Narrow"/>
                <w:bCs/>
                <w:color w:val="333333"/>
                <w:sz w:val="18"/>
                <w:szCs w:val="18"/>
              </w:rPr>
              <w:t>chemoimmunotherapy</w:t>
            </w:r>
            <w:proofErr w:type="spellEnd"/>
            <w:r w:rsidRPr="003D6709">
              <w:rPr>
                <w:rFonts w:ascii="Arial Narrow" w:hAnsi="Arial Narrow"/>
                <w:bCs/>
                <w:color w:val="333333"/>
                <w:sz w:val="18"/>
                <w:szCs w:val="18"/>
              </w:rPr>
              <w:t xml:space="preserve"> regimen;</w:t>
            </w:r>
          </w:p>
          <w:p w:rsidR="000E1DD2" w:rsidRPr="003D6709" w:rsidRDefault="000E1DD2" w:rsidP="00D62CC0">
            <w:pPr>
              <w:jc w:val="left"/>
              <w:rPr>
                <w:rFonts w:ascii="Arial Narrow" w:hAnsi="Arial Narrow"/>
                <w:bCs/>
                <w:color w:val="333333"/>
                <w:sz w:val="18"/>
                <w:szCs w:val="18"/>
              </w:rPr>
            </w:pPr>
            <w:r w:rsidRPr="003D6709">
              <w:rPr>
                <w:rFonts w:ascii="Arial Narrow" w:hAnsi="Arial Narrow"/>
                <w:bCs/>
                <w:color w:val="333333"/>
                <w:sz w:val="18"/>
                <w:szCs w:val="18"/>
              </w:rPr>
              <w:t>d) History of purine analogue-associated autoimmune anaemia or autoimmune thrombocytopenia;</w:t>
            </w:r>
          </w:p>
          <w:p w:rsidR="000E1DD2" w:rsidRPr="003D6709" w:rsidRDefault="000E1DD2" w:rsidP="009369BE">
            <w:pPr>
              <w:jc w:val="left"/>
              <w:rPr>
                <w:rFonts w:ascii="Arial Narrow" w:hAnsi="Arial Narrow"/>
                <w:bCs/>
                <w:color w:val="333333"/>
                <w:sz w:val="18"/>
                <w:szCs w:val="18"/>
              </w:rPr>
            </w:pPr>
            <w:r w:rsidRPr="003D6709">
              <w:rPr>
                <w:rFonts w:ascii="Arial Narrow" w:hAnsi="Arial Narrow"/>
                <w:bCs/>
                <w:color w:val="333333"/>
                <w:sz w:val="18"/>
                <w:szCs w:val="18"/>
              </w:rPr>
              <w:t>e) Evidence of one or more 17p chromosomal deletions demonstrated by a test method listed in the Medical Benefits Schedule for such a purpose</w:t>
            </w:r>
          </w:p>
        </w:tc>
      </w:tr>
      <w:tr w:rsidR="000E1DD2" w:rsidRPr="003D6709" w:rsidTr="006F4C55">
        <w:trPr>
          <w:trHeight w:val="1293"/>
        </w:trPr>
        <w:tc>
          <w:tcPr>
            <w:tcW w:w="5000" w:type="pct"/>
            <w:vAlign w:val="center"/>
          </w:tcPr>
          <w:p w:rsidR="000E1DD2" w:rsidRPr="003D6709" w:rsidRDefault="000E1DD2" w:rsidP="00D62CC0">
            <w:pPr>
              <w:jc w:val="left"/>
              <w:rPr>
                <w:rFonts w:ascii="Arial Narrow" w:hAnsi="Arial Narrow"/>
                <w:b/>
                <w:bCs/>
                <w:color w:val="333333"/>
                <w:sz w:val="18"/>
                <w:szCs w:val="18"/>
              </w:rPr>
            </w:pPr>
            <w:r w:rsidRPr="003D6709">
              <w:rPr>
                <w:rFonts w:ascii="Arial Narrow" w:hAnsi="Arial Narrow"/>
                <w:b/>
                <w:bCs/>
                <w:color w:val="333333"/>
                <w:sz w:val="18"/>
                <w:szCs w:val="18"/>
              </w:rPr>
              <w:t xml:space="preserve">Administrative Advice: </w:t>
            </w:r>
          </w:p>
          <w:p w:rsidR="000E1DD2" w:rsidRPr="003D6709" w:rsidRDefault="000E1DD2" w:rsidP="00D62CC0">
            <w:pPr>
              <w:jc w:val="left"/>
              <w:rPr>
                <w:rFonts w:ascii="Arial Narrow" w:hAnsi="Arial Narrow"/>
                <w:bCs/>
                <w:color w:val="333333"/>
                <w:sz w:val="18"/>
                <w:szCs w:val="18"/>
              </w:rPr>
            </w:pPr>
            <w:r w:rsidRPr="003D6709">
              <w:rPr>
                <w:rFonts w:ascii="Arial Narrow" w:hAnsi="Arial Narrow"/>
                <w:bCs/>
                <w:color w:val="333333"/>
                <w:sz w:val="18"/>
                <w:szCs w:val="18"/>
              </w:rPr>
              <w:t>Patients may qualify for PBS-subsidised treatment under this restriction once only. For continuing PBS-subsidised treatment, a 'Grandfathered' patient must qualify under the 'Continuing treatment' criteria.</w:t>
            </w:r>
          </w:p>
          <w:p w:rsidR="000E1DD2" w:rsidRPr="003D6709" w:rsidRDefault="000E1DD2" w:rsidP="00D62CC0">
            <w:pPr>
              <w:jc w:val="left"/>
              <w:rPr>
                <w:rFonts w:ascii="Arial Narrow" w:hAnsi="Arial Narrow"/>
                <w:b/>
                <w:bCs/>
                <w:color w:val="333333"/>
                <w:sz w:val="18"/>
                <w:szCs w:val="18"/>
              </w:rPr>
            </w:pPr>
            <w:r w:rsidRPr="003D6709">
              <w:rPr>
                <w:rFonts w:ascii="Arial Narrow" w:hAnsi="Arial Narrow"/>
                <w:color w:val="333333"/>
                <w:sz w:val="18"/>
                <w:szCs w:val="18"/>
              </w:rPr>
              <w:t>This grandfathering restriction will cease to operate from 12 months after the specified date in the clinical criteria</w:t>
            </w:r>
          </w:p>
          <w:p w:rsidR="000E1DD2" w:rsidRPr="003D6709" w:rsidRDefault="000E1DD2" w:rsidP="00D62CC0">
            <w:pPr>
              <w:jc w:val="left"/>
              <w:rPr>
                <w:rFonts w:ascii="Arial Narrow" w:hAnsi="Arial Narrow"/>
                <w:color w:val="333333"/>
                <w:sz w:val="18"/>
                <w:szCs w:val="18"/>
              </w:rPr>
            </w:pPr>
            <w:r w:rsidRPr="003D6709">
              <w:rPr>
                <w:rFonts w:ascii="Arial Narrow" w:hAnsi="Arial Narrow"/>
                <w:color w:val="333333"/>
                <w:sz w:val="18"/>
                <w:szCs w:val="18"/>
              </w:rPr>
              <w:t>No increase in the maximum number of repeats may be authorised.</w:t>
            </w:r>
          </w:p>
          <w:p w:rsidR="000E1DD2" w:rsidRPr="003D6709" w:rsidRDefault="000E1DD2" w:rsidP="00D62CC0">
            <w:pPr>
              <w:jc w:val="left"/>
              <w:rPr>
                <w:rFonts w:ascii="Arial Narrow" w:hAnsi="Arial Narrow"/>
                <w:bCs/>
                <w:color w:val="333333"/>
                <w:sz w:val="18"/>
                <w:szCs w:val="18"/>
              </w:rPr>
            </w:pPr>
            <w:r w:rsidRPr="003D6709">
              <w:rPr>
                <w:rFonts w:ascii="Arial Narrow" w:hAnsi="Arial Narrow"/>
                <w:color w:val="333333"/>
                <w:sz w:val="18"/>
                <w:szCs w:val="18"/>
              </w:rPr>
              <w:t xml:space="preserve">Special Pricing Arrangements apply. </w:t>
            </w:r>
          </w:p>
        </w:tc>
      </w:tr>
    </w:tbl>
    <w:p w:rsidR="001C5A07" w:rsidRDefault="003C79F3" w:rsidP="006F4C55">
      <w:pPr>
        <w:pStyle w:val="ExecSumBodyText"/>
        <w:spacing w:before="120"/>
        <w:rPr>
          <w:bCs/>
        </w:rPr>
      </w:pPr>
      <w:r w:rsidRPr="006F4C55">
        <w:rPr>
          <w:bCs/>
        </w:rPr>
        <w:lastRenderedPageBreak/>
        <w:t xml:space="preserve">Flow-on changes to the </w:t>
      </w:r>
      <w:r w:rsidR="001C5A07" w:rsidRPr="006F4C55">
        <w:rPr>
          <w:bCs/>
        </w:rPr>
        <w:t>existing</w:t>
      </w:r>
      <w:r w:rsidR="00491A57" w:rsidRPr="006F4C55">
        <w:rPr>
          <w:bCs/>
        </w:rPr>
        <w:t xml:space="preserve"> </w:t>
      </w:r>
      <w:r w:rsidR="00740D94" w:rsidRPr="006F4C55">
        <w:rPr>
          <w:bCs/>
        </w:rPr>
        <w:t>Relapsed or refractory CLL/SLL</w:t>
      </w:r>
      <w:r w:rsidR="001C5A07" w:rsidRPr="006F4C55">
        <w:rPr>
          <w:bCs/>
        </w:rPr>
        <w:t xml:space="preserve"> ibrutinib initial treatment </w:t>
      </w:r>
      <w:r w:rsidR="00491A57" w:rsidRPr="006F4C55">
        <w:rPr>
          <w:bCs/>
        </w:rPr>
        <w:t>l</w:t>
      </w:r>
      <w:r w:rsidR="00740D94" w:rsidRPr="006F4C55">
        <w:rPr>
          <w:bCs/>
        </w:rPr>
        <w:t xml:space="preserve">isting - add a new clinical criterion to ensure patients have not previously received PBS-subsidised treatment with another BTK inhibitor </w:t>
      </w:r>
      <w:r w:rsidR="0026523E" w:rsidRPr="006F4C55">
        <w:rPr>
          <w:bCs/>
        </w:rPr>
        <w:t xml:space="preserve">(unless intolerant) </w:t>
      </w:r>
      <w:r w:rsidR="00740D94" w:rsidRPr="006F4C55">
        <w:rPr>
          <w:bCs/>
        </w:rPr>
        <w:t>as follows:</w:t>
      </w:r>
    </w:p>
    <w:p w:rsidR="00157902" w:rsidRPr="006F4C55" w:rsidRDefault="00157902" w:rsidP="00157902">
      <w:pPr>
        <w:pStyle w:val="ExecSumBodyText"/>
        <w:numPr>
          <w:ilvl w:val="0"/>
          <w:numId w:val="0"/>
        </w:numPr>
        <w:spacing w:before="120"/>
        <w:ind w:left="72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0E1DD2" w:rsidRPr="003D6709" w:rsidTr="006F4C55">
        <w:tc>
          <w:tcPr>
            <w:tcW w:w="5000" w:type="pct"/>
            <w:tcBorders>
              <w:bottom w:val="nil"/>
            </w:tcBorders>
            <w:vAlign w:val="center"/>
          </w:tcPr>
          <w:p w:rsidR="000E1DD2" w:rsidRPr="003D6709" w:rsidRDefault="000E1DD2" w:rsidP="006F5B8E">
            <w:pPr>
              <w:jc w:val="left"/>
              <w:rPr>
                <w:rFonts w:ascii="Arial Narrow" w:hAnsi="Arial Narrow"/>
                <w:color w:val="333333"/>
                <w:sz w:val="18"/>
                <w:szCs w:val="18"/>
              </w:rPr>
            </w:pPr>
            <w:r w:rsidRPr="003D6709">
              <w:rPr>
                <w:rFonts w:ascii="Arial Narrow" w:hAnsi="Arial Narrow"/>
                <w:b/>
                <w:bCs/>
                <w:color w:val="333333"/>
                <w:sz w:val="18"/>
                <w:szCs w:val="18"/>
              </w:rPr>
              <w:t>Clinical criteria:</w:t>
            </w:r>
          </w:p>
        </w:tc>
      </w:tr>
      <w:tr w:rsidR="000E1DD2" w:rsidRPr="003D6709" w:rsidTr="006F4C55">
        <w:tc>
          <w:tcPr>
            <w:tcW w:w="5000" w:type="pct"/>
            <w:tcBorders>
              <w:top w:val="nil"/>
              <w:bottom w:val="nil"/>
            </w:tcBorders>
            <w:vAlign w:val="center"/>
            <w:hideMark/>
          </w:tcPr>
          <w:p w:rsidR="000E1DD2" w:rsidRPr="003D6709" w:rsidRDefault="000E1DD2" w:rsidP="006F5B8E">
            <w:pPr>
              <w:jc w:val="left"/>
              <w:rPr>
                <w:rFonts w:ascii="Arial Narrow" w:hAnsi="Arial Narrow"/>
                <w:color w:val="333333"/>
                <w:sz w:val="18"/>
                <w:szCs w:val="18"/>
              </w:rPr>
            </w:pPr>
            <w:r w:rsidRPr="003D6709">
              <w:rPr>
                <w:rFonts w:ascii="Arial Narrow" w:hAnsi="Arial Narrow"/>
                <w:bCs/>
                <w:color w:val="333333"/>
                <w:sz w:val="18"/>
                <w:szCs w:val="18"/>
              </w:rPr>
              <w:t xml:space="preserve">Patient must not have received treatment with another </w:t>
            </w:r>
            <w:proofErr w:type="spellStart"/>
            <w:r w:rsidRPr="003D6709">
              <w:rPr>
                <w:rFonts w:ascii="Arial Narrow" w:hAnsi="Arial Narrow"/>
                <w:bCs/>
                <w:color w:val="333333"/>
                <w:sz w:val="18"/>
                <w:szCs w:val="18"/>
              </w:rPr>
              <w:t>Bruton’s</w:t>
            </w:r>
            <w:proofErr w:type="spellEnd"/>
            <w:r w:rsidRPr="003D6709">
              <w:rPr>
                <w:rFonts w:ascii="Arial Narrow" w:hAnsi="Arial Narrow"/>
                <w:bCs/>
                <w:color w:val="333333"/>
                <w:sz w:val="18"/>
                <w:szCs w:val="18"/>
              </w:rPr>
              <w:t xml:space="preserve"> tyrosine kinase (BTK) inhibitor for any line of treatment of CLL/SLL (untreated or relapsed/refractory disease); or </w:t>
            </w:r>
          </w:p>
        </w:tc>
      </w:tr>
      <w:tr w:rsidR="000E1DD2" w:rsidRPr="003D6709" w:rsidTr="006F4C55">
        <w:tc>
          <w:tcPr>
            <w:tcW w:w="5000" w:type="pct"/>
            <w:tcBorders>
              <w:top w:val="nil"/>
            </w:tcBorders>
            <w:vAlign w:val="center"/>
          </w:tcPr>
          <w:p w:rsidR="000E1DD2" w:rsidRPr="003D6709" w:rsidRDefault="000E1DD2" w:rsidP="006F5B8E">
            <w:pPr>
              <w:jc w:val="left"/>
              <w:rPr>
                <w:rFonts w:ascii="Arial Narrow" w:hAnsi="Arial Narrow"/>
                <w:color w:val="333333"/>
                <w:sz w:val="18"/>
                <w:szCs w:val="18"/>
              </w:rPr>
            </w:pPr>
            <w:r w:rsidRPr="003D6709">
              <w:rPr>
                <w:rFonts w:ascii="Arial Narrow" w:hAnsi="Arial Narrow"/>
                <w:bCs/>
                <w:color w:val="333333"/>
                <w:sz w:val="18"/>
                <w:szCs w:val="18"/>
              </w:rPr>
              <w:t xml:space="preserve">Patient must have developed intolerance to another </w:t>
            </w:r>
            <w:proofErr w:type="spellStart"/>
            <w:r w:rsidRPr="003D6709">
              <w:rPr>
                <w:rFonts w:ascii="Arial Narrow" w:hAnsi="Arial Narrow"/>
                <w:bCs/>
                <w:color w:val="333333"/>
                <w:sz w:val="18"/>
                <w:szCs w:val="18"/>
              </w:rPr>
              <w:t>Bruton’s</w:t>
            </w:r>
            <w:proofErr w:type="spellEnd"/>
            <w:r w:rsidRPr="003D6709">
              <w:rPr>
                <w:rFonts w:ascii="Arial Narrow" w:hAnsi="Arial Narrow"/>
                <w:bCs/>
                <w:color w:val="333333"/>
                <w:sz w:val="18"/>
                <w:szCs w:val="18"/>
              </w:rPr>
              <w:t xml:space="preserve"> tyrosine kinase (BTK) inhibitor of a severity necessitating permanent treatment withdrawal when being treated for relapsed or refractory CLL/SLL</w:t>
            </w:r>
          </w:p>
        </w:tc>
      </w:tr>
    </w:tbl>
    <w:p w:rsidR="001C5A07" w:rsidRDefault="001C5A07" w:rsidP="006F4C55">
      <w:pPr>
        <w:spacing w:before="240"/>
        <w:rPr>
          <w:b/>
          <w:bCs/>
          <w:i/>
          <w:iCs/>
        </w:rPr>
      </w:pPr>
      <w:r w:rsidRPr="003D6709">
        <w:rPr>
          <w:b/>
          <w:bCs/>
          <w:i/>
          <w:iCs/>
        </w:rPr>
        <w:t>These restrictions may be subject to further review. Should there be any changes made to the restriction the Sponsor will be informed.</w:t>
      </w:r>
    </w:p>
    <w:p w:rsidR="00157902" w:rsidRDefault="00157902" w:rsidP="006F4C55">
      <w:pPr>
        <w:spacing w:before="240"/>
        <w:rPr>
          <w:b/>
          <w:bCs/>
          <w:i/>
          <w:iCs/>
        </w:rPr>
      </w:pPr>
    </w:p>
    <w:p w:rsidR="00157902" w:rsidRPr="00920A65" w:rsidRDefault="00157902" w:rsidP="00157902">
      <w:pPr>
        <w:pStyle w:val="PBACHeading1"/>
        <w:keepNext w:val="0"/>
        <w:numPr>
          <w:ilvl w:val="0"/>
          <w:numId w:val="1"/>
        </w:numPr>
        <w:spacing w:before="240"/>
        <w:ind w:left="709" w:hanging="709"/>
        <w:jc w:val="both"/>
        <w:rPr>
          <w:rFonts w:asciiTheme="minorHAnsi" w:hAnsiTheme="minorHAnsi"/>
          <w:szCs w:val="32"/>
        </w:rPr>
      </w:pPr>
      <w:r w:rsidRPr="00920A65">
        <w:rPr>
          <w:rFonts w:asciiTheme="minorHAnsi" w:hAnsiTheme="minorHAnsi"/>
          <w:szCs w:val="32"/>
        </w:rPr>
        <w:t>Context for Decision</w:t>
      </w:r>
    </w:p>
    <w:p w:rsidR="00157902" w:rsidRPr="007129F2" w:rsidRDefault="00157902" w:rsidP="00157902">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57902" w:rsidRDefault="00157902" w:rsidP="00157902">
      <w:pPr>
        <w:rPr>
          <w:rFonts w:cs="Calibri"/>
        </w:rPr>
      </w:pPr>
    </w:p>
    <w:p w:rsidR="00157902" w:rsidRPr="00920A65" w:rsidRDefault="00157902" w:rsidP="00157902">
      <w:pPr>
        <w:pStyle w:val="PBACHeading1"/>
        <w:keepNext w:val="0"/>
        <w:numPr>
          <w:ilvl w:val="0"/>
          <w:numId w:val="1"/>
        </w:numPr>
        <w:spacing w:before="240"/>
        <w:ind w:left="709" w:hanging="709"/>
        <w:jc w:val="both"/>
        <w:rPr>
          <w:rFonts w:asciiTheme="minorHAnsi" w:hAnsiTheme="minorHAnsi"/>
          <w:szCs w:val="32"/>
        </w:rPr>
      </w:pPr>
      <w:r w:rsidRPr="00920A65">
        <w:rPr>
          <w:rFonts w:asciiTheme="minorHAnsi" w:hAnsiTheme="minorHAnsi"/>
          <w:szCs w:val="32"/>
        </w:rPr>
        <w:t>Sponsor’s Comment</w:t>
      </w:r>
    </w:p>
    <w:p w:rsidR="00157902" w:rsidRPr="001179AC" w:rsidRDefault="00157902" w:rsidP="00157902">
      <w:pPr>
        <w:spacing w:after="120"/>
        <w:rPr>
          <w:rFonts w:asciiTheme="minorHAnsi" w:hAnsiTheme="minorHAnsi"/>
          <w:bCs/>
        </w:rPr>
      </w:pPr>
      <w:r w:rsidRPr="00C07617">
        <w:rPr>
          <w:rFonts w:asciiTheme="minorHAnsi" w:hAnsiTheme="minorHAnsi"/>
          <w:bCs/>
        </w:rPr>
        <w:t>The sponsor had no comment.</w:t>
      </w:r>
    </w:p>
    <w:p w:rsidR="00157902" w:rsidRPr="003D6709" w:rsidRDefault="00157902" w:rsidP="006F4C55">
      <w:pPr>
        <w:spacing w:before="240"/>
        <w:rPr>
          <w:b/>
          <w:color w:val="1F497D"/>
          <w:sz w:val="22"/>
          <w:szCs w:val="22"/>
          <w:lang w:eastAsia="en-US"/>
        </w:rPr>
      </w:pPr>
    </w:p>
    <w:sectPr w:rsidR="00157902" w:rsidRPr="003D6709" w:rsidSect="00A656EF">
      <w:headerReference w:type="default" r:id="rId15"/>
      <w:footerReference w:type="default" r:id="rId16"/>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87101B" w16cid:durableId="21614CD8"/>
  <w16cid:commentId w16cid:paraId="244A47B9" w16cid:durableId="21614ABB"/>
  <w16cid:commentId w16cid:paraId="489D5112" w16cid:durableId="21614B49"/>
  <w16cid:commentId w16cid:paraId="70ED6C5A" w16cid:durableId="21614B74"/>
  <w16cid:commentId w16cid:paraId="647B39AC" w16cid:durableId="21663FE5"/>
  <w16cid:commentId w16cid:paraId="1CA089EE" w16cid:durableId="21614BF0"/>
  <w16cid:commentId w16cid:paraId="38CB5F44" w16cid:durableId="21614C14"/>
  <w16cid:commentId w16cid:paraId="6FD8F3D4" w16cid:durableId="21614CBE"/>
  <w16cid:commentId w16cid:paraId="3F121AD0" w16cid:durableId="21614DB1"/>
  <w16cid:commentId w16cid:paraId="1F58AE17" w16cid:durableId="21614E70"/>
  <w16cid:commentId w16cid:paraId="5A08A8F5" w16cid:durableId="21614ED5"/>
  <w16cid:commentId w16cid:paraId="3D401AF9" w16cid:durableId="21614A41"/>
  <w16cid:commentId w16cid:paraId="44EB256F" w16cid:durableId="21614FE7"/>
  <w16cid:commentId w16cid:paraId="6C46E867" w16cid:durableId="216151A1"/>
  <w16cid:commentId w16cid:paraId="797DF8A6" w16cid:durableId="216151C5"/>
  <w16cid:commentId w16cid:paraId="0CE9089E" w16cid:durableId="216151F7"/>
  <w16cid:commentId w16cid:paraId="2A956F51" w16cid:durableId="21615263"/>
  <w16cid:commentId w16cid:paraId="497AE4A0" w16cid:durableId="216152E8"/>
  <w16cid:commentId w16cid:paraId="7E4CF1ED" w16cid:durableId="216153FE"/>
  <w16cid:commentId w16cid:paraId="55FA26CB" w16cid:durableId="2161538C"/>
  <w16cid:commentId w16cid:paraId="3AFA3629" w16cid:durableId="216154E5"/>
  <w16cid:commentId w16cid:paraId="3AAC69B0" w16cid:durableId="21615495"/>
  <w16cid:commentId w16cid:paraId="1BB448AC" w16cid:durableId="21615651"/>
  <w16cid:commentId w16cid:paraId="7AEC4E69" w16cid:durableId="216156AC"/>
  <w16cid:commentId w16cid:paraId="0ECE139B" w16cid:durableId="216156FD"/>
  <w16cid:commentId w16cid:paraId="4011E3AE" w16cid:durableId="21615714"/>
  <w16cid:commentId w16cid:paraId="30E5F656" w16cid:durableId="21615747"/>
  <w16cid:commentId w16cid:paraId="20E05B62" w16cid:durableId="21664120"/>
  <w16cid:commentId w16cid:paraId="6734E2CF" w16cid:durableId="216157FB"/>
  <w16cid:commentId w16cid:paraId="2F79CDD7" w16cid:durableId="21615912"/>
  <w16cid:commentId w16cid:paraId="664A310E" w16cid:durableId="21615985"/>
  <w16cid:commentId w16cid:paraId="0C997E66" w16cid:durableId="21619089"/>
  <w16cid:commentId w16cid:paraId="5D2DFE62" w16cid:durableId="2161919C"/>
  <w16cid:commentId w16cid:paraId="7B2B1403" w16cid:durableId="216191C9"/>
  <w16cid:commentId w16cid:paraId="5F64C377" w16cid:durableId="216192FF"/>
  <w16cid:commentId w16cid:paraId="1AA5958A" w16cid:durableId="2161927F"/>
  <w16cid:commentId w16cid:paraId="41197D07" w16cid:durableId="21619298"/>
  <w16cid:commentId w16cid:paraId="3B809061" w16cid:durableId="21619393"/>
  <w16cid:commentId w16cid:paraId="50C50912" w16cid:durableId="2161943C"/>
  <w16cid:commentId w16cid:paraId="306CECF5" w16cid:durableId="2161947A"/>
  <w16cid:commentId w16cid:paraId="68DA2DB8" w16cid:durableId="2161954E"/>
  <w16cid:commentId w16cid:paraId="5A0F8FB3" w16cid:durableId="216194D3"/>
  <w16cid:commentId w16cid:paraId="7602207B" w16cid:durableId="216194E4"/>
  <w16cid:commentId w16cid:paraId="5F6F1FB0" w16cid:durableId="21619516"/>
  <w16cid:commentId w16cid:paraId="6513F8FF" w16cid:durableId="21619531"/>
  <w16cid:commentId w16cid:paraId="4D398BA5" w16cid:durableId="216195BC"/>
  <w16cid:commentId w16cid:paraId="6AA97208" w16cid:durableId="21614A42"/>
  <w16cid:commentId w16cid:paraId="7A0CF97E" w16cid:durableId="216641D9"/>
  <w16cid:commentId w16cid:paraId="71D9CA95" w16cid:durableId="2161968D"/>
  <w16cid:commentId w16cid:paraId="603FA921" w16cid:durableId="216196A3"/>
  <w16cid:commentId w16cid:paraId="6C92C50E" w16cid:durableId="21664253"/>
  <w16cid:commentId w16cid:paraId="60FEE466" w16cid:durableId="216642E4"/>
  <w16cid:commentId w16cid:paraId="2B53E539" w16cid:durableId="21664352"/>
  <w16cid:commentId w16cid:paraId="2115BF39" w16cid:durableId="21664839"/>
  <w16cid:commentId w16cid:paraId="6689A828" w16cid:durableId="216648E3"/>
  <w16cid:commentId w16cid:paraId="7DFAC36B" w16cid:durableId="216649C9"/>
  <w16cid:commentId w16cid:paraId="23BDBAA8" w16cid:durableId="21664A06"/>
  <w16cid:commentId w16cid:paraId="7D6B5C8B" w16cid:durableId="2166676F"/>
  <w16cid:commentId w16cid:paraId="7289B86C" w16cid:durableId="216668ED"/>
  <w16cid:commentId w16cid:paraId="32448C3B" w16cid:durableId="216669CF"/>
  <w16cid:commentId w16cid:paraId="18B0AF34" w16cid:durableId="21614A43"/>
  <w16cid:commentId w16cid:paraId="7AC3D4C4" w16cid:durableId="21666A50"/>
  <w16cid:commentId w16cid:paraId="365D9659" w16cid:durableId="21666A84"/>
  <w16cid:commentId w16cid:paraId="41648E55" w16cid:durableId="21666AB0"/>
  <w16cid:commentId w16cid:paraId="58075898" w16cid:durableId="21666BA2"/>
  <w16cid:commentId w16cid:paraId="5A6D98DF" w16cid:durableId="21666B45"/>
  <w16cid:commentId w16cid:paraId="53194B89" w16cid:durableId="21666B66"/>
  <w16cid:commentId w16cid:paraId="055E8CF4" w16cid:durableId="21666BD2"/>
  <w16cid:commentId w16cid:paraId="73728ABD" w16cid:durableId="21666C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273" w:rsidRDefault="004D4273" w:rsidP="00124A51">
      <w:r>
        <w:separator/>
      </w:r>
    </w:p>
    <w:p w:rsidR="004D4273" w:rsidRDefault="004D4273"/>
  </w:endnote>
  <w:endnote w:type="continuationSeparator" w:id="0">
    <w:p w:rsidR="004D4273" w:rsidRDefault="004D4273" w:rsidP="00124A51">
      <w:r>
        <w:continuationSeparator/>
      </w:r>
    </w:p>
    <w:p w:rsidR="004D4273" w:rsidRDefault="004D4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A5" w:rsidRDefault="00614AA5">
    <w:pPr>
      <w:pStyle w:val="Footer"/>
      <w:jc w:val="center"/>
    </w:pPr>
  </w:p>
  <w:p w:rsidR="00614AA5" w:rsidRDefault="005E63F7">
    <w:pPr>
      <w:pStyle w:val="Footer"/>
      <w:jc w:val="center"/>
    </w:pPr>
    <w:sdt>
      <w:sdtPr>
        <w:id w:val="-1074665544"/>
        <w:docPartObj>
          <w:docPartGallery w:val="Page Numbers (Bottom of Page)"/>
          <w:docPartUnique/>
        </w:docPartObj>
      </w:sdtPr>
      <w:sdtEndPr>
        <w:rPr>
          <w:noProof/>
        </w:rPr>
      </w:sdtEndPr>
      <w:sdtContent>
        <w:r w:rsidR="00614AA5" w:rsidRPr="004A5B94">
          <w:rPr>
            <w:b/>
          </w:rPr>
          <w:fldChar w:fldCharType="begin"/>
        </w:r>
        <w:r w:rsidR="00614AA5" w:rsidRPr="004A5B94">
          <w:rPr>
            <w:b/>
          </w:rPr>
          <w:instrText xml:space="preserve"> PAGE   \* MERGEFORMAT </w:instrText>
        </w:r>
        <w:r w:rsidR="00614AA5" w:rsidRPr="004A5B94">
          <w:rPr>
            <w:b/>
          </w:rPr>
          <w:fldChar w:fldCharType="separate"/>
        </w:r>
        <w:r>
          <w:rPr>
            <w:b/>
            <w:noProof/>
          </w:rPr>
          <w:t>43</w:t>
        </w:r>
        <w:r w:rsidR="00614AA5" w:rsidRPr="004A5B94">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273" w:rsidRDefault="004D4273" w:rsidP="00124A51">
      <w:r>
        <w:separator/>
      </w:r>
    </w:p>
    <w:p w:rsidR="004D4273" w:rsidRDefault="004D4273"/>
  </w:footnote>
  <w:footnote w:type="continuationSeparator" w:id="0">
    <w:p w:rsidR="004D4273" w:rsidRDefault="004D4273" w:rsidP="00124A51">
      <w:r>
        <w:continuationSeparator/>
      </w:r>
    </w:p>
    <w:p w:rsidR="004D4273" w:rsidRDefault="004D42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AA5" w:rsidRPr="00056684" w:rsidRDefault="00614AA5" w:rsidP="004A5B94">
    <w:pPr>
      <w:pStyle w:val="Header"/>
      <w:keepNext/>
      <w:ind w:left="360"/>
      <w:jc w:val="center"/>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March 2020</w:t>
    </w:r>
    <w:r w:rsidRPr="00056684">
      <w:rPr>
        <w:rFonts w:asciiTheme="minorHAnsi" w:hAnsiTheme="minorHAnsi"/>
        <w:i/>
        <w:color w:val="808080"/>
      </w:rPr>
      <w:t xml:space="preserve"> PBAC Meeting</w:t>
    </w:r>
  </w:p>
  <w:p w:rsidR="00614AA5" w:rsidRPr="004A5B94" w:rsidRDefault="00614AA5" w:rsidP="004A5B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87DDA"/>
    <w:multiLevelType w:val="hybridMultilevel"/>
    <w:tmpl w:val="BA889C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1A31F4"/>
    <w:multiLevelType w:val="multilevel"/>
    <w:tmpl w:val="73EC85AC"/>
    <w:lvl w:ilvl="0">
      <w:start w:val="1"/>
      <w:numFmt w:val="decimal"/>
      <w:lvlText w:val="%1"/>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211FA"/>
    <w:multiLevelType w:val="hybridMultilevel"/>
    <w:tmpl w:val="924879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96C68"/>
    <w:multiLevelType w:val="multilevel"/>
    <w:tmpl w:val="47D06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22E19D0"/>
    <w:multiLevelType w:val="hybridMultilevel"/>
    <w:tmpl w:val="C9BEFD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F0664C"/>
    <w:multiLevelType w:val="hybridMultilevel"/>
    <w:tmpl w:val="58D68260"/>
    <w:lvl w:ilvl="0" w:tplc="8156535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729F1"/>
    <w:multiLevelType w:val="hybridMultilevel"/>
    <w:tmpl w:val="4CDA9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86111"/>
    <w:multiLevelType w:val="hybridMultilevel"/>
    <w:tmpl w:val="2FBA394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2782119"/>
    <w:multiLevelType w:val="hybridMultilevel"/>
    <w:tmpl w:val="2C5E91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31074E"/>
    <w:multiLevelType w:val="hybridMultilevel"/>
    <w:tmpl w:val="F780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E6825"/>
    <w:multiLevelType w:val="multilevel"/>
    <w:tmpl w:val="1E9CB3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09621E7"/>
    <w:multiLevelType w:val="hybridMultilevel"/>
    <w:tmpl w:val="197853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2F75D9"/>
    <w:multiLevelType w:val="hybridMultilevel"/>
    <w:tmpl w:val="C962619C"/>
    <w:lvl w:ilvl="0" w:tplc="268AC930">
      <w:start w:val="3"/>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FC3B0B"/>
    <w:multiLevelType w:val="hybridMultilevel"/>
    <w:tmpl w:val="A39E5C8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CA0033"/>
    <w:multiLevelType w:val="hybridMultilevel"/>
    <w:tmpl w:val="9B70A8C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032C0"/>
    <w:multiLevelType w:val="hybridMultilevel"/>
    <w:tmpl w:val="3FC48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1F65E8"/>
    <w:multiLevelType w:val="hybridMultilevel"/>
    <w:tmpl w:val="66A689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D167E9"/>
    <w:multiLevelType w:val="hybridMultilevel"/>
    <w:tmpl w:val="A276FD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80805CD"/>
    <w:multiLevelType w:val="hybridMultilevel"/>
    <w:tmpl w:val="A4EC99CE"/>
    <w:lvl w:ilvl="0" w:tplc="00000004">
      <w:numFmt w:val="bullet"/>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714284"/>
    <w:multiLevelType w:val="hybridMultilevel"/>
    <w:tmpl w:val="F46EAA1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E3C31EB"/>
    <w:multiLevelType w:val="multilevel"/>
    <w:tmpl w:val="73EC85AC"/>
    <w:lvl w:ilvl="0">
      <w:start w:val="1"/>
      <w:numFmt w:val="decimal"/>
      <w:lvlText w:val="%1"/>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BC6039"/>
    <w:multiLevelType w:val="hybridMultilevel"/>
    <w:tmpl w:val="6DE207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84D033C"/>
    <w:multiLevelType w:val="multilevel"/>
    <w:tmpl w:val="B336CF12"/>
    <w:lvl w:ilvl="0">
      <w:start w:val="1"/>
      <w:numFmt w:val="decimal"/>
      <w:pStyle w:val="2-SectionHeading"/>
      <w:lvlText w:val="%1"/>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6"/>
  </w:num>
  <w:num w:numId="3">
    <w:abstractNumId w:val="0"/>
  </w:num>
  <w:num w:numId="4">
    <w:abstractNumId w:val="25"/>
  </w:num>
  <w:num w:numId="5">
    <w:abstractNumId w:val="20"/>
  </w:num>
  <w:num w:numId="6">
    <w:abstractNumId w:val="6"/>
  </w:num>
  <w:num w:numId="7">
    <w:abstractNumId w:val="7"/>
  </w:num>
  <w:num w:numId="8">
    <w:abstractNumId w:val="13"/>
  </w:num>
  <w:num w:numId="9">
    <w:abstractNumId w:val="22"/>
  </w:num>
  <w:num w:numId="10">
    <w:abstractNumId w:val="17"/>
  </w:num>
  <w:num w:numId="11">
    <w:abstractNumId w:val="10"/>
  </w:num>
  <w:num w:numId="12">
    <w:abstractNumId w:val="15"/>
  </w:num>
  <w:num w:numId="13">
    <w:abstractNumId w:val="8"/>
  </w:num>
  <w:num w:numId="14">
    <w:abstractNumId w:val="1"/>
  </w:num>
  <w:num w:numId="15">
    <w:abstractNumId w:val="19"/>
  </w:num>
  <w:num w:numId="16">
    <w:abstractNumId w:val="24"/>
  </w:num>
  <w:num w:numId="17">
    <w:abstractNumId w:val="22"/>
    <w:lvlOverride w:ilvl="0">
      <w:startOverride w:val="1"/>
    </w:lvlOverride>
  </w:num>
  <w:num w:numId="18">
    <w:abstractNumId w:val="22"/>
    <w:lvlOverride w:ilvl="0">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3"/>
  </w:num>
  <w:num w:numId="23">
    <w:abstractNumId w:val="2"/>
  </w:num>
  <w:num w:numId="24">
    <w:abstractNumId w:val="11"/>
  </w:num>
  <w:num w:numId="25">
    <w:abstractNumId w:val="21"/>
  </w:num>
  <w:num w:numId="26">
    <w:abstractNumId w:val="3"/>
  </w:num>
  <w:num w:numId="27">
    <w:abstractNumId w:val="14"/>
  </w:num>
  <w:num w:numId="28">
    <w:abstractNumId w:val="18"/>
  </w:num>
  <w:num w:numId="29">
    <w:abstractNumId w:val="12"/>
  </w:num>
  <w:num w:numId="30">
    <w:abstractNumId w:val="9"/>
  </w:num>
  <w:num w:numId="3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07"/>
    <w:rsid w:val="00000790"/>
    <w:rsid w:val="0000110B"/>
    <w:rsid w:val="000030A3"/>
    <w:rsid w:val="00003499"/>
    <w:rsid w:val="0000357C"/>
    <w:rsid w:val="000039B7"/>
    <w:rsid w:val="00004CF9"/>
    <w:rsid w:val="0000639A"/>
    <w:rsid w:val="00012DF2"/>
    <w:rsid w:val="00013247"/>
    <w:rsid w:val="00013BF5"/>
    <w:rsid w:val="00013D01"/>
    <w:rsid w:val="000144F2"/>
    <w:rsid w:val="00015886"/>
    <w:rsid w:val="00015FBF"/>
    <w:rsid w:val="000162EF"/>
    <w:rsid w:val="00016E81"/>
    <w:rsid w:val="000207C9"/>
    <w:rsid w:val="00020C64"/>
    <w:rsid w:val="000215BB"/>
    <w:rsid w:val="00022190"/>
    <w:rsid w:val="0002225F"/>
    <w:rsid w:val="00022E00"/>
    <w:rsid w:val="00023763"/>
    <w:rsid w:val="000256B9"/>
    <w:rsid w:val="00027390"/>
    <w:rsid w:val="000274B8"/>
    <w:rsid w:val="0003083A"/>
    <w:rsid w:val="000310E3"/>
    <w:rsid w:val="00033863"/>
    <w:rsid w:val="00035DC0"/>
    <w:rsid w:val="00036829"/>
    <w:rsid w:val="000403C0"/>
    <w:rsid w:val="000407F1"/>
    <w:rsid w:val="00040895"/>
    <w:rsid w:val="00040ECD"/>
    <w:rsid w:val="00041381"/>
    <w:rsid w:val="000435EE"/>
    <w:rsid w:val="00043C37"/>
    <w:rsid w:val="00044384"/>
    <w:rsid w:val="00045017"/>
    <w:rsid w:val="00045A2B"/>
    <w:rsid w:val="000462F3"/>
    <w:rsid w:val="000465C6"/>
    <w:rsid w:val="0004698F"/>
    <w:rsid w:val="0005121D"/>
    <w:rsid w:val="000515FF"/>
    <w:rsid w:val="000539D0"/>
    <w:rsid w:val="000541B9"/>
    <w:rsid w:val="00054621"/>
    <w:rsid w:val="000546D7"/>
    <w:rsid w:val="000566BA"/>
    <w:rsid w:val="000568F8"/>
    <w:rsid w:val="00056ECF"/>
    <w:rsid w:val="00057A9B"/>
    <w:rsid w:val="000604DF"/>
    <w:rsid w:val="000607AB"/>
    <w:rsid w:val="00063D1E"/>
    <w:rsid w:val="00063FB7"/>
    <w:rsid w:val="000653B5"/>
    <w:rsid w:val="0006574A"/>
    <w:rsid w:val="00066360"/>
    <w:rsid w:val="00066954"/>
    <w:rsid w:val="00066AF8"/>
    <w:rsid w:val="00067130"/>
    <w:rsid w:val="00071248"/>
    <w:rsid w:val="000720B9"/>
    <w:rsid w:val="00073527"/>
    <w:rsid w:val="000737CB"/>
    <w:rsid w:val="000737F7"/>
    <w:rsid w:val="000763D3"/>
    <w:rsid w:val="0007672F"/>
    <w:rsid w:val="00076A3F"/>
    <w:rsid w:val="00076B24"/>
    <w:rsid w:val="00076B54"/>
    <w:rsid w:val="000774F0"/>
    <w:rsid w:val="00080909"/>
    <w:rsid w:val="00081295"/>
    <w:rsid w:val="000812CA"/>
    <w:rsid w:val="00081E63"/>
    <w:rsid w:val="000820EA"/>
    <w:rsid w:val="0008258D"/>
    <w:rsid w:val="00083E99"/>
    <w:rsid w:val="00084627"/>
    <w:rsid w:val="00084961"/>
    <w:rsid w:val="00084A99"/>
    <w:rsid w:val="00084FA8"/>
    <w:rsid w:val="000856C5"/>
    <w:rsid w:val="000858E4"/>
    <w:rsid w:val="00085A31"/>
    <w:rsid w:val="00085C31"/>
    <w:rsid w:val="00086064"/>
    <w:rsid w:val="00087E1A"/>
    <w:rsid w:val="0009027C"/>
    <w:rsid w:val="000902D9"/>
    <w:rsid w:val="00090C7E"/>
    <w:rsid w:val="0009239B"/>
    <w:rsid w:val="00092600"/>
    <w:rsid w:val="0009262B"/>
    <w:rsid w:val="00093310"/>
    <w:rsid w:val="000934B0"/>
    <w:rsid w:val="00093855"/>
    <w:rsid w:val="00093B0E"/>
    <w:rsid w:val="0009445C"/>
    <w:rsid w:val="00094A07"/>
    <w:rsid w:val="00095200"/>
    <w:rsid w:val="00095FE5"/>
    <w:rsid w:val="00096284"/>
    <w:rsid w:val="00096E86"/>
    <w:rsid w:val="0009751B"/>
    <w:rsid w:val="000A0422"/>
    <w:rsid w:val="000A0E69"/>
    <w:rsid w:val="000A11BC"/>
    <w:rsid w:val="000A1559"/>
    <w:rsid w:val="000A1BC0"/>
    <w:rsid w:val="000A3AA4"/>
    <w:rsid w:val="000A6039"/>
    <w:rsid w:val="000A620C"/>
    <w:rsid w:val="000A6946"/>
    <w:rsid w:val="000A7453"/>
    <w:rsid w:val="000A7D08"/>
    <w:rsid w:val="000B0121"/>
    <w:rsid w:val="000B0670"/>
    <w:rsid w:val="000B0E75"/>
    <w:rsid w:val="000B1711"/>
    <w:rsid w:val="000B2DCB"/>
    <w:rsid w:val="000B30D2"/>
    <w:rsid w:val="000B351E"/>
    <w:rsid w:val="000B501B"/>
    <w:rsid w:val="000B54DB"/>
    <w:rsid w:val="000B5CE0"/>
    <w:rsid w:val="000B61C6"/>
    <w:rsid w:val="000B69DB"/>
    <w:rsid w:val="000B6CAC"/>
    <w:rsid w:val="000B7612"/>
    <w:rsid w:val="000B77BD"/>
    <w:rsid w:val="000B78AE"/>
    <w:rsid w:val="000B78E1"/>
    <w:rsid w:val="000C00DA"/>
    <w:rsid w:val="000C048A"/>
    <w:rsid w:val="000C3DB8"/>
    <w:rsid w:val="000C3DF9"/>
    <w:rsid w:val="000C45B2"/>
    <w:rsid w:val="000C5AED"/>
    <w:rsid w:val="000C617E"/>
    <w:rsid w:val="000C622C"/>
    <w:rsid w:val="000C6713"/>
    <w:rsid w:val="000D0552"/>
    <w:rsid w:val="000D1BFC"/>
    <w:rsid w:val="000D1D5D"/>
    <w:rsid w:val="000D281A"/>
    <w:rsid w:val="000D2848"/>
    <w:rsid w:val="000D3127"/>
    <w:rsid w:val="000D326A"/>
    <w:rsid w:val="000D51FB"/>
    <w:rsid w:val="000E0640"/>
    <w:rsid w:val="000E135D"/>
    <w:rsid w:val="000E1DD2"/>
    <w:rsid w:val="000E20B8"/>
    <w:rsid w:val="000E6976"/>
    <w:rsid w:val="000E701F"/>
    <w:rsid w:val="000F00BA"/>
    <w:rsid w:val="000F1271"/>
    <w:rsid w:val="000F316A"/>
    <w:rsid w:val="000F3C74"/>
    <w:rsid w:val="000F3F16"/>
    <w:rsid w:val="000F4BB8"/>
    <w:rsid w:val="000F4FA9"/>
    <w:rsid w:val="000F53FB"/>
    <w:rsid w:val="000F567A"/>
    <w:rsid w:val="000F5AFF"/>
    <w:rsid w:val="000F68FD"/>
    <w:rsid w:val="000F7127"/>
    <w:rsid w:val="000F7B54"/>
    <w:rsid w:val="000F7BB0"/>
    <w:rsid w:val="000F7C5E"/>
    <w:rsid w:val="00100F8A"/>
    <w:rsid w:val="00101F36"/>
    <w:rsid w:val="00102896"/>
    <w:rsid w:val="0010452E"/>
    <w:rsid w:val="00105AE2"/>
    <w:rsid w:val="001060C6"/>
    <w:rsid w:val="00106B80"/>
    <w:rsid w:val="0011032E"/>
    <w:rsid w:val="001109EE"/>
    <w:rsid w:val="00112A9D"/>
    <w:rsid w:val="00112C82"/>
    <w:rsid w:val="00112DEB"/>
    <w:rsid w:val="0011348B"/>
    <w:rsid w:val="00113502"/>
    <w:rsid w:val="001139DD"/>
    <w:rsid w:val="00115982"/>
    <w:rsid w:val="00116A80"/>
    <w:rsid w:val="00116C53"/>
    <w:rsid w:val="0012144B"/>
    <w:rsid w:val="00121799"/>
    <w:rsid w:val="001222FC"/>
    <w:rsid w:val="0012267F"/>
    <w:rsid w:val="00123902"/>
    <w:rsid w:val="001249E6"/>
    <w:rsid w:val="00124A51"/>
    <w:rsid w:val="00126621"/>
    <w:rsid w:val="00126B1D"/>
    <w:rsid w:val="001301E9"/>
    <w:rsid w:val="00130E58"/>
    <w:rsid w:val="00131D82"/>
    <w:rsid w:val="0013271C"/>
    <w:rsid w:val="00132A5E"/>
    <w:rsid w:val="00132B22"/>
    <w:rsid w:val="00133371"/>
    <w:rsid w:val="00133A94"/>
    <w:rsid w:val="00133D36"/>
    <w:rsid w:val="00134AAE"/>
    <w:rsid w:val="0013534E"/>
    <w:rsid w:val="00137645"/>
    <w:rsid w:val="0014015A"/>
    <w:rsid w:val="0014073F"/>
    <w:rsid w:val="00140E99"/>
    <w:rsid w:val="001417EA"/>
    <w:rsid w:val="00143290"/>
    <w:rsid w:val="00143F67"/>
    <w:rsid w:val="00145540"/>
    <w:rsid w:val="001456B0"/>
    <w:rsid w:val="00145DB8"/>
    <w:rsid w:val="0014732A"/>
    <w:rsid w:val="001506A3"/>
    <w:rsid w:val="0015524D"/>
    <w:rsid w:val="0015555D"/>
    <w:rsid w:val="00156F8F"/>
    <w:rsid w:val="00157130"/>
    <w:rsid w:val="0015755F"/>
    <w:rsid w:val="001576B1"/>
    <w:rsid w:val="00157902"/>
    <w:rsid w:val="00157DE5"/>
    <w:rsid w:val="001603A5"/>
    <w:rsid w:val="0016047B"/>
    <w:rsid w:val="00160A4C"/>
    <w:rsid w:val="00161E77"/>
    <w:rsid w:val="00162913"/>
    <w:rsid w:val="00162C2B"/>
    <w:rsid w:val="00162CD9"/>
    <w:rsid w:val="00163EFF"/>
    <w:rsid w:val="00163F66"/>
    <w:rsid w:val="001661FB"/>
    <w:rsid w:val="00166C31"/>
    <w:rsid w:val="001671A0"/>
    <w:rsid w:val="001671DA"/>
    <w:rsid w:val="0016767F"/>
    <w:rsid w:val="00170A15"/>
    <w:rsid w:val="00170D87"/>
    <w:rsid w:val="001727F1"/>
    <w:rsid w:val="00173565"/>
    <w:rsid w:val="00173B07"/>
    <w:rsid w:val="001751FA"/>
    <w:rsid w:val="00175B3F"/>
    <w:rsid w:val="00175F90"/>
    <w:rsid w:val="00176CA5"/>
    <w:rsid w:val="00177882"/>
    <w:rsid w:val="00177CCE"/>
    <w:rsid w:val="00180A45"/>
    <w:rsid w:val="00181D9C"/>
    <w:rsid w:val="00182931"/>
    <w:rsid w:val="00182B65"/>
    <w:rsid w:val="00184B0E"/>
    <w:rsid w:val="00185477"/>
    <w:rsid w:val="0018752F"/>
    <w:rsid w:val="00190141"/>
    <w:rsid w:val="00190BDF"/>
    <w:rsid w:val="001917BC"/>
    <w:rsid w:val="00193275"/>
    <w:rsid w:val="00193838"/>
    <w:rsid w:val="00194AD8"/>
    <w:rsid w:val="00195222"/>
    <w:rsid w:val="0019592E"/>
    <w:rsid w:val="001975D8"/>
    <w:rsid w:val="001A024C"/>
    <w:rsid w:val="001A05CF"/>
    <w:rsid w:val="001A0CF6"/>
    <w:rsid w:val="001A1566"/>
    <w:rsid w:val="001A1685"/>
    <w:rsid w:val="001A178E"/>
    <w:rsid w:val="001A1845"/>
    <w:rsid w:val="001A27FD"/>
    <w:rsid w:val="001A43FA"/>
    <w:rsid w:val="001A47C5"/>
    <w:rsid w:val="001A489F"/>
    <w:rsid w:val="001A48EC"/>
    <w:rsid w:val="001A4A35"/>
    <w:rsid w:val="001A4D2B"/>
    <w:rsid w:val="001A5315"/>
    <w:rsid w:val="001A59FB"/>
    <w:rsid w:val="001A5E9E"/>
    <w:rsid w:val="001A6354"/>
    <w:rsid w:val="001A6366"/>
    <w:rsid w:val="001A6451"/>
    <w:rsid w:val="001A7AE8"/>
    <w:rsid w:val="001B0291"/>
    <w:rsid w:val="001B0D85"/>
    <w:rsid w:val="001B12FC"/>
    <w:rsid w:val="001B204E"/>
    <w:rsid w:val="001B2372"/>
    <w:rsid w:val="001B2AFD"/>
    <w:rsid w:val="001B3427"/>
    <w:rsid w:val="001B3443"/>
    <w:rsid w:val="001B4D20"/>
    <w:rsid w:val="001B53BE"/>
    <w:rsid w:val="001B58D9"/>
    <w:rsid w:val="001B60F3"/>
    <w:rsid w:val="001B7ACC"/>
    <w:rsid w:val="001C0439"/>
    <w:rsid w:val="001C089E"/>
    <w:rsid w:val="001C09F6"/>
    <w:rsid w:val="001C1D60"/>
    <w:rsid w:val="001C2A9B"/>
    <w:rsid w:val="001C2C9D"/>
    <w:rsid w:val="001C38E4"/>
    <w:rsid w:val="001C3C33"/>
    <w:rsid w:val="001C4299"/>
    <w:rsid w:val="001C44BC"/>
    <w:rsid w:val="001C4874"/>
    <w:rsid w:val="001C5A07"/>
    <w:rsid w:val="001C5F94"/>
    <w:rsid w:val="001C6E66"/>
    <w:rsid w:val="001C7449"/>
    <w:rsid w:val="001C7E9B"/>
    <w:rsid w:val="001D1100"/>
    <w:rsid w:val="001D1391"/>
    <w:rsid w:val="001D1BF8"/>
    <w:rsid w:val="001D25D7"/>
    <w:rsid w:val="001D2DDA"/>
    <w:rsid w:val="001D3179"/>
    <w:rsid w:val="001D50B2"/>
    <w:rsid w:val="001D55B0"/>
    <w:rsid w:val="001D6DB0"/>
    <w:rsid w:val="001D7645"/>
    <w:rsid w:val="001E1E86"/>
    <w:rsid w:val="001E238E"/>
    <w:rsid w:val="001E2483"/>
    <w:rsid w:val="001E2A2D"/>
    <w:rsid w:val="001E2B1E"/>
    <w:rsid w:val="001E2CFF"/>
    <w:rsid w:val="001E2D5F"/>
    <w:rsid w:val="001E2F24"/>
    <w:rsid w:val="001E30A0"/>
    <w:rsid w:val="001E30D4"/>
    <w:rsid w:val="001E34DF"/>
    <w:rsid w:val="001E3FD0"/>
    <w:rsid w:val="001E42AE"/>
    <w:rsid w:val="001E4998"/>
    <w:rsid w:val="001E4BB9"/>
    <w:rsid w:val="001E52EB"/>
    <w:rsid w:val="001E61D2"/>
    <w:rsid w:val="001E70AE"/>
    <w:rsid w:val="001E7293"/>
    <w:rsid w:val="001E740C"/>
    <w:rsid w:val="001F0018"/>
    <w:rsid w:val="001F1235"/>
    <w:rsid w:val="001F18A4"/>
    <w:rsid w:val="001F1CB3"/>
    <w:rsid w:val="001F22B2"/>
    <w:rsid w:val="001F322B"/>
    <w:rsid w:val="001F38B5"/>
    <w:rsid w:val="001F3FB9"/>
    <w:rsid w:val="001F4081"/>
    <w:rsid w:val="001F4427"/>
    <w:rsid w:val="001F5057"/>
    <w:rsid w:val="001F592F"/>
    <w:rsid w:val="001F7361"/>
    <w:rsid w:val="001F75A1"/>
    <w:rsid w:val="00200C2C"/>
    <w:rsid w:val="00200E3C"/>
    <w:rsid w:val="00200EF8"/>
    <w:rsid w:val="002011B0"/>
    <w:rsid w:val="002015AB"/>
    <w:rsid w:val="00202775"/>
    <w:rsid w:val="00203181"/>
    <w:rsid w:val="00203783"/>
    <w:rsid w:val="0020385F"/>
    <w:rsid w:val="00203E95"/>
    <w:rsid w:val="002049EF"/>
    <w:rsid w:val="00204B02"/>
    <w:rsid w:val="00204BAE"/>
    <w:rsid w:val="00204C30"/>
    <w:rsid w:val="00204F2D"/>
    <w:rsid w:val="002068A0"/>
    <w:rsid w:val="00207021"/>
    <w:rsid w:val="0020732F"/>
    <w:rsid w:val="00207D00"/>
    <w:rsid w:val="002105C1"/>
    <w:rsid w:val="00210792"/>
    <w:rsid w:val="00210E9D"/>
    <w:rsid w:val="002121BE"/>
    <w:rsid w:val="002122FE"/>
    <w:rsid w:val="00213C9A"/>
    <w:rsid w:val="00213EF5"/>
    <w:rsid w:val="00215718"/>
    <w:rsid w:val="002168F5"/>
    <w:rsid w:val="00216BF5"/>
    <w:rsid w:val="00220764"/>
    <w:rsid w:val="00223566"/>
    <w:rsid w:val="00223B49"/>
    <w:rsid w:val="00223C67"/>
    <w:rsid w:val="00223D5A"/>
    <w:rsid w:val="0022442A"/>
    <w:rsid w:val="00224DD4"/>
    <w:rsid w:val="00226840"/>
    <w:rsid w:val="002278A0"/>
    <w:rsid w:val="002309CC"/>
    <w:rsid w:val="00230C9B"/>
    <w:rsid w:val="00230DB1"/>
    <w:rsid w:val="00231BC5"/>
    <w:rsid w:val="0023209F"/>
    <w:rsid w:val="00233C01"/>
    <w:rsid w:val="0023413C"/>
    <w:rsid w:val="002346F0"/>
    <w:rsid w:val="00235024"/>
    <w:rsid w:val="0023629D"/>
    <w:rsid w:val="00237255"/>
    <w:rsid w:val="0023756D"/>
    <w:rsid w:val="0024129D"/>
    <w:rsid w:val="002424AF"/>
    <w:rsid w:val="002439DC"/>
    <w:rsid w:val="002441D2"/>
    <w:rsid w:val="00244DC8"/>
    <w:rsid w:val="002458BA"/>
    <w:rsid w:val="00245BFE"/>
    <w:rsid w:val="00245CE9"/>
    <w:rsid w:val="002462A1"/>
    <w:rsid w:val="0024636C"/>
    <w:rsid w:val="00246494"/>
    <w:rsid w:val="00247925"/>
    <w:rsid w:val="00247CFA"/>
    <w:rsid w:val="00251006"/>
    <w:rsid w:val="002524D5"/>
    <w:rsid w:val="00253B1D"/>
    <w:rsid w:val="002544DE"/>
    <w:rsid w:val="00254DCF"/>
    <w:rsid w:val="0025534B"/>
    <w:rsid w:val="00255BB7"/>
    <w:rsid w:val="00256050"/>
    <w:rsid w:val="0025625A"/>
    <w:rsid w:val="00257541"/>
    <w:rsid w:val="00257A39"/>
    <w:rsid w:val="00257AC4"/>
    <w:rsid w:val="002604D8"/>
    <w:rsid w:val="0026188E"/>
    <w:rsid w:val="002618D3"/>
    <w:rsid w:val="00261EEF"/>
    <w:rsid w:val="00262A1A"/>
    <w:rsid w:val="00262A87"/>
    <w:rsid w:val="00262E1B"/>
    <w:rsid w:val="00264D26"/>
    <w:rsid w:val="00264E6D"/>
    <w:rsid w:val="0026523E"/>
    <w:rsid w:val="0026549C"/>
    <w:rsid w:val="00266CFC"/>
    <w:rsid w:val="00267642"/>
    <w:rsid w:val="00267AEA"/>
    <w:rsid w:val="002700E6"/>
    <w:rsid w:val="0027038D"/>
    <w:rsid w:val="00270C8C"/>
    <w:rsid w:val="00272701"/>
    <w:rsid w:val="0027294B"/>
    <w:rsid w:val="00272A1C"/>
    <w:rsid w:val="002731D3"/>
    <w:rsid w:val="00273EB4"/>
    <w:rsid w:val="002745F9"/>
    <w:rsid w:val="00274682"/>
    <w:rsid w:val="00274CCC"/>
    <w:rsid w:val="00275C5A"/>
    <w:rsid w:val="00276048"/>
    <w:rsid w:val="00276665"/>
    <w:rsid w:val="00280ECC"/>
    <w:rsid w:val="00281014"/>
    <w:rsid w:val="002838C4"/>
    <w:rsid w:val="002839D3"/>
    <w:rsid w:val="0028665D"/>
    <w:rsid w:val="00286D2C"/>
    <w:rsid w:val="00287A4D"/>
    <w:rsid w:val="002921BA"/>
    <w:rsid w:val="00292C52"/>
    <w:rsid w:val="00293D59"/>
    <w:rsid w:val="00293ED1"/>
    <w:rsid w:val="00294D3A"/>
    <w:rsid w:val="00294FF2"/>
    <w:rsid w:val="00297598"/>
    <w:rsid w:val="002A0353"/>
    <w:rsid w:val="002A0879"/>
    <w:rsid w:val="002A14AB"/>
    <w:rsid w:val="002A2ADE"/>
    <w:rsid w:val="002A2F50"/>
    <w:rsid w:val="002A4FB3"/>
    <w:rsid w:val="002A54B8"/>
    <w:rsid w:val="002A6639"/>
    <w:rsid w:val="002B05A1"/>
    <w:rsid w:val="002B09A4"/>
    <w:rsid w:val="002B1ADE"/>
    <w:rsid w:val="002B1B85"/>
    <w:rsid w:val="002B1C1F"/>
    <w:rsid w:val="002B2B98"/>
    <w:rsid w:val="002B30D1"/>
    <w:rsid w:val="002B3B16"/>
    <w:rsid w:val="002B432F"/>
    <w:rsid w:val="002B5085"/>
    <w:rsid w:val="002B5279"/>
    <w:rsid w:val="002B539F"/>
    <w:rsid w:val="002B62B3"/>
    <w:rsid w:val="002B6754"/>
    <w:rsid w:val="002B6CCE"/>
    <w:rsid w:val="002B6EED"/>
    <w:rsid w:val="002B7CD3"/>
    <w:rsid w:val="002C00B0"/>
    <w:rsid w:val="002C106E"/>
    <w:rsid w:val="002C2510"/>
    <w:rsid w:val="002C2775"/>
    <w:rsid w:val="002C27C1"/>
    <w:rsid w:val="002C27F3"/>
    <w:rsid w:val="002C3A9E"/>
    <w:rsid w:val="002C5099"/>
    <w:rsid w:val="002C5889"/>
    <w:rsid w:val="002C6933"/>
    <w:rsid w:val="002C71CE"/>
    <w:rsid w:val="002D08C1"/>
    <w:rsid w:val="002D08F8"/>
    <w:rsid w:val="002D3007"/>
    <w:rsid w:val="002D3D6F"/>
    <w:rsid w:val="002D4822"/>
    <w:rsid w:val="002D52D2"/>
    <w:rsid w:val="002D577C"/>
    <w:rsid w:val="002D6460"/>
    <w:rsid w:val="002D67F7"/>
    <w:rsid w:val="002D7E82"/>
    <w:rsid w:val="002E1071"/>
    <w:rsid w:val="002E15B9"/>
    <w:rsid w:val="002E2158"/>
    <w:rsid w:val="002E4F02"/>
    <w:rsid w:val="002E5956"/>
    <w:rsid w:val="002E72F9"/>
    <w:rsid w:val="002E7722"/>
    <w:rsid w:val="002F07BA"/>
    <w:rsid w:val="002F0DA9"/>
    <w:rsid w:val="002F1014"/>
    <w:rsid w:val="002F643C"/>
    <w:rsid w:val="002F698B"/>
    <w:rsid w:val="002F71C0"/>
    <w:rsid w:val="002F72F7"/>
    <w:rsid w:val="002F74F1"/>
    <w:rsid w:val="002F78FC"/>
    <w:rsid w:val="002F7C70"/>
    <w:rsid w:val="00301017"/>
    <w:rsid w:val="0030155F"/>
    <w:rsid w:val="0030259B"/>
    <w:rsid w:val="003047E4"/>
    <w:rsid w:val="00305515"/>
    <w:rsid w:val="0030587B"/>
    <w:rsid w:val="00305DE2"/>
    <w:rsid w:val="0030639F"/>
    <w:rsid w:val="00306D98"/>
    <w:rsid w:val="00307646"/>
    <w:rsid w:val="0030772F"/>
    <w:rsid w:val="0030786C"/>
    <w:rsid w:val="0031031A"/>
    <w:rsid w:val="00310981"/>
    <w:rsid w:val="00310AFC"/>
    <w:rsid w:val="003115C8"/>
    <w:rsid w:val="003124D9"/>
    <w:rsid w:val="00312594"/>
    <w:rsid w:val="003129F1"/>
    <w:rsid w:val="00312AF9"/>
    <w:rsid w:val="0031354E"/>
    <w:rsid w:val="0031457E"/>
    <w:rsid w:val="00314B05"/>
    <w:rsid w:val="00315498"/>
    <w:rsid w:val="00316474"/>
    <w:rsid w:val="00316D16"/>
    <w:rsid w:val="00317130"/>
    <w:rsid w:val="0032112E"/>
    <w:rsid w:val="003211EE"/>
    <w:rsid w:val="00322107"/>
    <w:rsid w:val="003221CF"/>
    <w:rsid w:val="00322355"/>
    <w:rsid w:val="00322846"/>
    <w:rsid w:val="00322C1E"/>
    <w:rsid w:val="00326DA7"/>
    <w:rsid w:val="003270E4"/>
    <w:rsid w:val="00330DAA"/>
    <w:rsid w:val="00330F5C"/>
    <w:rsid w:val="0033145D"/>
    <w:rsid w:val="00331900"/>
    <w:rsid w:val="00331B69"/>
    <w:rsid w:val="00332A90"/>
    <w:rsid w:val="00334FC1"/>
    <w:rsid w:val="003366C9"/>
    <w:rsid w:val="003371B0"/>
    <w:rsid w:val="00337AF7"/>
    <w:rsid w:val="00337E34"/>
    <w:rsid w:val="00340DF1"/>
    <w:rsid w:val="0034144F"/>
    <w:rsid w:val="00341BE1"/>
    <w:rsid w:val="0034212A"/>
    <w:rsid w:val="003427A2"/>
    <w:rsid w:val="00343A14"/>
    <w:rsid w:val="00346DA5"/>
    <w:rsid w:val="00347C6E"/>
    <w:rsid w:val="003517F9"/>
    <w:rsid w:val="00351BA9"/>
    <w:rsid w:val="00351D75"/>
    <w:rsid w:val="003527F0"/>
    <w:rsid w:val="00352C79"/>
    <w:rsid w:val="00354F64"/>
    <w:rsid w:val="00355009"/>
    <w:rsid w:val="0035620E"/>
    <w:rsid w:val="0035662D"/>
    <w:rsid w:val="00357895"/>
    <w:rsid w:val="00360345"/>
    <w:rsid w:val="00361A05"/>
    <w:rsid w:val="003624C4"/>
    <w:rsid w:val="00362A3F"/>
    <w:rsid w:val="00363019"/>
    <w:rsid w:val="00363904"/>
    <w:rsid w:val="00363B00"/>
    <w:rsid w:val="00363DB3"/>
    <w:rsid w:val="00364AE8"/>
    <w:rsid w:val="003654AC"/>
    <w:rsid w:val="00365CB4"/>
    <w:rsid w:val="00370801"/>
    <w:rsid w:val="0037082D"/>
    <w:rsid w:val="00371008"/>
    <w:rsid w:val="003710CF"/>
    <w:rsid w:val="003711DC"/>
    <w:rsid w:val="0037162F"/>
    <w:rsid w:val="0037358A"/>
    <w:rsid w:val="003748C7"/>
    <w:rsid w:val="00375067"/>
    <w:rsid w:val="003750F6"/>
    <w:rsid w:val="003760FC"/>
    <w:rsid w:val="00380F2E"/>
    <w:rsid w:val="0038365C"/>
    <w:rsid w:val="0038369B"/>
    <w:rsid w:val="00383B78"/>
    <w:rsid w:val="0038401B"/>
    <w:rsid w:val="003840E8"/>
    <w:rsid w:val="00385A9D"/>
    <w:rsid w:val="00387169"/>
    <w:rsid w:val="003872AD"/>
    <w:rsid w:val="0038744C"/>
    <w:rsid w:val="0038750D"/>
    <w:rsid w:val="003876E2"/>
    <w:rsid w:val="00387AC3"/>
    <w:rsid w:val="003902B1"/>
    <w:rsid w:val="00390CE9"/>
    <w:rsid w:val="0039179C"/>
    <w:rsid w:val="0039198E"/>
    <w:rsid w:val="0039255D"/>
    <w:rsid w:val="00395EF5"/>
    <w:rsid w:val="00396896"/>
    <w:rsid w:val="00396FD0"/>
    <w:rsid w:val="003A07DB"/>
    <w:rsid w:val="003A0C4A"/>
    <w:rsid w:val="003A1673"/>
    <w:rsid w:val="003A1A7A"/>
    <w:rsid w:val="003A2392"/>
    <w:rsid w:val="003A2831"/>
    <w:rsid w:val="003A3CB6"/>
    <w:rsid w:val="003A3ED1"/>
    <w:rsid w:val="003A42A3"/>
    <w:rsid w:val="003A44DB"/>
    <w:rsid w:val="003A4541"/>
    <w:rsid w:val="003A4E29"/>
    <w:rsid w:val="003A5285"/>
    <w:rsid w:val="003A7C94"/>
    <w:rsid w:val="003B07B7"/>
    <w:rsid w:val="003B1EA6"/>
    <w:rsid w:val="003B3971"/>
    <w:rsid w:val="003B4A37"/>
    <w:rsid w:val="003B55D1"/>
    <w:rsid w:val="003B5B61"/>
    <w:rsid w:val="003B6413"/>
    <w:rsid w:val="003B7758"/>
    <w:rsid w:val="003B78A2"/>
    <w:rsid w:val="003C08FC"/>
    <w:rsid w:val="003C0DDA"/>
    <w:rsid w:val="003C1654"/>
    <w:rsid w:val="003C21B1"/>
    <w:rsid w:val="003C3B7A"/>
    <w:rsid w:val="003C41BB"/>
    <w:rsid w:val="003C5542"/>
    <w:rsid w:val="003C5CBE"/>
    <w:rsid w:val="003C79F3"/>
    <w:rsid w:val="003C7B0D"/>
    <w:rsid w:val="003C7D19"/>
    <w:rsid w:val="003C7D2F"/>
    <w:rsid w:val="003D1828"/>
    <w:rsid w:val="003D1DE4"/>
    <w:rsid w:val="003D1E9A"/>
    <w:rsid w:val="003D1EA6"/>
    <w:rsid w:val="003D2422"/>
    <w:rsid w:val="003D2577"/>
    <w:rsid w:val="003D2896"/>
    <w:rsid w:val="003D2C81"/>
    <w:rsid w:val="003D372E"/>
    <w:rsid w:val="003D39A1"/>
    <w:rsid w:val="003D3B2B"/>
    <w:rsid w:val="003D3FBF"/>
    <w:rsid w:val="003D4A30"/>
    <w:rsid w:val="003D4B6D"/>
    <w:rsid w:val="003D6709"/>
    <w:rsid w:val="003D70B7"/>
    <w:rsid w:val="003D7452"/>
    <w:rsid w:val="003D79BB"/>
    <w:rsid w:val="003D7BC8"/>
    <w:rsid w:val="003D7C98"/>
    <w:rsid w:val="003D7D9D"/>
    <w:rsid w:val="003E0543"/>
    <w:rsid w:val="003E2344"/>
    <w:rsid w:val="003E408E"/>
    <w:rsid w:val="003E4881"/>
    <w:rsid w:val="003E4C8B"/>
    <w:rsid w:val="003E749E"/>
    <w:rsid w:val="003F05F4"/>
    <w:rsid w:val="003F210C"/>
    <w:rsid w:val="003F28A3"/>
    <w:rsid w:val="003F4156"/>
    <w:rsid w:val="003F421E"/>
    <w:rsid w:val="003F58A1"/>
    <w:rsid w:val="003F5ADF"/>
    <w:rsid w:val="003F5C98"/>
    <w:rsid w:val="0040094E"/>
    <w:rsid w:val="00400B29"/>
    <w:rsid w:val="00401D0E"/>
    <w:rsid w:val="0040504B"/>
    <w:rsid w:val="00405894"/>
    <w:rsid w:val="004059F4"/>
    <w:rsid w:val="004073AB"/>
    <w:rsid w:val="00407B4D"/>
    <w:rsid w:val="00407FB8"/>
    <w:rsid w:val="00407FE5"/>
    <w:rsid w:val="004101B0"/>
    <w:rsid w:val="00410326"/>
    <w:rsid w:val="00410708"/>
    <w:rsid w:val="00410EC7"/>
    <w:rsid w:val="004110FB"/>
    <w:rsid w:val="00411875"/>
    <w:rsid w:val="00411B39"/>
    <w:rsid w:val="00411BAB"/>
    <w:rsid w:val="004127A7"/>
    <w:rsid w:val="004137CE"/>
    <w:rsid w:val="00413A1E"/>
    <w:rsid w:val="00414476"/>
    <w:rsid w:val="00414C2E"/>
    <w:rsid w:val="004151CF"/>
    <w:rsid w:val="00415679"/>
    <w:rsid w:val="0041572B"/>
    <w:rsid w:val="004159C4"/>
    <w:rsid w:val="0041610F"/>
    <w:rsid w:val="00416364"/>
    <w:rsid w:val="0041667C"/>
    <w:rsid w:val="00417B2B"/>
    <w:rsid w:val="0042047F"/>
    <w:rsid w:val="00420AA6"/>
    <w:rsid w:val="00420B9F"/>
    <w:rsid w:val="004212EB"/>
    <w:rsid w:val="004218E4"/>
    <w:rsid w:val="0042192C"/>
    <w:rsid w:val="004220E9"/>
    <w:rsid w:val="00422260"/>
    <w:rsid w:val="004223E2"/>
    <w:rsid w:val="00422502"/>
    <w:rsid w:val="00423296"/>
    <w:rsid w:val="00423372"/>
    <w:rsid w:val="0042413F"/>
    <w:rsid w:val="00430257"/>
    <w:rsid w:val="00430754"/>
    <w:rsid w:val="00430ADC"/>
    <w:rsid w:val="004319F8"/>
    <w:rsid w:val="00431E55"/>
    <w:rsid w:val="004321F6"/>
    <w:rsid w:val="00433044"/>
    <w:rsid w:val="004330B9"/>
    <w:rsid w:val="00433FA7"/>
    <w:rsid w:val="00434088"/>
    <w:rsid w:val="00434DB5"/>
    <w:rsid w:val="004369F7"/>
    <w:rsid w:val="00436CA0"/>
    <w:rsid w:val="004375B9"/>
    <w:rsid w:val="004378C8"/>
    <w:rsid w:val="00441B73"/>
    <w:rsid w:val="004428D0"/>
    <w:rsid w:val="00444053"/>
    <w:rsid w:val="00444185"/>
    <w:rsid w:val="004443A7"/>
    <w:rsid w:val="0044442C"/>
    <w:rsid w:val="00445941"/>
    <w:rsid w:val="004464EB"/>
    <w:rsid w:val="004471E8"/>
    <w:rsid w:val="00447887"/>
    <w:rsid w:val="00447D26"/>
    <w:rsid w:val="00447DFC"/>
    <w:rsid w:val="00451779"/>
    <w:rsid w:val="00451D8D"/>
    <w:rsid w:val="00453303"/>
    <w:rsid w:val="00453D8F"/>
    <w:rsid w:val="00454FF6"/>
    <w:rsid w:val="00455D45"/>
    <w:rsid w:val="00457A80"/>
    <w:rsid w:val="004608F2"/>
    <w:rsid w:val="00461859"/>
    <w:rsid w:val="00462D53"/>
    <w:rsid w:val="00464595"/>
    <w:rsid w:val="004658B5"/>
    <w:rsid w:val="00465A64"/>
    <w:rsid w:val="004664BD"/>
    <w:rsid w:val="004667C8"/>
    <w:rsid w:val="00466ED5"/>
    <w:rsid w:val="00467EAF"/>
    <w:rsid w:val="00467FC1"/>
    <w:rsid w:val="00471EA5"/>
    <w:rsid w:val="004727EF"/>
    <w:rsid w:val="00472A79"/>
    <w:rsid w:val="00472A87"/>
    <w:rsid w:val="00473F19"/>
    <w:rsid w:val="004743A1"/>
    <w:rsid w:val="00475DAC"/>
    <w:rsid w:val="00475E22"/>
    <w:rsid w:val="00476894"/>
    <w:rsid w:val="00476F87"/>
    <w:rsid w:val="004770FD"/>
    <w:rsid w:val="00477F96"/>
    <w:rsid w:val="0048088E"/>
    <w:rsid w:val="00480F2B"/>
    <w:rsid w:val="00480F8D"/>
    <w:rsid w:val="00480FC8"/>
    <w:rsid w:val="00482720"/>
    <w:rsid w:val="004835E7"/>
    <w:rsid w:val="00483679"/>
    <w:rsid w:val="00483E46"/>
    <w:rsid w:val="00484AB4"/>
    <w:rsid w:val="00484C93"/>
    <w:rsid w:val="00485149"/>
    <w:rsid w:val="004863E6"/>
    <w:rsid w:val="004867E2"/>
    <w:rsid w:val="0048750F"/>
    <w:rsid w:val="00490B17"/>
    <w:rsid w:val="00491991"/>
    <w:rsid w:val="00491A57"/>
    <w:rsid w:val="00491B3A"/>
    <w:rsid w:val="00491D0F"/>
    <w:rsid w:val="0049258D"/>
    <w:rsid w:val="00492CFD"/>
    <w:rsid w:val="00494063"/>
    <w:rsid w:val="00494207"/>
    <w:rsid w:val="00494DD5"/>
    <w:rsid w:val="00495A9B"/>
    <w:rsid w:val="004962D2"/>
    <w:rsid w:val="00496990"/>
    <w:rsid w:val="00497336"/>
    <w:rsid w:val="004A0194"/>
    <w:rsid w:val="004A0D2E"/>
    <w:rsid w:val="004A0DA1"/>
    <w:rsid w:val="004A13D6"/>
    <w:rsid w:val="004A18A8"/>
    <w:rsid w:val="004A1DCD"/>
    <w:rsid w:val="004A2112"/>
    <w:rsid w:val="004A342A"/>
    <w:rsid w:val="004A4FE4"/>
    <w:rsid w:val="004A50D7"/>
    <w:rsid w:val="004A52E9"/>
    <w:rsid w:val="004A5B94"/>
    <w:rsid w:val="004A6040"/>
    <w:rsid w:val="004A6597"/>
    <w:rsid w:val="004A73F5"/>
    <w:rsid w:val="004A7848"/>
    <w:rsid w:val="004B1CB4"/>
    <w:rsid w:val="004B2EB5"/>
    <w:rsid w:val="004B2F18"/>
    <w:rsid w:val="004B3807"/>
    <w:rsid w:val="004B3DDB"/>
    <w:rsid w:val="004B44FD"/>
    <w:rsid w:val="004B4A93"/>
    <w:rsid w:val="004B4D0D"/>
    <w:rsid w:val="004B57ED"/>
    <w:rsid w:val="004B5CFC"/>
    <w:rsid w:val="004B6F79"/>
    <w:rsid w:val="004B7222"/>
    <w:rsid w:val="004B73C0"/>
    <w:rsid w:val="004B774D"/>
    <w:rsid w:val="004C031B"/>
    <w:rsid w:val="004C16A0"/>
    <w:rsid w:val="004C36D0"/>
    <w:rsid w:val="004C4787"/>
    <w:rsid w:val="004C4A21"/>
    <w:rsid w:val="004C4AED"/>
    <w:rsid w:val="004C7D8F"/>
    <w:rsid w:val="004D2C2D"/>
    <w:rsid w:val="004D2D8E"/>
    <w:rsid w:val="004D4273"/>
    <w:rsid w:val="004D47C8"/>
    <w:rsid w:val="004D58B5"/>
    <w:rsid w:val="004D5D60"/>
    <w:rsid w:val="004D6233"/>
    <w:rsid w:val="004D69B5"/>
    <w:rsid w:val="004D7227"/>
    <w:rsid w:val="004E0621"/>
    <w:rsid w:val="004E0E7F"/>
    <w:rsid w:val="004E0EB8"/>
    <w:rsid w:val="004E18E9"/>
    <w:rsid w:val="004E2ADC"/>
    <w:rsid w:val="004E3732"/>
    <w:rsid w:val="004E384B"/>
    <w:rsid w:val="004E3C0C"/>
    <w:rsid w:val="004E3E57"/>
    <w:rsid w:val="004E43B2"/>
    <w:rsid w:val="004E5836"/>
    <w:rsid w:val="004E5A71"/>
    <w:rsid w:val="004E61C3"/>
    <w:rsid w:val="004E64BE"/>
    <w:rsid w:val="004F073D"/>
    <w:rsid w:val="004F1D02"/>
    <w:rsid w:val="004F2679"/>
    <w:rsid w:val="004F2DEF"/>
    <w:rsid w:val="004F2F21"/>
    <w:rsid w:val="004F3495"/>
    <w:rsid w:val="004F3DE5"/>
    <w:rsid w:val="004F4C8F"/>
    <w:rsid w:val="004F5743"/>
    <w:rsid w:val="004F5DD8"/>
    <w:rsid w:val="004F6913"/>
    <w:rsid w:val="004F7312"/>
    <w:rsid w:val="004F7865"/>
    <w:rsid w:val="0050174E"/>
    <w:rsid w:val="00501854"/>
    <w:rsid w:val="0050219B"/>
    <w:rsid w:val="00503F17"/>
    <w:rsid w:val="00505B5C"/>
    <w:rsid w:val="00506928"/>
    <w:rsid w:val="00507039"/>
    <w:rsid w:val="005070DF"/>
    <w:rsid w:val="005074C0"/>
    <w:rsid w:val="005075B5"/>
    <w:rsid w:val="005077EF"/>
    <w:rsid w:val="00510EAF"/>
    <w:rsid w:val="005112DC"/>
    <w:rsid w:val="00511308"/>
    <w:rsid w:val="00511AD5"/>
    <w:rsid w:val="00511DC7"/>
    <w:rsid w:val="00512277"/>
    <w:rsid w:val="00512801"/>
    <w:rsid w:val="005142C5"/>
    <w:rsid w:val="00514FD7"/>
    <w:rsid w:val="0051501B"/>
    <w:rsid w:val="0051517E"/>
    <w:rsid w:val="005152B5"/>
    <w:rsid w:val="00516C6B"/>
    <w:rsid w:val="00517511"/>
    <w:rsid w:val="00517E7A"/>
    <w:rsid w:val="005207C3"/>
    <w:rsid w:val="0052108B"/>
    <w:rsid w:val="0052123C"/>
    <w:rsid w:val="00521319"/>
    <w:rsid w:val="00521FB3"/>
    <w:rsid w:val="00522138"/>
    <w:rsid w:val="00522BC8"/>
    <w:rsid w:val="00523C28"/>
    <w:rsid w:val="00524B11"/>
    <w:rsid w:val="00524BF4"/>
    <w:rsid w:val="0052541D"/>
    <w:rsid w:val="0053176B"/>
    <w:rsid w:val="00532930"/>
    <w:rsid w:val="00532A5B"/>
    <w:rsid w:val="00534369"/>
    <w:rsid w:val="00535476"/>
    <w:rsid w:val="00535DE4"/>
    <w:rsid w:val="0053638E"/>
    <w:rsid w:val="00536F42"/>
    <w:rsid w:val="00537182"/>
    <w:rsid w:val="00537977"/>
    <w:rsid w:val="00537A71"/>
    <w:rsid w:val="00541EDD"/>
    <w:rsid w:val="00542743"/>
    <w:rsid w:val="00542914"/>
    <w:rsid w:val="00542C2D"/>
    <w:rsid w:val="00542DFD"/>
    <w:rsid w:val="005473C4"/>
    <w:rsid w:val="005474D0"/>
    <w:rsid w:val="00547700"/>
    <w:rsid w:val="005478BD"/>
    <w:rsid w:val="005479E3"/>
    <w:rsid w:val="00551985"/>
    <w:rsid w:val="00552BD3"/>
    <w:rsid w:val="00552F60"/>
    <w:rsid w:val="005532A0"/>
    <w:rsid w:val="00553F3B"/>
    <w:rsid w:val="00553F73"/>
    <w:rsid w:val="00554068"/>
    <w:rsid w:val="00555109"/>
    <w:rsid w:val="00555218"/>
    <w:rsid w:val="00556B35"/>
    <w:rsid w:val="00556FC2"/>
    <w:rsid w:val="00557008"/>
    <w:rsid w:val="0055741A"/>
    <w:rsid w:val="0056064D"/>
    <w:rsid w:val="00560F1F"/>
    <w:rsid w:val="005611B7"/>
    <w:rsid w:val="005618D4"/>
    <w:rsid w:val="005629EC"/>
    <w:rsid w:val="00563D8A"/>
    <w:rsid w:val="00564196"/>
    <w:rsid w:val="00565DF0"/>
    <w:rsid w:val="0056696F"/>
    <w:rsid w:val="0056713C"/>
    <w:rsid w:val="00570568"/>
    <w:rsid w:val="005717EB"/>
    <w:rsid w:val="00571B50"/>
    <w:rsid w:val="00571D19"/>
    <w:rsid w:val="00572269"/>
    <w:rsid w:val="0057244A"/>
    <w:rsid w:val="005728EC"/>
    <w:rsid w:val="00572B8E"/>
    <w:rsid w:val="00572F26"/>
    <w:rsid w:val="005748C9"/>
    <w:rsid w:val="005750C5"/>
    <w:rsid w:val="005752DE"/>
    <w:rsid w:val="0057547A"/>
    <w:rsid w:val="00575C1A"/>
    <w:rsid w:val="00575D8D"/>
    <w:rsid w:val="005767F8"/>
    <w:rsid w:val="00576972"/>
    <w:rsid w:val="00577967"/>
    <w:rsid w:val="00580D84"/>
    <w:rsid w:val="00580DCA"/>
    <w:rsid w:val="00581292"/>
    <w:rsid w:val="0058162B"/>
    <w:rsid w:val="00581BAF"/>
    <w:rsid w:val="00583699"/>
    <w:rsid w:val="00583CAB"/>
    <w:rsid w:val="0058446A"/>
    <w:rsid w:val="00585CDD"/>
    <w:rsid w:val="00586B18"/>
    <w:rsid w:val="00587058"/>
    <w:rsid w:val="00591151"/>
    <w:rsid w:val="0059117B"/>
    <w:rsid w:val="005914F6"/>
    <w:rsid w:val="00591957"/>
    <w:rsid w:val="005929CF"/>
    <w:rsid w:val="0059462D"/>
    <w:rsid w:val="00595020"/>
    <w:rsid w:val="00597BF9"/>
    <w:rsid w:val="005A0198"/>
    <w:rsid w:val="005A0679"/>
    <w:rsid w:val="005A08BB"/>
    <w:rsid w:val="005A0BA2"/>
    <w:rsid w:val="005A309A"/>
    <w:rsid w:val="005A373D"/>
    <w:rsid w:val="005A48D5"/>
    <w:rsid w:val="005A63FD"/>
    <w:rsid w:val="005A6A92"/>
    <w:rsid w:val="005A7276"/>
    <w:rsid w:val="005A755E"/>
    <w:rsid w:val="005B0B58"/>
    <w:rsid w:val="005B3AF7"/>
    <w:rsid w:val="005B3B69"/>
    <w:rsid w:val="005B4DCD"/>
    <w:rsid w:val="005B4E53"/>
    <w:rsid w:val="005B5857"/>
    <w:rsid w:val="005B7BC1"/>
    <w:rsid w:val="005C1B83"/>
    <w:rsid w:val="005C2045"/>
    <w:rsid w:val="005C25FF"/>
    <w:rsid w:val="005C2D55"/>
    <w:rsid w:val="005C346B"/>
    <w:rsid w:val="005C50F1"/>
    <w:rsid w:val="005C54BD"/>
    <w:rsid w:val="005D003F"/>
    <w:rsid w:val="005D044D"/>
    <w:rsid w:val="005D0ABD"/>
    <w:rsid w:val="005D0BFB"/>
    <w:rsid w:val="005D18AD"/>
    <w:rsid w:val="005D1BEF"/>
    <w:rsid w:val="005D26B4"/>
    <w:rsid w:val="005D43D9"/>
    <w:rsid w:val="005D43E4"/>
    <w:rsid w:val="005D5353"/>
    <w:rsid w:val="005E026C"/>
    <w:rsid w:val="005E0670"/>
    <w:rsid w:val="005E0994"/>
    <w:rsid w:val="005E0B7E"/>
    <w:rsid w:val="005E46F9"/>
    <w:rsid w:val="005E47A0"/>
    <w:rsid w:val="005E63F7"/>
    <w:rsid w:val="005E6CBC"/>
    <w:rsid w:val="005E71B0"/>
    <w:rsid w:val="005E72FF"/>
    <w:rsid w:val="005E73C0"/>
    <w:rsid w:val="005E7CB8"/>
    <w:rsid w:val="005F2706"/>
    <w:rsid w:val="005F5CC3"/>
    <w:rsid w:val="005F66C1"/>
    <w:rsid w:val="005F6905"/>
    <w:rsid w:val="005F6A8F"/>
    <w:rsid w:val="005F6AFA"/>
    <w:rsid w:val="005F6BB7"/>
    <w:rsid w:val="005F71B2"/>
    <w:rsid w:val="005F7588"/>
    <w:rsid w:val="005F7722"/>
    <w:rsid w:val="00600B22"/>
    <w:rsid w:val="00603877"/>
    <w:rsid w:val="00603A75"/>
    <w:rsid w:val="00603DB9"/>
    <w:rsid w:val="006053CF"/>
    <w:rsid w:val="00606B0B"/>
    <w:rsid w:val="00606FBA"/>
    <w:rsid w:val="00607669"/>
    <w:rsid w:val="006076F4"/>
    <w:rsid w:val="00607AFD"/>
    <w:rsid w:val="0061031F"/>
    <w:rsid w:val="00610369"/>
    <w:rsid w:val="00611844"/>
    <w:rsid w:val="00612F97"/>
    <w:rsid w:val="0061345D"/>
    <w:rsid w:val="00614AA5"/>
    <w:rsid w:val="0061549B"/>
    <w:rsid w:val="006164A5"/>
    <w:rsid w:val="00616802"/>
    <w:rsid w:val="00616C5C"/>
    <w:rsid w:val="00617771"/>
    <w:rsid w:val="00617E12"/>
    <w:rsid w:val="0062046F"/>
    <w:rsid w:val="00620A4C"/>
    <w:rsid w:val="00620C25"/>
    <w:rsid w:val="00621477"/>
    <w:rsid w:val="006216D7"/>
    <w:rsid w:val="00621ADA"/>
    <w:rsid w:val="00623106"/>
    <w:rsid w:val="00623F7B"/>
    <w:rsid w:val="00625333"/>
    <w:rsid w:val="00627479"/>
    <w:rsid w:val="00630FB5"/>
    <w:rsid w:val="0063158F"/>
    <w:rsid w:val="00631D6B"/>
    <w:rsid w:val="00632183"/>
    <w:rsid w:val="006330A1"/>
    <w:rsid w:val="006332FA"/>
    <w:rsid w:val="0063360D"/>
    <w:rsid w:val="0063479F"/>
    <w:rsid w:val="00635364"/>
    <w:rsid w:val="006353F0"/>
    <w:rsid w:val="00635555"/>
    <w:rsid w:val="006357B5"/>
    <w:rsid w:val="006364A1"/>
    <w:rsid w:val="0063678E"/>
    <w:rsid w:val="00637BFD"/>
    <w:rsid w:val="00641BCD"/>
    <w:rsid w:val="00641C4E"/>
    <w:rsid w:val="00641FB3"/>
    <w:rsid w:val="006423E8"/>
    <w:rsid w:val="006425A3"/>
    <w:rsid w:val="00642A4B"/>
    <w:rsid w:val="00642D54"/>
    <w:rsid w:val="00642E5F"/>
    <w:rsid w:val="00643668"/>
    <w:rsid w:val="0064434C"/>
    <w:rsid w:val="006466A4"/>
    <w:rsid w:val="006471CC"/>
    <w:rsid w:val="0064742D"/>
    <w:rsid w:val="00647A29"/>
    <w:rsid w:val="00647C9B"/>
    <w:rsid w:val="0065079F"/>
    <w:rsid w:val="0065147C"/>
    <w:rsid w:val="00652A28"/>
    <w:rsid w:val="0065379F"/>
    <w:rsid w:val="00653D26"/>
    <w:rsid w:val="0065528D"/>
    <w:rsid w:val="00656188"/>
    <w:rsid w:val="00656515"/>
    <w:rsid w:val="0065677C"/>
    <w:rsid w:val="0065715A"/>
    <w:rsid w:val="00660805"/>
    <w:rsid w:val="00660CCA"/>
    <w:rsid w:val="00660E15"/>
    <w:rsid w:val="006610F1"/>
    <w:rsid w:val="006613B5"/>
    <w:rsid w:val="00661C6B"/>
    <w:rsid w:val="00663040"/>
    <w:rsid w:val="0066334A"/>
    <w:rsid w:val="00663965"/>
    <w:rsid w:val="00665D68"/>
    <w:rsid w:val="00667EF7"/>
    <w:rsid w:val="006703E2"/>
    <w:rsid w:val="00671004"/>
    <w:rsid w:val="00671F93"/>
    <w:rsid w:val="00672646"/>
    <w:rsid w:val="00673681"/>
    <w:rsid w:val="00674E42"/>
    <w:rsid w:val="00675204"/>
    <w:rsid w:val="00675C5D"/>
    <w:rsid w:val="006813F8"/>
    <w:rsid w:val="006817C0"/>
    <w:rsid w:val="00681DBD"/>
    <w:rsid w:val="00681DCC"/>
    <w:rsid w:val="00682112"/>
    <w:rsid w:val="00682BA6"/>
    <w:rsid w:val="00683D7C"/>
    <w:rsid w:val="00683F17"/>
    <w:rsid w:val="00684B51"/>
    <w:rsid w:val="006852BD"/>
    <w:rsid w:val="00686957"/>
    <w:rsid w:val="006872BA"/>
    <w:rsid w:val="00687D56"/>
    <w:rsid w:val="00690117"/>
    <w:rsid w:val="00690795"/>
    <w:rsid w:val="00691648"/>
    <w:rsid w:val="006917D7"/>
    <w:rsid w:val="0069434C"/>
    <w:rsid w:val="00694359"/>
    <w:rsid w:val="00694F44"/>
    <w:rsid w:val="006966E3"/>
    <w:rsid w:val="00696F51"/>
    <w:rsid w:val="00697567"/>
    <w:rsid w:val="006979A5"/>
    <w:rsid w:val="006A0055"/>
    <w:rsid w:val="006A0BAA"/>
    <w:rsid w:val="006A1246"/>
    <w:rsid w:val="006A3413"/>
    <w:rsid w:val="006A6B99"/>
    <w:rsid w:val="006A7E5F"/>
    <w:rsid w:val="006B05CA"/>
    <w:rsid w:val="006B2403"/>
    <w:rsid w:val="006B261B"/>
    <w:rsid w:val="006B2C90"/>
    <w:rsid w:val="006B35E6"/>
    <w:rsid w:val="006B3854"/>
    <w:rsid w:val="006B41AC"/>
    <w:rsid w:val="006B465A"/>
    <w:rsid w:val="006B60B9"/>
    <w:rsid w:val="006B6BE7"/>
    <w:rsid w:val="006B6DD0"/>
    <w:rsid w:val="006C0399"/>
    <w:rsid w:val="006C155C"/>
    <w:rsid w:val="006C1B5D"/>
    <w:rsid w:val="006C21C7"/>
    <w:rsid w:val="006C2A8E"/>
    <w:rsid w:val="006C2E97"/>
    <w:rsid w:val="006C3255"/>
    <w:rsid w:val="006C3F26"/>
    <w:rsid w:val="006C4A23"/>
    <w:rsid w:val="006D0192"/>
    <w:rsid w:val="006D0D17"/>
    <w:rsid w:val="006D2E66"/>
    <w:rsid w:val="006D3C7D"/>
    <w:rsid w:val="006D4659"/>
    <w:rsid w:val="006D4949"/>
    <w:rsid w:val="006D4AD8"/>
    <w:rsid w:val="006D5D5F"/>
    <w:rsid w:val="006D640D"/>
    <w:rsid w:val="006D68FB"/>
    <w:rsid w:val="006D6E31"/>
    <w:rsid w:val="006D74C2"/>
    <w:rsid w:val="006D74D0"/>
    <w:rsid w:val="006D78F5"/>
    <w:rsid w:val="006D7B2D"/>
    <w:rsid w:val="006D7E2C"/>
    <w:rsid w:val="006E1569"/>
    <w:rsid w:val="006E18C3"/>
    <w:rsid w:val="006E26EC"/>
    <w:rsid w:val="006E2868"/>
    <w:rsid w:val="006E2E5A"/>
    <w:rsid w:val="006E3E83"/>
    <w:rsid w:val="006E5160"/>
    <w:rsid w:val="006E6CEB"/>
    <w:rsid w:val="006F1BC9"/>
    <w:rsid w:val="006F306C"/>
    <w:rsid w:val="006F4A9D"/>
    <w:rsid w:val="006F4C55"/>
    <w:rsid w:val="006F5536"/>
    <w:rsid w:val="006F5AFD"/>
    <w:rsid w:val="006F5B8E"/>
    <w:rsid w:val="006F63A5"/>
    <w:rsid w:val="006F6D3F"/>
    <w:rsid w:val="006F6EB8"/>
    <w:rsid w:val="006F7E6F"/>
    <w:rsid w:val="00700AEC"/>
    <w:rsid w:val="0070142B"/>
    <w:rsid w:val="007019D7"/>
    <w:rsid w:val="0070276E"/>
    <w:rsid w:val="00702F8F"/>
    <w:rsid w:val="00703648"/>
    <w:rsid w:val="00703A89"/>
    <w:rsid w:val="00703E82"/>
    <w:rsid w:val="00704B58"/>
    <w:rsid w:val="00705805"/>
    <w:rsid w:val="00705F20"/>
    <w:rsid w:val="00707375"/>
    <w:rsid w:val="0070750B"/>
    <w:rsid w:val="007079FC"/>
    <w:rsid w:val="00710B64"/>
    <w:rsid w:val="007112FD"/>
    <w:rsid w:val="00711A36"/>
    <w:rsid w:val="00712A49"/>
    <w:rsid w:val="00714B0E"/>
    <w:rsid w:val="00714C26"/>
    <w:rsid w:val="0071529C"/>
    <w:rsid w:val="0071655F"/>
    <w:rsid w:val="007165C8"/>
    <w:rsid w:val="007170DA"/>
    <w:rsid w:val="007172AD"/>
    <w:rsid w:val="00720801"/>
    <w:rsid w:val="007219BC"/>
    <w:rsid w:val="00722259"/>
    <w:rsid w:val="007229B4"/>
    <w:rsid w:val="00722B1B"/>
    <w:rsid w:val="00723C84"/>
    <w:rsid w:val="00723F18"/>
    <w:rsid w:val="0072416F"/>
    <w:rsid w:val="00724B6F"/>
    <w:rsid w:val="00725C23"/>
    <w:rsid w:val="007267C1"/>
    <w:rsid w:val="00727C94"/>
    <w:rsid w:val="00730890"/>
    <w:rsid w:val="00731AAB"/>
    <w:rsid w:val="00731B0A"/>
    <w:rsid w:val="00731EAE"/>
    <w:rsid w:val="00733073"/>
    <w:rsid w:val="007330B4"/>
    <w:rsid w:val="007343BD"/>
    <w:rsid w:val="007346C9"/>
    <w:rsid w:val="007348D9"/>
    <w:rsid w:val="007348F7"/>
    <w:rsid w:val="00735033"/>
    <w:rsid w:val="00735328"/>
    <w:rsid w:val="00735645"/>
    <w:rsid w:val="00735D00"/>
    <w:rsid w:val="0073685B"/>
    <w:rsid w:val="00740D94"/>
    <w:rsid w:val="00741545"/>
    <w:rsid w:val="007431DC"/>
    <w:rsid w:val="007437A8"/>
    <w:rsid w:val="007449BF"/>
    <w:rsid w:val="00745DAF"/>
    <w:rsid w:val="00746BC0"/>
    <w:rsid w:val="00747D6A"/>
    <w:rsid w:val="00750174"/>
    <w:rsid w:val="007510B4"/>
    <w:rsid w:val="00752142"/>
    <w:rsid w:val="007523F9"/>
    <w:rsid w:val="007529C5"/>
    <w:rsid w:val="00753251"/>
    <w:rsid w:val="0075357E"/>
    <w:rsid w:val="007551C4"/>
    <w:rsid w:val="0075696D"/>
    <w:rsid w:val="007573E8"/>
    <w:rsid w:val="00760C4E"/>
    <w:rsid w:val="00760F9E"/>
    <w:rsid w:val="007610DC"/>
    <w:rsid w:val="007627BE"/>
    <w:rsid w:val="00763367"/>
    <w:rsid w:val="007633F2"/>
    <w:rsid w:val="007639BE"/>
    <w:rsid w:val="00763C0D"/>
    <w:rsid w:val="00764F03"/>
    <w:rsid w:val="007652BB"/>
    <w:rsid w:val="00765B1A"/>
    <w:rsid w:val="00765C38"/>
    <w:rsid w:val="007664ED"/>
    <w:rsid w:val="0076776D"/>
    <w:rsid w:val="007712F4"/>
    <w:rsid w:val="007718A0"/>
    <w:rsid w:val="007733C0"/>
    <w:rsid w:val="00773592"/>
    <w:rsid w:val="0077398F"/>
    <w:rsid w:val="007743B6"/>
    <w:rsid w:val="00775310"/>
    <w:rsid w:val="00777252"/>
    <w:rsid w:val="00777335"/>
    <w:rsid w:val="00777EEB"/>
    <w:rsid w:val="00777F8B"/>
    <w:rsid w:val="007813BF"/>
    <w:rsid w:val="00783938"/>
    <w:rsid w:val="007843F2"/>
    <w:rsid w:val="00785A9F"/>
    <w:rsid w:val="00785C65"/>
    <w:rsid w:val="007925DF"/>
    <w:rsid w:val="0079278D"/>
    <w:rsid w:val="007935E5"/>
    <w:rsid w:val="00794A83"/>
    <w:rsid w:val="00795DDB"/>
    <w:rsid w:val="0079621B"/>
    <w:rsid w:val="0079633D"/>
    <w:rsid w:val="007A08AA"/>
    <w:rsid w:val="007A0A12"/>
    <w:rsid w:val="007A132D"/>
    <w:rsid w:val="007A1345"/>
    <w:rsid w:val="007A2DDB"/>
    <w:rsid w:val="007A6134"/>
    <w:rsid w:val="007A66E7"/>
    <w:rsid w:val="007A6D36"/>
    <w:rsid w:val="007A70BA"/>
    <w:rsid w:val="007A729F"/>
    <w:rsid w:val="007B049C"/>
    <w:rsid w:val="007B07D4"/>
    <w:rsid w:val="007B0D68"/>
    <w:rsid w:val="007B1F2E"/>
    <w:rsid w:val="007B251D"/>
    <w:rsid w:val="007B3067"/>
    <w:rsid w:val="007B33F5"/>
    <w:rsid w:val="007B421B"/>
    <w:rsid w:val="007B4F58"/>
    <w:rsid w:val="007B528D"/>
    <w:rsid w:val="007B5E7A"/>
    <w:rsid w:val="007B63CA"/>
    <w:rsid w:val="007B6ACE"/>
    <w:rsid w:val="007B77D1"/>
    <w:rsid w:val="007C078A"/>
    <w:rsid w:val="007C07C7"/>
    <w:rsid w:val="007C1196"/>
    <w:rsid w:val="007C126C"/>
    <w:rsid w:val="007C1876"/>
    <w:rsid w:val="007C18CE"/>
    <w:rsid w:val="007C1CD9"/>
    <w:rsid w:val="007C32EF"/>
    <w:rsid w:val="007C361D"/>
    <w:rsid w:val="007C3D8E"/>
    <w:rsid w:val="007C4B84"/>
    <w:rsid w:val="007C51E6"/>
    <w:rsid w:val="007C5206"/>
    <w:rsid w:val="007C6029"/>
    <w:rsid w:val="007C70FF"/>
    <w:rsid w:val="007C7755"/>
    <w:rsid w:val="007C7C25"/>
    <w:rsid w:val="007C7D2F"/>
    <w:rsid w:val="007C7F6A"/>
    <w:rsid w:val="007D004F"/>
    <w:rsid w:val="007D0B38"/>
    <w:rsid w:val="007D1096"/>
    <w:rsid w:val="007D17E6"/>
    <w:rsid w:val="007D34E6"/>
    <w:rsid w:val="007D41B0"/>
    <w:rsid w:val="007D5440"/>
    <w:rsid w:val="007D580E"/>
    <w:rsid w:val="007D6143"/>
    <w:rsid w:val="007D64DD"/>
    <w:rsid w:val="007D69EB"/>
    <w:rsid w:val="007D6D7A"/>
    <w:rsid w:val="007E00CC"/>
    <w:rsid w:val="007E128F"/>
    <w:rsid w:val="007E2918"/>
    <w:rsid w:val="007E653A"/>
    <w:rsid w:val="007E69D4"/>
    <w:rsid w:val="007F1017"/>
    <w:rsid w:val="007F1D52"/>
    <w:rsid w:val="007F4A3F"/>
    <w:rsid w:val="007F4A61"/>
    <w:rsid w:val="007F5255"/>
    <w:rsid w:val="007F528F"/>
    <w:rsid w:val="007F56CC"/>
    <w:rsid w:val="007F5E09"/>
    <w:rsid w:val="007F61C2"/>
    <w:rsid w:val="007F6FB8"/>
    <w:rsid w:val="007F73BF"/>
    <w:rsid w:val="00803C50"/>
    <w:rsid w:val="00805142"/>
    <w:rsid w:val="00805528"/>
    <w:rsid w:val="00805FCE"/>
    <w:rsid w:val="00807A8B"/>
    <w:rsid w:val="008101AD"/>
    <w:rsid w:val="008107EB"/>
    <w:rsid w:val="00811383"/>
    <w:rsid w:val="00811AB3"/>
    <w:rsid w:val="00812149"/>
    <w:rsid w:val="008126AD"/>
    <w:rsid w:val="00812951"/>
    <w:rsid w:val="00812CAC"/>
    <w:rsid w:val="00813F55"/>
    <w:rsid w:val="00816361"/>
    <w:rsid w:val="008166EF"/>
    <w:rsid w:val="00816FEF"/>
    <w:rsid w:val="00817487"/>
    <w:rsid w:val="00820A8C"/>
    <w:rsid w:val="00820F64"/>
    <w:rsid w:val="008215FB"/>
    <w:rsid w:val="0082170C"/>
    <w:rsid w:val="00823174"/>
    <w:rsid w:val="00823AEF"/>
    <w:rsid w:val="00825034"/>
    <w:rsid w:val="00825186"/>
    <w:rsid w:val="00825751"/>
    <w:rsid w:val="008264EB"/>
    <w:rsid w:val="00827B3B"/>
    <w:rsid w:val="008300C3"/>
    <w:rsid w:val="008308C6"/>
    <w:rsid w:val="00832C71"/>
    <w:rsid w:val="00832E1B"/>
    <w:rsid w:val="00833B05"/>
    <w:rsid w:val="00833FCC"/>
    <w:rsid w:val="00834315"/>
    <w:rsid w:val="008362B4"/>
    <w:rsid w:val="0083663A"/>
    <w:rsid w:val="0083671F"/>
    <w:rsid w:val="008372E9"/>
    <w:rsid w:val="008376C7"/>
    <w:rsid w:val="00840A37"/>
    <w:rsid w:val="00840CA2"/>
    <w:rsid w:val="00841169"/>
    <w:rsid w:val="00841D44"/>
    <w:rsid w:val="00841EAF"/>
    <w:rsid w:val="0084214F"/>
    <w:rsid w:val="00842E4D"/>
    <w:rsid w:val="0084374F"/>
    <w:rsid w:val="00844A22"/>
    <w:rsid w:val="00844B26"/>
    <w:rsid w:val="008452BB"/>
    <w:rsid w:val="008455FB"/>
    <w:rsid w:val="0084566E"/>
    <w:rsid w:val="00847703"/>
    <w:rsid w:val="00847C4D"/>
    <w:rsid w:val="00847DF5"/>
    <w:rsid w:val="008501AF"/>
    <w:rsid w:val="00850711"/>
    <w:rsid w:val="00851B57"/>
    <w:rsid w:val="00851BB5"/>
    <w:rsid w:val="00852E5C"/>
    <w:rsid w:val="0085309D"/>
    <w:rsid w:val="00854912"/>
    <w:rsid w:val="008562D0"/>
    <w:rsid w:val="00856897"/>
    <w:rsid w:val="00856E9A"/>
    <w:rsid w:val="008570AC"/>
    <w:rsid w:val="00857FEF"/>
    <w:rsid w:val="00860080"/>
    <w:rsid w:val="0086075D"/>
    <w:rsid w:val="00861D04"/>
    <w:rsid w:val="008621F4"/>
    <w:rsid w:val="00862502"/>
    <w:rsid w:val="00862CC1"/>
    <w:rsid w:val="00862EEE"/>
    <w:rsid w:val="008660D4"/>
    <w:rsid w:val="00866DAD"/>
    <w:rsid w:val="008678AC"/>
    <w:rsid w:val="00867BB4"/>
    <w:rsid w:val="0087015A"/>
    <w:rsid w:val="00870A82"/>
    <w:rsid w:val="00871FA9"/>
    <w:rsid w:val="008722B8"/>
    <w:rsid w:val="008728E9"/>
    <w:rsid w:val="00874DA8"/>
    <w:rsid w:val="0087561D"/>
    <w:rsid w:val="0087711F"/>
    <w:rsid w:val="00877C51"/>
    <w:rsid w:val="00877C7F"/>
    <w:rsid w:val="008802DA"/>
    <w:rsid w:val="00881829"/>
    <w:rsid w:val="00881B18"/>
    <w:rsid w:val="00881C0C"/>
    <w:rsid w:val="00882830"/>
    <w:rsid w:val="00882874"/>
    <w:rsid w:val="00882E3C"/>
    <w:rsid w:val="00883551"/>
    <w:rsid w:val="00883787"/>
    <w:rsid w:val="00884333"/>
    <w:rsid w:val="00885539"/>
    <w:rsid w:val="008855E4"/>
    <w:rsid w:val="00886CD2"/>
    <w:rsid w:val="008911E2"/>
    <w:rsid w:val="00891E6F"/>
    <w:rsid w:val="0089275D"/>
    <w:rsid w:val="00892A36"/>
    <w:rsid w:val="00893239"/>
    <w:rsid w:val="00894489"/>
    <w:rsid w:val="0089591C"/>
    <w:rsid w:val="008963A5"/>
    <w:rsid w:val="00896D5D"/>
    <w:rsid w:val="008A2A37"/>
    <w:rsid w:val="008A3363"/>
    <w:rsid w:val="008A3371"/>
    <w:rsid w:val="008A3C3E"/>
    <w:rsid w:val="008A49D6"/>
    <w:rsid w:val="008A79DE"/>
    <w:rsid w:val="008B1757"/>
    <w:rsid w:val="008B5CB9"/>
    <w:rsid w:val="008B72BE"/>
    <w:rsid w:val="008B740C"/>
    <w:rsid w:val="008B7992"/>
    <w:rsid w:val="008B7D7E"/>
    <w:rsid w:val="008C21EB"/>
    <w:rsid w:val="008C3A6F"/>
    <w:rsid w:val="008C5610"/>
    <w:rsid w:val="008C5739"/>
    <w:rsid w:val="008C59CD"/>
    <w:rsid w:val="008C6A58"/>
    <w:rsid w:val="008C6B24"/>
    <w:rsid w:val="008C772E"/>
    <w:rsid w:val="008C7ECB"/>
    <w:rsid w:val="008D13DC"/>
    <w:rsid w:val="008D219A"/>
    <w:rsid w:val="008D2D81"/>
    <w:rsid w:val="008D3909"/>
    <w:rsid w:val="008D3B86"/>
    <w:rsid w:val="008D4461"/>
    <w:rsid w:val="008D4755"/>
    <w:rsid w:val="008D4C3D"/>
    <w:rsid w:val="008D5743"/>
    <w:rsid w:val="008D57DF"/>
    <w:rsid w:val="008D593B"/>
    <w:rsid w:val="008D743C"/>
    <w:rsid w:val="008E05FA"/>
    <w:rsid w:val="008E0D3C"/>
    <w:rsid w:val="008E1931"/>
    <w:rsid w:val="008E1B9E"/>
    <w:rsid w:val="008E5494"/>
    <w:rsid w:val="008E55AB"/>
    <w:rsid w:val="008F0841"/>
    <w:rsid w:val="008F0E9E"/>
    <w:rsid w:val="008F120A"/>
    <w:rsid w:val="008F1492"/>
    <w:rsid w:val="008F16FA"/>
    <w:rsid w:val="008F27E0"/>
    <w:rsid w:val="008F2DBD"/>
    <w:rsid w:val="008F48EB"/>
    <w:rsid w:val="008F4F0B"/>
    <w:rsid w:val="008F56A9"/>
    <w:rsid w:val="008F6083"/>
    <w:rsid w:val="008F7197"/>
    <w:rsid w:val="00900174"/>
    <w:rsid w:val="00901004"/>
    <w:rsid w:val="00901FC1"/>
    <w:rsid w:val="00902226"/>
    <w:rsid w:val="009046C4"/>
    <w:rsid w:val="009062A5"/>
    <w:rsid w:val="00906686"/>
    <w:rsid w:val="0090679C"/>
    <w:rsid w:val="00910FA7"/>
    <w:rsid w:val="00911272"/>
    <w:rsid w:val="00911744"/>
    <w:rsid w:val="009132E4"/>
    <w:rsid w:val="00913496"/>
    <w:rsid w:val="009135D6"/>
    <w:rsid w:val="00914C77"/>
    <w:rsid w:val="00914CAA"/>
    <w:rsid w:val="00915B89"/>
    <w:rsid w:val="00921ACB"/>
    <w:rsid w:val="00921B91"/>
    <w:rsid w:val="009225F2"/>
    <w:rsid w:val="0092369B"/>
    <w:rsid w:val="00924D89"/>
    <w:rsid w:val="00927014"/>
    <w:rsid w:val="009277FF"/>
    <w:rsid w:val="00930BDF"/>
    <w:rsid w:val="00930E81"/>
    <w:rsid w:val="00931844"/>
    <w:rsid w:val="00932664"/>
    <w:rsid w:val="00934988"/>
    <w:rsid w:val="00934F94"/>
    <w:rsid w:val="009369BE"/>
    <w:rsid w:val="00937089"/>
    <w:rsid w:val="00941017"/>
    <w:rsid w:val="009431E0"/>
    <w:rsid w:val="009435BF"/>
    <w:rsid w:val="0094387D"/>
    <w:rsid w:val="009438E9"/>
    <w:rsid w:val="00943DE8"/>
    <w:rsid w:val="009444A2"/>
    <w:rsid w:val="00944F8A"/>
    <w:rsid w:val="0094720D"/>
    <w:rsid w:val="0094749F"/>
    <w:rsid w:val="00947627"/>
    <w:rsid w:val="0095023A"/>
    <w:rsid w:val="00950F69"/>
    <w:rsid w:val="009510A2"/>
    <w:rsid w:val="00952FA2"/>
    <w:rsid w:val="00953257"/>
    <w:rsid w:val="0095347C"/>
    <w:rsid w:val="0095474C"/>
    <w:rsid w:val="00955BC0"/>
    <w:rsid w:val="00957707"/>
    <w:rsid w:val="00957C88"/>
    <w:rsid w:val="00960349"/>
    <w:rsid w:val="009625DA"/>
    <w:rsid w:val="00962CB9"/>
    <w:rsid w:val="00963A53"/>
    <w:rsid w:val="00964312"/>
    <w:rsid w:val="009657F4"/>
    <w:rsid w:val="00965A90"/>
    <w:rsid w:val="00965B8A"/>
    <w:rsid w:val="00967223"/>
    <w:rsid w:val="0097071F"/>
    <w:rsid w:val="009717AC"/>
    <w:rsid w:val="00971D09"/>
    <w:rsid w:val="00971DE3"/>
    <w:rsid w:val="00972DB7"/>
    <w:rsid w:val="009751C1"/>
    <w:rsid w:val="00976357"/>
    <w:rsid w:val="00976A69"/>
    <w:rsid w:val="009773FB"/>
    <w:rsid w:val="00977928"/>
    <w:rsid w:val="00977D6F"/>
    <w:rsid w:val="00977E47"/>
    <w:rsid w:val="00977FB9"/>
    <w:rsid w:val="00980B6D"/>
    <w:rsid w:val="009811F1"/>
    <w:rsid w:val="00983E57"/>
    <w:rsid w:val="00985DE2"/>
    <w:rsid w:val="0098675D"/>
    <w:rsid w:val="009868CF"/>
    <w:rsid w:val="0098732D"/>
    <w:rsid w:val="00991551"/>
    <w:rsid w:val="00992148"/>
    <w:rsid w:val="009926E0"/>
    <w:rsid w:val="00992DD5"/>
    <w:rsid w:val="00993DE4"/>
    <w:rsid w:val="0099451E"/>
    <w:rsid w:val="0099605A"/>
    <w:rsid w:val="00996B1A"/>
    <w:rsid w:val="00997250"/>
    <w:rsid w:val="009A02AB"/>
    <w:rsid w:val="009A0517"/>
    <w:rsid w:val="009A2CE1"/>
    <w:rsid w:val="009A2DCC"/>
    <w:rsid w:val="009A5184"/>
    <w:rsid w:val="009A5ABC"/>
    <w:rsid w:val="009A7A3C"/>
    <w:rsid w:val="009A7F10"/>
    <w:rsid w:val="009B0FC8"/>
    <w:rsid w:val="009B1BCF"/>
    <w:rsid w:val="009B2A71"/>
    <w:rsid w:val="009B3E26"/>
    <w:rsid w:val="009B4C20"/>
    <w:rsid w:val="009B514F"/>
    <w:rsid w:val="009B719D"/>
    <w:rsid w:val="009B7EC5"/>
    <w:rsid w:val="009C1A28"/>
    <w:rsid w:val="009C3706"/>
    <w:rsid w:val="009C3A0E"/>
    <w:rsid w:val="009C3A3A"/>
    <w:rsid w:val="009C581F"/>
    <w:rsid w:val="009C5A04"/>
    <w:rsid w:val="009C5A53"/>
    <w:rsid w:val="009C5AE2"/>
    <w:rsid w:val="009C6CEA"/>
    <w:rsid w:val="009C7B85"/>
    <w:rsid w:val="009D0254"/>
    <w:rsid w:val="009D0E44"/>
    <w:rsid w:val="009D1A64"/>
    <w:rsid w:val="009D2A93"/>
    <w:rsid w:val="009D301B"/>
    <w:rsid w:val="009D3A8B"/>
    <w:rsid w:val="009D5B91"/>
    <w:rsid w:val="009D792E"/>
    <w:rsid w:val="009E0DFE"/>
    <w:rsid w:val="009E31F6"/>
    <w:rsid w:val="009E3858"/>
    <w:rsid w:val="009E4C07"/>
    <w:rsid w:val="009E5F0F"/>
    <w:rsid w:val="009E696B"/>
    <w:rsid w:val="009E72D7"/>
    <w:rsid w:val="009E752C"/>
    <w:rsid w:val="009E759C"/>
    <w:rsid w:val="009E78D9"/>
    <w:rsid w:val="009F067D"/>
    <w:rsid w:val="009F12BF"/>
    <w:rsid w:val="009F23A7"/>
    <w:rsid w:val="009F2704"/>
    <w:rsid w:val="009F36C9"/>
    <w:rsid w:val="009F36F4"/>
    <w:rsid w:val="009F3E40"/>
    <w:rsid w:val="009F4AE3"/>
    <w:rsid w:val="009F50A5"/>
    <w:rsid w:val="009F5238"/>
    <w:rsid w:val="00A003F4"/>
    <w:rsid w:val="00A01184"/>
    <w:rsid w:val="00A01959"/>
    <w:rsid w:val="00A022B2"/>
    <w:rsid w:val="00A025D7"/>
    <w:rsid w:val="00A0288A"/>
    <w:rsid w:val="00A037C2"/>
    <w:rsid w:val="00A03D43"/>
    <w:rsid w:val="00A04380"/>
    <w:rsid w:val="00A04FD6"/>
    <w:rsid w:val="00A05472"/>
    <w:rsid w:val="00A05C32"/>
    <w:rsid w:val="00A0653F"/>
    <w:rsid w:val="00A11CD0"/>
    <w:rsid w:val="00A13160"/>
    <w:rsid w:val="00A13948"/>
    <w:rsid w:val="00A143CC"/>
    <w:rsid w:val="00A144EB"/>
    <w:rsid w:val="00A1555B"/>
    <w:rsid w:val="00A155C5"/>
    <w:rsid w:val="00A169F7"/>
    <w:rsid w:val="00A16AD8"/>
    <w:rsid w:val="00A16C17"/>
    <w:rsid w:val="00A16FBB"/>
    <w:rsid w:val="00A17D74"/>
    <w:rsid w:val="00A203FD"/>
    <w:rsid w:val="00A21C95"/>
    <w:rsid w:val="00A21CF3"/>
    <w:rsid w:val="00A22435"/>
    <w:rsid w:val="00A22D1C"/>
    <w:rsid w:val="00A23651"/>
    <w:rsid w:val="00A238BF"/>
    <w:rsid w:val="00A24813"/>
    <w:rsid w:val="00A26C34"/>
    <w:rsid w:val="00A27AEC"/>
    <w:rsid w:val="00A27B10"/>
    <w:rsid w:val="00A320DB"/>
    <w:rsid w:val="00A349C1"/>
    <w:rsid w:val="00A35D16"/>
    <w:rsid w:val="00A36E63"/>
    <w:rsid w:val="00A37141"/>
    <w:rsid w:val="00A37BCD"/>
    <w:rsid w:val="00A41689"/>
    <w:rsid w:val="00A42058"/>
    <w:rsid w:val="00A42592"/>
    <w:rsid w:val="00A43C59"/>
    <w:rsid w:val="00A4675F"/>
    <w:rsid w:val="00A4676C"/>
    <w:rsid w:val="00A4764F"/>
    <w:rsid w:val="00A50ECD"/>
    <w:rsid w:val="00A5160D"/>
    <w:rsid w:val="00A518F3"/>
    <w:rsid w:val="00A520BB"/>
    <w:rsid w:val="00A52729"/>
    <w:rsid w:val="00A5275A"/>
    <w:rsid w:val="00A52A39"/>
    <w:rsid w:val="00A53272"/>
    <w:rsid w:val="00A53675"/>
    <w:rsid w:val="00A54828"/>
    <w:rsid w:val="00A55AB1"/>
    <w:rsid w:val="00A564D7"/>
    <w:rsid w:val="00A56B6A"/>
    <w:rsid w:val="00A57364"/>
    <w:rsid w:val="00A57799"/>
    <w:rsid w:val="00A578DC"/>
    <w:rsid w:val="00A60184"/>
    <w:rsid w:val="00A63096"/>
    <w:rsid w:val="00A63AF0"/>
    <w:rsid w:val="00A640E2"/>
    <w:rsid w:val="00A64D65"/>
    <w:rsid w:val="00A656EF"/>
    <w:rsid w:val="00A6659E"/>
    <w:rsid w:val="00A6725B"/>
    <w:rsid w:val="00A7052D"/>
    <w:rsid w:val="00A70605"/>
    <w:rsid w:val="00A70851"/>
    <w:rsid w:val="00A7248A"/>
    <w:rsid w:val="00A73134"/>
    <w:rsid w:val="00A7342A"/>
    <w:rsid w:val="00A74731"/>
    <w:rsid w:val="00A76001"/>
    <w:rsid w:val="00A777B2"/>
    <w:rsid w:val="00A82521"/>
    <w:rsid w:val="00A825D4"/>
    <w:rsid w:val="00A828F6"/>
    <w:rsid w:val="00A82B73"/>
    <w:rsid w:val="00A83518"/>
    <w:rsid w:val="00A836E1"/>
    <w:rsid w:val="00A843B3"/>
    <w:rsid w:val="00A857D5"/>
    <w:rsid w:val="00A863F8"/>
    <w:rsid w:val="00A86600"/>
    <w:rsid w:val="00A86E8B"/>
    <w:rsid w:val="00A87164"/>
    <w:rsid w:val="00A9147F"/>
    <w:rsid w:val="00A9160F"/>
    <w:rsid w:val="00A93072"/>
    <w:rsid w:val="00A938BD"/>
    <w:rsid w:val="00A93953"/>
    <w:rsid w:val="00A94226"/>
    <w:rsid w:val="00A959D8"/>
    <w:rsid w:val="00AA0B63"/>
    <w:rsid w:val="00AA113D"/>
    <w:rsid w:val="00AA24A0"/>
    <w:rsid w:val="00AA31D9"/>
    <w:rsid w:val="00AA33ED"/>
    <w:rsid w:val="00AA47FC"/>
    <w:rsid w:val="00AA5653"/>
    <w:rsid w:val="00AA5E05"/>
    <w:rsid w:val="00AA6BD5"/>
    <w:rsid w:val="00AA6BD8"/>
    <w:rsid w:val="00AA6C7D"/>
    <w:rsid w:val="00AA7FD6"/>
    <w:rsid w:val="00AB042A"/>
    <w:rsid w:val="00AB04C9"/>
    <w:rsid w:val="00AB08C1"/>
    <w:rsid w:val="00AB19EF"/>
    <w:rsid w:val="00AB1EE8"/>
    <w:rsid w:val="00AB2D34"/>
    <w:rsid w:val="00AB3430"/>
    <w:rsid w:val="00AB37B9"/>
    <w:rsid w:val="00AB4AD1"/>
    <w:rsid w:val="00AB5E07"/>
    <w:rsid w:val="00AB7A3C"/>
    <w:rsid w:val="00AB7CFA"/>
    <w:rsid w:val="00AC012E"/>
    <w:rsid w:val="00AC3656"/>
    <w:rsid w:val="00AC390A"/>
    <w:rsid w:val="00AC3F99"/>
    <w:rsid w:val="00AC55D3"/>
    <w:rsid w:val="00AC5B48"/>
    <w:rsid w:val="00AD0362"/>
    <w:rsid w:val="00AD1450"/>
    <w:rsid w:val="00AD1902"/>
    <w:rsid w:val="00AD22D3"/>
    <w:rsid w:val="00AD2D90"/>
    <w:rsid w:val="00AD2E31"/>
    <w:rsid w:val="00AD3602"/>
    <w:rsid w:val="00AD6416"/>
    <w:rsid w:val="00AD6502"/>
    <w:rsid w:val="00AD6C1F"/>
    <w:rsid w:val="00AD7EFF"/>
    <w:rsid w:val="00AE05B5"/>
    <w:rsid w:val="00AE05EC"/>
    <w:rsid w:val="00AE0695"/>
    <w:rsid w:val="00AE072C"/>
    <w:rsid w:val="00AE19E1"/>
    <w:rsid w:val="00AE1B20"/>
    <w:rsid w:val="00AE1C26"/>
    <w:rsid w:val="00AE293F"/>
    <w:rsid w:val="00AE3C76"/>
    <w:rsid w:val="00AE3E7E"/>
    <w:rsid w:val="00AE59B4"/>
    <w:rsid w:val="00AE730C"/>
    <w:rsid w:val="00AE7C2E"/>
    <w:rsid w:val="00AF067C"/>
    <w:rsid w:val="00AF1315"/>
    <w:rsid w:val="00AF19BF"/>
    <w:rsid w:val="00AF20BE"/>
    <w:rsid w:val="00AF2DC3"/>
    <w:rsid w:val="00AF3717"/>
    <w:rsid w:val="00AF380F"/>
    <w:rsid w:val="00AF3BC7"/>
    <w:rsid w:val="00AF3C4F"/>
    <w:rsid w:val="00AF585F"/>
    <w:rsid w:val="00AF5B5A"/>
    <w:rsid w:val="00AF62BB"/>
    <w:rsid w:val="00AF6D09"/>
    <w:rsid w:val="00B02D14"/>
    <w:rsid w:val="00B0322D"/>
    <w:rsid w:val="00B033E5"/>
    <w:rsid w:val="00B03A63"/>
    <w:rsid w:val="00B04922"/>
    <w:rsid w:val="00B04A37"/>
    <w:rsid w:val="00B04DF7"/>
    <w:rsid w:val="00B04EA7"/>
    <w:rsid w:val="00B053E2"/>
    <w:rsid w:val="00B05791"/>
    <w:rsid w:val="00B05EB3"/>
    <w:rsid w:val="00B05F31"/>
    <w:rsid w:val="00B06B04"/>
    <w:rsid w:val="00B07F35"/>
    <w:rsid w:val="00B108EB"/>
    <w:rsid w:val="00B1159A"/>
    <w:rsid w:val="00B15AC0"/>
    <w:rsid w:val="00B15D3E"/>
    <w:rsid w:val="00B16589"/>
    <w:rsid w:val="00B16F16"/>
    <w:rsid w:val="00B17539"/>
    <w:rsid w:val="00B1777E"/>
    <w:rsid w:val="00B17DDD"/>
    <w:rsid w:val="00B201A4"/>
    <w:rsid w:val="00B201D1"/>
    <w:rsid w:val="00B213A6"/>
    <w:rsid w:val="00B2230C"/>
    <w:rsid w:val="00B2290A"/>
    <w:rsid w:val="00B235B0"/>
    <w:rsid w:val="00B23754"/>
    <w:rsid w:val="00B239DE"/>
    <w:rsid w:val="00B23E22"/>
    <w:rsid w:val="00B24703"/>
    <w:rsid w:val="00B24DF6"/>
    <w:rsid w:val="00B26169"/>
    <w:rsid w:val="00B30096"/>
    <w:rsid w:val="00B317AE"/>
    <w:rsid w:val="00B33AA4"/>
    <w:rsid w:val="00B33AC0"/>
    <w:rsid w:val="00B34FE2"/>
    <w:rsid w:val="00B35166"/>
    <w:rsid w:val="00B357D8"/>
    <w:rsid w:val="00B35885"/>
    <w:rsid w:val="00B35CB2"/>
    <w:rsid w:val="00B360F4"/>
    <w:rsid w:val="00B36492"/>
    <w:rsid w:val="00B36A00"/>
    <w:rsid w:val="00B36EEF"/>
    <w:rsid w:val="00B37518"/>
    <w:rsid w:val="00B3788A"/>
    <w:rsid w:val="00B37BFC"/>
    <w:rsid w:val="00B37F4B"/>
    <w:rsid w:val="00B40358"/>
    <w:rsid w:val="00B40A2F"/>
    <w:rsid w:val="00B41485"/>
    <w:rsid w:val="00B41600"/>
    <w:rsid w:val="00B41614"/>
    <w:rsid w:val="00B42851"/>
    <w:rsid w:val="00B42F80"/>
    <w:rsid w:val="00B435CB"/>
    <w:rsid w:val="00B44880"/>
    <w:rsid w:val="00B45061"/>
    <w:rsid w:val="00B4736A"/>
    <w:rsid w:val="00B505C8"/>
    <w:rsid w:val="00B505E7"/>
    <w:rsid w:val="00B50DB8"/>
    <w:rsid w:val="00B50E3D"/>
    <w:rsid w:val="00B512DB"/>
    <w:rsid w:val="00B52220"/>
    <w:rsid w:val="00B53654"/>
    <w:rsid w:val="00B53905"/>
    <w:rsid w:val="00B54B5B"/>
    <w:rsid w:val="00B5562E"/>
    <w:rsid w:val="00B55D65"/>
    <w:rsid w:val="00B56FED"/>
    <w:rsid w:val="00B57000"/>
    <w:rsid w:val="00B57A43"/>
    <w:rsid w:val="00B6008A"/>
    <w:rsid w:val="00B60939"/>
    <w:rsid w:val="00B60946"/>
    <w:rsid w:val="00B60AFD"/>
    <w:rsid w:val="00B62715"/>
    <w:rsid w:val="00B62E6E"/>
    <w:rsid w:val="00B633DD"/>
    <w:rsid w:val="00B65611"/>
    <w:rsid w:val="00B65E74"/>
    <w:rsid w:val="00B66AA1"/>
    <w:rsid w:val="00B66F5D"/>
    <w:rsid w:val="00B70323"/>
    <w:rsid w:val="00B70E8E"/>
    <w:rsid w:val="00B714CC"/>
    <w:rsid w:val="00B722ED"/>
    <w:rsid w:val="00B73748"/>
    <w:rsid w:val="00B74C64"/>
    <w:rsid w:val="00B762A6"/>
    <w:rsid w:val="00B76C92"/>
    <w:rsid w:val="00B770CA"/>
    <w:rsid w:val="00B77507"/>
    <w:rsid w:val="00B77A42"/>
    <w:rsid w:val="00B8106B"/>
    <w:rsid w:val="00B818A4"/>
    <w:rsid w:val="00B81CAF"/>
    <w:rsid w:val="00B82735"/>
    <w:rsid w:val="00B827A0"/>
    <w:rsid w:val="00B84117"/>
    <w:rsid w:val="00B8422A"/>
    <w:rsid w:val="00B858F0"/>
    <w:rsid w:val="00B85AA2"/>
    <w:rsid w:val="00B8649C"/>
    <w:rsid w:val="00B8695D"/>
    <w:rsid w:val="00B86B56"/>
    <w:rsid w:val="00B87F0A"/>
    <w:rsid w:val="00B91586"/>
    <w:rsid w:val="00B92D0B"/>
    <w:rsid w:val="00B94945"/>
    <w:rsid w:val="00B94DD6"/>
    <w:rsid w:val="00B95294"/>
    <w:rsid w:val="00B96B5F"/>
    <w:rsid w:val="00BA322D"/>
    <w:rsid w:val="00BA35DA"/>
    <w:rsid w:val="00BA63FA"/>
    <w:rsid w:val="00BA6ADA"/>
    <w:rsid w:val="00BB000E"/>
    <w:rsid w:val="00BB00B3"/>
    <w:rsid w:val="00BB06AF"/>
    <w:rsid w:val="00BB0BDD"/>
    <w:rsid w:val="00BB176C"/>
    <w:rsid w:val="00BB1E94"/>
    <w:rsid w:val="00BB2A73"/>
    <w:rsid w:val="00BB2DA1"/>
    <w:rsid w:val="00BB3A45"/>
    <w:rsid w:val="00BB4ACC"/>
    <w:rsid w:val="00BB5051"/>
    <w:rsid w:val="00BB703E"/>
    <w:rsid w:val="00BB730E"/>
    <w:rsid w:val="00BB732D"/>
    <w:rsid w:val="00BB7405"/>
    <w:rsid w:val="00BB75CB"/>
    <w:rsid w:val="00BB7752"/>
    <w:rsid w:val="00BC08D9"/>
    <w:rsid w:val="00BC35AF"/>
    <w:rsid w:val="00BC3631"/>
    <w:rsid w:val="00BC470F"/>
    <w:rsid w:val="00BC4870"/>
    <w:rsid w:val="00BC4AB1"/>
    <w:rsid w:val="00BC591F"/>
    <w:rsid w:val="00BC7CB5"/>
    <w:rsid w:val="00BC7D6D"/>
    <w:rsid w:val="00BD12AB"/>
    <w:rsid w:val="00BD17D5"/>
    <w:rsid w:val="00BD2108"/>
    <w:rsid w:val="00BD2313"/>
    <w:rsid w:val="00BD3397"/>
    <w:rsid w:val="00BD3830"/>
    <w:rsid w:val="00BD3E57"/>
    <w:rsid w:val="00BD4EAA"/>
    <w:rsid w:val="00BD52F0"/>
    <w:rsid w:val="00BD68A3"/>
    <w:rsid w:val="00BD6938"/>
    <w:rsid w:val="00BD6CF3"/>
    <w:rsid w:val="00BD71BD"/>
    <w:rsid w:val="00BE0C2A"/>
    <w:rsid w:val="00BE0ECA"/>
    <w:rsid w:val="00BE0F19"/>
    <w:rsid w:val="00BE0F3E"/>
    <w:rsid w:val="00BE1B27"/>
    <w:rsid w:val="00BE2180"/>
    <w:rsid w:val="00BE21F2"/>
    <w:rsid w:val="00BE322A"/>
    <w:rsid w:val="00BE34FD"/>
    <w:rsid w:val="00BE3B38"/>
    <w:rsid w:val="00BE3DCE"/>
    <w:rsid w:val="00BE4275"/>
    <w:rsid w:val="00BE71CF"/>
    <w:rsid w:val="00BE7724"/>
    <w:rsid w:val="00BF04BE"/>
    <w:rsid w:val="00BF06AE"/>
    <w:rsid w:val="00BF09E7"/>
    <w:rsid w:val="00BF0F95"/>
    <w:rsid w:val="00BF0FA0"/>
    <w:rsid w:val="00BF17B9"/>
    <w:rsid w:val="00BF2433"/>
    <w:rsid w:val="00BF2B3C"/>
    <w:rsid w:val="00BF3B0D"/>
    <w:rsid w:val="00BF61C9"/>
    <w:rsid w:val="00BF6C94"/>
    <w:rsid w:val="00C00424"/>
    <w:rsid w:val="00C0142D"/>
    <w:rsid w:val="00C02CF1"/>
    <w:rsid w:val="00C04D21"/>
    <w:rsid w:val="00C04EA6"/>
    <w:rsid w:val="00C05D81"/>
    <w:rsid w:val="00C0753A"/>
    <w:rsid w:val="00C077E7"/>
    <w:rsid w:val="00C07B73"/>
    <w:rsid w:val="00C1153A"/>
    <w:rsid w:val="00C1179F"/>
    <w:rsid w:val="00C12425"/>
    <w:rsid w:val="00C125F6"/>
    <w:rsid w:val="00C12C14"/>
    <w:rsid w:val="00C14990"/>
    <w:rsid w:val="00C15C49"/>
    <w:rsid w:val="00C15D58"/>
    <w:rsid w:val="00C15F04"/>
    <w:rsid w:val="00C16748"/>
    <w:rsid w:val="00C179B3"/>
    <w:rsid w:val="00C17E3F"/>
    <w:rsid w:val="00C17FAD"/>
    <w:rsid w:val="00C200AA"/>
    <w:rsid w:val="00C20881"/>
    <w:rsid w:val="00C208D0"/>
    <w:rsid w:val="00C20BB9"/>
    <w:rsid w:val="00C21F56"/>
    <w:rsid w:val="00C237ED"/>
    <w:rsid w:val="00C24632"/>
    <w:rsid w:val="00C25418"/>
    <w:rsid w:val="00C25D9C"/>
    <w:rsid w:val="00C2715C"/>
    <w:rsid w:val="00C2778B"/>
    <w:rsid w:val="00C30319"/>
    <w:rsid w:val="00C309EC"/>
    <w:rsid w:val="00C31649"/>
    <w:rsid w:val="00C317E2"/>
    <w:rsid w:val="00C3434C"/>
    <w:rsid w:val="00C373CD"/>
    <w:rsid w:val="00C40385"/>
    <w:rsid w:val="00C4126B"/>
    <w:rsid w:val="00C41365"/>
    <w:rsid w:val="00C41768"/>
    <w:rsid w:val="00C427B9"/>
    <w:rsid w:val="00C42CA7"/>
    <w:rsid w:val="00C432AE"/>
    <w:rsid w:val="00C475AA"/>
    <w:rsid w:val="00C519F6"/>
    <w:rsid w:val="00C534D6"/>
    <w:rsid w:val="00C53C98"/>
    <w:rsid w:val="00C53F00"/>
    <w:rsid w:val="00C55367"/>
    <w:rsid w:val="00C55BFC"/>
    <w:rsid w:val="00C56448"/>
    <w:rsid w:val="00C567EB"/>
    <w:rsid w:val="00C56FCF"/>
    <w:rsid w:val="00C57B6C"/>
    <w:rsid w:val="00C615FD"/>
    <w:rsid w:val="00C628A6"/>
    <w:rsid w:val="00C62E7C"/>
    <w:rsid w:val="00C64344"/>
    <w:rsid w:val="00C64697"/>
    <w:rsid w:val="00C65108"/>
    <w:rsid w:val="00C65576"/>
    <w:rsid w:val="00C66165"/>
    <w:rsid w:val="00C66BAF"/>
    <w:rsid w:val="00C66F21"/>
    <w:rsid w:val="00C677A1"/>
    <w:rsid w:val="00C7060A"/>
    <w:rsid w:val="00C7151A"/>
    <w:rsid w:val="00C717E3"/>
    <w:rsid w:val="00C71F60"/>
    <w:rsid w:val="00C72241"/>
    <w:rsid w:val="00C73CB1"/>
    <w:rsid w:val="00C750C8"/>
    <w:rsid w:val="00C7560F"/>
    <w:rsid w:val="00C760A0"/>
    <w:rsid w:val="00C76317"/>
    <w:rsid w:val="00C80517"/>
    <w:rsid w:val="00C80A0E"/>
    <w:rsid w:val="00C81199"/>
    <w:rsid w:val="00C8126C"/>
    <w:rsid w:val="00C8213F"/>
    <w:rsid w:val="00C82679"/>
    <w:rsid w:val="00C83852"/>
    <w:rsid w:val="00C85154"/>
    <w:rsid w:val="00C85350"/>
    <w:rsid w:val="00C860FA"/>
    <w:rsid w:val="00C876DA"/>
    <w:rsid w:val="00C8797A"/>
    <w:rsid w:val="00C900B8"/>
    <w:rsid w:val="00C907A1"/>
    <w:rsid w:val="00C90C71"/>
    <w:rsid w:val="00C9142E"/>
    <w:rsid w:val="00C91FD1"/>
    <w:rsid w:val="00C931CF"/>
    <w:rsid w:val="00C938CF"/>
    <w:rsid w:val="00C93910"/>
    <w:rsid w:val="00C93F5C"/>
    <w:rsid w:val="00C94053"/>
    <w:rsid w:val="00C940AB"/>
    <w:rsid w:val="00C960D6"/>
    <w:rsid w:val="00C9624D"/>
    <w:rsid w:val="00C965AA"/>
    <w:rsid w:val="00C969DA"/>
    <w:rsid w:val="00C97E61"/>
    <w:rsid w:val="00CA27DB"/>
    <w:rsid w:val="00CA2C77"/>
    <w:rsid w:val="00CA2E38"/>
    <w:rsid w:val="00CA444F"/>
    <w:rsid w:val="00CA5245"/>
    <w:rsid w:val="00CA570E"/>
    <w:rsid w:val="00CA6FC5"/>
    <w:rsid w:val="00CA71F4"/>
    <w:rsid w:val="00CA7B09"/>
    <w:rsid w:val="00CB12A5"/>
    <w:rsid w:val="00CB1CAC"/>
    <w:rsid w:val="00CB1DF5"/>
    <w:rsid w:val="00CB2F2A"/>
    <w:rsid w:val="00CB5B1A"/>
    <w:rsid w:val="00CB6B22"/>
    <w:rsid w:val="00CB7F5F"/>
    <w:rsid w:val="00CC1B39"/>
    <w:rsid w:val="00CC35EA"/>
    <w:rsid w:val="00CC3848"/>
    <w:rsid w:val="00CC63CA"/>
    <w:rsid w:val="00CC6811"/>
    <w:rsid w:val="00CC7185"/>
    <w:rsid w:val="00CC7D88"/>
    <w:rsid w:val="00CD1C69"/>
    <w:rsid w:val="00CD1F1B"/>
    <w:rsid w:val="00CD3615"/>
    <w:rsid w:val="00CD3F77"/>
    <w:rsid w:val="00CD59A7"/>
    <w:rsid w:val="00CD5A4F"/>
    <w:rsid w:val="00CD64AA"/>
    <w:rsid w:val="00CD6ACF"/>
    <w:rsid w:val="00CD6ADC"/>
    <w:rsid w:val="00CD7193"/>
    <w:rsid w:val="00CD774F"/>
    <w:rsid w:val="00CE38C8"/>
    <w:rsid w:val="00CE3B56"/>
    <w:rsid w:val="00CE5101"/>
    <w:rsid w:val="00CE57C2"/>
    <w:rsid w:val="00CE6274"/>
    <w:rsid w:val="00CE76D4"/>
    <w:rsid w:val="00CE77B6"/>
    <w:rsid w:val="00CF0939"/>
    <w:rsid w:val="00CF0CF4"/>
    <w:rsid w:val="00CF2B8D"/>
    <w:rsid w:val="00CF32FD"/>
    <w:rsid w:val="00CF4432"/>
    <w:rsid w:val="00CF456B"/>
    <w:rsid w:val="00CF4689"/>
    <w:rsid w:val="00CF5A22"/>
    <w:rsid w:val="00CF6CDB"/>
    <w:rsid w:val="00CF75B9"/>
    <w:rsid w:val="00D000FC"/>
    <w:rsid w:val="00D00A1F"/>
    <w:rsid w:val="00D00A26"/>
    <w:rsid w:val="00D00ECB"/>
    <w:rsid w:val="00D0223A"/>
    <w:rsid w:val="00D0262E"/>
    <w:rsid w:val="00D028E7"/>
    <w:rsid w:val="00D0294F"/>
    <w:rsid w:val="00D037BF"/>
    <w:rsid w:val="00D046BA"/>
    <w:rsid w:val="00D046DF"/>
    <w:rsid w:val="00D05504"/>
    <w:rsid w:val="00D05E3D"/>
    <w:rsid w:val="00D06139"/>
    <w:rsid w:val="00D0681D"/>
    <w:rsid w:val="00D07267"/>
    <w:rsid w:val="00D110BD"/>
    <w:rsid w:val="00D133AB"/>
    <w:rsid w:val="00D13675"/>
    <w:rsid w:val="00D141E1"/>
    <w:rsid w:val="00D14E69"/>
    <w:rsid w:val="00D15314"/>
    <w:rsid w:val="00D17207"/>
    <w:rsid w:val="00D17345"/>
    <w:rsid w:val="00D17386"/>
    <w:rsid w:val="00D17D6C"/>
    <w:rsid w:val="00D2155B"/>
    <w:rsid w:val="00D2205D"/>
    <w:rsid w:val="00D23113"/>
    <w:rsid w:val="00D23D11"/>
    <w:rsid w:val="00D244B6"/>
    <w:rsid w:val="00D2754D"/>
    <w:rsid w:val="00D278F1"/>
    <w:rsid w:val="00D27B27"/>
    <w:rsid w:val="00D27D7B"/>
    <w:rsid w:val="00D322BD"/>
    <w:rsid w:val="00D327BD"/>
    <w:rsid w:val="00D3343D"/>
    <w:rsid w:val="00D33BE9"/>
    <w:rsid w:val="00D33F93"/>
    <w:rsid w:val="00D3479D"/>
    <w:rsid w:val="00D34E62"/>
    <w:rsid w:val="00D34F98"/>
    <w:rsid w:val="00D357FF"/>
    <w:rsid w:val="00D358DB"/>
    <w:rsid w:val="00D35E6E"/>
    <w:rsid w:val="00D40407"/>
    <w:rsid w:val="00D40E76"/>
    <w:rsid w:val="00D424C7"/>
    <w:rsid w:val="00D42B3E"/>
    <w:rsid w:val="00D42ED0"/>
    <w:rsid w:val="00D43B2A"/>
    <w:rsid w:val="00D43D83"/>
    <w:rsid w:val="00D440EA"/>
    <w:rsid w:val="00D46C90"/>
    <w:rsid w:val="00D47575"/>
    <w:rsid w:val="00D5243B"/>
    <w:rsid w:val="00D533EC"/>
    <w:rsid w:val="00D535B3"/>
    <w:rsid w:val="00D54A72"/>
    <w:rsid w:val="00D55738"/>
    <w:rsid w:val="00D55B40"/>
    <w:rsid w:val="00D55F4F"/>
    <w:rsid w:val="00D56A95"/>
    <w:rsid w:val="00D57818"/>
    <w:rsid w:val="00D57C9F"/>
    <w:rsid w:val="00D602FF"/>
    <w:rsid w:val="00D61957"/>
    <w:rsid w:val="00D62CC0"/>
    <w:rsid w:val="00D6417E"/>
    <w:rsid w:val="00D6451C"/>
    <w:rsid w:val="00D651F8"/>
    <w:rsid w:val="00D659CE"/>
    <w:rsid w:val="00D66358"/>
    <w:rsid w:val="00D66B20"/>
    <w:rsid w:val="00D66D13"/>
    <w:rsid w:val="00D6720E"/>
    <w:rsid w:val="00D67ABF"/>
    <w:rsid w:val="00D70696"/>
    <w:rsid w:val="00D70F16"/>
    <w:rsid w:val="00D72F57"/>
    <w:rsid w:val="00D736DE"/>
    <w:rsid w:val="00D74574"/>
    <w:rsid w:val="00D75F67"/>
    <w:rsid w:val="00D76A44"/>
    <w:rsid w:val="00D76ABB"/>
    <w:rsid w:val="00D8031E"/>
    <w:rsid w:val="00D810C1"/>
    <w:rsid w:val="00D815EF"/>
    <w:rsid w:val="00D81860"/>
    <w:rsid w:val="00D81F26"/>
    <w:rsid w:val="00D8323E"/>
    <w:rsid w:val="00D86231"/>
    <w:rsid w:val="00D86599"/>
    <w:rsid w:val="00D865D5"/>
    <w:rsid w:val="00D86B32"/>
    <w:rsid w:val="00D87615"/>
    <w:rsid w:val="00D9121C"/>
    <w:rsid w:val="00D91923"/>
    <w:rsid w:val="00D9285C"/>
    <w:rsid w:val="00D928DB"/>
    <w:rsid w:val="00D933C2"/>
    <w:rsid w:val="00D93753"/>
    <w:rsid w:val="00D94B50"/>
    <w:rsid w:val="00D96295"/>
    <w:rsid w:val="00DA001A"/>
    <w:rsid w:val="00DA2034"/>
    <w:rsid w:val="00DA3167"/>
    <w:rsid w:val="00DA41E5"/>
    <w:rsid w:val="00DA43C5"/>
    <w:rsid w:val="00DA4DC3"/>
    <w:rsid w:val="00DA560F"/>
    <w:rsid w:val="00DA59ED"/>
    <w:rsid w:val="00DA60A8"/>
    <w:rsid w:val="00DA7159"/>
    <w:rsid w:val="00DA77A5"/>
    <w:rsid w:val="00DA7C43"/>
    <w:rsid w:val="00DA7F39"/>
    <w:rsid w:val="00DB1D14"/>
    <w:rsid w:val="00DB2243"/>
    <w:rsid w:val="00DB2B35"/>
    <w:rsid w:val="00DB3DBF"/>
    <w:rsid w:val="00DB484F"/>
    <w:rsid w:val="00DB4EDE"/>
    <w:rsid w:val="00DB72C7"/>
    <w:rsid w:val="00DC01BC"/>
    <w:rsid w:val="00DC04F6"/>
    <w:rsid w:val="00DC0690"/>
    <w:rsid w:val="00DC0917"/>
    <w:rsid w:val="00DC1D65"/>
    <w:rsid w:val="00DC23C1"/>
    <w:rsid w:val="00DC2A95"/>
    <w:rsid w:val="00DC2FEB"/>
    <w:rsid w:val="00DC3C57"/>
    <w:rsid w:val="00DC5501"/>
    <w:rsid w:val="00DC7154"/>
    <w:rsid w:val="00DC7E8A"/>
    <w:rsid w:val="00DD0E55"/>
    <w:rsid w:val="00DD0F78"/>
    <w:rsid w:val="00DD1AAA"/>
    <w:rsid w:val="00DD1E7B"/>
    <w:rsid w:val="00DD273C"/>
    <w:rsid w:val="00DD37F0"/>
    <w:rsid w:val="00DD3F28"/>
    <w:rsid w:val="00DD4537"/>
    <w:rsid w:val="00DD4E15"/>
    <w:rsid w:val="00DD5D66"/>
    <w:rsid w:val="00DD6184"/>
    <w:rsid w:val="00DD7D3C"/>
    <w:rsid w:val="00DE1875"/>
    <w:rsid w:val="00DE1A0F"/>
    <w:rsid w:val="00DE2304"/>
    <w:rsid w:val="00DE28CF"/>
    <w:rsid w:val="00DE3138"/>
    <w:rsid w:val="00DE37F8"/>
    <w:rsid w:val="00DE443D"/>
    <w:rsid w:val="00DE4FCB"/>
    <w:rsid w:val="00DE5484"/>
    <w:rsid w:val="00DE5D07"/>
    <w:rsid w:val="00DE61D7"/>
    <w:rsid w:val="00DE7155"/>
    <w:rsid w:val="00DE72A7"/>
    <w:rsid w:val="00DE7832"/>
    <w:rsid w:val="00DF053A"/>
    <w:rsid w:val="00DF05F8"/>
    <w:rsid w:val="00DF0698"/>
    <w:rsid w:val="00DF16B0"/>
    <w:rsid w:val="00DF18FC"/>
    <w:rsid w:val="00DF277B"/>
    <w:rsid w:val="00DF3018"/>
    <w:rsid w:val="00DF368A"/>
    <w:rsid w:val="00DF5778"/>
    <w:rsid w:val="00DF5D2B"/>
    <w:rsid w:val="00E00E8E"/>
    <w:rsid w:val="00E01009"/>
    <w:rsid w:val="00E016C9"/>
    <w:rsid w:val="00E02DA4"/>
    <w:rsid w:val="00E05508"/>
    <w:rsid w:val="00E05630"/>
    <w:rsid w:val="00E05EBE"/>
    <w:rsid w:val="00E06D70"/>
    <w:rsid w:val="00E06DBB"/>
    <w:rsid w:val="00E073CD"/>
    <w:rsid w:val="00E10149"/>
    <w:rsid w:val="00E11340"/>
    <w:rsid w:val="00E122A1"/>
    <w:rsid w:val="00E13438"/>
    <w:rsid w:val="00E15F17"/>
    <w:rsid w:val="00E16372"/>
    <w:rsid w:val="00E20E4D"/>
    <w:rsid w:val="00E20ED6"/>
    <w:rsid w:val="00E21119"/>
    <w:rsid w:val="00E21358"/>
    <w:rsid w:val="00E2249B"/>
    <w:rsid w:val="00E22A0D"/>
    <w:rsid w:val="00E22B89"/>
    <w:rsid w:val="00E244F6"/>
    <w:rsid w:val="00E2495E"/>
    <w:rsid w:val="00E249C1"/>
    <w:rsid w:val="00E252EF"/>
    <w:rsid w:val="00E25711"/>
    <w:rsid w:val="00E258D9"/>
    <w:rsid w:val="00E2593B"/>
    <w:rsid w:val="00E264B1"/>
    <w:rsid w:val="00E2746F"/>
    <w:rsid w:val="00E27658"/>
    <w:rsid w:val="00E2771E"/>
    <w:rsid w:val="00E277C8"/>
    <w:rsid w:val="00E27B74"/>
    <w:rsid w:val="00E302B6"/>
    <w:rsid w:val="00E304CE"/>
    <w:rsid w:val="00E306FC"/>
    <w:rsid w:val="00E31058"/>
    <w:rsid w:val="00E310C2"/>
    <w:rsid w:val="00E311EF"/>
    <w:rsid w:val="00E31437"/>
    <w:rsid w:val="00E32180"/>
    <w:rsid w:val="00E34948"/>
    <w:rsid w:val="00E34DAC"/>
    <w:rsid w:val="00E34EA4"/>
    <w:rsid w:val="00E367EF"/>
    <w:rsid w:val="00E3693D"/>
    <w:rsid w:val="00E37569"/>
    <w:rsid w:val="00E401B2"/>
    <w:rsid w:val="00E41E30"/>
    <w:rsid w:val="00E42F73"/>
    <w:rsid w:val="00E43710"/>
    <w:rsid w:val="00E43D70"/>
    <w:rsid w:val="00E43DBC"/>
    <w:rsid w:val="00E44341"/>
    <w:rsid w:val="00E4434B"/>
    <w:rsid w:val="00E44832"/>
    <w:rsid w:val="00E44EA1"/>
    <w:rsid w:val="00E466F3"/>
    <w:rsid w:val="00E47B2C"/>
    <w:rsid w:val="00E50AAE"/>
    <w:rsid w:val="00E51560"/>
    <w:rsid w:val="00E51A8D"/>
    <w:rsid w:val="00E51DF6"/>
    <w:rsid w:val="00E53FC8"/>
    <w:rsid w:val="00E54347"/>
    <w:rsid w:val="00E546D8"/>
    <w:rsid w:val="00E55424"/>
    <w:rsid w:val="00E55915"/>
    <w:rsid w:val="00E559F0"/>
    <w:rsid w:val="00E55BB5"/>
    <w:rsid w:val="00E604C1"/>
    <w:rsid w:val="00E609DD"/>
    <w:rsid w:val="00E6103F"/>
    <w:rsid w:val="00E614D7"/>
    <w:rsid w:val="00E642EF"/>
    <w:rsid w:val="00E65E79"/>
    <w:rsid w:val="00E6653C"/>
    <w:rsid w:val="00E66BA2"/>
    <w:rsid w:val="00E67416"/>
    <w:rsid w:val="00E718B6"/>
    <w:rsid w:val="00E71AE1"/>
    <w:rsid w:val="00E723BA"/>
    <w:rsid w:val="00E7270D"/>
    <w:rsid w:val="00E72F15"/>
    <w:rsid w:val="00E73581"/>
    <w:rsid w:val="00E73C14"/>
    <w:rsid w:val="00E743E3"/>
    <w:rsid w:val="00E74E1F"/>
    <w:rsid w:val="00E7549B"/>
    <w:rsid w:val="00E7597F"/>
    <w:rsid w:val="00E75FF0"/>
    <w:rsid w:val="00E76E94"/>
    <w:rsid w:val="00E80207"/>
    <w:rsid w:val="00E80BB6"/>
    <w:rsid w:val="00E826A1"/>
    <w:rsid w:val="00E833F7"/>
    <w:rsid w:val="00E83BDF"/>
    <w:rsid w:val="00E84931"/>
    <w:rsid w:val="00E853E2"/>
    <w:rsid w:val="00E857B6"/>
    <w:rsid w:val="00E86001"/>
    <w:rsid w:val="00E87A1D"/>
    <w:rsid w:val="00E87A86"/>
    <w:rsid w:val="00E9094A"/>
    <w:rsid w:val="00E91D35"/>
    <w:rsid w:val="00E926A5"/>
    <w:rsid w:val="00E932C0"/>
    <w:rsid w:val="00E94857"/>
    <w:rsid w:val="00E95D96"/>
    <w:rsid w:val="00E96660"/>
    <w:rsid w:val="00E96BF9"/>
    <w:rsid w:val="00E96DA1"/>
    <w:rsid w:val="00E971BF"/>
    <w:rsid w:val="00EA17C3"/>
    <w:rsid w:val="00EA2CAA"/>
    <w:rsid w:val="00EA37C5"/>
    <w:rsid w:val="00EA3864"/>
    <w:rsid w:val="00EA5957"/>
    <w:rsid w:val="00EA7D68"/>
    <w:rsid w:val="00EA7F1C"/>
    <w:rsid w:val="00EB15B6"/>
    <w:rsid w:val="00EB2BD6"/>
    <w:rsid w:val="00EB2D11"/>
    <w:rsid w:val="00EB3D06"/>
    <w:rsid w:val="00EB4111"/>
    <w:rsid w:val="00EB4916"/>
    <w:rsid w:val="00EB5981"/>
    <w:rsid w:val="00EB7484"/>
    <w:rsid w:val="00EB7E6D"/>
    <w:rsid w:val="00EC00C9"/>
    <w:rsid w:val="00EC0DD9"/>
    <w:rsid w:val="00EC0EEB"/>
    <w:rsid w:val="00EC0F60"/>
    <w:rsid w:val="00EC2369"/>
    <w:rsid w:val="00EC2649"/>
    <w:rsid w:val="00EC31ED"/>
    <w:rsid w:val="00EC3AF7"/>
    <w:rsid w:val="00EC4B2B"/>
    <w:rsid w:val="00EC4D7A"/>
    <w:rsid w:val="00EC5836"/>
    <w:rsid w:val="00EC5B20"/>
    <w:rsid w:val="00EC688C"/>
    <w:rsid w:val="00EC68C6"/>
    <w:rsid w:val="00EC695A"/>
    <w:rsid w:val="00EC6B72"/>
    <w:rsid w:val="00ED009A"/>
    <w:rsid w:val="00ED2CB3"/>
    <w:rsid w:val="00ED3684"/>
    <w:rsid w:val="00ED4AB6"/>
    <w:rsid w:val="00ED4BDC"/>
    <w:rsid w:val="00ED53D3"/>
    <w:rsid w:val="00ED57EA"/>
    <w:rsid w:val="00ED5BD4"/>
    <w:rsid w:val="00ED5C84"/>
    <w:rsid w:val="00ED5EE2"/>
    <w:rsid w:val="00EE07D3"/>
    <w:rsid w:val="00EE1996"/>
    <w:rsid w:val="00EE1C01"/>
    <w:rsid w:val="00EE22AF"/>
    <w:rsid w:val="00EE3840"/>
    <w:rsid w:val="00EE39A5"/>
    <w:rsid w:val="00EE4426"/>
    <w:rsid w:val="00EE4E35"/>
    <w:rsid w:val="00EE782C"/>
    <w:rsid w:val="00EE7863"/>
    <w:rsid w:val="00EF0171"/>
    <w:rsid w:val="00EF0EF7"/>
    <w:rsid w:val="00EF1009"/>
    <w:rsid w:val="00EF1B25"/>
    <w:rsid w:val="00EF1DA0"/>
    <w:rsid w:val="00EF1F14"/>
    <w:rsid w:val="00EF2FC9"/>
    <w:rsid w:val="00EF3531"/>
    <w:rsid w:val="00EF391D"/>
    <w:rsid w:val="00EF44DF"/>
    <w:rsid w:val="00EF4538"/>
    <w:rsid w:val="00EF4747"/>
    <w:rsid w:val="00EF4949"/>
    <w:rsid w:val="00EF4AC6"/>
    <w:rsid w:val="00EF4BF8"/>
    <w:rsid w:val="00EF4F5A"/>
    <w:rsid w:val="00EF5B6A"/>
    <w:rsid w:val="00EF69E3"/>
    <w:rsid w:val="00EF7377"/>
    <w:rsid w:val="00EF75D5"/>
    <w:rsid w:val="00F003D3"/>
    <w:rsid w:val="00F01579"/>
    <w:rsid w:val="00F018E2"/>
    <w:rsid w:val="00F01C82"/>
    <w:rsid w:val="00F02253"/>
    <w:rsid w:val="00F032CE"/>
    <w:rsid w:val="00F03C2E"/>
    <w:rsid w:val="00F04A66"/>
    <w:rsid w:val="00F04B4B"/>
    <w:rsid w:val="00F04F16"/>
    <w:rsid w:val="00F0516C"/>
    <w:rsid w:val="00F0529B"/>
    <w:rsid w:val="00F06368"/>
    <w:rsid w:val="00F067A2"/>
    <w:rsid w:val="00F06B25"/>
    <w:rsid w:val="00F07B9E"/>
    <w:rsid w:val="00F07C9C"/>
    <w:rsid w:val="00F10305"/>
    <w:rsid w:val="00F1116F"/>
    <w:rsid w:val="00F1263A"/>
    <w:rsid w:val="00F129FA"/>
    <w:rsid w:val="00F1329C"/>
    <w:rsid w:val="00F13350"/>
    <w:rsid w:val="00F15B77"/>
    <w:rsid w:val="00F162E4"/>
    <w:rsid w:val="00F16F59"/>
    <w:rsid w:val="00F22ED5"/>
    <w:rsid w:val="00F23072"/>
    <w:rsid w:val="00F23475"/>
    <w:rsid w:val="00F24837"/>
    <w:rsid w:val="00F2575F"/>
    <w:rsid w:val="00F26A5F"/>
    <w:rsid w:val="00F26D6F"/>
    <w:rsid w:val="00F27003"/>
    <w:rsid w:val="00F2748D"/>
    <w:rsid w:val="00F27565"/>
    <w:rsid w:val="00F2776C"/>
    <w:rsid w:val="00F277B2"/>
    <w:rsid w:val="00F310D4"/>
    <w:rsid w:val="00F312E2"/>
    <w:rsid w:val="00F3172E"/>
    <w:rsid w:val="00F31D5A"/>
    <w:rsid w:val="00F31EB8"/>
    <w:rsid w:val="00F321E5"/>
    <w:rsid w:val="00F33975"/>
    <w:rsid w:val="00F33DE9"/>
    <w:rsid w:val="00F34865"/>
    <w:rsid w:val="00F35B91"/>
    <w:rsid w:val="00F35C7B"/>
    <w:rsid w:val="00F35E6D"/>
    <w:rsid w:val="00F3619A"/>
    <w:rsid w:val="00F36B4F"/>
    <w:rsid w:val="00F378B6"/>
    <w:rsid w:val="00F40AAA"/>
    <w:rsid w:val="00F40BA7"/>
    <w:rsid w:val="00F40F9D"/>
    <w:rsid w:val="00F411D1"/>
    <w:rsid w:val="00F41878"/>
    <w:rsid w:val="00F41ACD"/>
    <w:rsid w:val="00F41DB3"/>
    <w:rsid w:val="00F43598"/>
    <w:rsid w:val="00F437E6"/>
    <w:rsid w:val="00F46CB6"/>
    <w:rsid w:val="00F4756D"/>
    <w:rsid w:val="00F47DE8"/>
    <w:rsid w:val="00F506C7"/>
    <w:rsid w:val="00F5185E"/>
    <w:rsid w:val="00F51DAB"/>
    <w:rsid w:val="00F52EEE"/>
    <w:rsid w:val="00F5306B"/>
    <w:rsid w:val="00F535F5"/>
    <w:rsid w:val="00F536A1"/>
    <w:rsid w:val="00F53EF3"/>
    <w:rsid w:val="00F542C1"/>
    <w:rsid w:val="00F549FB"/>
    <w:rsid w:val="00F5579D"/>
    <w:rsid w:val="00F55E73"/>
    <w:rsid w:val="00F55EDA"/>
    <w:rsid w:val="00F56C80"/>
    <w:rsid w:val="00F57CEA"/>
    <w:rsid w:val="00F60092"/>
    <w:rsid w:val="00F603A2"/>
    <w:rsid w:val="00F60A1C"/>
    <w:rsid w:val="00F61C18"/>
    <w:rsid w:val="00F623D3"/>
    <w:rsid w:val="00F630AE"/>
    <w:rsid w:val="00F632B6"/>
    <w:rsid w:val="00F63458"/>
    <w:rsid w:val="00F63700"/>
    <w:rsid w:val="00F65F4B"/>
    <w:rsid w:val="00F67A69"/>
    <w:rsid w:val="00F70BFF"/>
    <w:rsid w:val="00F70C9D"/>
    <w:rsid w:val="00F71B5E"/>
    <w:rsid w:val="00F71C4D"/>
    <w:rsid w:val="00F72368"/>
    <w:rsid w:val="00F72716"/>
    <w:rsid w:val="00F7286F"/>
    <w:rsid w:val="00F732AB"/>
    <w:rsid w:val="00F733D6"/>
    <w:rsid w:val="00F739ED"/>
    <w:rsid w:val="00F74CD9"/>
    <w:rsid w:val="00F75A10"/>
    <w:rsid w:val="00F75E60"/>
    <w:rsid w:val="00F76B8A"/>
    <w:rsid w:val="00F80A23"/>
    <w:rsid w:val="00F80A7B"/>
    <w:rsid w:val="00F80CA0"/>
    <w:rsid w:val="00F80E5D"/>
    <w:rsid w:val="00F81E78"/>
    <w:rsid w:val="00F82E91"/>
    <w:rsid w:val="00F82ECB"/>
    <w:rsid w:val="00F851CE"/>
    <w:rsid w:val="00F854A6"/>
    <w:rsid w:val="00F85CDE"/>
    <w:rsid w:val="00F87769"/>
    <w:rsid w:val="00F9002C"/>
    <w:rsid w:val="00F91219"/>
    <w:rsid w:val="00F91610"/>
    <w:rsid w:val="00F921AF"/>
    <w:rsid w:val="00F92444"/>
    <w:rsid w:val="00F92A96"/>
    <w:rsid w:val="00F93367"/>
    <w:rsid w:val="00F9393E"/>
    <w:rsid w:val="00F96037"/>
    <w:rsid w:val="00F96FD0"/>
    <w:rsid w:val="00F97982"/>
    <w:rsid w:val="00F97A78"/>
    <w:rsid w:val="00FA0137"/>
    <w:rsid w:val="00FA0802"/>
    <w:rsid w:val="00FA0B20"/>
    <w:rsid w:val="00FA0DF1"/>
    <w:rsid w:val="00FA24E7"/>
    <w:rsid w:val="00FA2F71"/>
    <w:rsid w:val="00FA3805"/>
    <w:rsid w:val="00FA4FCD"/>
    <w:rsid w:val="00FA5EE6"/>
    <w:rsid w:val="00FA7956"/>
    <w:rsid w:val="00FB099F"/>
    <w:rsid w:val="00FB0AAB"/>
    <w:rsid w:val="00FB1026"/>
    <w:rsid w:val="00FB14B2"/>
    <w:rsid w:val="00FB242A"/>
    <w:rsid w:val="00FB2FCB"/>
    <w:rsid w:val="00FB3274"/>
    <w:rsid w:val="00FB3EFF"/>
    <w:rsid w:val="00FB4888"/>
    <w:rsid w:val="00FB49DD"/>
    <w:rsid w:val="00FB6EFF"/>
    <w:rsid w:val="00FB7808"/>
    <w:rsid w:val="00FB7C55"/>
    <w:rsid w:val="00FB7FDF"/>
    <w:rsid w:val="00FC1074"/>
    <w:rsid w:val="00FC109B"/>
    <w:rsid w:val="00FC15AC"/>
    <w:rsid w:val="00FC1884"/>
    <w:rsid w:val="00FC2F51"/>
    <w:rsid w:val="00FC371D"/>
    <w:rsid w:val="00FC3E5C"/>
    <w:rsid w:val="00FC5F0B"/>
    <w:rsid w:val="00FC66B2"/>
    <w:rsid w:val="00FC7DDF"/>
    <w:rsid w:val="00FD016C"/>
    <w:rsid w:val="00FD1CD0"/>
    <w:rsid w:val="00FD2100"/>
    <w:rsid w:val="00FD26DE"/>
    <w:rsid w:val="00FD3E4C"/>
    <w:rsid w:val="00FD436C"/>
    <w:rsid w:val="00FD446D"/>
    <w:rsid w:val="00FD47D7"/>
    <w:rsid w:val="00FD4F2C"/>
    <w:rsid w:val="00FD56D9"/>
    <w:rsid w:val="00FD5C27"/>
    <w:rsid w:val="00FD5F35"/>
    <w:rsid w:val="00FD60F8"/>
    <w:rsid w:val="00FD6207"/>
    <w:rsid w:val="00FD6394"/>
    <w:rsid w:val="00FD6FB8"/>
    <w:rsid w:val="00FD7799"/>
    <w:rsid w:val="00FE05D5"/>
    <w:rsid w:val="00FE0856"/>
    <w:rsid w:val="00FE0C6A"/>
    <w:rsid w:val="00FE0E6C"/>
    <w:rsid w:val="00FE1CDC"/>
    <w:rsid w:val="00FE407B"/>
    <w:rsid w:val="00FE5688"/>
    <w:rsid w:val="00FE6274"/>
    <w:rsid w:val="00FE70C3"/>
    <w:rsid w:val="00FF0E32"/>
    <w:rsid w:val="00FF0F35"/>
    <w:rsid w:val="00FF100A"/>
    <w:rsid w:val="00FF25AA"/>
    <w:rsid w:val="00FF2824"/>
    <w:rsid w:val="00FF2AD9"/>
    <w:rsid w:val="00FF359F"/>
    <w:rsid w:val="00FF3DCF"/>
    <w:rsid w:val="00FF492C"/>
    <w:rsid w:val="00FF4A21"/>
    <w:rsid w:val="00FF5126"/>
    <w:rsid w:val="00FF5AA3"/>
    <w:rsid w:val="00FF5AD8"/>
    <w:rsid w:val="00FF6401"/>
    <w:rsid w:val="00FF7BBB"/>
    <w:rsid w:val="00FF7C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62D"/>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MSD Table Grid"/>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character" w:styleId="CommentReference">
    <w:name w:val="annotation reference"/>
    <w:aliases w:val="Table Title"/>
    <w:basedOn w:val="DefaultParagraphFont"/>
    <w:uiPriority w:val="99"/>
    <w:unhideWhenUsed/>
    <w:qFormat/>
    <w:rsid w:val="001C09F6"/>
    <w:rPr>
      <w:sz w:val="16"/>
      <w:szCs w:val="16"/>
    </w:rPr>
  </w:style>
  <w:style w:type="paragraph" w:styleId="CommentText">
    <w:name w:val="annotation text"/>
    <w:basedOn w:val="Normal"/>
    <w:link w:val="CommentTextChar"/>
    <w:uiPriority w:val="99"/>
    <w:unhideWhenUsed/>
    <w:rsid w:val="001C09F6"/>
    <w:rPr>
      <w:sz w:val="20"/>
      <w:szCs w:val="20"/>
    </w:rPr>
  </w:style>
  <w:style w:type="character" w:customStyle="1" w:styleId="CommentTextChar">
    <w:name w:val="Comment Text Char"/>
    <w:basedOn w:val="DefaultParagraphFont"/>
    <w:link w:val="CommentText"/>
    <w:uiPriority w:val="99"/>
    <w:rsid w:val="001C09F6"/>
    <w:rPr>
      <w:rFonts w:ascii="Calibri" w:hAnsi="Calibri" w:cs="Arial"/>
    </w:rPr>
  </w:style>
  <w:style w:type="paragraph" w:styleId="CommentSubject">
    <w:name w:val="annotation subject"/>
    <w:basedOn w:val="CommentText"/>
    <w:next w:val="CommentText"/>
    <w:link w:val="CommentSubjectChar"/>
    <w:semiHidden/>
    <w:unhideWhenUsed/>
    <w:rsid w:val="001C09F6"/>
    <w:rPr>
      <w:b/>
      <w:bCs/>
    </w:rPr>
  </w:style>
  <w:style w:type="character" w:customStyle="1" w:styleId="CommentSubjectChar">
    <w:name w:val="Comment Subject Char"/>
    <w:basedOn w:val="CommentTextChar"/>
    <w:link w:val="CommentSubject"/>
    <w:semiHidden/>
    <w:rsid w:val="001C09F6"/>
    <w:rPr>
      <w:rFonts w:ascii="Calibri" w:hAnsi="Calibri" w:cs="Arial"/>
      <w:b/>
      <w:bCs/>
    </w:rPr>
  </w:style>
  <w:style w:type="paragraph" w:styleId="Header">
    <w:name w:val="header"/>
    <w:aliases w:val="Page Header,Header title,he=header,cntr/bld"/>
    <w:basedOn w:val="Normal"/>
    <w:link w:val="HeaderChar"/>
    <w:uiPriority w:val="99"/>
    <w:unhideWhenUsed/>
    <w:qFormat/>
    <w:rsid w:val="006F5AFD"/>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F5AFD"/>
    <w:rPr>
      <w:rFonts w:ascii="Calibri" w:hAnsi="Calibri" w:cs="Arial"/>
      <w:sz w:val="24"/>
      <w:szCs w:val="24"/>
    </w:rPr>
  </w:style>
  <w:style w:type="paragraph" w:styleId="Footer">
    <w:name w:val="footer"/>
    <w:basedOn w:val="Normal"/>
    <w:link w:val="FooterChar"/>
    <w:uiPriority w:val="99"/>
    <w:unhideWhenUsed/>
    <w:rsid w:val="006F5AFD"/>
    <w:pPr>
      <w:tabs>
        <w:tab w:val="center" w:pos="4513"/>
        <w:tab w:val="right" w:pos="9026"/>
      </w:tabs>
    </w:pPr>
  </w:style>
  <w:style w:type="character" w:customStyle="1" w:styleId="FooterChar">
    <w:name w:val="Footer Char"/>
    <w:basedOn w:val="DefaultParagraphFont"/>
    <w:link w:val="Footer"/>
    <w:uiPriority w:val="99"/>
    <w:rsid w:val="006F5AFD"/>
    <w:rPr>
      <w:rFonts w:ascii="Calibri" w:hAnsi="Calibri" w:cs="Arial"/>
      <w:sz w:val="24"/>
      <w:szCs w:val="24"/>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
    <w:basedOn w:val="Normal"/>
    <w:link w:val="ListParagraphChar"/>
    <w:uiPriority w:val="34"/>
    <w:qFormat/>
    <w:rsid w:val="00600B22"/>
    <w:pPr>
      <w:ind w:left="720"/>
      <w:contextualSpacing/>
    </w:pPr>
  </w:style>
  <w:style w:type="paragraph" w:customStyle="1" w:styleId="V50Instructions">
    <w:name w:val="V5.0 Instructions"/>
    <w:basedOn w:val="Normal"/>
    <w:link w:val="V50InstructionsChar"/>
    <w:qFormat/>
    <w:rsid w:val="00270C8C"/>
    <w:rPr>
      <w:rFonts w:asciiTheme="minorHAnsi" w:eastAsiaTheme="minorHAnsi" w:hAnsiTheme="minorHAnsi" w:cstheme="minorBidi"/>
      <w:color w:val="4BACC6" w:themeColor="accent5"/>
      <w:szCs w:val="22"/>
      <w:lang w:eastAsia="en-US"/>
    </w:rPr>
  </w:style>
  <w:style w:type="paragraph" w:customStyle="1" w:styleId="TableHeading">
    <w:name w:val="Table Heading"/>
    <w:basedOn w:val="Normal"/>
    <w:link w:val="TableHeadingChar"/>
    <w:qFormat/>
    <w:rsid w:val="00270C8C"/>
    <w:pPr>
      <w:keepNext/>
    </w:pPr>
    <w:rPr>
      <w:rFonts w:ascii="Arial Narrow" w:eastAsiaTheme="minorHAnsi" w:hAnsi="Arial Narrow" w:cstheme="minorBidi"/>
      <w:b/>
      <w:sz w:val="20"/>
      <w:szCs w:val="22"/>
      <w:lang w:eastAsia="en-US"/>
    </w:rPr>
  </w:style>
  <w:style w:type="character" w:customStyle="1" w:styleId="V50InstructionsChar">
    <w:name w:val="V5.0 Instructions Char"/>
    <w:basedOn w:val="DefaultParagraphFont"/>
    <w:link w:val="V50Instructions"/>
    <w:rsid w:val="00270C8C"/>
    <w:rPr>
      <w:rFonts w:asciiTheme="minorHAnsi" w:eastAsiaTheme="minorHAnsi" w:hAnsiTheme="minorHAnsi" w:cstheme="minorBidi"/>
      <w:color w:val="4BACC6" w:themeColor="accent5"/>
      <w:sz w:val="24"/>
      <w:szCs w:val="22"/>
      <w:lang w:eastAsia="en-US"/>
    </w:rPr>
  </w:style>
  <w:style w:type="table" w:customStyle="1" w:styleId="TableGridLight1">
    <w:name w:val="Table Grid Light1"/>
    <w:basedOn w:val="TableNormal"/>
    <w:uiPriority w:val="40"/>
    <w:rsid w:val="008D13D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Footer">
    <w:name w:val="Table Footer"/>
    <w:basedOn w:val="Normal"/>
    <w:link w:val="TableFooterChar"/>
    <w:qFormat/>
    <w:rsid w:val="003427A2"/>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3427A2"/>
    <w:rPr>
      <w:rFonts w:ascii="Arial Narrow" w:hAnsi="Arial Narrow" w:cs="Arial"/>
      <w:snapToGrid w:val="0"/>
      <w:sz w:val="18"/>
      <w:lang w:eastAsia="en-US"/>
    </w:rPr>
  </w:style>
  <w:style w:type="table" w:customStyle="1" w:styleId="Summarybox2">
    <w:name w:val="Summary box2"/>
    <w:basedOn w:val="TableNormal"/>
    <w:next w:val="TableGrid"/>
    <w:uiPriority w:val="59"/>
    <w:rsid w:val="00342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B04DF7"/>
    <w:rPr>
      <w:rFonts w:ascii="Calibri" w:hAnsi="Calibri" w:cs="Arial"/>
      <w:sz w:val="24"/>
      <w:szCs w:val="24"/>
    </w:rPr>
  </w:style>
  <w:style w:type="paragraph" w:customStyle="1" w:styleId="Tabletextcentred">
    <w:name w:val="Table text centred"/>
    <w:basedOn w:val="Normal"/>
    <w:link w:val="TabletextcentredChar"/>
    <w:qFormat/>
    <w:rsid w:val="001F322B"/>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1F322B"/>
    <w:rPr>
      <w:rFonts w:ascii="Arial Narrow" w:hAnsi="Arial Narrow" w:cs="Arial Narrow"/>
      <w:lang w:eastAsia="en-US"/>
    </w:rPr>
  </w:style>
  <w:style w:type="table" w:customStyle="1" w:styleId="Summarybox3">
    <w:name w:val="Summary box3"/>
    <w:basedOn w:val="TableNormal"/>
    <w:next w:val="TableGrid"/>
    <w:uiPriority w:val="59"/>
    <w:rsid w:val="0081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59"/>
    <w:rsid w:val="006A1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sid w:val="00DC23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table" w:styleId="TableGridLight">
    <w:name w:val="Grid Table Light"/>
    <w:basedOn w:val="TableNormal"/>
    <w:uiPriority w:val="40"/>
    <w:rsid w:val="00BB2DA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indent">
    <w:name w:val="Table text indent"/>
    <w:basedOn w:val="Normal"/>
    <w:uiPriority w:val="4"/>
    <w:qFormat/>
    <w:rsid w:val="00BB2DA1"/>
    <w:pPr>
      <w:keepNext/>
      <w:spacing w:before="20" w:after="20"/>
      <w:ind w:left="284" w:right="113"/>
    </w:pPr>
    <w:rPr>
      <w:rFonts w:ascii="Arial Narrow" w:eastAsia="Calibri" w:hAnsi="Arial Narrow" w:cs="Calibri"/>
      <w:sz w:val="20"/>
      <w:szCs w:val="16"/>
      <w:lang w:eastAsia="en-US"/>
    </w:rPr>
  </w:style>
  <w:style w:type="paragraph" w:customStyle="1" w:styleId="PBACTableText">
    <w:name w:val="PBAC Table Text"/>
    <w:basedOn w:val="Normal"/>
    <w:link w:val="PBACTableTextChar"/>
    <w:qFormat/>
    <w:rsid w:val="00A203FD"/>
    <w:pPr>
      <w:spacing w:before="40" w:after="40"/>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A203FD"/>
    <w:rPr>
      <w:rFonts w:ascii="Arial Narrow" w:hAnsi="Arial Narrow"/>
      <w:lang w:eastAsia="en-US"/>
    </w:rPr>
  </w:style>
  <w:style w:type="table" w:customStyle="1" w:styleId="Summarybox8">
    <w:name w:val="Summary box8"/>
    <w:basedOn w:val="TableNormal"/>
    <w:next w:val="TableGrid"/>
    <w:uiPriority w:val="39"/>
    <w:rsid w:val="000308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link w:val="TableHeading"/>
    <w:rsid w:val="00D57C9F"/>
    <w:rPr>
      <w:rFonts w:ascii="Arial Narrow" w:eastAsiaTheme="minorHAnsi" w:hAnsi="Arial Narrow" w:cstheme="minorBidi"/>
      <w:b/>
      <w:szCs w:val="22"/>
      <w:lang w:eastAsia="en-US"/>
    </w:rPr>
  </w:style>
  <w:style w:type="paragraph" w:customStyle="1" w:styleId="CICsection">
    <w:name w:val="CICsection"/>
    <w:basedOn w:val="4-SubsectSubhead"/>
    <w:link w:val="CICsectionChar"/>
    <w:qFormat/>
    <w:rsid w:val="00E21119"/>
    <w:pPr>
      <w:jc w:val="center"/>
    </w:pPr>
    <w:rPr>
      <w:sz w:val="24"/>
      <w:szCs w:val="24"/>
      <w:u w:val="single"/>
    </w:rPr>
  </w:style>
  <w:style w:type="paragraph" w:customStyle="1" w:styleId="Tabletext0">
    <w:name w:val="Table text"/>
    <w:basedOn w:val="Normal"/>
    <w:link w:val="TabletextChar0"/>
    <w:rsid w:val="0015555D"/>
    <w:pPr>
      <w:jc w:val="left"/>
    </w:pPr>
    <w:rPr>
      <w:rFonts w:ascii="Arial Narrow" w:hAnsi="Arial Narrow" w:cs="Times New Roman"/>
      <w:snapToGrid w:val="0"/>
      <w:sz w:val="20"/>
    </w:rPr>
  </w:style>
  <w:style w:type="character" w:customStyle="1" w:styleId="CICsectionChar">
    <w:name w:val="CICsection Char"/>
    <w:basedOn w:val="4-SubsectSubheadChar"/>
    <w:link w:val="CICsection"/>
    <w:rsid w:val="00E21119"/>
    <w:rPr>
      <w:rFonts w:asciiTheme="minorHAnsi" w:eastAsiaTheme="majorEastAsia" w:hAnsiTheme="minorHAnsi" w:cstheme="majorBidi"/>
      <w:b/>
      <w:color w:val="000000" w:themeColor="text1"/>
      <w:sz w:val="24"/>
      <w:szCs w:val="24"/>
      <w:u w:val="single"/>
    </w:rPr>
  </w:style>
  <w:style w:type="character" w:customStyle="1" w:styleId="TabletextChar0">
    <w:name w:val="Table text Char"/>
    <w:link w:val="Tabletext0"/>
    <w:rsid w:val="0015555D"/>
    <w:rPr>
      <w:rFonts w:ascii="Arial Narrow" w:hAnsi="Arial Narrow"/>
      <w:snapToGrid w:val="0"/>
      <w:szCs w:val="24"/>
    </w:rPr>
  </w:style>
  <w:style w:type="paragraph" w:customStyle="1" w:styleId="PBACHeading1">
    <w:name w:val="PBAC Heading 1"/>
    <w:qFormat/>
    <w:rsid w:val="00AE1C26"/>
    <w:pPr>
      <w:keepNext/>
      <w:spacing w:after="120"/>
      <w:ind w:left="720" w:hanging="720"/>
      <w:outlineLvl w:val="0"/>
    </w:pPr>
    <w:rPr>
      <w:rFonts w:ascii="Calibri" w:hAnsi="Calibri" w:cs="Arial"/>
      <w:b/>
      <w:snapToGrid w:val="0"/>
      <w:sz w:val="32"/>
      <w:szCs w:val="22"/>
      <w:lang w:eastAsia="en-US"/>
    </w:rPr>
  </w:style>
  <w:style w:type="paragraph" w:customStyle="1" w:styleId="bullet">
    <w:name w:val="bullet"/>
    <w:basedOn w:val="ListParagraph"/>
    <w:link w:val="bulletChar"/>
    <w:qFormat/>
    <w:rsid w:val="00AE1C26"/>
    <w:pPr>
      <w:numPr>
        <w:numId w:val="9"/>
      </w:numPr>
      <w:spacing w:after="120"/>
      <w:contextualSpacing w:val="0"/>
    </w:pPr>
    <w:rPr>
      <w:i/>
      <w:lang w:eastAsia="en-US"/>
    </w:rPr>
  </w:style>
  <w:style w:type="character" w:customStyle="1" w:styleId="bulletChar">
    <w:name w:val="bullet Char"/>
    <w:basedOn w:val="ListParagraphChar"/>
    <w:link w:val="bullet"/>
    <w:rsid w:val="00AE1C26"/>
    <w:rPr>
      <w:rFonts w:ascii="Calibri" w:hAnsi="Calibri" w:cs="Arial"/>
      <w:i/>
      <w:sz w:val="24"/>
      <w:szCs w:val="24"/>
      <w:lang w:eastAsia="en-US"/>
    </w:rPr>
  </w:style>
  <w:style w:type="paragraph" w:customStyle="1" w:styleId="3-BodyText">
    <w:name w:val="3-Body Text"/>
    <w:basedOn w:val="ListParagraph"/>
    <w:link w:val="3-BodyTextChar"/>
    <w:qFormat/>
    <w:rsid w:val="004378C8"/>
    <w:pPr>
      <w:spacing w:after="120"/>
      <w:ind w:left="2137" w:hanging="720"/>
      <w:contextualSpacing w:val="0"/>
    </w:pPr>
    <w:rPr>
      <w:rFonts w:asciiTheme="minorHAnsi" w:hAnsiTheme="minorHAnsi"/>
      <w:snapToGrid w:val="0"/>
    </w:rPr>
  </w:style>
  <w:style w:type="character" w:customStyle="1" w:styleId="3-BodyTextChar">
    <w:name w:val="3-Body Text Char"/>
    <w:basedOn w:val="DefaultParagraphFont"/>
    <w:link w:val="3-BodyText"/>
    <w:rsid w:val="004378C8"/>
    <w:rPr>
      <w:rFonts w:asciiTheme="minorHAnsi" w:hAnsiTheme="minorHAnsi" w:cs="Arial"/>
      <w:snapToGrid w:val="0"/>
      <w:sz w:val="24"/>
      <w:szCs w:val="24"/>
    </w:rPr>
  </w:style>
  <w:style w:type="character" w:styleId="IntenseEmphasis">
    <w:name w:val="Intense Emphasis"/>
    <w:basedOn w:val="DefaultParagraphFont"/>
    <w:uiPriority w:val="21"/>
    <w:qFormat/>
    <w:rsid w:val="006E2E5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1967">
      <w:bodyDiv w:val="1"/>
      <w:marLeft w:val="0"/>
      <w:marRight w:val="0"/>
      <w:marTop w:val="0"/>
      <w:marBottom w:val="0"/>
      <w:divBdr>
        <w:top w:val="none" w:sz="0" w:space="0" w:color="auto"/>
        <w:left w:val="none" w:sz="0" w:space="0" w:color="auto"/>
        <w:bottom w:val="none" w:sz="0" w:space="0" w:color="auto"/>
        <w:right w:val="none" w:sz="0" w:space="0" w:color="auto"/>
      </w:divBdr>
      <w:divsChild>
        <w:div w:id="1309744556">
          <w:marLeft w:val="274"/>
          <w:marRight w:val="0"/>
          <w:marTop w:val="15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14799-F9A2-4BE3-B2DE-2CE8AE6E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16867</Words>
  <Characters>99493</Characters>
  <Application>Microsoft Office Word</Application>
  <DocSecurity>0</DocSecurity>
  <Lines>829</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2020-06-15T11:03:00Z</dcterms:created>
  <dcterms:modified xsi:type="dcterms:W3CDTF">2020-06-15T11:34:00Z</dcterms:modified>
</cp:coreProperties>
</file>