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D5" w:rsidRDefault="000A570F" w:rsidP="00771BDD">
      <w:pPr>
        <w:pStyle w:val="1MainTitle"/>
        <w:ind w:left="1440" w:hanging="1440"/>
      </w:pPr>
      <w:r>
        <w:t>14.03(d)</w:t>
      </w:r>
      <w:r w:rsidR="00FC3647" w:rsidRPr="0086175F">
        <w:tab/>
      </w:r>
      <w:r w:rsidR="002C5AD5" w:rsidRPr="004D32BA">
        <w:t>AMINO ACID SYNTHETIC FORMULA SUPPLEMENTED WITH LONG CHAIN POLYUNSATURATED FATTY ACIDS</w:t>
      </w:r>
      <w:r w:rsidR="002C5AD5">
        <w:t xml:space="preserve">, </w:t>
      </w:r>
      <w:r w:rsidR="002C5AD5">
        <w:br/>
        <w:t xml:space="preserve">Oral </w:t>
      </w:r>
      <w:r w:rsidR="00017AEB">
        <w:t xml:space="preserve">powder </w:t>
      </w:r>
      <w:r w:rsidR="002C5AD5" w:rsidRPr="004D32BA">
        <w:t>400mg</w:t>
      </w:r>
      <w:r w:rsidR="002C5AD5">
        <w:t xml:space="preserve">, </w:t>
      </w:r>
      <w:r w:rsidR="002C5AD5">
        <w:br/>
      </w:r>
      <w:r w:rsidR="002C5AD5" w:rsidRPr="004D32BA">
        <w:t>Neocate</w:t>
      </w:r>
      <w:r w:rsidR="002C5AD5">
        <w:t xml:space="preserve">® LCP, </w:t>
      </w:r>
      <w:r w:rsidR="002C5AD5">
        <w:br/>
      </w:r>
      <w:r w:rsidR="00784351">
        <w:t>Nutricia Australia Pty Ltd</w:t>
      </w:r>
    </w:p>
    <w:p w:rsidR="002C5AD5" w:rsidRDefault="002C5AD5" w:rsidP="00DC54A7">
      <w:pPr>
        <w:pStyle w:val="3Bodytext"/>
        <w:numPr>
          <w:ilvl w:val="0"/>
          <w:numId w:val="0"/>
        </w:numPr>
      </w:pPr>
    </w:p>
    <w:p w:rsidR="00FC3647" w:rsidRPr="0086175F" w:rsidRDefault="002C5AD5" w:rsidP="00771BDD">
      <w:pPr>
        <w:pStyle w:val="1MainTitle"/>
        <w:ind w:left="1440" w:firstLine="0"/>
      </w:pPr>
      <w:r w:rsidRPr="004D32BA">
        <w:t>AMINO ACID FORMULA SUPPLEMENTED WITH PREBIOTICS, PROBIOTICS AND LONG CH</w:t>
      </w:r>
      <w:r>
        <w:t>AIN POLYUNSATURATED FATTY ACID</w:t>
      </w:r>
      <w:r w:rsidR="006C4FDC">
        <w:t>S</w:t>
      </w:r>
      <w:r>
        <w:t xml:space="preserve">, </w:t>
      </w:r>
      <w:r>
        <w:br/>
        <w:t xml:space="preserve">Oral </w:t>
      </w:r>
      <w:r w:rsidR="00017AEB">
        <w:t xml:space="preserve">powder </w:t>
      </w:r>
      <w:r w:rsidRPr="004D32BA">
        <w:t>400 mg</w:t>
      </w:r>
      <w:r>
        <w:t xml:space="preserve">, </w:t>
      </w:r>
      <w:r>
        <w:br/>
      </w:r>
      <w:r w:rsidRPr="004D32BA">
        <w:t>Neocate® Syneo</w:t>
      </w:r>
      <w:r>
        <w:t xml:space="preserve">™, </w:t>
      </w:r>
      <w:r>
        <w:br/>
      </w:r>
      <w:r w:rsidR="00784351">
        <w:t>Nutricia Australia Pty Ltd</w:t>
      </w:r>
    </w:p>
    <w:p w:rsidR="00FC3647" w:rsidRPr="0086175F" w:rsidRDefault="00FC3647" w:rsidP="00FC3647">
      <w:pPr>
        <w:pStyle w:val="2Sections"/>
        <w:numPr>
          <w:ilvl w:val="0"/>
          <w:numId w:val="5"/>
        </w:numPr>
      </w:pPr>
      <w:r w:rsidRPr="0086175F">
        <w:t xml:space="preserve">Purpose of Application </w:t>
      </w:r>
    </w:p>
    <w:p w:rsidR="002C5AD5" w:rsidRDefault="002C5AD5" w:rsidP="002C5AD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8B7B44">
        <w:rPr>
          <w:rFonts w:asciiTheme="minorHAnsi" w:eastAsiaTheme="minorHAnsi" w:hAnsiTheme="minorHAnsi" w:cstheme="minorBidi"/>
          <w:snapToGrid/>
          <w:sz w:val="24"/>
          <w:szCs w:val="22"/>
        </w:rPr>
        <w:t xml:space="preserve">The </w:t>
      </w:r>
      <w:r w:rsidR="00B73B1A" w:rsidRPr="00B73B1A">
        <w:rPr>
          <w:rFonts w:asciiTheme="minorHAnsi" w:eastAsiaTheme="minorHAnsi" w:hAnsiTheme="minorHAnsi" w:cstheme="minorBidi"/>
          <w:snapToGrid/>
          <w:sz w:val="24"/>
          <w:szCs w:val="22"/>
        </w:rPr>
        <w:t xml:space="preserve">Committee Secretariat </w:t>
      </w:r>
      <w:r w:rsidR="002B3B08" w:rsidRPr="00B73B1A">
        <w:rPr>
          <w:rFonts w:asciiTheme="minorHAnsi" w:eastAsiaTheme="minorHAnsi" w:hAnsiTheme="minorHAnsi" w:cstheme="minorBidi"/>
          <w:snapToGrid/>
          <w:sz w:val="24"/>
          <w:szCs w:val="22"/>
        </w:rPr>
        <w:t xml:space="preserve">listing </w:t>
      </w:r>
      <w:r w:rsidR="002B3B08" w:rsidRPr="008B7B44">
        <w:rPr>
          <w:rFonts w:asciiTheme="minorHAnsi" w:eastAsiaTheme="minorHAnsi" w:hAnsiTheme="minorHAnsi" w:cstheme="minorBidi"/>
          <w:snapToGrid/>
          <w:sz w:val="24"/>
          <w:szCs w:val="22"/>
        </w:rPr>
        <w:t>requested</w:t>
      </w:r>
      <w:r w:rsidRPr="008B7B44">
        <w:rPr>
          <w:rFonts w:asciiTheme="minorHAnsi" w:eastAsiaTheme="minorHAnsi" w:hAnsiTheme="minorHAnsi" w:cstheme="minorBidi"/>
          <w:snapToGrid/>
          <w:sz w:val="24"/>
          <w:szCs w:val="22"/>
        </w:rPr>
        <w:t xml:space="preserve"> a change to the formulation of the amino acid formulas Neocate® LCP and Neocate® Syneo™, based on new European compositional standards.</w:t>
      </w:r>
    </w:p>
    <w:p w:rsidR="00FC3647" w:rsidRPr="00D03AD2" w:rsidRDefault="00FC3647" w:rsidP="00FC3647">
      <w:pPr>
        <w:pStyle w:val="2Sections"/>
        <w:numPr>
          <w:ilvl w:val="0"/>
          <w:numId w:val="5"/>
        </w:numPr>
      </w:pPr>
      <w:r w:rsidRPr="00D03AD2">
        <w:t>Requested listing</w:t>
      </w:r>
    </w:p>
    <w:p w:rsidR="002C5AD5" w:rsidRPr="00D03AD2" w:rsidRDefault="002C5AD5" w:rsidP="002C5AD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The submission did not request changes to existing listings (</w:t>
      </w:r>
      <w:r w:rsidR="006C4FDC" w:rsidRPr="00D03AD2">
        <w:rPr>
          <w:rFonts w:asciiTheme="minorHAnsi" w:eastAsiaTheme="minorHAnsi" w:hAnsiTheme="minorHAnsi" w:cstheme="minorBidi"/>
          <w:snapToGrid/>
          <w:sz w:val="24"/>
          <w:szCs w:val="22"/>
        </w:rPr>
        <w:t xml:space="preserve">Neocate® LCP </w:t>
      </w:r>
      <w:r w:rsidRPr="00D03AD2">
        <w:rPr>
          <w:rFonts w:asciiTheme="minorHAnsi" w:eastAsiaTheme="minorHAnsi" w:hAnsiTheme="minorHAnsi" w:cstheme="minorBidi"/>
          <w:snapToGrid/>
          <w:sz w:val="24"/>
          <w:szCs w:val="22"/>
        </w:rPr>
        <w:t>items 2246F, 2560R;</w:t>
      </w:r>
      <w:r w:rsidR="00D03AD2" w:rsidRPr="00D03AD2">
        <w:rPr>
          <w:rFonts w:asciiTheme="minorHAnsi" w:eastAsiaTheme="minorHAnsi" w:hAnsiTheme="minorHAnsi" w:cstheme="minorBidi"/>
          <w:snapToGrid/>
          <w:sz w:val="24"/>
          <w:szCs w:val="22"/>
        </w:rPr>
        <w:t xml:space="preserve"> 9339M, 9340N</w:t>
      </w:r>
      <w:r w:rsidRPr="00D03AD2">
        <w:rPr>
          <w:rFonts w:asciiTheme="minorHAnsi" w:eastAsiaTheme="minorHAnsi" w:hAnsiTheme="minorHAnsi" w:cstheme="minorBidi"/>
          <w:snapToGrid/>
          <w:sz w:val="24"/>
          <w:szCs w:val="22"/>
        </w:rPr>
        <w:t xml:space="preserve"> </w:t>
      </w:r>
      <w:r w:rsidR="00D03AD2" w:rsidRPr="00D03AD2">
        <w:rPr>
          <w:rFonts w:asciiTheme="minorHAnsi" w:eastAsiaTheme="minorHAnsi" w:hAnsiTheme="minorHAnsi" w:cstheme="minorBidi"/>
          <w:snapToGrid/>
          <w:sz w:val="24"/>
          <w:szCs w:val="22"/>
        </w:rPr>
        <w:t xml:space="preserve">and </w:t>
      </w:r>
      <w:r w:rsidR="00140DC3" w:rsidRPr="00D03AD2">
        <w:rPr>
          <w:rFonts w:asciiTheme="minorHAnsi" w:eastAsiaTheme="minorHAnsi" w:hAnsiTheme="minorHAnsi" w:cstheme="minorBidi"/>
          <w:snapToGrid/>
          <w:sz w:val="24"/>
          <w:szCs w:val="22"/>
        </w:rPr>
        <w:t xml:space="preserve">Neocate® Syneo™ </w:t>
      </w:r>
      <w:r w:rsidRPr="00D03AD2">
        <w:rPr>
          <w:rFonts w:asciiTheme="minorHAnsi" w:eastAsiaTheme="minorHAnsi" w:hAnsiTheme="minorHAnsi" w:cstheme="minorBidi"/>
          <w:snapToGrid/>
          <w:sz w:val="24"/>
          <w:szCs w:val="22"/>
        </w:rPr>
        <w:t>items 11331J, 11340W</w:t>
      </w:r>
      <w:r w:rsidR="00D03AD2" w:rsidRPr="00D03AD2">
        <w:rPr>
          <w:rFonts w:asciiTheme="minorHAnsi" w:eastAsiaTheme="minorHAnsi" w:hAnsiTheme="minorHAnsi" w:cstheme="minorBidi"/>
          <w:snapToGrid/>
          <w:sz w:val="24"/>
          <w:szCs w:val="22"/>
        </w:rPr>
        <w:t>, 11343B</w:t>
      </w:r>
      <w:r w:rsidRPr="00D03AD2">
        <w:rPr>
          <w:rFonts w:asciiTheme="minorHAnsi" w:eastAsiaTheme="minorHAnsi" w:hAnsiTheme="minorHAnsi" w:cstheme="minorBidi"/>
          <w:snapToGrid/>
          <w:sz w:val="24"/>
          <w:szCs w:val="22"/>
        </w:rPr>
        <w:t>).</w:t>
      </w:r>
    </w:p>
    <w:p w:rsidR="000B2723" w:rsidRPr="0086175F" w:rsidRDefault="000B2723" w:rsidP="000B2723">
      <w:pPr>
        <w:pStyle w:val="2Sections"/>
      </w:pPr>
      <w:r w:rsidRPr="0086175F">
        <w:t>Background</w:t>
      </w:r>
    </w:p>
    <w:p w:rsidR="000B2723" w:rsidRPr="00D03AD2" w:rsidRDefault="000B2723" w:rsidP="000B2723">
      <w:pPr>
        <w:pStyle w:val="3Bodytext"/>
      </w:pPr>
      <w:r w:rsidRPr="00D03AD2">
        <w:t>Neocate® LCP was listed on the PBS on 1 August 2007. Neocate Syneo was listed on the PBS on 1 May 2018.</w:t>
      </w:r>
    </w:p>
    <w:p w:rsidR="000B2723" w:rsidRPr="00D03AD2" w:rsidRDefault="000B2723" w:rsidP="000B2723">
      <w:pPr>
        <w:pStyle w:val="3Bodytext"/>
      </w:pPr>
      <w:r w:rsidRPr="00D03AD2">
        <w:rPr>
          <w:lang w:val="en-US"/>
        </w:rPr>
        <w:t>The submission requested a change to the formulation of</w:t>
      </w:r>
      <w:r w:rsidRPr="00D03AD2">
        <w:t xml:space="preserve"> Neocate® LCP and Neocate® Syneo™ </w:t>
      </w:r>
      <w:r w:rsidRPr="00D03AD2">
        <w:rPr>
          <w:lang w:val="en-US"/>
        </w:rPr>
        <w:t xml:space="preserve">to meet new European Commissioned Delegated Regulations on Food for Special Medical Purposes (FSMP) intended to satisfy the nutritional requirements of infants [Commission Delegated Regulation (EU) 2016/128]. Regulation 2016/128 sets out new maximum and minimum levels of vitamin and mineral substances for products that will provide a sole source of nutrition, and new maximum levels of vitamins and minerals for products that are not a sole source of nutrition. This regulation also requires additional nutrient declarations on the packaging with the </w:t>
      </w:r>
      <w:r w:rsidRPr="00D03AD2">
        <w:rPr>
          <w:lang w:val="en-US"/>
        </w:rPr>
        <w:lastRenderedPageBreak/>
        <w:t>intent guarantee appropriate use of the product. Further information on the compositional changes are presented in Section 5.</w:t>
      </w:r>
    </w:p>
    <w:p w:rsidR="000B2723" w:rsidRPr="00D03AD2" w:rsidRDefault="000B2723" w:rsidP="000B2723">
      <w:pPr>
        <w:pStyle w:val="3Bodytext"/>
      </w:pPr>
      <w:r w:rsidRPr="00D03AD2">
        <w:t>There is no change to the level of protein equivalent (PE).</w:t>
      </w:r>
    </w:p>
    <w:p w:rsidR="00FC3647" w:rsidRPr="0086175F" w:rsidRDefault="00FC3647" w:rsidP="00677638">
      <w:pPr>
        <w:pStyle w:val="2Sections"/>
      </w:pPr>
      <w:r w:rsidRPr="0086175F">
        <w:t>Consideration of the evidence</w:t>
      </w:r>
    </w:p>
    <w:p w:rsidR="00C963F8" w:rsidRPr="00836F75" w:rsidRDefault="00C963F8" w:rsidP="00C963F8">
      <w:pPr>
        <w:pStyle w:val="Heading2"/>
        <w:rPr>
          <w:snapToGrid w:val="0"/>
        </w:rPr>
      </w:pPr>
      <w:r w:rsidRPr="00836F75">
        <w:rPr>
          <w:snapToGrid w:val="0"/>
        </w:rPr>
        <w:t>Sponsor hearing</w:t>
      </w:r>
    </w:p>
    <w:p w:rsidR="00C963F8" w:rsidRPr="00836F75" w:rsidRDefault="00C963F8" w:rsidP="00C963F8">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Committee Secretariat submission.</w:t>
      </w:r>
    </w:p>
    <w:p w:rsidR="00C963F8" w:rsidRPr="00836F75" w:rsidRDefault="00C963F8" w:rsidP="00C963F8">
      <w:pPr>
        <w:widowControl w:val="0"/>
        <w:spacing w:before="120" w:after="120" w:line="276" w:lineRule="auto"/>
        <w:jc w:val="both"/>
        <w:rPr>
          <w:rFonts w:asciiTheme="minorHAnsi" w:hAnsiTheme="minorHAnsi" w:cs="Arial"/>
          <w:b/>
          <w:bCs/>
          <w:i/>
          <w:snapToGrid w:val="0"/>
          <w:sz w:val="28"/>
          <w:szCs w:val="28"/>
        </w:rPr>
      </w:pPr>
      <w:r w:rsidRPr="00836F75">
        <w:rPr>
          <w:rFonts w:asciiTheme="minorHAnsi" w:hAnsiTheme="minorHAnsi" w:cs="Arial"/>
          <w:b/>
          <w:bCs/>
          <w:i/>
          <w:snapToGrid w:val="0"/>
          <w:sz w:val="28"/>
          <w:szCs w:val="28"/>
        </w:rPr>
        <w:t>Consumer comments</w:t>
      </w:r>
    </w:p>
    <w:p w:rsidR="00C963F8" w:rsidRPr="005F1250" w:rsidRDefault="00C963F8" w:rsidP="00C963F8">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C963F8" w:rsidRPr="007756A6" w:rsidRDefault="00C963F8" w:rsidP="00C963F8">
      <w:pPr>
        <w:keepNext/>
        <w:keepLines/>
        <w:spacing w:before="240" w:after="120"/>
        <w:outlineLvl w:val="1"/>
        <w:rPr>
          <w:rFonts w:asciiTheme="minorHAnsi" w:eastAsiaTheme="majorEastAsia" w:hAnsiTheme="minorHAnsi" w:cstheme="majorBidi"/>
          <w:b/>
          <w:i/>
          <w:sz w:val="28"/>
          <w:szCs w:val="28"/>
          <w:lang w:eastAsia="en-US"/>
        </w:rPr>
      </w:pPr>
      <w:r w:rsidRPr="007756A6">
        <w:rPr>
          <w:rFonts w:asciiTheme="minorHAnsi" w:eastAsiaTheme="majorEastAsia" w:hAnsiTheme="minorHAnsi" w:cstheme="majorBidi"/>
          <w:b/>
          <w:i/>
          <w:sz w:val="28"/>
          <w:szCs w:val="28"/>
          <w:lang w:eastAsia="en-US"/>
        </w:rPr>
        <w:t>Clinical trials</w:t>
      </w:r>
    </w:p>
    <w:p w:rsidR="00C963F8" w:rsidRPr="0034449B" w:rsidRDefault="00C963F8" w:rsidP="00C963F8">
      <w:pPr>
        <w:numPr>
          <w:ilvl w:val="1"/>
          <w:numId w:val="5"/>
        </w:numPr>
        <w:spacing w:after="120"/>
        <w:jc w:val="both"/>
        <w:rPr>
          <w:rFonts w:asciiTheme="minorHAnsi" w:eastAsiaTheme="minorHAnsi" w:hAnsiTheme="minorHAnsi" w:cstheme="minorBidi"/>
          <w:lang w:eastAsia="en-US"/>
        </w:rPr>
      </w:pPr>
      <w:r w:rsidRPr="0034449B">
        <w:rPr>
          <w:rFonts w:asciiTheme="minorHAnsi" w:eastAsiaTheme="minorHAnsi" w:hAnsiTheme="minorHAnsi" w:cstheme="minorBidi"/>
          <w:lang w:eastAsia="en-US"/>
        </w:rPr>
        <w:t xml:space="preserve">As a </w:t>
      </w:r>
      <w:r>
        <w:rPr>
          <w:rFonts w:asciiTheme="minorHAnsi" w:eastAsiaTheme="minorHAnsi" w:hAnsiTheme="minorHAnsi" w:cstheme="minorBidi"/>
          <w:lang w:eastAsia="en-US"/>
        </w:rPr>
        <w:t>Committee Secretariat</w:t>
      </w:r>
      <w:r w:rsidRPr="0034449B">
        <w:rPr>
          <w:rFonts w:asciiTheme="minorHAnsi" w:eastAsiaTheme="minorHAnsi" w:hAnsiTheme="minorHAnsi" w:cstheme="minorBidi"/>
          <w:lang w:eastAsia="en-US"/>
        </w:rPr>
        <w:t xml:space="preserve"> submission, no clinical trials were presented in the submission.</w:t>
      </w:r>
    </w:p>
    <w:p w:rsidR="007756A6" w:rsidRPr="00D03AD2" w:rsidRDefault="007756A6" w:rsidP="007756A6">
      <w:pPr>
        <w:keepNext/>
        <w:keepLines/>
        <w:spacing w:before="240" w:after="120"/>
        <w:outlineLvl w:val="1"/>
        <w:rPr>
          <w:rFonts w:asciiTheme="minorHAnsi" w:eastAsiaTheme="majorEastAsia" w:hAnsiTheme="minorHAnsi" w:cstheme="majorBidi"/>
          <w:b/>
          <w:i/>
          <w:sz w:val="28"/>
          <w:szCs w:val="28"/>
          <w:lang w:eastAsia="en-US"/>
        </w:rPr>
      </w:pPr>
      <w:r w:rsidRPr="00D03AD2">
        <w:rPr>
          <w:rFonts w:asciiTheme="minorHAnsi" w:eastAsiaTheme="majorEastAsia" w:hAnsiTheme="minorHAnsi" w:cstheme="majorBidi"/>
          <w:b/>
          <w:i/>
          <w:sz w:val="28"/>
          <w:szCs w:val="28"/>
          <w:lang w:eastAsia="en-US"/>
        </w:rPr>
        <w:t>Other relevant matters</w:t>
      </w:r>
    </w:p>
    <w:p w:rsidR="00CB1EFA" w:rsidRPr="00D03AD2" w:rsidRDefault="00CB1EFA" w:rsidP="00CB1EF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 xml:space="preserve">The key differences between the current and new formulation of </w:t>
      </w:r>
      <w:r w:rsidR="006C4FDC" w:rsidRPr="00D03AD2">
        <w:rPr>
          <w:rFonts w:asciiTheme="minorHAnsi" w:eastAsiaTheme="minorHAnsi" w:hAnsiTheme="minorHAnsi" w:cstheme="minorBidi"/>
          <w:snapToGrid/>
          <w:sz w:val="24"/>
          <w:szCs w:val="22"/>
        </w:rPr>
        <w:t>Neocate® LCP and Neocate® Syneo™</w:t>
      </w:r>
      <w:r w:rsidRPr="00D03AD2">
        <w:rPr>
          <w:rFonts w:asciiTheme="minorHAnsi" w:eastAsiaTheme="minorHAnsi" w:hAnsiTheme="minorHAnsi" w:cstheme="minorBidi"/>
          <w:snapToGrid/>
          <w:sz w:val="24"/>
          <w:szCs w:val="22"/>
        </w:rPr>
        <w:t xml:space="preserve"> in meeting the UE compositional standards were:</w:t>
      </w:r>
    </w:p>
    <w:p w:rsidR="00CB1EFA" w:rsidRPr="00D03AD2" w:rsidRDefault="00CB1EFA" w:rsidP="00CB1EFA">
      <w:pPr>
        <w:pStyle w:val="ListParagraph"/>
        <w:widowControl/>
        <w:numPr>
          <w:ilvl w:val="0"/>
          <w:numId w:val="29"/>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changes in the levels of numerous fatty acids;</w:t>
      </w:r>
    </w:p>
    <w:p w:rsidR="00CB1EFA" w:rsidRPr="00D03AD2" w:rsidRDefault="00CB1EFA" w:rsidP="00CB1EFA">
      <w:pPr>
        <w:pStyle w:val="ListParagraph"/>
        <w:widowControl/>
        <w:numPr>
          <w:ilvl w:val="0"/>
          <w:numId w:val="29"/>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decreases in phosphorus folate and manganese in both new formulations,</w:t>
      </w:r>
    </w:p>
    <w:p w:rsidR="00CB1EFA" w:rsidRPr="00D03AD2" w:rsidRDefault="00CB1EFA" w:rsidP="00CB1EFA">
      <w:pPr>
        <w:pStyle w:val="ListParagraph"/>
        <w:widowControl/>
        <w:numPr>
          <w:ilvl w:val="0"/>
          <w:numId w:val="29"/>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 xml:space="preserve">increases in the level of Docosahexaenoic acid (DHA) and Arachidonic acid (ARA), monounsaturated fatty acid, selenium, vitamin D, E , folate and choline In both new formulations; and </w:t>
      </w:r>
    </w:p>
    <w:p w:rsidR="00CB1EFA" w:rsidRPr="00D03AD2" w:rsidRDefault="00CB1EFA" w:rsidP="00CB1EFA">
      <w:pPr>
        <w:pStyle w:val="ListParagraph"/>
        <w:widowControl/>
        <w:numPr>
          <w:ilvl w:val="0"/>
          <w:numId w:val="29"/>
        </w:numPr>
        <w:spacing w:after="120"/>
        <w:contextualSpacing w:val="0"/>
        <w:rPr>
          <w:rFonts w:asciiTheme="minorHAnsi" w:eastAsiaTheme="minorHAnsi" w:hAnsiTheme="minorHAnsi" w:cstheme="minorBidi"/>
          <w:snapToGrid/>
          <w:sz w:val="24"/>
          <w:szCs w:val="22"/>
        </w:rPr>
      </w:pPr>
      <w:r w:rsidRPr="00D03AD2">
        <w:rPr>
          <w:rFonts w:asciiTheme="minorHAnsi" w:eastAsiaTheme="minorHAnsi" w:hAnsiTheme="minorHAnsi" w:cstheme="minorBidi"/>
          <w:snapToGrid/>
          <w:sz w:val="24"/>
          <w:szCs w:val="22"/>
        </w:rPr>
        <w:t xml:space="preserve">a decrease in the level of calcium in </w:t>
      </w:r>
      <w:r w:rsidR="00140DC3" w:rsidRPr="00D03AD2">
        <w:rPr>
          <w:rFonts w:asciiTheme="minorHAnsi" w:eastAsiaTheme="minorHAnsi" w:hAnsiTheme="minorHAnsi" w:cstheme="minorBidi"/>
          <w:snapToGrid/>
          <w:sz w:val="24"/>
          <w:szCs w:val="22"/>
        </w:rPr>
        <w:t>Neocate® LCP</w:t>
      </w:r>
      <w:r w:rsidRPr="00D03AD2">
        <w:rPr>
          <w:rFonts w:asciiTheme="minorHAnsi" w:eastAsiaTheme="minorHAnsi" w:hAnsiTheme="minorHAnsi" w:cstheme="minorBidi"/>
          <w:snapToGrid/>
          <w:sz w:val="24"/>
          <w:szCs w:val="22"/>
        </w:rPr>
        <w:t>.</w:t>
      </w:r>
    </w:p>
    <w:p w:rsidR="00CB1EFA" w:rsidRPr="00D03AD2" w:rsidRDefault="00CB1EFA" w:rsidP="00CB1EFA">
      <w:pPr>
        <w:pStyle w:val="3Bodytext"/>
        <w:numPr>
          <w:ilvl w:val="1"/>
          <w:numId w:val="5"/>
        </w:numPr>
        <w:rPr>
          <w:szCs w:val="24"/>
        </w:rPr>
      </w:pPr>
      <w:r w:rsidRPr="00D03AD2">
        <w:rPr>
          <w:szCs w:val="24"/>
        </w:rPr>
        <w:t>Key changes to the nutritional profiles are presented in Tables 1 and 2 below.</w:t>
      </w:r>
    </w:p>
    <w:p w:rsidR="00CB1EFA" w:rsidRPr="00D03AD2" w:rsidRDefault="00CB1EFA" w:rsidP="00CB1EFA">
      <w:pPr>
        <w:pStyle w:val="3Bodytext"/>
        <w:keepNext/>
        <w:numPr>
          <w:ilvl w:val="0"/>
          <w:numId w:val="0"/>
        </w:numPr>
        <w:spacing w:after="0"/>
        <w:rPr>
          <w:rFonts w:ascii="Arial Narrow" w:hAnsi="Arial Narrow"/>
          <w:b/>
          <w:sz w:val="20"/>
          <w:szCs w:val="20"/>
        </w:rPr>
      </w:pPr>
      <w:r w:rsidRPr="00D03AD2">
        <w:rPr>
          <w:rFonts w:ascii="Arial Narrow" w:hAnsi="Arial Narrow"/>
          <w:b/>
          <w:sz w:val="20"/>
          <w:szCs w:val="20"/>
        </w:rPr>
        <w:lastRenderedPageBreak/>
        <w:t>Table 1: Levels of essential fatty acids Linoleic Acid (LA), α-Linolenic Acid (ALA), Docosahexaenoic acid, (DHA) and Arachidonic acid (ARA) in the current and new Neocate formulations</w:t>
      </w:r>
    </w:p>
    <w:tbl>
      <w:tblPr>
        <w:tblStyle w:val="TableGrid"/>
        <w:tblW w:w="5000" w:type="pct"/>
        <w:tblLook w:val="04A0" w:firstRow="1" w:lastRow="0" w:firstColumn="1" w:lastColumn="0" w:noHBand="0" w:noVBand="1"/>
        <w:tblCaption w:val="Table 1: Levels of essential fatty acids in the current and new Neocate formulations"/>
      </w:tblPr>
      <w:tblGrid>
        <w:gridCol w:w="1689"/>
        <w:gridCol w:w="1666"/>
        <w:gridCol w:w="1531"/>
        <w:gridCol w:w="1224"/>
        <w:gridCol w:w="1379"/>
        <w:gridCol w:w="1527"/>
      </w:tblGrid>
      <w:tr w:rsidR="00CB1EFA" w:rsidRPr="00D03AD2" w:rsidTr="00DC54A7">
        <w:trPr>
          <w:tblHeader/>
        </w:trPr>
        <w:tc>
          <w:tcPr>
            <w:tcW w:w="936" w:type="pct"/>
            <w:shd w:val="clear" w:color="auto" w:fill="auto"/>
          </w:tcPr>
          <w:p w:rsidR="00CB1EFA" w:rsidRPr="00D03AD2" w:rsidRDefault="00CB1EFA" w:rsidP="00C2116C">
            <w:pPr>
              <w:pStyle w:val="3Bodytext"/>
              <w:keepNext/>
              <w:numPr>
                <w:ilvl w:val="0"/>
                <w:numId w:val="0"/>
              </w:numPr>
              <w:spacing w:after="0"/>
              <w:jc w:val="left"/>
              <w:rPr>
                <w:rFonts w:ascii="Arial Narrow" w:hAnsi="Arial Narrow"/>
                <w:b/>
                <w:sz w:val="20"/>
                <w:szCs w:val="20"/>
              </w:rPr>
            </w:pPr>
          </w:p>
        </w:tc>
        <w:tc>
          <w:tcPr>
            <w:tcW w:w="1773" w:type="pct"/>
            <w:gridSpan w:val="2"/>
            <w:shd w:val="clear" w:color="auto" w:fill="auto"/>
          </w:tcPr>
          <w:p w:rsidR="00CB1EFA" w:rsidRPr="00D03AD2" w:rsidRDefault="00140DC3" w:rsidP="00C2116C">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Neocate® LCP</w:t>
            </w:r>
          </w:p>
        </w:tc>
        <w:tc>
          <w:tcPr>
            <w:tcW w:w="1444" w:type="pct"/>
            <w:gridSpan w:val="2"/>
            <w:shd w:val="clear" w:color="auto" w:fill="auto"/>
          </w:tcPr>
          <w:p w:rsidR="00CB1EFA" w:rsidRPr="00D03AD2" w:rsidRDefault="00140DC3" w:rsidP="00140DC3">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Neocate® Syneo™</w:t>
            </w:r>
          </w:p>
        </w:tc>
        <w:tc>
          <w:tcPr>
            <w:tcW w:w="848" w:type="pct"/>
            <w:shd w:val="clear" w:color="auto" w:fill="auto"/>
          </w:tcPr>
          <w:p w:rsidR="00CB1EFA" w:rsidRPr="00D03AD2" w:rsidRDefault="00CB1EFA" w:rsidP="00C2116C">
            <w:pPr>
              <w:pStyle w:val="3Bodytext"/>
              <w:keepNext/>
              <w:numPr>
                <w:ilvl w:val="0"/>
                <w:numId w:val="0"/>
              </w:numPr>
              <w:spacing w:after="0"/>
              <w:jc w:val="left"/>
              <w:rPr>
                <w:rFonts w:ascii="Arial Narrow" w:hAnsi="Arial Narrow"/>
                <w:b/>
                <w:sz w:val="20"/>
                <w:szCs w:val="20"/>
              </w:rPr>
            </w:pPr>
          </w:p>
        </w:tc>
      </w:tr>
      <w:tr w:rsidR="00CB1EFA" w:rsidRPr="00D03AD2" w:rsidTr="00AE20CA">
        <w:tc>
          <w:tcPr>
            <w:tcW w:w="936" w:type="pct"/>
            <w:shd w:val="clear" w:color="auto" w:fill="auto"/>
          </w:tcPr>
          <w:p w:rsidR="00CB1EFA" w:rsidRPr="00D03AD2" w:rsidRDefault="00CB1EFA" w:rsidP="00C2116C">
            <w:pPr>
              <w:pStyle w:val="3Bodytext"/>
              <w:keepNext/>
              <w:numPr>
                <w:ilvl w:val="0"/>
                <w:numId w:val="0"/>
              </w:numPr>
              <w:spacing w:after="0"/>
              <w:jc w:val="left"/>
              <w:rPr>
                <w:rFonts w:ascii="Arial Narrow" w:hAnsi="Arial Narrow"/>
                <w:b/>
                <w:sz w:val="20"/>
                <w:szCs w:val="20"/>
              </w:rPr>
            </w:pPr>
          </w:p>
        </w:tc>
        <w:tc>
          <w:tcPr>
            <w:tcW w:w="924" w:type="pct"/>
            <w:shd w:val="clear" w:color="auto" w:fill="auto"/>
          </w:tcPr>
          <w:p w:rsidR="00CB1EFA" w:rsidRPr="00D03AD2" w:rsidRDefault="00CB1EFA" w:rsidP="00C2116C">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 xml:space="preserve">Current </w:t>
            </w:r>
            <w:r w:rsidR="00140DC3" w:rsidRPr="00D03AD2">
              <w:rPr>
                <w:rFonts w:ascii="Arial Narrow" w:hAnsi="Arial Narrow"/>
                <w:b/>
                <w:sz w:val="20"/>
                <w:szCs w:val="20"/>
              </w:rPr>
              <w:t>Neocate® LCP</w:t>
            </w:r>
          </w:p>
        </w:tc>
        <w:tc>
          <w:tcPr>
            <w:tcW w:w="849" w:type="pct"/>
            <w:shd w:val="clear" w:color="auto" w:fill="auto"/>
          </w:tcPr>
          <w:p w:rsidR="00CB1EFA" w:rsidRPr="00D03AD2" w:rsidRDefault="009F2FAC" w:rsidP="009F2FAC">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New</w:t>
            </w:r>
            <w:r w:rsidR="00CB1EFA" w:rsidRPr="00D03AD2">
              <w:rPr>
                <w:rFonts w:ascii="Arial Narrow" w:hAnsi="Arial Narrow"/>
                <w:b/>
                <w:sz w:val="20"/>
                <w:szCs w:val="20"/>
              </w:rPr>
              <w:t xml:space="preserve"> </w:t>
            </w:r>
            <w:r w:rsidR="00140DC3" w:rsidRPr="00D03AD2">
              <w:rPr>
                <w:rFonts w:ascii="Arial Narrow" w:hAnsi="Arial Narrow"/>
                <w:b/>
                <w:sz w:val="20"/>
                <w:szCs w:val="20"/>
              </w:rPr>
              <w:t>Neocate® LCP</w:t>
            </w:r>
          </w:p>
        </w:tc>
        <w:tc>
          <w:tcPr>
            <w:tcW w:w="679" w:type="pct"/>
            <w:shd w:val="clear" w:color="auto" w:fill="auto"/>
          </w:tcPr>
          <w:p w:rsidR="00CB1EFA" w:rsidRPr="00D03AD2" w:rsidRDefault="00CB1EFA" w:rsidP="00140DC3">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 xml:space="preserve">Current </w:t>
            </w:r>
            <w:r w:rsidR="00140DC3" w:rsidRPr="00D03AD2">
              <w:rPr>
                <w:rFonts w:ascii="Arial Narrow" w:hAnsi="Arial Narrow"/>
                <w:b/>
                <w:sz w:val="20"/>
                <w:szCs w:val="20"/>
              </w:rPr>
              <w:t xml:space="preserve">Neocate® Syneo™ </w:t>
            </w:r>
          </w:p>
        </w:tc>
        <w:tc>
          <w:tcPr>
            <w:tcW w:w="765" w:type="pct"/>
            <w:shd w:val="clear" w:color="auto" w:fill="auto"/>
          </w:tcPr>
          <w:p w:rsidR="00CB1EFA" w:rsidRPr="00D03AD2" w:rsidRDefault="009F2FAC" w:rsidP="009F2FAC">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New</w:t>
            </w:r>
            <w:r w:rsidR="00CB1EFA" w:rsidRPr="00D03AD2">
              <w:rPr>
                <w:rFonts w:ascii="Arial Narrow" w:hAnsi="Arial Narrow"/>
                <w:b/>
                <w:sz w:val="20"/>
                <w:szCs w:val="20"/>
              </w:rPr>
              <w:t xml:space="preserve"> </w:t>
            </w:r>
            <w:r w:rsidR="00140DC3" w:rsidRPr="00D03AD2">
              <w:rPr>
                <w:rFonts w:ascii="Arial Narrow" w:hAnsi="Arial Narrow"/>
                <w:b/>
                <w:sz w:val="20"/>
                <w:szCs w:val="20"/>
              </w:rPr>
              <w:t>Neocate® Syneo™</w:t>
            </w:r>
          </w:p>
        </w:tc>
        <w:tc>
          <w:tcPr>
            <w:tcW w:w="848" w:type="pct"/>
            <w:shd w:val="clear" w:color="auto" w:fill="auto"/>
          </w:tcPr>
          <w:p w:rsidR="00CB1EFA" w:rsidRPr="00D03AD2" w:rsidRDefault="00CB1EFA" w:rsidP="00C2116C">
            <w:pPr>
              <w:pStyle w:val="3Bodytext"/>
              <w:keepNext/>
              <w:numPr>
                <w:ilvl w:val="0"/>
                <w:numId w:val="0"/>
              </w:numPr>
              <w:spacing w:after="0"/>
              <w:jc w:val="left"/>
              <w:rPr>
                <w:rFonts w:ascii="Arial Narrow" w:hAnsi="Arial Narrow"/>
                <w:b/>
                <w:sz w:val="20"/>
                <w:szCs w:val="20"/>
              </w:rPr>
            </w:pPr>
            <w:r w:rsidRPr="00D03AD2">
              <w:rPr>
                <w:rFonts w:ascii="Arial Narrow" w:hAnsi="Arial Narrow"/>
                <w:b/>
                <w:sz w:val="20"/>
                <w:szCs w:val="20"/>
              </w:rPr>
              <w:t>IF/FOF Commission Delegated Regulation (EU) 2016/127 [2]</w:t>
            </w:r>
          </w:p>
        </w:tc>
      </w:tr>
      <w:tr w:rsidR="00CB1EFA" w:rsidRPr="00D03AD2" w:rsidTr="00C2116C">
        <w:tc>
          <w:tcPr>
            <w:tcW w:w="5000" w:type="pct"/>
            <w:gridSpan w:val="6"/>
          </w:tcPr>
          <w:p w:rsidR="00CB1EFA" w:rsidRPr="00D03AD2" w:rsidRDefault="00CB1EFA" w:rsidP="00C2116C">
            <w:pPr>
              <w:pStyle w:val="3Bodytext"/>
              <w:keepNext/>
              <w:numPr>
                <w:ilvl w:val="0"/>
                <w:numId w:val="0"/>
              </w:numPr>
              <w:spacing w:after="0"/>
              <w:jc w:val="center"/>
              <w:rPr>
                <w:rFonts w:ascii="Arial Narrow" w:hAnsi="Arial Narrow"/>
                <w:sz w:val="20"/>
                <w:szCs w:val="20"/>
              </w:rPr>
            </w:pPr>
            <w:r w:rsidRPr="00D03AD2">
              <w:rPr>
                <w:rFonts w:ascii="Arial Narrow" w:hAnsi="Arial Narrow"/>
                <w:sz w:val="20"/>
                <w:szCs w:val="20"/>
              </w:rPr>
              <w:t>Per 100kcal</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Linoleic Acid (LA) mg</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864</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681</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710</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652</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500-120</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α-Linolenic Acid (ALA) mg</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86</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68.6</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71</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65.9</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50-100</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Ratio LA : ALA</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10:1</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10:1</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10:1</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10:1</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N/A</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Docosahexaenoic acid (DHA) mg</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17</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25</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17</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25</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20-50</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Arachidonic acid (ARA) mg</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17</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25</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17</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25</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N/A</w:t>
            </w:r>
          </w:p>
        </w:tc>
      </w:tr>
      <w:tr w:rsidR="00CB1EFA" w:rsidRPr="00D03AD2" w:rsidTr="00C2116C">
        <w:tc>
          <w:tcPr>
            <w:tcW w:w="936"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Ratio DHA : ARA</w:t>
            </w:r>
          </w:p>
        </w:tc>
        <w:tc>
          <w:tcPr>
            <w:tcW w:w="924"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1:1</w:t>
            </w:r>
          </w:p>
        </w:tc>
        <w:tc>
          <w:tcPr>
            <w:tcW w:w="84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1:1</w:t>
            </w:r>
          </w:p>
        </w:tc>
        <w:tc>
          <w:tcPr>
            <w:tcW w:w="679"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1:1</w:t>
            </w:r>
          </w:p>
        </w:tc>
        <w:tc>
          <w:tcPr>
            <w:tcW w:w="765"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1:1</w:t>
            </w:r>
          </w:p>
        </w:tc>
        <w:tc>
          <w:tcPr>
            <w:tcW w:w="848" w:type="pct"/>
          </w:tcPr>
          <w:p w:rsidR="00CB1EFA" w:rsidRPr="00D03AD2" w:rsidRDefault="00CB1EFA" w:rsidP="00C2116C">
            <w:pPr>
              <w:pStyle w:val="3Bodytext"/>
              <w:keepNext/>
              <w:numPr>
                <w:ilvl w:val="0"/>
                <w:numId w:val="0"/>
              </w:numPr>
              <w:spacing w:after="0"/>
              <w:jc w:val="left"/>
              <w:rPr>
                <w:rFonts w:ascii="Arial Narrow" w:hAnsi="Arial Narrow"/>
                <w:sz w:val="20"/>
                <w:szCs w:val="20"/>
              </w:rPr>
            </w:pPr>
            <w:r w:rsidRPr="00D03AD2">
              <w:rPr>
                <w:rFonts w:ascii="Arial Narrow" w:hAnsi="Arial Narrow"/>
                <w:sz w:val="20"/>
                <w:szCs w:val="20"/>
              </w:rPr>
              <w:t>N/A</w:t>
            </w:r>
          </w:p>
        </w:tc>
      </w:tr>
    </w:tbl>
    <w:p w:rsidR="00CB1EFA" w:rsidRPr="00D03AD2" w:rsidRDefault="00CB1EFA" w:rsidP="00CB1EFA">
      <w:pPr>
        <w:pStyle w:val="3Bodytext"/>
        <w:keepNext/>
        <w:numPr>
          <w:ilvl w:val="0"/>
          <w:numId w:val="0"/>
        </w:numPr>
        <w:spacing w:after="0"/>
        <w:rPr>
          <w:rFonts w:ascii="Arial Narrow" w:hAnsi="Arial Narrow"/>
          <w:sz w:val="18"/>
          <w:szCs w:val="18"/>
        </w:rPr>
      </w:pPr>
      <w:r w:rsidRPr="00D03AD2">
        <w:rPr>
          <w:rFonts w:ascii="Arial Narrow" w:hAnsi="Arial Narrow"/>
          <w:sz w:val="18"/>
          <w:szCs w:val="18"/>
        </w:rPr>
        <w:t xml:space="preserve">Source: </w:t>
      </w:r>
      <w:proofErr w:type="spellStart"/>
      <w:r w:rsidRPr="00D03AD2">
        <w:rPr>
          <w:rFonts w:ascii="Arial Narrow" w:hAnsi="Arial Narrow"/>
          <w:sz w:val="18"/>
          <w:szCs w:val="18"/>
        </w:rPr>
        <w:t>Neocate</w:t>
      </w:r>
      <w:proofErr w:type="spellEnd"/>
      <w:r w:rsidRPr="00D03AD2">
        <w:rPr>
          <w:rFonts w:ascii="Arial Narrow" w:hAnsi="Arial Narrow"/>
          <w:sz w:val="18"/>
          <w:szCs w:val="18"/>
        </w:rPr>
        <w:t xml:space="preserve"> submission, IF and FOF</w:t>
      </w:r>
      <w:r w:rsidR="00F52D5E">
        <w:rPr>
          <w:rFonts w:ascii="Arial Narrow" w:hAnsi="Arial Narrow"/>
          <w:sz w:val="18"/>
          <w:szCs w:val="18"/>
        </w:rPr>
        <w:t>: infant and follow-on formulae</w:t>
      </w:r>
    </w:p>
    <w:p w:rsidR="00CB1EFA" w:rsidRDefault="00CB1EFA" w:rsidP="00210371"/>
    <w:p w:rsidR="00CB1EFA" w:rsidRPr="00D03AD2" w:rsidRDefault="00CB1EFA" w:rsidP="00CB1EFA">
      <w:pPr>
        <w:pStyle w:val="3Bodytext"/>
        <w:keepNext/>
        <w:numPr>
          <w:ilvl w:val="0"/>
          <w:numId w:val="0"/>
        </w:numPr>
        <w:spacing w:after="0"/>
        <w:rPr>
          <w:rFonts w:ascii="Arial Narrow" w:hAnsi="Arial Narrow"/>
          <w:b/>
          <w:sz w:val="20"/>
          <w:szCs w:val="20"/>
        </w:rPr>
      </w:pPr>
      <w:r w:rsidRPr="00D03AD2">
        <w:rPr>
          <w:rFonts w:ascii="Arial Narrow" w:hAnsi="Arial Narrow"/>
          <w:b/>
          <w:sz w:val="20"/>
          <w:szCs w:val="20"/>
        </w:rPr>
        <w:t xml:space="preserve">Table 2: Comparison of the energy, macronutrients &amp; osmolality in current and new Neocate formulations </w:t>
      </w:r>
    </w:p>
    <w:tbl>
      <w:tblPr>
        <w:tblStyle w:val="TableGrid"/>
        <w:tblW w:w="5000" w:type="pct"/>
        <w:tblLook w:val="04A0" w:firstRow="1" w:lastRow="0" w:firstColumn="1" w:lastColumn="0" w:noHBand="0" w:noVBand="1"/>
        <w:tblCaption w:val="Table 2: Comparison of the energy, macronutrients &amp; osmolality in current and new Neocate formulations"/>
      </w:tblPr>
      <w:tblGrid>
        <w:gridCol w:w="2547"/>
        <w:gridCol w:w="1417"/>
        <w:gridCol w:w="1277"/>
        <w:gridCol w:w="1132"/>
        <w:gridCol w:w="1282"/>
        <w:gridCol w:w="1361"/>
      </w:tblGrid>
      <w:tr w:rsidR="00140DC3" w:rsidRPr="00D03AD2" w:rsidTr="00DC54A7">
        <w:trPr>
          <w:tblHeader/>
        </w:trPr>
        <w:tc>
          <w:tcPr>
            <w:tcW w:w="1412" w:type="pct"/>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p>
        </w:tc>
        <w:tc>
          <w:tcPr>
            <w:tcW w:w="1494" w:type="pct"/>
            <w:gridSpan w:val="2"/>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Neocate® LCP</w:t>
            </w:r>
          </w:p>
        </w:tc>
        <w:tc>
          <w:tcPr>
            <w:tcW w:w="1339" w:type="pct"/>
            <w:gridSpan w:val="2"/>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Neocate Syneo</w:t>
            </w:r>
          </w:p>
        </w:tc>
        <w:tc>
          <w:tcPr>
            <w:tcW w:w="755" w:type="pct"/>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Neocate® Syneo™</w:t>
            </w:r>
          </w:p>
        </w:tc>
      </w:tr>
      <w:tr w:rsidR="00140DC3" w:rsidRPr="00D03AD2" w:rsidTr="00F22F69">
        <w:tc>
          <w:tcPr>
            <w:tcW w:w="1412" w:type="pct"/>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Nutrient</w:t>
            </w:r>
          </w:p>
        </w:tc>
        <w:tc>
          <w:tcPr>
            <w:tcW w:w="786" w:type="pct"/>
            <w:shd w:val="clear" w:color="auto" w:fill="auto"/>
          </w:tcPr>
          <w:p w:rsidR="00140DC3" w:rsidRPr="00D03AD2" w:rsidRDefault="00F52D5E" w:rsidP="00140DC3">
            <w:pPr>
              <w:pStyle w:val="3Bodytext"/>
              <w:keepNext/>
              <w:numPr>
                <w:ilvl w:val="0"/>
                <w:numId w:val="0"/>
              </w:numPr>
              <w:rPr>
                <w:rFonts w:ascii="Arial Narrow" w:hAnsi="Arial Narrow"/>
                <w:b/>
                <w:sz w:val="20"/>
                <w:szCs w:val="20"/>
              </w:rPr>
            </w:pPr>
            <w:r>
              <w:rPr>
                <w:rFonts w:ascii="Arial Narrow" w:hAnsi="Arial Narrow"/>
                <w:b/>
                <w:sz w:val="20"/>
                <w:szCs w:val="20"/>
              </w:rPr>
              <w:t xml:space="preserve">Current </w:t>
            </w:r>
            <w:proofErr w:type="spellStart"/>
            <w:r w:rsidR="00140DC3" w:rsidRPr="00D03AD2">
              <w:rPr>
                <w:rFonts w:ascii="Arial Narrow" w:hAnsi="Arial Narrow"/>
                <w:b/>
                <w:sz w:val="20"/>
                <w:szCs w:val="20"/>
              </w:rPr>
              <w:t>Neocate</w:t>
            </w:r>
            <w:proofErr w:type="spellEnd"/>
            <w:r w:rsidR="00140DC3" w:rsidRPr="00D03AD2">
              <w:rPr>
                <w:rFonts w:ascii="Arial Narrow" w:hAnsi="Arial Narrow"/>
                <w:b/>
                <w:sz w:val="20"/>
                <w:szCs w:val="20"/>
              </w:rPr>
              <w:t>® LCP</w:t>
            </w:r>
          </w:p>
        </w:tc>
        <w:tc>
          <w:tcPr>
            <w:tcW w:w="708" w:type="pct"/>
            <w:shd w:val="clear" w:color="auto" w:fill="auto"/>
          </w:tcPr>
          <w:p w:rsidR="00140DC3" w:rsidRPr="00D03AD2" w:rsidRDefault="009F2FAC"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New</w:t>
            </w:r>
            <w:r w:rsidR="00F52D5E">
              <w:rPr>
                <w:rFonts w:ascii="Arial Narrow" w:hAnsi="Arial Narrow"/>
                <w:b/>
                <w:sz w:val="20"/>
                <w:szCs w:val="20"/>
              </w:rPr>
              <w:t xml:space="preserve"> </w:t>
            </w:r>
            <w:proofErr w:type="spellStart"/>
            <w:r w:rsidR="00140DC3" w:rsidRPr="00D03AD2">
              <w:rPr>
                <w:rFonts w:ascii="Arial Narrow" w:hAnsi="Arial Narrow"/>
                <w:b/>
                <w:sz w:val="20"/>
                <w:szCs w:val="20"/>
              </w:rPr>
              <w:t>Neocate</w:t>
            </w:r>
            <w:proofErr w:type="spellEnd"/>
            <w:r w:rsidR="00140DC3" w:rsidRPr="00D03AD2">
              <w:rPr>
                <w:rFonts w:ascii="Arial Narrow" w:hAnsi="Arial Narrow"/>
                <w:b/>
                <w:sz w:val="20"/>
                <w:szCs w:val="20"/>
              </w:rPr>
              <w:t>® LCP</w:t>
            </w:r>
          </w:p>
        </w:tc>
        <w:tc>
          <w:tcPr>
            <w:tcW w:w="628" w:type="pct"/>
            <w:shd w:val="clear" w:color="auto" w:fill="auto"/>
          </w:tcPr>
          <w:p w:rsidR="00140DC3" w:rsidRPr="00D03AD2" w:rsidRDefault="00F52D5E" w:rsidP="00140DC3">
            <w:pPr>
              <w:pStyle w:val="3Bodytext"/>
              <w:keepNext/>
              <w:numPr>
                <w:ilvl w:val="0"/>
                <w:numId w:val="0"/>
              </w:numPr>
              <w:rPr>
                <w:rFonts w:ascii="Arial Narrow" w:hAnsi="Arial Narrow"/>
                <w:b/>
                <w:sz w:val="20"/>
                <w:szCs w:val="20"/>
              </w:rPr>
            </w:pPr>
            <w:r>
              <w:rPr>
                <w:rFonts w:ascii="Arial Narrow" w:hAnsi="Arial Narrow"/>
                <w:b/>
                <w:sz w:val="20"/>
                <w:szCs w:val="20"/>
              </w:rPr>
              <w:t xml:space="preserve">Current </w:t>
            </w:r>
            <w:proofErr w:type="spellStart"/>
            <w:r w:rsidR="00140DC3" w:rsidRPr="00D03AD2">
              <w:rPr>
                <w:rFonts w:ascii="Arial Narrow" w:hAnsi="Arial Narrow"/>
                <w:b/>
                <w:sz w:val="20"/>
                <w:szCs w:val="20"/>
              </w:rPr>
              <w:t>Neocate</w:t>
            </w:r>
            <w:proofErr w:type="spellEnd"/>
            <w:r w:rsidR="00140DC3" w:rsidRPr="00D03AD2">
              <w:rPr>
                <w:rFonts w:ascii="Arial Narrow" w:hAnsi="Arial Narrow"/>
                <w:b/>
                <w:sz w:val="20"/>
                <w:szCs w:val="20"/>
              </w:rPr>
              <w:t xml:space="preserve">® </w:t>
            </w:r>
            <w:proofErr w:type="spellStart"/>
            <w:r w:rsidR="00140DC3" w:rsidRPr="00D03AD2">
              <w:rPr>
                <w:rFonts w:ascii="Arial Narrow" w:hAnsi="Arial Narrow"/>
                <w:b/>
                <w:sz w:val="20"/>
                <w:szCs w:val="20"/>
              </w:rPr>
              <w:t>Syneo</w:t>
            </w:r>
            <w:proofErr w:type="spellEnd"/>
            <w:r w:rsidR="00140DC3" w:rsidRPr="00D03AD2">
              <w:rPr>
                <w:rFonts w:ascii="Arial Narrow" w:hAnsi="Arial Narrow"/>
                <w:b/>
                <w:sz w:val="20"/>
                <w:szCs w:val="20"/>
              </w:rPr>
              <w:t xml:space="preserve">™ </w:t>
            </w:r>
          </w:p>
        </w:tc>
        <w:tc>
          <w:tcPr>
            <w:tcW w:w="710" w:type="pct"/>
            <w:shd w:val="clear" w:color="auto" w:fill="auto"/>
          </w:tcPr>
          <w:p w:rsidR="00140DC3" w:rsidRPr="00D03AD2" w:rsidRDefault="009F2FAC" w:rsidP="009F2FAC">
            <w:pPr>
              <w:pStyle w:val="3Bodytext"/>
              <w:keepNext/>
              <w:numPr>
                <w:ilvl w:val="0"/>
                <w:numId w:val="0"/>
              </w:numPr>
              <w:rPr>
                <w:rFonts w:ascii="Arial Narrow" w:hAnsi="Arial Narrow"/>
                <w:b/>
                <w:sz w:val="20"/>
                <w:szCs w:val="20"/>
              </w:rPr>
            </w:pPr>
            <w:r w:rsidRPr="00D03AD2">
              <w:rPr>
                <w:rFonts w:ascii="Arial Narrow" w:hAnsi="Arial Narrow"/>
                <w:b/>
                <w:sz w:val="20"/>
                <w:szCs w:val="20"/>
              </w:rPr>
              <w:t>New</w:t>
            </w:r>
            <w:r w:rsidR="00140DC3" w:rsidRPr="00D03AD2">
              <w:rPr>
                <w:rFonts w:ascii="Arial Narrow" w:hAnsi="Arial Narrow"/>
                <w:b/>
                <w:sz w:val="20"/>
                <w:szCs w:val="20"/>
              </w:rPr>
              <w:t xml:space="preserve"> Neocate® Syneo™ </w:t>
            </w:r>
          </w:p>
        </w:tc>
        <w:tc>
          <w:tcPr>
            <w:tcW w:w="755" w:type="pct"/>
            <w:shd w:val="clear" w:color="auto" w:fill="auto"/>
          </w:tcPr>
          <w:p w:rsidR="00140DC3" w:rsidRPr="00D03AD2" w:rsidRDefault="00140DC3" w:rsidP="00140DC3">
            <w:pPr>
              <w:pStyle w:val="3Bodytext"/>
              <w:keepNext/>
              <w:numPr>
                <w:ilvl w:val="0"/>
                <w:numId w:val="0"/>
              </w:numPr>
              <w:rPr>
                <w:rFonts w:ascii="Arial Narrow" w:hAnsi="Arial Narrow"/>
                <w:b/>
                <w:sz w:val="20"/>
                <w:szCs w:val="20"/>
              </w:rPr>
            </w:pPr>
            <w:r w:rsidRPr="00D03AD2">
              <w:rPr>
                <w:rFonts w:ascii="Arial Narrow" w:hAnsi="Arial Narrow"/>
                <w:b/>
                <w:sz w:val="20"/>
                <w:szCs w:val="20"/>
              </w:rPr>
              <w:t>IF/FOF Commission Delegated Regulation (EU) 2016/127 [2]</w:t>
            </w:r>
          </w:p>
        </w:tc>
        <w:bookmarkStart w:id="0" w:name="_GoBack"/>
        <w:bookmarkEnd w:id="0"/>
      </w:tr>
      <w:tr w:rsidR="00CB1EFA" w:rsidRPr="00D03AD2" w:rsidTr="00F22F69">
        <w:tc>
          <w:tcPr>
            <w:tcW w:w="1412"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Energy</w:t>
            </w:r>
          </w:p>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(kcal/100mL)</w:t>
            </w:r>
          </w:p>
        </w:tc>
        <w:tc>
          <w:tcPr>
            <w:tcW w:w="786"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67</w:t>
            </w:r>
          </w:p>
        </w:tc>
        <w:tc>
          <w:tcPr>
            <w:tcW w:w="70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67</w:t>
            </w:r>
          </w:p>
        </w:tc>
        <w:tc>
          <w:tcPr>
            <w:tcW w:w="62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68.2</w:t>
            </w:r>
          </w:p>
        </w:tc>
        <w:tc>
          <w:tcPr>
            <w:tcW w:w="710"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68</w:t>
            </w:r>
          </w:p>
        </w:tc>
        <w:tc>
          <w:tcPr>
            <w:tcW w:w="755"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60-70</w:t>
            </w:r>
          </w:p>
        </w:tc>
      </w:tr>
      <w:tr w:rsidR="00CB1EFA" w:rsidRPr="00D03AD2" w:rsidTr="00F22F69">
        <w:tc>
          <w:tcPr>
            <w:tcW w:w="1412"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Protein (g)</w:t>
            </w:r>
          </w:p>
        </w:tc>
        <w:tc>
          <w:tcPr>
            <w:tcW w:w="786"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2.7</w:t>
            </w:r>
          </w:p>
        </w:tc>
        <w:tc>
          <w:tcPr>
            <w:tcW w:w="70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2.7</w:t>
            </w:r>
          </w:p>
        </w:tc>
        <w:tc>
          <w:tcPr>
            <w:tcW w:w="62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2.8</w:t>
            </w:r>
          </w:p>
        </w:tc>
        <w:tc>
          <w:tcPr>
            <w:tcW w:w="710"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2.8</w:t>
            </w:r>
          </w:p>
        </w:tc>
        <w:tc>
          <w:tcPr>
            <w:tcW w:w="755"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1.86-2.8*</w:t>
            </w:r>
          </w:p>
        </w:tc>
      </w:tr>
      <w:tr w:rsidR="00CB1EFA" w:rsidRPr="00D03AD2" w:rsidTr="00F22F69">
        <w:tc>
          <w:tcPr>
            <w:tcW w:w="1412"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Fat (g)</w:t>
            </w:r>
          </w:p>
        </w:tc>
        <w:tc>
          <w:tcPr>
            <w:tcW w:w="786"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5.1</w:t>
            </w:r>
          </w:p>
        </w:tc>
        <w:tc>
          <w:tcPr>
            <w:tcW w:w="70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5.2</w:t>
            </w:r>
          </w:p>
        </w:tc>
        <w:tc>
          <w:tcPr>
            <w:tcW w:w="62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5.0</w:t>
            </w:r>
          </w:p>
        </w:tc>
        <w:tc>
          <w:tcPr>
            <w:tcW w:w="710"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5.0</w:t>
            </w:r>
          </w:p>
        </w:tc>
        <w:tc>
          <w:tcPr>
            <w:tcW w:w="755"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4.4-6.0</w:t>
            </w:r>
          </w:p>
        </w:tc>
      </w:tr>
      <w:tr w:rsidR="00CB1EFA" w:rsidRPr="00D03AD2" w:rsidTr="00F22F69">
        <w:tc>
          <w:tcPr>
            <w:tcW w:w="1412"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Carbohydrate (g)</w:t>
            </w:r>
          </w:p>
        </w:tc>
        <w:tc>
          <w:tcPr>
            <w:tcW w:w="786"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10.9</w:t>
            </w:r>
          </w:p>
        </w:tc>
        <w:tc>
          <w:tcPr>
            <w:tcW w:w="70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10.7</w:t>
            </w:r>
          </w:p>
        </w:tc>
        <w:tc>
          <w:tcPr>
            <w:tcW w:w="62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10.6</w:t>
            </w:r>
          </w:p>
        </w:tc>
        <w:tc>
          <w:tcPr>
            <w:tcW w:w="710"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10.6</w:t>
            </w:r>
          </w:p>
        </w:tc>
        <w:tc>
          <w:tcPr>
            <w:tcW w:w="755"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9-14</w:t>
            </w:r>
          </w:p>
        </w:tc>
      </w:tr>
      <w:tr w:rsidR="00CB1EFA" w:rsidRPr="00D03AD2" w:rsidTr="00F22F69">
        <w:tc>
          <w:tcPr>
            <w:tcW w:w="1412"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Osmolality (mosmol/kg H</w:t>
            </w:r>
            <w:r w:rsidRPr="00D03AD2">
              <w:rPr>
                <w:rFonts w:ascii="Arial Narrow" w:hAnsi="Arial Narrow"/>
                <w:sz w:val="20"/>
                <w:szCs w:val="20"/>
                <w:vertAlign w:val="subscript"/>
              </w:rPr>
              <w:t>2</w:t>
            </w:r>
            <w:r w:rsidRPr="00D03AD2">
              <w:rPr>
                <w:rFonts w:ascii="Arial Narrow" w:hAnsi="Arial Narrow"/>
                <w:sz w:val="20"/>
                <w:szCs w:val="20"/>
              </w:rPr>
              <w:t>O)</w:t>
            </w:r>
          </w:p>
        </w:tc>
        <w:tc>
          <w:tcPr>
            <w:tcW w:w="786"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340</w:t>
            </w:r>
          </w:p>
        </w:tc>
        <w:tc>
          <w:tcPr>
            <w:tcW w:w="70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340</w:t>
            </w:r>
          </w:p>
        </w:tc>
        <w:tc>
          <w:tcPr>
            <w:tcW w:w="628"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360</w:t>
            </w:r>
          </w:p>
        </w:tc>
        <w:tc>
          <w:tcPr>
            <w:tcW w:w="710" w:type="pct"/>
          </w:tcPr>
          <w:p w:rsidR="00CB1EFA" w:rsidRPr="00D03AD2" w:rsidRDefault="00CB1EFA" w:rsidP="00C2116C">
            <w:pPr>
              <w:pStyle w:val="3Bodytext"/>
              <w:keepNext/>
              <w:numPr>
                <w:ilvl w:val="0"/>
                <w:numId w:val="0"/>
              </w:numPr>
              <w:rPr>
                <w:rFonts w:ascii="Arial Narrow" w:hAnsi="Arial Narrow"/>
                <w:sz w:val="20"/>
                <w:szCs w:val="20"/>
              </w:rPr>
            </w:pPr>
            <w:r w:rsidRPr="00D03AD2">
              <w:rPr>
                <w:rFonts w:ascii="Arial Narrow" w:hAnsi="Arial Narrow"/>
                <w:sz w:val="20"/>
                <w:szCs w:val="20"/>
              </w:rPr>
              <w:t>360</w:t>
            </w:r>
          </w:p>
        </w:tc>
        <w:tc>
          <w:tcPr>
            <w:tcW w:w="755" w:type="pct"/>
          </w:tcPr>
          <w:p w:rsidR="00CB1EFA" w:rsidRPr="00D03AD2" w:rsidRDefault="00CB1EFA" w:rsidP="00C2116C">
            <w:pPr>
              <w:pStyle w:val="3Bodytext"/>
              <w:keepNext/>
              <w:numPr>
                <w:ilvl w:val="0"/>
                <w:numId w:val="0"/>
              </w:numPr>
              <w:ind w:left="720" w:hanging="720"/>
              <w:rPr>
                <w:rFonts w:ascii="Arial Narrow" w:hAnsi="Arial Narrow"/>
                <w:sz w:val="20"/>
                <w:szCs w:val="20"/>
              </w:rPr>
            </w:pPr>
            <w:r w:rsidRPr="00D03AD2">
              <w:rPr>
                <w:rFonts w:ascii="Arial Narrow" w:hAnsi="Arial Narrow"/>
                <w:sz w:val="20"/>
                <w:szCs w:val="20"/>
              </w:rPr>
              <w:t>N/A</w:t>
            </w:r>
          </w:p>
        </w:tc>
      </w:tr>
    </w:tbl>
    <w:p w:rsidR="00CB1EFA" w:rsidRPr="00D03AD2" w:rsidRDefault="00CB1EFA" w:rsidP="00CB1EFA">
      <w:pPr>
        <w:pStyle w:val="3Bodytext"/>
        <w:keepNext/>
        <w:numPr>
          <w:ilvl w:val="0"/>
          <w:numId w:val="0"/>
        </w:numPr>
        <w:spacing w:after="0"/>
        <w:rPr>
          <w:rFonts w:ascii="Arial Narrow" w:hAnsi="Arial Narrow"/>
          <w:sz w:val="18"/>
          <w:szCs w:val="18"/>
        </w:rPr>
      </w:pPr>
      <w:r w:rsidRPr="00D03AD2">
        <w:rPr>
          <w:rFonts w:ascii="Arial Narrow" w:hAnsi="Arial Narrow"/>
          <w:sz w:val="18"/>
          <w:szCs w:val="18"/>
        </w:rPr>
        <w:t xml:space="preserve">Source </w:t>
      </w:r>
      <w:proofErr w:type="spellStart"/>
      <w:r w:rsidRPr="00D03AD2">
        <w:rPr>
          <w:rFonts w:ascii="Arial Narrow" w:hAnsi="Arial Narrow"/>
          <w:sz w:val="18"/>
          <w:szCs w:val="18"/>
        </w:rPr>
        <w:t>Neocate</w:t>
      </w:r>
      <w:proofErr w:type="spellEnd"/>
      <w:r w:rsidRPr="00D03AD2">
        <w:rPr>
          <w:rFonts w:ascii="Arial Narrow" w:hAnsi="Arial Narrow"/>
          <w:sz w:val="18"/>
          <w:szCs w:val="18"/>
        </w:rPr>
        <w:t xml:space="preserve"> submission, *IF/FOF Commission Delegated Regulation (EU) 2016/127</w:t>
      </w:r>
    </w:p>
    <w:p w:rsidR="00CB1EFA" w:rsidRDefault="00CB1EFA" w:rsidP="00CB1EFA">
      <w:pPr>
        <w:pStyle w:val="3Bodytext"/>
        <w:keepNext/>
        <w:numPr>
          <w:ilvl w:val="0"/>
          <w:numId w:val="0"/>
        </w:numPr>
        <w:spacing w:after="0"/>
        <w:rPr>
          <w:rFonts w:ascii="Arial Narrow" w:hAnsi="Arial Narrow"/>
          <w:sz w:val="18"/>
          <w:szCs w:val="18"/>
        </w:rPr>
      </w:pPr>
      <w:r w:rsidRPr="00D03AD2">
        <w:rPr>
          <w:rFonts w:ascii="Arial Narrow" w:hAnsi="Arial Narrow"/>
          <w:sz w:val="18"/>
          <w:szCs w:val="18"/>
        </w:rPr>
        <w:t>* Infant formula manufactured from protein hydrolysates, except in the case of soya protein hydrolysates where limits are 2.25-2.8g/100kcal</w:t>
      </w:r>
    </w:p>
    <w:p w:rsidR="00C963F8" w:rsidRPr="008306F3" w:rsidRDefault="00C963F8" w:rsidP="00C963F8">
      <w:pPr>
        <w:pStyle w:val="Heading2"/>
      </w:pPr>
      <w:r w:rsidRPr="003C2FB5">
        <w:t>Estimated PBS usage &amp; financial implications</w:t>
      </w:r>
    </w:p>
    <w:p w:rsidR="00CB1EFA" w:rsidRPr="006C4192" w:rsidRDefault="00C963F8" w:rsidP="006C4192">
      <w:pPr>
        <w:pStyle w:val="3Bodytext"/>
        <w:numPr>
          <w:ilvl w:val="1"/>
          <w:numId w:val="5"/>
        </w:numPr>
        <w:rPr>
          <w:i/>
        </w:rPr>
      </w:pPr>
      <w:r w:rsidRPr="0097482E">
        <w:t xml:space="preserve">The submission did not request a price change for the </w:t>
      </w:r>
      <w:r>
        <w:t>amended</w:t>
      </w:r>
      <w:r w:rsidRPr="0097482E">
        <w:t xml:space="preserve"> listing</w:t>
      </w:r>
      <w:r>
        <w:t>.</w:t>
      </w:r>
    </w:p>
    <w:p w:rsidR="00277507" w:rsidRPr="0086175F" w:rsidRDefault="00277507" w:rsidP="00677638">
      <w:pPr>
        <w:pStyle w:val="2Sections"/>
        <w:rPr>
          <w:rFonts w:eastAsiaTheme="majorEastAsia"/>
        </w:rPr>
      </w:pPr>
      <w:r w:rsidRPr="0086175F">
        <w:rPr>
          <w:rFonts w:eastAsiaTheme="majorEastAsia"/>
        </w:rPr>
        <w:t>NPWP Consideration (and sponsor’s further clarification)</w:t>
      </w:r>
    </w:p>
    <w:p w:rsidR="00CB1EFA" w:rsidRPr="00D03AD2" w:rsidRDefault="00CB1EFA" w:rsidP="00CB1EFA">
      <w:pPr>
        <w:pStyle w:val="3Bodytext"/>
        <w:numPr>
          <w:ilvl w:val="1"/>
          <w:numId w:val="5"/>
        </w:numPr>
        <w:rPr>
          <w:szCs w:val="24"/>
        </w:rPr>
      </w:pPr>
      <w:r w:rsidRPr="00D03AD2">
        <w:t xml:space="preserve">The Nutritional Products Working Party (NPWP) supported retaining the listing of the new formulations of </w:t>
      </w:r>
      <w:r w:rsidR="006C4FDC" w:rsidRPr="00D03AD2">
        <w:t>Neocate® LCP and Neocate® Syneo™</w:t>
      </w:r>
      <w:r w:rsidRPr="00D03AD2">
        <w:t xml:space="preserve"> for eligible patients with cow’s milk allergy, multiple food intolerance and other medical conditions where an </w:t>
      </w:r>
      <w:r w:rsidRPr="00D03AD2">
        <w:lastRenderedPageBreak/>
        <w:t xml:space="preserve">amino acid-based formula is recommended. </w:t>
      </w:r>
      <w:r w:rsidRPr="00D03AD2">
        <w:rPr>
          <w:szCs w:val="24"/>
        </w:rPr>
        <w:t>The NPWP had no concerns that the changes to formulation would pose a risk to the health and safety of patients.</w:t>
      </w:r>
    </w:p>
    <w:p w:rsidR="00CB1EFA" w:rsidRPr="00D03AD2" w:rsidRDefault="00CB1EFA" w:rsidP="00CB1EFA">
      <w:pPr>
        <w:pStyle w:val="3Bodytext"/>
        <w:numPr>
          <w:ilvl w:val="1"/>
          <w:numId w:val="5"/>
        </w:numPr>
        <w:rPr>
          <w:szCs w:val="24"/>
        </w:rPr>
      </w:pPr>
      <w:r w:rsidRPr="00D03AD2">
        <w:rPr>
          <w:szCs w:val="24"/>
        </w:rPr>
        <w:t xml:space="preserve">The NPWP noted the recommended daily quantities on the proposed labels for </w:t>
      </w:r>
      <w:r w:rsidR="008B58E9" w:rsidRPr="00D03AD2">
        <w:rPr>
          <w:szCs w:val="24"/>
        </w:rPr>
        <w:t>2-week-old</w:t>
      </w:r>
      <w:r w:rsidRPr="00D03AD2">
        <w:rPr>
          <w:szCs w:val="24"/>
        </w:rPr>
        <w:t xml:space="preserve"> infants equated to approximately 120 kcal/kg body weight per day, which was higher than the WHO recommended 100 kcal/kg/day and requested the Sponsor consider reviewing its proposed dosage recommendations for this population.</w:t>
      </w:r>
      <w:r w:rsidR="00346A05">
        <w:rPr>
          <w:szCs w:val="24"/>
        </w:rPr>
        <w:t xml:space="preserve"> The Pre-PBAC Response stated the dosage recommendations were based on those set by international standards, however noted there was some regional variation in recommended energy intakes for different age groups.</w:t>
      </w:r>
    </w:p>
    <w:p w:rsidR="0044578D" w:rsidRPr="0086175F" w:rsidRDefault="0044578D" w:rsidP="0044578D">
      <w:pPr>
        <w:pStyle w:val="3Bodytext"/>
        <w:numPr>
          <w:ilvl w:val="0"/>
          <w:numId w:val="0"/>
        </w:numPr>
        <w:ind w:left="720"/>
        <w:rPr>
          <w:i/>
        </w:rPr>
      </w:pPr>
      <w:r w:rsidRPr="00D03AD2">
        <w:rPr>
          <w:i/>
        </w:rPr>
        <w:t>For more detail on PBAC’s view, see section 7 PBAC outcome.</w:t>
      </w:r>
    </w:p>
    <w:p w:rsidR="006A31BB" w:rsidRPr="0086175F" w:rsidRDefault="006A31BB" w:rsidP="00677638">
      <w:pPr>
        <w:pStyle w:val="2Sections"/>
      </w:pPr>
      <w:r w:rsidRPr="0086175F">
        <w:t>PBAC Outcome</w:t>
      </w:r>
    </w:p>
    <w:p w:rsidR="006A31BB" w:rsidRPr="00D03AD2" w:rsidRDefault="006A31BB" w:rsidP="00677638">
      <w:pPr>
        <w:pStyle w:val="3Bodytext"/>
        <w:rPr>
          <w:snapToGrid w:val="0"/>
        </w:rPr>
      </w:pPr>
      <w:r w:rsidRPr="00D03AD2">
        <w:rPr>
          <w:snapToGrid w:val="0"/>
        </w:rPr>
        <w:t>The PBAC recommended</w:t>
      </w:r>
      <w:r w:rsidR="00C963F8">
        <w:rPr>
          <w:snapToGrid w:val="0"/>
        </w:rPr>
        <w:t xml:space="preserve"> continuing</w:t>
      </w:r>
      <w:r w:rsidRPr="00D03AD2">
        <w:rPr>
          <w:snapToGrid w:val="0"/>
        </w:rPr>
        <w:t xml:space="preserve"> the </w:t>
      </w:r>
      <w:r w:rsidR="00281163" w:rsidRPr="00D03AD2">
        <w:rPr>
          <w:snapToGrid w:val="0"/>
        </w:rPr>
        <w:t>Re</w:t>
      </w:r>
      <w:r w:rsidR="00281163" w:rsidRPr="00D03AD2">
        <w:t xml:space="preserve">stricted Benefit listing of </w:t>
      </w:r>
      <w:r w:rsidR="00CB1EFA" w:rsidRPr="00D03AD2">
        <w:t>amino acid formulas Neocate® LCP and Neocate® Syneo™</w:t>
      </w:r>
      <w:r w:rsidR="008E27A0" w:rsidRPr="00D03AD2">
        <w:t xml:space="preserve">, </w:t>
      </w:r>
      <w:r w:rsidR="00AE20CA" w:rsidRPr="00D03AD2">
        <w:t>for eligible patients with cow’s milk allergy, multiple food intolerance and other medical conditions where an amino acid-based formula</w:t>
      </w:r>
      <w:r w:rsidR="00983C89" w:rsidRPr="00D03AD2">
        <w:t xml:space="preserve"> is recommended</w:t>
      </w:r>
      <w:r w:rsidR="000B2723">
        <w:rPr>
          <w:snapToGrid w:val="0"/>
        </w:rPr>
        <w:t xml:space="preserve">, </w:t>
      </w:r>
      <w:r w:rsidR="000B2723">
        <w:rPr>
          <w:rFonts w:cs="Arial"/>
          <w:bCs/>
          <w:snapToGrid w:val="0"/>
          <w:lang w:val="en-GB"/>
        </w:rPr>
        <w:t>following its reformulation due to changes in European compositional standards.</w:t>
      </w:r>
    </w:p>
    <w:p w:rsidR="00281163" w:rsidRPr="00D03AD2" w:rsidRDefault="00281163" w:rsidP="00677638">
      <w:pPr>
        <w:pStyle w:val="3Bodytext"/>
        <w:rPr>
          <w:snapToGrid w:val="0"/>
        </w:rPr>
      </w:pPr>
      <w:r w:rsidRPr="00D03AD2">
        <w:rPr>
          <w:rFonts w:cstheme="minorHAnsi"/>
        </w:rPr>
        <w:t>The PBAC noted the</w:t>
      </w:r>
      <w:r w:rsidR="008E27A0" w:rsidRPr="00D03AD2">
        <w:rPr>
          <w:szCs w:val="24"/>
        </w:rPr>
        <w:t xml:space="preserve"> NPWP </w:t>
      </w:r>
      <w:r w:rsidR="00C963F8">
        <w:rPr>
          <w:szCs w:val="24"/>
        </w:rPr>
        <w:t xml:space="preserve">supported the proposed </w:t>
      </w:r>
      <w:r w:rsidR="00983C89" w:rsidRPr="00D03AD2">
        <w:rPr>
          <w:szCs w:val="24"/>
        </w:rPr>
        <w:t xml:space="preserve">listing of </w:t>
      </w:r>
      <w:r w:rsidR="00983C89" w:rsidRPr="00D03AD2">
        <w:t>Neocate® LCP and Neocate® Syneo™</w:t>
      </w:r>
      <w:r w:rsidR="000B2723">
        <w:rPr>
          <w:szCs w:val="24"/>
        </w:rPr>
        <w:t xml:space="preserve"> on the PBS, and noted the Pre-PBAC Response statement that dose recommendations were based on international standards.</w:t>
      </w:r>
    </w:p>
    <w:p w:rsidR="001411F3" w:rsidRPr="00525B39" w:rsidRDefault="001411F3" w:rsidP="001411F3">
      <w:pPr>
        <w:pStyle w:val="3Bodytext"/>
        <w:rPr>
          <w:snapToGrid w:val="0"/>
          <w:lang w:val="en-GB"/>
        </w:rPr>
      </w:pPr>
      <w:r>
        <w:rPr>
          <w:snapToGrid w:val="0"/>
          <w:lang w:val="en-GB"/>
        </w:rPr>
        <w:t xml:space="preserve">The PBAC advised that its previous advice for </w:t>
      </w:r>
      <w:r w:rsidRPr="00362752">
        <w:t>amino acid formula with vitamins and minerals without phenylalanine</w:t>
      </w:r>
      <w:r>
        <w:rPr>
          <w:snapToGrid w:val="0"/>
          <w:lang w:val="en-GB"/>
        </w:rPr>
        <w:t xml:space="preserve"> regarding Nurse Practitioner Prescribing, the Early Supply Rule and interchangeability advice under Section 101 (3BA) of the </w:t>
      </w:r>
      <w:r>
        <w:rPr>
          <w:i/>
          <w:snapToGrid w:val="0"/>
          <w:lang w:val="en-GB"/>
        </w:rPr>
        <w:t xml:space="preserve">National Health Act </w:t>
      </w:r>
      <w:r w:rsidRPr="006F5ACB">
        <w:rPr>
          <w:i/>
          <w:snapToGrid w:val="0"/>
          <w:lang w:val="en-GB"/>
        </w:rPr>
        <w:t>1953</w:t>
      </w:r>
      <w:r>
        <w:rPr>
          <w:snapToGrid w:val="0"/>
          <w:lang w:val="en-GB"/>
        </w:rPr>
        <w:t xml:space="preserve"> remained appropriate.</w:t>
      </w:r>
    </w:p>
    <w:p w:rsidR="004D5D40" w:rsidRPr="00362752" w:rsidRDefault="004D5D40" w:rsidP="004D5D40">
      <w:pPr>
        <w:pStyle w:val="3Bodytext"/>
        <w:rPr>
          <w:snapToGrid w:val="0"/>
        </w:rPr>
      </w:pPr>
      <w:r w:rsidRPr="00362752">
        <w:rPr>
          <w:snapToGrid w:val="0"/>
        </w:rPr>
        <w:t xml:space="preserve">The PBAC noted that this submission is not eligible </w:t>
      </w:r>
      <w:r w:rsidRPr="00362752">
        <w:t>for an Independent Review because it received a positive recommendation.</w:t>
      </w:r>
    </w:p>
    <w:p w:rsidR="006A31BB" w:rsidRPr="002B3B08" w:rsidRDefault="006A31BB" w:rsidP="002B3B08">
      <w:pPr>
        <w:rPr>
          <w:rFonts w:asciiTheme="minorHAnsi" w:hAnsiTheme="minorHAnsi" w:cstheme="minorHAnsi"/>
          <w:b/>
        </w:rPr>
      </w:pPr>
      <w:r w:rsidRPr="002B3B08">
        <w:rPr>
          <w:rFonts w:asciiTheme="minorHAnsi" w:hAnsiTheme="minorHAnsi" w:cstheme="minorHAnsi"/>
          <w:b/>
        </w:rPr>
        <w:t>Outcome:</w:t>
      </w:r>
    </w:p>
    <w:p w:rsidR="00816A9D" w:rsidRDefault="006A31BB" w:rsidP="006A31BB">
      <w:pPr>
        <w:jc w:val="both"/>
        <w:rPr>
          <w:rFonts w:asciiTheme="minorHAnsi" w:hAnsiTheme="minorHAnsi" w:cs="Arial"/>
          <w:bCs/>
          <w:snapToGrid w:val="0"/>
        </w:rPr>
      </w:pPr>
      <w:r w:rsidRPr="004975B2">
        <w:rPr>
          <w:rStyle w:val="normal1Char"/>
          <w:lang w:val="en-AU"/>
        </w:rPr>
        <w:t>Recommended</w:t>
      </w:r>
      <w:r w:rsidRPr="004975B2">
        <w:rPr>
          <w:rFonts w:asciiTheme="minorHAnsi" w:hAnsiTheme="minorHAnsi" w:cs="Arial"/>
          <w:bCs/>
          <w:snapToGrid w:val="0"/>
        </w:rPr>
        <w:t xml:space="preserve"> </w:t>
      </w:r>
    </w:p>
    <w:p w:rsidR="00A07815" w:rsidRDefault="00A07815" w:rsidP="006A31BB">
      <w:pPr>
        <w:jc w:val="both"/>
        <w:rPr>
          <w:rFonts w:asciiTheme="minorHAnsi" w:hAnsiTheme="minorHAnsi" w:cs="Arial"/>
          <w:bCs/>
          <w:snapToGrid w:val="0"/>
        </w:rPr>
      </w:pPr>
    </w:p>
    <w:p w:rsidR="00A07815" w:rsidRDefault="00A07815" w:rsidP="00A07815">
      <w:pPr>
        <w:pStyle w:val="2Sections"/>
        <w:numPr>
          <w:ilvl w:val="0"/>
          <w:numId w:val="5"/>
        </w:numPr>
        <w:rPr>
          <w:color w:val="1F497D"/>
        </w:rPr>
      </w:pPr>
      <w:r w:rsidRPr="00C07617">
        <w:t>Context for Decision</w:t>
      </w:r>
    </w:p>
    <w:p w:rsidR="00A07815" w:rsidRPr="007129F2" w:rsidRDefault="00A07815" w:rsidP="00282EC1">
      <w:pPr>
        <w:ind w:left="709"/>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07815" w:rsidRPr="00C07617" w:rsidRDefault="00A07815" w:rsidP="00A07815">
      <w:pPr>
        <w:pStyle w:val="2Sections"/>
        <w:numPr>
          <w:ilvl w:val="0"/>
          <w:numId w:val="5"/>
        </w:numPr>
        <w:rPr>
          <w:b w:val="0"/>
        </w:rPr>
      </w:pPr>
      <w:r>
        <w:lastRenderedPageBreak/>
        <w:t>Sponsor’s Comment</w:t>
      </w:r>
    </w:p>
    <w:p w:rsidR="00A07815" w:rsidRPr="00BC4D44" w:rsidRDefault="00A07815" w:rsidP="00BC4D44">
      <w:pPr>
        <w:spacing w:after="120"/>
        <w:ind w:left="709"/>
        <w:jc w:val="both"/>
        <w:rPr>
          <w:rFonts w:asciiTheme="minorHAnsi" w:hAnsiTheme="minorHAnsi" w:cs="Arial"/>
          <w:bCs/>
        </w:rPr>
      </w:pPr>
      <w:r w:rsidRPr="00C07617">
        <w:rPr>
          <w:rFonts w:asciiTheme="minorHAnsi" w:hAnsiTheme="minorHAnsi" w:cs="Arial"/>
          <w:bCs/>
        </w:rPr>
        <w:t>The sponsor had no comment.</w:t>
      </w:r>
    </w:p>
    <w:sectPr w:rsidR="00A07815" w:rsidRPr="00BC4D4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6E" w:rsidRDefault="00566B6E">
      <w:r>
        <w:separator/>
      </w:r>
      <w:r w:rsidR="00DC54A7">
        <w:tab/>
      </w:r>
    </w:p>
    <w:p w:rsidR="00566B6E" w:rsidRDefault="00566B6E" w:rsidP="005A18C0"/>
  </w:endnote>
  <w:endnote w:type="continuationSeparator" w:id="0">
    <w:p w:rsidR="00566B6E" w:rsidRDefault="00566B6E">
      <w:r>
        <w:continuationSeparator/>
      </w:r>
    </w:p>
    <w:p w:rsidR="00566B6E" w:rsidRDefault="00566B6E"/>
    <w:p w:rsidR="00566B6E" w:rsidRDefault="00566B6E"/>
    <w:p w:rsidR="00566B6E" w:rsidRDefault="00566B6E" w:rsidP="005A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p w:rsidR="004059F0" w:rsidRDefault="004059F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9F0" w:rsidRDefault="004059F0">
    <w:pPr>
      <w:pStyle w:val="Footer"/>
    </w:pPr>
  </w:p>
  <w:p w:rsidR="004059F0" w:rsidRDefault="004059F0"/>
  <w:p w:rsidR="004059F0" w:rsidRDefault="004059F0"/>
  <w:p w:rsidR="004059F0" w:rsidRDefault="004059F0" w:rsidP="005A18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0" w:rsidRDefault="004059F0">
    <w:pPr>
      <w:pStyle w:val="Footer"/>
      <w:jc w:val="center"/>
    </w:pPr>
  </w:p>
  <w:p w:rsidR="004059F0" w:rsidRDefault="00F52D5E">
    <w:pPr>
      <w:pStyle w:val="Footer"/>
      <w:jc w:val="center"/>
    </w:pPr>
    <w:sdt>
      <w:sdtPr>
        <w:id w:val="-1498258220"/>
        <w:docPartObj>
          <w:docPartGallery w:val="Page Numbers (Bottom of Page)"/>
          <w:docPartUnique/>
        </w:docPartObj>
      </w:sdtPr>
      <w:sdtEndPr>
        <w:rPr>
          <w:noProof/>
        </w:rPr>
      </w:sdtEndPr>
      <w:sdtContent>
        <w:r w:rsidR="004059F0" w:rsidRPr="0044578D">
          <w:rPr>
            <w:rFonts w:asciiTheme="minorHAnsi" w:hAnsiTheme="minorHAnsi" w:cstheme="minorHAnsi"/>
            <w:b/>
          </w:rPr>
          <w:fldChar w:fldCharType="begin"/>
        </w:r>
        <w:r w:rsidR="004059F0" w:rsidRPr="0044578D">
          <w:rPr>
            <w:rFonts w:asciiTheme="minorHAnsi" w:hAnsiTheme="minorHAnsi" w:cstheme="minorHAnsi"/>
            <w:b/>
          </w:rPr>
          <w:instrText xml:space="preserve"> PAGE   \* MERGEFORMAT </w:instrText>
        </w:r>
        <w:r w:rsidR="004059F0" w:rsidRPr="0044578D">
          <w:rPr>
            <w:rFonts w:asciiTheme="minorHAnsi" w:hAnsiTheme="minorHAnsi" w:cstheme="minorHAnsi"/>
            <w:b/>
          </w:rPr>
          <w:fldChar w:fldCharType="separate"/>
        </w:r>
        <w:r>
          <w:rPr>
            <w:rFonts w:asciiTheme="minorHAnsi" w:hAnsiTheme="minorHAnsi" w:cstheme="minorHAnsi"/>
            <w:b/>
            <w:noProof/>
          </w:rPr>
          <w:t>5</w:t>
        </w:r>
        <w:r w:rsidR="004059F0" w:rsidRPr="0044578D">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rsidTr="005A3173">
      <w:trPr>
        <w:trHeight w:val="151"/>
      </w:trPr>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59F0" w:rsidRPr="005A3173" w:rsidRDefault="004059F0" w:rsidP="005A3173">
          <w:pPr>
            <w:pStyle w:val="Header"/>
            <w:spacing w:line="276" w:lineRule="auto"/>
            <w:rPr>
              <w:rFonts w:ascii="Calibri" w:eastAsia="MS Gothic" w:hAnsi="Calibri"/>
              <w:b/>
              <w:bCs/>
              <w:color w:val="4F81BD"/>
            </w:rPr>
          </w:pPr>
        </w:p>
      </w:tc>
    </w:tr>
    <w:tr w:rsidR="004059F0" w:rsidTr="005A3173">
      <w:trPr>
        <w:trHeight w:val="150"/>
      </w:trPr>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59F0" w:rsidRPr="005A3173" w:rsidRDefault="004059F0" w:rsidP="005A3173">
          <w:pPr>
            <w:pStyle w:val="Header"/>
            <w:spacing w:line="276" w:lineRule="auto"/>
            <w:rPr>
              <w:rFonts w:ascii="Calibri" w:eastAsia="MS Gothic" w:hAnsi="Calibri"/>
              <w:b/>
              <w:bCs/>
              <w:color w:val="4F81BD"/>
            </w:rPr>
          </w:pPr>
        </w:p>
      </w:tc>
    </w:tr>
  </w:tbl>
  <w:p w:rsidR="004059F0" w:rsidRPr="007C0F57" w:rsidRDefault="004059F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059F0" w:rsidRPr="007C0F57" w:rsidRDefault="004059F0" w:rsidP="007C0F57">
    <w:pPr>
      <w:pStyle w:val="Footer"/>
      <w:jc w:val="center"/>
      <w:rPr>
        <w:b/>
        <w:i/>
        <w:sz w:val="20"/>
        <w:szCs w:val="20"/>
      </w:rPr>
    </w:pPr>
    <w:r w:rsidRPr="007C0F57">
      <w:rPr>
        <w:b/>
        <w:i/>
        <w:sz w:val="20"/>
        <w:szCs w:val="20"/>
      </w:rPr>
      <w:t>Commercial-in-Confidence</w:t>
    </w:r>
  </w:p>
  <w:p w:rsidR="004059F0" w:rsidRDefault="004059F0"/>
  <w:p w:rsidR="004059F0" w:rsidRDefault="004059F0"/>
  <w:p w:rsidR="004059F0" w:rsidRDefault="004059F0" w:rsidP="005A18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6E" w:rsidRDefault="00566B6E">
      <w:r>
        <w:separator/>
      </w:r>
    </w:p>
    <w:p w:rsidR="00566B6E" w:rsidRDefault="00566B6E"/>
    <w:p w:rsidR="00566B6E" w:rsidRDefault="00566B6E"/>
    <w:p w:rsidR="00566B6E" w:rsidRDefault="00566B6E" w:rsidP="005A18C0"/>
  </w:footnote>
  <w:footnote w:type="continuationSeparator" w:id="0">
    <w:p w:rsidR="00566B6E" w:rsidRDefault="00566B6E">
      <w:r>
        <w:continuationSeparator/>
      </w:r>
    </w:p>
    <w:p w:rsidR="00566B6E" w:rsidRDefault="00566B6E"/>
    <w:p w:rsidR="00566B6E" w:rsidRDefault="00566B6E"/>
    <w:p w:rsidR="00566B6E" w:rsidRDefault="00566B6E" w:rsidP="005A18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059F0" w:rsidRPr="008E0D90" w:rsidTr="00A06225">
      <w:trPr>
        <w:trHeight w:val="151"/>
      </w:trPr>
      <w:tc>
        <w:tcPr>
          <w:tcW w:w="2389" w:type="pct"/>
          <w:tcBorders>
            <w:top w:val="nil"/>
            <w:left w:val="nil"/>
            <w:bottom w:val="single" w:sz="4" w:space="0" w:color="4F81BD"/>
            <w:right w:val="nil"/>
          </w:tcBorders>
        </w:tcPr>
        <w:p w:rsidR="004059F0" w:rsidRPr="00A06225" w:rsidRDefault="004059F0">
          <w:pPr>
            <w:pStyle w:val="Header"/>
            <w:spacing w:line="276" w:lineRule="auto"/>
            <w:rPr>
              <w:rFonts w:ascii="Cambria" w:eastAsia="MS Gothic" w:hAnsi="Cambria"/>
              <w:b/>
              <w:bCs/>
              <w:color w:val="4F81BD"/>
            </w:rPr>
          </w:pPr>
        </w:p>
      </w:tc>
      <w:tc>
        <w:tcPr>
          <w:tcW w:w="333" w:type="pct"/>
          <w:vMerge w:val="restart"/>
          <w:noWrap/>
          <w:vAlign w:val="center"/>
          <w:hideMark/>
        </w:tcPr>
        <w:p w:rsidR="004059F0" w:rsidRPr="00A06225" w:rsidRDefault="004059F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059F0" w:rsidRPr="00A06225" w:rsidRDefault="004059F0">
          <w:pPr>
            <w:pStyle w:val="Header"/>
            <w:spacing w:line="276" w:lineRule="auto"/>
            <w:rPr>
              <w:rFonts w:ascii="Cambria" w:eastAsia="MS Gothic" w:hAnsi="Cambria"/>
              <w:b/>
              <w:bCs/>
              <w:color w:val="4F81BD"/>
            </w:rPr>
          </w:pPr>
        </w:p>
      </w:tc>
    </w:tr>
    <w:tr w:rsidR="004059F0" w:rsidRPr="008E0D90" w:rsidTr="00A06225">
      <w:trPr>
        <w:trHeight w:val="150"/>
      </w:trPr>
      <w:tc>
        <w:tcPr>
          <w:tcW w:w="2389" w:type="pct"/>
          <w:tcBorders>
            <w:top w:val="single" w:sz="4" w:space="0" w:color="4F81BD"/>
            <w:left w:val="nil"/>
            <w:bottom w:val="nil"/>
            <w:right w:val="nil"/>
          </w:tcBorders>
        </w:tcPr>
        <w:p w:rsidR="004059F0" w:rsidRPr="00A06225" w:rsidRDefault="004059F0">
          <w:pPr>
            <w:pStyle w:val="Header"/>
            <w:spacing w:line="276" w:lineRule="auto"/>
            <w:rPr>
              <w:rFonts w:ascii="Cambria" w:eastAsia="MS Gothic" w:hAnsi="Cambria"/>
              <w:b/>
              <w:bCs/>
              <w:color w:val="4F81BD"/>
            </w:rPr>
          </w:pPr>
        </w:p>
      </w:tc>
      <w:tc>
        <w:tcPr>
          <w:tcW w:w="0" w:type="auto"/>
          <w:vMerge/>
          <w:vAlign w:val="center"/>
          <w:hideMark/>
        </w:tcPr>
        <w:p w:rsidR="004059F0" w:rsidRPr="00A06225" w:rsidRDefault="004059F0">
          <w:pPr>
            <w:rPr>
              <w:rFonts w:ascii="Cambria" w:hAnsi="Cambria"/>
              <w:color w:val="4F81BD"/>
              <w:sz w:val="22"/>
              <w:szCs w:val="22"/>
            </w:rPr>
          </w:pPr>
        </w:p>
      </w:tc>
      <w:tc>
        <w:tcPr>
          <w:tcW w:w="2278" w:type="pct"/>
          <w:tcBorders>
            <w:top w:val="single" w:sz="4" w:space="0" w:color="4F81BD"/>
            <w:left w:val="nil"/>
            <w:bottom w:val="nil"/>
            <w:right w:val="nil"/>
          </w:tcBorders>
        </w:tcPr>
        <w:p w:rsidR="004059F0" w:rsidRPr="00A06225" w:rsidRDefault="004059F0">
          <w:pPr>
            <w:pStyle w:val="Header"/>
            <w:spacing w:line="276" w:lineRule="auto"/>
            <w:rPr>
              <w:rFonts w:ascii="Cambria" w:eastAsia="MS Gothic" w:hAnsi="Cambria"/>
              <w:b/>
              <w:bCs/>
              <w:color w:val="4F81BD"/>
            </w:rPr>
          </w:pPr>
        </w:p>
      </w:tc>
    </w:tr>
  </w:tbl>
  <w:p w:rsidR="004059F0" w:rsidRDefault="004059F0">
    <w:pPr>
      <w:pStyle w:val="Header"/>
    </w:pPr>
  </w:p>
  <w:p w:rsidR="004059F0" w:rsidRDefault="004059F0"/>
  <w:p w:rsidR="004059F0" w:rsidRDefault="004059F0"/>
  <w:p w:rsidR="004059F0" w:rsidRDefault="004059F0" w:rsidP="005A18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0" w:rsidRDefault="00BC4D44" w:rsidP="00BC4D44">
    <w:pPr>
      <w:pStyle w:val="Header"/>
      <w:keepNext/>
      <w:ind w:left="360"/>
      <w:jc w:val="center"/>
      <w:rPr>
        <w:rFonts w:asciiTheme="minorHAnsi" w:hAnsiTheme="minorHAnsi" w:cs="Arial"/>
        <w:i/>
      </w:rPr>
    </w:pPr>
    <w:r>
      <w:rPr>
        <w:rFonts w:asciiTheme="minorHAnsi" w:hAnsiTheme="minorHAnsi" w:cs="Arial"/>
        <w:i/>
      </w:rPr>
      <w:t>Public Summary Document</w:t>
    </w:r>
    <w:r w:rsidR="004059F0">
      <w:rPr>
        <w:rFonts w:asciiTheme="minorHAnsi" w:hAnsiTheme="minorHAnsi" w:cs="Arial"/>
        <w:i/>
      </w:rPr>
      <w:t xml:space="preserve"> </w:t>
    </w:r>
    <w:r w:rsidR="004059F0" w:rsidRPr="0044578D">
      <w:rPr>
        <w:rFonts w:asciiTheme="minorHAnsi" w:hAnsiTheme="minorHAnsi" w:cs="Arial"/>
        <w:i/>
      </w:rPr>
      <w:t xml:space="preserve">– </w:t>
    </w:r>
    <w:r w:rsidR="00B85246">
      <w:rPr>
        <w:rFonts w:asciiTheme="minorHAnsi" w:hAnsiTheme="minorHAnsi" w:cs="Arial"/>
        <w:i/>
      </w:rPr>
      <w:t xml:space="preserve">March </w:t>
    </w:r>
    <w:r w:rsidR="004059F0" w:rsidRPr="0044578D">
      <w:rPr>
        <w:rFonts w:asciiTheme="minorHAnsi" w:hAnsiTheme="minorHAnsi" w:cs="Arial"/>
        <w:i/>
      </w:rPr>
      <w:t>20</w:t>
    </w:r>
    <w:r w:rsidR="00B85246">
      <w:rPr>
        <w:rFonts w:asciiTheme="minorHAnsi" w:hAnsiTheme="minorHAnsi" w:cs="Arial"/>
        <w:i/>
      </w:rPr>
      <w:t>20</w:t>
    </w:r>
    <w:r w:rsidR="004059F0" w:rsidRPr="0044578D">
      <w:rPr>
        <w:rFonts w:asciiTheme="minorHAnsi" w:hAnsiTheme="minorHAnsi" w:cs="Arial"/>
        <w:i/>
      </w:rPr>
      <w:t xml:space="preserve"> PBAC Meeting</w:t>
    </w:r>
  </w:p>
  <w:p w:rsidR="004059F0" w:rsidRDefault="004059F0" w:rsidP="005A18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C5" w:rsidRDefault="0034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E4BCF"/>
    <w:multiLevelType w:val="hybridMultilevel"/>
    <w:tmpl w:val="0A18B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01233"/>
    <w:multiLevelType w:val="hybridMultilevel"/>
    <w:tmpl w:val="9F88B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15:restartNumberingAfterBreak="0">
    <w:nsid w:val="784D033C"/>
    <w:multiLevelType w:val="multilevel"/>
    <w:tmpl w:val="AA46CB8C"/>
    <w:lvl w:ilvl="0">
      <w:start w:val="1"/>
      <w:numFmt w:val="decimal"/>
      <w:pStyle w:val="2Sections"/>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8"/>
  </w:num>
  <w:num w:numId="2">
    <w:abstractNumId w:val="3"/>
  </w:num>
  <w:num w:numId="3">
    <w:abstractNumId w:val="6"/>
  </w:num>
  <w:num w:numId="4">
    <w:abstractNumId w:val="17"/>
  </w:num>
  <w:num w:numId="5">
    <w:abstractNumId w:val="24"/>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4"/>
  </w:num>
  <w:num w:numId="15">
    <w:abstractNumId w:val="24"/>
  </w:num>
  <w:num w:numId="16">
    <w:abstractNumId w:val="24"/>
  </w:num>
  <w:num w:numId="17">
    <w:abstractNumId w:val="21"/>
  </w:num>
  <w:num w:numId="18">
    <w:abstractNumId w:val="19"/>
  </w:num>
  <w:num w:numId="19">
    <w:abstractNumId w:val="25"/>
  </w:num>
  <w:num w:numId="20">
    <w:abstractNumId w:val="22"/>
  </w:num>
  <w:num w:numId="21">
    <w:abstractNumId w:val="12"/>
  </w:num>
  <w:num w:numId="22">
    <w:abstractNumId w:val="2"/>
  </w:num>
  <w:num w:numId="23">
    <w:abstractNumId w:val="20"/>
  </w:num>
  <w:num w:numId="24">
    <w:abstractNumId w:val="5"/>
  </w:num>
  <w:num w:numId="25">
    <w:abstractNumId w:val="10"/>
  </w:num>
  <w:num w:numId="26">
    <w:abstractNumId w:val="9"/>
  </w:num>
  <w:num w:numId="27">
    <w:abstractNumId w:val="18"/>
  </w:num>
  <w:num w:numId="28">
    <w:abstractNumId w:val="16"/>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7AEB"/>
    <w:rsid w:val="000203DD"/>
    <w:rsid w:val="00023F25"/>
    <w:rsid w:val="0002464A"/>
    <w:rsid w:val="0003106B"/>
    <w:rsid w:val="00034905"/>
    <w:rsid w:val="000421A1"/>
    <w:rsid w:val="0004240E"/>
    <w:rsid w:val="00045E26"/>
    <w:rsid w:val="00050976"/>
    <w:rsid w:val="000514B5"/>
    <w:rsid w:val="00055E1F"/>
    <w:rsid w:val="00060E64"/>
    <w:rsid w:val="000618F4"/>
    <w:rsid w:val="000640A5"/>
    <w:rsid w:val="00066755"/>
    <w:rsid w:val="000763D5"/>
    <w:rsid w:val="00077143"/>
    <w:rsid w:val="00082169"/>
    <w:rsid w:val="00085694"/>
    <w:rsid w:val="000969AD"/>
    <w:rsid w:val="000A01E6"/>
    <w:rsid w:val="000A44B2"/>
    <w:rsid w:val="000A570F"/>
    <w:rsid w:val="000A68A5"/>
    <w:rsid w:val="000B2723"/>
    <w:rsid w:val="000B558D"/>
    <w:rsid w:val="000C10D1"/>
    <w:rsid w:val="000C1D07"/>
    <w:rsid w:val="000C6996"/>
    <w:rsid w:val="000C7A9F"/>
    <w:rsid w:val="000D01E8"/>
    <w:rsid w:val="000D23BA"/>
    <w:rsid w:val="000D77AF"/>
    <w:rsid w:val="000E44E4"/>
    <w:rsid w:val="000E681E"/>
    <w:rsid w:val="000F0003"/>
    <w:rsid w:val="000F0F48"/>
    <w:rsid w:val="000F3384"/>
    <w:rsid w:val="000F4E6A"/>
    <w:rsid w:val="000F7354"/>
    <w:rsid w:val="00104227"/>
    <w:rsid w:val="001107BF"/>
    <w:rsid w:val="00115CD3"/>
    <w:rsid w:val="0012417C"/>
    <w:rsid w:val="0012532E"/>
    <w:rsid w:val="00140425"/>
    <w:rsid w:val="00140DC3"/>
    <w:rsid w:val="001411F3"/>
    <w:rsid w:val="00142395"/>
    <w:rsid w:val="00142714"/>
    <w:rsid w:val="001452ED"/>
    <w:rsid w:val="00145877"/>
    <w:rsid w:val="001473F7"/>
    <w:rsid w:val="00151DD4"/>
    <w:rsid w:val="00162D4E"/>
    <w:rsid w:val="00163329"/>
    <w:rsid w:val="00164623"/>
    <w:rsid w:val="00165B64"/>
    <w:rsid w:val="00177937"/>
    <w:rsid w:val="00180713"/>
    <w:rsid w:val="00181FF5"/>
    <w:rsid w:val="001830CE"/>
    <w:rsid w:val="0018643B"/>
    <w:rsid w:val="0019545A"/>
    <w:rsid w:val="00196307"/>
    <w:rsid w:val="001A33EA"/>
    <w:rsid w:val="001B017F"/>
    <w:rsid w:val="001B2BBC"/>
    <w:rsid w:val="001B2DD3"/>
    <w:rsid w:val="001B5129"/>
    <w:rsid w:val="001C0B4C"/>
    <w:rsid w:val="001C0C43"/>
    <w:rsid w:val="001C1195"/>
    <w:rsid w:val="001C3B28"/>
    <w:rsid w:val="001D2106"/>
    <w:rsid w:val="001D215D"/>
    <w:rsid w:val="001D5229"/>
    <w:rsid w:val="001E527D"/>
    <w:rsid w:val="001F0949"/>
    <w:rsid w:val="001F1850"/>
    <w:rsid w:val="001F37B5"/>
    <w:rsid w:val="00202589"/>
    <w:rsid w:val="00202A6F"/>
    <w:rsid w:val="00203FAC"/>
    <w:rsid w:val="00210371"/>
    <w:rsid w:val="00213CFB"/>
    <w:rsid w:val="0021553C"/>
    <w:rsid w:val="0021557B"/>
    <w:rsid w:val="00217B8A"/>
    <w:rsid w:val="00217BE1"/>
    <w:rsid w:val="0022485B"/>
    <w:rsid w:val="0023068B"/>
    <w:rsid w:val="00251879"/>
    <w:rsid w:val="00253499"/>
    <w:rsid w:val="00254C9E"/>
    <w:rsid w:val="002566B9"/>
    <w:rsid w:val="00256E6E"/>
    <w:rsid w:val="002618F4"/>
    <w:rsid w:val="00270865"/>
    <w:rsid w:val="00271BA1"/>
    <w:rsid w:val="00272593"/>
    <w:rsid w:val="002762FA"/>
    <w:rsid w:val="00277505"/>
    <w:rsid w:val="00277507"/>
    <w:rsid w:val="00281163"/>
    <w:rsid w:val="00282EC1"/>
    <w:rsid w:val="0029458F"/>
    <w:rsid w:val="002A104C"/>
    <w:rsid w:val="002A464E"/>
    <w:rsid w:val="002A4960"/>
    <w:rsid w:val="002B1AE6"/>
    <w:rsid w:val="002B2DE8"/>
    <w:rsid w:val="002B30F8"/>
    <w:rsid w:val="002B3B08"/>
    <w:rsid w:val="002B5596"/>
    <w:rsid w:val="002C212F"/>
    <w:rsid w:val="002C5AD5"/>
    <w:rsid w:val="002C79B2"/>
    <w:rsid w:val="002D0E53"/>
    <w:rsid w:val="002D3160"/>
    <w:rsid w:val="002D4543"/>
    <w:rsid w:val="002E3153"/>
    <w:rsid w:val="002E72CA"/>
    <w:rsid w:val="002E7411"/>
    <w:rsid w:val="002F4527"/>
    <w:rsid w:val="002F600D"/>
    <w:rsid w:val="00300AD6"/>
    <w:rsid w:val="003056B1"/>
    <w:rsid w:val="0031634F"/>
    <w:rsid w:val="00317C6C"/>
    <w:rsid w:val="0032329E"/>
    <w:rsid w:val="00326E79"/>
    <w:rsid w:val="003301B1"/>
    <w:rsid w:val="0033263D"/>
    <w:rsid w:val="0033518A"/>
    <w:rsid w:val="003367EF"/>
    <w:rsid w:val="00337407"/>
    <w:rsid w:val="003375B1"/>
    <w:rsid w:val="003405C5"/>
    <w:rsid w:val="00341AE4"/>
    <w:rsid w:val="00346A05"/>
    <w:rsid w:val="003504A9"/>
    <w:rsid w:val="003510CF"/>
    <w:rsid w:val="00375266"/>
    <w:rsid w:val="00384988"/>
    <w:rsid w:val="003872CF"/>
    <w:rsid w:val="0039782C"/>
    <w:rsid w:val="003A5B4A"/>
    <w:rsid w:val="003A6348"/>
    <w:rsid w:val="003B23C5"/>
    <w:rsid w:val="003B2A75"/>
    <w:rsid w:val="003B6124"/>
    <w:rsid w:val="003C037D"/>
    <w:rsid w:val="003C1ECF"/>
    <w:rsid w:val="003C2FB5"/>
    <w:rsid w:val="003D4AC4"/>
    <w:rsid w:val="003D63B7"/>
    <w:rsid w:val="003E0637"/>
    <w:rsid w:val="003E0DA2"/>
    <w:rsid w:val="003E1850"/>
    <w:rsid w:val="003E468B"/>
    <w:rsid w:val="003F3228"/>
    <w:rsid w:val="003F5C8C"/>
    <w:rsid w:val="003F78EE"/>
    <w:rsid w:val="0040303E"/>
    <w:rsid w:val="00403C7E"/>
    <w:rsid w:val="004059F0"/>
    <w:rsid w:val="004252EC"/>
    <w:rsid w:val="00430D39"/>
    <w:rsid w:val="00441B07"/>
    <w:rsid w:val="004441FF"/>
    <w:rsid w:val="0044578D"/>
    <w:rsid w:val="004465BD"/>
    <w:rsid w:val="00462F2E"/>
    <w:rsid w:val="00465A53"/>
    <w:rsid w:val="00466ADA"/>
    <w:rsid w:val="0047494B"/>
    <w:rsid w:val="00475B1C"/>
    <w:rsid w:val="00476245"/>
    <w:rsid w:val="00483035"/>
    <w:rsid w:val="00485940"/>
    <w:rsid w:val="004975B2"/>
    <w:rsid w:val="004A2484"/>
    <w:rsid w:val="004A5A85"/>
    <w:rsid w:val="004A71D1"/>
    <w:rsid w:val="004B5640"/>
    <w:rsid w:val="004B5F3E"/>
    <w:rsid w:val="004C1BD7"/>
    <w:rsid w:val="004C31FE"/>
    <w:rsid w:val="004C691D"/>
    <w:rsid w:val="004C6C07"/>
    <w:rsid w:val="004D0379"/>
    <w:rsid w:val="004D5D40"/>
    <w:rsid w:val="004E1D69"/>
    <w:rsid w:val="004E460A"/>
    <w:rsid w:val="004E692D"/>
    <w:rsid w:val="004E7921"/>
    <w:rsid w:val="004F65BD"/>
    <w:rsid w:val="00501554"/>
    <w:rsid w:val="00504E0C"/>
    <w:rsid w:val="00514CD7"/>
    <w:rsid w:val="00522DB6"/>
    <w:rsid w:val="005312EC"/>
    <w:rsid w:val="005319B2"/>
    <w:rsid w:val="00532402"/>
    <w:rsid w:val="00532422"/>
    <w:rsid w:val="00532C74"/>
    <w:rsid w:val="00534E2E"/>
    <w:rsid w:val="00544552"/>
    <w:rsid w:val="00555893"/>
    <w:rsid w:val="00566B6E"/>
    <w:rsid w:val="005701E9"/>
    <w:rsid w:val="0057429B"/>
    <w:rsid w:val="0057510C"/>
    <w:rsid w:val="00577C4D"/>
    <w:rsid w:val="00581932"/>
    <w:rsid w:val="005842E7"/>
    <w:rsid w:val="005923BE"/>
    <w:rsid w:val="005963BB"/>
    <w:rsid w:val="005A18C0"/>
    <w:rsid w:val="005A1F6C"/>
    <w:rsid w:val="005A3173"/>
    <w:rsid w:val="005A3223"/>
    <w:rsid w:val="005A3DA3"/>
    <w:rsid w:val="005A52C4"/>
    <w:rsid w:val="005A7882"/>
    <w:rsid w:val="005D03AB"/>
    <w:rsid w:val="005D5017"/>
    <w:rsid w:val="005D6CE9"/>
    <w:rsid w:val="005E1333"/>
    <w:rsid w:val="005F14DD"/>
    <w:rsid w:val="005F553C"/>
    <w:rsid w:val="00601A91"/>
    <w:rsid w:val="00602BA3"/>
    <w:rsid w:val="00603AA6"/>
    <w:rsid w:val="00605B63"/>
    <w:rsid w:val="00606EED"/>
    <w:rsid w:val="00607755"/>
    <w:rsid w:val="00611EA4"/>
    <w:rsid w:val="00612E34"/>
    <w:rsid w:val="00614159"/>
    <w:rsid w:val="00617C00"/>
    <w:rsid w:val="00623F32"/>
    <w:rsid w:val="00625F59"/>
    <w:rsid w:val="006263BF"/>
    <w:rsid w:val="0062748A"/>
    <w:rsid w:val="00630A2C"/>
    <w:rsid w:val="006352DE"/>
    <w:rsid w:val="0063682E"/>
    <w:rsid w:val="00642668"/>
    <w:rsid w:val="006436CD"/>
    <w:rsid w:val="00651169"/>
    <w:rsid w:val="00653D69"/>
    <w:rsid w:val="006552E6"/>
    <w:rsid w:val="006670BE"/>
    <w:rsid w:val="00670A76"/>
    <w:rsid w:val="006711AA"/>
    <w:rsid w:val="00672B57"/>
    <w:rsid w:val="00675622"/>
    <w:rsid w:val="0067747D"/>
    <w:rsid w:val="00677638"/>
    <w:rsid w:val="00683D3C"/>
    <w:rsid w:val="0069039D"/>
    <w:rsid w:val="006906DB"/>
    <w:rsid w:val="00691E6C"/>
    <w:rsid w:val="00692968"/>
    <w:rsid w:val="00693EFE"/>
    <w:rsid w:val="0069501D"/>
    <w:rsid w:val="00696129"/>
    <w:rsid w:val="00697CF2"/>
    <w:rsid w:val="006A12A5"/>
    <w:rsid w:val="006A31BB"/>
    <w:rsid w:val="006B0D94"/>
    <w:rsid w:val="006B276A"/>
    <w:rsid w:val="006B485D"/>
    <w:rsid w:val="006B5D8C"/>
    <w:rsid w:val="006C27D3"/>
    <w:rsid w:val="006C4192"/>
    <w:rsid w:val="006C4B7C"/>
    <w:rsid w:val="006C4FDC"/>
    <w:rsid w:val="006C708E"/>
    <w:rsid w:val="006D14E7"/>
    <w:rsid w:val="006D6493"/>
    <w:rsid w:val="006D6EC7"/>
    <w:rsid w:val="006E1BCD"/>
    <w:rsid w:val="006E3804"/>
    <w:rsid w:val="006F5125"/>
    <w:rsid w:val="00701215"/>
    <w:rsid w:val="00702B6F"/>
    <w:rsid w:val="00706A2F"/>
    <w:rsid w:val="0070718E"/>
    <w:rsid w:val="0071340B"/>
    <w:rsid w:val="007150B3"/>
    <w:rsid w:val="007174BB"/>
    <w:rsid w:val="0072025D"/>
    <w:rsid w:val="00732190"/>
    <w:rsid w:val="0073430C"/>
    <w:rsid w:val="007353D3"/>
    <w:rsid w:val="0074775E"/>
    <w:rsid w:val="0074787D"/>
    <w:rsid w:val="0076420C"/>
    <w:rsid w:val="00771BDD"/>
    <w:rsid w:val="00774E2C"/>
    <w:rsid w:val="007753C2"/>
    <w:rsid w:val="007756A6"/>
    <w:rsid w:val="007838B8"/>
    <w:rsid w:val="00784351"/>
    <w:rsid w:val="007963CA"/>
    <w:rsid w:val="007A32BD"/>
    <w:rsid w:val="007C0F57"/>
    <w:rsid w:val="007C40B6"/>
    <w:rsid w:val="007C729F"/>
    <w:rsid w:val="007E1D28"/>
    <w:rsid w:val="007F2641"/>
    <w:rsid w:val="007F7C36"/>
    <w:rsid w:val="00806796"/>
    <w:rsid w:val="00811342"/>
    <w:rsid w:val="008151D6"/>
    <w:rsid w:val="00816A9D"/>
    <w:rsid w:val="0081795A"/>
    <w:rsid w:val="008268BB"/>
    <w:rsid w:val="00826F6D"/>
    <w:rsid w:val="00830546"/>
    <w:rsid w:val="008306F3"/>
    <w:rsid w:val="00830E40"/>
    <w:rsid w:val="00835FC7"/>
    <w:rsid w:val="008429AD"/>
    <w:rsid w:val="0085547C"/>
    <w:rsid w:val="00856DDD"/>
    <w:rsid w:val="0086175F"/>
    <w:rsid w:val="00863E68"/>
    <w:rsid w:val="0087458C"/>
    <w:rsid w:val="00876A13"/>
    <w:rsid w:val="00882085"/>
    <w:rsid w:val="00883188"/>
    <w:rsid w:val="00897D58"/>
    <w:rsid w:val="00897F22"/>
    <w:rsid w:val="008A1956"/>
    <w:rsid w:val="008A4937"/>
    <w:rsid w:val="008A50F1"/>
    <w:rsid w:val="008B26AA"/>
    <w:rsid w:val="008B57B3"/>
    <w:rsid w:val="008B5832"/>
    <w:rsid w:val="008B58E9"/>
    <w:rsid w:val="008B7B44"/>
    <w:rsid w:val="008C0AE6"/>
    <w:rsid w:val="008D1077"/>
    <w:rsid w:val="008D1B5C"/>
    <w:rsid w:val="008D3C82"/>
    <w:rsid w:val="008D447E"/>
    <w:rsid w:val="008D7269"/>
    <w:rsid w:val="008D7A41"/>
    <w:rsid w:val="008E27A0"/>
    <w:rsid w:val="008E2C72"/>
    <w:rsid w:val="008E3680"/>
    <w:rsid w:val="008E5780"/>
    <w:rsid w:val="008E5870"/>
    <w:rsid w:val="008F1434"/>
    <w:rsid w:val="008F4B42"/>
    <w:rsid w:val="008F7355"/>
    <w:rsid w:val="00905967"/>
    <w:rsid w:val="00906354"/>
    <w:rsid w:val="009067B7"/>
    <w:rsid w:val="00910678"/>
    <w:rsid w:val="00910A29"/>
    <w:rsid w:val="00913E17"/>
    <w:rsid w:val="00921456"/>
    <w:rsid w:val="00923321"/>
    <w:rsid w:val="00924FFC"/>
    <w:rsid w:val="009263BD"/>
    <w:rsid w:val="00930937"/>
    <w:rsid w:val="00932635"/>
    <w:rsid w:val="00933E6C"/>
    <w:rsid w:val="00937958"/>
    <w:rsid w:val="0094143D"/>
    <w:rsid w:val="00941602"/>
    <w:rsid w:val="00942160"/>
    <w:rsid w:val="0095146F"/>
    <w:rsid w:val="00953B76"/>
    <w:rsid w:val="009602C5"/>
    <w:rsid w:val="00962223"/>
    <w:rsid w:val="00964D4F"/>
    <w:rsid w:val="00966D0D"/>
    <w:rsid w:val="009677E3"/>
    <w:rsid w:val="00974C21"/>
    <w:rsid w:val="00983C89"/>
    <w:rsid w:val="00992077"/>
    <w:rsid w:val="009A61CA"/>
    <w:rsid w:val="009B0F67"/>
    <w:rsid w:val="009C703C"/>
    <w:rsid w:val="009D3CAA"/>
    <w:rsid w:val="009D4FA2"/>
    <w:rsid w:val="009E3BE2"/>
    <w:rsid w:val="009E40E1"/>
    <w:rsid w:val="009E4D0A"/>
    <w:rsid w:val="009F0EFA"/>
    <w:rsid w:val="009F2FAC"/>
    <w:rsid w:val="009F4E46"/>
    <w:rsid w:val="009F5B65"/>
    <w:rsid w:val="009F5F2E"/>
    <w:rsid w:val="00A06225"/>
    <w:rsid w:val="00A07815"/>
    <w:rsid w:val="00A128E6"/>
    <w:rsid w:val="00A2219F"/>
    <w:rsid w:val="00A34E6C"/>
    <w:rsid w:val="00A37C8D"/>
    <w:rsid w:val="00A5273B"/>
    <w:rsid w:val="00A53A9D"/>
    <w:rsid w:val="00A53B75"/>
    <w:rsid w:val="00A55FEE"/>
    <w:rsid w:val="00A62C1A"/>
    <w:rsid w:val="00A6426D"/>
    <w:rsid w:val="00A665C1"/>
    <w:rsid w:val="00A70622"/>
    <w:rsid w:val="00A70977"/>
    <w:rsid w:val="00A744F9"/>
    <w:rsid w:val="00A75716"/>
    <w:rsid w:val="00A77613"/>
    <w:rsid w:val="00A8390C"/>
    <w:rsid w:val="00A901D1"/>
    <w:rsid w:val="00A928BD"/>
    <w:rsid w:val="00AA12CD"/>
    <w:rsid w:val="00AA20B6"/>
    <w:rsid w:val="00AA4D1C"/>
    <w:rsid w:val="00AC193C"/>
    <w:rsid w:val="00AC4E73"/>
    <w:rsid w:val="00AC5206"/>
    <w:rsid w:val="00AD4322"/>
    <w:rsid w:val="00AE11A5"/>
    <w:rsid w:val="00AE13E2"/>
    <w:rsid w:val="00AE20CA"/>
    <w:rsid w:val="00AE22D3"/>
    <w:rsid w:val="00AF52DF"/>
    <w:rsid w:val="00AF62DF"/>
    <w:rsid w:val="00AF68CC"/>
    <w:rsid w:val="00B1059E"/>
    <w:rsid w:val="00B176C8"/>
    <w:rsid w:val="00B205AA"/>
    <w:rsid w:val="00B22E84"/>
    <w:rsid w:val="00B233AD"/>
    <w:rsid w:val="00B24F31"/>
    <w:rsid w:val="00B25F75"/>
    <w:rsid w:val="00B26B3F"/>
    <w:rsid w:val="00B2778F"/>
    <w:rsid w:val="00B33635"/>
    <w:rsid w:val="00B43E90"/>
    <w:rsid w:val="00B467DC"/>
    <w:rsid w:val="00B56118"/>
    <w:rsid w:val="00B6773F"/>
    <w:rsid w:val="00B73B1A"/>
    <w:rsid w:val="00B801BA"/>
    <w:rsid w:val="00B84D5C"/>
    <w:rsid w:val="00B85246"/>
    <w:rsid w:val="00BB69F5"/>
    <w:rsid w:val="00BB750C"/>
    <w:rsid w:val="00BB7EC3"/>
    <w:rsid w:val="00BC0C42"/>
    <w:rsid w:val="00BC4B9A"/>
    <w:rsid w:val="00BC4D44"/>
    <w:rsid w:val="00BD39AB"/>
    <w:rsid w:val="00BD4D42"/>
    <w:rsid w:val="00BD7612"/>
    <w:rsid w:val="00BD784C"/>
    <w:rsid w:val="00BE49D8"/>
    <w:rsid w:val="00BF4CB6"/>
    <w:rsid w:val="00C00DA7"/>
    <w:rsid w:val="00C1107F"/>
    <w:rsid w:val="00C12768"/>
    <w:rsid w:val="00C13920"/>
    <w:rsid w:val="00C16430"/>
    <w:rsid w:val="00C27B58"/>
    <w:rsid w:val="00C35996"/>
    <w:rsid w:val="00C37728"/>
    <w:rsid w:val="00C41873"/>
    <w:rsid w:val="00C4747E"/>
    <w:rsid w:val="00C53362"/>
    <w:rsid w:val="00C5342C"/>
    <w:rsid w:val="00C60272"/>
    <w:rsid w:val="00C603D4"/>
    <w:rsid w:val="00C61CA0"/>
    <w:rsid w:val="00C6256A"/>
    <w:rsid w:val="00C70D43"/>
    <w:rsid w:val="00C70FC5"/>
    <w:rsid w:val="00C71C3F"/>
    <w:rsid w:val="00C77081"/>
    <w:rsid w:val="00C77891"/>
    <w:rsid w:val="00C91449"/>
    <w:rsid w:val="00C92D10"/>
    <w:rsid w:val="00C963F8"/>
    <w:rsid w:val="00CA658B"/>
    <w:rsid w:val="00CB1193"/>
    <w:rsid w:val="00CB1EFA"/>
    <w:rsid w:val="00CC287B"/>
    <w:rsid w:val="00CC71A3"/>
    <w:rsid w:val="00CD4715"/>
    <w:rsid w:val="00CD6F24"/>
    <w:rsid w:val="00CE10C4"/>
    <w:rsid w:val="00CE1AFB"/>
    <w:rsid w:val="00CE27B5"/>
    <w:rsid w:val="00CE2D50"/>
    <w:rsid w:val="00CE3439"/>
    <w:rsid w:val="00D0321E"/>
    <w:rsid w:val="00D03AD2"/>
    <w:rsid w:val="00D1455A"/>
    <w:rsid w:val="00D26B35"/>
    <w:rsid w:val="00D27AF1"/>
    <w:rsid w:val="00D30E13"/>
    <w:rsid w:val="00D31150"/>
    <w:rsid w:val="00D3138B"/>
    <w:rsid w:val="00D3280C"/>
    <w:rsid w:val="00D3406A"/>
    <w:rsid w:val="00D44424"/>
    <w:rsid w:val="00D4572C"/>
    <w:rsid w:val="00D469B2"/>
    <w:rsid w:val="00D51587"/>
    <w:rsid w:val="00D55F03"/>
    <w:rsid w:val="00D6394E"/>
    <w:rsid w:val="00D71739"/>
    <w:rsid w:val="00D741EB"/>
    <w:rsid w:val="00D77C3E"/>
    <w:rsid w:val="00D820F3"/>
    <w:rsid w:val="00D83605"/>
    <w:rsid w:val="00D84934"/>
    <w:rsid w:val="00D86165"/>
    <w:rsid w:val="00D91271"/>
    <w:rsid w:val="00D919F5"/>
    <w:rsid w:val="00D94F03"/>
    <w:rsid w:val="00DA2CB5"/>
    <w:rsid w:val="00DA4536"/>
    <w:rsid w:val="00DA4BAC"/>
    <w:rsid w:val="00DB0151"/>
    <w:rsid w:val="00DB4FD6"/>
    <w:rsid w:val="00DC023B"/>
    <w:rsid w:val="00DC54A7"/>
    <w:rsid w:val="00DC7EE1"/>
    <w:rsid w:val="00DD7134"/>
    <w:rsid w:val="00DE3119"/>
    <w:rsid w:val="00DE68D6"/>
    <w:rsid w:val="00DE6D27"/>
    <w:rsid w:val="00DF217D"/>
    <w:rsid w:val="00DF26A7"/>
    <w:rsid w:val="00DF42EF"/>
    <w:rsid w:val="00DF7F42"/>
    <w:rsid w:val="00E15627"/>
    <w:rsid w:val="00E164B3"/>
    <w:rsid w:val="00E16910"/>
    <w:rsid w:val="00E25E70"/>
    <w:rsid w:val="00E26DD0"/>
    <w:rsid w:val="00E27234"/>
    <w:rsid w:val="00E27B86"/>
    <w:rsid w:val="00E30CCF"/>
    <w:rsid w:val="00E316E2"/>
    <w:rsid w:val="00E42BDB"/>
    <w:rsid w:val="00E5425F"/>
    <w:rsid w:val="00E54802"/>
    <w:rsid w:val="00E57EEB"/>
    <w:rsid w:val="00E62D94"/>
    <w:rsid w:val="00E65E54"/>
    <w:rsid w:val="00E663E9"/>
    <w:rsid w:val="00E7733E"/>
    <w:rsid w:val="00E80155"/>
    <w:rsid w:val="00E81F28"/>
    <w:rsid w:val="00E848C0"/>
    <w:rsid w:val="00E85CF1"/>
    <w:rsid w:val="00E911AE"/>
    <w:rsid w:val="00E91B96"/>
    <w:rsid w:val="00E941A1"/>
    <w:rsid w:val="00E95CE3"/>
    <w:rsid w:val="00E9615E"/>
    <w:rsid w:val="00EA061B"/>
    <w:rsid w:val="00EA0AB9"/>
    <w:rsid w:val="00EA2825"/>
    <w:rsid w:val="00EA2984"/>
    <w:rsid w:val="00EA5F78"/>
    <w:rsid w:val="00EB0B63"/>
    <w:rsid w:val="00EB1936"/>
    <w:rsid w:val="00EB5088"/>
    <w:rsid w:val="00EC2AAD"/>
    <w:rsid w:val="00EC5FF2"/>
    <w:rsid w:val="00ED1644"/>
    <w:rsid w:val="00ED2593"/>
    <w:rsid w:val="00ED36BA"/>
    <w:rsid w:val="00ED7D9C"/>
    <w:rsid w:val="00EF0069"/>
    <w:rsid w:val="00EF01CE"/>
    <w:rsid w:val="00EF2807"/>
    <w:rsid w:val="00EF44A0"/>
    <w:rsid w:val="00EF4FED"/>
    <w:rsid w:val="00F0172E"/>
    <w:rsid w:val="00F031EC"/>
    <w:rsid w:val="00F050BD"/>
    <w:rsid w:val="00F05657"/>
    <w:rsid w:val="00F22F69"/>
    <w:rsid w:val="00F25578"/>
    <w:rsid w:val="00F258E5"/>
    <w:rsid w:val="00F300BC"/>
    <w:rsid w:val="00F3334E"/>
    <w:rsid w:val="00F35A99"/>
    <w:rsid w:val="00F36CCB"/>
    <w:rsid w:val="00F374E5"/>
    <w:rsid w:val="00F43AF2"/>
    <w:rsid w:val="00F5007E"/>
    <w:rsid w:val="00F50EC4"/>
    <w:rsid w:val="00F52232"/>
    <w:rsid w:val="00F52D5E"/>
    <w:rsid w:val="00F550CF"/>
    <w:rsid w:val="00F56BEC"/>
    <w:rsid w:val="00F57A6D"/>
    <w:rsid w:val="00F638CC"/>
    <w:rsid w:val="00F64CC1"/>
    <w:rsid w:val="00F72317"/>
    <w:rsid w:val="00F755CA"/>
    <w:rsid w:val="00F80475"/>
    <w:rsid w:val="00F8070F"/>
    <w:rsid w:val="00F8247A"/>
    <w:rsid w:val="00F9629A"/>
    <w:rsid w:val="00F97EFC"/>
    <w:rsid w:val="00FA4DD5"/>
    <w:rsid w:val="00FA5883"/>
    <w:rsid w:val="00FA6055"/>
    <w:rsid w:val="00FB322F"/>
    <w:rsid w:val="00FB442F"/>
    <w:rsid w:val="00FC0AE0"/>
    <w:rsid w:val="00FC1929"/>
    <w:rsid w:val="00FC3647"/>
    <w:rsid w:val="00FC5B46"/>
    <w:rsid w:val="00FD6D8E"/>
    <w:rsid w:val="00FD7294"/>
    <w:rsid w:val="00FE0190"/>
    <w:rsid w:val="00FE0AF8"/>
    <w:rsid w:val="00FE0E94"/>
    <w:rsid w:val="00FE6730"/>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67763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72"/>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677638"/>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Subsection2">
    <w:name w:val="Subsection2"/>
    <w:basedOn w:val="Heading2"/>
    <w:link w:val="Subsection2Char"/>
    <w:qFormat/>
    <w:rsid w:val="00677638"/>
    <w:rPr>
      <w:sz w:val="24"/>
    </w:rPr>
  </w:style>
  <w:style w:type="paragraph" w:customStyle="1" w:styleId="subsection3">
    <w:name w:val="subsection3"/>
    <w:basedOn w:val="Subsection2"/>
    <w:link w:val="subsection3Char"/>
    <w:qFormat/>
    <w:rsid w:val="005A18C0"/>
    <w:pPr>
      <w:spacing w:before="120" w:after="0"/>
    </w:pPr>
    <w:rPr>
      <w:i w:val="0"/>
      <w:snapToGrid w:val="0"/>
      <w:lang w:val="en-GB"/>
    </w:rPr>
  </w:style>
  <w:style w:type="character" w:customStyle="1" w:styleId="Subsection2Char">
    <w:name w:val="Subsection2 Char"/>
    <w:basedOn w:val="Heading2Char"/>
    <w:link w:val="Subsection2"/>
    <w:rsid w:val="00677638"/>
    <w:rPr>
      <w:rFonts w:asciiTheme="minorHAnsi" w:eastAsiaTheme="majorEastAsia" w:hAnsiTheme="minorHAnsi" w:cstheme="majorBidi"/>
      <w:b/>
      <w:i/>
      <w:sz w:val="24"/>
      <w:szCs w:val="28"/>
      <w:lang w:eastAsia="en-US"/>
    </w:rPr>
  </w:style>
  <w:style w:type="paragraph" w:customStyle="1" w:styleId="normal1">
    <w:name w:val="normal1"/>
    <w:basedOn w:val="Normal"/>
    <w:link w:val="normal1Char"/>
    <w:qFormat/>
    <w:rsid w:val="005A18C0"/>
    <w:pPr>
      <w:jc w:val="both"/>
    </w:pPr>
    <w:rPr>
      <w:rFonts w:asciiTheme="minorHAnsi" w:hAnsiTheme="minorHAnsi" w:cs="Arial"/>
      <w:bCs/>
      <w:snapToGrid w:val="0"/>
      <w:lang w:val="en-GB"/>
    </w:rPr>
  </w:style>
  <w:style w:type="character" w:customStyle="1" w:styleId="subsection3Char">
    <w:name w:val="subsection3 Char"/>
    <w:basedOn w:val="Subsection2Char"/>
    <w:link w:val="subsection3"/>
    <w:rsid w:val="005A18C0"/>
    <w:rPr>
      <w:rFonts w:asciiTheme="minorHAnsi" w:eastAsiaTheme="majorEastAsia" w:hAnsiTheme="minorHAnsi" w:cstheme="majorBidi"/>
      <w:b/>
      <w:i w:val="0"/>
      <w:snapToGrid w:val="0"/>
      <w:sz w:val="24"/>
      <w:szCs w:val="28"/>
      <w:lang w:val="en-GB" w:eastAsia="en-US"/>
    </w:rPr>
  </w:style>
  <w:style w:type="character" w:customStyle="1" w:styleId="normal1Char">
    <w:name w:val="normal1 Char"/>
    <w:basedOn w:val="DefaultParagraphFont"/>
    <w:link w:val="normal1"/>
    <w:rsid w:val="005A18C0"/>
    <w:rPr>
      <w:rFonts w:asciiTheme="minorHAnsi" w:hAnsiTheme="minorHAnsi" w:cs="Arial"/>
      <w:bCs/>
      <w:snapToGrid w:val="0"/>
      <w:sz w:val="24"/>
      <w:szCs w:val="24"/>
      <w:lang w:val="en-GB"/>
    </w:rPr>
  </w:style>
  <w:style w:type="paragraph" w:styleId="Revision">
    <w:name w:val="Revision"/>
    <w:hidden/>
    <w:uiPriority w:val="71"/>
    <w:semiHidden/>
    <w:rsid w:val="00771B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23037837">
      <w:bodyDiv w:val="1"/>
      <w:marLeft w:val="0"/>
      <w:marRight w:val="0"/>
      <w:marTop w:val="0"/>
      <w:marBottom w:val="0"/>
      <w:divBdr>
        <w:top w:val="none" w:sz="0" w:space="0" w:color="auto"/>
        <w:left w:val="none" w:sz="0" w:space="0" w:color="auto"/>
        <w:bottom w:val="none" w:sz="0" w:space="0" w:color="auto"/>
        <w:right w:val="none" w:sz="0" w:space="0" w:color="auto"/>
      </w:divBdr>
    </w:div>
    <w:div w:id="127305638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494D-5753-4ADB-A0C4-9CFA4F69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2020-06-17T02:03:00Z</dcterms:created>
  <dcterms:modified xsi:type="dcterms:W3CDTF">2020-06-17T03:05:00Z</dcterms:modified>
</cp:coreProperties>
</file>