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BF27A0" w:rsidRDefault="005B2305" w:rsidP="002B388A">
      <w:pPr>
        <w:rPr>
          <w:rFonts w:eastAsia="Calibri"/>
          <w:b/>
          <w:sz w:val="36"/>
          <w:szCs w:val="36"/>
          <w:lang w:eastAsia="en-US"/>
        </w:rPr>
      </w:pPr>
      <w:r>
        <w:rPr>
          <w:rFonts w:eastAsia="Calibri"/>
          <w:b/>
          <w:sz w:val="36"/>
          <w:szCs w:val="36"/>
          <w:lang w:eastAsia="en-US"/>
        </w:rPr>
        <w:t>7.10</w:t>
      </w:r>
      <w:r>
        <w:rPr>
          <w:rFonts w:eastAsia="Calibri"/>
          <w:b/>
          <w:sz w:val="36"/>
          <w:szCs w:val="36"/>
          <w:lang w:eastAsia="en-US"/>
        </w:rPr>
        <w:tab/>
        <w:t>BROLUCIZUMAB</w:t>
      </w:r>
      <w:r w:rsidR="00BF27A0" w:rsidRPr="00BF27A0">
        <w:rPr>
          <w:rFonts w:eastAsia="Calibri"/>
          <w:b/>
          <w:sz w:val="36"/>
          <w:szCs w:val="36"/>
          <w:lang w:eastAsia="en-US"/>
        </w:rPr>
        <w:t>,</w:t>
      </w:r>
    </w:p>
    <w:p w:rsidR="00BF27A0" w:rsidRPr="00BF27A0" w:rsidRDefault="005B2305" w:rsidP="005B2305">
      <w:pPr>
        <w:ind w:left="720" w:firstLineChars="1" w:firstLine="4"/>
        <w:rPr>
          <w:rFonts w:eastAsia="Calibri"/>
          <w:b/>
          <w:sz w:val="36"/>
          <w:szCs w:val="36"/>
          <w:lang w:eastAsia="en-US"/>
        </w:rPr>
      </w:pPr>
      <w:r w:rsidRPr="005B2305">
        <w:rPr>
          <w:rFonts w:eastAsia="Calibri"/>
          <w:b/>
          <w:sz w:val="36"/>
          <w:szCs w:val="36"/>
          <w:lang w:eastAsia="en-US"/>
        </w:rPr>
        <w:t>Solution for intravitreal injection 19.8 mg in 0.165 mL</w:t>
      </w:r>
      <w:r>
        <w:rPr>
          <w:rFonts w:eastAsia="Calibri"/>
          <w:b/>
          <w:sz w:val="36"/>
          <w:szCs w:val="36"/>
          <w:lang w:eastAsia="en-US"/>
        </w:rPr>
        <w:t xml:space="preserve"> </w:t>
      </w:r>
      <w:r w:rsidRPr="005B2305">
        <w:rPr>
          <w:rFonts w:eastAsia="Calibri"/>
          <w:b/>
          <w:sz w:val="36"/>
          <w:szCs w:val="36"/>
          <w:lang w:eastAsia="en-US"/>
        </w:rPr>
        <w:t>pre-filled syringe</w:t>
      </w:r>
      <w:r w:rsidR="00BF27A0" w:rsidRPr="00BF27A0">
        <w:rPr>
          <w:rFonts w:eastAsia="Calibri"/>
          <w:b/>
          <w:sz w:val="36"/>
          <w:szCs w:val="36"/>
          <w:lang w:eastAsia="en-US"/>
        </w:rPr>
        <w:t>,</w:t>
      </w:r>
    </w:p>
    <w:p w:rsidR="00BF27A0" w:rsidRPr="00BF27A0" w:rsidRDefault="00BF27A0" w:rsidP="00BF27A0">
      <w:pPr>
        <w:ind w:firstLineChars="127" w:firstLine="457"/>
        <w:rPr>
          <w:rFonts w:eastAsia="Calibri"/>
          <w:b/>
          <w:sz w:val="36"/>
          <w:szCs w:val="36"/>
          <w:lang w:eastAsia="en-US"/>
        </w:rPr>
      </w:pPr>
      <w:r w:rsidRPr="00BF27A0">
        <w:rPr>
          <w:rFonts w:eastAsia="Calibri"/>
          <w:b/>
          <w:sz w:val="36"/>
          <w:szCs w:val="36"/>
          <w:lang w:eastAsia="en-US"/>
        </w:rPr>
        <w:tab/>
      </w:r>
      <w:proofErr w:type="spellStart"/>
      <w:r w:rsidR="005B2305">
        <w:rPr>
          <w:b/>
          <w:sz w:val="36"/>
          <w:szCs w:val="36"/>
        </w:rPr>
        <w:t>Beovu</w:t>
      </w:r>
      <w:proofErr w:type="spellEnd"/>
      <w:r w:rsidR="005B2305">
        <w:rPr>
          <w:b/>
          <w:sz w:val="36"/>
          <w:szCs w:val="36"/>
        </w:rPr>
        <w:t>®</w:t>
      </w:r>
      <w:r w:rsidRPr="00BF27A0">
        <w:rPr>
          <w:rFonts w:eastAsia="Calibri"/>
          <w:b/>
          <w:sz w:val="36"/>
          <w:szCs w:val="36"/>
          <w:lang w:eastAsia="en-US"/>
        </w:rPr>
        <w:t>,</w:t>
      </w:r>
    </w:p>
    <w:p w:rsidR="006552E6" w:rsidRPr="00E0207E" w:rsidRDefault="00BF27A0" w:rsidP="006A0089">
      <w:pPr>
        <w:ind w:firstLineChars="127" w:firstLine="457"/>
        <w:rPr>
          <w:color w:val="000000" w:themeColor="text1"/>
        </w:rPr>
      </w:pPr>
      <w:r w:rsidRPr="00BF27A0">
        <w:rPr>
          <w:rFonts w:eastAsia="Calibri"/>
          <w:b/>
          <w:sz w:val="36"/>
          <w:szCs w:val="36"/>
          <w:lang w:eastAsia="en-US"/>
        </w:rPr>
        <w:tab/>
      </w:r>
      <w:r w:rsidR="005B2305">
        <w:rPr>
          <w:b/>
          <w:sz w:val="36"/>
          <w:szCs w:val="36"/>
        </w:rPr>
        <w:t>Novartis Australia Pty Ltd</w:t>
      </w:r>
      <w:r w:rsidRPr="00BF27A0">
        <w:rPr>
          <w:rFonts w:eastAsia="Calibri"/>
          <w:b/>
          <w:sz w:val="36"/>
          <w:szCs w:val="36"/>
          <w:lang w:eastAsia="en-US"/>
        </w:rPr>
        <w:t xml:space="preserve"> </w:t>
      </w:r>
      <w:r w:rsidR="006552E6" w:rsidRPr="002B1D51">
        <w:tab/>
      </w:r>
    </w:p>
    <w:p w:rsidR="006A0089" w:rsidRPr="006A0089" w:rsidRDefault="00CE10C4" w:rsidP="004E1E8C">
      <w:pPr>
        <w:pStyle w:val="2Sections"/>
        <w:numPr>
          <w:ilvl w:val="0"/>
          <w:numId w:val="20"/>
        </w:numPr>
      </w:pPr>
      <w:r w:rsidRPr="0033263D">
        <w:t xml:space="preserve">Purpose of </w:t>
      </w:r>
      <w:r w:rsidR="0004240E" w:rsidRPr="0033263D">
        <w:t>Application</w:t>
      </w:r>
      <w:r w:rsidR="00034905">
        <w:t xml:space="preserve"> </w:t>
      </w:r>
    </w:p>
    <w:p w:rsidR="006A0089" w:rsidRDefault="006A0089" w:rsidP="004E1E8C">
      <w:pPr>
        <w:pStyle w:val="3Bodytext"/>
        <w:numPr>
          <w:ilvl w:val="1"/>
          <w:numId w:val="2"/>
        </w:numPr>
        <w:rPr>
          <w:rFonts w:cstheme="minorHAnsi"/>
          <w:szCs w:val="24"/>
        </w:rPr>
      </w:pPr>
      <w:r>
        <w:rPr>
          <w:rFonts w:cstheme="minorHAnsi"/>
          <w:szCs w:val="24"/>
        </w:rPr>
        <w:t>The minor resubmission</w:t>
      </w:r>
      <w:r w:rsidRPr="00090C95">
        <w:rPr>
          <w:rFonts w:cstheme="minorHAnsi"/>
          <w:szCs w:val="24"/>
        </w:rPr>
        <w:t xml:space="preserve"> </w:t>
      </w:r>
      <w:r>
        <w:rPr>
          <w:rFonts w:cstheme="minorHAnsi"/>
          <w:szCs w:val="24"/>
        </w:rPr>
        <w:t xml:space="preserve">requested </w:t>
      </w:r>
      <w:r w:rsidR="00BD4D03">
        <w:rPr>
          <w:rFonts w:cstheme="minorHAnsi"/>
          <w:szCs w:val="24"/>
        </w:rPr>
        <w:t xml:space="preserve">an </w:t>
      </w:r>
      <w:r>
        <w:rPr>
          <w:rFonts w:cstheme="minorHAnsi"/>
          <w:szCs w:val="24"/>
        </w:rPr>
        <w:t xml:space="preserve">Authority </w:t>
      </w:r>
      <w:proofErr w:type="gramStart"/>
      <w:r>
        <w:rPr>
          <w:rFonts w:cstheme="minorHAnsi"/>
          <w:szCs w:val="24"/>
        </w:rPr>
        <w:t>Required</w:t>
      </w:r>
      <w:proofErr w:type="gramEnd"/>
      <w:r>
        <w:rPr>
          <w:rFonts w:cstheme="minorHAnsi"/>
          <w:szCs w:val="24"/>
        </w:rPr>
        <w:t xml:space="preserve"> listing </w:t>
      </w:r>
      <w:r w:rsidRPr="004B3DDB">
        <w:t xml:space="preserve">for </w:t>
      </w:r>
      <w:r>
        <w:t>brolucizumab f</w:t>
      </w:r>
      <w:r w:rsidRPr="004B3DDB">
        <w:t xml:space="preserve">or treatment of </w:t>
      </w:r>
      <w:proofErr w:type="spellStart"/>
      <w:r>
        <w:t>subfoveal</w:t>
      </w:r>
      <w:proofErr w:type="spellEnd"/>
      <w:r>
        <w:t xml:space="preserve"> choroidal neovascularisation (CNV) due to age-related macular degeneration (AMD).</w:t>
      </w:r>
      <w:r w:rsidR="00000A7A">
        <w:t xml:space="preserve"> Listing was requested on the basis of a cost-minimisation analysis versus </w:t>
      </w:r>
      <w:r w:rsidR="00000A7A" w:rsidRPr="00EB3FF6">
        <w:t xml:space="preserve">aflibercept as the main comparator and ranibizumab as </w:t>
      </w:r>
      <w:r w:rsidR="00000A7A">
        <w:t>a secondary comparator, with ranibizumab being the least costly comparator.</w:t>
      </w:r>
    </w:p>
    <w:p w:rsidR="006A0089" w:rsidRPr="006A0089" w:rsidRDefault="006A0089" w:rsidP="00140226">
      <w:pPr>
        <w:pStyle w:val="ListParagraph"/>
        <w:numPr>
          <w:ilvl w:val="1"/>
          <w:numId w:val="2"/>
        </w:numPr>
        <w:jc w:val="both"/>
        <w:rPr>
          <w:rFonts w:cstheme="minorHAnsi"/>
        </w:rPr>
      </w:pPr>
      <w:r w:rsidRPr="00090C95">
        <w:rPr>
          <w:rFonts w:cstheme="minorHAnsi"/>
        </w:rPr>
        <w:t xml:space="preserve">The minor resubmission sought to address the outstanding clinical, economic and financial areas of concern relating to the previous submission of </w:t>
      </w:r>
      <w:r>
        <w:rPr>
          <w:rFonts w:cstheme="minorHAnsi"/>
        </w:rPr>
        <w:t>brolucizumab,</w:t>
      </w:r>
      <w:r w:rsidRPr="00090C95">
        <w:rPr>
          <w:rFonts w:cstheme="minorHAnsi"/>
        </w:rPr>
        <w:t xml:space="preserve"> </w:t>
      </w:r>
      <w:r>
        <w:rPr>
          <w:rFonts w:cstheme="minorHAnsi"/>
        </w:rPr>
        <w:t xml:space="preserve">which </w:t>
      </w:r>
      <w:proofErr w:type="gramStart"/>
      <w:r>
        <w:rPr>
          <w:rFonts w:cstheme="minorHAnsi"/>
        </w:rPr>
        <w:t>was considered</w:t>
      </w:r>
      <w:proofErr w:type="gramEnd"/>
      <w:r>
        <w:rPr>
          <w:rFonts w:cstheme="minorHAnsi"/>
        </w:rPr>
        <w:t xml:space="preserve"> </w:t>
      </w:r>
      <w:r w:rsidRPr="00090C95">
        <w:rPr>
          <w:rFonts w:cstheme="minorHAnsi"/>
        </w:rPr>
        <w:t xml:space="preserve">at the </w:t>
      </w:r>
      <w:r>
        <w:rPr>
          <w:rFonts w:cstheme="minorHAnsi"/>
        </w:rPr>
        <w:t>November</w:t>
      </w:r>
      <w:r w:rsidRPr="00090C95">
        <w:rPr>
          <w:rFonts w:cstheme="minorHAnsi"/>
        </w:rPr>
        <w:t xml:space="preserve"> 2019 PBAC meeting.</w:t>
      </w:r>
    </w:p>
    <w:p w:rsidR="00922323" w:rsidRPr="00922323" w:rsidRDefault="00786037" w:rsidP="004E1E8C">
      <w:pPr>
        <w:pStyle w:val="2Sections"/>
        <w:numPr>
          <w:ilvl w:val="0"/>
          <w:numId w:val="2"/>
        </w:numPr>
      </w:pPr>
      <w:r>
        <w:t>Background</w:t>
      </w:r>
    </w:p>
    <w:p w:rsidR="00922323" w:rsidRPr="0049229C" w:rsidRDefault="00922323" w:rsidP="00DE4F2D">
      <w:pPr>
        <w:pStyle w:val="Heading2"/>
        <w:spacing w:before="240" w:after="120"/>
        <w:rPr>
          <w:rFonts w:asciiTheme="minorHAnsi" w:hAnsiTheme="minorHAnsi" w:cstheme="minorHAnsi"/>
          <w:sz w:val="28"/>
          <w:szCs w:val="28"/>
        </w:rPr>
      </w:pPr>
      <w:r w:rsidRPr="0049229C">
        <w:rPr>
          <w:rFonts w:asciiTheme="minorHAnsi" w:hAnsiTheme="minorHAnsi" w:cstheme="minorHAnsi"/>
          <w:sz w:val="28"/>
          <w:szCs w:val="28"/>
        </w:rPr>
        <w:t>Registration status</w:t>
      </w:r>
    </w:p>
    <w:p w:rsidR="00922323" w:rsidRDefault="0030040A" w:rsidP="004E1E8C">
      <w:pPr>
        <w:pStyle w:val="3Bodytext"/>
        <w:numPr>
          <w:ilvl w:val="1"/>
          <w:numId w:val="2"/>
        </w:numPr>
      </w:pPr>
      <w:r w:rsidRPr="00EB3FF6">
        <w:t>The</w:t>
      </w:r>
      <w:r>
        <w:t xml:space="preserve"> November 2019</w:t>
      </w:r>
      <w:r w:rsidRPr="00EB3FF6">
        <w:t xml:space="preserve"> submission was made under TGA/PBAC Parallel Process</w:t>
      </w:r>
      <w:r>
        <w:t xml:space="preserve"> and was not TGA registered at the time of PBAC consideration</w:t>
      </w:r>
      <w:r w:rsidRPr="00EB3FF6">
        <w:t xml:space="preserve">. </w:t>
      </w:r>
      <w:r>
        <w:rPr>
          <w:rFonts w:cstheme="minorHAnsi"/>
        </w:rPr>
        <w:t xml:space="preserve">The second round Clinical Evaluation Report and TGA Delegate’s Overview were provided prior to the PBAC meeting. The Delegate’s Overview stated </w:t>
      </w:r>
      <w:r w:rsidRPr="006B1316">
        <w:rPr>
          <w:rFonts w:cstheme="minorHAnsi"/>
        </w:rPr>
        <w:t>there is no reason</w:t>
      </w:r>
      <w:r>
        <w:rPr>
          <w:rFonts w:cstheme="minorHAnsi"/>
        </w:rPr>
        <w:t xml:space="preserve"> that the application for brolucizumab should not be approved for the treatment of </w:t>
      </w:r>
      <w:proofErr w:type="spellStart"/>
      <w:r>
        <w:rPr>
          <w:rFonts w:cstheme="minorHAnsi"/>
        </w:rPr>
        <w:t>neovascular</w:t>
      </w:r>
      <w:proofErr w:type="spellEnd"/>
      <w:r>
        <w:rPr>
          <w:rFonts w:cstheme="minorHAnsi"/>
        </w:rPr>
        <w:t xml:space="preserve"> (wet) AMD. However, the Delegate noted the higher rate of ocular </w:t>
      </w:r>
      <w:r w:rsidR="00A02C5C">
        <w:rPr>
          <w:rFonts w:cstheme="minorHAnsi"/>
        </w:rPr>
        <w:t>adverse events (</w:t>
      </w:r>
      <w:r>
        <w:rPr>
          <w:rFonts w:cstheme="minorHAnsi"/>
        </w:rPr>
        <w:t>AEs</w:t>
      </w:r>
      <w:r w:rsidR="00A02C5C">
        <w:rPr>
          <w:rFonts w:cstheme="minorHAnsi"/>
        </w:rPr>
        <w:t>)</w:t>
      </w:r>
      <w:r>
        <w:rPr>
          <w:rFonts w:cstheme="minorHAnsi"/>
        </w:rPr>
        <w:t xml:space="preserve"> associated with brolucizumab and requested</w:t>
      </w:r>
      <w:r w:rsidR="00A61925">
        <w:rPr>
          <w:rFonts w:cstheme="minorHAnsi"/>
        </w:rPr>
        <w:t xml:space="preserve"> Advisory Committee on Medicines</w:t>
      </w:r>
      <w:r>
        <w:rPr>
          <w:rFonts w:cstheme="minorHAnsi"/>
        </w:rPr>
        <w:t xml:space="preserve"> </w:t>
      </w:r>
      <w:r w:rsidR="00A61925">
        <w:rPr>
          <w:rFonts w:cstheme="minorHAnsi"/>
        </w:rPr>
        <w:t>(</w:t>
      </w:r>
      <w:r>
        <w:rPr>
          <w:rFonts w:cstheme="minorHAnsi"/>
        </w:rPr>
        <w:t>ACM</w:t>
      </w:r>
      <w:r w:rsidR="00A61925">
        <w:rPr>
          <w:rFonts w:cstheme="minorHAnsi"/>
        </w:rPr>
        <w:t>)</w:t>
      </w:r>
      <w:r>
        <w:rPr>
          <w:rFonts w:cstheme="minorHAnsi"/>
        </w:rPr>
        <w:t xml:space="preserve"> advice on a number of safety issues.</w:t>
      </w:r>
      <w:r w:rsidR="00922323" w:rsidRPr="003877D5">
        <w:t xml:space="preserve"> </w:t>
      </w:r>
    </w:p>
    <w:p w:rsidR="000972CC" w:rsidRDefault="000972CC" w:rsidP="004E1E8C">
      <w:pPr>
        <w:pStyle w:val="3Bodytext"/>
        <w:numPr>
          <w:ilvl w:val="1"/>
          <w:numId w:val="2"/>
        </w:numPr>
      </w:pPr>
      <w:r>
        <w:t>The resolution from the ACM meeting on 6 Dec</w:t>
      </w:r>
      <w:r w:rsidR="00A02C5C">
        <w:t>ember</w:t>
      </w:r>
      <w:r>
        <w:t xml:space="preserve"> 2019 </w:t>
      </w:r>
      <w:r w:rsidR="00CE7970">
        <w:t>was provided with the minor resubmission</w:t>
      </w:r>
      <w:r>
        <w:t xml:space="preserve">. </w:t>
      </w:r>
      <w:r w:rsidR="00CE7970">
        <w:t xml:space="preserve">The ACM provided advice on the safety issues raised by the Delegate and considered </w:t>
      </w:r>
      <w:r w:rsidR="00C24266">
        <w:t>brolu</w:t>
      </w:r>
      <w:r w:rsidR="00CE7970">
        <w:t xml:space="preserve">cizumab had an overall positive benefit-risk profile.  </w:t>
      </w:r>
      <w:r>
        <w:t>The Sponsor state</w:t>
      </w:r>
      <w:r w:rsidR="00A02C5C">
        <w:t>d</w:t>
      </w:r>
      <w:r>
        <w:t xml:space="preserve"> that the findings of the ACM suppor</w:t>
      </w:r>
      <w:r w:rsidR="00BF6123">
        <w:t>t the claim of non-inferiority.</w:t>
      </w:r>
    </w:p>
    <w:p w:rsidR="000972CC" w:rsidRDefault="000E7AEE" w:rsidP="000E7AEE">
      <w:pPr>
        <w:pStyle w:val="3Bodytext"/>
        <w:numPr>
          <w:ilvl w:val="1"/>
          <w:numId w:val="2"/>
        </w:numPr>
      </w:pPr>
      <w:r>
        <w:t xml:space="preserve">Following receipt of the minor resubmission, </w:t>
      </w:r>
      <w:r w:rsidR="00B24A8C">
        <w:t>b</w:t>
      </w:r>
      <w:r>
        <w:t xml:space="preserve">rolucizumab has been approved by the TGA for </w:t>
      </w:r>
      <w:r w:rsidRPr="000E7AEE">
        <w:t xml:space="preserve">the treatment of </w:t>
      </w:r>
      <w:proofErr w:type="spellStart"/>
      <w:r w:rsidRPr="000E7AEE">
        <w:t>neovascular</w:t>
      </w:r>
      <w:proofErr w:type="spellEnd"/>
      <w:r w:rsidRPr="000E7AEE">
        <w:t xml:space="preserve"> (wet) </w:t>
      </w:r>
      <w:r>
        <w:t xml:space="preserve">AMD, and was listed on the </w:t>
      </w:r>
      <w:r w:rsidR="00757CC8">
        <w:t>Australian Register of Therapeutic Goods (</w:t>
      </w:r>
      <w:r>
        <w:t>ARTG</w:t>
      </w:r>
      <w:r w:rsidR="00757CC8">
        <w:t>)</w:t>
      </w:r>
      <w:r>
        <w:t xml:space="preserve"> on 16 January 2020. </w:t>
      </w:r>
    </w:p>
    <w:p w:rsidR="004E1E8C" w:rsidRPr="00DE4F2D" w:rsidRDefault="00DE4F2D" w:rsidP="00DE4F2D">
      <w:pPr>
        <w:pStyle w:val="Heading2"/>
        <w:spacing w:before="240" w:after="120"/>
        <w:rPr>
          <w:rFonts w:asciiTheme="minorHAnsi" w:hAnsiTheme="minorHAnsi" w:cstheme="minorHAnsi"/>
          <w:sz w:val="28"/>
          <w:szCs w:val="28"/>
        </w:rPr>
      </w:pPr>
      <w:r>
        <w:rPr>
          <w:rFonts w:asciiTheme="minorHAnsi" w:hAnsiTheme="minorHAnsi" w:cstheme="minorHAnsi"/>
          <w:sz w:val="28"/>
          <w:szCs w:val="28"/>
        </w:rPr>
        <w:lastRenderedPageBreak/>
        <w:t>Previous PBAC consideration</w:t>
      </w:r>
    </w:p>
    <w:p w:rsidR="004E1E8C" w:rsidRDefault="004E1E8C" w:rsidP="00376289">
      <w:pPr>
        <w:pStyle w:val="3Bodytext"/>
        <w:keepNext/>
        <w:keepLines/>
        <w:numPr>
          <w:ilvl w:val="1"/>
          <w:numId w:val="2"/>
        </w:numPr>
      </w:pPr>
      <w:r>
        <w:t>Brolucizumab was previously considered by the PBAC for this indication in November 2019. It was not recommended.</w:t>
      </w:r>
      <w:r w:rsidR="007A4908" w:rsidRPr="007A4908">
        <w:t xml:space="preserve"> </w:t>
      </w:r>
    </w:p>
    <w:p w:rsidR="007F5937" w:rsidRPr="006E1D48" w:rsidRDefault="004E1E8C" w:rsidP="007F5937">
      <w:pPr>
        <w:pStyle w:val="3Bodytext"/>
        <w:numPr>
          <w:ilvl w:val="1"/>
          <w:numId w:val="2"/>
        </w:numPr>
      </w:pPr>
      <w:r>
        <w:rPr>
          <w:rFonts w:cstheme="minorHAnsi"/>
          <w:szCs w:val="24"/>
        </w:rPr>
        <w:t xml:space="preserve">Table 1 provides a summary of the key issues identified by the PBAC at the </w:t>
      </w:r>
      <w:r w:rsidR="00CE4AA1">
        <w:rPr>
          <w:rFonts w:cstheme="minorHAnsi"/>
          <w:szCs w:val="24"/>
        </w:rPr>
        <w:t>November</w:t>
      </w:r>
      <w:r>
        <w:rPr>
          <w:rFonts w:cstheme="minorHAnsi"/>
          <w:szCs w:val="24"/>
        </w:rPr>
        <w:t xml:space="preserve"> 2019 meeting and the manner in which the minor resubmission has addressed them.</w:t>
      </w:r>
    </w:p>
    <w:p w:rsidR="004E1E8C" w:rsidRPr="006E1D48" w:rsidRDefault="004E1E8C" w:rsidP="004E1E8C">
      <w:pPr>
        <w:keepNext/>
        <w:keepLines/>
        <w:rPr>
          <w:rFonts w:ascii="Arial Narrow" w:hAnsi="Arial Narrow"/>
          <w:b/>
          <w:sz w:val="20"/>
          <w:szCs w:val="20"/>
        </w:rPr>
      </w:pPr>
      <w:r w:rsidRPr="006E1D48">
        <w:rPr>
          <w:rFonts w:ascii="Arial Narrow" w:hAnsi="Arial Narrow"/>
          <w:b/>
          <w:sz w:val="20"/>
          <w:szCs w:val="20"/>
        </w:rPr>
        <w:t xml:space="preserve">Table 1: Key issues identified by the PBAC in </w:t>
      </w:r>
      <w:r w:rsidR="00CE4AA1">
        <w:rPr>
          <w:rFonts w:ascii="Arial Narrow" w:hAnsi="Arial Narrow"/>
          <w:b/>
          <w:sz w:val="20"/>
          <w:szCs w:val="20"/>
        </w:rPr>
        <w:t>November</w:t>
      </w:r>
      <w:r w:rsidRPr="006E1D48">
        <w:rPr>
          <w:rFonts w:ascii="Arial Narrow" w:hAnsi="Arial Narrow"/>
          <w:b/>
          <w:sz w:val="20"/>
          <w:szCs w:val="20"/>
        </w:rPr>
        <w:t xml:space="preserve"> 2019 and how they were addressed in the minor resubmission</w:t>
      </w:r>
    </w:p>
    <w:tbl>
      <w:tblPr>
        <w:tblStyle w:val="TableGrid"/>
        <w:tblW w:w="0" w:type="auto"/>
        <w:tblLook w:val="04A0" w:firstRow="1" w:lastRow="0" w:firstColumn="1" w:lastColumn="0" w:noHBand="0" w:noVBand="1"/>
        <w:tblCaption w:val="Key issues identified by the PBAC in November 2019 and how they were addressed in the minor resubmission"/>
      </w:tblPr>
      <w:tblGrid>
        <w:gridCol w:w="6374"/>
        <w:gridCol w:w="2642"/>
      </w:tblGrid>
      <w:tr w:rsidR="004E1E8C" w:rsidRPr="006E1D48" w:rsidTr="00E82EC9">
        <w:trPr>
          <w:tblHeader/>
        </w:trPr>
        <w:tc>
          <w:tcPr>
            <w:tcW w:w="6374" w:type="dxa"/>
            <w:tcMar>
              <w:left w:w="28" w:type="dxa"/>
              <w:right w:w="28" w:type="dxa"/>
            </w:tcMar>
          </w:tcPr>
          <w:p w:rsidR="004E1E8C" w:rsidRPr="006E1D48" w:rsidRDefault="004E1E8C" w:rsidP="0000551D">
            <w:pPr>
              <w:keepNext/>
              <w:keepLines/>
              <w:rPr>
                <w:rFonts w:ascii="Arial Narrow" w:hAnsi="Arial Narrow" w:cstheme="minorHAnsi"/>
                <w:b/>
                <w:sz w:val="20"/>
                <w:szCs w:val="20"/>
              </w:rPr>
            </w:pPr>
            <w:r w:rsidRPr="006E1D48">
              <w:rPr>
                <w:rFonts w:ascii="Arial Narrow" w:hAnsi="Arial Narrow" w:cstheme="minorHAnsi"/>
                <w:b/>
                <w:sz w:val="20"/>
                <w:szCs w:val="20"/>
              </w:rPr>
              <w:t xml:space="preserve">Issue identified by PBAC in </w:t>
            </w:r>
            <w:r w:rsidR="00CE4AA1">
              <w:rPr>
                <w:rFonts w:ascii="Arial Narrow" w:hAnsi="Arial Narrow" w:cstheme="minorHAnsi"/>
                <w:b/>
                <w:sz w:val="20"/>
                <w:szCs w:val="20"/>
              </w:rPr>
              <w:t>November</w:t>
            </w:r>
            <w:r w:rsidRPr="006E1D48">
              <w:rPr>
                <w:rFonts w:ascii="Arial Narrow" w:hAnsi="Arial Narrow" w:cstheme="minorHAnsi"/>
                <w:b/>
                <w:sz w:val="20"/>
                <w:szCs w:val="20"/>
              </w:rPr>
              <w:t xml:space="preserve"> 2019</w:t>
            </w:r>
            <w:r w:rsidR="00C33DE7">
              <w:rPr>
                <w:rFonts w:ascii="Arial Narrow" w:hAnsi="Arial Narrow" w:cstheme="minorHAnsi"/>
                <w:b/>
                <w:sz w:val="20"/>
                <w:szCs w:val="20"/>
              </w:rPr>
              <w:t xml:space="preserve"> Public Summary Document</w:t>
            </w:r>
          </w:p>
        </w:tc>
        <w:tc>
          <w:tcPr>
            <w:tcW w:w="2642" w:type="dxa"/>
            <w:tcMar>
              <w:left w:w="28" w:type="dxa"/>
              <w:right w:w="28" w:type="dxa"/>
            </w:tcMar>
          </w:tcPr>
          <w:p w:rsidR="004E1E8C" w:rsidRPr="006E1D48" w:rsidRDefault="004E1E8C" w:rsidP="00CE4AA1">
            <w:pPr>
              <w:keepNext/>
              <w:keepLines/>
              <w:rPr>
                <w:rFonts w:ascii="Arial Narrow" w:hAnsi="Arial Narrow" w:cstheme="minorHAnsi"/>
                <w:b/>
                <w:sz w:val="20"/>
                <w:szCs w:val="20"/>
              </w:rPr>
            </w:pPr>
            <w:r w:rsidRPr="006E1D48">
              <w:rPr>
                <w:rFonts w:ascii="Arial Narrow" w:hAnsi="Arial Narrow" w:cstheme="minorHAnsi"/>
                <w:b/>
                <w:sz w:val="20"/>
                <w:szCs w:val="20"/>
              </w:rPr>
              <w:t xml:space="preserve">How issue was addressed in </w:t>
            </w:r>
            <w:r w:rsidR="00CE4AA1">
              <w:rPr>
                <w:rFonts w:ascii="Arial Narrow" w:hAnsi="Arial Narrow" w:cstheme="minorHAnsi"/>
                <w:b/>
                <w:sz w:val="20"/>
                <w:szCs w:val="20"/>
              </w:rPr>
              <w:t>March 2020</w:t>
            </w:r>
            <w:r w:rsidRPr="006E1D48">
              <w:rPr>
                <w:rFonts w:ascii="Arial Narrow" w:hAnsi="Arial Narrow" w:cstheme="minorHAnsi"/>
                <w:b/>
                <w:sz w:val="20"/>
                <w:szCs w:val="20"/>
              </w:rPr>
              <w:t xml:space="preserve"> resubmission</w:t>
            </w:r>
          </w:p>
        </w:tc>
      </w:tr>
      <w:tr w:rsidR="004E1E8C" w:rsidRPr="006E1D48" w:rsidTr="00E82EC9">
        <w:tc>
          <w:tcPr>
            <w:tcW w:w="6374" w:type="dxa"/>
            <w:tcMar>
              <w:left w:w="28" w:type="dxa"/>
              <w:right w:w="28" w:type="dxa"/>
            </w:tcMar>
          </w:tcPr>
          <w:p w:rsidR="008E588A" w:rsidRDefault="0085248B" w:rsidP="00E82EC9">
            <w:pPr>
              <w:keepNext/>
              <w:keepLines/>
              <w:widowControl w:val="0"/>
              <w:rPr>
                <w:rFonts w:ascii="Arial Narrow" w:hAnsi="Arial Narrow"/>
                <w:bCs/>
                <w:sz w:val="20"/>
                <w:szCs w:val="20"/>
              </w:rPr>
            </w:pPr>
            <w:r>
              <w:rPr>
                <w:rFonts w:ascii="Arial Narrow" w:hAnsi="Arial Narrow"/>
                <w:bCs/>
                <w:sz w:val="20"/>
                <w:szCs w:val="20"/>
              </w:rPr>
              <w:t>[paragraph 7.2</w:t>
            </w:r>
            <w:r w:rsidR="004E1E8C">
              <w:rPr>
                <w:rFonts w:ascii="Arial Narrow" w:hAnsi="Arial Narrow"/>
                <w:bCs/>
                <w:sz w:val="20"/>
                <w:szCs w:val="20"/>
              </w:rPr>
              <w:t xml:space="preserve">] </w:t>
            </w:r>
            <w:r w:rsidRPr="0085248B">
              <w:rPr>
                <w:rFonts w:ascii="Arial Narrow" w:hAnsi="Arial Narrow"/>
                <w:bCs/>
                <w:sz w:val="20"/>
                <w:szCs w:val="20"/>
              </w:rPr>
              <w:t>The submission nominated aflibercept as the main comparator as it has a higher market share, and ranibizumab as a secondary comparator. The PBAC noted that ranibizumab had become the least costly comparator since the F1 anniversary price reduction applied to ranibizumab (10%) and aflibercept (5%) on 1 April 2018. The PBAC noted that no data were provided demonstrating brolucizumab provides a significant improvement in efficacy or reduction of toxicity over the alternative therapies (aflibercept and ranibizumab) (paragraph 5.3). The PBAC advised that the drug cost used for the CMA should be the effective ranibizumab price rather than the weighted price of aflibercept and ranibizumab, as ranibizumab is the least costly anti-VEGF agent.</w:t>
            </w:r>
          </w:p>
        </w:tc>
        <w:tc>
          <w:tcPr>
            <w:tcW w:w="2642" w:type="dxa"/>
            <w:tcMar>
              <w:left w:w="28" w:type="dxa"/>
              <w:right w:w="28" w:type="dxa"/>
            </w:tcMar>
          </w:tcPr>
          <w:p w:rsidR="004E1E8C" w:rsidRPr="0040636E" w:rsidRDefault="0085248B" w:rsidP="00E82EC9">
            <w:pPr>
              <w:keepNext/>
              <w:keepLines/>
              <w:rPr>
                <w:rFonts w:ascii="Arial Narrow" w:hAnsi="Arial Narrow" w:cstheme="minorHAnsi"/>
                <w:sz w:val="20"/>
                <w:szCs w:val="20"/>
              </w:rPr>
            </w:pPr>
            <w:r w:rsidRPr="0040636E">
              <w:rPr>
                <w:rFonts w:ascii="Arial Narrow" w:hAnsi="Arial Narrow" w:cstheme="minorHAnsi"/>
                <w:sz w:val="20"/>
                <w:szCs w:val="20"/>
              </w:rPr>
              <w:t>The Sponsor has accepted the ranibizumab price for brolucizumab in the minor resubmission.</w:t>
            </w:r>
          </w:p>
        </w:tc>
      </w:tr>
      <w:tr w:rsidR="004E1E8C" w:rsidRPr="006E1D48" w:rsidTr="00E82EC9">
        <w:tc>
          <w:tcPr>
            <w:tcW w:w="6374" w:type="dxa"/>
            <w:tcMar>
              <w:left w:w="28" w:type="dxa"/>
              <w:right w:w="28" w:type="dxa"/>
            </w:tcMar>
          </w:tcPr>
          <w:p w:rsidR="004E1E8C" w:rsidRDefault="004E1E8C" w:rsidP="00E82EC9">
            <w:pPr>
              <w:keepNext/>
              <w:keepLines/>
              <w:widowControl w:val="0"/>
              <w:rPr>
                <w:rFonts w:ascii="Arial Narrow" w:hAnsi="Arial Narrow"/>
                <w:bCs/>
                <w:sz w:val="20"/>
                <w:szCs w:val="20"/>
              </w:rPr>
            </w:pPr>
            <w:r w:rsidRPr="00215975">
              <w:rPr>
                <w:rFonts w:ascii="Arial Narrow" w:hAnsi="Arial Narrow"/>
                <w:bCs/>
                <w:sz w:val="20"/>
                <w:szCs w:val="20"/>
              </w:rPr>
              <w:t>[</w:t>
            </w:r>
            <w:proofErr w:type="gramStart"/>
            <w:r w:rsidRPr="00215975">
              <w:rPr>
                <w:rFonts w:ascii="Arial Narrow" w:hAnsi="Arial Narrow"/>
                <w:bCs/>
                <w:sz w:val="20"/>
                <w:szCs w:val="20"/>
              </w:rPr>
              <w:t>paragraph</w:t>
            </w:r>
            <w:proofErr w:type="gramEnd"/>
            <w:r w:rsidRPr="00215975">
              <w:rPr>
                <w:rFonts w:ascii="Arial Narrow" w:hAnsi="Arial Narrow"/>
                <w:bCs/>
                <w:sz w:val="20"/>
                <w:szCs w:val="20"/>
              </w:rPr>
              <w:t xml:space="preserve"> 7.</w:t>
            </w:r>
            <w:r w:rsidR="0085248B">
              <w:rPr>
                <w:rFonts w:ascii="Arial Narrow" w:hAnsi="Arial Narrow"/>
                <w:bCs/>
                <w:sz w:val="20"/>
                <w:szCs w:val="20"/>
              </w:rPr>
              <w:t>3</w:t>
            </w:r>
            <w:r w:rsidRPr="00215975">
              <w:rPr>
                <w:rFonts w:ascii="Arial Narrow" w:hAnsi="Arial Narrow"/>
                <w:bCs/>
                <w:sz w:val="20"/>
                <w:szCs w:val="20"/>
              </w:rPr>
              <w:t xml:space="preserve">] </w:t>
            </w:r>
            <w:r w:rsidR="0085248B">
              <w:rPr>
                <w:rFonts w:ascii="Arial Narrow" w:hAnsi="Arial Narrow"/>
                <w:bCs/>
                <w:sz w:val="20"/>
                <w:szCs w:val="20"/>
              </w:rPr>
              <w:t>…</w:t>
            </w:r>
            <w:r w:rsidR="0085248B" w:rsidRPr="0085248B">
              <w:rPr>
                <w:rFonts w:ascii="Arial Narrow" w:hAnsi="Arial Narrow"/>
                <w:bCs/>
                <w:sz w:val="20"/>
                <w:szCs w:val="20"/>
              </w:rPr>
              <w:t>the PBAC considered that the overall ocular SAE rate with brolucizumab (3.4%) was significantly different to aflibercept (1.5%) and the claim of non-inferiority in terms of safety was uncertain. The ocular SAEs that occurred more frequently with brolucizumab included uveitis, vitreous floater and retinal pigment epithelial tear. The PBAC considered that the safety profile of brolucizumab is uncertain compared to its comparators, and there are potential associated cost implications.</w:t>
            </w:r>
          </w:p>
          <w:p w:rsidR="005A2C75" w:rsidRDefault="005A2C75" w:rsidP="00E82EC9">
            <w:pPr>
              <w:keepNext/>
              <w:keepLines/>
              <w:widowControl w:val="0"/>
              <w:rPr>
                <w:rFonts w:ascii="Arial Narrow" w:hAnsi="Arial Narrow"/>
                <w:bCs/>
                <w:sz w:val="20"/>
                <w:szCs w:val="20"/>
              </w:rPr>
            </w:pPr>
          </w:p>
          <w:p w:rsidR="005A2C75" w:rsidRPr="00215975" w:rsidRDefault="005A2C75" w:rsidP="00E82EC9">
            <w:pPr>
              <w:keepNext/>
              <w:keepLines/>
              <w:widowControl w:val="0"/>
              <w:rPr>
                <w:rFonts w:ascii="Arial Narrow" w:hAnsi="Arial Narrow"/>
                <w:bCs/>
                <w:sz w:val="20"/>
                <w:szCs w:val="20"/>
              </w:rPr>
            </w:pPr>
            <w:r>
              <w:rPr>
                <w:rFonts w:ascii="Arial Narrow" w:hAnsi="Arial Narrow"/>
                <w:bCs/>
                <w:sz w:val="20"/>
                <w:szCs w:val="20"/>
              </w:rPr>
              <w:t>[paragraph 7.7] The PBAC considered that any future submission should address the uncertain claim of non-inferior safety and difference in safety profile through a price reduction against the lowest cost alternative</w:t>
            </w:r>
            <w:r w:rsidR="008E588A">
              <w:rPr>
                <w:rFonts w:ascii="Arial Narrow" w:hAnsi="Arial Narrow"/>
                <w:bCs/>
                <w:sz w:val="20"/>
                <w:szCs w:val="20"/>
              </w:rPr>
              <w:t xml:space="preserve"> …</w:t>
            </w:r>
          </w:p>
        </w:tc>
        <w:tc>
          <w:tcPr>
            <w:tcW w:w="2642" w:type="dxa"/>
            <w:tcMar>
              <w:left w:w="28" w:type="dxa"/>
              <w:right w:w="28" w:type="dxa"/>
            </w:tcMar>
          </w:tcPr>
          <w:p w:rsidR="004E1E8C" w:rsidRPr="0040636E" w:rsidRDefault="0085248B" w:rsidP="00C24266">
            <w:pPr>
              <w:keepNext/>
              <w:keepLines/>
              <w:rPr>
                <w:rFonts w:ascii="Arial Narrow" w:hAnsi="Arial Narrow" w:cstheme="minorHAnsi"/>
                <w:sz w:val="20"/>
                <w:szCs w:val="20"/>
              </w:rPr>
            </w:pPr>
            <w:r w:rsidRPr="0040636E">
              <w:rPr>
                <w:rFonts w:ascii="Arial Narrow" w:hAnsi="Arial Narrow" w:cstheme="minorHAnsi"/>
                <w:sz w:val="20"/>
                <w:szCs w:val="20"/>
              </w:rPr>
              <w:t xml:space="preserve">The Sponsor has </w:t>
            </w:r>
            <w:r w:rsidR="008C1363" w:rsidRPr="0040636E">
              <w:rPr>
                <w:rFonts w:ascii="Arial Narrow" w:hAnsi="Arial Narrow" w:cstheme="minorHAnsi"/>
                <w:sz w:val="20"/>
                <w:szCs w:val="20"/>
              </w:rPr>
              <w:t>provided the ratified r</w:t>
            </w:r>
            <w:r w:rsidR="00E82EC9" w:rsidRPr="0040636E">
              <w:rPr>
                <w:rFonts w:ascii="Arial Narrow" w:hAnsi="Arial Narrow" w:cstheme="minorHAnsi"/>
                <w:sz w:val="20"/>
                <w:szCs w:val="20"/>
              </w:rPr>
              <w:t xml:space="preserve">esolution of the ACM Meeting </w:t>
            </w:r>
            <w:r w:rsidR="00896F78" w:rsidRPr="0040636E">
              <w:rPr>
                <w:rFonts w:ascii="Arial Narrow" w:hAnsi="Arial Narrow" w:cstheme="minorHAnsi"/>
                <w:sz w:val="20"/>
                <w:szCs w:val="20"/>
              </w:rPr>
              <w:t>that occurred on 6 December 2019</w:t>
            </w:r>
            <w:r w:rsidR="008C1363" w:rsidRPr="0040636E">
              <w:rPr>
                <w:rFonts w:ascii="Arial Narrow" w:hAnsi="Arial Narrow" w:cstheme="minorHAnsi"/>
                <w:sz w:val="20"/>
                <w:szCs w:val="20"/>
              </w:rPr>
              <w:t>.</w:t>
            </w:r>
            <w:r w:rsidR="005A2C75" w:rsidRPr="0040636E">
              <w:rPr>
                <w:rFonts w:ascii="Arial Narrow" w:hAnsi="Arial Narrow" w:cstheme="minorHAnsi"/>
                <w:sz w:val="20"/>
                <w:szCs w:val="20"/>
              </w:rPr>
              <w:t xml:space="preserve"> </w:t>
            </w:r>
            <w:r w:rsidR="00C24266" w:rsidRPr="0040636E">
              <w:rPr>
                <w:rFonts w:ascii="Arial Narrow" w:hAnsi="Arial Narrow" w:cstheme="minorHAnsi"/>
                <w:sz w:val="20"/>
                <w:szCs w:val="20"/>
              </w:rPr>
              <w:t>The ACM addressed the safety questions raised by the TGA Delegate and the Sponsor claims this supports non-inferiority.</w:t>
            </w:r>
          </w:p>
        </w:tc>
      </w:tr>
      <w:tr w:rsidR="004E1E8C" w:rsidRPr="006E1D48" w:rsidTr="00E82EC9">
        <w:tc>
          <w:tcPr>
            <w:tcW w:w="6374" w:type="dxa"/>
            <w:tcMar>
              <w:left w:w="28" w:type="dxa"/>
              <w:right w:w="28" w:type="dxa"/>
            </w:tcMar>
          </w:tcPr>
          <w:p w:rsidR="004E1E8C" w:rsidRDefault="00F5772A" w:rsidP="00E82EC9">
            <w:pPr>
              <w:keepNext/>
              <w:keepLines/>
              <w:rPr>
                <w:rFonts w:ascii="Arial Narrow" w:hAnsi="Arial Narrow"/>
                <w:bCs/>
                <w:sz w:val="20"/>
                <w:szCs w:val="20"/>
              </w:rPr>
            </w:pPr>
            <w:r>
              <w:rPr>
                <w:rFonts w:ascii="Arial Narrow" w:hAnsi="Arial Narrow"/>
                <w:bCs/>
                <w:sz w:val="20"/>
                <w:szCs w:val="20"/>
              </w:rPr>
              <w:t>[paragraph 7.4</w:t>
            </w:r>
            <w:r w:rsidR="004E1E8C">
              <w:rPr>
                <w:rFonts w:ascii="Arial Narrow" w:hAnsi="Arial Narrow"/>
                <w:bCs/>
                <w:sz w:val="20"/>
                <w:szCs w:val="20"/>
              </w:rPr>
              <w:t xml:space="preserve">] </w:t>
            </w:r>
            <w:r w:rsidRPr="00F5772A">
              <w:rPr>
                <w:rFonts w:ascii="Arial Narrow" w:hAnsi="Arial Narrow"/>
                <w:bCs/>
                <w:sz w:val="20"/>
                <w:szCs w:val="20"/>
              </w:rPr>
              <w:t>The PBAC did not consider brolucizumab would provide the benefit of less frequent dosing compared with currently available anti-VEGFs (as claimed in the submission), while maintaining the same efficacy, because the dosing regimens for brolucizumab and aflibercept in both HAWK and HARRIER were not as flexible as those specified in the respective PIs.</w:t>
            </w:r>
          </w:p>
          <w:p w:rsidR="008E588A" w:rsidRDefault="008E588A" w:rsidP="00E82EC9">
            <w:pPr>
              <w:keepNext/>
              <w:keepLines/>
              <w:rPr>
                <w:rFonts w:ascii="Arial Narrow" w:hAnsi="Arial Narrow"/>
                <w:bCs/>
                <w:sz w:val="20"/>
                <w:szCs w:val="20"/>
              </w:rPr>
            </w:pPr>
          </w:p>
          <w:p w:rsidR="00E83073" w:rsidRPr="00E90736" w:rsidRDefault="00E83073" w:rsidP="00E82EC9">
            <w:pPr>
              <w:keepNext/>
              <w:keepLines/>
              <w:rPr>
                <w:rFonts w:ascii="Arial Narrow" w:hAnsi="Arial Narrow"/>
                <w:bCs/>
                <w:sz w:val="20"/>
                <w:szCs w:val="20"/>
              </w:rPr>
            </w:pPr>
            <w:r>
              <w:rPr>
                <w:rFonts w:ascii="Arial Narrow" w:hAnsi="Arial Narrow"/>
                <w:bCs/>
                <w:sz w:val="20"/>
                <w:szCs w:val="20"/>
              </w:rPr>
              <w:t>[paragraph 7.5] …</w:t>
            </w:r>
            <w:r w:rsidRPr="00E83073">
              <w:rPr>
                <w:rFonts w:ascii="Arial Narrow" w:hAnsi="Arial Narrow"/>
                <w:bCs/>
                <w:sz w:val="20"/>
                <w:szCs w:val="20"/>
              </w:rPr>
              <w:t>The PBAC considered that the CMA should assume an identical number of injections (6.03) for aflibercept/ranibizumab and brolucizumab, as it is highly uncertain that there will be any difference in injection frequency between brolucizumab, aflibercept and ranibizumab in clinical practice.</w:t>
            </w:r>
          </w:p>
        </w:tc>
        <w:tc>
          <w:tcPr>
            <w:tcW w:w="2642" w:type="dxa"/>
            <w:tcMar>
              <w:left w:w="28" w:type="dxa"/>
              <w:right w:w="28" w:type="dxa"/>
            </w:tcMar>
          </w:tcPr>
          <w:p w:rsidR="004E1E8C" w:rsidRPr="0040636E" w:rsidRDefault="00896F78" w:rsidP="00896F78">
            <w:pPr>
              <w:keepNext/>
              <w:keepLines/>
              <w:rPr>
                <w:rFonts w:ascii="Arial Narrow" w:hAnsi="Arial Narrow" w:cstheme="minorHAnsi"/>
                <w:sz w:val="20"/>
                <w:szCs w:val="20"/>
              </w:rPr>
            </w:pPr>
            <w:r w:rsidRPr="0040636E">
              <w:rPr>
                <w:rFonts w:ascii="Arial Narrow" w:hAnsi="Arial Narrow" w:cstheme="minorHAnsi"/>
                <w:sz w:val="20"/>
                <w:szCs w:val="20"/>
              </w:rPr>
              <w:t>The Sponsor has accepted that the CMA should assume an identical number of injections (6.03) for aflibercept / ranibizumab and brolucizumab.</w:t>
            </w:r>
          </w:p>
        </w:tc>
      </w:tr>
    </w:tbl>
    <w:p w:rsidR="00394C3F" w:rsidRDefault="00F5772A" w:rsidP="00CE4AA1">
      <w:pPr>
        <w:pStyle w:val="3Bodytext"/>
        <w:rPr>
          <w:rFonts w:ascii="Arial Narrow" w:hAnsi="Arial Narrow"/>
          <w:sz w:val="18"/>
          <w:szCs w:val="18"/>
        </w:rPr>
      </w:pPr>
      <w:r>
        <w:rPr>
          <w:rFonts w:ascii="Arial Narrow" w:hAnsi="Arial Narrow"/>
          <w:sz w:val="18"/>
          <w:szCs w:val="18"/>
        </w:rPr>
        <w:t xml:space="preserve">ACM = Advisory Committee on Medicines; </w:t>
      </w:r>
      <w:r w:rsidR="008C1363" w:rsidRPr="008C1363">
        <w:rPr>
          <w:rFonts w:ascii="Arial Narrow" w:hAnsi="Arial Narrow"/>
          <w:sz w:val="18"/>
          <w:szCs w:val="18"/>
        </w:rPr>
        <w:t xml:space="preserve">CMA = cost minimisation analysis; </w:t>
      </w:r>
      <w:r>
        <w:rPr>
          <w:rFonts w:ascii="Arial Narrow" w:hAnsi="Arial Narrow"/>
          <w:sz w:val="18"/>
          <w:szCs w:val="18"/>
        </w:rPr>
        <w:t xml:space="preserve">PI = Product Information; </w:t>
      </w:r>
      <w:r w:rsidR="008C1363" w:rsidRPr="008C1363">
        <w:rPr>
          <w:rFonts w:ascii="Arial Narrow" w:hAnsi="Arial Narrow"/>
          <w:sz w:val="18"/>
          <w:szCs w:val="18"/>
        </w:rPr>
        <w:t xml:space="preserve">SAE = serious adverse event; VEGF = </w:t>
      </w:r>
      <w:r w:rsidR="008C1363">
        <w:rPr>
          <w:rFonts w:ascii="Arial Narrow" w:hAnsi="Arial Narrow"/>
          <w:sz w:val="18"/>
          <w:szCs w:val="18"/>
        </w:rPr>
        <w:t>v</w:t>
      </w:r>
      <w:r w:rsidR="008C1363" w:rsidRPr="008C1363">
        <w:rPr>
          <w:rFonts w:ascii="Arial Narrow" w:hAnsi="Arial Narrow"/>
          <w:sz w:val="18"/>
          <w:szCs w:val="18"/>
        </w:rPr>
        <w:t>ascular endothelial growth factor</w:t>
      </w:r>
      <w:r w:rsidR="004E1E8C" w:rsidRPr="008C1363">
        <w:rPr>
          <w:rFonts w:ascii="Arial Narrow" w:hAnsi="Arial Narrow"/>
          <w:sz w:val="18"/>
          <w:szCs w:val="18"/>
        </w:rPr>
        <w:t>.</w:t>
      </w:r>
    </w:p>
    <w:p w:rsidR="002C672E" w:rsidRDefault="002C672E" w:rsidP="00C270FF">
      <w:pPr>
        <w:pStyle w:val="3Bodytext"/>
        <w:ind w:firstLine="720"/>
        <w:rPr>
          <w:i/>
          <w:lang w:eastAsia="en-US"/>
        </w:rPr>
      </w:pPr>
      <w:r w:rsidRPr="00E84378">
        <w:rPr>
          <w:i/>
          <w:lang w:eastAsia="en-US"/>
        </w:rPr>
        <w:t>For more detail on PBAC’s view, see section 6 PBAC outcome.</w:t>
      </w:r>
    </w:p>
    <w:p w:rsidR="00EF0F56" w:rsidRDefault="00EF0F56" w:rsidP="00CE4AA1">
      <w:pPr>
        <w:pStyle w:val="3Bodytext"/>
        <w:rPr>
          <w:rFonts w:ascii="Arial Narrow" w:hAnsi="Arial Narrow"/>
          <w:sz w:val="18"/>
          <w:szCs w:val="18"/>
        </w:rPr>
      </w:pPr>
    </w:p>
    <w:p w:rsidR="00394C3F" w:rsidRPr="00577C4D" w:rsidRDefault="00394C3F" w:rsidP="00394C3F">
      <w:pPr>
        <w:pStyle w:val="2Sections"/>
        <w:numPr>
          <w:ilvl w:val="0"/>
          <w:numId w:val="2"/>
        </w:numPr>
      </w:pPr>
      <w:r w:rsidRPr="002B5596">
        <w:t>Requested listing</w:t>
      </w:r>
    </w:p>
    <w:p w:rsidR="005F2F93" w:rsidRPr="009716BD" w:rsidRDefault="007175AD" w:rsidP="00E77525">
      <w:pPr>
        <w:pStyle w:val="3Bodytext"/>
        <w:numPr>
          <w:ilvl w:val="1"/>
          <w:numId w:val="2"/>
        </w:numPr>
      </w:pPr>
      <w:r>
        <w:t xml:space="preserve">A restriction </w:t>
      </w:r>
      <w:r w:rsidR="00305EFF">
        <w:t xml:space="preserve">was proposed by the Sponsor </w:t>
      </w:r>
      <w:r>
        <w:t>for initial treatment, continuing treatment and grandfathered patients with the</w:t>
      </w:r>
      <w:r w:rsidRPr="001B2BBC">
        <w:t xml:space="preserve"> </w:t>
      </w:r>
      <w:r w:rsidR="007F5937">
        <w:t>minor re</w:t>
      </w:r>
      <w:r w:rsidR="007F5937" w:rsidRPr="001B2BBC">
        <w:t>submission</w:t>
      </w:r>
      <w:r>
        <w:t>. The restriction has undergone further minor review and is summarised below.</w:t>
      </w:r>
      <w:r w:rsidR="007F5937" w:rsidRPr="001B2BBC">
        <w:t xml:space="preserve"> </w:t>
      </w:r>
      <w:r w:rsidR="007F5937" w:rsidRPr="00140226">
        <w:t xml:space="preserve">Suggestions and additions </w:t>
      </w:r>
      <w:r w:rsidR="007F5937" w:rsidRPr="00140226">
        <w:lastRenderedPageBreak/>
        <w:t>proposed by the Secretariat to the requested listing are added in italics and suggested deletions are crossed out with strikethrough.</w:t>
      </w:r>
    </w:p>
    <w:p w:rsidR="00E77525" w:rsidRDefault="00E77525" w:rsidP="00E77525">
      <w:pPr>
        <w:pStyle w:val="Bodytextitalics"/>
        <w:rPr>
          <w:rFonts w:ascii="Arial Narrow" w:hAnsi="Arial Narrow"/>
          <w:b/>
          <w:i w:val="0"/>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640"/>
        <w:gridCol w:w="671"/>
        <w:gridCol w:w="671"/>
        <w:gridCol w:w="510"/>
        <w:gridCol w:w="1855"/>
        <w:gridCol w:w="974"/>
        <w:gridCol w:w="1466"/>
      </w:tblGrid>
      <w:tr w:rsidR="00211118" w:rsidRPr="00211118" w:rsidTr="00211118">
        <w:trPr>
          <w:cantSplit/>
          <w:trHeight w:val="471"/>
        </w:trPr>
        <w:tc>
          <w:tcPr>
            <w:tcW w:w="1236" w:type="pct"/>
          </w:tcPr>
          <w:p w:rsidR="00AA237D" w:rsidRPr="00211118" w:rsidRDefault="00AA237D" w:rsidP="00AA237D">
            <w:pPr>
              <w:keepNext/>
              <w:widowControl w:val="0"/>
              <w:ind w:left="-108"/>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Name, Restriction,</w:t>
            </w:r>
          </w:p>
          <w:p w:rsidR="00AA237D" w:rsidRPr="00211118" w:rsidRDefault="00AA237D" w:rsidP="00AA237D">
            <w:pPr>
              <w:keepNext/>
              <w:widowControl w:val="0"/>
              <w:ind w:left="-108"/>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Manner of administration and form</w:t>
            </w:r>
          </w:p>
        </w:tc>
        <w:tc>
          <w:tcPr>
            <w:tcW w:w="355" w:type="pct"/>
          </w:tcPr>
          <w:p w:rsidR="00AA237D" w:rsidRPr="00211118" w:rsidRDefault="00AA237D" w:rsidP="00AA237D">
            <w:pPr>
              <w:keepNext/>
              <w:widowControl w:val="0"/>
              <w:ind w:left="-108"/>
              <w:jc w:val="center"/>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PBS item code</w:t>
            </w:r>
          </w:p>
        </w:tc>
        <w:tc>
          <w:tcPr>
            <w:tcW w:w="372" w:type="pct"/>
          </w:tcPr>
          <w:p w:rsidR="00AA237D" w:rsidRPr="00211118" w:rsidRDefault="00AA237D" w:rsidP="00AA237D">
            <w:pPr>
              <w:keepNext/>
              <w:widowControl w:val="0"/>
              <w:ind w:left="-108"/>
              <w:jc w:val="center"/>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Max. qty packs</w:t>
            </w:r>
          </w:p>
        </w:tc>
        <w:tc>
          <w:tcPr>
            <w:tcW w:w="372" w:type="pct"/>
          </w:tcPr>
          <w:p w:rsidR="00AA237D" w:rsidRPr="00211118" w:rsidRDefault="00AA237D" w:rsidP="00AA237D">
            <w:pPr>
              <w:keepNext/>
              <w:widowControl w:val="0"/>
              <w:ind w:left="-108"/>
              <w:jc w:val="center"/>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Max. qty units</w:t>
            </w:r>
          </w:p>
        </w:tc>
        <w:tc>
          <w:tcPr>
            <w:tcW w:w="283" w:type="pct"/>
          </w:tcPr>
          <w:p w:rsidR="00AA237D" w:rsidRPr="00211118" w:rsidRDefault="00AA237D" w:rsidP="00AA237D">
            <w:pPr>
              <w:keepNext/>
              <w:widowControl w:val="0"/>
              <w:ind w:left="-108"/>
              <w:jc w:val="center"/>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№.of</w:t>
            </w:r>
          </w:p>
          <w:p w:rsidR="00AA237D" w:rsidRPr="00211118" w:rsidRDefault="00AA237D" w:rsidP="00AA237D">
            <w:pPr>
              <w:keepNext/>
              <w:widowControl w:val="0"/>
              <w:ind w:left="-108"/>
              <w:jc w:val="center"/>
              <w:rPr>
                <w:rFonts w:ascii="Arial Narrow" w:hAnsi="Arial Narrow" w:cs="Arial"/>
                <w:b/>
                <w:snapToGrid w:val="0"/>
                <w:sz w:val="20"/>
                <w:szCs w:val="20"/>
                <w:lang w:eastAsia="en-US"/>
              </w:rPr>
            </w:pPr>
            <w:proofErr w:type="spellStart"/>
            <w:r w:rsidRPr="00211118">
              <w:rPr>
                <w:rFonts w:ascii="Arial Narrow" w:hAnsi="Arial Narrow" w:cs="Arial"/>
                <w:b/>
                <w:snapToGrid w:val="0"/>
                <w:sz w:val="20"/>
                <w:szCs w:val="20"/>
                <w:lang w:eastAsia="en-US"/>
              </w:rPr>
              <w:t>Rpts</w:t>
            </w:r>
            <w:proofErr w:type="spellEnd"/>
          </w:p>
        </w:tc>
        <w:tc>
          <w:tcPr>
            <w:tcW w:w="1029" w:type="pct"/>
          </w:tcPr>
          <w:p w:rsidR="00AA237D" w:rsidRPr="00211118" w:rsidRDefault="00AA237D" w:rsidP="00AA237D">
            <w:pPr>
              <w:keepNext/>
              <w:widowControl w:val="0"/>
              <w:rPr>
                <w:rFonts w:ascii="Arial Narrow" w:hAnsi="Arial Narrow" w:cs="Arial"/>
                <w:b/>
                <w:snapToGrid w:val="0"/>
                <w:sz w:val="20"/>
                <w:szCs w:val="20"/>
                <w:lang w:eastAsia="en-US"/>
              </w:rPr>
            </w:pPr>
            <w:r w:rsidRPr="00211118">
              <w:rPr>
                <w:rFonts w:ascii="Arial Narrow" w:hAnsi="Arial Narrow" w:cs="Arial"/>
                <w:b/>
                <w:snapToGrid w:val="0"/>
                <w:sz w:val="20"/>
                <w:szCs w:val="20"/>
                <w:lang w:eastAsia="en-US"/>
              </w:rPr>
              <w:t>Dispensed Price for Max. Qty</w:t>
            </w:r>
          </w:p>
          <w:p w:rsidR="00AA237D" w:rsidRPr="00211118" w:rsidRDefault="00AA237D" w:rsidP="00AA237D">
            <w:pPr>
              <w:keepNext/>
              <w:widowControl w:val="0"/>
              <w:rPr>
                <w:rFonts w:ascii="Arial Narrow" w:hAnsi="Arial Narrow" w:cs="Arial"/>
                <w:b/>
                <w:snapToGrid w:val="0"/>
                <w:sz w:val="20"/>
                <w:szCs w:val="20"/>
                <w:lang w:eastAsia="en-US"/>
              </w:rPr>
            </w:pPr>
          </w:p>
        </w:tc>
        <w:tc>
          <w:tcPr>
            <w:tcW w:w="1353" w:type="pct"/>
            <w:gridSpan w:val="2"/>
          </w:tcPr>
          <w:p w:rsidR="00AA237D" w:rsidRPr="00211118" w:rsidRDefault="00AA237D" w:rsidP="00AA237D">
            <w:pPr>
              <w:keepNext/>
              <w:widowControl w:val="0"/>
              <w:rPr>
                <w:rFonts w:ascii="Arial Narrow" w:hAnsi="Arial Narrow" w:cs="Arial"/>
                <w:b/>
                <w:snapToGrid w:val="0"/>
                <w:sz w:val="20"/>
                <w:szCs w:val="20"/>
                <w:lang w:val="fr-FR" w:eastAsia="en-US"/>
              </w:rPr>
            </w:pPr>
            <w:r w:rsidRPr="00211118">
              <w:rPr>
                <w:rFonts w:ascii="Arial Narrow" w:hAnsi="Arial Narrow" w:cs="Arial"/>
                <w:b/>
                <w:snapToGrid w:val="0"/>
                <w:sz w:val="20"/>
                <w:szCs w:val="20"/>
                <w:lang w:eastAsia="en-US"/>
              </w:rPr>
              <w:t>Proprietary Name and Manufacturer</w:t>
            </w:r>
          </w:p>
        </w:tc>
      </w:tr>
      <w:tr w:rsidR="00211118" w:rsidRPr="00211118" w:rsidTr="00211118">
        <w:trPr>
          <w:cantSplit/>
          <w:trHeight w:val="761"/>
        </w:trPr>
        <w:tc>
          <w:tcPr>
            <w:tcW w:w="1236" w:type="pct"/>
          </w:tcPr>
          <w:p w:rsidR="00AA237D" w:rsidRPr="00211118" w:rsidRDefault="00AA237D" w:rsidP="00AA237D">
            <w:pPr>
              <w:keepNext/>
              <w:widowControl w:val="0"/>
              <w:ind w:left="-108"/>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BROLUCIZUMAB</w:t>
            </w:r>
          </w:p>
          <w:p w:rsidR="00AA237D" w:rsidRPr="00211118" w:rsidRDefault="00AA237D" w:rsidP="00AA237D">
            <w:pPr>
              <w:keepNext/>
              <w:widowControl w:val="0"/>
              <w:ind w:left="-108"/>
              <w:rPr>
                <w:rFonts w:ascii="Arial Narrow" w:hAnsi="Arial Narrow" w:cs="Arial"/>
                <w:snapToGrid w:val="0"/>
                <w:sz w:val="20"/>
                <w:szCs w:val="20"/>
                <w:lang w:eastAsia="en-US"/>
              </w:rPr>
            </w:pPr>
          </w:p>
          <w:p w:rsidR="00AA237D" w:rsidRPr="00211118" w:rsidRDefault="00AA237D" w:rsidP="00AA237D">
            <w:pPr>
              <w:keepNext/>
              <w:widowControl w:val="0"/>
              <w:ind w:left="-108"/>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brolucizumab 19.8 mg in 0.165 mL syringe [new MPP]</w:t>
            </w:r>
          </w:p>
        </w:tc>
        <w:tc>
          <w:tcPr>
            <w:tcW w:w="355" w:type="pct"/>
          </w:tcPr>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NEW</w:t>
            </w:r>
          </w:p>
        </w:tc>
        <w:tc>
          <w:tcPr>
            <w:tcW w:w="372" w:type="pct"/>
          </w:tcPr>
          <w:p w:rsidR="00AA237D" w:rsidRPr="00211118" w:rsidRDefault="00AA237D" w:rsidP="00AA237D">
            <w:pPr>
              <w:keepNext/>
              <w:widowControl w:val="0"/>
              <w:jc w:val="center"/>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jc w:val="center"/>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1</w:t>
            </w:r>
          </w:p>
        </w:tc>
        <w:tc>
          <w:tcPr>
            <w:tcW w:w="372" w:type="pct"/>
          </w:tcPr>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1</w:t>
            </w:r>
          </w:p>
        </w:tc>
        <w:tc>
          <w:tcPr>
            <w:tcW w:w="283" w:type="pct"/>
          </w:tcPr>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p>
          <w:p w:rsidR="00AA237D" w:rsidRPr="00211118" w:rsidRDefault="00AA237D" w:rsidP="00AA237D">
            <w:pPr>
              <w:keepNext/>
              <w:widowControl w:val="0"/>
              <w:ind w:left="-108"/>
              <w:jc w:val="center"/>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2</w:t>
            </w:r>
          </w:p>
          <w:p w:rsidR="00AA237D" w:rsidRPr="00211118" w:rsidRDefault="00AA237D" w:rsidP="00AA237D">
            <w:pPr>
              <w:keepNext/>
              <w:widowControl w:val="0"/>
              <w:rPr>
                <w:rFonts w:ascii="Arial Narrow" w:hAnsi="Arial Narrow" w:cs="Arial"/>
                <w:snapToGrid w:val="0"/>
                <w:sz w:val="20"/>
                <w:szCs w:val="20"/>
                <w:lang w:eastAsia="en-US"/>
              </w:rPr>
            </w:pPr>
          </w:p>
        </w:tc>
        <w:tc>
          <w:tcPr>
            <w:tcW w:w="1029" w:type="pct"/>
          </w:tcPr>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Effective: $</w:t>
            </w:r>
            <w:r w:rsidR="00CA4AB3">
              <w:rPr>
                <w:rFonts w:ascii="Arial Narrow" w:hAnsi="Arial Narrow" w:cs="Arial"/>
                <w:noProof/>
                <w:snapToGrid w:val="0"/>
                <w:color w:val="000000"/>
                <w:sz w:val="20"/>
                <w:szCs w:val="20"/>
                <w:highlight w:val="black"/>
                <w:lang w:eastAsia="en-US"/>
              </w:rPr>
              <w:t>''''''''''''''''</w:t>
            </w:r>
          </w:p>
          <w:p w:rsidR="00AA237D" w:rsidRPr="00211118" w:rsidRDefault="00AA237D" w:rsidP="00AA237D">
            <w:pPr>
              <w:keepNext/>
              <w:widowControl w:val="0"/>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Published: $</w:t>
            </w:r>
            <w:r w:rsidR="00CA4AB3">
              <w:rPr>
                <w:rFonts w:ascii="Arial Narrow" w:hAnsi="Arial Narrow" w:cs="Arial"/>
                <w:noProof/>
                <w:snapToGrid w:val="0"/>
                <w:color w:val="000000"/>
                <w:sz w:val="20"/>
                <w:szCs w:val="20"/>
                <w:highlight w:val="black"/>
                <w:lang w:eastAsia="en-US"/>
              </w:rPr>
              <w:t>'''''''''''''''''''''</w:t>
            </w:r>
          </w:p>
        </w:tc>
        <w:tc>
          <w:tcPr>
            <w:tcW w:w="540" w:type="pct"/>
          </w:tcPr>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proofErr w:type="spellStart"/>
            <w:r w:rsidRPr="00211118">
              <w:rPr>
                <w:rFonts w:ascii="Arial Narrow" w:hAnsi="Arial Narrow" w:cs="Arial"/>
                <w:snapToGrid w:val="0"/>
                <w:sz w:val="20"/>
                <w:szCs w:val="20"/>
                <w:lang w:eastAsia="en-US"/>
              </w:rPr>
              <w:t>Beovu</w:t>
            </w:r>
            <w:proofErr w:type="spellEnd"/>
            <w:r w:rsidRPr="00211118">
              <w:rPr>
                <w:rFonts w:ascii="Arial Narrow" w:hAnsi="Arial Narrow" w:cs="Arial"/>
                <w:snapToGrid w:val="0"/>
                <w:sz w:val="20"/>
                <w:szCs w:val="20"/>
                <w:vertAlign w:val="superscript"/>
                <w:lang w:eastAsia="en-US"/>
              </w:rPr>
              <w:t>®</w:t>
            </w:r>
            <w:r w:rsidRPr="00211118">
              <w:rPr>
                <w:rFonts w:ascii="Arial Narrow" w:hAnsi="Arial Narrow" w:cs="Arial"/>
                <w:snapToGrid w:val="0"/>
                <w:sz w:val="20"/>
                <w:szCs w:val="20"/>
                <w:lang w:eastAsia="en-US"/>
              </w:rPr>
              <w:t xml:space="preserve"> [new TPP]</w:t>
            </w:r>
          </w:p>
        </w:tc>
        <w:tc>
          <w:tcPr>
            <w:tcW w:w="813" w:type="pct"/>
          </w:tcPr>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p>
          <w:p w:rsidR="00AA237D" w:rsidRPr="00211118" w:rsidRDefault="00AA237D" w:rsidP="00AA237D">
            <w:pPr>
              <w:keepNext/>
              <w:widowControl w:val="0"/>
              <w:rPr>
                <w:rFonts w:ascii="Arial Narrow" w:hAnsi="Arial Narrow" w:cs="Arial"/>
                <w:snapToGrid w:val="0"/>
                <w:sz w:val="20"/>
                <w:szCs w:val="20"/>
                <w:lang w:eastAsia="en-US"/>
              </w:rPr>
            </w:pPr>
            <w:r w:rsidRPr="00211118">
              <w:rPr>
                <w:rFonts w:ascii="Arial Narrow" w:hAnsi="Arial Narrow" w:cs="Arial"/>
                <w:snapToGrid w:val="0"/>
                <w:sz w:val="20"/>
                <w:szCs w:val="20"/>
                <w:lang w:eastAsia="en-US"/>
              </w:rPr>
              <w:t>Novartis Australia Pty Ltd</w:t>
            </w:r>
          </w:p>
        </w:tc>
      </w:tr>
    </w:tbl>
    <w:p w:rsidR="00AA237D" w:rsidRPr="00211118" w:rsidRDefault="00AA237D" w:rsidP="00E77525">
      <w:pPr>
        <w:pStyle w:val="Bodytextitalics"/>
        <w:rPr>
          <w:rFonts w:ascii="Arial Narrow" w:hAnsi="Arial Narrow"/>
          <w:b/>
          <w:i w:val="0"/>
          <w:snapToGrid w:val="0"/>
          <w:sz w:val="20"/>
          <w:szCs w:val="20"/>
        </w:rPr>
      </w:pPr>
    </w:p>
    <w:p w:rsidR="005F2F93" w:rsidRPr="00211118" w:rsidRDefault="005F2F93" w:rsidP="00E77525">
      <w:pPr>
        <w:pStyle w:val="Bodytextitalics"/>
        <w:keepNext/>
        <w:keepLines/>
        <w:rPr>
          <w:rFonts w:ascii="Arial Narrow" w:hAnsi="Arial Narrow"/>
          <w:b/>
          <w:i w:val="0"/>
          <w:sz w:val="20"/>
          <w:szCs w:val="20"/>
        </w:rPr>
      </w:pPr>
      <w:r w:rsidRPr="00211118">
        <w:rPr>
          <w:rFonts w:ascii="Arial Narrow" w:hAnsi="Arial Narrow"/>
          <w:b/>
          <w:i w:val="0"/>
          <w:sz w:val="20"/>
          <w:szCs w:val="20"/>
        </w:rPr>
        <w:t xml:space="preserve">Initial treatment of </w:t>
      </w:r>
      <w:proofErr w:type="spellStart"/>
      <w:r w:rsidRPr="00211118">
        <w:rPr>
          <w:rFonts w:ascii="Arial Narrow" w:hAnsi="Arial Narrow"/>
          <w:b/>
          <w:i w:val="0"/>
          <w:sz w:val="20"/>
          <w:szCs w:val="20"/>
        </w:rPr>
        <w:t>subfoveal</w:t>
      </w:r>
      <w:proofErr w:type="spellEnd"/>
      <w:r w:rsidRPr="00211118">
        <w:rPr>
          <w:rFonts w:ascii="Arial Narrow" w:hAnsi="Arial Narrow"/>
          <w:b/>
          <w:i w:val="0"/>
          <w:sz w:val="20"/>
          <w:szCs w:val="20"/>
        </w:rPr>
        <w:t xml:space="preserve"> CNV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BA4F73" w:rsidRPr="00211118" w:rsidTr="00BA4F73">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77525">
            <w:pPr>
              <w:keepNext/>
              <w:keepLines/>
              <w:rPr>
                <w:rFonts w:ascii="Arial Narrow" w:hAnsi="Arial Narrow"/>
                <w:sz w:val="20"/>
                <w:szCs w:val="20"/>
              </w:rPr>
            </w:pPr>
            <w:r w:rsidRPr="00211118">
              <w:rPr>
                <w:rFonts w:ascii="Arial Narrow" w:hAnsi="Arial Narrow"/>
                <w:b/>
                <w:sz w:val="20"/>
                <w:szCs w:val="20"/>
              </w:rPr>
              <w:t xml:space="preserve">Category / Program:   </w:t>
            </w:r>
            <w:r w:rsidRPr="00211118">
              <w:rPr>
                <w:rFonts w:ascii="Arial Narrow" w:hAnsi="Arial Narrow"/>
                <w:sz w:val="20"/>
                <w:szCs w:val="20"/>
              </w:rPr>
              <w:t xml:space="preserve">GENERAL – General Schedule (Code GE) </w:t>
            </w:r>
          </w:p>
        </w:tc>
      </w:tr>
      <w:tr w:rsidR="00BA4F73" w:rsidRPr="00211118" w:rsidTr="00BA4F73">
        <w:trPr>
          <w:trHeight w:val="240"/>
        </w:trPr>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77525">
            <w:pPr>
              <w:keepNext/>
              <w:keepLines/>
              <w:rPr>
                <w:rFonts w:ascii="Arial Narrow" w:hAnsi="Arial Narrow"/>
                <w:b/>
                <w:sz w:val="20"/>
                <w:szCs w:val="20"/>
              </w:rPr>
            </w:pPr>
            <w:r w:rsidRPr="00211118">
              <w:rPr>
                <w:rFonts w:ascii="Arial Narrow" w:hAnsi="Arial Narrow"/>
                <w:b/>
                <w:sz w:val="20"/>
                <w:szCs w:val="20"/>
              </w:rPr>
              <w:t xml:space="preserve">Prescriber type:   </w:t>
            </w: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 xml:space="preserve">Dental  </w:t>
            </w:r>
            <w:r w:rsidRPr="00211118">
              <w:rPr>
                <w:rFonts w:ascii="Arial Narrow" w:hAnsi="Arial Narrow"/>
                <w:sz w:val="20"/>
                <w:szCs w:val="20"/>
              </w:rPr>
              <w:fldChar w:fldCharType="begin">
                <w:ffData>
                  <w:name w:val=""/>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Medical Practitioners</w:t>
            </w:r>
            <w:r w:rsidR="00535954">
              <w:rPr>
                <w:rFonts w:ascii="Arial Narrow" w:hAnsi="Arial Narrow"/>
                <w:sz w:val="20"/>
                <w:szCs w:val="20"/>
              </w:rPr>
              <w:t xml:space="preserve">  </w:t>
            </w:r>
            <w:r w:rsidRPr="00211118">
              <w:rPr>
                <w:rFonts w:ascii="Arial Narrow" w:hAnsi="Arial Narrow"/>
                <w:sz w:val="20"/>
                <w:szCs w:val="20"/>
              </w:rPr>
              <w:t xml:space="preserve"> </w:t>
            </w:r>
            <w:r w:rsidRPr="00211118">
              <w:rPr>
                <w:rFonts w:ascii="Arial Narrow" w:hAnsi="Arial Narrow"/>
                <w:sz w:val="20"/>
                <w:szCs w:val="20"/>
              </w:rPr>
              <w:fldChar w:fldCharType="begin">
                <w:ffData>
                  <w:name w:val="Check3"/>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Nurse practitioners</w:t>
            </w:r>
            <w:r w:rsidR="00535954">
              <w:rPr>
                <w:rFonts w:ascii="Arial Narrow" w:hAnsi="Arial Narrow"/>
                <w:sz w:val="20"/>
                <w:szCs w:val="20"/>
              </w:rPr>
              <w:t xml:space="preserve">  </w:t>
            </w:r>
            <w:r w:rsidRPr="00211118">
              <w:rPr>
                <w:rFonts w:ascii="Arial Narrow" w:hAnsi="Arial Narrow"/>
                <w:sz w:val="20"/>
                <w:szCs w:val="20"/>
              </w:rPr>
              <w:t xml:space="preserve"> </w:t>
            </w: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00535954">
              <w:rPr>
                <w:rFonts w:ascii="Arial Narrow" w:hAnsi="Arial Narrow"/>
                <w:sz w:val="20"/>
                <w:szCs w:val="20"/>
              </w:rPr>
              <w:t xml:space="preserve">Optometrists  </w:t>
            </w:r>
            <w:r w:rsidRPr="00211118">
              <w:rPr>
                <w:rFonts w:ascii="Arial Narrow" w:hAnsi="Arial Narrow"/>
                <w:sz w:val="20"/>
                <w:szCs w:val="20"/>
              </w:rPr>
              <w:fldChar w:fldCharType="begin">
                <w:ffData>
                  <w:name w:val="Check5"/>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Midwives</w:t>
            </w:r>
          </w:p>
        </w:tc>
      </w:tr>
      <w:tr w:rsidR="00BA4F73" w:rsidRPr="00211118" w:rsidTr="00BA4F73">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77525">
            <w:pPr>
              <w:keepNext/>
              <w:keepLines/>
              <w:rPr>
                <w:rFonts w:ascii="Arial Narrow" w:hAnsi="Arial Narrow"/>
                <w:b/>
                <w:sz w:val="20"/>
                <w:szCs w:val="20"/>
              </w:rPr>
            </w:pPr>
            <w:r w:rsidRPr="00211118">
              <w:rPr>
                <w:rFonts w:ascii="Arial Narrow" w:hAnsi="Arial Narrow"/>
                <w:b/>
                <w:sz w:val="20"/>
                <w:szCs w:val="20"/>
              </w:rPr>
              <w:t>Restriction Level / Method:</w:t>
            </w:r>
          </w:p>
          <w:p w:rsidR="00BA4F73" w:rsidRPr="00211118" w:rsidRDefault="00BA4F73" w:rsidP="00E77525">
            <w:pPr>
              <w:keepNext/>
              <w:keepLines/>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Unrestricted benefit</w:t>
            </w:r>
          </w:p>
          <w:p w:rsidR="00BA4F73" w:rsidRPr="00211118" w:rsidRDefault="00BA4F73" w:rsidP="00E77525">
            <w:pPr>
              <w:keepNext/>
              <w:keepLines/>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Restricted benefit</w:t>
            </w:r>
          </w:p>
          <w:p w:rsidR="00BA4F73" w:rsidRPr="00211118" w:rsidRDefault="00BA4F73" w:rsidP="00E77525">
            <w:pPr>
              <w:keepNext/>
              <w:keepLines/>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In Writing</w:t>
            </w:r>
          </w:p>
          <w:p w:rsidR="00BA4F73" w:rsidRPr="00211118" w:rsidRDefault="00BA4F73" w:rsidP="00E77525">
            <w:pPr>
              <w:keepNext/>
              <w:keepLines/>
              <w:rPr>
                <w:rFonts w:ascii="Arial Narrow" w:hAnsi="Arial Narrow"/>
                <w:sz w:val="20"/>
                <w:szCs w:val="20"/>
              </w:rPr>
            </w:pPr>
            <w:r w:rsidRPr="00211118">
              <w:rPr>
                <w:rFonts w:ascii="Arial Narrow" w:hAnsi="Arial Narrow"/>
                <w:sz w:val="20"/>
                <w:szCs w:val="20"/>
              </w:rPr>
              <w:fldChar w:fldCharType="begin">
                <w:ffData>
                  <w:name w:val="Check3"/>
                  <w:enabled/>
                  <w:calcOnExit w:val="0"/>
                  <w:checkBox>
                    <w:sizeAuto/>
                    <w:default w:val="1"/>
                  </w:checkBox>
                </w:ffData>
              </w:fldChar>
            </w:r>
            <w:bookmarkStart w:id="0" w:name="Check3"/>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bookmarkEnd w:id="0"/>
            <w:r w:rsidRPr="00211118">
              <w:rPr>
                <w:rFonts w:ascii="Arial Narrow" w:hAnsi="Arial Narrow"/>
                <w:sz w:val="20"/>
                <w:szCs w:val="20"/>
              </w:rPr>
              <w:t>Authority Required – Telephone/Electronic/Emergency</w:t>
            </w:r>
          </w:p>
          <w:p w:rsidR="00BA4F73" w:rsidRPr="00211118" w:rsidRDefault="00BA4F73" w:rsidP="00E77525">
            <w:pPr>
              <w:keepNext/>
              <w:keepLines/>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Streamlined</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Indication:</w:t>
            </w:r>
            <w:r w:rsidRPr="00211118">
              <w:rPr>
                <w:rFonts w:ascii="Arial Narrow" w:hAnsi="Arial Narrow"/>
                <w:color w:val="333333"/>
                <w:sz w:val="20"/>
                <w:szCs w:val="20"/>
              </w:rPr>
              <w:t xml:space="preserve">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Treatment Phase:</w:t>
            </w:r>
            <w:r w:rsidRPr="00211118">
              <w:rPr>
                <w:rFonts w:ascii="Arial Narrow" w:hAnsi="Arial Narrow"/>
                <w:color w:val="333333"/>
                <w:sz w:val="20"/>
                <w:szCs w:val="20"/>
              </w:rPr>
              <w:t xml:space="preserve"> Initial treatment</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due to age-related macular degeneration (AMD)</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diagnosed by optical coherence tomography; or</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diagnosed by fluorescein angiography</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The treatment must be the sole PBS-subsidised therapy for this condition</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Treatment criteria:</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Must be treated by an ophthalmologist or in consultation with an ophthalmologist</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Prescribing Instructions:</w:t>
            </w:r>
            <w:r w:rsidRPr="00211118">
              <w:rPr>
                <w:rFonts w:ascii="Arial Narrow" w:hAnsi="Arial Narrow"/>
                <w:color w:val="333333"/>
                <w:sz w:val="20"/>
                <w:szCs w:val="20"/>
              </w:rPr>
              <w:t xml:space="preserve"> Authority approval for initial treatment of each eye must be sought.</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Prescribing Instructions:</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The first authority application for each eye must be made in writing or by telephone.</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A written application must include:</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a) a completed authority prescription form;</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b) a completed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 - PBS Supporting Information Form; and</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c) </w:t>
            </w:r>
            <w:proofErr w:type="gramStart"/>
            <w:r w:rsidRPr="00211118">
              <w:rPr>
                <w:rFonts w:ascii="Arial Narrow" w:hAnsi="Arial Narrow"/>
                <w:color w:val="333333"/>
                <w:sz w:val="20"/>
                <w:szCs w:val="20"/>
              </w:rPr>
              <w:t>a</w:t>
            </w:r>
            <w:proofErr w:type="gramEnd"/>
            <w:r w:rsidRPr="00211118">
              <w:rPr>
                <w:rFonts w:ascii="Arial Narrow" w:hAnsi="Arial Narrow"/>
                <w:color w:val="333333"/>
                <w:sz w:val="20"/>
                <w:szCs w:val="20"/>
              </w:rPr>
              <w:t xml:space="preserve"> copy of the optical coherence tomography or fluorescein angiogram report.</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A telephone application must be made following submission by facsimile of a copy of a completed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 - PBS Supporting Information Form and a copy of the optical coherence tomography or fluorescein angiogram report.</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A4F73" w:rsidRPr="00211118" w:rsidRDefault="00BA4F73" w:rsidP="00ED7596">
            <w:pPr>
              <w:jc w:val="left"/>
              <w:rPr>
                <w:rFonts w:ascii="Arial Narrow" w:hAnsi="Arial Narrow"/>
                <w:i/>
                <w:color w:val="333333"/>
                <w:sz w:val="20"/>
                <w:szCs w:val="20"/>
              </w:rPr>
            </w:pPr>
            <w:r w:rsidRPr="00211118">
              <w:rPr>
                <w:rFonts w:ascii="Arial Narrow" w:hAnsi="Arial Narrow"/>
                <w:b/>
                <w:bCs/>
                <w:i/>
                <w:color w:val="333333"/>
                <w:sz w:val="20"/>
                <w:szCs w:val="20"/>
              </w:rPr>
              <w:t>Prescribing Instructions:</w:t>
            </w:r>
          </w:p>
          <w:p w:rsidR="00BA4F73" w:rsidRPr="00211118" w:rsidRDefault="00BA4F73" w:rsidP="00ED7596">
            <w:pPr>
              <w:rPr>
                <w:rFonts w:ascii="Arial Narrow" w:hAnsi="Arial Narrow" w:cstheme="minorHAnsi"/>
                <w:i/>
                <w:color w:val="FF0000"/>
                <w:sz w:val="20"/>
                <w:szCs w:val="20"/>
              </w:rPr>
            </w:pPr>
            <w:r w:rsidRPr="00211118">
              <w:rPr>
                <w:rFonts w:ascii="Arial Narrow" w:hAnsi="Arial Narrow"/>
                <w:i/>
                <w:sz w:val="20"/>
                <w:szCs w:val="20"/>
              </w:rPr>
              <w:t>Where both eyes are being treated simultaneously, a quantity of 2 vials can be requested on the same authority prescription form.</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Administrative Advice:</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lastRenderedPageBreak/>
              <w:t xml:space="preserve">The first authority application may be faxed to the </w:t>
            </w: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r w:rsidRPr="00211118">
              <w:rPr>
                <w:rFonts w:ascii="Arial Narrow" w:hAnsi="Arial Narrow"/>
                <w:color w:val="333333"/>
                <w:sz w:val="20"/>
                <w:szCs w:val="20"/>
              </w:rPr>
              <w:t xml:space="preserve"> on 1300 093 177 (hours of operation 8 a.m. to 5 p.m. EST Monday to Friday). </w:t>
            </w:r>
            <w:r w:rsidRPr="00211118">
              <w:rPr>
                <w:rFonts w:ascii="Arial Narrow" w:hAnsi="Arial Narrow"/>
                <w:strike/>
                <w:color w:val="333333"/>
                <w:sz w:val="20"/>
                <w:szCs w:val="20"/>
              </w:rPr>
              <w:t>The Department</w:t>
            </w:r>
            <w:r w:rsidRPr="00211118">
              <w:rPr>
                <w:rFonts w:ascii="Arial Narrow" w:hAnsi="Arial Narrow"/>
                <w:color w:val="333333"/>
                <w:sz w:val="20"/>
                <w:szCs w:val="20"/>
              </w:rPr>
              <w:t xml:space="preserve"> </w:t>
            </w:r>
            <w:r w:rsidRPr="00211118">
              <w:rPr>
                <w:rFonts w:ascii="Arial Narrow" w:hAnsi="Arial Narrow"/>
                <w:i/>
                <w:color w:val="333333"/>
                <w:sz w:val="20"/>
                <w:szCs w:val="20"/>
              </w:rPr>
              <w:t xml:space="preserve">Services Australia </w:t>
            </w:r>
            <w:r w:rsidRPr="00211118">
              <w:rPr>
                <w:rFonts w:ascii="Arial Narrow" w:hAnsi="Arial Narrow"/>
                <w:color w:val="333333"/>
                <w:sz w:val="20"/>
                <w:szCs w:val="20"/>
              </w:rPr>
              <w:t>will then contact the prescriber by telephone.</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lastRenderedPageBreak/>
              <w:t>Administrative Advice:</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Any queries concerning the arrangements to prescribe may be directed to the </w:t>
            </w: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r w:rsidRPr="00211118">
              <w:rPr>
                <w:rFonts w:ascii="Arial Narrow" w:hAnsi="Arial Narrow"/>
                <w:color w:val="333333"/>
                <w:sz w:val="20"/>
                <w:szCs w:val="20"/>
              </w:rPr>
              <w:t xml:space="preserve"> on 1800 700 270 (hours of operation 8 a.m. to 5 p.m. EST Monday to Friday).</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 </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Prescribing information (including Authority Application forms and other relevant documentation as applicable) is available on the </w:t>
            </w:r>
            <w:r w:rsidRPr="00211118">
              <w:rPr>
                <w:rFonts w:ascii="Arial Narrow" w:hAnsi="Arial Narrow"/>
                <w:strike/>
                <w:color w:val="333333"/>
                <w:sz w:val="20"/>
                <w:szCs w:val="20"/>
              </w:rPr>
              <w:t xml:space="preserve">Department of Human </w:t>
            </w:r>
            <w:r w:rsidRPr="00211118">
              <w:rPr>
                <w:rFonts w:ascii="Arial Narrow" w:hAnsi="Arial Narrow"/>
                <w:color w:val="333333"/>
                <w:sz w:val="20"/>
                <w:szCs w:val="20"/>
              </w:rPr>
              <w:t xml:space="preserve">Services </w:t>
            </w:r>
            <w:r w:rsidRPr="00211118">
              <w:rPr>
                <w:rFonts w:ascii="Arial Narrow" w:hAnsi="Arial Narrow"/>
                <w:i/>
                <w:color w:val="333333"/>
                <w:sz w:val="20"/>
                <w:szCs w:val="20"/>
              </w:rPr>
              <w:t xml:space="preserve">Australia </w:t>
            </w:r>
            <w:r w:rsidRPr="00211118">
              <w:rPr>
                <w:rFonts w:ascii="Arial Narrow" w:hAnsi="Arial Narrow"/>
                <w:color w:val="333333"/>
                <w:sz w:val="20"/>
                <w:szCs w:val="20"/>
              </w:rPr>
              <w:t xml:space="preserve">website at </w:t>
            </w:r>
            <w:r w:rsidRPr="00CA4AB3">
              <w:rPr>
                <w:rFonts w:ascii="Arial Narrow" w:hAnsi="Arial Narrow"/>
                <w:sz w:val="20"/>
                <w:szCs w:val="20"/>
              </w:rPr>
              <w:t>www.</w:t>
            </w:r>
            <w:r w:rsidRPr="00CA4AB3">
              <w:rPr>
                <w:rFonts w:ascii="Arial Narrow" w:hAnsi="Arial Narrow"/>
                <w:strike/>
                <w:sz w:val="20"/>
                <w:szCs w:val="20"/>
              </w:rPr>
              <w:t>human</w:t>
            </w:r>
            <w:r w:rsidRPr="00CA4AB3">
              <w:rPr>
                <w:rFonts w:ascii="Arial Narrow" w:hAnsi="Arial Narrow"/>
                <w:sz w:val="20"/>
                <w:szCs w:val="20"/>
              </w:rPr>
              <w:t>services</w:t>
            </w:r>
            <w:r w:rsidRPr="00CA4AB3">
              <w:rPr>
                <w:rFonts w:ascii="Arial Narrow" w:hAnsi="Arial Narrow"/>
                <w:i/>
                <w:sz w:val="20"/>
                <w:szCs w:val="20"/>
              </w:rPr>
              <w:t>australia</w:t>
            </w:r>
            <w:r w:rsidRPr="00CA4AB3">
              <w:rPr>
                <w:rFonts w:ascii="Arial Narrow" w:hAnsi="Arial Narrow"/>
                <w:sz w:val="20"/>
                <w:szCs w:val="20"/>
              </w:rPr>
              <w:t>.gov.au</w:t>
            </w:r>
          </w:p>
          <w:p w:rsidR="00BA4F73" w:rsidRPr="00211118" w:rsidRDefault="00BA4F73" w:rsidP="00ED7596">
            <w:pPr>
              <w:jc w:val="left"/>
              <w:rPr>
                <w:rFonts w:ascii="Arial Narrow" w:hAnsi="Arial Narrow"/>
                <w:color w:val="333333"/>
                <w:sz w:val="20"/>
                <w:szCs w:val="20"/>
              </w:rPr>
            </w:pP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Applications for authority to prescribe should be </w:t>
            </w:r>
            <w:r w:rsidRPr="00211118">
              <w:rPr>
                <w:rFonts w:ascii="Arial Narrow" w:hAnsi="Arial Narrow"/>
                <w:strike/>
                <w:color w:val="333333"/>
                <w:sz w:val="20"/>
                <w:szCs w:val="20"/>
              </w:rPr>
              <w:t>forwarded to:</w:t>
            </w:r>
            <w:r w:rsidRPr="00211118">
              <w:rPr>
                <w:rFonts w:ascii="Arial Narrow" w:hAnsi="Arial Narrow"/>
                <w:color w:val="333333"/>
                <w:sz w:val="20"/>
                <w:szCs w:val="20"/>
              </w:rPr>
              <w:t xml:space="preserve"> </w:t>
            </w:r>
            <w:r w:rsidRPr="00211118">
              <w:rPr>
                <w:rFonts w:ascii="Arial Narrow" w:hAnsi="Arial Narrow"/>
                <w:i/>
                <w:color w:val="333333"/>
                <w:sz w:val="20"/>
                <w:szCs w:val="20"/>
              </w:rPr>
              <w:t>submitted</w:t>
            </w:r>
            <w:r w:rsidRPr="00211118">
              <w:rPr>
                <w:rFonts w:ascii="Arial Narrow" w:hAnsi="Arial Narrow"/>
                <w:color w:val="333333"/>
                <w:sz w:val="20"/>
                <w:szCs w:val="20"/>
              </w:rPr>
              <w:t xml:space="preserve"> </w:t>
            </w:r>
            <w:r w:rsidRPr="00211118">
              <w:rPr>
                <w:rFonts w:ascii="Arial Narrow" w:hAnsi="Arial Narrow"/>
                <w:i/>
                <w:color w:val="333333"/>
                <w:sz w:val="20"/>
                <w:szCs w:val="20"/>
              </w:rPr>
              <w:t>online using the form upload facility in Health Professional Online Services (HPOS)</w:t>
            </w:r>
            <w:r w:rsidRPr="00211118">
              <w:rPr>
                <w:rFonts w:ascii="Arial Narrow" w:hAnsi="Arial Narrow"/>
                <w:bCs/>
                <w:i/>
                <w:color w:val="333333"/>
                <w:sz w:val="20"/>
                <w:szCs w:val="20"/>
              </w:rPr>
              <w:t xml:space="preserve"> at www.servicesaustralia.gov.au/hpos </w:t>
            </w:r>
          </w:p>
          <w:p w:rsidR="00BA4F73" w:rsidRPr="00211118" w:rsidRDefault="00BA4F73" w:rsidP="00ED7596">
            <w:pPr>
              <w:jc w:val="left"/>
              <w:rPr>
                <w:rFonts w:ascii="Arial Narrow" w:hAnsi="Arial Narrow"/>
                <w:i/>
                <w:color w:val="333333"/>
                <w:sz w:val="20"/>
                <w:szCs w:val="20"/>
              </w:rPr>
            </w:pPr>
            <w:r w:rsidRPr="00211118">
              <w:rPr>
                <w:rFonts w:ascii="Arial Narrow" w:hAnsi="Arial Narrow"/>
                <w:i/>
                <w:color w:val="333333"/>
                <w:sz w:val="20"/>
                <w:szCs w:val="20"/>
              </w:rPr>
              <w:t>Or mailed to:</w:t>
            </w:r>
          </w:p>
          <w:p w:rsidR="00BA4F73" w:rsidRPr="00211118" w:rsidRDefault="00BA4F73" w:rsidP="00ED7596">
            <w:pPr>
              <w:jc w:val="left"/>
              <w:rPr>
                <w:rFonts w:ascii="Arial Narrow" w:hAnsi="Arial Narrow"/>
                <w:color w:val="333333"/>
                <w:sz w:val="20"/>
                <w:szCs w:val="20"/>
              </w:rPr>
            </w:pPr>
          </w:p>
          <w:p w:rsidR="00BA4F73" w:rsidRPr="00211118" w:rsidRDefault="00BA4F73" w:rsidP="00ED7596">
            <w:pPr>
              <w:jc w:val="left"/>
              <w:rPr>
                <w:rFonts w:ascii="Arial Narrow" w:hAnsi="Arial Narrow"/>
                <w:i/>
                <w:color w:val="333333"/>
                <w:sz w:val="20"/>
                <w:szCs w:val="20"/>
              </w:rPr>
            </w:pP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Complex Drugs </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 xml:space="preserve">Reply Paid 9826 </w:t>
            </w:r>
          </w:p>
          <w:p w:rsidR="00BA4F73" w:rsidRPr="00211118" w:rsidRDefault="00BA4F73" w:rsidP="00ED7596">
            <w:pPr>
              <w:jc w:val="left"/>
              <w:rPr>
                <w:rFonts w:ascii="Arial Narrow" w:hAnsi="Arial Narrow"/>
                <w:color w:val="333333"/>
                <w:sz w:val="20"/>
                <w:szCs w:val="20"/>
              </w:rPr>
            </w:pPr>
            <w:r w:rsidRPr="00211118">
              <w:rPr>
                <w:rFonts w:ascii="Arial Narrow" w:hAnsi="Arial Narrow"/>
                <w:color w:val="333333"/>
                <w:sz w:val="20"/>
                <w:szCs w:val="20"/>
              </w:rPr>
              <w:t>HOBART TAS 7001</w:t>
            </w:r>
          </w:p>
        </w:tc>
      </w:tr>
      <w:tr w:rsidR="00BA4F73" w:rsidRPr="00BA4F73"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A4F73" w:rsidRPr="00BA4F73" w:rsidRDefault="00BA4F73" w:rsidP="00ED7596">
            <w:pPr>
              <w:jc w:val="left"/>
              <w:rPr>
                <w:rFonts w:ascii="Arial Narrow" w:hAnsi="Arial Narrow"/>
                <w:b/>
                <w:bCs/>
                <w:color w:val="333333"/>
                <w:sz w:val="20"/>
                <w:szCs w:val="20"/>
              </w:rPr>
            </w:pPr>
            <w:r w:rsidRPr="00BA4F73">
              <w:rPr>
                <w:rFonts w:ascii="Arial Narrow" w:hAnsi="Arial Narrow"/>
                <w:b/>
                <w:bCs/>
                <w:color w:val="333333"/>
                <w:sz w:val="20"/>
                <w:szCs w:val="20"/>
              </w:rPr>
              <w:t>Administrative Advice:</w:t>
            </w:r>
          </w:p>
          <w:p w:rsidR="00BA4F73" w:rsidRPr="00BA4F73" w:rsidRDefault="00BA4F73" w:rsidP="00ED7596">
            <w:pPr>
              <w:jc w:val="left"/>
              <w:rPr>
                <w:rFonts w:ascii="Arial Narrow" w:hAnsi="Arial Narrow"/>
                <w:bCs/>
                <w:color w:val="333333"/>
                <w:sz w:val="20"/>
                <w:szCs w:val="20"/>
              </w:rPr>
            </w:pPr>
            <w:r w:rsidRPr="00BA4F73">
              <w:rPr>
                <w:rFonts w:ascii="Arial Narrow" w:hAnsi="Arial Narrow"/>
                <w:bCs/>
                <w:color w:val="333333"/>
                <w:sz w:val="20"/>
                <w:szCs w:val="20"/>
              </w:rPr>
              <w:t>No increase in the maximum number of repeats may be authorised</w:t>
            </w:r>
          </w:p>
        </w:tc>
      </w:tr>
      <w:tr w:rsidR="00BA4F73" w:rsidRPr="00BA4F73"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A4F73" w:rsidRPr="00BA4F73" w:rsidRDefault="00BA4F73" w:rsidP="00ED7596">
            <w:pPr>
              <w:jc w:val="left"/>
              <w:rPr>
                <w:rFonts w:ascii="Arial Narrow" w:hAnsi="Arial Narrow"/>
                <w:b/>
                <w:bCs/>
                <w:i/>
                <w:color w:val="333333"/>
                <w:sz w:val="20"/>
                <w:szCs w:val="20"/>
              </w:rPr>
            </w:pPr>
            <w:r w:rsidRPr="00BA4F73">
              <w:rPr>
                <w:rFonts w:ascii="Arial Narrow" w:hAnsi="Arial Narrow"/>
                <w:b/>
                <w:bCs/>
                <w:i/>
                <w:color w:val="333333"/>
                <w:sz w:val="20"/>
                <w:szCs w:val="20"/>
              </w:rPr>
              <w:t>Administrative Advice:</w:t>
            </w:r>
          </w:p>
          <w:p w:rsidR="00BA4F73" w:rsidRPr="00BA4F73" w:rsidRDefault="00BA4F73" w:rsidP="00ED7596">
            <w:pPr>
              <w:jc w:val="left"/>
              <w:rPr>
                <w:rFonts w:ascii="Arial Narrow" w:hAnsi="Arial Narrow"/>
                <w:bCs/>
                <w:i/>
                <w:color w:val="333333"/>
                <w:sz w:val="20"/>
                <w:szCs w:val="20"/>
              </w:rPr>
            </w:pPr>
            <w:r w:rsidRPr="00BA4F73">
              <w:rPr>
                <w:rFonts w:ascii="Arial Narrow" w:hAnsi="Arial Narrow"/>
                <w:bCs/>
                <w:i/>
                <w:color w:val="333333"/>
                <w:sz w:val="20"/>
                <w:szCs w:val="20"/>
              </w:rPr>
              <w:t>No increase in the maximum quantity or number of units may be authorised for applications treating one eye</w:t>
            </w:r>
          </w:p>
        </w:tc>
      </w:tr>
      <w:tr w:rsidR="00BA4F73" w:rsidRPr="00211118" w:rsidTr="00B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BA4F73" w:rsidRPr="00211118" w:rsidRDefault="00BA4F73" w:rsidP="00ED7596">
            <w:pPr>
              <w:jc w:val="left"/>
              <w:rPr>
                <w:rFonts w:ascii="Arial Narrow" w:hAnsi="Arial Narrow"/>
                <w:color w:val="333333"/>
                <w:sz w:val="20"/>
                <w:szCs w:val="20"/>
              </w:rPr>
            </w:pPr>
            <w:r w:rsidRPr="00211118">
              <w:rPr>
                <w:rFonts w:ascii="Arial Narrow" w:hAnsi="Arial Narrow"/>
                <w:b/>
                <w:bCs/>
                <w:color w:val="333333"/>
                <w:sz w:val="20"/>
                <w:szCs w:val="20"/>
              </w:rPr>
              <w:t>Administrative Advice:</w:t>
            </w:r>
            <w:r w:rsidRPr="00211118">
              <w:rPr>
                <w:rFonts w:ascii="Arial Narrow" w:hAnsi="Arial Narrow"/>
                <w:color w:val="333333"/>
                <w:sz w:val="20"/>
                <w:szCs w:val="20"/>
              </w:rPr>
              <w:t xml:space="preserve"> Special Pricing Arrangements apply</w:t>
            </w:r>
          </w:p>
        </w:tc>
      </w:tr>
    </w:tbl>
    <w:p w:rsidR="005F2F93" w:rsidRPr="005F2F93" w:rsidRDefault="005F2F93" w:rsidP="005F2F93">
      <w:pPr>
        <w:pStyle w:val="Bodytextitalics"/>
        <w:rPr>
          <w:b/>
          <w:snapToGrid w:val="0"/>
          <w:sz w:val="20"/>
          <w:szCs w:val="20"/>
        </w:rPr>
      </w:pPr>
    </w:p>
    <w:p w:rsidR="005F2F93" w:rsidRPr="00211118" w:rsidRDefault="005F2F93" w:rsidP="005F2F93">
      <w:pPr>
        <w:pStyle w:val="Bodytextitalics"/>
        <w:rPr>
          <w:rFonts w:ascii="Arial Narrow" w:hAnsi="Arial Narrow"/>
          <w:b/>
          <w:i w:val="0"/>
          <w:sz w:val="20"/>
          <w:szCs w:val="20"/>
        </w:rPr>
      </w:pPr>
      <w:r w:rsidRPr="00211118">
        <w:rPr>
          <w:rFonts w:ascii="Arial Narrow" w:hAnsi="Arial Narrow"/>
          <w:b/>
          <w:i w:val="0"/>
          <w:sz w:val="20"/>
          <w:szCs w:val="20"/>
        </w:rPr>
        <w:t>Contin</w:t>
      </w:r>
      <w:r w:rsidR="00860605">
        <w:rPr>
          <w:rFonts w:ascii="Arial Narrow" w:hAnsi="Arial Narrow"/>
          <w:b/>
          <w:i w:val="0"/>
          <w:sz w:val="20"/>
          <w:szCs w:val="20"/>
        </w:rPr>
        <w:t xml:space="preserve">uing treatment of </w:t>
      </w:r>
      <w:proofErr w:type="spellStart"/>
      <w:r w:rsidR="00860605">
        <w:rPr>
          <w:rFonts w:ascii="Arial Narrow" w:hAnsi="Arial Narrow"/>
          <w:b/>
          <w:i w:val="0"/>
          <w:sz w:val="20"/>
          <w:szCs w:val="20"/>
        </w:rPr>
        <w:t>subfoveal</w:t>
      </w:r>
      <w:proofErr w:type="spellEnd"/>
      <w:r w:rsidR="00860605">
        <w:rPr>
          <w:rFonts w:ascii="Arial Narrow" w:hAnsi="Arial Narrow"/>
          <w:b/>
          <w:i w:val="0"/>
          <w:sz w:val="20"/>
          <w:szCs w:val="20"/>
        </w:rPr>
        <w:t xml:space="preserve"> CNV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BA4F73" w:rsidRPr="00211118" w:rsidTr="00BA4F73">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D7596">
            <w:pPr>
              <w:rPr>
                <w:rFonts w:ascii="Arial Narrow" w:hAnsi="Arial Narrow"/>
                <w:sz w:val="20"/>
                <w:szCs w:val="20"/>
              </w:rPr>
            </w:pPr>
            <w:r w:rsidRPr="00211118">
              <w:rPr>
                <w:rFonts w:ascii="Arial Narrow" w:hAnsi="Arial Narrow"/>
                <w:b/>
                <w:sz w:val="20"/>
                <w:szCs w:val="20"/>
              </w:rPr>
              <w:t xml:space="preserve">Category / Program:   </w:t>
            </w:r>
            <w:r w:rsidRPr="00211118">
              <w:rPr>
                <w:rFonts w:ascii="Arial Narrow" w:hAnsi="Arial Narrow"/>
                <w:sz w:val="20"/>
                <w:szCs w:val="20"/>
              </w:rPr>
              <w:t xml:space="preserve">GENERAL – General Schedule (Code GE) </w:t>
            </w:r>
          </w:p>
        </w:tc>
      </w:tr>
      <w:tr w:rsidR="00BA4F73" w:rsidRPr="00211118" w:rsidTr="00BA4F73">
        <w:trPr>
          <w:trHeight w:val="240"/>
        </w:trPr>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D7596">
            <w:pPr>
              <w:rPr>
                <w:rFonts w:ascii="Arial Narrow" w:hAnsi="Arial Narrow"/>
                <w:b/>
                <w:sz w:val="20"/>
                <w:szCs w:val="20"/>
              </w:rPr>
            </w:pPr>
            <w:r w:rsidRPr="00211118">
              <w:rPr>
                <w:rFonts w:ascii="Arial Narrow" w:hAnsi="Arial Narrow"/>
                <w:b/>
                <w:sz w:val="20"/>
                <w:szCs w:val="20"/>
              </w:rPr>
              <w:t xml:space="preserve">Prescriber type:   </w:t>
            </w: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00535954">
              <w:rPr>
                <w:rFonts w:ascii="Arial Narrow" w:hAnsi="Arial Narrow"/>
                <w:sz w:val="20"/>
                <w:szCs w:val="20"/>
              </w:rPr>
              <w:t xml:space="preserve">Dental  </w:t>
            </w:r>
            <w:r w:rsidRPr="00211118">
              <w:rPr>
                <w:rFonts w:ascii="Arial Narrow" w:hAnsi="Arial Narrow"/>
                <w:sz w:val="20"/>
                <w:szCs w:val="20"/>
              </w:rPr>
              <w:fldChar w:fldCharType="begin">
                <w:ffData>
                  <w:name w:val=""/>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00535954">
              <w:rPr>
                <w:rFonts w:ascii="Arial Narrow" w:hAnsi="Arial Narrow"/>
                <w:sz w:val="20"/>
                <w:szCs w:val="20"/>
              </w:rPr>
              <w:t xml:space="preserve">Medical Practitioners  </w:t>
            </w:r>
            <w:r w:rsidRPr="00211118">
              <w:rPr>
                <w:rFonts w:ascii="Arial Narrow" w:hAnsi="Arial Narrow"/>
                <w:sz w:val="20"/>
                <w:szCs w:val="20"/>
              </w:rPr>
              <w:fldChar w:fldCharType="begin">
                <w:ffData>
                  <w:name w:val="Check3"/>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Nurse practitioners</w:t>
            </w:r>
            <w:r w:rsidR="00535954">
              <w:rPr>
                <w:rFonts w:ascii="Arial Narrow" w:hAnsi="Arial Narrow"/>
                <w:sz w:val="20"/>
                <w:szCs w:val="20"/>
              </w:rPr>
              <w:t xml:space="preserve">   </w:t>
            </w: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 xml:space="preserve">Optometrists   </w:t>
            </w:r>
            <w:r w:rsidRPr="00211118">
              <w:rPr>
                <w:rFonts w:ascii="Arial Narrow" w:hAnsi="Arial Narrow"/>
                <w:sz w:val="20"/>
                <w:szCs w:val="20"/>
              </w:rPr>
              <w:fldChar w:fldCharType="begin">
                <w:ffData>
                  <w:name w:val="Check5"/>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Midwives</w:t>
            </w:r>
          </w:p>
        </w:tc>
      </w:tr>
      <w:tr w:rsidR="00BA4F73" w:rsidRPr="00211118" w:rsidTr="00BA4F73">
        <w:tc>
          <w:tcPr>
            <w:tcW w:w="5000" w:type="pct"/>
            <w:tcBorders>
              <w:top w:val="single" w:sz="4" w:space="0" w:color="auto"/>
              <w:left w:val="single" w:sz="4" w:space="0" w:color="auto"/>
              <w:bottom w:val="single" w:sz="4" w:space="0" w:color="auto"/>
              <w:right w:val="single" w:sz="4" w:space="0" w:color="auto"/>
            </w:tcBorders>
          </w:tcPr>
          <w:p w:rsidR="00BA4F73" w:rsidRPr="00211118" w:rsidRDefault="00BA4F73" w:rsidP="00ED7596">
            <w:pPr>
              <w:rPr>
                <w:rFonts w:ascii="Arial Narrow" w:hAnsi="Arial Narrow"/>
                <w:b/>
                <w:sz w:val="20"/>
                <w:szCs w:val="20"/>
              </w:rPr>
            </w:pPr>
            <w:r w:rsidRPr="00211118">
              <w:rPr>
                <w:rFonts w:ascii="Arial Narrow" w:hAnsi="Arial Narrow"/>
                <w:b/>
                <w:sz w:val="20"/>
                <w:szCs w:val="20"/>
              </w:rPr>
              <w:t>Restriction Level / Method:</w:t>
            </w:r>
          </w:p>
          <w:p w:rsidR="00BA4F73" w:rsidRPr="00211118" w:rsidRDefault="00BA4F73" w:rsidP="00ED7596">
            <w:pPr>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Unrestricted benefit</w:t>
            </w:r>
          </w:p>
          <w:p w:rsidR="00BA4F73" w:rsidRPr="00211118" w:rsidRDefault="00BA4F73" w:rsidP="00ED7596">
            <w:pPr>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Restricted benefit</w:t>
            </w:r>
          </w:p>
          <w:p w:rsidR="00BA4F73" w:rsidRPr="00211118" w:rsidRDefault="00BA4F73" w:rsidP="00ED7596">
            <w:pPr>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In Writing</w:t>
            </w:r>
          </w:p>
          <w:p w:rsidR="00BA4F73" w:rsidRPr="00211118" w:rsidRDefault="00BA4F73" w:rsidP="00ED7596">
            <w:pPr>
              <w:rPr>
                <w:rFonts w:ascii="Arial Narrow" w:hAnsi="Arial Narrow"/>
                <w:sz w:val="20"/>
                <w:szCs w:val="20"/>
              </w:rPr>
            </w:pPr>
            <w:r w:rsidRPr="00211118">
              <w:rPr>
                <w:rFonts w:ascii="Arial Narrow" w:hAnsi="Arial Narrow"/>
                <w:sz w:val="20"/>
                <w:szCs w:val="20"/>
              </w:rPr>
              <w:fldChar w:fldCharType="begin">
                <w:ffData>
                  <w:name w:val="Check3"/>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Telephone/Electronic/Emergency</w:t>
            </w:r>
          </w:p>
          <w:p w:rsidR="00BA4F73" w:rsidRPr="00211118" w:rsidRDefault="00BA4F73" w:rsidP="00ED7596">
            <w:pPr>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Streamlined</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Indication:</w:t>
            </w:r>
            <w:r w:rsidRPr="00211118">
              <w:rPr>
                <w:rFonts w:ascii="Arial Narrow" w:hAnsi="Arial Narrow"/>
                <w:color w:val="333333"/>
                <w:sz w:val="20"/>
                <w:szCs w:val="20"/>
              </w:rPr>
              <w:t xml:space="preserve">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Treatment Phase:</w:t>
            </w:r>
            <w:r w:rsidRPr="00211118">
              <w:rPr>
                <w:rFonts w:ascii="Arial Narrow" w:hAnsi="Arial Narrow"/>
                <w:color w:val="333333"/>
                <w:sz w:val="20"/>
                <w:szCs w:val="20"/>
              </w:rPr>
              <w:t xml:space="preserve"> Continuing treatment</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t>The condition must be due to age-related macular degeneration (AMD)</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t>The treatment must be the sole PBS-subsidised therapy for this condition</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t>Patient must have previously been granted an authority prescription for the same eye</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AND</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Treatment criteria:</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t xml:space="preserve"> Must be treated by an ophthalmologist or in consultation with an ophthalmologist</w:t>
            </w:r>
          </w:p>
        </w:tc>
      </w:tr>
      <w:tr w:rsidR="00BA4F73" w:rsidRPr="00211118" w:rsidTr="000F68DD">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A4F73" w:rsidRPr="00211118" w:rsidRDefault="00BA4F73" w:rsidP="00ED7596">
            <w:pPr>
              <w:jc w:val="left"/>
              <w:rPr>
                <w:rFonts w:ascii="Arial Narrow" w:hAnsi="Arial Narrow"/>
                <w:i/>
                <w:color w:val="333333"/>
                <w:sz w:val="20"/>
                <w:szCs w:val="20"/>
              </w:rPr>
            </w:pPr>
            <w:r w:rsidRPr="00211118">
              <w:rPr>
                <w:rFonts w:ascii="Arial Narrow" w:hAnsi="Arial Narrow"/>
                <w:b/>
                <w:bCs/>
                <w:i/>
                <w:color w:val="333333"/>
                <w:sz w:val="20"/>
                <w:szCs w:val="20"/>
              </w:rPr>
              <w:t>Prescribing Instructions:</w:t>
            </w:r>
          </w:p>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i/>
                <w:sz w:val="20"/>
                <w:szCs w:val="20"/>
              </w:rPr>
              <w:t>Where both eyes are being treated simultaneously, a quantity of 2 vials can be requested on the same authority prescription form</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Administrative Advice:</w:t>
            </w:r>
            <w:r w:rsidRPr="00211118">
              <w:rPr>
                <w:rFonts w:ascii="Arial Narrow" w:hAnsi="Arial Narrow"/>
                <w:color w:val="333333"/>
                <w:sz w:val="20"/>
                <w:szCs w:val="20"/>
              </w:rPr>
              <w:t xml:space="preserve"> </w:t>
            </w:r>
          </w:p>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lastRenderedPageBreak/>
              <w:t xml:space="preserve">Authority approvals will be administered by the Complex Drugs Unit of </w:t>
            </w:r>
            <w:r w:rsidRPr="00211118">
              <w:rPr>
                <w:rFonts w:ascii="Arial Narrow" w:hAnsi="Arial Narrow"/>
                <w:strike/>
                <w:color w:val="333333"/>
                <w:sz w:val="20"/>
                <w:szCs w:val="20"/>
              </w:rPr>
              <w:t>the 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lastRenderedPageBreak/>
              <w:t>Administrative Advice:</w:t>
            </w:r>
          </w:p>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color w:val="333333"/>
                <w:sz w:val="20"/>
                <w:szCs w:val="20"/>
              </w:rPr>
              <w:t>Authority applications for continuing treatment in the same eye may be made by telephone on 1800 700 270 (hours of operation 8 a.m. to 5 p.m. EST Monday to Friday)</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Administrative Advice:</w:t>
            </w:r>
            <w:r w:rsidRPr="00211118">
              <w:rPr>
                <w:rFonts w:ascii="Arial Narrow" w:hAnsi="Arial Narrow"/>
                <w:color w:val="333333"/>
                <w:sz w:val="20"/>
                <w:szCs w:val="20"/>
              </w:rPr>
              <w:t xml:space="preserve"> No increase in the maximum number of repeats may be authorised</w:t>
            </w:r>
          </w:p>
        </w:tc>
      </w:tr>
      <w:tr w:rsidR="00BA4F73" w:rsidRPr="00211118" w:rsidTr="000F68DD">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A4F73" w:rsidRPr="00211118" w:rsidRDefault="00BA4F73" w:rsidP="00ED7596">
            <w:pPr>
              <w:jc w:val="left"/>
              <w:rPr>
                <w:rFonts w:ascii="Arial Narrow" w:hAnsi="Arial Narrow"/>
                <w:b/>
                <w:bCs/>
                <w:i/>
                <w:color w:val="333333"/>
                <w:sz w:val="20"/>
                <w:szCs w:val="20"/>
              </w:rPr>
            </w:pPr>
            <w:r w:rsidRPr="00211118">
              <w:rPr>
                <w:rFonts w:ascii="Arial Narrow" w:hAnsi="Arial Narrow"/>
                <w:b/>
                <w:bCs/>
                <w:i/>
                <w:color w:val="333333"/>
                <w:sz w:val="20"/>
                <w:szCs w:val="20"/>
              </w:rPr>
              <w:t>Administrative Advice:</w:t>
            </w:r>
          </w:p>
          <w:p w:rsidR="00BA4F73" w:rsidRPr="00211118" w:rsidRDefault="00BA4F73" w:rsidP="00ED7596">
            <w:pPr>
              <w:jc w:val="left"/>
              <w:rPr>
                <w:rFonts w:ascii="Arial Narrow" w:hAnsi="Arial Narrow"/>
                <w:b/>
                <w:bCs/>
                <w:i/>
                <w:color w:val="333333"/>
                <w:sz w:val="20"/>
                <w:szCs w:val="20"/>
              </w:rPr>
            </w:pPr>
            <w:r w:rsidRPr="00211118">
              <w:rPr>
                <w:rFonts w:ascii="Arial Narrow" w:hAnsi="Arial Narrow"/>
                <w:bCs/>
                <w:i/>
                <w:color w:val="333333"/>
                <w:sz w:val="20"/>
                <w:szCs w:val="20"/>
              </w:rPr>
              <w:t>No increase in the maximum quantity or number of units may be authorised for applications treating one eye</w:t>
            </w:r>
          </w:p>
        </w:tc>
      </w:tr>
      <w:tr w:rsidR="00BA4F73" w:rsidRPr="00211118" w:rsidTr="00BA4F73">
        <w:tc>
          <w:tcPr>
            <w:tcW w:w="5000" w:type="pct"/>
            <w:vAlign w:val="center"/>
            <w:hideMark/>
          </w:tcPr>
          <w:p w:rsidR="00BA4F73" w:rsidRPr="00211118" w:rsidRDefault="00BA4F73" w:rsidP="00ED7596">
            <w:pPr>
              <w:contextualSpacing/>
              <w:jc w:val="left"/>
              <w:rPr>
                <w:rFonts w:ascii="Arial Narrow" w:hAnsi="Arial Narrow"/>
                <w:color w:val="333333"/>
                <w:sz w:val="20"/>
                <w:szCs w:val="20"/>
              </w:rPr>
            </w:pPr>
            <w:r w:rsidRPr="00211118">
              <w:rPr>
                <w:rFonts w:ascii="Arial Narrow" w:hAnsi="Arial Narrow"/>
                <w:b/>
                <w:bCs/>
                <w:color w:val="333333"/>
                <w:sz w:val="20"/>
                <w:szCs w:val="20"/>
              </w:rPr>
              <w:t>Administrative Advice:</w:t>
            </w:r>
            <w:r w:rsidRPr="00211118">
              <w:rPr>
                <w:rFonts w:ascii="Arial Narrow" w:hAnsi="Arial Narrow"/>
                <w:color w:val="333333"/>
                <w:sz w:val="20"/>
                <w:szCs w:val="20"/>
              </w:rPr>
              <w:t xml:space="preserve"> Special Pricing Arrangements apply</w:t>
            </w:r>
          </w:p>
        </w:tc>
      </w:tr>
    </w:tbl>
    <w:p w:rsidR="005F2F93" w:rsidRPr="005F2F93" w:rsidRDefault="005F2F93" w:rsidP="005F2F93">
      <w:pPr>
        <w:pStyle w:val="Bodytextitalics"/>
        <w:rPr>
          <w:b/>
          <w:snapToGrid w:val="0"/>
          <w:sz w:val="20"/>
          <w:szCs w:val="20"/>
        </w:rPr>
      </w:pPr>
    </w:p>
    <w:p w:rsidR="005F2F93" w:rsidRPr="00211118" w:rsidRDefault="00860605" w:rsidP="00EE13DC">
      <w:pPr>
        <w:pStyle w:val="Bodytextitalics"/>
        <w:keepNext/>
        <w:keepLines/>
        <w:rPr>
          <w:rFonts w:ascii="Arial Narrow" w:hAnsi="Arial Narrow"/>
          <w:b/>
          <w:i w:val="0"/>
          <w:sz w:val="20"/>
          <w:szCs w:val="20"/>
        </w:rPr>
      </w:pPr>
      <w:r>
        <w:rPr>
          <w:rFonts w:ascii="Arial Narrow" w:hAnsi="Arial Narrow"/>
          <w:b/>
          <w:i w:val="0"/>
          <w:sz w:val="20"/>
          <w:szCs w:val="20"/>
        </w:rPr>
        <w:t xml:space="preserve">Grandfather </w:t>
      </w:r>
      <w:proofErr w:type="spellStart"/>
      <w:proofErr w:type="gramStart"/>
      <w:r>
        <w:rPr>
          <w:rFonts w:ascii="Arial Narrow" w:hAnsi="Arial Narrow"/>
          <w:b/>
          <w:i w:val="0"/>
          <w:sz w:val="20"/>
          <w:szCs w:val="20"/>
        </w:rPr>
        <w:t>subfoveal</w:t>
      </w:r>
      <w:proofErr w:type="spellEnd"/>
      <w:proofErr w:type="gramEnd"/>
      <w:r>
        <w:rPr>
          <w:rFonts w:ascii="Arial Narrow" w:hAnsi="Arial Narrow"/>
          <w:b/>
          <w:i w:val="0"/>
          <w:sz w:val="20"/>
          <w:szCs w:val="20"/>
        </w:rPr>
        <w:t xml:space="preserve"> CNV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9716BD" w:rsidRPr="00211118" w:rsidTr="009716BD">
        <w:tc>
          <w:tcPr>
            <w:tcW w:w="5000" w:type="pct"/>
            <w:tcBorders>
              <w:top w:val="single" w:sz="4" w:space="0" w:color="auto"/>
              <w:left w:val="single" w:sz="4" w:space="0" w:color="auto"/>
              <w:bottom w:val="single" w:sz="4" w:space="0" w:color="auto"/>
              <w:right w:val="single" w:sz="4" w:space="0" w:color="auto"/>
            </w:tcBorders>
          </w:tcPr>
          <w:p w:rsidR="009716BD" w:rsidRPr="00211118" w:rsidRDefault="009716BD" w:rsidP="00EE13DC">
            <w:pPr>
              <w:keepNext/>
              <w:keepLines/>
              <w:rPr>
                <w:rFonts w:ascii="Arial Narrow" w:hAnsi="Arial Narrow"/>
                <w:sz w:val="20"/>
                <w:szCs w:val="20"/>
              </w:rPr>
            </w:pPr>
            <w:r w:rsidRPr="00211118">
              <w:rPr>
                <w:rFonts w:ascii="Arial Narrow" w:hAnsi="Arial Narrow"/>
                <w:b/>
                <w:sz w:val="20"/>
                <w:szCs w:val="20"/>
              </w:rPr>
              <w:t xml:space="preserve">Category / Program:   </w:t>
            </w:r>
            <w:r w:rsidRPr="00211118">
              <w:rPr>
                <w:rFonts w:ascii="Arial Narrow" w:hAnsi="Arial Narrow"/>
                <w:sz w:val="20"/>
                <w:szCs w:val="20"/>
              </w:rPr>
              <w:t xml:space="preserve">GENERAL – General Schedule (Code GE) </w:t>
            </w:r>
          </w:p>
        </w:tc>
      </w:tr>
      <w:tr w:rsidR="009716BD" w:rsidRPr="00211118" w:rsidTr="009716BD">
        <w:trPr>
          <w:trHeight w:val="240"/>
        </w:trPr>
        <w:tc>
          <w:tcPr>
            <w:tcW w:w="5000" w:type="pct"/>
            <w:tcBorders>
              <w:top w:val="single" w:sz="4" w:space="0" w:color="auto"/>
              <w:left w:val="single" w:sz="4" w:space="0" w:color="auto"/>
              <w:bottom w:val="single" w:sz="4" w:space="0" w:color="auto"/>
              <w:right w:val="single" w:sz="4" w:space="0" w:color="auto"/>
            </w:tcBorders>
          </w:tcPr>
          <w:p w:rsidR="009716BD" w:rsidRPr="00211118" w:rsidRDefault="009716BD" w:rsidP="00EE13DC">
            <w:pPr>
              <w:keepNext/>
              <w:keepLines/>
              <w:rPr>
                <w:rFonts w:ascii="Arial Narrow" w:hAnsi="Arial Narrow"/>
                <w:b/>
                <w:sz w:val="20"/>
                <w:szCs w:val="20"/>
              </w:rPr>
            </w:pPr>
            <w:r w:rsidRPr="00211118">
              <w:rPr>
                <w:rFonts w:ascii="Arial Narrow" w:hAnsi="Arial Narrow"/>
                <w:b/>
                <w:sz w:val="20"/>
                <w:szCs w:val="20"/>
              </w:rPr>
              <w:t xml:space="preserve">Prescriber type:   </w:t>
            </w: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 xml:space="preserve">Dental   </w:t>
            </w:r>
            <w:r w:rsidRPr="00211118">
              <w:rPr>
                <w:rFonts w:ascii="Arial Narrow" w:hAnsi="Arial Narrow"/>
                <w:sz w:val="20"/>
                <w:szCs w:val="20"/>
              </w:rPr>
              <w:fldChar w:fldCharType="begin">
                <w:ffData>
                  <w:name w:val=""/>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 xml:space="preserve">Medical Practitioners   </w:t>
            </w:r>
            <w:r w:rsidRPr="00211118">
              <w:rPr>
                <w:rFonts w:ascii="Arial Narrow" w:hAnsi="Arial Narrow"/>
                <w:sz w:val="20"/>
                <w:szCs w:val="20"/>
              </w:rPr>
              <w:fldChar w:fldCharType="begin">
                <w:ffData>
                  <w:name w:val="Check3"/>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Nurse practitioners</w:t>
            </w:r>
            <w:r w:rsidR="00535954">
              <w:rPr>
                <w:rFonts w:ascii="Arial Narrow" w:hAnsi="Arial Narrow"/>
                <w:sz w:val="20"/>
                <w:szCs w:val="20"/>
              </w:rPr>
              <w:t xml:space="preserve">   </w:t>
            </w: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Optometrists</w:t>
            </w:r>
            <w:r w:rsidR="00535954">
              <w:rPr>
                <w:rFonts w:ascii="Arial Narrow" w:hAnsi="Arial Narrow"/>
                <w:sz w:val="20"/>
                <w:szCs w:val="20"/>
              </w:rPr>
              <w:t xml:space="preserve">  </w:t>
            </w:r>
            <w:bookmarkStart w:id="1" w:name="_GoBack"/>
            <w:bookmarkEnd w:id="1"/>
            <w:r w:rsidRPr="00211118">
              <w:rPr>
                <w:rFonts w:ascii="Arial Narrow" w:hAnsi="Arial Narrow"/>
                <w:sz w:val="20"/>
                <w:szCs w:val="20"/>
              </w:rPr>
              <w:t xml:space="preserve"> </w:t>
            </w:r>
            <w:r w:rsidRPr="00211118">
              <w:rPr>
                <w:rFonts w:ascii="Arial Narrow" w:hAnsi="Arial Narrow"/>
                <w:sz w:val="20"/>
                <w:szCs w:val="20"/>
              </w:rPr>
              <w:fldChar w:fldCharType="begin">
                <w:ffData>
                  <w:name w:val="Check5"/>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Midwives</w:t>
            </w:r>
          </w:p>
        </w:tc>
      </w:tr>
      <w:tr w:rsidR="009716BD" w:rsidRPr="00211118" w:rsidTr="009716BD">
        <w:tc>
          <w:tcPr>
            <w:tcW w:w="5000" w:type="pct"/>
            <w:tcBorders>
              <w:top w:val="single" w:sz="4" w:space="0" w:color="auto"/>
              <w:left w:val="single" w:sz="4" w:space="0" w:color="auto"/>
              <w:bottom w:val="single" w:sz="4" w:space="0" w:color="auto"/>
              <w:right w:val="single" w:sz="4" w:space="0" w:color="auto"/>
            </w:tcBorders>
          </w:tcPr>
          <w:p w:rsidR="009716BD" w:rsidRPr="00211118" w:rsidRDefault="009716BD" w:rsidP="00ED7596">
            <w:pPr>
              <w:rPr>
                <w:rFonts w:ascii="Arial Narrow" w:hAnsi="Arial Narrow"/>
                <w:b/>
                <w:sz w:val="20"/>
                <w:szCs w:val="20"/>
              </w:rPr>
            </w:pPr>
            <w:r w:rsidRPr="00211118">
              <w:rPr>
                <w:rFonts w:ascii="Arial Narrow" w:hAnsi="Arial Narrow"/>
                <w:b/>
                <w:sz w:val="20"/>
                <w:szCs w:val="20"/>
              </w:rPr>
              <w:t>Restriction Level / Method:</w:t>
            </w:r>
          </w:p>
          <w:p w:rsidR="009716BD" w:rsidRPr="00211118" w:rsidRDefault="009716BD" w:rsidP="00ED7596">
            <w:pPr>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Unrestricted benefit</w:t>
            </w:r>
          </w:p>
          <w:p w:rsidR="009716BD" w:rsidRPr="00211118" w:rsidRDefault="009716BD" w:rsidP="00ED7596">
            <w:pPr>
              <w:rPr>
                <w:rFonts w:ascii="Arial Narrow" w:hAnsi="Arial Narrow"/>
                <w:sz w:val="20"/>
                <w:szCs w:val="20"/>
              </w:rPr>
            </w:pPr>
            <w:r w:rsidRPr="00211118">
              <w:rPr>
                <w:rFonts w:ascii="Arial Narrow" w:hAnsi="Arial Narrow"/>
                <w:sz w:val="20"/>
                <w:szCs w:val="20"/>
              </w:rPr>
              <w:fldChar w:fldCharType="begin">
                <w:ffData>
                  <w:name w:val="Check1"/>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Restricted benefit</w:t>
            </w:r>
          </w:p>
          <w:p w:rsidR="009716BD" w:rsidRPr="00211118" w:rsidRDefault="009716BD" w:rsidP="00ED7596">
            <w:pPr>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In Writing</w:t>
            </w:r>
          </w:p>
          <w:p w:rsidR="009716BD" w:rsidRPr="00211118" w:rsidRDefault="009716BD" w:rsidP="00ED7596">
            <w:pPr>
              <w:rPr>
                <w:rFonts w:ascii="Arial Narrow" w:hAnsi="Arial Narrow"/>
                <w:sz w:val="20"/>
                <w:szCs w:val="20"/>
              </w:rPr>
            </w:pPr>
            <w:r w:rsidRPr="00211118">
              <w:rPr>
                <w:rFonts w:ascii="Arial Narrow" w:hAnsi="Arial Narrow"/>
                <w:sz w:val="20"/>
                <w:szCs w:val="20"/>
              </w:rPr>
              <w:fldChar w:fldCharType="begin">
                <w:ffData>
                  <w:name w:val="Check3"/>
                  <w:enabled/>
                  <w:calcOnExit w:val="0"/>
                  <w:checkBox>
                    <w:sizeAuto/>
                    <w:default w:val="1"/>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Telephone/Electronic/Emergency</w:t>
            </w:r>
          </w:p>
          <w:p w:rsidR="009716BD" w:rsidRPr="00211118" w:rsidRDefault="009716BD" w:rsidP="00ED7596">
            <w:pPr>
              <w:rPr>
                <w:rFonts w:ascii="Arial Narrow" w:hAnsi="Arial Narrow"/>
                <w:sz w:val="20"/>
                <w:szCs w:val="20"/>
              </w:rPr>
            </w:pPr>
            <w:r w:rsidRPr="00211118">
              <w:rPr>
                <w:rFonts w:ascii="Arial Narrow" w:hAnsi="Arial Narrow"/>
                <w:sz w:val="20"/>
                <w:szCs w:val="20"/>
              </w:rPr>
              <w:fldChar w:fldCharType="begin">
                <w:ffData>
                  <w:name w:val=""/>
                  <w:enabled/>
                  <w:calcOnExit w:val="0"/>
                  <w:checkBox>
                    <w:sizeAuto/>
                    <w:default w:val="0"/>
                  </w:checkBox>
                </w:ffData>
              </w:fldChar>
            </w:r>
            <w:r w:rsidRPr="00211118">
              <w:rPr>
                <w:rFonts w:ascii="Arial Narrow" w:hAnsi="Arial Narrow"/>
                <w:sz w:val="20"/>
                <w:szCs w:val="20"/>
              </w:rPr>
              <w:instrText xml:space="preserve"> FORMCHECKBOX </w:instrText>
            </w:r>
            <w:r w:rsidR="00472FB5">
              <w:rPr>
                <w:rFonts w:ascii="Arial Narrow" w:hAnsi="Arial Narrow"/>
                <w:sz w:val="20"/>
                <w:szCs w:val="20"/>
              </w:rPr>
            </w:r>
            <w:r w:rsidR="00472FB5">
              <w:rPr>
                <w:rFonts w:ascii="Arial Narrow" w:hAnsi="Arial Narrow"/>
                <w:sz w:val="20"/>
                <w:szCs w:val="20"/>
              </w:rPr>
              <w:fldChar w:fldCharType="separate"/>
            </w:r>
            <w:r w:rsidRPr="00211118">
              <w:rPr>
                <w:rFonts w:ascii="Arial Narrow" w:hAnsi="Arial Narrow"/>
                <w:sz w:val="20"/>
                <w:szCs w:val="20"/>
              </w:rPr>
              <w:fldChar w:fldCharType="end"/>
            </w:r>
            <w:r w:rsidRPr="00211118">
              <w:rPr>
                <w:rFonts w:ascii="Arial Narrow" w:hAnsi="Arial Narrow"/>
                <w:sz w:val="20"/>
                <w:szCs w:val="20"/>
              </w:rPr>
              <w:t>Authority Required - Streamlined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Indication:</w:t>
            </w:r>
            <w:r w:rsidRPr="00211118">
              <w:rPr>
                <w:rFonts w:ascii="Arial Narrow" w:hAnsi="Arial Narrow"/>
                <w:color w:val="333333"/>
                <w:sz w:val="20"/>
                <w:szCs w:val="20"/>
              </w:rPr>
              <w:t xml:space="preserve">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Treatment Phase:</w:t>
            </w:r>
            <w:r w:rsidRPr="00211118">
              <w:rPr>
                <w:rFonts w:ascii="Arial Narrow" w:hAnsi="Arial Narrow"/>
                <w:color w:val="333333"/>
                <w:sz w:val="20"/>
                <w:szCs w:val="20"/>
              </w:rPr>
              <w:t xml:space="preserve"> Grandfathered treatment</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due to age-related macular degeneration (AMD)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9716BD" w:rsidRPr="00211118" w:rsidRDefault="009716BD" w:rsidP="00ED7596">
            <w:pPr>
              <w:jc w:val="left"/>
              <w:rPr>
                <w:rFonts w:ascii="Arial Narrow" w:hAnsi="Arial Narrow"/>
                <w:b/>
                <w:bCs/>
                <w:i/>
                <w:color w:val="333333"/>
                <w:sz w:val="20"/>
                <w:szCs w:val="20"/>
              </w:rPr>
            </w:pPr>
            <w:r w:rsidRPr="00211118">
              <w:rPr>
                <w:rFonts w:ascii="Arial Narrow" w:hAnsi="Arial Narrow"/>
                <w:b/>
                <w:bCs/>
                <w:i/>
                <w:color w:val="333333"/>
                <w:sz w:val="20"/>
                <w:szCs w:val="20"/>
              </w:rPr>
              <w:t>Clinical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9716BD" w:rsidRPr="00211118" w:rsidRDefault="009716BD" w:rsidP="00ED7596">
            <w:pPr>
              <w:rPr>
                <w:rFonts w:ascii="Arial Narrow" w:hAnsi="Arial Narrow"/>
                <w:i/>
                <w:sz w:val="20"/>
                <w:szCs w:val="20"/>
              </w:rPr>
            </w:pPr>
            <w:r w:rsidRPr="00211118">
              <w:rPr>
                <w:rFonts w:ascii="Arial Narrow" w:hAnsi="Arial Narrow"/>
                <w:i/>
                <w:sz w:val="20"/>
                <w:szCs w:val="20"/>
              </w:rPr>
              <w:t xml:space="preserve">Patient must have received non-PBS subsidised treatment with this drug for this condition </w:t>
            </w:r>
            <w:r w:rsidRPr="00C16796">
              <w:rPr>
                <w:rFonts w:ascii="Arial Narrow" w:hAnsi="Arial Narrow"/>
                <w:i/>
                <w:sz w:val="20"/>
                <w:szCs w:val="20"/>
              </w:rPr>
              <w:t>prior to [insert listing date]</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9716BD" w:rsidRPr="00211118" w:rsidRDefault="009716BD" w:rsidP="00ED7596">
            <w:pPr>
              <w:rPr>
                <w:rFonts w:ascii="Arial Narrow" w:hAnsi="Arial Narrow"/>
                <w:b/>
                <w:sz w:val="20"/>
                <w:szCs w:val="20"/>
              </w:rPr>
            </w:pPr>
            <w:r w:rsidRPr="00211118">
              <w:rPr>
                <w:rFonts w:ascii="Arial Narrow" w:hAnsi="Arial Narrow"/>
                <w:b/>
                <w:sz w:val="20"/>
                <w:szCs w:val="20"/>
              </w:rPr>
              <w:t>AND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diagnosed by optical coherence tomography; or</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The condition must be diagnosed by fluorescein angiography</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Clinical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The treatment must be the sole PBS-subsidised therapy for this condition</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AND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Treatment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Must be treated by an ophthalmologist or in consultation with an ophthalmologist</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Prescribing Instructions:</w:t>
            </w:r>
            <w:r w:rsidRPr="00211118">
              <w:rPr>
                <w:rFonts w:ascii="Arial Narrow" w:hAnsi="Arial Narrow"/>
                <w:color w:val="333333"/>
                <w:sz w:val="20"/>
                <w:szCs w:val="20"/>
              </w:rPr>
              <w:t xml:space="preserve"> Authority approval for initial treatment of each eye must be sought.</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Prescribing Instructions:</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The first authority application for each eye must be made in writing or by telephone.</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A written application must include:</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a) a completed authority prescription form;</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b) a completed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 - PBS Supporting Information Form; and</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c) </w:t>
            </w:r>
            <w:proofErr w:type="gramStart"/>
            <w:r w:rsidRPr="00211118">
              <w:rPr>
                <w:rFonts w:ascii="Arial Narrow" w:hAnsi="Arial Narrow"/>
                <w:color w:val="333333"/>
                <w:sz w:val="20"/>
                <w:szCs w:val="20"/>
              </w:rPr>
              <w:t>a</w:t>
            </w:r>
            <w:proofErr w:type="gramEnd"/>
            <w:r w:rsidRPr="00211118">
              <w:rPr>
                <w:rFonts w:ascii="Arial Narrow" w:hAnsi="Arial Narrow"/>
                <w:color w:val="333333"/>
                <w:sz w:val="20"/>
                <w:szCs w:val="20"/>
              </w:rPr>
              <w:t xml:space="preserve"> copy of the optical coherence tomography or fluorescein angiogram report.</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A telephone application must be made following submission by facsimile of a copy of a completed </w:t>
            </w:r>
            <w:proofErr w:type="spellStart"/>
            <w:r w:rsidRPr="00211118">
              <w:rPr>
                <w:rFonts w:ascii="Arial Narrow" w:hAnsi="Arial Narrow"/>
                <w:color w:val="333333"/>
                <w:sz w:val="20"/>
                <w:szCs w:val="20"/>
              </w:rPr>
              <w:t>Subfoveal</w:t>
            </w:r>
            <w:proofErr w:type="spellEnd"/>
            <w:r w:rsidRPr="00211118">
              <w:rPr>
                <w:rFonts w:ascii="Arial Narrow" w:hAnsi="Arial Narrow"/>
                <w:color w:val="333333"/>
                <w:sz w:val="20"/>
                <w:szCs w:val="20"/>
              </w:rPr>
              <w:t xml:space="preserve"> Choroidal Neovascularisation (CNV) - PBS Supporting Information Form and a copy of the optical coherence tomography or fluorescein angiogram report.</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716BD" w:rsidRPr="00211118" w:rsidRDefault="009716BD" w:rsidP="00ED7596">
            <w:pPr>
              <w:jc w:val="left"/>
              <w:rPr>
                <w:rFonts w:ascii="Arial Narrow" w:hAnsi="Arial Narrow"/>
                <w:i/>
                <w:color w:val="333333"/>
                <w:sz w:val="20"/>
                <w:szCs w:val="20"/>
              </w:rPr>
            </w:pPr>
            <w:r w:rsidRPr="00211118">
              <w:rPr>
                <w:rFonts w:ascii="Arial Narrow" w:hAnsi="Arial Narrow"/>
                <w:b/>
                <w:bCs/>
                <w:i/>
                <w:color w:val="333333"/>
                <w:sz w:val="20"/>
                <w:szCs w:val="20"/>
              </w:rPr>
              <w:t>Prescribing Instructions:</w:t>
            </w:r>
          </w:p>
          <w:p w:rsidR="009716BD" w:rsidRPr="00211118" w:rsidRDefault="009716BD" w:rsidP="00ED7596">
            <w:pPr>
              <w:rPr>
                <w:rFonts w:ascii="Arial Narrow" w:hAnsi="Arial Narrow" w:cstheme="minorHAnsi"/>
                <w:i/>
                <w:color w:val="FF0000"/>
                <w:sz w:val="20"/>
                <w:szCs w:val="20"/>
              </w:rPr>
            </w:pPr>
            <w:r w:rsidRPr="00211118">
              <w:rPr>
                <w:rFonts w:ascii="Arial Narrow" w:hAnsi="Arial Narrow"/>
                <w:i/>
                <w:sz w:val="20"/>
                <w:szCs w:val="20"/>
              </w:rPr>
              <w:t>Where both eyes are being treated simultaneously, a quantity of 2 vials can be requested on the same authority prescription form.</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716BD" w:rsidRPr="00211118" w:rsidRDefault="009716BD" w:rsidP="00ED7596">
            <w:pPr>
              <w:jc w:val="left"/>
              <w:rPr>
                <w:rFonts w:ascii="Arial Narrow" w:hAnsi="Arial Narrow"/>
                <w:b/>
                <w:bCs/>
                <w:i/>
                <w:color w:val="333333"/>
                <w:sz w:val="20"/>
                <w:szCs w:val="20"/>
              </w:rPr>
            </w:pPr>
            <w:r w:rsidRPr="00211118">
              <w:rPr>
                <w:rFonts w:ascii="Arial Narrow" w:hAnsi="Arial Narrow"/>
                <w:b/>
                <w:bCs/>
                <w:i/>
                <w:color w:val="333333"/>
                <w:sz w:val="20"/>
                <w:szCs w:val="20"/>
              </w:rPr>
              <w:t>Administrative advice:</w:t>
            </w:r>
          </w:p>
          <w:p w:rsidR="009716BD" w:rsidRPr="00211118" w:rsidRDefault="009716BD" w:rsidP="00ED7596">
            <w:pPr>
              <w:jc w:val="left"/>
              <w:rPr>
                <w:rFonts w:ascii="Arial Narrow" w:hAnsi="Arial Narrow"/>
                <w:bCs/>
                <w:color w:val="333333"/>
                <w:sz w:val="20"/>
                <w:szCs w:val="20"/>
              </w:rPr>
            </w:pPr>
            <w:r w:rsidRPr="00211118">
              <w:rPr>
                <w:rFonts w:ascii="Arial Narrow" w:hAnsi="Arial Narrow"/>
                <w:bCs/>
                <w:i/>
                <w:color w:val="333333"/>
                <w:sz w:val="20"/>
                <w:szCs w:val="20"/>
              </w:rPr>
              <w:lastRenderedPageBreak/>
              <w:t>Patients may qualify for PBS-subsidised treatment under this restriction once only. For continuing PBS-subsidised treatment, a 'Grandfathered' patient must qualify under the 'Continuing treatment' criteria.</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716BD" w:rsidRPr="00C16796" w:rsidRDefault="009716BD" w:rsidP="00ED7596">
            <w:pPr>
              <w:jc w:val="left"/>
              <w:rPr>
                <w:rFonts w:ascii="Arial Narrow" w:hAnsi="Arial Narrow"/>
                <w:b/>
                <w:bCs/>
                <w:i/>
                <w:sz w:val="20"/>
                <w:szCs w:val="20"/>
              </w:rPr>
            </w:pPr>
            <w:r w:rsidRPr="00C16796">
              <w:rPr>
                <w:rFonts w:ascii="Arial Narrow" w:hAnsi="Arial Narrow"/>
                <w:b/>
                <w:bCs/>
                <w:i/>
                <w:sz w:val="20"/>
                <w:szCs w:val="20"/>
              </w:rPr>
              <w:lastRenderedPageBreak/>
              <w:t>Administrative advice:</w:t>
            </w:r>
          </w:p>
          <w:p w:rsidR="009716BD" w:rsidRPr="00C16796" w:rsidRDefault="009716BD" w:rsidP="00ED7596">
            <w:pPr>
              <w:jc w:val="left"/>
              <w:rPr>
                <w:rFonts w:ascii="Arial Narrow" w:hAnsi="Arial Narrow"/>
                <w:b/>
                <w:bCs/>
                <w:i/>
                <w:sz w:val="20"/>
                <w:szCs w:val="20"/>
              </w:rPr>
            </w:pPr>
            <w:r w:rsidRPr="00C16796">
              <w:rPr>
                <w:rFonts w:ascii="Arial Narrow" w:hAnsi="Arial Narrow"/>
                <w:bCs/>
                <w:i/>
                <w:sz w:val="20"/>
                <w:szCs w:val="20"/>
              </w:rPr>
              <w:t>This grandfather restriction will cease to operate from [insert a date which is 12 months from listing date here]</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Administrative Advice:</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The first authority application may be faxed to the </w:t>
            </w: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r w:rsidRPr="00211118">
              <w:rPr>
                <w:rFonts w:ascii="Arial Narrow" w:hAnsi="Arial Narrow"/>
                <w:color w:val="333333"/>
                <w:sz w:val="20"/>
                <w:szCs w:val="20"/>
              </w:rPr>
              <w:t xml:space="preserve"> on 1300 093 177 (hours of operation 8 a.m. to 5 p.m. EST Monday to Friday). </w:t>
            </w:r>
            <w:r w:rsidRPr="00211118">
              <w:rPr>
                <w:rFonts w:ascii="Arial Narrow" w:hAnsi="Arial Narrow"/>
                <w:strike/>
                <w:color w:val="333333"/>
                <w:sz w:val="20"/>
                <w:szCs w:val="20"/>
              </w:rPr>
              <w:t>The Department</w:t>
            </w:r>
            <w:r w:rsidRPr="00211118">
              <w:rPr>
                <w:rFonts w:ascii="Arial Narrow" w:hAnsi="Arial Narrow"/>
                <w:color w:val="333333"/>
                <w:sz w:val="20"/>
                <w:szCs w:val="20"/>
              </w:rPr>
              <w:t xml:space="preserve"> </w:t>
            </w:r>
            <w:r w:rsidRPr="00211118">
              <w:rPr>
                <w:rFonts w:ascii="Arial Narrow" w:hAnsi="Arial Narrow"/>
                <w:i/>
                <w:color w:val="333333"/>
                <w:sz w:val="20"/>
                <w:szCs w:val="20"/>
              </w:rPr>
              <w:t xml:space="preserve">Services Australia </w:t>
            </w:r>
            <w:r w:rsidRPr="00211118">
              <w:rPr>
                <w:rFonts w:ascii="Arial Narrow" w:hAnsi="Arial Narrow"/>
                <w:color w:val="333333"/>
                <w:sz w:val="20"/>
                <w:szCs w:val="20"/>
              </w:rPr>
              <w:t>will then contact the prescriber by telephone.</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Administrative Advice:</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Any queries concerning the arrangements to prescribe may be directed to the </w:t>
            </w: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r w:rsidRPr="00211118">
              <w:rPr>
                <w:rFonts w:ascii="Arial Narrow" w:hAnsi="Arial Narrow"/>
                <w:color w:val="333333"/>
                <w:sz w:val="20"/>
                <w:szCs w:val="20"/>
              </w:rPr>
              <w:t xml:space="preserve"> on 1800 700 270 (hours of operation 8 a.m. to 5 p.m. EST Monday to Friday).</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 </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Prescribing information (including Authority Application forms and other relevant documentation as applicable) is available on the </w:t>
            </w:r>
            <w:r w:rsidRPr="00211118">
              <w:rPr>
                <w:rFonts w:ascii="Arial Narrow" w:hAnsi="Arial Narrow"/>
                <w:strike/>
                <w:color w:val="333333"/>
                <w:sz w:val="20"/>
                <w:szCs w:val="20"/>
              </w:rPr>
              <w:t xml:space="preserve">Department of Human </w:t>
            </w:r>
            <w:r w:rsidRPr="00211118">
              <w:rPr>
                <w:rFonts w:ascii="Arial Narrow" w:hAnsi="Arial Narrow"/>
                <w:color w:val="333333"/>
                <w:sz w:val="20"/>
                <w:szCs w:val="20"/>
              </w:rPr>
              <w:t xml:space="preserve">Services </w:t>
            </w:r>
            <w:r w:rsidRPr="00211118">
              <w:rPr>
                <w:rFonts w:ascii="Arial Narrow" w:hAnsi="Arial Narrow"/>
                <w:i/>
                <w:color w:val="333333"/>
                <w:sz w:val="20"/>
                <w:szCs w:val="20"/>
              </w:rPr>
              <w:t xml:space="preserve">Australia </w:t>
            </w:r>
            <w:r w:rsidRPr="00211118">
              <w:rPr>
                <w:rFonts w:ascii="Arial Narrow" w:hAnsi="Arial Narrow"/>
                <w:color w:val="333333"/>
                <w:sz w:val="20"/>
                <w:szCs w:val="20"/>
              </w:rPr>
              <w:t xml:space="preserve">website at </w:t>
            </w:r>
            <w:r w:rsidRPr="00CA4AB3">
              <w:rPr>
                <w:rFonts w:ascii="Arial Narrow" w:hAnsi="Arial Narrow"/>
                <w:sz w:val="20"/>
                <w:szCs w:val="20"/>
              </w:rPr>
              <w:t>www.</w:t>
            </w:r>
            <w:r w:rsidRPr="00CA4AB3">
              <w:rPr>
                <w:rFonts w:ascii="Arial Narrow" w:hAnsi="Arial Narrow"/>
                <w:strike/>
                <w:sz w:val="20"/>
                <w:szCs w:val="20"/>
              </w:rPr>
              <w:t>human</w:t>
            </w:r>
            <w:r w:rsidRPr="00CA4AB3">
              <w:rPr>
                <w:rFonts w:ascii="Arial Narrow" w:hAnsi="Arial Narrow"/>
                <w:sz w:val="20"/>
                <w:szCs w:val="20"/>
              </w:rPr>
              <w:t>services</w:t>
            </w:r>
            <w:r w:rsidRPr="00CA4AB3">
              <w:rPr>
                <w:rFonts w:ascii="Arial Narrow" w:hAnsi="Arial Narrow"/>
                <w:i/>
                <w:sz w:val="20"/>
                <w:szCs w:val="20"/>
              </w:rPr>
              <w:t>australia</w:t>
            </w:r>
            <w:r w:rsidRPr="00CA4AB3">
              <w:rPr>
                <w:rFonts w:ascii="Arial Narrow" w:hAnsi="Arial Narrow"/>
                <w:sz w:val="20"/>
                <w:szCs w:val="20"/>
              </w:rPr>
              <w:t>.gov.au</w:t>
            </w:r>
          </w:p>
          <w:p w:rsidR="009716BD" w:rsidRPr="00211118" w:rsidRDefault="009716BD" w:rsidP="00ED7596">
            <w:pPr>
              <w:jc w:val="left"/>
              <w:rPr>
                <w:rFonts w:ascii="Arial Narrow" w:hAnsi="Arial Narrow"/>
                <w:color w:val="333333"/>
                <w:sz w:val="20"/>
                <w:szCs w:val="20"/>
              </w:rPr>
            </w:pP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Applications for authority to prescribe should be </w:t>
            </w:r>
            <w:r w:rsidRPr="00211118">
              <w:rPr>
                <w:rFonts w:ascii="Arial Narrow" w:hAnsi="Arial Narrow"/>
                <w:strike/>
                <w:color w:val="333333"/>
                <w:sz w:val="20"/>
                <w:szCs w:val="20"/>
              </w:rPr>
              <w:t>forwarded to:</w:t>
            </w:r>
            <w:r w:rsidRPr="00211118">
              <w:rPr>
                <w:rFonts w:ascii="Arial Narrow" w:hAnsi="Arial Narrow"/>
                <w:color w:val="333333"/>
                <w:sz w:val="20"/>
                <w:szCs w:val="20"/>
              </w:rPr>
              <w:t xml:space="preserve"> </w:t>
            </w:r>
            <w:r w:rsidRPr="00211118">
              <w:rPr>
                <w:rFonts w:ascii="Arial Narrow" w:hAnsi="Arial Narrow"/>
                <w:i/>
                <w:color w:val="333333"/>
                <w:sz w:val="20"/>
                <w:szCs w:val="20"/>
              </w:rPr>
              <w:t>submitted</w:t>
            </w:r>
            <w:r w:rsidRPr="00211118">
              <w:rPr>
                <w:rFonts w:ascii="Arial Narrow" w:hAnsi="Arial Narrow"/>
                <w:color w:val="333333"/>
                <w:sz w:val="20"/>
                <w:szCs w:val="20"/>
              </w:rPr>
              <w:t xml:space="preserve"> </w:t>
            </w:r>
            <w:r w:rsidRPr="00211118">
              <w:rPr>
                <w:rFonts w:ascii="Arial Narrow" w:hAnsi="Arial Narrow"/>
                <w:i/>
                <w:color w:val="333333"/>
                <w:sz w:val="20"/>
                <w:szCs w:val="20"/>
              </w:rPr>
              <w:t>online using the form upload facility in Health Professional Online Services (HPOS)</w:t>
            </w:r>
            <w:r w:rsidRPr="00211118">
              <w:rPr>
                <w:rFonts w:ascii="Arial Narrow" w:hAnsi="Arial Narrow"/>
                <w:bCs/>
                <w:i/>
                <w:color w:val="333333"/>
                <w:sz w:val="20"/>
                <w:szCs w:val="20"/>
              </w:rPr>
              <w:t xml:space="preserve"> at www.servicesaustralia.gov.au/hpos </w:t>
            </w:r>
          </w:p>
          <w:p w:rsidR="009716BD" w:rsidRPr="00211118" w:rsidRDefault="009716BD" w:rsidP="00ED7596">
            <w:pPr>
              <w:jc w:val="left"/>
              <w:rPr>
                <w:rFonts w:ascii="Arial Narrow" w:hAnsi="Arial Narrow"/>
                <w:i/>
                <w:color w:val="333333"/>
                <w:sz w:val="20"/>
                <w:szCs w:val="20"/>
              </w:rPr>
            </w:pPr>
            <w:r w:rsidRPr="00211118">
              <w:rPr>
                <w:rFonts w:ascii="Arial Narrow" w:hAnsi="Arial Narrow"/>
                <w:i/>
                <w:color w:val="333333"/>
                <w:sz w:val="20"/>
                <w:szCs w:val="20"/>
              </w:rPr>
              <w:t>Or mailed to:</w:t>
            </w:r>
          </w:p>
          <w:p w:rsidR="009716BD" w:rsidRPr="00211118" w:rsidRDefault="009716BD" w:rsidP="00ED7596">
            <w:pPr>
              <w:jc w:val="left"/>
              <w:rPr>
                <w:rFonts w:ascii="Arial Narrow" w:hAnsi="Arial Narrow"/>
                <w:color w:val="333333"/>
                <w:sz w:val="20"/>
                <w:szCs w:val="20"/>
              </w:rPr>
            </w:pPr>
          </w:p>
          <w:p w:rsidR="009716BD" w:rsidRPr="00211118" w:rsidRDefault="009716BD" w:rsidP="00ED7596">
            <w:pPr>
              <w:jc w:val="left"/>
              <w:rPr>
                <w:rFonts w:ascii="Arial Narrow" w:hAnsi="Arial Narrow"/>
                <w:i/>
                <w:color w:val="333333"/>
                <w:sz w:val="20"/>
                <w:szCs w:val="20"/>
              </w:rPr>
            </w:pPr>
            <w:r w:rsidRPr="00211118">
              <w:rPr>
                <w:rFonts w:ascii="Arial Narrow" w:hAnsi="Arial Narrow"/>
                <w:strike/>
                <w:color w:val="333333"/>
                <w:sz w:val="20"/>
                <w:szCs w:val="20"/>
              </w:rPr>
              <w:t>Department of Human</w:t>
            </w:r>
            <w:r w:rsidRPr="00211118">
              <w:rPr>
                <w:rFonts w:ascii="Arial Narrow" w:hAnsi="Arial Narrow"/>
                <w:color w:val="333333"/>
                <w:sz w:val="20"/>
                <w:szCs w:val="20"/>
              </w:rPr>
              <w:t xml:space="preserve"> Services </w:t>
            </w:r>
            <w:r w:rsidRPr="00211118">
              <w:rPr>
                <w:rFonts w:ascii="Arial Narrow" w:hAnsi="Arial Narrow"/>
                <w:i/>
                <w:color w:val="333333"/>
                <w:sz w:val="20"/>
                <w:szCs w:val="20"/>
              </w:rPr>
              <w:t>Australia</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Complex Drugs </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 xml:space="preserve">Reply Paid 9826 </w:t>
            </w:r>
          </w:p>
          <w:p w:rsidR="009716BD" w:rsidRPr="00211118" w:rsidRDefault="009716BD" w:rsidP="00ED7596">
            <w:pPr>
              <w:jc w:val="left"/>
              <w:rPr>
                <w:rFonts w:ascii="Arial Narrow" w:hAnsi="Arial Narrow"/>
                <w:color w:val="333333"/>
                <w:sz w:val="20"/>
                <w:szCs w:val="20"/>
              </w:rPr>
            </w:pPr>
            <w:r w:rsidRPr="00211118">
              <w:rPr>
                <w:rFonts w:ascii="Arial Narrow" w:hAnsi="Arial Narrow"/>
                <w:color w:val="333333"/>
                <w:sz w:val="20"/>
                <w:szCs w:val="20"/>
              </w:rPr>
              <w:t>HOBART TAS 7001</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716BD" w:rsidRPr="00211118" w:rsidRDefault="009716BD" w:rsidP="00ED7596">
            <w:pPr>
              <w:jc w:val="left"/>
              <w:rPr>
                <w:rFonts w:ascii="Arial Narrow" w:hAnsi="Arial Narrow"/>
                <w:b/>
                <w:bCs/>
                <w:color w:val="333333"/>
                <w:sz w:val="20"/>
                <w:szCs w:val="20"/>
              </w:rPr>
            </w:pPr>
            <w:r w:rsidRPr="00211118">
              <w:rPr>
                <w:rFonts w:ascii="Arial Narrow" w:hAnsi="Arial Narrow"/>
                <w:b/>
                <w:bCs/>
                <w:color w:val="333333"/>
                <w:sz w:val="20"/>
                <w:szCs w:val="20"/>
              </w:rPr>
              <w:t xml:space="preserve">Administrative Advice: </w:t>
            </w:r>
            <w:r w:rsidRPr="00211118">
              <w:rPr>
                <w:rFonts w:ascii="Arial Narrow" w:hAnsi="Arial Narrow"/>
                <w:bCs/>
                <w:color w:val="333333"/>
                <w:sz w:val="20"/>
                <w:szCs w:val="20"/>
              </w:rPr>
              <w:t>No increase in the maximum number of repeats may be authorised</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716BD" w:rsidRPr="00211118" w:rsidRDefault="009716BD" w:rsidP="00ED7596">
            <w:pPr>
              <w:jc w:val="left"/>
              <w:rPr>
                <w:rFonts w:ascii="Arial Narrow" w:hAnsi="Arial Narrow"/>
                <w:b/>
                <w:bCs/>
                <w:i/>
                <w:color w:val="333333"/>
                <w:sz w:val="20"/>
                <w:szCs w:val="20"/>
              </w:rPr>
            </w:pPr>
            <w:r w:rsidRPr="00211118">
              <w:rPr>
                <w:rFonts w:ascii="Arial Narrow" w:hAnsi="Arial Narrow"/>
                <w:b/>
                <w:bCs/>
                <w:i/>
                <w:color w:val="333333"/>
                <w:sz w:val="20"/>
                <w:szCs w:val="20"/>
              </w:rPr>
              <w:t>Administrative Advice:</w:t>
            </w:r>
          </w:p>
          <w:p w:rsidR="009716BD" w:rsidRPr="00211118" w:rsidRDefault="009716BD" w:rsidP="00ED7596">
            <w:pPr>
              <w:jc w:val="left"/>
              <w:rPr>
                <w:rFonts w:ascii="Arial Narrow" w:hAnsi="Arial Narrow"/>
                <w:bCs/>
                <w:i/>
                <w:color w:val="333333"/>
                <w:sz w:val="20"/>
                <w:szCs w:val="20"/>
              </w:rPr>
            </w:pPr>
            <w:r w:rsidRPr="00211118">
              <w:rPr>
                <w:rFonts w:ascii="Arial Narrow" w:hAnsi="Arial Narrow"/>
                <w:bCs/>
                <w:i/>
                <w:color w:val="333333"/>
                <w:sz w:val="20"/>
                <w:szCs w:val="20"/>
              </w:rPr>
              <w:t>No increase in the maximum quantity or number of units may be authorised for applications treating one eye</w:t>
            </w:r>
          </w:p>
        </w:tc>
      </w:tr>
      <w:tr w:rsidR="009716BD" w:rsidRPr="00211118" w:rsidTr="0097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9716BD" w:rsidRPr="00211118" w:rsidRDefault="009716BD" w:rsidP="00ED7596">
            <w:pPr>
              <w:jc w:val="left"/>
              <w:rPr>
                <w:rFonts w:ascii="Arial Narrow" w:hAnsi="Arial Narrow"/>
                <w:color w:val="333333"/>
                <w:sz w:val="20"/>
                <w:szCs w:val="20"/>
              </w:rPr>
            </w:pPr>
            <w:r w:rsidRPr="00211118">
              <w:rPr>
                <w:rFonts w:ascii="Arial Narrow" w:hAnsi="Arial Narrow"/>
                <w:b/>
                <w:bCs/>
                <w:color w:val="333333"/>
                <w:sz w:val="20"/>
                <w:szCs w:val="20"/>
              </w:rPr>
              <w:t>Administrative Advice:</w:t>
            </w:r>
            <w:r w:rsidRPr="00211118">
              <w:rPr>
                <w:rFonts w:ascii="Arial Narrow" w:hAnsi="Arial Narrow"/>
                <w:color w:val="333333"/>
                <w:sz w:val="20"/>
                <w:szCs w:val="20"/>
              </w:rPr>
              <w:t xml:space="preserve"> Special Pricing Arrangements apply</w:t>
            </w:r>
          </w:p>
        </w:tc>
      </w:tr>
    </w:tbl>
    <w:p w:rsidR="005F2F93" w:rsidRPr="00977639" w:rsidRDefault="005F2F93" w:rsidP="005F2F93">
      <w:pPr>
        <w:pStyle w:val="3Bodytext"/>
      </w:pPr>
    </w:p>
    <w:p w:rsidR="001A76FB" w:rsidRDefault="003F060D" w:rsidP="003577DE">
      <w:pPr>
        <w:pStyle w:val="3Bodytext"/>
        <w:numPr>
          <w:ilvl w:val="1"/>
          <w:numId w:val="2"/>
        </w:numPr>
      </w:pPr>
      <w:r w:rsidRPr="00F06F57">
        <w:t xml:space="preserve">The proposed listing for brolucizumab was consistent with the current PBS listings for aflibercept and ranibizumab for the treatment of </w:t>
      </w:r>
      <w:proofErr w:type="spellStart"/>
      <w:r w:rsidRPr="00F06F57">
        <w:t>subfoveal</w:t>
      </w:r>
      <w:proofErr w:type="spellEnd"/>
      <w:r w:rsidRPr="00F06F57">
        <w:t xml:space="preserve"> CNV due to AMD.</w:t>
      </w:r>
    </w:p>
    <w:p w:rsidR="000A3AB3" w:rsidRPr="003C2FB5" w:rsidRDefault="000A3AB3" w:rsidP="000A3AB3">
      <w:pPr>
        <w:pStyle w:val="Heading1"/>
        <w:keepNext/>
        <w:keepLines/>
        <w:numPr>
          <w:ilvl w:val="0"/>
          <w:numId w:val="2"/>
        </w:numPr>
        <w:spacing w:before="240"/>
        <w:ind w:left="709" w:hanging="709"/>
        <w:rPr>
          <w:sz w:val="32"/>
          <w:szCs w:val="32"/>
        </w:rPr>
      </w:pPr>
      <w:r w:rsidRPr="003C2FB5">
        <w:rPr>
          <w:sz w:val="32"/>
          <w:szCs w:val="32"/>
        </w:rPr>
        <w:t>C</w:t>
      </w:r>
      <w:r>
        <w:rPr>
          <w:sz w:val="32"/>
          <w:szCs w:val="32"/>
        </w:rPr>
        <w:t>omparator</w:t>
      </w:r>
    </w:p>
    <w:p w:rsidR="006A3782" w:rsidRPr="0034325E" w:rsidRDefault="006A3782" w:rsidP="00A86AE0">
      <w:pPr>
        <w:pStyle w:val="3Bodytext"/>
        <w:numPr>
          <w:ilvl w:val="1"/>
          <w:numId w:val="2"/>
        </w:numPr>
      </w:pPr>
      <w:r>
        <w:t>The November 2019 submission nominated aflibercept as</w:t>
      </w:r>
      <w:r w:rsidRPr="00EB3FF6">
        <w:t xml:space="preserve"> the</w:t>
      </w:r>
      <w:r>
        <w:t xml:space="preserve"> </w:t>
      </w:r>
      <w:r w:rsidRPr="00EB3FF6">
        <w:t xml:space="preserve">main comparator and ranibizumab </w:t>
      </w:r>
      <w:r>
        <w:t>as</w:t>
      </w:r>
      <w:r w:rsidRPr="00EB3FF6">
        <w:t xml:space="preserve"> a secondary comparator</w:t>
      </w:r>
      <w:r w:rsidR="007E0F41">
        <w:t xml:space="preserve"> (paragraph </w:t>
      </w:r>
      <w:r w:rsidR="00874945">
        <w:t>5.1</w:t>
      </w:r>
      <w:r w:rsidR="00BA4F73">
        <w:t>, b</w:t>
      </w:r>
      <w:r w:rsidR="007E0F41">
        <w:t xml:space="preserve">rolucizumab </w:t>
      </w:r>
      <w:r w:rsidR="00874945">
        <w:t>Public Summary Document</w:t>
      </w:r>
      <w:r w:rsidR="00BA4F73">
        <w:t xml:space="preserve"> (PSD)</w:t>
      </w:r>
      <w:r w:rsidR="007E0F41">
        <w:t>, November 2019)</w:t>
      </w:r>
      <w:r w:rsidRPr="00EB3FF6">
        <w:t>.</w:t>
      </w:r>
      <w:r>
        <w:t xml:space="preserve"> </w:t>
      </w:r>
      <w:r w:rsidRPr="00AE4F6F">
        <w:rPr>
          <w:bCs/>
          <w:lang w:val="en-GB"/>
        </w:rPr>
        <w:t>The PBAC noted that ranibizumab ha</w:t>
      </w:r>
      <w:r>
        <w:rPr>
          <w:bCs/>
          <w:lang w:val="en-GB"/>
        </w:rPr>
        <w:t>d</w:t>
      </w:r>
      <w:r w:rsidRPr="00AE4F6F">
        <w:rPr>
          <w:bCs/>
          <w:lang w:val="en-GB"/>
        </w:rPr>
        <w:t xml:space="preserve"> become the least costly comparator since </w:t>
      </w:r>
      <w:r w:rsidRPr="00AE4F6F">
        <w:rPr>
          <w:iCs/>
        </w:rPr>
        <w:t>the F1 anniversary price reduction applied to ranibizumab (10%) and aflibercept (5%) on 1 April 2018</w:t>
      </w:r>
      <w:r w:rsidR="0034325E">
        <w:rPr>
          <w:bCs/>
          <w:lang w:val="en-GB"/>
        </w:rPr>
        <w:t>.</w:t>
      </w:r>
    </w:p>
    <w:p w:rsidR="0034325E" w:rsidRPr="00FF3C15" w:rsidRDefault="0034325E" w:rsidP="00A86AE0">
      <w:pPr>
        <w:pStyle w:val="3Bodytext"/>
        <w:numPr>
          <w:ilvl w:val="1"/>
          <w:numId w:val="2"/>
        </w:numPr>
      </w:pPr>
      <w:r w:rsidRPr="00EB3FF6">
        <w:rPr>
          <w:lang w:val="en-US"/>
        </w:rPr>
        <w:t>If treatment with brolucizumab is substantially more costly than any of the alternative therapies (</w:t>
      </w:r>
      <w:r w:rsidRPr="00EB3FF6">
        <w:t>aflibercept and ranibizumab)</w:t>
      </w:r>
      <w:r w:rsidRPr="00EB3FF6">
        <w:rPr>
          <w:lang w:val="en-US"/>
        </w:rPr>
        <w:t>, the PBAC could only recommend listing brolucizumab if it is satisfied that it provides, for some patients, a significant improvement in efficacy or reduction of toxicity over the alternative therapies (National Health Act 1953, Section 101(3B)).</w:t>
      </w:r>
      <w:r>
        <w:rPr>
          <w:lang w:val="en-US"/>
        </w:rPr>
        <w:t xml:space="preserve"> The PBAC </w:t>
      </w:r>
      <w:r w:rsidR="00960E9D">
        <w:rPr>
          <w:lang w:val="en-US"/>
        </w:rPr>
        <w:t xml:space="preserve">previously </w:t>
      </w:r>
      <w:r>
        <w:rPr>
          <w:lang w:val="en-US"/>
        </w:rPr>
        <w:t xml:space="preserve">considered that brolucizumab did not satisfy these requirements, and advised that the cost </w:t>
      </w:r>
      <w:proofErr w:type="spellStart"/>
      <w:r>
        <w:rPr>
          <w:lang w:val="en-US"/>
        </w:rPr>
        <w:t>minimisation</w:t>
      </w:r>
      <w:proofErr w:type="spellEnd"/>
      <w:r>
        <w:rPr>
          <w:lang w:val="en-US"/>
        </w:rPr>
        <w:t xml:space="preserve"> should be performed against the least costly comparator, ranibizumab, so that it is not more costly than any of the </w:t>
      </w:r>
      <w:r w:rsidRPr="00FF3C15">
        <w:rPr>
          <w:lang w:val="en-US"/>
        </w:rPr>
        <w:t>alternative therapies</w:t>
      </w:r>
      <w:r w:rsidR="00960E9D" w:rsidRPr="00FF3C15">
        <w:rPr>
          <w:lang w:val="en-US"/>
        </w:rPr>
        <w:t xml:space="preserve"> (paragraph 5.3, </w:t>
      </w:r>
      <w:r w:rsidR="009B7A51" w:rsidRPr="00FF3C15">
        <w:rPr>
          <w:lang w:val="en-US"/>
        </w:rPr>
        <w:t>brolu</w:t>
      </w:r>
      <w:r w:rsidR="00960E9D" w:rsidRPr="00FF3C15">
        <w:rPr>
          <w:lang w:val="en-US"/>
        </w:rPr>
        <w:t xml:space="preserve">cizumab </w:t>
      </w:r>
      <w:r w:rsidR="00FF3C15" w:rsidRPr="00FF3C15">
        <w:rPr>
          <w:lang w:val="en-US"/>
        </w:rPr>
        <w:t>PSD</w:t>
      </w:r>
      <w:r w:rsidR="00D72A9B" w:rsidRPr="00FF3C15">
        <w:rPr>
          <w:lang w:val="en-US"/>
        </w:rPr>
        <w:t>, November 2019</w:t>
      </w:r>
      <w:r w:rsidR="00960E9D" w:rsidRPr="00FF3C15">
        <w:rPr>
          <w:lang w:val="en-US"/>
        </w:rPr>
        <w:t>)</w:t>
      </w:r>
      <w:r w:rsidRPr="00FF3C15">
        <w:rPr>
          <w:lang w:val="en-US"/>
        </w:rPr>
        <w:t>.</w:t>
      </w:r>
    </w:p>
    <w:p w:rsidR="0034325E" w:rsidRDefault="0040054D" w:rsidP="0034325E">
      <w:pPr>
        <w:pStyle w:val="3Bodytext"/>
        <w:numPr>
          <w:ilvl w:val="1"/>
          <w:numId w:val="2"/>
        </w:numPr>
      </w:pPr>
      <w:r>
        <w:lastRenderedPageBreak/>
        <w:t>The comparators remained unchanged from the previous submission and the clinical claim continued to be based on a comparison with aflibercept. The cost-minimisation analysis (CMA) in the resubmission was updated to be against the least costly comparator (ranibizumab), rather than weighted between ranibizumab and aflibercept</w:t>
      </w:r>
      <w:r w:rsidR="008322D1">
        <w:t xml:space="preserve"> prices</w:t>
      </w:r>
      <w:r>
        <w:t xml:space="preserve"> according to PBS volumes in 2018. </w:t>
      </w:r>
    </w:p>
    <w:p w:rsidR="000627A2" w:rsidRDefault="000627A2" w:rsidP="0040054D">
      <w:pPr>
        <w:pStyle w:val="3Bodytext"/>
        <w:ind w:left="709"/>
      </w:pPr>
      <w:r w:rsidRPr="001B0B13">
        <w:rPr>
          <w:i/>
          <w:lang w:eastAsia="en-US"/>
        </w:rPr>
        <w:t>For more detail on PBAC’s view, see section 6 PBAC outcome.</w:t>
      </w:r>
    </w:p>
    <w:p w:rsidR="00AE0668" w:rsidRPr="00AE0668" w:rsidRDefault="008D7A41" w:rsidP="00AE0668">
      <w:pPr>
        <w:pStyle w:val="Heading1"/>
        <w:keepNext/>
        <w:keepLines/>
        <w:numPr>
          <w:ilvl w:val="0"/>
          <w:numId w:val="4"/>
        </w:numPr>
        <w:spacing w:before="240"/>
        <w:ind w:left="709" w:hanging="709"/>
        <w:rPr>
          <w:sz w:val="32"/>
          <w:szCs w:val="32"/>
        </w:rPr>
      </w:pPr>
      <w:r w:rsidRPr="003C2FB5">
        <w:rPr>
          <w:sz w:val="32"/>
          <w:szCs w:val="32"/>
        </w:rPr>
        <w:t>C</w:t>
      </w:r>
      <w:r w:rsidR="00D84934" w:rsidRPr="003C2FB5">
        <w:rPr>
          <w:sz w:val="32"/>
          <w:szCs w:val="32"/>
        </w:rPr>
        <w:t>onsideration of the evidence</w:t>
      </w:r>
    </w:p>
    <w:p w:rsidR="002A19F2" w:rsidRPr="00C1068F" w:rsidRDefault="002A19F2" w:rsidP="00C1068F">
      <w:pPr>
        <w:pStyle w:val="Heading2"/>
        <w:spacing w:before="240" w:after="120"/>
        <w:rPr>
          <w:rFonts w:asciiTheme="minorHAnsi" w:hAnsiTheme="minorHAnsi" w:cstheme="minorHAnsi"/>
          <w:snapToGrid w:val="0"/>
          <w:sz w:val="28"/>
          <w:szCs w:val="28"/>
        </w:rPr>
      </w:pPr>
      <w:r w:rsidRPr="00C1068F">
        <w:rPr>
          <w:rFonts w:asciiTheme="minorHAnsi" w:hAnsiTheme="minorHAnsi" w:cstheme="minorHAnsi"/>
          <w:snapToGrid w:val="0"/>
          <w:sz w:val="28"/>
          <w:szCs w:val="28"/>
        </w:rPr>
        <w:t>Sponsor hearing</w:t>
      </w:r>
    </w:p>
    <w:p w:rsidR="002A19F2" w:rsidRPr="00836F75" w:rsidRDefault="002A19F2" w:rsidP="002A19F2">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There was no hearing for this item as it was a minor submission.</w:t>
      </w:r>
    </w:p>
    <w:p w:rsidR="002A19F2" w:rsidRPr="00C1068F" w:rsidRDefault="002A19F2" w:rsidP="00C1068F">
      <w:pPr>
        <w:pStyle w:val="Heading2"/>
        <w:spacing w:before="240" w:after="120"/>
        <w:rPr>
          <w:rFonts w:asciiTheme="minorHAnsi" w:hAnsiTheme="minorHAnsi" w:cstheme="minorHAnsi"/>
          <w:snapToGrid w:val="0"/>
          <w:sz w:val="28"/>
          <w:szCs w:val="28"/>
        </w:rPr>
      </w:pPr>
      <w:r w:rsidRPr="00C1068F">
        <w:rPr>
          <w:rFonts w:asciiTheme="minorHAnsi" w:hAnsiTheme="minorHAnsi" w:cstheme="minorHAnsi"/>
          <w:snapToGrid w:val="0"/>
          <w:sz w:val="28"/>
          <w:szCs w:val="28"/>
        </w:rPr>
        <w:t>Consumer comments</w:t>
      </w:r>
    </w:p>
    <w:p w:rsidR="002A19F2" w:rsidRPr="00836F75" w:rsidRDefault="002A19F2" w:rsidP="002A19F2">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that no consumer comments were received for this item.</w:t>
      </w:r>
    </w:p>
    <w:p w:rsidR="0018502A" w:rsidRPr="00937958" w:rsidRDefault="00D84934" w:rsidP="0018502A">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r w:rsidR="0099465B">
        <w:rPr>
          <w:rFonts w:asciiTheme="minorHAnsi" w:eastAsiaTheme="majorEastAsia" w:hAnsiTheme="minorHAnsi" w:cstheme="majorBidi"/>
          <w:sz w:val="28"/>
          <w:szCs w:val="28"/>
          <w:lang w:eastAsia="en-US"/>
        </w:rPr>
        <w:t xml:space="preserve"> </w:t>
      </w:r>
    </w:p>
    <w:p w:rsidR="000B68C8" w:rsidRDefault="004E5DA9" w:rsidP="000B68C8">
      <w:pPr>
        <w:pStyle w:val="ListParagraph"/>
        <w:numPr>
          <w:ilvl w:val="1"/>
          <w:numId w:val="2"/>
        </w:numPr>
        <w:jc w:val="both"/>
        <w:rPr>
          <w:rFonts w:cstheme="minorHAnsi"/>
          <w:snapToGrid/>
          <w:lang w:val="en-US"/>
        </w:rPr>
      </w:pPr>
      <w:r>
        <w:rPr>
          <w:rFonts w:eastAsiaTheme="minorHAnsi" w:cstheme="minorBidi"/>
        </w:rPr>
        <w:t>T</w:t>
      </w:r>
      <w:r w:rsidR="0018502A" w:rsidRPr="00943B14">
        <w:rPr>
          <w:rFonts w:eastAsiaTheme="minorHAnsi" w:cstheme="minorBidi"/>
        </w:rPr>
        <w:t xml:space="preserve">he </w:t>
      </w:r>
      <w:r w:rsidR="0018502A">
        <w:rPr>
          <w:rFonts w:eastAsiaTheme="minorHAnsi" w:cstheme="minorBidi"/>
        </w:rPr>
        <w:t>November</w:t>
      </w:r>
      <w:r w:rsidR="0018502A" w:rsidRPr="00943B14">
        <w:rPr>
          <w:rFonts w:eastAsiaTheme="minorHAnsi" w:cstheme="minorBidi"/>
        </w:rPr>
        <w:t xml:space="preserve"> 2019 submission</w:t>
      </w:r>
      <w:r>
        <w:rPr>
          <w:rFonts w:eastAsiaTheme="minorHAnsi" w:cstheme="minorBidi"/>
        </w:rPr>
        <w:t xml:space="preserve"> was based on two head-to-head randomised trials </w:t>
      </w:r>
      <w:r w:rsidRPr="004E5DA9">
        <w:rPr>
          <w:rFonts w:eastAsiaTheme="minorHAnsi" w:cstheme="minorBidi"/>
        </w:rPr>
        <w:t>comparing brolucizumab 6 mg to aflibercept 2 mg (HAWK (n=720) and HARRI</w:t>
      </w:r>
      <w:r>
        <w:rPr>
          <w:rFonts w:eastAsiaTheme="minorHAnsi" w:cstheme="minorBidi"/>
        </w:rPr>
        <w:t>ER (n=739))</w:t>
      </w:r>
      <w:r w:rsidRPr="004E5DA9">
        <w:rPr>
          <w:rFonts w:eastAsiaTheme="minorHAnsi" w:cstheme="minorBidi"/>
        </w:rPr>
        <w:t>,</w:t>
      </w:r>
      <w:r>
        <w:rPr>
          <w:rStyle w:val="FootnoteReference"/>
          <w:rFonts w:eastAsiaTheme="minorHAnsi" w:cstheme="minorBidi"/>
        </w:rPr>
        <w:footnoteReference w:id="1"/>
      </w:r>
      <w:r w:rsidRPr="004E5DA9">
        <w:rPr>
          <w:rFonts w:eastAsiaTheme="minorHAnsi" w:cstheme="minorBidi"/>
        </w:rPr>
        <w:t xml:space="preserve"> and one supplementary randomised trial (OSPREY, n=89), i</w:t>
      </w:r>
      <w:r>
        <w:rPr>
          <w:rFonts w:eastAsiaTheme="minorHAnsi" w:cstheme="minorBidi"/>
        </w:rPr>
        <w:t xml:space="preserve">n patients with </w:t>
      </w:r>
      <w:proofErr w:type="spellStart"/>
      <w:r>
        <w:rPr>
          <w:rFonts w:eastAsiaTheme="minorHAnsi" w:cstheme="minorBidi"/>
        </w:rPr>
        <w:t>neovascular</w:t>
      </w:r>
      <w:proofErr w:type="spellEnd"/>
      <w:r>
        <w:rPr>
          <w:rFonts w:eastAsiaTheme="minorHAnsi" w:cstheme="minorBidi"/>
        </w:rPr>
        <w:t xml:space="preserve"> AMD</w:t>
      </w:r>
      <w:r w:rsidR="0018502A" w:rsidRPr="00943B14">
        <w:rPr>
          <w:rFonts w:eastAsiaTheme="minorHAnsi" w:cstheme="minorBidi"/>
        </w:rPr>
        <w:t xml:space="preserve">. </w:t>
      </w:r>
      <w:r w:rsidR="0018502A" w:rsidRPr="00943B14">
        <w:rPr>
          <w:rFonts w:eastAsiaTheme="minorHAnsi" w:cstheme="minorBidi"/>
          <w:snapToGrid/>
        </w:rPr>
        <w:t>No new clinical evidence was presented in the</w:t>
      </w:r>
      <w:r w:rsidR="0018502A">
        <w:rPr>
          <w:rFonts w:eastAsiaTheme="minorHAnsi" w:cstheme="minorBidi"/>
          <w:snapToGrid/>
        </w:rPr>
        <w:t xml:space="preserve"> minor</w:t>
      </w:r>
      <w:r w:rsidR="000B68C8">
        <w:rPr>
          <w:rFonts w:eastAsiaTheme="minorHAnsi" w:cstheme="minorBidi"/>
          <w:snapToGrid/>
        </w:rPr>
        <w:t xml:space="preserve"> resubmission.  </w:t>
      </w:r>
      <w:r w:rsidR="0018502A" w:rsidRPr="004A5497">
        <w:rPr>
          <w:rFonts w:cstheme="minorHAnsi"/>
          <w:snapToGrid/>
          <w:lang w:val="en-US"/>
        </w:rPr>
        <w:t xml:space="preserve">Details of the trials presented in the </w:t>
      </w:r>
      <w:r w:rsidR="00D72A9B">
        <w:rPr>
          <w:rFonts w:cstheme="minorHAnsi"/>
          <w:snapToGrid/>
          <w:lang w:val="en-US"/>
        </w:rPr>
        <w:t xml:space="preserve">November 2019 </w:t>
      </w:r>
      <w:r w:rsidR="0018502A" w:rsidRPr="004A5497">
        <w:rPr>
          <w:rFonts w:cstheme="minorHAnsi"/>
          <w:snapToGrid/>
          <w:lang w:val="en-US"/>
        </w:rPr>
        <w:t xml:space="preserve">submission are provided in </w:t>
      </w:r>
      <w:r w:rsidR="0018502A">
        <w:rPr>
          <w:rFonts w:cstheme="minorHAnsi"/>
          <w:snapToGrid/>
          <w:lang w:val="en-US"/>
        </w:rPr>
        <w:t>Table</w:t>
      </w:r>
      <w:r w:rsidR="007A6CD6">
        <w:rPr>
          <w:rFonts w:cstheme="minorHAnsi"/>
          <w:snapToGrid/>
          <w:lang w:val="en-US"/>
        </w:rPr>
        <w:t> </w:t>
      </w:r>
      <w:r w:rsidR="0018502A">
        <w:rPr>
          <w:rFonts w:cstheme="minorHAnsi"/>
          <w:snapToGrid/>
          <w:lang w:val="en-US"/>
        </w:rPr>
        <w:t>2</w:t>
      </w:r>
      <w:r w:rsidR="0018502A" w:rsidRPr="004A5497">
        <w:rPr>
          <w:rFonts w:cstheme="minorHAnsi"/>
          <w:snapToGrid/>
          <w:lang w:val="en-US"/>
        </w:rPr>
        <w:t>.</w:t>
      </w:r>
    </w:p>
    <w:p w:rsidR="00D55B46" w:rsidRPr="00D55B46" w:rsidRDefault="00D55B46" w:rsidP="00D55B46">
      <w:pPr>
        <w:pStyle w:val="ListBullet"/>
        <w:numPr>
          <w:ilvl w:val="0"/>
          <w:numId w:val="0"/>
        </w:numPr>
        <w:ind w:left="360" w:hanging="360"/>
        <w:rPr>
          <w:rFonts w:eastAsiaTheme="minorHAnsi"/>
          <w:lang w:val="en-US"/>
        </w:rPr>
      </w:pPr>
    </w:p>
    <w:p w:rsidR="0018502A" w:rsidRPr="0018502A" w:rsidRDefault="0018502A" w:rsidP="00A61925">
      <w:pPr>
        <w:keepNext/>
        <w:keepLines/>
        <w:rPr>
          <w:rFonts w:ascii="Arial Narrow" w:hAnsi="Arial Narrow"/>
          <w:b/>
          <w:sz w:val="20"/>
          <w:szCs w:val="20"/>
        </w:rPr>
      </w:pPr>
      <w:r w:rsidRPr="0018502A">
        <w:rPr>
          <w:rFonts w:ascii="Arial Narrow" w:hAnsi="Arial Narrow"/>
          <w:b/>
          <w:sz w:val="20"/>
          <w:szCs w:val="20"/>
        </w:rPr>
        <w:lastRenderedPageBreak/>
        <w:t xml:space="preserve">Table </w:t>
      </w:r>
      <w:r w:rsidRPr="0018502A">
        <w:rPr>
          <w:rFonts w:ascii="Arial Narrow" w:hAnsi="Arial Narrow"/>
          <w:b/>
          <w:noProof/>
          <w:sz w:val="20"/>
          <w:szCs w:val="20"/>
        </w:rPr>
        <w:t>2</w:t>
      </w:r>
      <w:r w:rsidRPr="0018502A">
        <w:rPr>
          <w:rFonts w:ascii="Arial Narrow" w:hAnsi="Arial Narrow"/>
          <w:b/>
          <w:sz w:val="20"/>
          <w:szCs w:val="20"/>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458"/>
        <w:gridCol w:w="2122"/>
      </w:tblGrid>
      <w:tr w:rsidR="004E5DA9" w:rsidRPr="004E5DA9" w:rsidTr="004E5DA9">
        <w:trPr>
          <w:tblHeader/>
        </w:trPr>
        <w:tc>
          <w:tcPr>
            <w:tcW w:w="796" w:type="pct"/>
            <w:tcBorders>
              <w:bottom w:val="single" w:sz="4" w:space="0" w:color="auto"/>
            </w:tcBorders>
            <w:vAlign w:val="center"/>
          </w:tcPr>
          <w:p w:rsidR="004E5DA9" w:rsidRPr="004E5DA9" w:rsidRDefault="004E5DA9" w:rsidP="00A61925">
            <w:pPr>
              <w:pStyle w:val="Tabletext"/>
              <w:keepNext/>
              <w:keepLines/>
              <w:jc w:val="left"/>
              <w:rPr>
                <w:rFonts w:ascii="Arial Narrow" w:hAnsi="Arial Narrow"/>
                <w:b/>
              </w:rPr>
            </w:pPr>
            <w:r w:rsidRPr="004E5DA9">
              <w:rPr>
                <w:rFonts w:ascii="Arial Narrow" w:hAnsi="Arial Narrow"/>
                <w:b/>
              </w:rPr>
              <w:t>Trial ID</w:t>
            </w:r>
          </w:p>
        </w:tc>
        <w:tc>
          <w:tcPr>
            <w:tcW w:w="3027" w:type="pct"/>
            <w:tcBorders>
              <w:bottom w:val="single" w:sz="4" w:space="0" w:color="auto"/>
            </w:tcBorders>
            <w:vAlign w:val="center"/>
          </w:tcPr>
          <w:p w:rsidR="004E5DA9" w:rsidRPr="004E5DA9" w:rsidRDefault="004E5DA9" w:rsidP="00A61925">
            <w:pPr>
              <w:pStyle w:val="Tabletext"/>
              <w:keepNext/>
              <w:keepLines/>
              <w:jc w:val="center"/>
              <w:rPr>
                <w:rFonts w:ascii="Arial Narrow" w:hAnsi="Arial Narrow"/>
                <w:b/>
              </w:rPr>
            </w:pPr>
            <w:r w:rsidRPr="004E5DA9">
              <w:rPr>
                <w:rFonts w:ascii="Arial Narrow" w:hAnsi="Arial Narrow"/>
                <w:b/>
              </w:rPr>
              <w:t>Protocol title/ Publication title</w:t>
            </w:r>
          </w:p>
        </w:tc>
        <w:tc>
          <w:tcPr>
            <w:tcW w:w="1177" w:type="pct"/>
            <w:tcBorders>
              <w:bottom w:val="single" w:sz="4" w:space="0" w:color="auto"/>
            </w:tcBorders>
            <w:vAlign w:val="center"/>
          </w:tcPr>
          <w:p w:rsidR="004E5DA9" w:rsidRPr="004E5DA9" w:rsidRDefault="004E5DA9" w:rsidP="00A61925">
            <w:pPr>
              <w:pStyle w:val="Tabletext"/>
              <w:keepNext/>
              <w:keepLines/>
              <w:jc w:val="center"/>
              <w:rPr>
                <w:rFonts w:ascii="Arial Narrow" w:hAnsi="Arial Narrow"/>
                <w:b/>
              </w:rPr>
            </w:pPr>
            <w:r w:rsidRPr="004E5DA9">
              <w:rPr>
                <w:rFonts w:ascii="Arial Narrow" w:hAnsi="Arial Narrow"/>
                <w:b/>
              </w:rPr>
              <w:t>Publication citation</w:t>
            </w:r>
          </w:p>
        </w:tc>
      </w:tr>
      <w:tr w:rsidR="004E5DA9" w:rsidRPr="004E5DA9" w:rsidTr="004E5DA9">
        <w:tc>
          <w:tcPr>
            <w:tcW w:w="796" w:type="pct"/>
            <w:tcBorders>
              <w:bottom w:val="nil"/>
            </w:tcBorders>
            <w:vAlign w:val="center"/>
          </w:tcPr>
          <w:p w:rsidR="004E5DA9" w:rsidRPr="004E5DA9" w:rsidRDefault="004E5DA9" w:rsidP="00A61925">
            <w:pPr>
              <w:pStyle w:val="Tabletext"/>
              <w:keepNext/>
              <w:keepLines/>
              <w:jc w:val="left"/>
              <w:rPr>
                <w:rFonts w:ascii="Arial Narrow" w:hAnsi="Arial Narrow"/>
              </w:rPr>
            </w:pPr>
            <w:r w:rsidRPr="004E5DA9">
              <w:rPr>
                <w:rFonts w:ascii="Arial Narrow" w:hAnsi="Arial Narrow"/>
              </w:rPr>
              <w:t>HAWK</w:t>
            </w:r>
          </w:p>
        </w:tc>
        <w:tc>
          <w:tcPr>
            <w:tcW w:w="3027" w:type="pct"/>
            <w:tcBorders>
              <w:bottom w:val="nil"/>
            </w:tcBorders>
            <w:vAlign w:val="center"/>
          </w:tcPr>
          <w:p w:rsidR="004E5DA9" w:rsidRPr="004E5DA9" w:rsidRDefault="004E5DA9" w:rsidP="00A61925">
            <w:pPr>
              <w:pStyle w:val="Tabletext"/>
              <w:keepNext/>
              <w:keepLines/>
              <w:spacing w:after="60"/>
              <w:jc w:val="left"/>
              <w:rPr>
                <w:rFonts w:ascii="Arial Narrow" w:hAnsi="Arial Narrow"/>
                <w:szCs w:val="18"/>
              </w:rPr>
            </w:pPr>
            <w:r w:rsidRPr="004E5DA9">
              <w:rPr>
                <w:rFonts w:ascii="Arial Narrow" w:hAnsi="Arial Narrow"/>
              </w:rPr>
              <w:t xml:space="preserve">Clinical Study Report: Two year randomised double masked multicentre three arm study comparing the efficacy and safety of RTH258 versus aflibercept in subjects with </w:t>
            </w:r>
            <w:proofErr w:type="spellStart"/>
            <w:r w:rsidRPr="004E5DA9">
              <w:rPr>
                <w:rFonts w:ascii="Arial Narrow" w:hAnsi="Arial Narrow"/>
              </w:rPr>
              <w:t>neovascular</w:t>
            </w:r>
            <w:proofErr w:type="spellEnd"/>
            <w:r w:rsidRPr="004E5DA9">
              <w:rPr>
                <w:rFonts w:ascii="Arial Narrow" w:hAnsi="Arial Narrow"/>
              </w:rPr>
              <w:t xml:space="preserve"> age related macular degeneration.</w:t>
            </w:r>
          </w:p>
        </w:tc>
        <w:tc>
          <w:tcPr>
            <w:tcW w:w="1177" w:type="pct"/>
            <w:tcBorders>
              <w:bottom w:val="nil"/>
            </w:tcBorders>
            <w:vAlign w:val="center"/>
          </w:tcPr>
          <w:p w:rsidR="004E5DA9" w:rsidRPr="0040636E" w:rsidRDefault="004E5DA9" w:rsidP="00A61925">
            <w:pPr>
              <w:pStyle w:val="Tabletext"/>
              <w:keepNext/>
              <w:keepLines/>
              <w:jc w:val="left"/>
              <w:rPr>
                <w:rFonts w:ascii="Arial Narrow" w:hAnsi="Arial Narrow"/>
              </w:rPr>
            </w:pPr>
            <w:r w:rsidRPr="0040636E">
              <w:rPr>
                <w:rFonts w:ascii="Arial Narrow" w:hAnsi="Arial Narrow"/>
              </w:rPr>
              <w:t>December 2018</w:t>
            </w:r>
          </w:p>
        </w:tc>
      </w:tr>
      <w:tr w:rsidR="004E5DA9" w:rsidRPr="004E5DA9" w:rsidTr="004E5DA9">
        <w:tc>
          <w:tcPr>
            <w:tcW w:w="796" w:type="pct"/>
            <w:tcBorders>
              <w:top w:val="nil"/>
              <w:bottom w:val="nil"/>
            </w:tcBorders>
            <w:vAlign w:val="center"/>
          </w:tcPr>
          <w:p w:rsidR="004E5DA9" w:rsidRPr="004E5DA9" w:rsidRDefault="004E5DA9" w:rsidP="00A61925">
            <w:pPr>
              <w:pStyle w:val="Tabletext"/>
              <w:keepNext/>
              <w:keepLines/>
              <w:jc w:val="left"/>
              <w:rPr>
                <w:rFonts w:ascii="Arial Narrow" w:hAnsi="Arial Narrow"/>
              </w:rPr>
            </w:pPr>
          </w:p>
        </w:tc>
        <w:tc>
          <w:tcPr>
            <w:tcW w:w="3027" w:type="pct"/>
            <w:tcBorders>
              <w:top w:val="nil"/>
              <w:bottom w:val="nil"/>
            </w:tcBorders>
            <w:vAlign w:val="center"/>
          </w:tcPr>
          <w:p w:rsidR="004E5DA9" w:rsidRPr="004E5DA9" w:rsidRDefault="004E5DA9" w:rsidP="00A61925">
            <w:pPr>
              <w:pStyle w:val="Tabletext"/>
              <w:keepNext/>
              <w:keepLines/>
              <w:jc w:val="left"/>
              <w:rPr>
                <w:rFonts w:ascii="Arial Narrow" w:hAnsi="Arial Narrow"/>
              </w:rPr>
            </w:pPr>
            <w:r w:rsidRPr="004E5DA9">
              <w:rPr>
                <w:rFonts w:ascii="Arial Narrow" w:hAnsi="Arial Narrow"/>
              </w:rPr>
              <w:t xml:space="preserve">Clinical Study Report: A 24-week, double-masked, </w:t>
            </w:r>
            <w:proofErr w:type="spellStart"/>
            <w:r w:rsidRPr="004E5DA9">
              <w:rPr>
                <w:rFonts w:ascii="Arial Narrow" w:hAnsi="Arial Narrow"/>
              </w:rPr>
              <w:t>multicenter</w:t>
            </w:r>
            <w:proofErr w:type="spellEnd"/>
            <w:r w:rsidRPr="004E5DA9">
              <w:rPr>
                <w:rFonts w:ascii="Arial Narrow" w:hAnsi="Arial Narrow"/>
              </w:rPr>
              <w:t xml:space="preserve">, two-arm extension study to collect safety and efficacy data on brolucizumab 6 mg drug product intended for commercialization in subjects with </w:t>
            </w:r>
            <w:proofErr w:type="spellStart"/>
            <w:r w:rsidRPr="004E5DA9">
              <w:rPr>
                <w:rFonts w:ascii="Arial Narrow" w:hAnsi="Arial Narrow"/>
              </w:rPr>
              <w:t>neovascular</w:t>
            </w:r>
            <w:proofErr w:type="spellEnd"/>
            <w:r w:rsidRPr="004E5DA9">
              <w:rPr>
                <w:rFonts w:ascii="Arial Narrow" w:hAnsi="Arial Narrow"/>
              </w:rPr>
              <w:t xml:space="preserve"> age-related macular degeneration who have completed the CRTH258A2301 study.</w:t>
            </w:r>
          </w:p>
        </w:tc>
        <w:tc>
          <w:tcPr>
            <w:tcW w:w="1177" w:type="pct"/>
            <w:tcBorders>
              <w:top w:val="nil"/>
              <w:bottom w:val="nil"/>
            </w:tcBorders>
            <w:vAlign w:val="center"/>
          </w:tcPr>
          <w:p w:rsidR="004E5DA9" w:rsidRPr="0040636E" w:rsidRDefault="004E5DA9" w:rsidP="00A61925">
            <w:pPr>
              <w:pStyle w:val="Tabletext"/>
              <w:keepNext/>
              <w:keepLines/>
              <w:jc w:val="left"/>
              <w:rPr>
                <w:rFonts w:ascii="Arial Narrow" w:hAnsi="Arial Narrow"/>
              </w:rPr>
            </w:pPr>
            <w:r w:rsidRPr="0040636E">
              <w:rPr>
                <w:rFonts w:ascii="Arial Narrow" w:hAnsi="Arial Narrow"/>
              </w:rPr>
              <w:t>December 2018</w:t>
            </w:r>
          </w:p>
        </w:tc>
      </w:tr>
      <w:tr w:rsidR="004E5DA9" w:rsidRPr="004E5DA9" w:rsidTr="004E5DA9">
        <w:tc>
          <w:tcPr>
            <w:tcW w:w="796" w:type="pct"/>
            <w:tcBorders>
              <w:top w:val="single" w:sz="4" w:space="0" w:color="auto"/>
              <w:bottom w:val="single" w:sz="4" w:space="0" w:color="auto"/>
            </w:tcBorders>
            <w:vAlign w:val="center"/>
          </w:tcPr>
          <w:p w:rsidR="004E5DA9" w:rsidRPr="004E5DA9" w:rsidRDefault="004E5DA9" w:rsidP="00A61925">
            <w:pPr>
              <w:pStyle w:val="Tabletext"/>
              <w:keepNext/>
              <w:keepLines/>
              <w:jc w:val="left"/>
              <w:rPr>
                <w:rFonts w:ascii="Arial Narrow" w:hAnsi="Arial Narrow"/>
              </w:rPr>
            </w:pPr>
            <w:r w:rsidRPr="004E5DA9">
              <w:rPr>
                <w:rFonts w:ascii="Arial Narrow" w:hAnsi="Arial Narrow"/>
              </w:rPr>
              <w:t>HARRIER</w:t>
            </w:r>
          </w:p>
        </w:tc>
        <w:tc>
          <w:tcPr>
            <w:tcW w:w="3027" w:type="pct"/>
            <w:tcBorders>
              <w:top w:val="single" w:sz="4" w:space="0" w:color="auto"/>
              <w:bottom w:val="single" w:sz="4" w:space="0" w:color="auto"/>
            </w:tcBorders>
            <w:vAlign w:val="center"/>
          </w:tcPr>
          <w:p w:rsidR="004E5DA9" w:rsidRPr="004E5DA9" w:rsidRDefault="004E5DA9" w:rsidP="00A61925">
            <w:pPr>
              <w:pStyle w:val="Tabletext"/>
              <w:keepNext/>
              <w:keepLines/>
              <w:jc w:val="left"/>
              <w:rPr>
                <w:rFonts w:ascii="Arial Narrow" w:hAnsi="Arial Narrow"/>
                <w:szCs w:val="18"/>
                <w:lang w:val="en-US" w:eastAsia="en-AU"/>
              </w:rPr>
            </w:pPr>
            <w:r w:rsidRPr="004E5DA9">
              <w:rPr>
                <w:rFonts w:ascii="Arial Narrow" w:hAnsi="Arial Narrow"/>
                <w:szCs w:val="18"/>
                <w:lang w:val="en-US" w:eastAsia="en-AU"/>
              </w:rPr>
              <w:t xml:space="preserve">Clinical Study Report: </w:t>
            </w:r>
            <w:r w:rsidRPr="004E5DA9">
              <w:rPr>
                <w:rFonts w:ascii="Arial Narrow" w:hAnsi="Arial Narrow"/>
              </w:rPr>
              <w:t xml:space="preserve">A two year randomised double masked multicentre two arm study comparing the efficacy and safety of RTH258 6 mg versus aflibercept in subjects with </w:t>
            </w:r>
            <w:proofErr w:type="spellStart"/>
            <w:r w:rsidRPr="004E5DA9">
              <w:rPr>
                <w:rFonts w:ascii="Arial Narrow" w:hAnsi="Arial Narrow"/>
              </w:rPr>
              <w:t>neovascular</w:t>
            </w:r>
            <w:proofErr w:type="spellEnd"/>
            <w:r w:rsidRPr="004E5DA9">
              <w:rPr>
                <w:rFonts w:ascii="Arial Narrow" w:hAnsi="Arial Narrow"/>
              </w:rPr>
              <w:t xml:space="preserve"> age related macular</w:t>
            </w:r>
            <w:r w:rsidR="007A6CD6">
              <w:rPr>
                <w:rFonts w:ascii="Arial Narrow" w:hAnsi="Arial Narrow"/>
              </w:rPr>
              <w:t xml:space="preserve"> </w:t>
            </w:r>
            <w:r w:rsidR="007A6CD6" w:rsidRPr="004E5DA9">
              <w:rPr>
                <w:rFonts w:ascii="Arial Narrow" w:hAnsi="Arial Narrow"/>
              </w:rPr>
              <w:t>degeneration</w:t>
            </w:r>
            <w:r w:rsidRPr="004E5DA9">
              <w:rPr>
                <w:rFonts w:ascii="Arial Narrow" w:hAnsi="Arial Narrow"/>
              </w:rPr>
              <w:t>.</w:t>
            </w:r>
          </w:p>
        </w:tc>
        <w:tc>
          <w:tcPr>
            <w:tcW w:w="1177" w:type="pct"/>
            <w:tcBorders>
              <w:top w:val="single" w:sz="4" w:space="0" w:color="auto"/>
              <w:bottom w:val="single" w:sz="4" w:space="0" w:color="auto"/>
            </w:tcBorders>
            <w:vAlign w:val="center"/>
          </w:tcPr>
          <w:p w:rsidR="004E5DA9" w:rsidRPr="0040636E" w:rsidRDefault="004E5DA9" w:rsidP="00A61925">
            <w:pPr>
              <w:pStyle w:val="Tabletext"/>
              <w:keepNext/>
              <w:keepLines/>
              <w:jc w:val="left"/>
              <w:rPr>
                <w:rFonts w:ascii="Arial Narrow" w:hAnsi="Arial Narrow"/>
                <w:szCs w:val="18"/>
                <w:lang w:val="en-US" w:eastAsia="en-AU"/>
              </w:rPr>
            </w:pPr>
            <w:r w:rsidRPr="0040636E">
              <w:rPr>
                <w:rFonts w:ascii="Arial Narrow" w:hAnsi="Arial Narrow"/>
                <w:szCs w:val="18"/>
                <w:lang w:val="en-US" w:eastAsia="en-AU"/>
              </w:rPr>
              <w:t>December 2018</w:t>
            </w:r>
          </w:p>
        </w:tc>
      </w:tr>
      <w:tr w:rsidR="004E5DA9" w:rsidRPr="004E5DA9" w:rsidTr="004E5DA9">
        <w:tc>
          <w:tcPr>
            <w:tcW w:w="796" w:type="pct"/>
            <w:tcBorders>
              <w:top w:val="single" w:sz="4" w:space="0" w:color="auto"/>
              <w:bottom w:val="single" w:sz="4" w:space="0" w:color="auto"/>
            </w:tcBorders>
            <w:vAlign w:val="center"/>
          </w:tcPr>
          <w:p w:rsidR="004E5DA9" w:rsidRPr="004E5DA9" w:rsidRDefault="004E5DA9" w:rsidP="00A61925">
            <w:pPr>
              <w:pStyle w:val="Tabletext"/>
              <w:keepNext/>
              <w:keepLines/>
              <w:jc w:val="left"/>
              <w:rPr>
                <w:rFonts w:ascii="Arial Narrow" w:hAnsi="Arial Narrow"/>
              </w:rPr>
            </w:pPr>
            <w:r w:rsidRPr="004E5DA9">
              <w:rPr>
                <w:rFonts w:ascii="Arial Narrow" w:hAnsi="Arial Narrow"/>
              </w:rPr>
              <w:t xml:space="preserve">HAWK and HARRIER </w:t>
            </w:r>
          </w:p>
        </w:tc>
        <w:tc>
          <w:tcPr>
            <w:tcW w:w="3027" w:type="pct"/>
            <w:tcBorders>
              <w:top w:val="single" w:sz="4" w:space="0" w:color="auto"/>
              <w:bottom w:val="single" w:sz="4" w:space="0" w:color="auto"/>
            </w:tcBorders>
            <w:vAlign w:val="center"/>
          </w:tcPr>
          <w:p w:rsidR="004E5DA9" w:rsidRPr="004E5DA9" w:rsidRDefault="004E5DA9" w:rsidP="00A61925">
            <w:pPr>
              <w:pStyle w:val="Tabletext"/>
              <w:keepNext/>
              <w:keepLines/>
              <w:jc w:val="left"/>
              <w:rPr>
                <w:rFonts w:ascii="Arial Narrow" w:hAnsi="Arial Narrow"/>
                <w:szCs w:val="18"/>
                <w:lang w:val="en-US" w:eastAsia="en-AU"/>
              </w:rPr>
            </w:pPr>
            <w:proofErr w:type="spellStart"/>
            <w:r w:rsidRPr="004E5DA9">
              <w:rPr>
                <w:rFonts w:ascii="Arial Narrow" w:hAnsi="Arial Narrow"/>
              </w:rPr>
              <w:t>Dugel</w:t>
            </w:r>
            <w:proofErr w:type="spellEnd"/>
            <w:r w:rsidRPr="004E5DA9">
              <w:rPr>
                <w:rFonts w:ascii="Arial Narrow" w:hAnsi="Arial Narrow"/>
              </w:rPr>
              <w:t xml:space="preserve"> PU, </w:t>
            </w:r>
            <w:proofErr w:type="spellStart"/>
            <w:r w:rsidRPr="004E5DA9">
              <w:rPr>
                <w:rFonts w:ascii="Arial Narrow" w:hAnsi="Arial Narrow"/>
              </w:rPr>
              <w:t>Koh</w:t>
            </w:r>
            <w:proofErr w:type="spellEnd"/>
            <w:r w:rsidRPr="004E5DA9">
              <w:rPr>
                <w:rFonts w:ascii="Arial Narrow" w:hAnsi="Arial Narrow"/>
              </w:rPr>
              <w:t xml:space="preserve"> A, Ogura Y, et al. HAWK and HARRIER: Phase 3, </w:t>
            </w:r>
            <w:proofErr w:type="spellStart"/>
            <w:r w:rsidRPr="004E5DA9">
              <w:rPr>
                <w:rFonts w:ascii="Arial Narrow" w:hAnsi="Arial Narrow"/>
              </w:rPr>
              <w:t>multicenter</w:t>
            </w:r>
            <w:proofErr w:type="spellEnd"/>
            <w:r w:rsidRPr="004E5DA9">
              <w:rPr>
                <w:rFonts w:ascii="Arial Narrow" w:hAnsi="Arial Narrow"/>
              </w:rPr>
              <w:t xml:space="preserve">, randomized, double-masked trials of brolucizumab for </w:t>
            </w:r>
            <w:proofErr w:type="spellStart"/>
            <w:r w:rsidRPr="004E5DA9">
              <w:rPr>
                <w:rFonts w:ascii="Arial Narrow" w:hAnsi="Arial Narrow"/>
              </w:rPr>
              <w:t>neovascular</w:t>
            </w:r>
            <w:proofErr w:type="spellEnd"/>
            <w:r w:rsidRPr="004E5DA9">
              <w:rPr>
                <w:rFonts w:ascii="Arial Narrow" w:hAnsi="Arial Narrow"/>
              </w:rPr>
              <w:t xml:space="preserve"> age-related macular degeneration.</w:t>
            </w:r>
          </w:p>
        </w:tc>
        <w:tc>
          <w:tcPr>
            <w:tcW w:w="1177" w:type="pct"/>
            <w:tcBorders>
              <w:top w:val="single" w:sz="4" w:space="0" w:color="auto"/>
              <w:bottom w:val="single" w:sz="4" w:space="0" w:color="auto"/>
            </w:tcBorders>
            <w:vAlign w:val="center"/>
          </w:tcPr>
          <w:p w:rsidR="004E5DA9" w:rsidRPr="0040636E" w:rsidRDefault="004E5DA9" w:rsidP="00A61925">
            <w:pPr>
              <w:pStyle w:val="Tabletext"/>
              <w:keepNext/>
              <w:keepLines/>
              <w:jc w:val="left"/>
              <w:rPr>
                <w:rFonts w:ascii="Arial Narrow" w:hAnsi="Arial Narrow"/>
                <w:szCs w:val="18"/>
                <w:lang w:val="en-US" w:eastAsia="en-AU"/>
              </w:rPr>
            </w:pPr>
            <w:r w:rsidRPr="0040636E">
              <w:rPr>
                <w:rFonts w:ascii="Arial Narrow" w:hAnsi="Arial Narrow"/>
              </w:rPr>
              <w:t>Ophthalmology 2019 Apr 12 (</w:t>
            </w:r>
            <w:proofErr w:type="spellStart"/>
            <w:r w:rsidRPr="0040636E">
              <w:rPr>
                <w:rFonts w:ascii="Arial Narrow" w:hAnsi="Arial Narrow"/>
              </w:rPr>
              <w:t>Epub</w:t>
            </w:r>
            <w:proofErr w:type="spellEnd"/>
            <w:r w:rsidRPr="0040636E">
              <w:rPr>
                <w:rFonts w:ascii="Arial Narrow" w:hAnsi="Arial Narrow"/>
              </w:rPr>
              <w:t xml:space="preserve"> ahead of print).</w:t>
            </w:r>
          </w:p>
        </w:tc>
      </w:tr>
      <w:tr w:rsidR="004E5DA9" w:rsidRPr="004E5DA9" w:rsidTr="004E5DA9">
        <w:tc>
          <w:tcPr>
            <w:tcW w:w="796" w:type="pct"/>
            <w:tcBorders>
              <w:top w:val="single" w:sz="4" w:space="0" w:color="auto"/>
              <w:bottom w:val="nil"/>
            </w:tcBorders>
            <w:vAlign w:val="center"/>
          </w:tcPr>
          <w:p w:rsidR="004E5DA9" w:rsidRPr="004E5DA9" w:rsidRDefault="004E5DA9" w:rsidP="00A61925">
            <w:pPr>
              <w:pStyle w:val="Tabletext"/>
              <w:keepNext/>
              <w:keepLines/>
              <w:jc w:val="left"/>
              <w:rPr>
                <w:rFonts w:ascii="Arial Narrow" w:hAnsi="Arial Narrow"/>
              </w:rPr>
            </w:pPr>
            <w:r w:rsidRPr="004E5DA9">
              <w:rPr>
                <w:rFonts w:ascii="Arial Narrow" w:hAnsi="Arial Narrow"/>
              </w:rPr>
              <w:t>OSPREY</w:t>
            </w:r>
          </w:p>
        </w:tc>
        <w:tc>
          <w:tcPr>
            <w:tcW w:w="3027" w:type="pct"/>
            <w:tcBorders>
              <w:top w:val="single" w:sz="4" w:space="0" w:color="auto"/>
              <w:bottom w:val="nil"/>
            </w:tcBorders>
            <w:vAlign w:val="center"/>
          </w:tcPr>
          <w:p w:rsidR="004E5DA9" w:rsidRPr="004E5DA9" w:rsidRDefault="004E5DA9" w:rsidP="00A61925">
            <w:pPr>
              <w:pStyle w:val="Tabletext"/>
              <w:keepNext/>
              <w:keepLines/>
              <w:spacing w:after="60"/>
              <w:jc w:val="left"/>
              <w:rPr>
                <w:rFonts w:ascii="Arial Narrow" w:hAnsi="Arial Narrow"/>
              </w:rPr>
            </w:pPr>
            <w:r w:rsidRPr="004E5DA9">
              <w:rPr>
                <w:rFonts w:ascii="Arial Narrow" w:hAnsi="Arial Narrow"/>
              </w:rPr>
              <w:t xml:space="preserve">Clinical Study Report: A prospective, randomised, double-masked, multicentre, two arm study comparing the efficacy and safety of ESBA1008 versus </w:t>
            </w:r>
            <w:proofErr w:type="spellStart"/>
            <w:r w:rsidRPr="004E5DA9">
              <w:rPr>
                <w:rFonts w:ascii="Arial Narrow" w:hAnsi="Arial Narrow"/>
              </w:rPr>
              <w:t>Eylea</w:t>
            </w:r>
            <w:proofErr w:type="spellEnd"/>
            <w:r w:rsidRPr="004E5DA9">
              <w:rPr>
                <w:rFonts w:ascii="Arial Narrow" w:hAnsi="Arial Narrow"/>
              </w:rPr>
              <w:t xml:space="preserve"> in subjects with exudative age related macular degeneration</w:t>
            </w:r>
          </w:p>
        </w:tc>
        <w:tc>
          <w:tcPr>
            <w:tcW w:w="1177" w:type="pct"/>
            <w:tcBorders>
              <w:top w:val="single" w:sz="4" w:space="0" w:color="auto"/>
              <w:bottom w:val="nil"/>
            </w:tcBorders>
            <w:vAlign w:val="center"/>
          </w:tcPr>
          <w:p w:rsidR="004E5DA9" w:rsidRPr="0040636E" w:rsidRDefault="004E5DA9" w:rsidP="00A61925">
            <w:pPr>
              <w:pStyle w:val="Tabletext"/>
              <w:keepNext/>
              <w:keepLines/>
              <w:jc w:val="left"/>
              <w:rPr>
                <w:rFonts w:ascii="Arial Narrow" w:hAnsi="Arial Narrow"/>
              </w:rPr>
            </w:pPr>
            <w:r w:rsidRPr="0040636E">
              <w:rPr>
                <w:rFonts w:ascii="Arial Narrow" w:hAnsi="Arial Narrow"/>
              </w:rPr>
              <w:t>November 2015</w:t>
            </w:r>
          </w:p>
        </w:tc>
      </w:tr>
      <w:tr w:rsidR="004E5DA9" w:rsidRPr="004E5DA9" w:rsidTr="004E5DA9">
        <w:tc>
          <w:tcPr>
            <w:tcW w:w="796" w:type="pct"/>
            <w:tcBorders>
              <w:top w:val="nil"/>
              <w:bottom w:val="single" w:sz="4" w:space="0" w:color="auto"/>
            </w:tcBorders>
            <w:vAlign w:val="center"/>
          </w:tcPr>
          <w:p w:rsidR="004E5DA9" w:rsidRPr="004E5DA9" w:rsidRDefault="004E5DA9" w:rsidP="00A61925">
            <w:pPr>
              <w:pStyle w:val="Tabletext"/>
              <w:keepNext/>
              <w:keepLines/>
              <w:jc w:val="left"/>
              <w:rPr>
                <w:rFonts w:ascii="Arial Narrow" w:hAnsi="Arial Narrow"/>
              </w:rPr>
            </w:pPr>
          </w:p>
        </w:tc>
        <w:tc>
          <w:tcPr>
            <w:tcW w:w="3027" w:type="pct"/>
            <w:tcBorders>
              <w:top w:val="nil"/>
              <w:bottom w:val="single" w:sz="4" w:space="0" w:color="auto"/>
            </w:tcBorders>
            <w:vAlign w:val="center"/>
          </w:tcPr>
          <w:p w:rsidR="004E5DA9" w:rsidRPr="004E5DA9" w:rsidRDefault="004E5DA9" w:rsidP="00A61925">
            <w:pPr>
              <w:pStyle w:val="Tabletext"/>
              <w:keepNext/>
              <w:keepLines/>
              <w:jc w:val="left"/>
              <w:rPr>
                <w:rFonts w:ascii="Arial Narrow" w:hAnsi="Arial Narrow"/>
              </w:rPr>
            </w:pPr>
            <w:proofErr w:type="spellStart"/>
            <w:r w:rsidRPr="004E5DA9">
              <w:rPr>
                <w:rFonts w:ascii="Arial Narrow" w:hAnsi="Arial Narrow"/>
              </w:rPr>
              <w:t>Dugel</w:t>
            </w:r>
            <w:proofErr w:type="spellEnd"/>
            <w:r w:rsidRPr="004E5DA9">
              <w:rPr>
                <w:rFonts w:ascii="Arial Narrow" w:hAnsi="Arial Narrow"/>
              </w:rPr>
              <w:t xml:space="preserve"> PU, Jaffe GJ, </w:t>
            </w:r>
            <w:proofErr w:type="spellStart"/>
            <w:r w:rsidRPr="004E5DA9">
              <w:rPr>
                <w:rFonts w:ascii="Arial Narrow" w:hAnsi="Arial Narrow"/>
              </w:rPr>
              <w:t>Sallstig</w:t>
            </w:r>
            <w:proofErr w:type="spellEnd"/>
            <w:r w:rsidRPr="004E5DA9">
              <w:rPr>
                <w:rFonts w:ascii="Arial Narrow" w:hAnsi="Arial Narrow"/>
              </w:rPr>
              <w:t xml:space="preserve"> P, et al. Brolucizumab versus aflibercept in participants with </w:t>
            </w:r>
            <w:proofErr w:type="spellStart"/>
            <w:r w:rsidRPr="004E5DA9">
              <w:rPr>
                <w:rFonts w:ascii="Arial Narrow" w:hAnsi="Arial Narrow"/>
              </w:rPr>
              <w:t>neovascular</w:t>
            </w:r>
            <w:proofErr w:type="spellEnd"/>
            <w:r w:rsidRPr="004E5DA9">
              <w:rPr>
                <w:rFonts w:ascii="Arial Narrow" w:hAnsi="Arial Narrow"/>
              </w:rPr>
              <w:t xml:space="preserve"> age related macular degeneration; a randomised trial.</w:t>
            </w:r>
          </w:p>
        </w:tc>
        <w:tc>
          <w:tcPr>
            <w:tcW w:w="1177" w:type="pct"/>
            <w:tcBorders>
              <w:top w:val="nil"/>
              <w:bottom w:val="single" w:sz="4" w:space="0" w:color="auto"/>
            </w:tcBorders>
            <w:vAlign w:val="center"/>
          </w:tcPr>
          <w:p w:rsidR="004E5DA9" w:rsidRPr="0040636E" w:rsidRDefault="004E5DA9" w:rsidP="00A61925">
            <w:pPr>
              <w:pStyle w:val="Tabletext"/>
              <w:keepNext/>
              <w:keepLines/>
              <w:jc w:val="left"/>
              <w:rPr>
                <w:rFonts w:ascii="Arial Narrow" w:hAnsi="Arial Narrow"/>
              </w:rPr>
            </w:pPr>
            <w:r w:rsidRPr="0040636E">
              <w:rPr>
                <w:rFonts w:ascii="Arial Narrow" w:hAnsi="Arial Narrow"/>
              </w:rPr>
              <w:t>Ophthalmology 2017; 124(9): 1296-1304.</w:t>
            </w:r>
          </w:p>
        </w:tc>
      </w:tr>
    </w:tbl>
    <w:p w:rsidR="0018502A" w:rsidRPr="000B68C8" w:rsidRDefault="000B68C8" w:rsidP="00A61925">
      <w:pPr>
        <w:keepNext/>
        <w:keepLines/>
        <w:rPr>
          <w:rFonts w:ascii="Arial Narrow" w:hAnsi="Arial Narrow"/>
          <w:sz w:val="18"/>
          <w:szCs w:val="18"/>
        </w:rPr>
      </w:pPr>
      <w:r w:rsidRPr="000B68C8">
        <w:rPr>
          <w:rFonts w:ascii="Arial Narrow" w:hAnsi="Arial Narrow"/>
          <w:sz w:val="18"/>
          <w:szCs w:val="18"/>
        </w:rPr>
        <w:t>Source: Tab</w:t>
      </w:r>
      <w:r w:rsidR="004904B8">
        <w:rPr>
          <w:rFonts w:ascii="Arial Narrow" w:hAnsi="Arial Narrow"/>
          <w:sz w:val="18"/>
          <w:szCs w:val="18"/>
        </w:rPr>
        <w:t>le 2</w:t>
      </w:r>
      <w:r w:rsidRPr="000B68C8">
        <w:rPr>
          <w:rFonts w:ascii="Arial Narrow" w:hAnsi="Arial Narrow"/>
          <w:sz w:val="18"/>
          <w:szCs w:val="18"/>
        </w:rPr>
        <w:t xml:space="preserve">, </w:t>
      </w:r>
      <w:r w:rsidR="00C7207D">
        <w:rPr>
          <w:rFonts w:ascii="Arial Narrow" w:hAnsi="Arial Narrow"/>
          <w:sz w:val="18"/>
          <w:szCs w:val="18"/>
        </w:rPr>
        <w:t>b</w:t>
      </w:r>
      <w:r w:rsidR="004904B8">
        <w:rPr>
          <w:rFonts w:ascii="Arial Narrow" w:hAnsi="Arial Narrow"/>
          <w:sz w:val="18"/>
          <w:szCs w:val="18"/>
        </w:rPr>
        <w:t>rolucizumab</w:t>
      </w:r>
      <w:r w:rsidR="00C7207D">
        <w:rPr>
          <w:rFonts w:ascii="Arial Narrow" w:hAnsi="Arial Narrow"/>
          <w:sz w:val="18"/>
          <w:szCs w:val="18"/>
        </w:rPr>
        <w:t xml:space="preserve"> PSD</w:t>
      </w:r>
      <w:r w:rsidR="004904B8">
        <w:rPr>
          <w:rFonts w:ascii="Arial Narrow" w:hAnsi="Arial Narrow"/>
          <w:sz w:val="18"/>
          <w:szCs w:val="18"/>
        </w:rPr>
        <w:t xml:space="preserve">, </w:t>
      </w:r>
      <w:r w:rsidR="00654E40">
        <w:rPr>
          <w:rFonts w:ascii="Arial Narrow" w:hAnsi="Arial Narrow"/>
          <w:sz w:val="18"/>
          <w:szCs w:val="18"/>
        </w:rPr>
        <w:t>November 2019</w:t>
      </w:r>
      <w:r w:rsidR="00C7207D">
        <w:rPr>
          <w:rFonts w:ascii="Arial Narrow" w:hAnsi="Arial Narrow"/>
          <w:sz w:val="18"/>
          <w:szCs w:val="18"/>
        </w:rPr>
        <w:t xml:space="preserve"> PBAC meeting</w:t>
      </w:r>
      <w:r w:rsidRPr="000B68C8">
        <w:rPr>
          <w:rFonts w:ascii="Arial Narrow" w:hAnsi="Arial Narrow"/>
          <w:sz w:val="18"/>
          <w:szCs w:val="18"/>
        </w:rPr>
        <w:t>.</w:t>
      </w:r>
    </w:p>
    <w:p w:rsidR="0018502A" w:rsidRDefault="0018502A" w:rsidP="0018502A"/>
    <w:p w:rsidR="000B68C8" w:rsidRPr="0049229C" w:rsidRDefault="000B68C8" w:rsidP="000B68C8">
      <w:pPr>
        <w:pStyle w:val="Heading2"/>
        <w:rPr>
          <w:rFonts w:asciiTheme="minorHAnsi" w:eastAsiaTheme="majorEastAsia" w:hAnsiTheme="minorHAnsi" w:cstheme="minorHAnsi"/>
          <w:sz w:val="28"/>
          <w:szCs w:val="28"/>
        </w:rPr>
      </w:pPr>
      <w:r w:rsidRPr="0049229C">
        <w:rPr>
          <w:rFonts w:asciiTheme="minorHAnsi" w:eastAsiaTheme="majorEastAsia" w:hAnsiTheme="minorHAnsi" w:cstheme="minorHAnsi"/>
          <w:sz w:val="28"/>
          <w:szCs w:val="28"/>
        </w:rPr>
        <w:t>Comparative effectiveness</w:t>
      </w:r>
    </w:p>
    <w:p w:rsidR="00693DFB" w:rsidRPr="00A61925" w:rsidRDefault="000B68C8" w:rsidP="00A61925">
      <w:pPr>
        <w:pStyle w:val="ListParagraph"/>
        <w:numPr>
          <w:ilvl w:val="1"/>
          <w:numId w:val="2"/>
        </w:numPr>
        <w:jc w:val="both"/>
        <w:rPr>
          <w:rFonts w:eastAsiaTheme="minorHAnsi" w:cstheme="minorBidi"/>
          <w:snapToGrid/>
          <w:szCs w:val="22"/>
        </w:rPr>
      </w:pPr>
      <w:r>
        <w:rPr>
          <w:rFonts w:eastAsiaTheme="minorHAnsi" w:cstheme="minorBidi"/>
          <w:snapToGrid/>
          <w:szCs w:val="22"/>
        </w:rPr>
        <w:t xml:space="preserve">The PBAC previously considered that </w:t>
      </w:r>
      <w:r>
        <w:t xml:space="preserve">brolucizumab was </w:t>
      </w:r>
      <w:r>
        <w:rPr>
          <w:bCs/>
          <w:lang w:val="en-GB"/>
        </w:rPr>
        <w:t xml:space="preserve">non-inferior in terms of comparative efficacy to aflibercept, based on the two key trials (HAWK and HARRIER) </w:t>
      </w:r>
      <w:r>
        <w:t xml:space="preserve">(paragraph 7.3, </w:t>
      </w:r>
      <w:r w:rsidR="00C101B1" w:rsidRPr="00537240">
        <w:t xml:space="preserve">brolucizumab </w:t>
      </w:r>
      <w:r w:rsidR="00537240">
        <w:t>PSD</w:t>
      </w:r>
      <w:r w:rsidRPr="00537240">
        <w:t>, November 2019</w:t>
      </w:r>
      <w:r>
        <w:t>)</w:t>
      </w:r>
      <w:r>
        <w:rPr>
          <w:bCs/>
          <w:lang w:val="en-GB"/>
        </w:rPr>
        <w:t>.</w:t>
      </w:r>
    </w:p>
    <w:p w:rsidR="005A3173" w:rsidRDefault="007F0021" w:rsidP="0093795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Comparative </w:t>
      </w:r>
      <w:r w:rsidR="005A3173" w:rsidRPr="000214D1">
        <w:rPr>
          <w:rFonts w:asciiTheme="minorHAnsi" w:eastAsiaTheme="majorEastAsia" w:hAnsiTheme="minorHAnsi" w:cstheme="majorBidi"/>
          <w:sz w:val="28"/>
          <w:szCs w:val="28"/>
          <w:lang w:eastAsia="en-US"/>
        </w:rPr>
        <w:t>harms</w:t>
      </w:r>
    </w:p>
    <w:p w:rsidR="00F26C0D" w:rsidRPr="00F26C0D" w:rsidRDefault="00D55B46" w:rsidP="00F26C0D">
      <w:pPr>
        <w:pStyle w:val="ListParagraph"/>
        <w:numPr>
          <w:ilvl w:val="1"/>
          <w:numId w:val="2"/>
        </w:numPr>
        <w:jc w:val="both"/>
        <w:rPr>
          <w:bCs/>
          <w:lang w:val="en-GB"/>
        </w:rPr>
      </w:pPr>
      <w:r>
        <w:rPr>
          <w:rFonts w:eastAsiaTheme="minorHAnsi" w:cstheme="minorBidi"/>
          <w:snapToGrid/>
          <w:szCs w:val="22"/>
        </w:rPr>
        <w:t xml:space="preserve">The PBAC previously considered that </w:t>
      </w:r>
      <w:r w:rsidR="008742A0">
        <w:rPr>
          <w:bCs/>
          <w:lang w:val="en-GB"/>
        </w:rPr>
        <w:t xml:space="preserve">the overall ocular </w:t>
      </w:r>
      <w:r w:rsidR="000914B9">
        <w:rPr>
          <w:bCs/>
          <w:lang w:val="en-GB"/>
        </w:rPr>
        <w:t>serious adverse event (</w:t>
      </w:r>
      <w:r w:rsidR="008742A0">
        <w:rPr>
          <w:bCs/>
          <w:lang w:val="en-GB"/>
        </w:rPr>
        <w:t>SAE</w:t>
      </w:r>
      <w:r w:rsidR="000914B9">
        <w:rPr>
          <w:bCs/>
          <w:lang w:val="en-GB"/>
        </w:rPr>
        <w:t>)</w:t>
      </w:r>
      <w:r w:rsidR="008742A0">
        <w:rPr>
          <w:bCs/>
          <w:lang w:val="en-GB"/>
        </w:rPr>
        <w:t xml:space="preserve"> rate with brolucizumab (3.4%) was significantly different to aflibercept (1.5%) and the claim of non-inferiority in terms of safety was uncertain </w:t>
      </w:r>
      <w:r w:rsidR="008742A0">
        <w:t>(</w:t>
      </w:r>
      <w:r w:rsidR="00537240" w:rsidRPr="00537240">
        <w:t>paragraph 7.3, b</w:t>
      </w:r>
      <w:r w:rsidR="008742A0" w:rsidRPr="00537240">
        <w:t xml:space="preserve">rolucizumab </w:t>
      </w:r>
      <w:r w:rsidR="00537240" w:rsidRPr="00537240">
        <w:t>PSD</w:t>
      </w:r>
      <w:r w:rsidR="008742A0" w:rsidRPr="00537240">
        <w:t>, November 2019</w:t>
      </w:r>
      <w:r w:rsidR="008742A0">
        <w:t>)</w:t>
      </w:r>
      <w:r w:rsidR="008742A0">
        <w:rPr>
          <w:bCs/>
          <w:lang w:val="en-GB"/>
        </w:rPr>
        <w:t>. The ocular SAEs that occurred more frequently with brolucizumab included uveitis, vitreous floater and retinal pigment epithelial tear. The PBAC considered that the safety profile of brolucizumab is uncertain compared to its comparators, and there are potential associated cost implications.</w:t>
      </w:r>
    </w:p>
    <w:p w:rsidR="0025691E" w:rsidRDefault="00A61925" w:rsidP="00D55B46">
      <w:pPr>
        <w:pStyle w:val="ListParagraph"/>
        <w:numPr>
          <w:ilvl w:val="1"/>
          <w:numId w:val="2"/>
        </w:numPr>
        <w:jc w:val="both"/>
      </w:pPr>
      <w:r>
        <w:rPr>
          <w:rFonts w:eastAsiaTheme="minorHAnsi" w:cstheme="minorBidi"/>
          <w:snapToGrid/>
          <w:szCs w:val="22"/>
        </w:rPr>
        <w:t>Following the TGA Delegate’s request for ACM advice on a number of safety issues associated with brolucizumab, t</w:t>
      </w:r>
      <w:r w:rsidR="003073D3" w:rsidRPr="003073D3">
        <w:rPr>
          <w:rFonts w:eastAsiaTheme="minorHAnsi" w:cstheme="minorBidi"/>
          <w:snapToGrid/>
          <w:szCs w:val="22"/>
        </w:rPr>
        <w:t xml:space="preserve">he </w:t>
      </w:r>
      <w:r w:rsidR="00326E8D">
        <w:rPr>
          <w:rFonts w:eastAsiaTheme="minorHAnsi" w:cstheme="minorBidi"/>
          <w:snapToGrid/>
          <w:szCs w:val="22"/>
        </w:rPr>
        <w:t>Ratified R</w:t>
      </w:r>
      <w:r w:rsidR="003073D3" w:rsidRPr="003073D3">
        <w:rPr>
          <w:rFonts w:eastAsiaTheme="minorHAnsi" w:cstheme="minorBidi"/>
          <w:snapToGrid/>
          <w:szCs w:val="22"/>
        </w:rPr>
        <w:t>esolution from the TGA ACM meeting on 6 Dec 2019 bec</w:t>
      </w:r>
      <w:r w:rsidR="003D6034">
        <w:rPr>
          <w:rFonts w:eastAsiaTheme="minorHAnsi" w:cstheme="minorBidi"/>
          <w:snapToGrid/>
          <w:szCs w:val="22"/>
        </w:rPr>
        <w:t>a</w:t>
      </w:r>
      <w:r w:rsidR="003073D3" w:rsidRPr="003073D3">
        <w:rPr>
          <w:rFonts w:eastAsiaTheme="minorHAnsi" w:cstheme="minorBidi"/>
          <w:snapToGrid/>
          <w:szCs w:val="22"/>
        </w:rPr>
        <w:t>me available.</w:t>
      </w:r>
      <w:r w:rsidR="000E7AEE">
        <w:rPr>
          <w:rFonts w:eastAsiaTheme="minorHAnsi" w:cstheme="minorBidi"/>
          <w:snapToGrid/>
          <w:szCs w:val="22"/>
        </w:rPr>
        <w:t xml:space="preserve"> </w:t>
      </w:r>
      <w:r w:rsidR="002459A9">
        <w:t>The ACM provided additional information regar</w:t>
      </w:r>
      <w:r w:rsidR="00EE13DC">
        <w:t>ding the safety profile of brolu</w:t>
      </w:r>
      <w:r w:rsidR="002459A9">
        <w:t>cizumab</w:t>
      </w:r>
      <w:r w:rsidR="00BF32AA">
        <w:t xml:space="preserve"> in the </w:t>
      </w:r>
      <w:r w:rsidR="00326E8D">
        <w:t>r</w:t>
      </w:r>
      <w:r w:rsidR="00BF32AA">
        <w:t>esolution</w:t>
      </w:r>
      <w:r w:rsidR="002459A9">
        <w:t>, as follows:</w:t>
      </w:r>
    </w:p>
    <w:p w:rsidR="00BF32AA" w:rsidRDefault="00BF32AA" w:rsidP="00BF32AA">
      <w:pPr>
        <w:pStyle w:val="ListBullet"/>
        <w:numPr>
          <w:ilvl w:val="0"/>
          <w:numId w:val="28"/>
        </w:numPr>
        <w:ind w:left="1134"/>
        <w:rPr>
          <w:rFonts w:eastAsiaTheme="minorHAnsi"/>
        </w:rPr>
      </w:pPr>
      <w:r>
        <w:rPr>
          <w:rFonts w:eastAsiaTheme="minorHAnsi"/>
        </w:rPr>
        <w:t>“</w:t>
      </w:r>
      <w:r w:rsidRPr="00BF32AA">
        <w:rPr>
          <w:rFonts w:eastAsiaTheme="minorHAnsi"/>
        </w:rPr>
        <w:t>The ACM noted that most treatment emergent adverse events were minor and the variation in their incidence was likely determined by chance.</w:t>
      </w:r>
      <w:r>
        <w:rPr>
          <w:rFonts w:eastAsiaTheme="minorHAnsi"/>
        </w:rPr>
        <w:t>”</w:t>
      </w:r>
    </w:p>
    <w:p w:rsidR="00BF32AA" w:rsidRDefault="00BF32AA" w:rsidP="00BF32AA">
      <w:pPr>
        <w:pStyle w:val="ListBullet"/>
        <w:numPr>
          <w:ilvl w:val="0"/>
          <w:numId w:val="28"/>
        </w:numPr>
        <w:ind w:left="1134"/>
        <w:rPr>
          <w:rFonts w:eastAsiaTheme="minorHAnsi"/>
        </w:rPr>
      </w:pPr>
      <w:r>
        <w:rPr>
          <w:rFonts w:eastAsiaTheme="minorHAnsi"/>
        </w:rPr>
        <w:lastRenderedPageBreak/>
        <w:t>“</w:t>
      </w:r>
      <w:r w:rsidRPr="00BF32AA">
        <w:rPr>
          <w:rFonts w:eastAsiaTheme="minorHAnsi"/>
        </w:rPr>
        <w:t xml:space="preserve">The ACM advised that </w:t>
      </w:r>
      <w:proofErr w:type="spellStart"/>
      <w:r w:rsidRPr="00BF32AA">
        <w:rPr>
          <w:rFonts w:eastAsiaTheme="minorHAnsi"/>
        </w:rPr>
        <w:t>arteriothomboembolic</w:t>
      </w:r>
      <w:proofErr w:type="spellEnd"/>
      <w:r w:rsidRPr="00BF32AA">
        <w:rPr>
          <w:rFonts w:eastAsiaTheme="minorHAnsi"/>
        </w:rPr>
        <w:t xml:space="preserve"> events (ATE) are potentially related to VEGF inhibition. The ATE rat</w:t>
      </w:r>
      <w:r w:rsidR="00584B2E">
        <w:rPr>
          <w:rFonts w:eastAsiaTheme="minorHAnsi"/>
        </w:rPr>
        <w:t>e was 4.5% (33/730) in brolucizu</w:t>
      </w:r>
      <w:r w:rsidRPr="00BF32AA">
        <w:rPr>
          <w:rFonts w:eastAsiaTheme="minorHAnsi"/>
        </w:rPr>
        <w:t>mab treated eyes and 4.7%</w:t>
      </w:r>
      <w:r>
        <w:rPr>
          <w:rFonts w:eastAsiaTheme="minorHAnsi"/>
        </w:rPr>
        <w:t xml:space="preserve"> </w:t>
      </w:r>
      <w:r w:rsidRPr="00BF32AA">
        <w:rPr>
          <w:rFonts w:eastAsiaTheme="minorHAnsi"/>
        </w:rPr>
        <w:t>(34/729) in aflibercept treated eyes. ATE are more common in patients with wet AMD than those without.</w:t>
      </w:r>
      <w:r>
        <w:rPr>
          <w:rFonts w:eastAsiaTheme="minorHAnsi"/>
        </w:rPr>
        <w:t>”</w:t>
      </w:r>
    </w:p>
    <w:p w:rsidR="002459A9" w:rsidRPr="004C12BC" w:rsidRDefault="00BF32AA" w:rsidP="002459A9">
      <w:pPr>
        <w:pStyle w:val="ListBullet"/>
        <w:numPr>
          <w:ilvl w:val="0"/>
          <w:numId w:val="28"/>
        </w:numPr>
        <w:ind w:left="1134"/>
        <w:rPr>
          <w:rFonts w:eastAsiaTheme="minorHAnsi"/>
        </w:rPr>
      </w:pPr>
      <w:r w:rsidRPr="00BF32AA">
        <w:rPr>
          <w:rFonts w:eastAsiaTheme="minorHAnsi"/>
        </w:rPr>
        <w:t>“</w:t>
      </w:r>
      <w:r w:rsidR="002459A9" w:rsidRPr="00BF32AA">
        <w:rPr>
          <w:rFonts w:eastAsiaTheme="minorHAnsi"/>
        </w:rPr>
        <w:t xml:space="preserve">The ACM considered the rate of </w:t>
      </w:r>
      <w:proofErr w:type="spellStart"/>
      <w:r w:rsidR="002459A9" w:rsidRPr="00BF32AA">
        <w:rPr>
          <w:rFonts w:eastAsiaTheme="minorHAnsi"/>
        </w:rPr>
        <w:t>endophthalmitis</w:t>
      </w:r>
      <w:proofErr w:type="spellEnd"/>
      <w:r w:rsidR="002459A9" w:rsidRPr="00BF32AA">
        <w:rPr>
          <w:rFonts w:eastAsiaTheme="minorHAnsi"/>
        </w:rPr>
        <w:t xml:space="preserve"> to be very high in all treatment groups of both trials (0.6%, to 1.3%).</w:t>
      </w:r>
      <w:r w:rsidRPr="00BF32AA">
        <w:rPr>
          <w:rFonts w:eastAsiaTheme="minorHAnsi"/>
        </w:rPr>
        <w:t>” ….. “</w:t>
      </w:r>
      <w:r w:rsidRPr="00BF32AA">
        <w:t xml:space="preserve">The ACM was of the view that the difference in </w:t>
      </w:r>
      <w:proofErr w:type="spellStart"/>
      <w:r w:rsidRPr="00BF32AA">
        <w:t>endophthalmitis</w:t>
      </w:r>
      <w:proofErr w:type="spellEnd"/>
      <w:r w:rsidRPr="00BF32AA">
        <w:t xml:space="preserve"> between brolucizumab and aflibercept appears to be due to chance alone, and has been noted in previous trials comparing aflibercept with ranibizumab and bevacizum</w:t>
      </w:r>
      <w:r w:rsidR="00B24A8C">
        <w:t>a</w:t>
      </w:r>
      <w:r w:rsidRPr="00BF32AA">
        <w:t>b (CATT trial).”</w:t>
      </w:r>
    </w:p>
    <w:p w:rsidR="004C12BC" w:rsidRDefault="004C12BC" w:rsidP="004C12BC">
      <w:pPr>
        <w:pStyle w:val="ListBullet"/>
        <w:numPr>
          <w:ilvl w:val="0"/>
          <w:numId w:val="28"/>
        </w:numPr>
        <w:ind w:left="1134"/>
        <w:rPr>
          <w:rFonts w:eastAsiaTheme="minorHAnsi"/>
        </w:rPr>
      </w:pPr>
      <w:r w:rsidRPr="004C12BC">
        <w:rPr>
          <w:rFonts w:eastAsiaTheme="minorHAnsi"/>
        </w:rPr>
        <w:t>“….the ACM advised that in general, most cases of intraocular inflammation are treatable with topical or systemic therapy (corticosteroids) and thus transient, and that clinically significant inflammation is rare.”</w:t>
      </w:r>
    </w:p>
    <w:p w:rsidR="004E0CB7" w:rsidRPr="004E0CB7" w:rsidRDefault="004C12BC" w:rsidP="004E0CB7">
      <w:pPr>
        <w:pStyle w:val="ListBullet"/>
        <w:numPr>
          <w:ilvl w:val="0"/>
          <w:numId w:val="28"/>
        </w:numPr>
        <w:spacing w:after="120"/>
        <w:ind w:left="1134" w:hanging="357"/>
        <w:rPr>
          <w:rFonts w:eastAsiaTheme="minorHAnsi" w:cstheme="minorBidi"/>
          <w:szCs w:val="22"/>
        </w:rPr>
      </w:pPr>
      <w:r w:rsidRPr="004C12BC">
        <w:rPr>
          <w:rFonts w:eastAsiaTheme="minorHAnsi"/>
        </w:rPr>
        <w:t>“The ACM was of the view that this [uveitis] is likely the result of the drug rather than disease, but the causes of this are unclear. The ACM noted however that this uveitis is rarely clinically significant and that in practice, the same anti-VEGF therapy can result in reactions in the same patient on some occasions, but not others</w:t>
      </w:r>
      <w:r w:rsidR="004E0CB7">
        <w:rPr>
          <w:rFonts w:eastAsiaTheme="minorHAnsi"/>
        </w:rPr>
        <w:t>.”</w:t>
      </w:r>
    </w:p>
    <w:p w:rsidR="00E662E0" w:rsidRDefault="00F26C0D" w:rsidP="00D55B46">
      <w:pPr>
        <w:pStyle w:val="ListParagraph"/>
        <w:numPr>
          <w:ilvl w:val="1"/>
          <w:numId w:val="2"/>
        </w:numPr>
        <w:jc w:val="both"/>
        <w:rPr>
          <w:rFonts w:eastAsiaTheme="minorHAnsi" w:cstheme="minorBidi"/>
          <w:snapToGrid/>
          <w:szCs w:val="22"/>
        </w:rPr>
      </w:pPr>
      <w:r>
        <w:rPr>
          <w:rFonts w:cstheme="minorHAnsi"/>
          <w:bCs/>
        </w:rPr>
        <w:t xml:space="preserve">The </w:t>
      </w:r>
      <w:r w:rsidR="00E5706E">
        <w:rPr>
          <w:rFonts w:cstheme="minorHAnsi"/>
          <w:bCs/>
        </w:rPr>
        <w:t>PSD</w:t>
      </w:r>
      <w:r w:rsidRPr="00B06276">
        <w:rPr>
          <w:rFonts w:cstheme="minorHAnsi"/>
          <w:bCs/>
        </w:rPr>
        <w:t xml:space="preserve"> for the November 2019 submission</w:t>
      </w:r>
      <w:r>
        <w:rPr>
          <w:rFonts w:cstheme="minorHAnsi"/>
          <w:bCs/>
        </w:rPr>
        <w:t xml:space="preserve"> stated that t</w:t>
      </w:r>
      <w:r w:rsidRPr="00390236">
        <w:rPr>
          <w:rFonts w:cstheme="minorHAnsi"/>
          <w:bCs/>
        </w:rPr>
        <w:t>he PBAC considered that any future submission should address the uncertain claim of non-inferior safety and difference in safety profile through a price reduction aga</w:t>
      </w:r>
      <w:r>
        <w:rPr>
          <w:rFonts w:cstheme="minorHAnsi"/>
          <w:bCs/>
        </w:rPr>
        <w:t xml:space="preserve">inst the lowest cost </w:t>
      </w:r>
      <w:r w:rsidRPr="00B06276">
        <w:rPr>
          <w:rFonts w:cstheme="minorHAnsi"/>
          <w:bCs/>
        </w:rPr>
        <w:t>alternative (paragraph 7.7</w:t>
      </w:r>
      <w:r w:rsidR="00115297" w:rsidRPr="00B06276">
        <w:rPr>
          <w:rFonts w:cstheme="minorHAnsi"/>
          <w:bCs/>
        </w:rPr>
        <w:t>,</w:t>
      </w:r>
      <w:r w:rsidR="00B06276" w:rsidRPr="00B06276">
        <w:rPr>
          <w:rFonts w:cstheme="minorHAnsi"/>
          <w:bCs/>
        </w:rPr>
        <w:t xml:space="preserve"> </w:t>
      </w:r>
      <w:r w:rsidR="00C843B9" w:rsidRPr="00B06276">
        <w:rPr>
          <w:rFonts w:cstheme="minorHAnsi"/>
          <w:bCs/>
        </w:rPr>
        <w:t>b</w:t>
      </w:r>
      <w:r w:rsidR="00115297" w:rsidRPr="00B06276">
        <w:rPr>
          <w:rFonts w:cstheme="minorHAnsi"/>
          <w:bCs/>
        </w:rPr>
        <w:t xml:space="preserve">rolucizumab </w:t>
      </w:r>
      <w:r w:rsidR="00B06276" w:rsidRPr="00B06276">
        <w:rPr>
          <w:rFonts w:cstheme="minorHAnsi"/>
          <w:bCs/>
        </w:rPr>
        <w:t>PSD</w:t>
      </w:r>
      <w:r w:rsidR="00115297" w:rsidRPr="00B06276">
        <w:rPr>
          <w:rFonts w:cstheme="minorHAnsi"/>
          <w:bCs/>
        </w:rPr>
        <w:t>, November 2019</w:t>
      </w:r>
      <w:r w:rsidRPr="00B06276">
        <w:rPr>
          <w:rFonts w:cstheme="minorHAnsi"/>
          <w:bCs/>
        </w:rPr>
        <w:t xml:space="preserve">). </w:t>
      </w:r>
      <w:r w:rsidRPr="00B06276">
        <w:rPr>
          <w:rFonts w:eastAsiaTheme="minorHAnsi" w:cstheme="minorBidi"/>
          <w:snapToGrid/>
          <w:szCs w:val="22"/>
        </w:rPr>
        <w:t>The</w:t>
      </w:r>
      <w:r w:rsidRPr="003073D3">
        <w:rPr>
          <w:rFonts w:eastAsiaTheme="minorHAnsi" w:cstheme="minorBidi"/>
          <w:snapToGrid/>
          <w:szCs w:val="22"/>
        </w:rPr>
        <w:t xml:space="preserve"> Sponsor state</w:t>
      </w:r>
      <w:r>
        <w:rPr>
          <w:rFonts w:eastAsiaTheme="minorHAnsi" w:cstheme="minorBidi"/>
          <w:snapToGrid/>
          <w:szCs w:val="22"/>
        </w:rPr>
        <w:t>d in the minor resubmission</w:t>
      </w:r>
      <w:r w:rsidRPr="003073D3">
        <w:rPr>
          <w:rFonts w:eastAsiaTheme="minorHAnsi" w:cstheme="minorBidi"/>
          <w:snapToGrid/>
          <w:szCs w:val="22"/>
        </w:rPr>
        <w:t xml:space="preserve"> that the findings of the</w:t>
      </w:r>
      <w:r>
        <w:rPr>
          <w:rFonts w:eastAsiaTheme="minorHAnsi" w:cstheme="minorBidi"/>
          <w:snapToGrid/>
          <w:szCs w:val="22"/>
        </w:rPr>
        <w:t xml:space="preserve"> TGA</w:t>
      </w:r>
      <w:r w:rsidRPr="003073D3">
        <w:rPr>
          <w:rFonts w:eastAsiaTheme="minorHAnsi" w:cstheme="minorBidi"/>
          <w:snapToGrid/>
          <w:szCs w:val="22"/>
        </w:rPr>
        <w:t xml:space="preserve"> ACM support the cla</w:t>
      </w:r>
      <w:r>
        <w:rPr>
          <w:rFonts w:eastAsiaTheme="minorHAnsi" w:cstheme="minorBidi"/>
          <w:snapToGrid/>
          <w:szCs w:val="22"/>
        </w:rPr>
        <w:t>im of non-inferiority because</w:t>
      </w:r>
      <w:r w:rsidR="00E662E0">
        <w:rPr>
          <w:rFonts w:eastAsiaTheme="minorHAnsi" w:cstheme="minorBidi"/>
          <w:snapToGrid/>
          <w:szCs w:val="22"/>
        </w:rPr>
        <w:t>:</w:t>
      </w:r>
      <w:r>
        <w:rPr>
          <w:rFonts w:eastAsiaTheme="minorHAnsi" w:cstheme="minorBidi"/>
          <w:snapToGrid/>
          <w:szCs w:val="22"/>
        </w:rPr>
        <w:t xml:space="preserve"> </w:t>
      </w:r>
    </w:p>
    <w:p w:rsidR="00E662E0" w:rsidRDefault="00F26C0D" w:rsidP="00105B13">
      <w:pPr>
        <w:pStyle w:val="ListParagraph"/>
        <w:numPr>
          <w:ilvl w:val="0"/>
          <w:numId w:val="38"/>
        </w:numPr>
        <w:spacing w:after="0"/>
        <w:ind w:left="1134" w:hanging="357"/>
        <w:jc w:val="both"/>
        <w:rPr>
          <w:rFonts w:eastAsiaTheme="minorHAnsi" w:cstheme="minorBidi"/>
          <w:snapToGrid/>
          <w:szCs w:val="22"/>
        </w:rPr>
      </w:pPr>
      <w:r w:rsidRPr="00A61925">
        <w:rPr>
          <w:rFonts w:eastAsiaTheme="minorHAnsi" w:cstheme="minorBidi"/>
          <w:snapToGrid/>
          <w:szCs w:val="22"/>
        </w:rPr>
        <w:t>potential bias in clinical trials captured higher rates of intraocular inflammation c</w:t>
      </w:r>
      <w:r>
        <w:rPr>
          <w:rFonts w:eastAsiaTheme="minorHAnsi" w:cstheme="minorBidi"/>
          <w:snapToGrid/>
          <w:szCs w:val="22"/>
        </w:rPr>
        <w:t xml:space="preserve">ompared with clinical practice; </w:t>
      </w:r>
    </w:p>
    <w:p w:rsidR="00E662E0" w:rsidRDefault="00F26C0D" w:rsidP="00105B13">
      <w:pPr>
        <w:pStyle w:val="ListParagraph"/>
        <w:numPr>
          <w:ilvl w:val="0"/>
          <w:numId w:val="38"/>
        </w:numPr>
        <w:spacing w:after="0"/>
        <w:ind w:left="1134" w:hanging="357"/>
        <w:jc w:val="both"/>
        <w:rPr>
          <w:rFonts w:eastAsiaTheme="minorHAnsi" w:cstheme="minorBidi"/>
          <w:snapToGrid/>
          <w:szCs w:val="22"/>
        </w:rPr>
      </w:pPr>
      <w:r w:rsidRPr="00A61925">
        <w:rPr>
          <w:rFonts w:eastAsiaTheme="minorHAnsi" w:cstheme="minorBidi"/>
          <w:snapToGrid/>
          <w:szCs w:val="22"/>
        </w:rPr>
        <w:t xml:space="preserve">most TEAEs were minor and any variation in incidence determined by chance; </w:t>
      </w:r>
    </w:p>
    <w:p w:rsidR="00E662E0" w:rsidRDefault="00F26C0D" w:rsidP="00105B13">
      <w:pPr>
        <w:pStyle w:val="ListParagraph"/>
        <w:numPr>
          <w:ilvl w:val="0"/>
          <w:numId w:val="38"/>
        </w:numPr>
        <w:spacing w:after="0"/>
        <w:ind w:left="1134" w:hanging="357"/>
        <w:jc w:val="both"/>
        <w:rPr>
          <w:rFonts w:eastAsiaTheme="minorHAnsi" w:cstheme="minorBidi"/>
          <w:snapToGrid/>
          <w:szCs w:val="22"/>
        </w:rPr>
      </w:pPr>
      <w:r w:rsidRPr="00A61925">
        <w:rPr>
          <w:rFonts w:eastAsiaTheme="minorHAnsi" w:cstheme="minorBidi"/>
          <w:snapToGrid/>
          <w:szCs w:val="22"/>
        </w:rPr>
        <w:t xml:space="preserve">inflammation is treatable and transient and clinically insignificant; </w:t>
      </w:r>
    </w:p>
    <w:p w:rsidR="00B32611" w:rsidRDefault="00B32611" w:rsidP="00105B13">
      <w:pPr>
        <w:pStyle w:val="ListParagraph"/>
        <w:numPr>
          <w:ilvl w:val="0"/>
          <w:numId w:val="38"/>
        </w:numPr>
        <w:spacing w:after="0"/>
        <w:ind w:left="1134" w:hanging="357"/>
        <w:jc w:val="both"/>
        <w:rPr>
          <w:rFonts w:eastAsiaTheme="minorHAnsi" w:cstheme="minorBidi"/>
          <w:snapToGrid/>
          <w:szCs w:val="22"/>
        </w:rPr>
      </w:pPr>
      <w:r w:rsidRPr="00A61925">
        <w:rPr>
          <w:rFonts w:eastAsiaTheme="minorHAnsi" w:cstheme="minorBidi"/>
          <w:snapToGrid/>
          <w:szCs w:val="22"/>
        </w:rPr>
        <w:t>uveitis is rarely clinically significant with unknown cause;</w:t>
      </w:r>
    </w:p>
    <w:p w:rsidR="00E662E0" w:rsidRDefault="00B32611" w:rsidP="00105B13">
      <w:pPr>
        <w:pStyle w:val="ListParagraph"/>
        <w:numPr>
          <w:ilvl w:val="0"/>
          <w:numId w:val="38"/>
        </w:numPr>
        <w:spacing w:after="0"/>
        <w:ind w:left="1134" w:hanging="357"/>
        <w:jc w:val="both"/>
        <w:rPr>
          <w:rFonts w:eastAsiaTheme="minorHAnsi" w:cstheme="minorBidi"/>
          <w:snapToGrid/>
          <w:szCs w:val="22"/>
        </w:rPr>
      </w:pPr>
      <w:proofErr w:type="spellStart"/>
      <w:proofErr w:type="gramStart"/>
      <w:r w:rsidRPr="00A61925">
        <w:rPr>
          <w:rFonts w:eastAsiaTheme="minorHAnsi" w:cstheme="minorBidi"/>
          <w:snapToGrid/>
          <w:szCs w:val="22"/>
        </w:rPr>
        <w:t>endophthalmitis</w:t>
      </w:r>
      <w:proofErr w:type="spellEnd"/>
      <w:proofErr w:type="gramEnd"/>
      <w:r w:rsidRPr="00A61925">
        <w:rPr>
          <w:rFonts w:eastAsiaTheme="minorHAnsi" w:cstheme="minorBidi"/>
          <w:snapToGrid/>
          <w:szCs w:val="22"/>
        </w:rPr>
        <w:t xml:space="preserve"> occurs due to chance alone.</w:t>
      </w:r>
    </w:p>
    <w:p w:rsidR="00F26C0D" w:rsidRPr="00B32611" w:rsidRDefault="00F26C0D" w:rsidP="00B32611">
      <w:pPr>
        <w:ind w:left="777"/>
        <w:rPr>
          <w:rFonts w:eastAsiaTheme="minorHAnsi" w:cstheme="minorBidi"/>
          <w:szCs w:val="22"/>
        </w:rPr>
      </w:pPr>
    </w:p>
    <w:p w:rsidR="00665220" w:rsidRPr="00665220" w:rsidRDefault="00665220" w:rsidP="00665220">
      <w:pPr>
        <w:pStyle w:val="ListParagraph"/>
        <w:numPr>
          <w:ilvl w:val="1"/>
          <w:numId w:val="2"/>
        </w:numPr>
        <w:jc w:val="both"/>
        <w:rPr>
          <w:bCs/>
          <w:lang w:val="en-GB"/>
        </w:rPr>
      </w:pPr>
      <w:r>
        <w:rPr>
          <w:bCs/>
          <w:lang w:val="en-GB"/>
        </w:rPr>
        <w:t xml:space="preserve">The pre-PBAC response stated that </w:t>
      </w:r>
      <w:r w:rsidR="00D36F03">
        <w:rPr>
          <w:bCs/>
          <w:lang w:val="en-GB"/>
        </w:rPr>
        <w:t>on 23 February</w:t>
      </w:r>
      <w:r w:rsidRPr="00665220">
        <w:rPr>
          <w:bCs/>
          <w:lang w:val="en-GB"/>
        </w:rPr>
        <w:t xml:space="preserve"> 2020, the American Society of Retinal Specialists (ASRS) shared with its membership that </w:t>
      </w:r>
      <w:r w:rsidR="00D36F03">
        <w:rPr>
          <w:bCs/>
          <w:lang w:val="en-GB"/>
        </w:rPr>
        <w:t>it</w:t>
      </w:r>
      <w:r w:rsidRPr="00665220">
        <w:rPr>
          <w:bCs/>
          <w:lang w:val="en-GB"/>
        </w:rPr>
        <w:t xml:space="preserve"> has received some anecdotal reports of retinal artery occlusion and intraocular inflammation</w:t>
      </w:r>
      <w:r w:rsidR="00D36F03">
        <w:rPr>
          <w:bCs/>
          <w:lang w:val="en-GB"/>
        </w:rPr>
        <w:t xml:space="preserve"> </w:t>
      </w:r>
      <w:r w:rsidR="00D36F03" w:rsidRPr="00665220">
        <w:rPr>
          <w:bCs/>
          <w:lang w:val="en-GB"/>
        </w:rPr>
        <w:t>since brolucizumab approval in the U</w:t>
      </w:r>
      <w:r w:rsidR="007F6CE8">
        <w:rPr>
          <w:bCs/>
          <w:lang w:val="en-GB"/>
        </w:rPr>
        <w:t xml:space="preserve">nited </w:t>
      </w:r>
      <w:r w:rsidR="00D36F03" w:rsidRPr="00665220">
        <w:rPr>
          <w:bCs/>
          <w:lang w:val="en-GB"/>
        </w:rPr>
        <w:t>S</w:t>
      </w:r>
      <w:r w:rsidR="007F6CE8">
        <w:rPr>
          <w:bCs/>
          <w:lang w:val="en-GB"/>
        </w:rPr>
        <w:t>tates</w:t>
      </w:r>
      <w:r w:rsidRPr="00665220">
        <w:rPr>
          <w:bCs/>
          <w:lang w:val="en-GB"/>
        </w:rPr>
        <w:t xml:space="preserve">. </w:t>
      </w:r>
      <w:r w:rsidR="00D36F03">
        <w:rPr>
          <w:bCs/>
          <w:lang w:val="en-GB"/>
        </w:rPr>
        <w:t>The Sponsor commented that s</w:t>
      </w:r>
      <w:r w:rsidRPr="00665220">
        <w:rPr>
          <w:bCs/>
          <w:lang w:val="en-GB"/>
        </w:rPr>
        <w:t xml:space="preserve">uch events were observed in the clinical trials and </w:t>
      </w:r>
      <w:r w:rsidR="00D36F03">
        <w:rPr>
          <w:bCs/>
          <w:lang w:val="en-GB"/>
        </w:rPr>
        <w:t xml:space="preserve">their incidence </w:t>
      </w:r>
      <w:r w:rsidRPr="00665220">
        <w:rPr>
          <w:bCs/>
          <w:lang w:val="en-GB"/>
        </w:rPr>
        <w:t>ar</w:t>
      </w:r>
      <w:r w:rsidR="00D36F03">
        <w:rPr>
          <w:bCs/>
          <w:lang w:val="en-GB"/>
        </w:rPr>
        <w:t>e consistent with the TGA-approved P</w:t>
      </w:r>
      <w:r w:rsidRPr="00665220">
        <w:rPr>
          <w:bCs/>
          <w:lang w:val="en-GB"/>
        </w:rPr>
        <w:t>roduc</w:t>
      </w:r>
      <w:r w:rsidR="0015664C">
        <w:rPr>
          <w:bCs/>
          <w:lang w:val="en-GB"/>
        </w:rPr>
        <w:t>t Information</w:t>
      </w:r>
      <w:r w:rsidRPr="00665220">
        <w:rPr>
          <w:bCs/>
          <w:lang w:val="en-GB"/>
        </w:rPr>
        <w:t xml:space="preserve">. </w:t>
      </w:r>
      <w:r w:rsidR="00D36F03">
        <w:rPr>
          <w:bCs/>
          <w:lang w:val="en-GB"/>
        </w:rPr>
        <w:t>The Sponsor</w:t>
      </w:r>
      <w:r w:rsidRPr="00665220">
        <w:rPr>
          <w:bCs/>
          <w:lang w:val="en-GB"/>
        </w:rPr>
        <w:t xml:space="preserve"> has informed the relevant section of the TGA as required by routine pharmacovigilance reporting.</w:t>
      </w:r>
      <w:r w:rsidR="00120368">
        <w:rPr>
          <w:bCs/>
          <w:lang w:val="en-GB"/>
        </w:rPr>
        <w:t xml:space="preserve"> The PBAC</w:t>
      </w:r>
      <w:r w:rsidR="00324D3C">
        <w:rPr>
          <w:bCs/>
          <w:lang w:val="en-GB"/>
        </w:rPr>
        <w:t xml:space="preserve"> noted these reports and</w:t>
      </w:r>
      <w:r w:rsidR="00120368">
        <w:rPr>
          <w:bCs/>
          <w:lang w:val="en-GB"/>
        </w:rPr>
        <w:t xml:space="preserve"> considered </w:t>
      </w:r>
      <w:r w:rsidR="00C843B9">
        <w:rPr>
          <w:bCs/>
          <w:lang w:val="en-GB"/>
        </w:rPr>
        <w:t xml:space="preserve">further </w:t>
      </w:r>
      <w:r w:rsidR="00324D3C" w:rsidRPr="001D3234">
        <w:rPr>
          <w:bCs/>
        </w:rPr>
        <w:t>clarity</w:t>
      </w:r>
      <w:r w:rsidR="00324D3C">
        <w:rPr>
          <w:bCs/>
        </w:rPr>
        <w:t xml:space="preserve"> </w:t>
      </w:r>
      <w:r w:rsidR="00C843B9">
        <w:rPr>
          <w:bCs/>
        </w:rPr>
        <w:t xml:space="preserve">was required </w:t>
      </w:r>
      <w:r w:rsidR="00324D3C">
        <w:rPr>
          <w:bCs/>
        </w:rPr>
        <w:t>regarding these safety issues with brolucizumab</w:t>
      </w:r>
      <w:r w:rsidR="00324D3C" w:rsidRPr="001D3234">
        <w:rPr>
          <w:bCs/>
        </w:rPr>
        <w:t>.</w:t>
      </w:r>
    </w:p>
    <w:p w:rsidR="003C2FB5"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Clinical claim</w:t>
      </w:r>
    </w:p>
    <w:p w:rsidR="0064199E" w:rsidRDefault="0064199E" w:rsidP="0064199E">
      <w:pPr>
        <w:pStyle w:val="ListParagraph"/>
        <w:numPr>
          <w:ilvl w:val="1"/>
          <w:numId w:val="2"/>
        </w:numPr>
        <w:jc w:val="both"/>
        <w:rPr>
          <w:rFonts w:eastAsiaTheme="minorHAnsi" w:cstheme="minorBidi"/>
          <w:snapToGrid/>
          <w:szCs w:val="22"/>
        </w:rPr>
      </w:pPr>
      <w:r>
        <w:t xml:space="preserve">The November 2019 </w:t>
      </w:r>
      <w:r w:rsidRPr="00D064C0">
        <w:t>submission described brolucizumab 6 mg as non-inferior in terms of effectiveness and equivalent in terms of safety compared with aflibercept 2 mg.</w:t>
      </w:r>
      <w:r>
        <w:t xml:space="preserve"> </w:t>
      </w:r>
      <w:r w:rsidRPr="001B2BBC">
        <w:t xml:space="preserve">The </w:t>
      </w:r>
      <w:r>
        <w:t>minor re</w:t>
      </w:r>
      <w:r w:rsidRPr="001B2BBC">
        <w:t xml:space="preserve">submission </w:t>
      </w:r>
      <w:r>
        <w:t>did not update the clinical claim.</w:t>
      </w:r>
      <w:r>
        <w:rPr>
          <w:rFonts w:eastAsiaTheme="minorHAnsi" w:cstheme="minorBidi"/>
          <w:snapToGrid/>
          <w:szCs w:val="22"/>
        </w:rPr>
        <w:t xml:space="preserve"> </w:t>
      </w:r>
    </w:p>
    <w:p w:rsidR="00575381" w:rsidRPr="00A56AC0" w:rsidRDefault="0064199E" w:rsidP="0078046D">
      <w:pPr>
        <w:pStyle w:val="ListParagraph"/>
        <w:numPr>
          <w:ilvl w:val="1"/>
          <w:numId w:val="2"/>
        </w:numPr>
        <w:jc w:val="both"/>
      </w:pPr>
      <w:r w:rsidRPr="00A56AC0">
        <w:rPr>
          <w:rFonts w:eastAsiaTheme="minorHAnsi" w:cstheme="minorBidi"/>
          <w:snapToGrid/>
          <w:szCs w:val="22"/>
        </w:rPr>
        <w:t xml:space="preserve">The PBAC previously considered that </w:t>
      </w:r>
      <w:r w:rsidRPr="00A56AC0">
        <w:t xml:space="preserve">brolucizumab was </w:t>
      </w:r>
      <w:r w:rsidRPr="00A56AC0">
        <w:rPr>
          <w:bCs/>
          <w:lang w:val="en-GB"/>
        </w:rPr>
        <w:t>non-inferior in terms of comparative efficacy to aflibercept</w:t>
      </w:r>
      <w:r w:rsidR="00575381" w:rsidRPr="00A56AC0">
        <w:rPr>
          <w:bCs/>
          <w:lang w:val="en-GB"/>
        </w:rPr>
        <w:t xml:space="preserve"> </w:t>
      </w:r>
      <w:r w:rsidR="00575381" w:rsidRPr="00A56AC0">
        <w:t xml:space="preserve">(paragraph 7.3, </w:t>
      </w:r>
      <w:r w:rsidR="00A56AC0" w:rsidRPr="00A56AC0">
        <w:t>b</w:t>
      </w:r>
      <w:r w:rsidR="00575381" w:rsidRPr="00A56AC0">
        <w:t xml:space="preserve">rolucizumab </w:t>
      </w:r>
      <w:r w:rsidR="00A56AC0" w:rsidRPr="00A56AC0">
        <w:t>PSD</w:t>
      </w:r>
      <w:r w:rsidR="00575381" w:rsidRPr="00A56AC0">
        <w:t>, November 2019)</w:t>
      </w:r>
      <w:r w:rsidR="00575381" w:rsidRPr="00A56AC0">
        <w:rPr>
          <w:bCs/>
          <w:lang w:val="en-GB"/>
        </w:rPr>
        <w:t>.</w:t>
      </w:r>
    </w:p>
    <w:p w:rsidR="0078046D" w:rsidRPr="00A56AC0" w:rsidRDefault="00575381" w:rsidP="003B452C">
      <w:pPr>
        <w:pStyle w:val="ListParagraph"/>
        <w:numPr>
          <w:ilvl w:val="1"/>
          <w:numId w:val="2"/>
        </w:numPr>
        <w:jc w:val="both"/>
      </w:pPr>
      <w:r w:rsidRPr="00A56AC0">
        <w:rPr>
          <w:rFonts w:eastAsiaTheme="minorHAnsi" w:cstheme="minorBidi"/>
          <w:snapToGrid/>
          <w:szCs w:val="22"/>
        </w:rPr>
        <w:t xml:space="preserve">The PBAC previously considered the claim that </w:t>
      </w:r>
      <w:r w:rsidRPr="00A56AC0">
        <w:t>brolucizumab was non-inferior</w:t>
      </w:r>
      <w:r w:rsidR="0078046D" w:rsidRPr="00A56AC0">
        <w:rPr>
          <w:bCs/>
          <w:lang w:val="en-GB"/>
        </w:rPr>
        <w:t xml:space="preserve"> in terms of </w:t>
      </w:r>
      <w:r w:rsidRPr="00A56AC0">
        <w:rPr>
          <w:bCs/>
          <w:lang w:val="en-GB"/>
        </w:rPr>
        <w:t xml:space="preserve">comparative </w:t>
      </w:r>
      <w:r w:rsidR="0078046D" w:rsidRPr="00A56AC0">
        <w:rPr>
          <w:bCs/>
          <w:lang w:val="en-GB"/>
        </w:rPr>
        <w:t>safety</w:t>
      </w:r>
      <w:r w:rsidRPr="00A56AC0">
        <w:rPr>
          <w:bCs/>
          <w:lang w:val="en-GB"/>
        </w:rPr>
        <w:t xml:space="preserve"> compared with aflibercept</w:t>
      </w:r>
      <w:r w:rsidR="0078046D" w:rsidRPr="00A56AC0">
        <w:rPr>
          <w:bCs/>
          <w:lang w:val="en-GB"/>
        </w:rPr>
        <w:t xml:space="preserve"> was uncertain </w:t>
      </w:r>
      <w:r w:rsidR="0078046D" w:rsidRPr="00A56AC0">
        <w:t>(</w:t>
      </w:r>
      <w:r w:rsidR="00A56AC0" w:rsidRPr="00A56AC0">
        <w:t>paragraph 7.3, b</w:t>
      </w:r>
      <w:r w:rsidR="0078046D" w:rsidRPr="00A56AC0">
        <w:t xml:space="preserve">rolucizumab </w:t>
      </w:r>
      <w:r w:rsidR="00A56AC0" w:rsidRPr="00A56AC0">
        <w:t>PSD</w:t>
      </w:r>
      <w:r w:rsidR="0078046D" w:rsidRPr="00A56AC0">
        <w:t xml:space="preserve">, November 2019). </w:t>
      </w:r>
      <w:r w:rsidR="007402C9" w:rsidRPr="00A56AC0">
        <w:rPr>
          <w:rFonts w:eastAsiaTheme="minorHAnsi" w:cstheme="minorBidi"/>
          <w:snapToGrid/>
          <w:szCs w:val="22"/>
        </w:rPr>
        <w:t>Following the resolution from the TGA ACM meeting on 6 Dec</w:t>
      </w:r>
      <w:r w:rsidR="00424FF6" w:rsidRPr="00A56AC0">
        <w:rPr>
          <w:rFonts w:eastAsiaTheme="minorHAnsi" w:cstheme="minorBidi"/>
          <w:snapToGrid/>
          <w:szCs w:val="22"/>
        </w:rPr>
        <w:t>ember</w:t>
      </w:r>
      <w:r w:rsidR="007402C9" w:rsidRPr="00A56AC0">
        <w:rPr>
          <w:rFonts w:eastAsiaTheme="minorHAnsi" w:cstheme="minorBidi"/>
          <w:snapToGrid/>
          <w:szCs w:val="22"/>
        </w:rPr>
        <w:t xml:space="preserve"> 2019, the Sponsor state</w:t>
      </w:r>
      <w:r w:rsidR="00424FF6" w:rsidRPr="00A56AC0">
        <w:rPr>
          <w:rFonts w:eastAsiaTheme="minorHAnsi" w:cstheme="minorBidi"/>
          <w:snapToGrid/>
          <w:szCs w:val="22"/>
        </w:rPr>
        <w:t>d</w:t>
      </w:r>
      <w:r w:rsidR="00115297" w:rsidRPr="00A56AC0">
        <w:rPr>
          <w:rFonts w:eastAsiaTheme="minorHAnsi" w:cstheme="minorBidi"/>
          <w:snapToGrid/>
          <w:szCs w:val="22"/>
        </w:rPr>
        <w:t xml:space="preserve"> in the minor resubmission</w:t>
      </w:r>
      <w:r w:rsidR="007402C9" w:rsidRPr="00A56AC0">
        <w:rPr>
          <w:rFonts w:eastAsiaTheme="minorHAnsi" w:cstheme="minorBidi"/>
          <w:snapToGrid/>
          <w:szCs w:val="22"/>
        </w:rPr>
        <w:t xml:space="preserve"> that the findings of the ACM support</w:t>
      </w:r>
      <w:r w:rsidR="00A07263" w:rsidRPr="00A56AC0">
        <w:rPr>
          <w:rFonts w:eastAsiaTheme="minorHAnsi" w:cstheme="minorBidi"/>
          <w:snapToGrid/>
          <w:szCs w:val="22"/>
        </w:rPr>
        <w:t>ed</w:t>
      </w:r>
      <w:r w:rsidR="007402C9" w:rsidRPr="00A56AC0">
        <w:rPr>
          <w:rFonts w:eastAsiaTheme="minorHAnsi" w:cstheme="minorBidi"/>
          <w:snapToGrid/>
          <w:szCs w:val="22"/>
        </w:rPr>
        <w:t xml:space="preserve"> the claim of non-inferior safety.</w:t>
      </w:r>
      <w:r w:rsidR="003B452C" w:rsidRPr="00A56AC0">
        <w:rPr>
          <w:rFonts w:eastAsiaTheme="minorHAnsi" w:cstheme="minorBidi"/>
          <w:snapToGrid/>
          <w:szCs w:val="22"/>
        </w:rPr>
        <w:t xml:space="preserve"> </w:t>
      </w:r>
      <w:r w:rsidR="007F6CE8" w:rsidRPr="00A56AC0">
        <w:rPr>
          <w:rFonts w:eastAsiaTheme="minorHAnsi" w:cstheme="minorBidi"/>
          <w:snapToGrid/>
          <w:szCs w:val="22"/>
        </w:rPr>
        <w:t>However, t</w:t>
      </w:r>
      <w:r w:rsidR="003B452C" w:rsidRPr="00A56AC0">
        <w:rPr>
          <w:rFonts w:eastAsiaTheme="minorHAnsi" w:cstheme="minorBidi"/>
          <w:snapToGrid/>
          <w:szCs w:val="22"/>
        </w:rPr>
        <w:t xml:space="preserve">he pre-PBAC response </w:t>
      </w:r>
      <w:r w:rsidR="00A14C6A" w:rsidRPr="00A56AC0">
        <w:rPr>
          <w:rFonts w:eastAsiaTheme="minorHAnsi" w:cstheme="minorBidi"/>
          <w:snapToGrid/>
          <w:szCs w:val="22"/>
        </w:rPr>
        <w:t>stated that</w:t>
      </w:r>
      <w:r w:rsidR="003B452C" w:rsidRPr="00A56AC0">
        <w:rPr>
          <w:rFonts w:eastAsiaTheme="minorHAnsi" w:cstheme="minorBidi"/>
          <w:snapToGrid/>
          <w:szCs w:val="22"/>
        </w:rPr>
        <w:t xml:space="preserve"> the ASRS </w:t>
      </w:r>
      <w:r w:rsidR="00C843B9" w:rsidRPr="00A56AC0">
        <w:rPr>
          <w:rFonts w:eastAsiaTheme="minorHAnsi" w:cstheme="minorBidi"/>
          <w:snapToGrid/>
          <w:szCs w:val="22"/>
        </w:rPr>
        <w:t xml:space="preserve">had </w:t>
      </w:r>
      <w:r w:rsidR="003B452C" w:rsidRPr="00A56AC0">
        <w:rPr>
          <w:rFonts w:eastAsiaTheme="minorHAnsi" w:cstheme="minorBidi"/>
          <w:snapToGrid/>
          <w:szCs w:val="22"/>
        </w:rPr>
        <w:t>received reports of safety issues with brolucizumab since its approval in the U</w:t>
      </w:r>
      <w:r w:rsidR="007F6CE8" w:rsidRPr="00A56AC0">
        <w:rPr>
          <w:rFonts w:eastAsiaTheme="minorHAnsi" w:cstheme="minorBidi"/>
          <w:snapToGrid/>
          <w:szCs w:val="22"/>
        </w:rPr>
        <w:t xml:space="preserve">nited </w:t>
      </w:r>
      <w:r w:rsidR="003B452C" w:rsidRPr="00A56AC0">
        <w:rPr>
          <w:rFonts w:eastAsiaTheme="minorHAnsi" w:cstheme="minorBidi"/>
          <w:snapToGrid/>
          <w:szCs w:val="22"/>
        </w:rPr>
        <w:t>S</w:t>
      </w:r>
      <w:r w:rsidR="007F6CE8" w:rsidRPr="00A56AC0">
        <w:rPr>
          <w:rFonts w:eastAsiaTheme="minorHAnsi" w:cstheme="minorBidi"/>
          <w:snapToGrid/>
          <w:szCs w:val="22"/>
        </w:rPr>
        <w:t>tates</w:t>
      </w:r>
      <w:r w:rsidR="003B452C" w:rsidRPr="00A56AC0">
        <w:rPr>
          <w:rFonts w:eastAsiaTheme="minorHAnsi" w:cstheme="minorBidi"/>
          <w:snapToGrid/>
          <w:szCs w:val="22"/>
        </w:rPr>
        <w:t xml:space="preserve"> (paragraph 5.8).</w:t>
      </w:r>
      <w:r w:rsidR="00115297" w:rsidRPr="00A56AC0">
        <w:rPr>
          <w:rFonts w:eastAsiaTheme="minorHAnsi" w:cstheme="minorBidi"/>
          <w:snapToGrid/>
          <w:szCs w:val="22"/>
        </w:rPr>
        <w:t xml:space="preserve"> </w:t>
      </w:r>
    </w:p>
    <w:p w:rsidR="00EA28B7" w:rsidRDefault="00EA28B7" w:rsidP="00115297">
      <w:pPr>
        <w:pStyle w:val="ListParagraph"/>
        <w:numPr>
          <w:ilvl w:val="1"/>
          <w:numId w:val="2"/>
        </w:numPr>
        <w:jc w:val="both"/>
      </w:pPr>
      <w:r w:rsidRPr="009B7A51">
        <w:t xml:space="preserve">The November 2019 submission claimed that brolucizumab would provide the benefit of less frequent dosing </w:t>
      </w:r>
      <w:r>
        <w:t xml:space="preserve">(every 2 to 3 months) </w:t>
      </w:r>
      <w:r w:rsidRPr="009B7A51">
        <w:t>compared with currently available anti-VEGFs</w:t>
      </w:r>
      <w:r>
        <w:t xml:space="preserve"> (every 2 months)</w:t>
      </w:r>
      <w:r w:rsidRPr="009B7A51">
        <w:t>, while maintaining the same efficacy. The PBAC considered this to be inappropriate</w:t>
      </w:r>
      <w:r>
        <w:t xml:space="preserve"> and </w:t>
      </w:r>
      <w:r w:rsidRPr="00124037">
        <w:t>noted that in Australian practice, the ‘treat and extend’ regimen is expected and should app</w:t>
      </w:r>
      <w:r>
        <w:t xml:space="preserve">ly to all anti-VEGF injections and </w:t>
      </w:r>
      <w:r w:rsidRPr="00124037">
        <w:t>that there are no clinical reasons for dosing frequencies amongst them to be different to each other</w:t>
      </w:r>
      <w:r>
        <w:t xml:space="preserve"> (</w:t>
      </w:r>
      <w:r w:rsidRPr="009E59CB">
        <w:t>paragraph</w:t>
      </w:r>
      <w:r w:rsidR="00A6017A" w:rsidRPr="009E59CB">
        <w:t>s</w:t>
      </w:r>
      <w:r w:rsidRPr="009E59CB">
        <w:t xml:space="preserve"> 7.4 and 7.5, </w:t>
      </w:r>
      <w:r w:rsidR="009E59CB" w:rsidRPr="009E59CB">
        <w:t>b</w:t>
      </w:r>
      <w:r w:rsidRPr="009E59CB">
        <w:t xml:space="preserve">rolucizumab </w:t>
      </w:r>
      <w:r w:rsidR="009E59CB" w:rsidRPr="009E59CB">
        <w:t>PSD</w:t>
      </w:r>
      <w:r w:rsidRPr="009E59CB">
        <w:t>, November 2019 PBAC meeting).</w:t>
      </w:r>
    </w:p>
    <w:p w:rsidR="00C843B9" w:rsidRPr="00C843B9" w:rsidRDefault="00C843B9" w:rsidP="00C843B9">
      <w:pPr>
        <w:pStyle w:val="ListParagraph"/>
        <w:numPr>
          <w:ilvl w:val="1"/>
          <w:numId w:val="2"/>
        </w:numPr>
        <w:jc w:val="both"/>
      </w:pPr>
      <w:r>
        <w:t xml:space="preserve">The PBAC </w:t>
      </w:r>
      <w:r w:rsidR="00984BC5">
        <w:t>reiterated that the claim brolucizumab was of non-inferior comparative effectiveness versu</w:t>
      </w:r>
      <w:r>
        <w:t xml:space="preserve">s </w:t>
      </w:r>
      <w:r w:rsidR="00984BC5">
        <w:t xml:space="preserve">aflibercept was reasonable. The PBAC considered the claim of non-inferior comparative safety </w:t>
      </w:r>
      <w:r w:rsidR="003D3A2B">
        <w:t>remained</w:t>
      </w:r>
      <w:r w:rsidR="00984BC5">
        <w:t xml:space="preserve"> uncertain. </w:t>
      </w:r>
    </w:p>
    <w:p w:rsidR="005A3173"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r w:rsidR="009803E4">
        <w:rPr>
          <w:rFonts w:asciiTheme="minorHAnsi" w:eastAsiaTheme="majorEastAsia" w:hAnsiTheme="minorHAnsi" w:cstheme="majorBidi"/>
          <w:sz w:val="28"/>
          <w:szCs w:val="28"/>
          <w:lang w:eastAsia="en-US"/>
        </w:rPr>
        <w:t xml:space="preserve"> </w:t>
      </w:r>
    </w:p>
    <w:p w:rsidR="0014630E" w:rsidRPr="004256AD" w:rsidRDefault="0014630E" w:rsidP="007402C9">
      <w:pPr>
        <w:pStyle w:val="ListParagraph"/>
        <w:numPr>
          <w:ilvl w:val="1"/>
          <w:numId w:val="2"/>
        </w:numPr>
        <w:jc w:val="both"/>
      </w:pPr>
      <w:r>
        <w:t xml:space="preserve">The November 2019 submission </w:t>
      </w:r>
      <w:r w:rsidRPr="008D6A5E">
        <w:t>presented a CMA of brolucizumab to aflibercept based on direct randomised trials of HAWK and HARRIER.</w:t>
      </w:r>
      <w:r>
        <w:t xml:space="preserve"> </w:t>
      </w:r>
      <w:r w:rsidRPr="008D6A5E">
        <w:t xml:space="preserve">The equi-effective doses </w:t>
      </w:r>
      <w:r>
        <w:t xml:space="preserve">were </w:t>
      </w:r>
      <w:r w:rsidRPr="008D6A5E">
        <w:t>estimated</w:t>
      </w:r>
      <w:r>
        <w:t xml:space="preserve"> by the Sponsor</w:t>
      </w:r>
      <w:r w:rsidRPr="008D6A5E">
        <w:t xml:space="preserve"> as brolucizumab 6 mg </w:t>
      </w:r>
      <w:r w:rsidR="00CA4AB3">
        <w:rPr>
          <w:noProof/>
          <w:color w:val="000000"/>
          <w:highlight w:val="black"/>
        </w:rPr>
        <w:t>'''''''''</w:t>
      </w:r>
      <w:r w:rsidRPr="008D6A5E">
        <w:t xml:space="preserve"> administrations per year and aflibercept 2 mg </w:t>
      </w:r>
      <w:r w:rsidR="00CA4AB3">
        <w:rPr>
          <w:noProof/>
          <w:color w:val="000000"/>
          <w:highlight w:val="black"/>
        </w:rPr>
        <w:t>''''''''</w:t>
      </w:r>
      <w:r w:rsidRPr="008D6A5E">
        <w:t xml:space="preserve"> administrations per year for the maintenance treatment phase.</w:t>
      </w:r>
      <w:r w:rsidR="00154F62">
        <w:t xml:space="preserve"> The ESC</w:t>
      </w:r>
      <w:r w:rsidR="009C1B50">
        <w:t xml:space="preserve"> previously</w:t>
      </w:r>
      <w:r w:rsidR="00154F62">
        <w:t xml:space="preserve"> noted</w:t>
      </w:r>
      <w:r w:rsidR="009C1B50">
        <w:t xml:space="preserve"> </w:t>
      </w:r>
      <w:r w:rsidR="00154F62">
        <w:t>that t</w:t>
      </w:r>
      <w:r w:rsidR="00154F62" w:rsidRPr="00D064C0">
        <w:t xml:space="preserve">he dosing regimens for both brolucizumab and aflibercept in the clinical trials were less flexible than that specified in the respective </w:t>
      </w:r>
      <w:r w:rsidR="009C1B50">
        <w:t xml:space="preserve">Product Information. </w:t>
      </w:r>
      <w:r w:rsidR="00154F62" w:rsidRPr="00D064C0">
        <w:t>Consequently, the</w:t>
      </w:r>
      <w:r w:rsidR="009C1B50">
        <w:t xml:space="preserve"> ESC previously considered that the</w:t>
      </w:r>
      <w:r w:rsidR="00154F62" w:rsidRPr="00D064C0">
        <w:t xml:space="preserve"> differential number of doses for brolucizumab and aflibercept/ranibizumab</w:t>
      </w:r>
      <w:r w:rsidR="009C1B50">
        <w:t xml:space="preserve"> in the CMA</w:t>
      </w:r>
      <w:r w:rsidR="00154F62" w:rsidRPr="00D064C0">
        <w:t xml:space="preserve"> may not be</w:t>
      </w:r>
      <w:r w:rsidR="009C1B50">
        <w:t xml:space="preserve"> reflected in clinical practice</w:t>
      </w:r>
      <w:r w:rsidR="00270FC4">
        <w:t xml:space="preserve"> </w:t>
      </w:r>
      <w:r w:rsidR="00076261">
        <w:t>(paragraph 6.27, Brolucizumab ESC advice, November 2019)</w:t>
      </w:r>
      <w:r w:rsidR="00270FC4">
        <w:t>.</w:t>
      </w:r>
      <w:r>
        <w:t xml:space="preserve"> </w:t>
      </w:r>
      <w:r w:rsidR="008723C7" w:rsidRPr="008D6A5E">
        <w:t xml:space="preserve">The equi-effective doses </w:t>
      </w:r>
      <w:r w:rsidR="008723C7">
        <w:t xml:space="preserve">were </w:t>
      </w:r>
      <w:r>
        <w:t>revised by the Sponsor in the</w:t>
      </w:r>
      <w:r w:rsidR="009C1B50">
        <w:t xml:space="preserve"> previous</w:t>
      </w:r>
      <w:r>
        <w:t xml:space="preserve"> Pre-PBAC response to an identical number of injections (6.03).</w:t>
      </w:r>
      <w:r w:rsidR="00270FC4">
        <w:t xml:space="preserve"> The PBAC considered </w:t>
      </w:r>
      <w:r w:rsidR="00270FC4" w:rsidRPr="004256AD">
        <w:t>this to be appropriate (</w:t>
      </w:r>
      <w:r w:rsidR="004256AD" w:rsidRPr="004256AD">
        <w:t>paragraph 7.5, b</w:t>
      </w:r>
      <w:r w:rsidR="00270FC4" w:rsidRPr="004256AD">
        <w:t xml:space="preserve">rolucizumab </w:t>
      </w:r>
      <w:r w:rsidR="004256AD" w:rsidRPr="004256AD">
        <w:t>PSD</w:t>
      </w:r>
      <w:r w:rsidR="00270FC4" w:rsidRPr="004256AD">
        <w:t>, November 2019).</w:t>
      </w:r>
    </w:p>
    <w:p w:rsidR="00B54018" w:rsidRDefault="00F96C06" w:rsidP="00B54018">
      <w:pPr>
        <w:pStyle w:val="ListParagraph"/>
        <w:numPr>
          <w:ilvl w:val="1"/>
          <w:numId w:val="2"/>
        </w:numPr>
        <w:jc w:val="both"/>
      </w:pPr>
      <w:r>
        <w:lastRenderedPageBreak/>
        <w:t xml:space="preserve">The minor resubmission </w:t>
      </w:r>
      <w:r w:rsidR="0014630E">
        <w:t>assumed a 1:1 substitution of brolucizumab for aflibercept</w:t>
      </w:r>
      <w:r w:rsidR="00270FC4">
        <w:t xml:space="preserve"> using an identical number of injections (6.03), which is consistent with the view of the </w:t>
      </w:r>
      <w:r w:rsidR="008723C7">
        <w:t xml:space="preserve">ESC and the </w:t>
      </w:r>
      <w:r w:rsidR="00270FC4">
        <w:t>PBAC</w:t>
      </w:r>
      <w:r w:rsidR="0014630E">
        <w:t>.</w:t>
      </w:r>
      <w:r w:rsidR="00B54018">
        <w:t xml:space="preserve"> </w:t>
      </w:r>
    </w:p>
    <w:p w:rsidR="003577DE" w:rsidRDefault="00B54018" w:rsidP="003577DE">
      <w:pPr>
        <w:pStyle w:val="ListParagraph"/>
        <w:numPr>
          <w:ilvl w:val="1"/>
          <w:numId w:val="2"/>
        </w:numPr>
        <w:jc w:val="both"/>
      </w:pPr>
      <w:r>
        <w:t xml:space="preserve">The November 2019 submission proposed a brolucizumab price weighted according to the relative utilisation of aflibercept and ranibizumab in 2018. The PBAC considered this to be inappropriate, and indicated that the </w:t>
      </w:r>
      <w:r w:rsidR="0034325E">
        <w:t>brolucizumab</w:t>
      </w:r>
      <w:r>
        <w:t xml:space="preserve"> </w:t>
      </w:r>
      <w:r w:rsidR="0034325E">
        <w:t>price</w:t>
      </w:r>
      <w:r>
        <w:t xml:space="preserve"> used for the CMA should be the effective ranibizumab price</w:t>
      </w:r>
      <w:r w:rsidR="00A02AF0">
        <w:t xml:space="preserve">, as it is the least costly anti-VEGF </w:t>
      </w:r>
      <w:r w:rsidR="00A02AF0" w:rsidRPr="00F87089">
        <w:t>comparator (paragraph</w:t>
      </w:r>
      <w:r w:rsidR="00ED20C9" w:rsidRPr="00F87089">
        <w:t>s</w:t>
      </w:r>
      <w:r w:rsidR="00A02AF0" w:rsidRPr="00F87089">
        <w:t xml:space="preserve"> 4.2</w:t>
      </w:r>
      <w:r w:rsidR="00ED20C9" w:rsidRPr="00F87089">
        <w:t xml:space="preserve"> and 4.3</w:t>
      </w:r>
      <w:r w:rsidR="00A02AF0" w:rsidRPr="00F87089">
        <w:t>)</w:t>
      </w:r>
      <w:r w:rsidRPr="00F87089">
        <w:t>.</w:t>
      </w:r>
      <w:r>
        <w:t xml:space="preserve"> </w:t>
      </w:r>
    </w:p>
    <w:p w:rsidR="003577DE" w:rsidRPr="003577DE" w:rsidRDefault="00B54018" w:rsidP="003577DE">
      <w:pPr>
        <w:pStyle w:val="ListParagraph"/>
        <w:numPr>
          <w:ilvl w:val="1"/>
          <w:numId w:val="2"/>
        </w:numPr>
        <w:jc w:val="both"/>
      </w:pPr>
      <w:r>
        <w:t>The</w:t>
      </w:r>
      <w:r w:rsidR="0034325E">
        <w:t xml:space="preserve"> minor resubmission</w:t>
      </w:r>
      <w:r>
        <w:t xml:space="preserve"> </w:t>
      </w:r>
      <w:r w:rsidR="0034325E">
        <w:t>assumed</w:t>
      </w:r>
      <w:r>
        <w:t xml:space="preserve"> the ranibizumab price in</w:t>
      </w:r>
      <w:r w:rsidR="0034325E">
        <w:t xml:space="preserve"> the CMA</w:t>
      </w:r>
      <w:r w:rsidR="007C04C7">
        <w:t>, which is consistent with the view of the ESC and the PBAC</w:t>
      </w:r>
      <w:r>
        <w:t>.</w:t>
      </w:r>
    </w:p>
    <w:p w:rsidR="003C0919" w:rsidRPr="003C0919" w:rsidRDefault="00A02AF0" w:rsidP="00AD66D8">
      <w:pPr>
        <w:pStyle w:val="ListParagraph"/>
        <w:numPr>
          <w:ilvl w:val="1"/>
          <w:numId w:val="2"/>
        </w:numPr>
        <w:jc w:val="both"/>
      </w:pPr>
      <w:r w:rsidRPr="00424FF6">
        <w:t xml:space="preserve">With 1:1 substitution at the ranibizumab price, </w:t>
      </w:r>
      <w:r w:rsidR="00FD0C67">
        <w:t>a simple CMA can be performed based on equi-effective doses.</w:t>
      </w:r>
      <w:r w:rsidR="00B54018" w:rsidRPr="00424FF6">
        <w:t xml:space="preserve"> </w:t>
      </w:r>
      <w:r>
        <w:t>B</w:t>
      </w:r>
      <w:r w:rsidR="00B54018">
        <w:t>rolucizumab pricing will be identical to that of ranibizumab at published and effective levels.</w:t>
      </w:r>
      <w:r>
        <w:t xml:space="preserve"> </w:t>
      </w:r>
      <w:r w:rsidR="0068024E">
        <w:t>T</w:t>
      </w:r>
      <w:r>
        <w:t>he</w:t>
      </w:r>
      <w:r w:rsidR="00D93000">
        <w:t xml:space="preserve"> published and effective</w:t>
      </w:r>
      <w:r w:rsidR="00FD0C67">
        <w:t xml:space="preserve"> ex-manufacturer</w:t>
      </w:r>
      <w:r>
        <w:t xml:space="preserve"> prices associated with</w:t>
      </w:r>
      <w:r w:rsidR="00D93000">
        <w:t xml:space="preserve"> ranibizumab </w:t>
      </w:r>
      <w:r w:rsidR="0068024E">
        <w:t>are</w:t>
      </w:r>
      <w:r w:rsidR="00FD0C67">
        <w:t xml:space="preserve"> $932.40 and $</w:t>
      </w:r>
      <w:r w:rsidR="00CA4AB3">
        <w:rPr>
          <w:noProof/>
          <w:color w:val="000000"/>
          <w:highlight w:val="black"/>
        </w:rPr>
        <w:t>'''''''''''''</w:t>
      </w:r>
      <w:r w:rsidR="00FD0C67">
        <w:t>, respectively</w:t>
      </w:r>
      <w:r w:rsidR="00561F32">
        <w:t>.</w:t>
      </w:r>
      <w:r w:rsidR="00561F32">
        <w:rPr>
          <w:rStyle w:val="FootnoteReference"/>
        </w:rPr>
        <w:footnoteReference w:id="2"/>
      </w:r>
      <w:r w:rsidR="00FD0C67">
        <w:t xml:space="preserve"> The results of the CMA based on the effective ex-manufacturer prices for ranibizumab and brol</w:t>
      </w:r>
      <w:r w:rsidR="00561F32">
        <w:t>ucizumab are provided in Table 3</w:t>
      </w:r>
      <w:r w:rsidR="00FD0C67">
        <w:t>.</w:t>
      </w:r>
    </w:p>
    <w:p w:rsidR="00D93000" w:rsidRDefault="00D93000" w:rsidP="00211118">
      <w:pPr>
        <w:pStyle w:val="ListBullet"/>
        <w:keepNext/>
        <w:keepLines/>
        <w:numPr>
          <w:ilvl w:val="0"/>
          <w:numId w:val="0"/>
        </w:numPr>
        <w:ind w:left="360" w:hanging="360"/>
        <w:rPr>
          <w:rFonts w:ascii="Arial Narrow" w:hAnsi="Arial Narrow"/>
          <w:b/>
          <w:sz w:val="20"/>
          <w:szCs w:val="20"/>
        </w:rPr>
      </w:pPr>
      <w:r w:rsidRPr="0018502A">
        <w:rPr>
          <w:rFonts w:ascii="Arial Narrow" w:hAnsi="Arial Narrow"/>
          <w:b/>
          <w:sz w:val="20"/>
          <w:szCs w:val="20"/>
        </w:rPr>
        <w:t xml:space="preserve">Table </w:t>
      </w:r>
      <w:r>
        <w:rPr>
          <w:rFonts w:ascii="Arial Narrow" w:hAnsi="Arial Narrow"/>
          <w:b/>
          <w:noProof/>
          <w:sz w:val="20"/>
          <w:szCs w:val="20"/>
        </w:rPr>
        <w:t>3</w:t>
      </w:r>
      <w:r w:rsidRPr="0018502A">
        <w:rPr>
          <w:rFonts w:ascii="Arial Narrow" w:hAnsi="Arial Narrow"/>
          <w:b/>
          <w:sz w:val="20"/>
          <w:szCs w:val="20"/>
        </w:rPr>
        <w:t xml:space="preserve">: </w:t>
      </w:r>
      <w:r w:rsidR="00561F32">
        <w:rPr>
          <w:rFonts w:ascii="Arial Narrow" w:hAnsi="Arial Narrow"/>
          <w:b/>
          <w:sz w:val="20"/>
          <w:szCs w:val="20"/>
        </w:rPr>
        <w:t>Results of the cost minimisation analysis</w:t>
      </w:r>
    </w:p>
    <w:tbl>
      <w:tblPr>
        <w:tblStyle w:val="TableGrid"/>
        <w:tblW w:w="5000" w:type="pct"/>
        <w:tblLayout w:type="fixed"/>
        <w:tblLook w:val="04A0" w:firstRow="1" w:lastRow="0" w:firstColumn="1" w:lastColumn="0" w:noHBand="0" w:noVBand="1"/>
        <w:tblCaption w:val="Table 3: Results of the cost minimisation analysis"/>
      </w:tblPr>
      <w:tblGrid>
        <w:gridCol w:w="350"/>
        <w:gridCol w:w="1915"/>
        <w:gridCol w:w="1417"/>
        <w:gridCol w:w="1417"/>
        <w:gridCol w:w="3917"/>
      </w:tblGrid>
      <w:tr w:rsidR="00561F32" w:rsidRPr="00561F32" w:rsidTr="00535954">
        <w:trPr>
          <w:tblHeader/>
        </w:trPr>
        <w:tc>
          <w:tcPr>
            <w:tcW w:w="1255" w:type="pct"/>
            <w:gridSpan w:val="2"/>
          </w:tcPr>
          <w:p w:rsidR="00561F32" w:rsidRPr="00561F32" w:rsidRDefault="00561F32" w:rsidP="00211118">
            <w:pPr>
              <w:pStyle w:val="Tabletext"/>
              <w:keepNext/>
              <w:keepLines/>
              <w:spacing w:after="0"/>
              <w:rPr>
                <w:rFonts w:ascii="Arial Narrow" w:hAnsi="Arial Narrow"/>
                <w:b/>
              </w:rPr>
            </w:pPr>
          </w:p>
        </w:tc>
        <w:tc>
          <w:tcPr>
            <w:tcW w:w="786" w:type="pct"/>
            <w:noWrap/>
            <w:hideMark/>
          </w:tcPr>
          <w:p w:rsidR="00561F32" w:rsidRPr="00561F32" w:rsidRDefault="00561F32" w:rsidP="00211118">
            <w:pPr>
              <w:pStyle w:val="Tabletext"/>
              <w:keepNext/>
              <w:keepLines/>
              <w:spacing w:after="0"/>
              <w:rPr>
                <w:rFonts w:ascii="Arial Narrow" w:hAnsi="Arial Narrow"/>
                <w:b/>
              </w:rPr>
            </w:pPr>
            <w:r w:rsidRPr="00561F32">
              <w:rPr>
                <w:rFonts w:ascii="Arial Narrow" w:hAnsi="Arial Narrow"/>
                <w:b/>
              </w:rPr>
              <w:t>Ranibizumab</w:t>
            </w:r>
          </w:p>
        </w:tc>
        <w:tc>
          <w:tcPr>
            <w:tcW w:w="786" w:type="pct"/>
            <w:noWrap/>
            <w:hideMark/>
          </w:tcPr>
          <w:p w:rsidR="00561F32" w:rsidRPr="00561F32" w:rsidRDefault="00561F32" w:rsidP="00211118">
            <w:pPr>
              <w:pStyle w:val="Tabletext"/>
              <w:keepNext/>
              <w:keepLines/>
              <w:spacing w:after="0"/>
              <w:rPr>
                <w:rFonts w:ascii="Arial Narrow" w:hAnsi="Arial Narrow"/>
                <w:b/>
              </w:rPr>
            </w:pPr>
            <w:r w:rsidRPr="00561F32">
              <w:rPr>
                <w:rFonts w:ascii="Arial Narrow" w:hAnsi="Arial Narrow"/>
                <w:b/>
              </w:rPr>
              <w:t>Brolucizumab</w:t>
            </w:r>
          </w:p>
        </w:tc>
        <w:tc>
          <w:tcPr>
            <w:tcW w:w="2173" w:type="pct"/>
          </w:tcPr>
          <w:p w:rsidR="00561F32" w:rsidRPr="00561F32" w:rsidRDefault="00846921" w:rsidP="00211118">
            <w:pPr>
              <w:pStyle w:val="Tabletext"/>
              <w:keepNext/>
              <w:keepLines/>
              <w:spacing w:after="0"/>
              <w:rPr>
                <w:rFonts w:ascii="Arial Narrow" w:hAnsi="Arial Narrow"/>
                <w:b/>
              </w:rPr>
            </w:pPr>
            <w:r>
              <w:rPr>
                <w:rFonts w:ascii="Arial Narrow" w:hAnsi="Arial Narrow"/>
                <w:b/>
              </w:rPr>
              <w:t>Source/c</w:t>
            </w:r>
            <w:r w:rsidR="00561F32" w:rsidRPr="00561F32">
              <w:rPr>
                <w:rFonts w:ascii="Arial Narrow" w:hAnsi="Arial Narrow"/>
                <w:b/>
              </w:rPr>
              <w:t>alculation</w:t>
            </w:r>
          </w:p>
        </w:tc>
      </w:tr>
      <w:tr w:rsidR="00561F32" w:rsidRPr="00561F32" w:rsidTr="00B24A8C">
        <w:tc>
          <w:tcPr>
            <w:tcW w:w="194" w:type="pct"/>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A</w:t>
            </w:r>
          </w:p>
        </w:tc>
        <w:tc>
          <w:tcPr>
            <w:tcW w:w="1062" w:type="pct"/>
            <w:noWrap/>
            <w:hideMark/>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Ex-manufacturer price</w:t>
            </w:r>
            <w:r w:rsidR="009116C9">
              <w:rPr>
                <w:rFonts w:ascii="Arial Narrow" w:hAnsi="Arial Narrow"/>
              </w:rPr>
              <w:t xml:space="preserve"> (effective)</w:t>
            </w:r>
          </w:p>
        </w:tc>
        <w:tc>
          <w:tcPr>
            <w:tcW w:w="786" w:type="pct"/>
            <w:noWrap/>
            <w:hideMark/>
          </w:tcPr>
          <w:p w:rsidR="00561F32" w:rsidRPr="00657A1C" w:rsidRDefault="00657A1C" w:rsidP="00211118">
            <w:pPr>
              <w:pStyle w:val="Tabletext"/>
              <w:keepNext/>
              <w:keepLines/>
              <w:spacing w:after="0"/>
              <w:jc w:val="center"/>
              <w:rPr>
                <w:rFonts w:ascii="Arial Narrow" w:hAnsi="Arial Narrow"/>
                <w:highlight w:val="yellow"/>
              </w:rPr>
            </w:pPr>
            <w:r w:rsidRPr="00657A1C">
              <w:rPr>
                <w:rFonts w:ascii="Arial Narrow" w:hAnsi="Arial Narrow"/>
              </w:rPr>
              <w:t>$</w:t>
            </w:r>
            <w:r w:rsidR="00CA4AB3">
              <w:rPr>
                <w:rFonts w:ascii="Arial Narrow" w:hAnsi="Arial Narrow"/>
                <w:noProof/>
                <w:color w:val="000000"/>
                <w:highlight w:val="black"/>
              </w:rPr>
              <w:t>'''''''''''''''</w:t>
            </w:r>
          </w:p>
        </w:tc>
        <w:tc>
          <w:tcPr>
            <w:tcW w:w="786" w:type="pct"/>
            <w:noWrap/>
            <w:hideMark/>
          </w:tcPr>
          <w:p w:rsidR="00561F32" w:rsidRPr="00657A1C" w:rsidRDefault="00657A1C" w:rsidP="00211118">
            <w:pPr>
              <w:pStyle w:val="Tabletext"/>
              <w:keepNext/>
              <w:keepLines/>
              <w:spacing w:after="0"/>
              <w:jc w:val="center"/>
              <w:rPr>
                <w:rFonts w:ascii="Arial Narrow" w:hAnsi="Arial Narrow"/>
                <w:highlight w:val="yellow"/>
              </w:rPr>
            </w:pPr>
            <w:r w:rsidRPr="00657A1C">
              <w:rPr>
                <w:rFonts w:ascii="Arial Narrow" w:hAnsi="Arial Narrow"/>
              </w:rPr>
              <w:t>$</w:t>
            </w:r>
            <w:r w:rsidR="00CA4AB3">
              <w:rPr>
                <w:rFonts w:ascii="Arial Narrow" w:hAnsi="Arial Narrow"/>
                <w:noProof/>
                <w:color w:val="000000"/>
                <w:highlight w:val="black"/>
              </w:rPr>
              <w:t>''''''''''''''''</w:t>
            </w:r>
          </w:p>
        </w:tc>
        <w:tc>
          <w:tcPr>
            <w:tcW w:w="2173" w:type="pct"/>
          </w:tcPr>
          <w:p w:rsidR="00561F32" w:rsidRPr="00EA6E83" w:rsidRDefault="00657A1C" w:rsidP="00211118">
            <w:pPr>
              <w:pStyle w:val="Tabletext"/>
              <w:keepNext/>
              <w:keepLines/>
              <w:spacing w:after="0"/>
              <w:rPr>
                <w:rFonts w:ascii="Arial Narrow" w:hAnsi="Arial Narrow"/>
              </w:rPr>
            </w:pPr>
            <w:r w:rsidRPr="00EA6E83">
              <w:rPr>
                <w:rFonts w:ascii="Arial Narrow" w:hAnsi="Arial Narrow"/>
              </w:rPr>
              <w:t>R</w:t>
            </w:r>
            <w:r w:rsidR="00561F32" w:rsidRPr="00EA6E83">
              <w:rPr>
                <w:rFonts w:ascii="Arial Narrow" w:hAnsi="Arial Narrow"/>
              </w:rPr>
              <w:t>anibizumab</w:t>
            </w:r>
            <w:r w:rsidRPr="00EA6E83">
              <w:rPr>
                <w:rFonts w:ascii="Arial Narrow" w:hAnsi="Arial Narrow"/>
              </w:rPr>
              <w:t xml:space="preserve"> = ex-manufacturer price</w:t>
            </w:r>
          </w:p>
          <w:p w:rsidR="00561F32" w:rsidRPr="00657A1C" w:rsidRDefault="00657A1C" w:rsidP="00211118">
            <w:pPr>
              <w:pStyle w:val="Tabletext"/>
              <w:keepNext/>
              <w:keepLines/>
              <w:spacing w:after="0"/>
              <w:rPr>
                <w:rFonts w:ascii="Arial Narrow" w:hAnsi="Arial Narrow"/>
                <w:highlight w:val="yellow"/>
              </w:rPr>
            </w:pPr>
            <w:r w:rsidRPr="00EA6E83">
              <w:rPr>
                <w:rFonts w:ascii="Arial Narrow" w:hAnsi="Arial Narrow"/>
              </w:rPr>
              <w:t xml:space="preserve">Brolucizumab = </w:t>
            </w:r>
            <w:r w:rsidR="00561F32" w:rsidRPr="00EA6E83">
              <w:rPr>
                <w:rFonts w:ascii="Arial Narrow" w:hAnsi="Arial Narrow"/>
              </w:rPr>
              <w:t>C / B</w:t>
            </w:r>
          </w:p>
        </w:tc>
      </w:tr>
      <w:tr w:rsidR="00561F32" w:rsidRPr="00561F32" w:rsidTr="00B24A8C">
        <w:tc>
          <w:tcPr>
            <w:tcW w:w="194" w:type="pct"/>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B</w:t>
            </w:r>
          </w:p>
        </w:tc>
        <w:tc>
          <w:tcPr>
            <w:tcW w:w="1062" w:type="pct"/>
            <w:noWrap/>
            <w:hideMark/>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Injections</w:t>
            </w:r>
          </w:p>
        </w:tc>
        <w:tc>
          <w:tcPr>
            <w:tcW w:w="786" w:type="pct"/>
            <w:noWrap/>
            <w:hideMark/>
          </w:tcPr>
          <w:p w:rsidR="00561F32" w:rsidRPr="00561F32" w:rsidRDefault="00561F32" w:rsidP="00211118">
            <w:pPr>
              <w:pStyle w:val="Tabletext"/>
              <w:keepNext/>
              <w:keepLines/>
              <w:spacing w:after="0"/>
              <w:jc w:val="center"/>
              <w:rPr>
                <w:rFonts w:ascii="Arial Narrow" w:hAnsi="Arial Narrow"/>
              </w:rPr>
            </w:pPr>
            <w:r w:rsidRPr="00561F32">
              <w:rPr>
                <w:rFonts w:ascii="Arial Narrow" w:hAnsi="Arial Narrow"/>
              </w:rPr>
              <w:t>6.03</w:t>
            </w:r>
          </w:p>
        </w:tc>
        <w:tc>
          <w:tcPr>
            <w:tcW w:w="786" w:type="pct"/>
            <w:noWrap/>
            <w:hideMark/>
          </w:tcPr>
          <w:p w:rsidR="00561F32" w:rsidRPr="00561F32" w:rsidRDefault="00561F32" w:rsidP="00211118">
            <w:pPr>
              <w:pStyle w:val="Tabletext"/>
              <w:keepNext/>
              <w:keepLines/>
              <w:spacing w:after="0"/>
              <w:jc w:val="center"/>
              <w:rPr>
                <w:rFonts w:ascii="Arial Narrow" w:hAnsi="Arial Narrow"/>
              </w:rPr>
            </w:pPr>
            <w:r>
              <w:rPr>
                <w:rFonts w:ascii="Arial Narrow" w:hAnsi="Arial Narrow"/>
              </w:rPr>
              <w:t>6.03</w:t>
            </w:r>
          </w:p>
        </w:tc>
        <w:tc>
          <w:tcPr>
            <w:tcW w:w="2173" w:type="pct"/>
          </w:tcPr>
          <w:p w:rsidR="00561F32" w:rsidRPr="00657A1C" w:rsidRDefault="00561F32" w:rsidP="00211118">
            <w:pPr>
              <w:pStyle w:val="Tabletext"/>
              <w:keepNext/>
              <w:keepLines/>
              <w:spacing w:after="0"/>
              <w:rPr>
                <w:rFonts w:ascii="Arial Narrow" w:hAnsi="Arial Narrow"/>
                <w:highlight w:val="yellow"/>
              </w:rPr>
            </w:pPr>
            <w:r w:rsidRPr="00EA6E83">
              <w:rPr>
                <w:rFonts w:ascii="Arial Narrow" w:hAnsi="Arial Narrow"/>
                <w:lang w:val="en-US"/>
              </w:rPr>
              <w:t>Pooled average doses between weeks 48 and 92 in the HAWK and HARRIER trials</w:t>
            </w:r>
            <w:r w:rsidR="007A6CD6" w:rsidRPr="00EA6E83">
              <w:rPr>
                <w:rFonts w:ascii="Arial Narrow" w:hAnsi="Arial Narrow"/>
                <w:lang w:val="en-US"/>
              </w:rPr>
              <w:t xml:space="preserve"> for aflibercept</w:t>
            </w:r>
            <w:r w:rsidRPr="00EA6E83">
              <w:rPr>
                <w:rFonts w:ascii="Arial Narrow" w:hAnsi="Arial Narrow"/>
                <w:lang w:val="en-US"/>
              </w:rPr>
              <w:t>, adjusted to yearly</w:t>
            </w:r>
          </w:p>
        </w:tc>
      </w:tr>
      <w:tr w:rsidR="00561F32" w:rsidRPr="00561F32" w:rsidTr="00B24A8C">
        <w:tc>
          <w:tcPr>
            <w:tcW w:w="194" w:type="pct"/>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C</w:t>
            </w:r>
          </w:p>
        </w:tc>
        <w:tc>
          <w:tcPr>
            <w:tcW w:w="1062" w:type="pct"/>
            <w:noWrap/>
            <w:hideMark/>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Drug Costs</w:t>
            </w:r>
          </w:p>
        </w:tc>
        <w:tc>
          <w:tcPr>
            <w:tcW w:w="786" w:type="pct"/>
            <w:noWrap/>
            <w:hideMark/>
          </w:tcPr>
          <w:p w:rsidR="00561F32" w:rsidRPr="00657A1C" w:rsidRDefault="009116C9" w:rsidP="00211118">
            <w:pPr>
              <w:pStyle w:val="Tabletext"/>
              <w:keepNext/>
              <w:keepLines/>
              <w:spacing w:after="0"/>
              <w:jc w:val="center"/>
              <w:rPr>
                <w:rFonts w:ascii="Arial Narrow" w:hAnsi="Arial Narrow"/>
                <w:highlight w:val="yellow"/>
              </w:rPr>
            </w:pPr>
            <w:r w:rsidRPr="00EA6E83">
              <w:rPr>
                <w:rFonts w:ascii="Arial Narrow" w:hAnsi="Arial Narrow"/>
              </w:rPr>
              <w:t>$</w:t>
            </w:r>
            <w:r w:rsidR="00CA4AB3">
              <w:rPr>
                <w:rFonts w:ascii="Arial Narrow" w:hAnsi="Arial Narrow"/>
                <w:noProof/>
                <w:color w:val="000000"/>
                <w:highlight w:val="black"/>
              </w:rPr>
              <w:t>''''''''''''''''''''</w:t>
            </w:r>
          </w:p>
        </w:tc>
        <w:tc>
          <w:tcPr>
            <w:tcW w:w="786" w:type="pct"/>
            <w:noWrap/>
            <w:hideMark/>
          </w:tcPr>
          <w:p w:rsidR="00561F32" w:rsidRPr="00657A1C" w:rsidRDefault="00AA1E1A" w:rsidP="00211118">
            <w:pPr>
              <w:pStyle w:val="Tabletext"/>
              <w:keepNext/>
              <w:keepLines/>
              <w:spacing w:after="0"/>
              <w:jc w:val="center"/>
              <w:rPr>
                <w:rFonts w:ascii="Arial Narrow" w:hAnsi="Arial Narrow"/>
                <w:highlight w:val="yellow"/>
              </w:rPr>
            </w:pPr>
            <w:r w:rsidRPr="00390236">
              <w:rPr>
                <w:rFonts w:ascii="Arial Narrow" w:hAnsi="Arial Narrow"/>
              </w:rPr>
              <w:t>$</w:t>
            </w:r>
            <w:r w:rsidR="00CA4AB3">
              <w:rPr>
                <w:rFonts w:ascii="Arial Narrow" w:hAnsi="Arial Narrow"/>
                <w:noProof/>
                <w:color w:val="000000"/>
                <w:highlight w:val="black"/>
              </w:rPr>
              <w:t>''''''''''''''''''''''</w:t>
            </w:r>
          </w:p>
        </w:tc>
        <w:tc>
          <w:tcPr>
            <w:tcW w:w="2173" w:type="pct"/>
          </w:tcPr>
          <w:p w:rsidR="00561F32" w:rsidRPr="00EA6E83" w:rsidRDefault="00561F32" w:rsidP="00211118">
            <w:pPr>
              <w:pStyle w:val="Tabletext"/>
              <w:keepNext/>
              <w:keepLines/>
              <w:spacing w:after="0"/>
              <w:rPr>
                <w:rFonts w:ascii="Arial Narrow" w:hAnsi="Arial Narrow"/>
              </w:rPr>
            </w:pPr>
            <w:r w:rsidRPr="00EA6E83">
              <w:rPr>
                <w:rFonts w:ascii="Arial Narrow" w:hAnsi="Arial Narrow"/>
              </w:rPr>
              <w:t>Ranibizumab</w:t>
            </w:r>
            <w:r w:rsidR="00657A1C" w:rsidRPr="00EA6E83">
              <w:rPr>
                <w:rFonts w:ascii="Arial Narrow" w:hAnsi="Arial Narrow"/>
              </w:rPr>
              <w:t xml:space="preserve"> = </w:t>
            </w:r>
            <w:r w:rsidRPr="00EA6E83">
              <w:rPr>
                <w:rFonts w:ascii="Arial Narrow" w:hAnsi="Arial Narrow"/>
              </w:rPr>
              <w:t>A</w:t>
            </w:r>
            <w:r w:rsidR="00657A1C" w:rsidRPr="00EA6E83">
              <w:rPr>
                <w:rFonts w:ascii="Arial Narrow" w:hAnsi="Arial Narrow"/>
              </w:rPr>
              <w:t xml:space="preserve"> </w:t>
            </w:r>
            <w:r w:rsidRPr="00EA6E83">
              <w:rPr>
                <w:rFonts w:ascii="Arial Narrow" w:hAnsi="Arial Narrow"/>
              </w:rPr>
              <w:t>* B</w:t>
            </w:r>
          </w:p>
          <w:p w:rsidR="00561F32" w:rsidRPr="00657A1C" w:rsidRDefault="00657A1C" w:rsidP="00211118">
            <w:pPr>
              <w:pStyle w:val="Tabletext"/>
              <w:keepNext/>
              <w:keepLines/>
              <w:spacing w:after="0"/>
              <w:rPr>
                <w:rFonts w:ascii="Arial Narrow" w:hAnsi="Arial Narrow"/>
                <w:highlight w:val="yellow"/>
              </w:rPr>
            </w:pPr>
            <w:r w:rsidRPr="00EA6E83">
              <w:rPr>
                <w:rFonts w:ascii="Arial Narrow" w:hAnsi="Arial Narrow"/>
              </w:rPr>
              <w:t xml:space="preserve">Brolucizumab = E – </w:t>
            </w:r>
            <w:r w:rsidR="00561F32" w:rsidRPr="00EA6E83">
              <w:rPr>
                <w:rFonts w:ascii="Arial Narrow" w:hAnsi="Arial Narrow"/>
              </w:rPr>
              <w:t>D</w:t>
            </w:r>
          </w:p>
        </w:tc>
      </w:tr>
      <w:tr w:rsidR="00561F32" w:rsidRPr="00561F32" w:rsidTr="00B24A8C">
        <w:tc>
          <w:tcPr>
            <w:tcW w:w="194" w:type="pct"/>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D</w:t>
            </w:r>
          </w:p>
        </w:tc>
        <w:tc>
          <w:tcPr>
            <w:tcW w:w="1062" w:type="pct"/>
            <w:noWrap/>
            <w:hideMark/>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Administration Costs</w:t>
            </w:r>
          </w:p>
        </w:tc>
        <w:tc>
          <w:tcPr>
            <w:tcW w:w="786" w:type="pct"/>
            <w:noWrap/>
            <w:hideMark/>
          </w:tcPr>
          <w:p w:rsidR="00561F32" w:rsidRPr="00657A1C" w:rsidRDefault="009116C9" w:rsidP="00211118">
            <w:pPr>
              <w:pStyle w:val="Tabletext"/>
              <w:keepNext/>
              <w:keepLines/>
              <w:spacing w:after="0"/>
              <w:jc w:val="center"/>
              <w:rPr>
                <w:rFonts w:ascii="Arial Narrow" w:hAnsi="Arial Narrow"/>
                <w:highlight w:val="yellow"/>
              </w:rPr>
            </w:pPr>
            <w:r w:rsidRPr="00EA6E83">
              <w:rPr>
                <w:rFonts w:ascii="Arial Narrow" w:hAnsi="Arial Narrow"/>
              </w:rPr>
              <w:t>$1,813.52</w:t>
            </w:r>
          </w:p>
        </w:tc>
        <w:tc>
          <w:tcPr>
            <w:tcW w:w="786" w:type="pct"/>
            <w:noWrap/>
            <w:hideMark/>
          </w:tcPr>
          <w:p w:rsidR="00561F32" w:rsidRPr="00657A1C" w:rsidRDefault="00AA1E1A" w:rsidP="00211118">
            <w:pPr>
              <w:pStyle w:val="Tabletext"/>
              <w:keepNext/>
              <w:keepLines/>
              <w:spacing w:after="0"/>
              <w:jc w:val="center"/>
              <w:rPr>
                <w:rFonts w:ascii="Arial Narrow" w:hAnsi="Arial Narrow"/>
                <w:highlight w:val="yellow"/>
              </w:rPr>
            </w:pPr>
            <w:r w:rsidRPr="00390236">
              <w:rPr>
                <w:rFonts w:ascii="Arial Narrow" w:hAnsi="Arial Narrow"/>
              </w:rPr>
              <w:t>$1,813.52</w:t>
            </w:r>
          </w:p>
        </w:tc>
        <w:tc>
          <w:tcPr>
            <w:tcW w:w="2173" w:type="pct"/>
          </w:tcPr>
          <w:p w:rsidR="00561F32" w:rsidRPr="00EA6E83" w:rsidRDefault="00AA1E1A" w:rsidP="00211118">
            <w:pPr>
              <w:pStyle w:val="Tabletext"/>
              <w:keepNext/>
              <w:keepLines/>
              <w:spacing w:after="0"/>
              <w:rPr>
                <w:rFonts w:ascii="Arial Narrow" w:hAnsi="Arial Narrow"/>
              </w:rPr>
            </w:pPr>
            <w:r w:rsidRPr="00EA6E83">
              <w:rPr>
                <w:rFonts w:ascii="Arial Narrow" w:hAnsi="Arial Narrow"/>
              </w:rPr>
              <w:t xml:space="preserve">Both arms = </w:t>
            </w:r>
            <w:r w:rsidR="00561F32" w:rsidRPr="00EA6E83">
              <w:rPr>
                <w:rFonts w:ascii="Arial Narrow" w:hAnsi="Arial Narrow"/>
              </w:rPr>
              <w:t>B * $300.75 (MBS Item 42740)</w:t>
            </w:r>
          </w:p>
        </w:tc>
      </w:tr>
      <w:tr w:rsidR="00561F32" w:rsidRPr="00561F32" w:rsidTr="00B24A8C">
        <w:tc>
          <w:tcPr>
            <w:tcW w:w="194" w:type="pct"/>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E</w:t>
            </w:r>
          </w:p>
        </w:tc>
        <w:tc>
          <w:tcPr>
            <w:tcW w:w="1062" w:type="pct"/>
            <w:noWrap/>
            <w:hideMark/>
          </w:tcPr>
          <w:p w:rsidR="00561F32" w:rsidRPr="00561F32" w:rsidRDefault="00561F32" w:rsidP="00211118">
            <w:pPr>
              <w:pStyle w:val="Tabletext"/>
              <w:keepNext/>
              <w:keepLines/>
              <w:spacing w:after="0"/>
              <w:rPr>
                <w:rFonts w:ascii="Arial Narrow" w:hAnsi="Arial Narrow"/>
              </w:rPr>
            </w:pPr>
            <w:r w:rsidRPr="00561F32">
              <w:rPr>
                <w:rFonts w:ascii="Arial Narrow" w:hAnsi="Arial Narrow"/>
              </w:rPr>
              <w:t>Total cost per year (ex-manufacturer)</w:t>
            </w:r>
          </w:p>
        </w:tc>
        <w:tc>
          <w:tcPr>
            <w:tcW w:w="786" w:type="pct"/>
            <w:noWrap/>
            <w:hideMark/>
          </w:tcPr>
          <w:p w:rsidR="00561F32" w:rsidRPr="00657A1C" w:rsidRDefault="009116C9" w:rsidP="00211118">
            <w:pPr>
              <w:pStyle w:val="Tabletext"/>
              <w:keepNext/>
              <w:keepLines/>
              <w:spacing w:after="0"/>
              <w:jc w:val="center"/>
              <w:rPr>
                <w:rFonts w:ascii="Arial Narrow" w:hAnsi="Arial Narrow"/>
                <w:highlight w:val="yellow"/>
              </w:rPr>
            </w:pPr>
            <w:r w:rsidRPr="00EA6E83">
              <w:rPr>
                <w:rFonts w:ascii="Arial Narrow" w:hAnsi="Arial Narrow"/>
              </w:rPr>
              <w:t>$</w:t>
            </w:r>
            <w:r w:rsidR="00CA4AB3">
              <w:rPr>
                <w:rFonts w:ascii="Arial Narrow" w:hAnsi="Arial Narrow"/>
                <w:noProof/>
                <w:color w:val="000000"/>
                <w:highlight w:val="black"/>
              </w:rPr>
              <w:t>'''''''''''''''''''''''</w:t>
            </w:r>
          </w:p>
        </w:tc>
        <w:tc>
          <w:tcPr>
            <w:tcW w:w="786" w:type="pct"/>
            <w:noWrap/>
            <w:hideMark/>
          </w:tcPr>
          <w:p w:rsidR="00561F32" w:rsidRPr="00657A1C" w:rsidRDefault="009116C9" w:rsidP="00211118">
            <w:pPr>
              <w:pStyle w:val="Tabletext"/>
              <w:keepNext/>
              <w:keepLines/>
              <w:spacing w:after="0"/>
              <w:jc w:val="center"/>
              <w:rPr>
                <w:rFonts w:ascii="Arial Narrow" w:hAnsi="Arial Narrow"/>
                <w:highlight w:val="yellow"/>
              </w:rPr>
            </w:pPr>
            <w:r w:rsidRPr="00390236">
              <w:rPr>
                <w:rFonts w:ascii="Arial Narrow" w:hAnsi="Arial Narrow"/>
              </w:rPr>
              <w:t>$</w:t>
            </w:r>
            <w:r w:rsidR="00CA4AB3">
              <w:rPr>
                <w:rFonts w:ascii="Arial Narrow" w:hAnsi="Arial Narrow"/>
                <w:noProof/>
                <w:color w:val="000000"/>
                <w:highlight w:val="black"/>
              </w:rPr>
              <w:t>'''''''''''''''''''''''</w:t>
            </w:r>
          </w:p>
        </w:tc>
        <w:tc>
          <w:tcPr>
            <w:tcW w:w="2173" w:type="pct"/>
          </w:tcPr>
          <w:p w:rsidR="00561F32" w:rsidRPr="00EA6E83" w:rsidRDefault="00AA1E1A" w:rsidP="00211118">
            <w:pPr>
              <w:pStyle w:val="Tabletext"/>
              <w:keepNext/>
              <w:keepLines/>
              <w:spacing w:after="0"/>
              <w:jc w:val="left"/>
              <w:rPr>
                <w:rFonts w:ascii="Arial Narrow" w:hAnsi="Arial Narrow"/>
              </w:rPr>
            </w:pPr>
            <w:r w:rsidRPr="00EA6E83">
              <w:rPr>
                <w:rFonts w:ascii="Arial Narrow" w:hAnsi="Arial Narrow"/>
              </w:rPr>
              <w:t xml:space="preserve">Ranibizumab = </w:t>
            </w:r>
            <w:r w:rsidR="00561F32" w:rsidRPr="00EA6E83">
              <w:rPr>
                <w:rFonts w:ascii="Arial Narrow" w:hAnsi="Arial Narrow"/>
              </w:rPr>
              <w:t>C + D</w:t>
            </w:r>
          </w:p>
          <w:p w:rsidR="00561F32" w:rsidRPr="00657A1C" w:rsidRDefault="00561F32" w:rsidP="00211118">
            <w:pPr>
              <w:pStyle w:val="Tabletext"/>
              <w:keepNext/>
              <w:keepLines/>
              <w:spacing w:after="0"/>
              <w:jc w:val="left"/>
              <w:rPr>
                <w:rFonts w:ascii="Arial Narrow" w:hAnsi="Arial Narrow"/>
                <w:highlight w:val="yellow"/>
              </w:rPr>
            </w:pPr>
            <w:r w:rsidRPr="00EA6E83">
              <w:rPr>
                <w:rFonts w:ascii="Arial Narrow" w:hAnsi="Arial Narrow"/>
              </w:rPr>
              <w:t>Brolucizumab</w:t>
            </w:r>
            <w:r w:rsidR="00AA1E1A" w:rsidRPr="00EA6E83">
              <w:rPr>
                <w:rFonts w:ascii="Arial Narrow" w:hAnsi="Arial Narrow"/>
              </w:rPr>
              <w:t xml:space="preserve"> = assumed equal to r</w:t>
            </w:r>
            <w:r w:rsidRPr="00EA6E83">
              <w:rPr>
                <w:rFonts w:ascii="Arial Narrow" w:hAnsi="Arial Narrow"/>
              </w:rPr>
              <w:t>anibizumab</w:t>
            </w:r>
          </w:p>
        </w:tc>
      </w:tr>
    </w:tbl>
    <w:p w:rsidR="00FD0C67" w:rsidRDefault="00FD0C67" w:rsidP="00FD0C67">
      <w:pPr>
        <w:pStyle w:val="ListBullet"/>
        <w:numPr>
          <w:ilvl w:val="0"/>
          <w:numId w:val="0"/>
        </w:numPr>
        <w:ind w:left="360" w:hanging="360"/>
        <w:rPr>
          <w:rFonts w:ascii="Arial Narrow" w:hAnsi="Arial Narrow"/>
          <w:sz w:val="18"/>
          <w:szCs w:val="18"/>
        </w:rPr>
      </w:pPr>
    </w:p>
    <w:p w:rsidR="003577DE" w:rsidRDefault="003577DE" w:rsidP="00FD0C67">
      <w:pPr>
        <w:pStyle w:val="ListBullet"/>
        <w:numPr>
          <w:ilvl w:val="0"/>
          <w:numId w:val="0"/>
        </w:numPr>
        <w:ind w:left="360" w:hanging="360"/>
        <w:rPr>
          <w:rFonts w:ascii="Arial Narrow" w:hAnsi="Arial Narrow"/>
          <w:sz w:val="18"/>
          <w:szCs w:val="18"/>
        </w:rPr>
      </w:pPr>
    </w:p>
    <w:p w:rsidR="003577DE" w:rsidRPr="003577DE" w:rsidRDefault="003577DE" w:rsidP="003577DE">
      <w:pPr>
        <w:pStyle w:val="ListParagraph"/>
        <w:numPr>
          <w:ilvl w:val="1"/>
          <w:numId w:val="2"/>
        </w:numPr>
        <w:jc w:val="both"/>
      </w:pPr>
      <w:r>
        <w:t xml:space="preserve">The November 2019 major submission requested that the comparator price prior to the </w:t>
      </w:r>
      <w:r w:rsidRPr="003577DE">
        <w:rPr>
          <w:iCs/>
        </w:rPr>
        <w:t xml:space="preserve">F1 anniversary price reductions </w:t>
      </w:r>
      <w:r>
        <w:t xml:space="preserve">apply to brolucizumab, according to </w:t>
      </w:r>
      <w:r w:rsidRPr="008D405F">
        <w:t xml:space="preserve">Clause 5.7 of the Strategic Agreement between Medicines Australia and the Commonwealth (the </w:t>
      </w:r>
      <w:r w:rsidRPr="008954BF">
        <w:t xml:space="preserve">Strategic Agreement), until expiration of the agreement 30 June 2022. The PBAC noted in the </w:t>
      </w:r>
      <w:r w:rsidR="00E5706E">
        <w:t>PSD</w:t>
      </w:r>
      <w:r w:rsidRPr="008954BF">
        <w:t xml:space="preserve"> that application</w:t>
      </w:r>
      <w:r>
        <w:t xml:space="preserve"> of the Strategic Agreement is not a matter for PBAC. The minor resubmission states that this scenario has not been modelled in the resubmission financial estimates, but will be discussed with the Department of Health as appropriate once a positive recommendation has been received.</w:t>
      </w:r>
    </w:p>
    <w:p w:rsidR="003C2FB5" w:rsidRDefault="000644BB" w:rsidP="008306F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Drug cost/patient/year</w:t>
      </w:r>
      <w:r w:rsidR="00CA6AFA">
        <w:rPr>
          <w:rFonts w:asciiTheme="minorHAnsi" w:eastAsiaTheme="majorEastAsia" w:hAnsiTheme="minorHAnsi" w:cstheme="majorBidi"/>
          <w:sz w:val="28"/>
          <w:szCs w:val="28"/>
          <w:lang w:eastAsia="en-US"/>
        </w:rPr>
        <w:t>: $</w:t>
      </w:r>
      <w:r w:rsidR="00CA4AB3">
        <w:rPr>
          <w:rFonts w:asciiTheme="minorHAnsi" w:eastAsiaTheme="majorEastAsia" w:hAnsiTheme="minorHAnsi" w:cstheme="majorBidi"/>
          <w:noProof/>
          <w:color w:val="000000"/>
          <w:sz w:val="28"/>
          <w:szCs w:val="28"/>
          <w:highlight w:val="black"/>
          <w:lang w:eastAsia="en-US"/>
        </w:rPr>
        <w:t>'''''''''</w:t>
      </w:r>
      <w:r w:rsidR="00CA6AFA">
        <w:rPr>
          <w:rFonts w:asciiTheme="minorHAnsi" w:eastAsiaTheme="majorEastAsia" w:hAnsiTheme="minorHAnsi" w:cstheme="majorBidi"/>
          <w:sz w:val="28"/>
          <w:szCs w:val="28"/>
          <w:lang w:eastAsia="en-US"/>
        </w:rPr>
        <w:t xml:space="preserve"> (based on effective price)</w:t>
      </w:r>
    </w:p>
    <w:p w:rsidR="00A55FEE" w:rsidRPr="003C0919" w:rsidRDefault="003064AF" w:rsidP="00AD66D8">
      <w:pPr>
        <w:pStyle w:val="ListParagraph"/>
        <w:numPr>
          <w:ilvl w:val="1"/>
          <w:numId w:val="2"/>
        </w:numPr>
        <w:jc w:val="both"/>
      </w:pPr>
      <w:r w:rsidRPr="003C0919">
        <w:t xml:space="preserve">The estimated </w:t>
      </w:r>
      <w:r w:rsidR="003C0919" w:rsidRPr="005D3C67">
        <w:t>brolucizumab</w:t>
      </w:r>
      <w:r w:rsidRPr="005D3C67">
        <w:t xml:space="preserve"> cost</w:t>
      </w:r>
      <w:r w:rsidR="0052792D" w:rsidRPr="005D3C67">
        <w:t>/patient</w:t>
      </w:r>
      <w:r w:rsidR="003C0919" w:rsidRPr="005D3C67">
        <w:t>/</w:t>
      </w:r>
      <w:r w:rsidR="00CA48D9" w:rsidRPr="005D3C67">
        <w:t>year</w:t>
      </w:r>
      <w:r w:rsidR="005D3C67" w:rsidRPr="005D3C67">
        <w:t xml:space="preserve">, as per </w:t>
      </w:r>
      <w:r w:rsidR="005D3C67">
        <w:t>the minor resubmission,</w:t>
      </w:r>
      <w:r w:rsidR="0052792D" w:rsidRPr="003C0919">
        <w:t xml:space="preserve"> would </w:t>
      </w:r>
      <w:r w:rsidR="0052792D" w:rsidRPr="005D3C67">
        <w:t xml:space="preserve">be </w:t>
      </w:r>
      <w:r w:rsidR="00CA6AFA">
        <w:t>$</w:t>
      </w:r>
      <w:r w:rsidR="00CA4AB3">
        <w:rPr>
          <w:noProof/>
          <w:color w:val="000000"/>
          <w:highlight w:val="black"/>
        </w:rPr>
        <w:t>'''''''''''</w:t>
      </w:r>
      <w:r w:rsidRPr="005D3C67">
        <w:t>,</w:t>
      </w:r>
      <w:r w:rsidR="005D3C67" w:rsidRPr="005D3C67">
        <w:t xml:space="preserve"> based </w:t>
      </w:r>
      <w:r w:rsidR="005D3C67">
        <w:t xml:space="preserve">on 6.03 injections per year and a dispensed price for maximum quantity (DPMQ) of </w:t>
      </w:r>
      <w:r w:rsidR="00CA6AFA" w:rsidRPr="00CA6AFA">
        <w:t>$</w:t>
      </w:r>
      <w:r w:rsidR="00CA4AB3">
        <w:rPr>
          <w:noProof/>
          <w:color w:val="000000"/>
          <w:highlight w:val="black"/>
        </w:rPr>
        <w:t>''''''''''''</w:t>
      </w:r>
      <w:r w:rsidR="00CA6AFA" w:rsidRPr="00CA6AFA">
        <w:t xml:space="preserve"> </w:t>
      </w:r>
      <w:r w:rsidR="005D3C67">
        <w:t>(effective price)</w:t>
      </w:r>
      <w:r w:rsidRPr="003C0919">
        <w:t xml:space="preserve">. </w:t>
      </w:r>
    </w:p>
    <w:p w:rsidR="005A3173" w:rsidRPr="006072C4" w:rsidRDefault="005A3173" w:rsidP="008306F3">
      <w:pPr>
        <w:pStyle w:val="Heading2"/>
        <w:keepLines/>
        <w:spacing w:before="240" w:after="120"/>
        <w:rPr>
          <w:rFonts w:asciiTheme="minorHAnsi" w:eastAsiaTheme="majorEastAsia" w:hAnsiTheme="minorHAnsi" w:cstheme="majorBidi"/>
          <w:sz w:val="28"/>
          <w:szCs w:val="28"/>
          <w:lang w:eastAsia="en-US"/>
        </w:rPr>
      </w:pPr>
      <w:r w:rsidRPr="006072C4">
        <w:rPr>
          <w:rFonts w:asciiTheme="minorHAnsi" w:eastAsiaTheme="majorEastAsia" w:hAnsiTheme="minorHAnsi" w:cstheme="majorBidi"/>
          <w:sz w:val="28"/>
          <w:szCs w:val="28"/>
          <w:lang w:eastAsia="en-US"/>
        </w:rPr>
        <w:t>Estimated PBS usage &amp; financial implications</w:t>
      </w:r>
    </w:p>
    <w:p w:rsidR="005C4524" w:rsidRDefault="003F7CF7" w:rsidP="005C4524">
      <w:pPr>
        <w:pStyle w:val="ListParagraph"/>
        <w:numPr>
          <w:ilvl w:val="1"/>
          <w:numId w:val="2"/>
        </w:numPr>
        <w:jc w:val="both"/>
      </w:pPr>
      <w:r w:rsidRPr="008954BF">
        <w:t xml:space="preserve">The PBAC </w:t>
      </w:r>
      <w:r w:rsidR="00E5706E">
        <w:t>PSD</w:t>
      </w:r>
      <w:r w:rsidRPr="008954BF">
        <w:t xml:space="preserve"> for the previous submission stated that</w:t>
      </w:r>
      <w:r w:rsidRPr="006072C4">
        <w:t xml:space="preserve"> uptake rates were not well explained and likely to be an underestimate. In the minor resubmission, the PBS 10% sample data have been updated. The Sponsor </w:t>
      </w:r>
      <w:r w:rsidR="006072C4" w:rsidRPr="006072C4">
        <w:t>state</w:t>
      </w:r>
      <w:r w:rsidR="00C229F3">
        <w:t>d</w:t>
      </w:r>
      <w:r w:rsidRPr="006072C4">
        <w:t xml:space="preserve"> that inaccuracies in the uptake rate will not result in any additional cost to </w:t>
      </w:r>
      <w:r w:rsidR="006072C4" w:rsidRPr="006072C4">
        <w:t>Government</w:t>
      </w:r>
      <w:r w:rsidRPr="006072C4">
        <w:t>.</w:t>
      </w:r>
    </w:p>
    <w:p w:rsidR="005C4524" w:rsidRPr="005C4524" w:rsidRDefault="006072C4" w:rsidP="005C4524">
      <w:pPr>
        <w:pStyle w:val="ListParagraph"/>
        <w:numPr>
          <w:ilvl w:val="1"/>
          <w:numId w:val="2"/>
        </w:numPr>
        <w:jc w:val="both"/>
      </w:pPr>
      <w:r w:rsidRPr="00E3283D">
        <w:t xml:space="preserve">The minor submission estimated a net saving to the PBS/RPBS of </w:t>
      </w:r>
      <w:r w:rsidR="004F378D">
        <w:t>less than $10 million</w:t>
      </w:r>
      <w:r w:rsidRPr="00E3283D">
        <w:t xml:space="preserve"> in Year 6 of listing,</w:t>
      </w:r>
      <w:r w:rsidR="00E3283D">
        <w:t xml:space="preserve"> using effective prices,</w:t>
      </w:r>
      <w:r w:rsidRPr="00E3283D">
        <w:t xml:space="preserve"> with a total net saving to the PBS/RPBS of </w:t>
      </w:r>
      <w:r w:rsidR="00C71E7E">
        <w:t>$10 - $20 million</w:t>
      </w:r>
      <w:r w:rsidRPr="00E3283D">
        <w:t xml:space="preserve"> over the first 6 years of listing. This is summarised in Table 4</w:t>
      </w:r>
      <w:r w:rsidR="00E3283D" w:rsidRPr="00E3283D">
        <w:t>,</w:t>
      </w:r>
      <w:r w:rsidRPr="00E3283D">
        <w:t xml:space="preserve"> as well as the expected prescription numbers.</w:t>
      </w:r>
    </w:p>
    <w:p w:rsidR="00695280" w:rsidRPr="006072C4" w:rsidRDefault="00695280" w:rsidP="00E3283D">
      <w:pPr>
        <w:pStyle w:val="ListParagraph"/>
        <w:numPr>
          <w:ilvl w:val="1"/>
          <w:numId w:val="2"/>
        </w:numPr>
        <w:jc w:val="both"/>
      </w:pPr>
      <w:r w:rsidRPr="006072C4">
        <w:rPr>
          <w:rFonts w:eastAsiaTheme="majorEastAsia"/>
          <w:lang w:eastAsia="en-US"/>
        </w:rPr>
        <w:t>The differences between the current resubmission and the previous submission with</w:t>
      </w:r>
      <w:r w:rsidR="002B31F5" w:rsidRPr="006072C4">
        <w:rPr>
          <w:rFonts w:eastAsiaTheme="majorEastAsia"/>
          <w:lang w:eastAsia="en-US"/>
        </w:rPr>
        <w:t xml:space="preserve"> respect to</w:t>
      </w:r>
      <w:r w:rsidRPr="006072C4">
        <w:rPr>
          <w:rFonts w:eastAsiaTheme="majorEastAsia"/>
          <w:lang w:eastAsia="en-US"/>
        </w:rPr>
        <w:t xml:space="preserve"> the estimated usage and financial implications are as follows:</w:t>
      </w:r>
    </w:p>
    <w:p w:rsidR="009E2213" w:rsidRPr="009E2213" w:rsidRDefault="00695280" w:rsidP="009E2213">
      <w:pPr>
        <w:pStyle w:val="ListParagraph"/>
        <w:numPr>
          <w:ilvl w:val="0"/>
          <w:numId w:val="27"/>
        </w:numPr>
        <w:ind w:left="1134"/>
        <w:jc w:val="both"/>
        <w:rPr>
          <w:rFonts w:eastAsiaTheme="majorEastAsia"/>
          <w:lang w:eastAsia="en-US"/>
        </w:rPr>
      </w:pPr>
      <w:r>
        <w:rPr>
          <w:rFonts w:eastAsiaTheme="majorEastAsia"/>
          <w:lang w:eastAsia="en-US"/>
        </w:rPr>
        <w:t>The</w:t>
      </w:r>
      <w:r w:rsidR="00C229F3">
        <w:rPr>
          <w:rFonts w:eastAsiaTheme="majorEastAsia"/>
          <w:lang w:eastAsia="en-US"/>
        </w:rPr>
        <w:t xml:space="preserve"> brolucizumab</w:t>
      </w:r>
      <w:r>
        <w:rPr>
          <w:rFonts w:eastAsiaTheme="majorEastAsia"/>
          <w:lang w:eastAsia="en-US"/>
        </w:rPr>
        <w:t xml:space="preserve"> drug cost reflects the ranibizumab price (1:1 ratio)</w:t>
      </w:r>
      <w:r w:rsidR="002B31F5">
        <w:rPr>
          <w:rFonts w:eastAsiaTheme="majorEastAsia"/>
          <w:lang w:eastAsia="en-US"/>
        </w:rPr>
        <w:t>,</w:t>
      </w:r>
      <w:r>
        <w:rPr>
          <w:rFonts w:eastAsiaTheme="majorEastAsia"/>
          <w:lang w:eastAsia="en-US"/>
        </w:rPr>
        <w:t xml:space="preserve"> rather than a weighted price of aflibercept/ranibizumab;</w:t>
      </w:r>
    </w:p>
    <w:p w:rsidR="00E3283D" w:rsidRDefault="00E3283D" w:rsidP="00873206">
      <w:pPr>
        <w:pStyle w:val="ListParagraph"/>
        <w:numPr>
          <w:ilvl w:val="0"/>
          <w:numId w:val="27"/>
        </w:numPr>
        <w:ind w:left="1134"/>
        <w:jc w:val="both"/>
        <w:rPr>
          <w:rFonts w:eastAsiaTheme="majorEastAsia"/>
          <w:lang w:eastAsia="en-US"/>
        </w:rPr>
      </w:pPr>
      <w:r w:rsidRPr="00695280">
        <w:rPr>
          <w:rFonts w:eastAsiaTheme="majorEastAsia"/>
          <w:lang w:eastAsia="en-US"/>
        </w:rPr>
        <w:t xml:space="preserve">The injection substitution assumes an identical number of injections (1:1 </w:t>
      </w:r>
      <w:r>
        <w:rPr>
          <w:rFonts w:eastAsiaTheme="majorEastAsia"/>
          <w:lang w:eastAsia="en-US"/>
        </w:rPr>
        <w:t>dose relativity</w:t>
      </w:r>
      <w:r w:rsidRPr="00695280">
        <w:rPr>
          <w:rFonts w:eastAsiaTheme="majorEastAsia"/>
          <w:lang w:eastAsia="en-US"/>
        </w:rPr>
        <w:t>) for brolucizumab and aflibercept/ranibizumab</w:t>
      </w:r>
      <w:r>
        <w:rPr>
          <w:rFonts w:eastAsiaTheme="majorEastAsia"/>
          <w:lang w:eastAsia="en-US"/>
        </w:rPr>
        <w:t>, rather than trial-based dosing (</w:t>
      </w:r>
      <w:r w:rsidR="00CA4AB3">
        <w:rPr>
          <w:rFonts w:eastAsiaTheme="majorEastAsia"/>
          <w:noProof/>
          <w:color w:val="000000"/>
          <w:highlight w:val="black"/>
          <w:lang w:eastAsia="en-US"/>
        </w:rPr>
        <w:t>''''''''</w:t>
      </w:r>
      <w:r>
        <w:rPr>
          <w:rFonts w:eastAsiaTheme="majorEastAsia"/>
          <w:lang w:eastAsia="en-US"/>
        </w:rPr>
        <w:t xml:space="preserve">:6.03 </w:t>
      </w:r>
      <w:proofErr w:type="spellStart"/>
      <w:r w:rsidR="002E3930">
        <w:rPr>
          <w:rFonts w:eastAsiaTheme="majorEastAsia"/>
          <w:lang w:eastAsia="en-US"/>
        </w:rPr>
        <w:t>brolucizumab</w:t>
      </w:r>
      <w:proofErr w:type="gramStart"/>
      <w:r w:rsidR="002E3930">
        <w:rPr>
          <w:rFonts w:eastAsiaTheme="majorEastAsia"/>
          <w:lang w:eastAsia="en-US"/>
        </w:rPr>
        <w:t>:aflibercept</w:t>
      </w:r>
      <w:proofErr w:type="spellEnd"/>
      <w:proofErr w:type="gramEnd"/>
      <w:r w:rsidR="002E3930">
        <w:rPr>
          <w:rFonts w:eastAsiaTheme="majorEastAsia"/>
          <w:lang w:eastAsia="en-US"/>
        </w:rPr>
        <w:t xml:space="preserve">/ranibizumab </w:t>
      </w:r>
      <w:r>
        <w:rPr>
          <w:rFonts w:eastAsiaTheme="majorEastAsia"/>
          <w:lang w:eastAsia="en-US"/>
        </w:rPr>
        <w:t>ratio).</w:t>
      </w:r>
    </w:p>
    <w:p w:rsidR="006072C4" w:rsidRDefault="00E3283D" w:rsidP="00873206">
      <w:pPr>
        <w:pStyle w:val="ListParagraph"/>
        <w:numPr>
          <w:ilvl w:val="0"/>
          <w:numId w:val="27"/>
        </w:numPr>
        <w:ind w:left="1134"/>
        <w:jc w:val="both"/>
        <w:rPr>
          <w:rFonts w:eastAsiaTheme="majorEastAsia"/>
          <w:lang w:eastAsia="en-US"/>
        </w:rPr>
      </w:pPr>
      <w:r>
        <w:rPr>
          <w:rFonts w:eastAsiaTheme="majorEastAsia"/>
          <w:lang w:eastAsia="en-US"/>
        </w:rPr>
        <w:t>The MBS net cost is zero because there are no incremental costs associated with administration</w:t>
      </w:r>
      <w:r w:rsidR="00E342CF">
        <w:rPr>
          <w:rFonts w:eastAsiaTheme="majorEastAsia"/>
          <w:lang w:eastAsia="en-US"/>
        </w:rPr>
        <w:t>, rather than an incremental cost saving due to fewer brolucizumab injections</w:t>
      </w:r>
      <w:r w:rsidR="009E2213">
        <w:rPr>
          <w:rFonts w:eastAsiaTheme="majorEastAsia"/>
          <w:lang w:eastAsia="en-US"/>
        </w:rPr>
        <w:t>;</w:t>
      </w:r>
    </w:p>
    <w:p w:rsidR="009E2213" w:rsidRPr="009E2213" w:rsidRDefault="00C465E7" w:rsidP="008954BF">
      <w:pPr>
        <w:pStyle w:val="ListParagraph"/>
        <w:numPr>
          <w:ilvl w:val="0"/>
          <w:numId w:val="27"/>
        </w:numPr>
        <w:ind w:left="1134"/>
        <w:jc w:val="both"/>
        <w:rPr>
          <w:rFonts w:eastAsiaTheme="majorEastAsia"/>
          <w:lang w:eastAsia="en-US"/>
        </w:rPr>
      </w:pPr>
      <w:r>
        <w:rPr>
          <w:rFonts w:eastAsiaTheme="majorEastAsia"/>
          <w:lang w:eastAsia="en-US"/>
        </w:rPr>
        <w:t xml:space="preserve">The </w:t>
      </w:r>
      <w:r w:rsidR="00C229F3">
        <w:rPr>
          <w:rFonts w:eastAsiaTheme="majorEastAsia"/>
          <w:lang w:eastAsia="en-US"/>
        </w:rPr>
        <w:t xml:space="preserve">brolucizumab </w:t>
      </w:r>
      <w:r>
        <w:rPr>
          <w:rFonts w:eastAsiaTheme="majorEastAsia"/>
          <w:lang w:eastAsia="en-US"/>
        </w:rPr>
        <w:t>drug cost</w:t>
      </w:r>
      <w:r w:rsidR="00FA4B9C">
        <w:rPr>
          <w:rFonts w:eastAsiaTheme="majorEastAsia"/>
          <w:lang w:eastAsia="en-US"/>
        </w:rPr>
        <w:t xml:space="preserve"> </w:t>
      </w:r>
      <w:r w:rsidR="008954BF">
        <w:rPr>
          <w:rFonts w:eastAsiaTheme="majorEastAsia"/>
          <w:lang w:eastAsia="en-US"/>
        </w:rPr>
        <w:t xml:space="preserve">is </w:t>
      </w:r>
      <w:r w:rsidR="00FA4B9C">
        <w:rPr>
          <w:rFonts w:eastAsiaTheme="majorEastAsia"/>
          <w:lang w:eastAsia="en-US"/>
        </w:rPr>
        <w:t>calculated using the</w:t>
      </w:r>
      <w:r>
        <w:rPr>
          <w:rFonts w:eastAsiaTheme="majorEastAsia"/>
          <w:lang w:eastAsia="en-US"/>
        </w:rPr>
        <w:t xml:space="preserve"> </w:t>
      </w:r>
      <w:r w:rsidR="00957515">
        <w:rPr>
          <w:rFonts w:eastAsiaTheme="majorEastAsia"/>
          <w:lang w:eastAsia="en-US"/>
        </w:rPr>
        <w:t xml:space="preserve">current </w:t>
      </w:r>
      <w:r>
        <w:rPr>
          <w:rFonts w:eastAsiaTheme="majorEastAsia"/>
          <w:lang w:eastAsia="en-US"/>
        </w:rPr>
        <w:t xml:space="preserve">price of aflibercept and ranibizumab, rather than using </w:t>
      </w:r>
      <w:r w:rsidR="00FA4B9C">
        <w:rPr>
          <w:rFonts w:eastAsiaTheme="majorEastAsia"/>
          <w:lang w:eastAsia="en-US"/>
        </w:rPr>
        <w:t xml:space="preserve">the </w:t>
      </w:r>
      <w:r w:rsidR="00FA4B9C" w:rsidRPr="00FA4B9C">
        <w:rPr>
          <w:rFonts w:eastAsiaTheme="majorEastAsia"/>
          <w:lang w:eastAsia="en-US"/>
        </w:rPr>
        <w:t xml:space="preserve">price prior to the F1 anniversary price </w:t>
      </w:r>
      <w:r w:rsidR="00F77A46">
        <w:rPr>
          <w:rFonts w:eastAsiaTheme="majorEastAsia"/>
          <w:lang w:eastAsia="en-US"/>
        </w:rPr>
        <w:t>reductions</w:t>
      </w:r>
      <w:r>
        <w:rPr>
          <w:rFonts w:eastAsiaTheme="majorEastAsia"/>
          <w:lang w:eastAsia="en-US"/>
        </w:rPr>
        <w:t xml:space="preserve"> until expiration of the strategic agreement on 30 June 2022.</w:t>
      </w:r>
    </w:p>
    <w:p w:rsidR="00B32482" w:rsidRPr="00EE5A10" w:rsidRDefault="00B32482" w:rsidP="00B32482">
      <w:pPr>
        <w:keepNext/>
        <w:keepLines/>
        <w:spacing w:before="240"/>
        <w:rPr>
          <w:rFonts w:ascii="Arial Narrow" w:hAnsi="Arial Narrow" w:cs="Arial"/>
          <w:b/>
          <w:snapToGrid w:val="0"/>
          <w:sz w:val="20"/>
          <w:szCs w:val="16"/>
          <w:lang w:eastAsia="en-US"/>
        </w:rPr>
      </w:pPr>
      <w:r>
        <w:rPr>
          <w:rFonts w:ascii="Arial Narrow" w:hAnsi="Arial Narrow" w:cs="Arial"/>
          <w:b/>
          <w:snapToGrid w:val="0"/>
          <w:sz w:val="20"/>
          <w:szCs w:val="16"/>
          <w:lang w:eastAsia="en-US"/>
        </w:rPr>
        <w:lastRenderedPageBreak/>
        <w:t xml:space="preserve">Table 4: </w:t>
      </w:r>
      <w:r w:rsidRPr="00EE5A10">
        <w:rPr>
          <w:rFonts w:ascii="Arial Narrow" w:hAnsi="Arial Narrow" w:cs="Arial"/>
          <w:b/>
          <w:snapToGrid w:val="0"/>
          <w:sz w:val="20"/>
          <w:szCs w:val="16"/>
          <w:lang w:eastAsia="en-US"/>
        </w:rPr>
        <w:t xml:space="preserve">Estimated use and </w:t>
      </w:r>
      <w:r>
        <w:rPr>
          <w:rFonts w:ascii="Arial Narrow" w:hAnsi="Arial Narrow" w:cs="Arial"/>
          <w:b/>
          <w:snapToGrid w:val="0"/>
          <w:sz w:val="20"/>
          <w:szCs w:val="16"/>
          <w:lang w:eastAsia="en-US"/>
        </w:rPr>
        <w:t>financial implications</w:t>
      </w:r>
      <w:r w:rsidRPr="00EE5A10">
        <w:rPr>
          <w:rFonts w:ascii="Arial Narrow" w:hAnsi="Arial Narrow" w:cs="Arial"/>
          <w:b/>
          <w:snapToGrid w:val="0"/>
          <w:sz w:val="20"/>
          <w:szCs w:val="16"/>
          <w:lang w:eastAsia="en-US"/>
        </w:rPr>
        <w:t xml:space="preserve"> of </w:t>
      </w:r>
      <w:r>
        <w:rPr>
          <w:rFonts w:ascii="Arial Narrow" w:hAnsi="Arial Narrow" w:cs="Arial"/>
          <w:b/>
          <w:snapToGrid w:val="0"/>
          <w:sz w:val="20"/>
          <w:szCs w:val="16"/>
          <w:lang w:eastAsia="en-US"/>
        </w:rPr>
        <w:t>brolucizumab</w:t>
      </w:r>
      <w:r w:rsidRPr="00EE5A10">
        <w:rPr>
          <w:rFonts w:ascii="Arial Narrow" w:hAnsi="Arial Narrow" w:cs="Arial"/>
          <w:b/>
          <w:snapToGrid w:val="0"/>
          <w:sz w:val="20"/>
          <w:szCs w:val="16"/>
          <w:lang w:eastAsia="en-US"/>
        </w:rPr>
        <w:t xml:space="preserve">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1"/>
        <w:gridCol w:w="1125"/>
        <w:gridCol w:w="245"/>
        <w:gridCol w:w="880"/>
        <w:gridCol w:w="198"/>
        <w:gridCol w:w="927"/>
        <w:gridCol w:w="151"/>
        <w:gridCol w:w="974"/>
        <w:gridCol w:w="105"/>
        <w:gridCol w:w="1021"/>
        <w:gridCol w:w="58"/>
        <w:gridCol w:w="1067"/>
      </w:tblGrid>
      <w:tr w:rsidR="00B32482" w:rsidRPr="00B10854" w:rsidTr="007558E2">
        <w:trPr>
          <w:trHeight w:val="37"/>
        </w:trPr>
        <w:tc>
          <w:tcPr>
            <w:tcW w:w="1256" w:type="pct"/>
            <w:gridSpan w:val="2"/>
            <w:shd w:val="clear" w:color="auto" w:fill="FFFFFF" w:themeFill="background1"/>
            <w:noWrap/>
            <w:vAlign w:val="bottom"/>
            <w:hideMark/>
          </w:tcPr>
          <w:p w:rsidR="00B32482" w:rsidRPr="00B10854" w:rsidRDefault="00B32482" w:rsidP="00572EE6">
            <w:pPr>
              <w:keepNext/>
              <w:keepLines/>
              <w:rPr>
                <w:rFonts w:ascii="Arial Narrow" w:hAnsi="Arial Narrow"/>
                <w:sz w:val="20"/>
                <w:szCs w:val="20"/>
                <w:highlight w:val="lightGray"/>
              </w:rPr>
            </w:pPr>
          </w:p>
        </w:tc>
        <w:tc>
          <w:tcPr>
            <w:tcW w:w="760" w:type="pct"/>
            <w:gridSpan w:val="2"/>
            <w:shd w:val="clear" w:color="auto" w:fill="FFFFFF" w:themeFill="background1"/>
            <w:vAlign w:val="bottom"/>
            <w:hideMark/>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1</w:t>
            </w:r>
          </w:p>
        </w:tc>
        <w:tc>
          <w:tcPr>
            <w:tcW w:w="598" w:type="pct"/>
            <w:gridSpan w:val="2"/>
            <w:shd w:val="clear" w:color="auto" w:fill="FFFFFF" w:themeFill="background1"/>
            <w:vAlign w:val="bottom"/>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2</w:t>
            </w:r>
          </w:p>
        </w:tc>
        <w:tc>
          <w:tcPr>
            <w:tcW w:w="598" w:type="pct"/>
            <w:gridSpan w:val="2"/>
            <w:shd w:val="clear" w:color="auto" w:fill="FFFFFF" w:themeFill="background1"/>
            <w:vAlign w:val="bottom"/>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3</w:t>
            </w:r>
          </w:p>
        </w:tc>
        <w:tc>
          <w:tcPr>
            <w:tcW w:w="598" w:type="pct"/>
            <w:gridSpan w:val="2"/>
            <w:shd w:val="clear" w:color="auto" w:fill="FFFFFF" w:themeFill="background1"/>
            <w:vAlign w:val="bottom"/>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4</w:t>
            </w:r>
          </w:p>
        </w:tc>
        <w:tc>
          <w:tcPr>
            <w:tcW w:w="598" w:type="pct"/>
            <w:gridSpan w:val="2"/>
            <w:shd w:val="clear" w:color="auto" w:fill="FFFFFF" w:themeFill="background1"/>
            <w:vAlign w:val="bottom"/>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5</w:t>
            </w:r>
          </w:p>
        </w:tc>
        <w:tc>
          <w:tcPr>
            <w:tcW w:w="592" w:type="pct"/>
            <w:shd w:val="clear" w:color="auto" w:fill="FFFFFF" w:themeFill="background1"/>
            <w:vAlign w:val="bottom"/>
          </w:tcPr>
          <w:p w:rsidR="00B32482" w:rsidRPr="00EE5A10" w:rsidRDefault="00B32482" w:rsidP="00572EE6">
            <w:pPr>
              <w:keepNext/>
              <w:keepLines/>
              <w:ind w:left="-61" w:right="-41"/>
              <w:jc w:val="center"/>
              <w:rPr>
                <w:rFonts w:ascii="Arial Narrow" w:hAnsi="Arial Narrow"/>
                <w:b/>
                <w:sz w:val="20"/>
                <w:szCs w:val="20"/>
              </w:rPr>
            </w:pPr>
            <w:r w:rsidRPr="00EE5A10">
              <w:rPr>
                <w:rFonts w:ascii="Arial Narrow" w:hAnsi="Arial Narrow"/>
                <w:b/>
                <w:sz w:val="20"/>
                <w:szCs w:val="20"/>
              </w:rPr>
              <w:t>Year 6</w:t>
            </w:r>
          </w:p>
        </w:tc>
      </w:tr>
      <w:tr w:rsidR="00B32482" w:rsidRPr="00B10854" w:rsidTr="00572EE6">
        <w:trPr>
          <w:trHeight w:val="37"/>
        </w:trPr>
        <w:tc>
          <w:tcPr>
            <w:tcW w:w="5000" w:type="pct"/>
            <w:gridSpan w:val="13"/>
            <w:shd w:val="clear" w:color="auto" w:fill="auto"/>
            <w:vAlign w:val="bottom"/>
          </w:tcPr>
          <w:p w:rsidR="00B32482" w:rsidRPr="00B10854" w:rsidRDefault="00B32482" w:rsidP="00572EE6">
            <w:pPr>
              <w:keepNext/>
              <w:keepLines/>
              <w:ind w:left="-61" w:right="-41"/>
              <w:rPr>
                <w:rFonts w:ascii="Arial Narrow" w:hAnsi="Arial Narrow"/>
                <w:sz w:val="20"/>
                <w:szCs w:val="20"/>
                <w:highlight w:val="lightGray"/>
              </w:rPr>
            </w:pPr>
            <w:r>
              <w:rPr>
                <w:rFonts w:ascii="Arial Narrow" w:hAnsi="Arial Narrow"/>
                <w:b/>
                <w:bCs/>
                <w:sz w:val="20"/>
                <w:szCs w:val="20"/>
              </w:rPr>
              <w:t>Estimated extent of use</w:t>
            </w:r>
          </w:p>
        </w:tc>
      </w:tr>
      <w:tr w:rsidR="00ED7596" w:rsidRPr="00B10854" w:rsidTr="007558E2">
        <w:trPr>
          <w:trHeight w:val="37"/>
        </w:trPr>
        <w:tc>
          <w:tcPr>
            <w:tcW w:w="1256" w:type="pct"/>
            <w:gridSpan w:val="2"/>
            <w:shd w:val="clear" w:color="auto" w:fill="auto"/>
            <w:vAlign w:val="bottom"/>
          </w:tcPr>
          <w:p w:rsidR="00ED7596" w:rsidRPr="00EE5A10" w:rsidRDefault="00EF3FAD" w:rsidP="00EF3FAD">
            <w:pPr>
              <w:keepNext/>
              <w:keepLines/>
              <w:jc w:val="left"/>
              <w:rPr>
                <w:rFonts w:ascii="Arial Narrow" w:hAnsi="Arial Narrow"/>
                <w:sz w:val="20"/>
                <w:szCs w:val="20"/>
              </w:rPr>
            </w:pPr>
            <w:r>
              <w:rPr>
                <w:rFonts w:ascii="Arial Narrow" w:hAnsi="Arial Narrow"/>
                <w:sz w:val="20"/>
                <w:szCs w:val="20"/>
              </w:rPr>
              <w:t>S</w:t>
            </w:r>
            <w:r w:rsidR="00ED7596">
              <w:rPr>
                <w:rFonts w:ascii="Arial Narrow" w:hAnsi="Arial Narrow"/>
                <w:sz w:val="20"/>
                <w:szCs w:val="20"/>
              </w:rPr>
              <w:t>cripts</w:t>
            </w:r>
            <w:r w:rsidR="002D0B39">
              <w:rPr>
                <w:rFonts w:ascii="Arial Narrow" w:hAnsi="Arial Narrow"/>
                <w:sz w:val="20"/>
                <w:szCs w:val="20"/>
              </w:rPr>
              <w:t xml:space="preserve"> </w:t>
            </w:r>
            <w:proofErr w:type="spellStart"/>
            <w:r w:rsidR="002D0B39">
              <w:rPr>
                <w:rFonts w:ascii="Arial Narrow" w:hAnsi="Arial Narrow"/>
                <w:sz w:val="20"/>
                <w:szCs w:val="20"/>
              </w:rPr>
              <w:t>dispensed</w:t>
            </w:r>
            <w:r w:rsidRPr="00EF3FAD">
              <w:rPr>
                <w:rFonts w:ascii="Arial Narrow" w:hAnsi="Arial Narrow"/>
                <w:sz w:val="20"/>
                <w:szCs w:val="20"/>
                <w:vertAlign w:val="superscript"/>
              </w:rPr>
              <w:t>a</w:t>
            </w:r>
            <w:proofErr w:type="spellEnd"/>
          </w:p>
        </w:tc>
        <w:tc>
          <w:tcPr>
            <w:tcW w:w="624" w:type="pct"/>
            <w:shd w:val="clear" w:color="auto" w:fill="auto"/>
            <w:noWrap/>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359,586 </w:t>
            </w:r>
          </w:p>
        </w:tc>
        <w:tc>
          <w:tcPr>
            <w:tcW w:w="624" w:type="pct"/>
            <w:gridSpan w:val="2"/>
            <w:shd w:val="clear" w:color="auto" w:fill="auto"/>
            <w:noWrap/>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380,124 </w:t>
            </w:r>
          </w:p>
        </w:tc>
        <w:tc>
          <w:tcPr>
            <w:tcW w:w="624" w:type="pct"/>
            <w:gridSpan w:val="2"/>
            <w:shd w:val="clear" w:color="auto" w:fill="auto"/>
            <w:noWrap/>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401,313 </w:t>
            </w:r>
          </w:p>
        </w:tc>
        <w:tc>
          <w:tcPr>
            <w:tcW w:w="624" w:type="pct"/>
            <w:gridSpan w:val="2"/>
            <w:shd w:val="clear" w:color="auto" w:fill="auto"/>
            <w:noWrap/>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417,787 </w:t>
            </w:r>
          </w:p>
        </w:tc>
        <w:tc>
          <w:tcPr>
            <w:tcW w:w="624" w:type="pct"/>
            <w:gridSpan w:val="2"/>
            <w:shd w:val="clear" w:color="auto" w:fill="auto"/>
            <w:noWrap/>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435,427 </w:t>
            </w:r>
          </w:p>
        </w:tc>
        <w:tc>
          <w:tcPr>
            <w:tcW w:w="624" w:type="pct"/>
            <w:gridSpan w:val="2"/>
          </w:tcPr>
          <w:p w:rsidR="00ED7596" w:rsidRPr="00294ABF" w:rsidRDefault="00ED7596" w:rsidP="00ED7596">
            <w:pPr>
              <w:keepNext/>
              <w:keepLines/>
              <w:ind w:left="-61" w:right="-41"/>
              <w:jc w:val="right"/>
              <w:rPr>
                <w:rFonts w:ascii="Arial Narrow" w:hAnsi="Arial Narrow"/>
                <w:sz w:val="20"/>
                <w:szCs w:val="20"/>
                <w:highlight w:val="lightGray"/>
              </w:rPr>
            </w:pPr>
            <w:r w:rsidRPr="00294ABF">
              <w:rPr>
                <w:rFonts w:ascii="Arial Narrow" w:hAnsi="Arial Narrow"/>
                <w:sz w:val="20"/>
                <w:szCs w:val="20"/>
              </w:rPr>
              <w:t xml:space="preserve">449,887 </w:t>
            </w:r>
          </w:p>
        </w:tc>
      </w:tr>
      <w:tr w:rsidR="002D0B39" w:rsidRPr="00B10854" w:rsidTr="007558E2">
        <w:trPr>
          <w:trHeight w:val="37"/>
        </w:trPr>
        <w:tc>
          <w:tcPr>
            <w:tcW w:w="1256" w:type="pct"/>
            <w:gridSpan w:val="2"/>
            <w:shd w:val="clear" w:color="auto" w:fill="auto"/>
            <w:vAlign w:val="bottom"/>
          </w:tcPr>
          <w:p w:rsidR="002D0B39" w:rsidRPr="00EE5A10" w:rsidRDefault="002D0B39" w:rsidP="002D0B39">
            <w:pPr>
              <w:keepNext/>
              <w:keepLines/>
              <w:rPr>
                <w:rFonts w:ascii="Arial Narrow" w:hAnsi="Arial Narrow"/>
                <w:sz w:val="20"/>
                <w:szCs w:val="20"/>
              </w:rPr>
            </w:pPr>
            <w:r>
              <w:rPr>
                <w:rFonts w:ascii="Arial Narrow" w:hAnsi="Arial Narrow"/>
                <w:sz w:val="20"/>
                <w:szCs w:val="20"/>
              </w:rPr>
              <w:t>Brolucizumab scripts</w:t>
            </w:r>
          </w:p>
        </w:tc>
        <w:tc>
          <w:tcPr>
            <w:tcW w:w="624" w:type="pct"/>
            <w:shd w:val="clear" w:color="auto" w:fill="auto"/>
            <w:noWrap/>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shd w:val="clear" w:color="auto" w:fill="auto"/>
            <w:noWrap/>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624" w:type="pct"/>
            <w:gridSpan w:val="2"/>
          </w:tcPr>
          <w:p w:rsidR="002D0B39" w:rsidRPr="00CA4AB3" w:rsidRDefault="00CA4AB3" w:rsidP="002D0B39">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ED7596" w:rsidRPr="00B10854" w:rsidTr="00ED7596">
        <w:trPr>
          <w:trHeight w:val="37"/>
        </w:trPr>
        <w:tc>
          <w:tcPr>
            <w:tcW w:w="5000" w:type="pct"/>
            <w:gridSpan w:val="13"/>
            <w:shd w:val="clear" w:color="auto" w:fill="auto"/>
            <w:vAlign w:val="bottom"/>
          </w:tcPr>
          <w:p w:rsidR="00ED7596" w:rsidRPr="00ED7596" w:rsidRDefault="00ED7596" w:rsidP="002D0B39">
            <w:pPr>
              <w:keepNext/>
              <w:keepLines/>
              <w:ind w:left="-61" w:right="-41"/>
              <w:jc w:val="left"/>
              <w:rPr>
                <w:rFonts w:ascii="Arial Narrow" w:hAnsi="Arial Narrow"/>
                <w:b/>
                <w:sz w:val="20"/>
                <w:szCs w:val="20"/>
              </w:rPr>
            </w:pPr>
            <w:r w:rsidRPr="00ED7596">
              <w:rPr>
                <w:rFonts w:ascii="Arial Narrow" w:hAnsi="Arial Narrow"/>
                <w:b/>
                <w:sz w:val="20"/>
                <w:szCs w:val="20"/>
              </w:rPr>
              <w:t xml:space="preserve">Estimated </w:t>
            </w:r>
            <w:r w:rsidR="002D0B39">
              <w:rPr>
                <w:rFonts w:ascii="Arial Narrow" w:hAnsi="Arial Narrow"/>
                <w:b/>
                <w:sz w:val="20"/>
                <w:szCs w:val="20"/>
              </w:rPr>
              <w:t>financial implications</w:t>
            </w:r>
            <w:r w:rsidRPr="00ED7596">
              <w:rPr>
                <w:rFonts w:ascii="Arial Narrow" w:hAnsi="Arial Narrow"/>
                <w:b/>
                <w:sz w:val="20"/>
                <w:szCs w:val="20"/>
              </w:rPr>
              <w:t xml:space="preserve"> of brolucizumab</w:t>
            </w:r>
            <w:r w:rsidR="00DC15A7">
              <w:rPr>
                <w:rFonts w:ascii="Arial Narrow" w:hAnsi="Arial Narrow"/>
                <w:b/>
                <w:sz w:val="20"/>
                <w:szCs w:val="20"/>
              </w:rPr>
              <w:t xml:space="preserve"> </w:t>
            </w:r>
            <w:r w:rsidR="00DC15A7" w:rsidRPr="00580BF5">
              <w:rPr>
                <w:rFonts w:ascii="Arial Narrow" w:hAnsi="Arial Narrow"/>
                <w:b/>
                <w:bCs/>
                <w:sz w:val="20"/>
                <w:szCs w:val="20"/>
              </w:rPr>
              <w:t>(</w:t>
            </w:r>
            <w:r w:rsidR="00DC15A7" w:rsidRPr="00580BF5">
              <w:rPr>
                <w:rFonts w:ascii="Arial Narrow" w:hAnsi="Arial Narrow"/>
                <w:b/>
                <w:sz w:val="20"/>
                <w:szCs w:val="20"/>
              </w:rPr>
              <w:t>net cost to PBS/</w:t>
            </w:r>
            <w:proofErr w:type="spellStart"/>
            <w:r w:rsidR="00DC15A7" w:rsidRPr="00580BF5">
              <w:rPr>
                <w:rFonts w:ascii="Arial Narrow" w:hAnsi="Arial Narrow"/>
                <w:b/>
                <w:sz w:val="20"/>
                <w:szCs w:val="20"/>
              </w:rPr>
              <w:t>RPBS</w:t>
            </w:r>
            <w:r w:rsidR="00EF3FAD">
              <w:rPr>
                <w:rFonts w:ascii="Arial Narrow" w:hAnsi="Arial Narrow"/>
                <w:b/>
                <w:sz w:val="20"/>
                <w:szCs w:val="20"/>
                <w:vertAlign w:val="superscript"/>
              </w:rPr>
              <w:t>b</w:t>
            </w:r>
            <w:proofErr w:type="spellEnd"/>
            <w:r w:rsidR="00DC15A7" w:rsidRPr="00580BF5">
              <w:rPr>
                <w:rFonts w:ascii="Arial Narrow" w:hAnsi="Arial Narrow"/>
                <w:b/>
                <w:sz w:val="20"/>
                <w:szCs w:val="20"/>
              </w:rPr>
              <w:t>)</w:t>
            </w:r>
          </w:p>
        </w:tc>
      </w:tr>
      <w:tr w:rsidR="007558E2" w:rsidRPr="00B10854" w:rsidTr="007558E2">
        <w:trPr>
          <w:trHeight w:val="37"/>
        </w:trPr>
        <w:tc>
          <w:tcPr>
            <w:tcW w:w="1256" w:type="pct"/>
            <w:gridSpan w:val="2"/>
            <w:shd w:val="clear" w:color="auto" w:fill="auto"/>
            <w:vAlign w:val="bottom"/>
          </w:tcPr>
          <w:p w:rsidR="007558E2" w:rsidRPr="00EE5A10" w:rsidRDefault="00DC15A7" w:rsidP="007558E2">
            <w:pPr>
              <w:keepNext/>
              <w:keepLines/>
              <w:rPr>
                <w:rFonts w:ascii="Arial Narrow" w:hAnsi="Arial Narrow"/>
                <w:sz w:val="20"/>
                <w:szCs w:val="20"/>
              </w:rPr>
            </w:pPr>
            <w:r>
              <w:rPr>
                <w:rFonts w:ascii="Arial Narrow" w:hAnsi="Arial Narrow"/>
                <w:sz w:val="20"/>
                <w:szCs w:val="20"/>
              </w:rPr>
              <w:t>Brolucizumab</w:t>
            </w:r>
          </w:p>
        </w:tc>
        <w:tc>
          <w:tcPr>
            <w:tcW w:w="624" w:type="pct"/>
            <w:shd w:val="clear" w:color="auto" w:fill="auto"/>
            <w:noWrap/>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tcPr>
          <w:p w:rsidR="007558E2" w:rsidRPr="007558E2" w:rsidRDefault="007558E2" w:rsidP="007558E2">
            <w:pPr>
              <w:keepNext/>
              <w:keepLines/>
              <w:ind w:left="-61" w:right="-41"/>
              <w:jc w:val="right"/>
              <w:rPr>
                <w:rFonts w:ascii="Arial Narrow" w:hAnsi="Arial Narrow"/>
                <w:sz w:val="20"/>
                <w:szCs w:val="20"/>
              </w:rPr>
            </w:pPr>
            <w:r w:rsidRPr="007558E2">
              <w:rPr>
                <w:rFonts w:ascii="Arial Narrow" w:hAnsi="Arial Narrow"/>
                <w:sz w:val="20"/>
                <w:szCs w:val="20"/>
              </w:rPr>
              <w:t>$</w:t>
            </w:r>
            <w:r w:rsidR="00CA4AB3">
              <w:rPr>
                <w:rFonts w:ascii="Arial Narrow" w:hAnsi="Arial Narrow"/>
                <w:noProof/>
                <w:color w:val="000000"/>
                <w:sz w:val="20"/>
                <w:szCs w:val="20"/>
                <w:highlight w:val="black"/>
              </w:rPr>
              <w:t>'''''''''''''''''''''''''''</w:t>
            </w:r>
          </w:p>
        </w:tc>
      </w:tr>
      <w:tr w:rsidR="00B32482" w:rsidRPr="00B10854" w:rsidTr="00572EE6">
        <w:trPr>
          <w:trHeight w:val="148"/>
        </w:trPr>
        <w:tc>
          <w:tcPr>
            <w:tcW w:w="5000" w:type="pct"/>
            <w:gridSpan w:val="13"/>
            <w:shd w:val="clear" w:color="auto" w:fill="auto"/>
            <w:vAlign w:val="bottom"/>
          </w:tcPr>
          <w:p w:rsidR="00B32482" w:rsidRPr="00F73B98" w:rsidRDefault="00F73B98" w:rsidP="00B32482">
            <w:pPr>
              <w:keepNext/>
              <w:keepLines/>
              <w:ind w:left="-61" w:right="-41"/>
              <w:rPr>
                <w:rFonts w:ascii="Arial Narrow" w:hAnsi="Arial Narrow"/>
                <w:b/>
                <w:bCs/>
                <w:sz w:val="20"/>
                <w:szCs w:val="20"/>
              </w:rPr>
            </w:pPr>
            <w:r w:rsidRPr="00F73B98">
              <w:rPr>
                <w:rFonts w:ascii="Arial Narrow" w:hAnsi="Arial Narrow"/>
                <w:b/>
                <w:bCs/>
                <w:sz w:val="20"/>
                <w:szCs w:val="20"/>
              </w:rPr>
              <w:t xml:space="preserve">Estimated treatment displaced </w:t>
            </w:r>
          </w:p>
        </w:tc>
      </w:tr>
      <w:tr w:rsidR="00F73B98" w:rsidRPr="00B10854" w:rsidTr="00A02C5C">
        <w:trPr>
          <w:trHeight w:val="148"/>
        </w:trPr>
        <w:tc>
          <w:tcPr>
            <w:tcW w:w="784" w:type="pct"/>
            <w:shd w:val="clear" w:color="auto" w:fill="auto"/>
            <w:vAlign w:val="bottom"/>
          </w:tcPr>
          <w:p w:rsidR="00F73B98" w:rsidRPr="00F73B98" w:rsidRDefault="00F73B98" w:rsidP="00F73B98">
            <w:pPr>
              <w:keepNext/>
              <w:keepLines/>
              <w:rPr>
                <w:rFonts w:ascii="Arial Narrow" w:hAnsi="Arial Narrow"/>
                <w:bCs/>
                <w:sz w:val="20"/>
                <w:szCs w:val="20"/>
              </w:rPr>
            </w:pPr>
            <w:r w:rsidRPr="00F73B98">
              <w:rPr>
                <w:rFonts w:ascii="Arial Narrow" w:hAnsi="Arial Narrow"/>
                <w:bCs/>
                <w:sz w:val="20"/>
                <w:szCs w:val="20"/>
              </w:rPr>
              <w:t>Aflibercept</w:t>
            </w:r>
            <w:r>
              <w:rPr>
                <w:rFonts w:ascii="Arial Narrow" w:hAnsi="Arial Narrow"/>
                <w:bCs/>
                <w:sz w:val="20"/>
                <w:szCs w:val="20"/>
              </w:rPr>
              <w:t xml:space="preserve">  </w:t>
            </w:r>
          </w:p>
        </w:tc>
        <w:tc>
          <w:tcPr>
            <w:tcW w:w="472" w:type="pct"/>
            <w:shd w:val="clear" w:color="auto" w:fill="auto"/>
            <w:vAlign w:val="bottom"/>
          </w:tcPr>
          <w:p w:rsidR="00F73B98" w:rsidRPr="00F73B98" w:rsidRDefault="00F73B98" w:rsidP="00F73B98">
            <w:pPr>
              <w:keepNext/>
              <w:keepLines/>
              <w:rPr>
                <w:rFonts w:ascii="Arial Narrow" w:hAnsi="Arial Narrow"/>
                <w:bCs/>
                <w:sz w:val="20"/>
                <w:szCs w:val="20"/>
              </w:rPr>
            </w:pPr>
            <w:r>
              <w:rPr>
                <w:rFonts w:ascii="Arial Narrow" w:hAnsi="Arial Narrow"/>
                <w:bCs/>
                <w:sz w:val="20"/>
                <w:szCs w:val="20"/>
              </w:rPr>
              <w:t>2168D</w:t>
            </w:r>
          </w:p>
        </w:tc>
        <w:tc>
          <w:tcPr>
            <w:tcW w:w="624" w:type="pct"/>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73,989</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100,805</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125,054</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144,064</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161,906</w:t>
            </w:r>
          </w:p>
        </w:tc>
        <w:tc>
          <w:tcPr>
            <w:tcW w:w="624" w:type="pct"/>
            <w:gridSpan w:val="2"/>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171,808</w:t>
            </w:r>
          </w:p>
        </w:tc>
      </w:tr>
      <w:tr w:rsidR="00F73B98" w:rsidRPr="00B10854" w:rsidTr="00A02C5C">
        <w:trPr>
          <w:trHeight w:val="148"/>
        </w:trPr>
        <w:tc>
          <w:tcPr>
            <w:tcW w:w="784" w:type="pct"/>
            <w:shd w:val="clear" w:color="auto" w:fill="auto"/>
            <w:vAlign w:val="bottom"/>
          </w:tcPr>
          <w:p w:rsidR="00F73B98" w:rsidRPr="00F73B98" w:rsidRDefault="00F73B98" w:rsidP="00F73B98">
            <w:pPr>
              <w:keepNext/>
              <w:keepLines/>
              <w:rPr>
                <w:rFonts w:ascii="Arial Narrow" w:hAnsi="Arial Narrow"/>
                <w:bCs/>
                <w:sz w:val="20"/>
                <w:szCs w:val="20"/>
              </w:rPr>
            </w:pPr>
            <w:r>
              <w:rPr>
                <w:rFonts w:ascii="Arial Narrow" w:hAnsi="Arial Narrow"/>
                <w:bCs/>
                <w:sz w:val="20"/>
                <w:szCs w:val="20"/>
              </w:rPr>
              <w:t xml:space="preserve">Ranibizumab  </w:t>
            </w:r>
          </w:p>
        </w:tc>
        <w:tc>
          <w:tcPr>
            <w:tcW w:w="472" w:type="pct"/>
            <w:shd w:val="clear" w:color="auto" w:fill="auto"/>
            <w:vAlign w:val="bottom"/>
          </w:tcPr>
          <w:p w:rsidR="00F73B98" w:rsidRPr="00F73B98" w:rsidRDefault="00F73B98" w:rsidP="00F73B98">
            <w:pPr>
              <w:keepNext/>
              <w:keepLines/>
              <w:rPr>
                <w:rFonts w:ascii="Arial Narrow" w:hAnsi="Arial Narrow"/>
                <w:bCs/>
                <w:sz w:val="20"/>
                <w:szCs w:val="20"/>
              </w:rPr>
            </w:pPr>
            <w:r>
              <w:rPr>
                <w:rFonts w:ascii="Arial Narrow" w:hAnsi="Arial Narrow"/>
                <w:bCs/>
                <w:sz w:val="20"/>
                <w:szCs w:val="20"/>
              </w:rPr>
              <w:t>10138N</w:t>
            </w:r>
          </w:p>
        </w:tc>
        <w:tc>
          <w:tcPr>
            <w:tcW w:w="624" w:type="pct"/>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42,317</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54,985</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64,422</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70,715</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75,724</w:t>
            </w:r>
          </w:p>
        </w:tc>
        <w:tc>
          <w:tcPr>
            <w:tcW w:w="624" w:type="pct"/>
            <w:gridSpan w:val="2"/>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76,528</w:t>
            </w:r>
          </w:p>
        </w:tc>
      </w:tr>
      <w:tr w:rsidR="00F73B98" w:rsidRPr="00B10854" w:rsidTr="00A02C5C">
        <w:trPr>
          <w:trHeight w:val="148"/>
        </w:trPr>
        <w:tc>
          <w:tcPr>
            <w:tcW w:w="784" w:type="pct"/>
            <w:shd w:val="clear" w:color="auto" w:fill="auto"/>
            <w:vAlign w:val="bottom"/>
          </w:tcPr>
          <w:p w:rsidR="00F73B98" w:rsidRPr="00F73B98" w:rsidRDefault="00F73B98" w:rsidP="00F73B98">
            <w:pPr>
              <w:keepNext/>
              <w:keepLines/>
              <w:rPr>
                <w:rFonts w:ascii="Arial Narrow" w:hAnsi="Arial Narrow"/>
                <w:bCs/>
                <w:sz w:val="20"/>
                <w:szCs w:val="20"/>
              </w:rPr>
            </w:pPr>
            <w:r>
              <w:rPr>
                <w:rFonts w:ascii="Arial Narrow" w:hAnsi="Arial Narrow"/>
                <w:bCs/>
                <w:sz w:val="20"/>
                <w:szCs w:val="20"/>
              </w:rPr>
              <w:t xml:space="preserve">Ranibizumab  </w:t>
            </w:r>
          </w:p>
        </w:tc>
        <w:tc>
          <w:tcPr>
            <w:tcW w:w="472" w:type="pct"/>
            <w:shd w:val="clear" w:color="auto" w:fill="auto"/>
            <w:vAlign w:val="bottom"/>
          </w:tcPr>
          <w:p w:rsidR="00F73B98" w:rsidRPr="00F73B98" w:rsidRDefault="00F73B98" w:rsidP="00F73B98">
            <w:pPr>
              <w:keepNext/>
              <w:keepLines/>
              <w:rPr>
                <w:rFonts w:ascii="Arial Narrow" w:hAnsi="Arial Narrow"/>
                <w:bCs/>
                <w:sz w:val="20"/>
                <w:szCs w:val="20"/>
              </w:rPr>
            </w:pPr>
            <w:r w:rsidRPr="00F73B98">
              <w:rPr>
                <w:rFonts w:ascii="Arial Narrow" w:hAnsi="Arial Narrow"/>
                <w:bCs/>
                <w:sz w:val="20"/>
                <w:szCs w:val="20"/>
              </w:rPr>
              <w:t>1382R</w:t>
            </w:r>
          </w:p>
        </w:tc>
        <w:tc>
          <w:tcPr>
            <w:tcW w:w="624" w:type="pct"/>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1,528</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1,349</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1,085</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825</w:t>
            </w:r>
          </w:p>
        </w:tc>
        <w:tc>
          <w:tcPr>
            <w:tcW w:w="624" w:type="pct"/>
            <w:gridSpan w:val="2"/>
            <w:shd w:val="clear" w:color="auto" w:fill="auto"/>
            <w:noWrap/>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612</w:t>
            </w:r>
          </w:p>
        </w:tc>
        <w:tc>
          <w:tcPr>
            <w:tcW w:w="624" w:type="pct"/>
            <w:gridSpan w:val="2"/>
            <w:vAlign w:val="center"/>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433</w:t>
            </w:r>
          </w:p>
        </w:tc>
      </w:tr>
      <w:tr w:rsidR="00F73B98" w:rsidRPr="00B10854" w:rsidTr="00A02C5C">
        <w:trPr>
          <w:trHeight w:val="148"/>
        </w:trPr>
        <w:tc>
          <w:tcPr>
            <w:tcW w:w="1256" w:type="pct"/>
            <w:gridSpan w:val="2"/>
            <w:shd w:val="clear" w:color="auto" w:fill="auto"/>
            <w:vAlign w:val="bottom"/>
          </w:tcPr>
          <w:p w:rsidR="00F73B98" w:rsidRPr="00F73B98" w:rsidRDefault="00F73B98" w:rsidP="00F73B98">
            <w:pPr>
              <w:keepNext/>
              <w:keepLines/>
              <w:rPr>
                <w:rFonts w:ascii="Arial Narrow" w:hAnsi="Arial Narrow"/>
                <w:bCs/>
                <w:sz w:val="20"/>
                <w:szCs w:val="20"/>
              </w:rPr>
            </w:pPr>
            <w:r>
              <w:rPr>
                <w:rFonts w:ascii="Arial Narrow" w:hAnsi="Arial Narrow"/>
                <w:bCs/>
                <w:sz w:val="20"/>
                <w:szCs w:val="20"/>
              </w:rPr>
              <w:t>Total</w:t>
            </w:r>
          </w:p>
        </w:tc>
        <w:tc>
          <w:tcPr>
            <w:tcW w:w="624" w:type="pct"/>
            <w:shd w:val="clear" w:color="auto" w:fill="auto"/>
            <w:noWrap/>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117,834</w:t>
            </w:r>
          </w:p>
        </w:tc>
        <w:tc>
          <w:tcPr>
            <w:tcW w:w="624" w:type="pct"/>
            <w:gridSpan w:val="2"/>
            <w:shd w:val="clear" w:color="auto" w:fill="auto"/>
            <w:noWrap/>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157,139</w:t>
            </w:r>
          </w:p>
        </w:tc>
        <w:tc>
          <w:tcPr>
            <w:tcW w:w="624" w:type="pct"/>
            <w:gridSpan w:val="2"/>
            <w:shd w:val="clear" w:color="auto" w:fill="auto"/>
            <w:noWrap/>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190,561</w:t>
            </w:r>
          </w:p>
        </w:tc>
        <w:tc>
          <w:tcPr>
            <w:tcW w:w="624" w:type="pct"/>
            <w:gridSpan w:val="2"/>
            <w:shd w:val="clear" w:color="auto" w:fill="auto"/>
            <w:noWrap/>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215,604</w:t>
            </w:r>
          </w:p>
        </w:tc>
        <w:tc>
          <w:tcPr>
            <w:tcW w:w="624" w:type="pct"/>
            <w:gridSpan w:val="2"/>
            <w:shd w:val="clear" w:color="auto" w:fill="auto"/>
            <w:noWrap/>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238,242</w:t>
            </w:r>
          </w:p>
        </w:tc>
        <w:tc>
          <w:tcPr>
            <w:tcW w:w="624" w:type="pct"/>
            <w:gridSpan w:val="2"/>
          </w:tcPr>
          <w:p w:rsidR="00F73B98" w:rsidRPr="00F73B98" w:rsidRDefault="00F73B98" w:rsidP="00F73B98">
            <w:pPr>
              <w:keepNext/>
              <w:keepLines/>
              <w:ind w:left="-61" w:right="-41"/>
              <w:jc w:val="right"/>
              <w:rPr>
                <w:rFonts w:ascii="Arial Narrow" w:hAnsi="Arial Narrow"/>
                <w:b/>
                <w:bCs/>
                <w:sz w:val="20"/>
                <w:szCs w:val="20"/>
                <w:highlight w:val="lightGray"/>
              </w:rPr>
            </w:pPr>
            <w:r w:rsidRPr="00F73B98">
              <w:rPr>
                <w:rFonts w:ascii="Arial Narrow" w:hAnsi="Arial Narrow"/>
                <w:sz w:val="20"/>
                <w:szCs w:val="20"/>
              </w:rPr>
              <w:t>248,769</w:t>
            </w:r>
          </w:p>
        </w:tc>
      </w:tr>
      <w:tr w:rsidR="00781379" w:rsidRPr="00F73B98" w:rsidTr="00A02C5C">
        <w:trPr>
          <w:trHeight w:val="148"/>
        </w:trPr>
        <w:tc>
          <w:tcPr>
            <w:tcW w:w="5000" w:type="pct"/>
            <w:gridSpan w:val="13"/>
            <w:shd w:val="clear" w:color="auto" w:fill="auto"/>
            <w:vAlign w:val="bottom"/>
          </w:tcPr>
          <w:p w:rsidR="00781379" w:rsidRPr="00580BF5" w:rsidRDefault="00781379" w:rsidP="00A02C5C">
            <w:pPr>
              <w:keepNext/>
              <w:keepLines/>
              <w:ind w:left="-61" w:right="-41"/>
              <w:rPr>
                <w:rFonts w:ascii="Arial Narrow" w:hAnsi="Arial Narrow"/>
                <w:b/>
                <w:bCs/>
                <w:sz w:val="20"/>
                <w:szCs w:val="20"/>
              </w:rPr>
            </w:pPr>
            <w:r w:rsidRPr="00F73B98">
              <w:rPr>
                <w:rFonts w:ascii="Arial Narrow" w:hAnsi="Arial Narrow"/>
                <w:b/>
                <w:bCs/>
                <w:sz w:val="20"/>
                <w:szCs w:val="20"/>
              </w:rPr>
              <w:t xml:space="preserve">Estimated </w:t>
            </w:r>
            <w:r>
              <w:rPr>
                <w:rFonts w:ascii="Arial Narrow" w:hAnsi="Arial Narrow"/>
                <w:b/>
                <w:bCs/>
                <w:sz w:val="20"/>
                <w:szCs w:val="20"/>
              </w:rPr>
              <w:t xml:space="preserve">financial implications of </w:t>
            </w:r>
            <w:r w:rsidRPr="00F73B98">
              <w:rPr>
                <w:rFonts w:ascii="Arial Narrow" w:hAnsi="Arial Narrow"/>
                <w:b/>
                <w:bCs/>
                <w:sz w:val="20"/>
                <w:szCs w:val="20"/>
              </w:rPr>
              <w:t xml:space="preserve">treatment </w:t>
            </w:r>
            <w:r w:rsidRPr="00580BF5">
              <w:rPr>
                <w:rFonts w:ascii="Arial Narrow" w:hAnsi="Arial Narrow"/>
                <w:b/>
                <w:bCs/>
                <w:sz w:val="20"/>
                <w:szCs w:val="20"/>
              </w:rPr>
              <w:t xml:space="preserve">displaced </w:t>
            </w:r>
            <w:r w:rsidR="00580BF5" w:rsidRPr="00580BF5">
              <w:rPr>
                <w:rFonts w:ascii="Arial Narrow" w:hAnsi="Arial Narrow"/>
                <w:b/>
                <w:bCs/>
                <w:sz w:val="20"/>
                <w:szCs w:val="20"/>
              </w:rPr>
              <w:t>(</w:t>
            </w:r>
            <w:r w:rsidR="00580BF5" w:rsidRPr="00580BF5">
              <w:rPr>
                <w:rFonts w:ascii="Arial Narrow" w:hAnsi="Arial Narrow"/>
                <w:b/>
                <w:sz w:val="20"/>
                <w:szCs w:val="20"/>
              </w:rPr>
              <w:t>net cost to PBS/</w:t>
            </w:r>
            <w:proofErr w:type="spellStart"/>
            <w:r w:rsidR="00580BF5" w:rsidRPr="00580BF5">
              <w:rPr>
                <w:rFonts w:ascii="Arial Narrow" w:hAnsi="Arial Narrow"/>
                <w:b/>
                <w:sz w:val="20"/>
                <w:szCs w:val="20"/>
              </w:rPr>
              <w:t>RPBS</w:t>
            </w:r>
            <w:r w:rsidR="00EF3FAD">
              <w:rPr>
                <w:rFonts w:ascii="Arial Narrow" w:hAnsi="Arial Narrow"/>
                <w:b/>
                <w:sz w:val="20"/>
                <w:szCs w:val="20"/>
                <w:vertAlign w:val="superscript"/>
              </w:rPr>
              <w:t>b</w:t>
            </w:r>
            <w:proofErr w:type="spellEnd"/>
            <w:r w:rsidR="00580BF5" w:rsidRPr="00580BF5">
              <w:rPr>
                <w:rFonts w:ascii="Arial Narrow" w:hAnsi="Arial Narrow"/>
                <w:b/>
                <w:sz w:val="20"/>
                <w:szCs w:val="20"/>
              </w:rPr>
              <w:t>)</w:t>
            </w:r>
          </w:p>
        </w:tc>
      </w:tr>
      <w:tr w:rsidR="00580BF5" w:rsidRPr="00B10854" w:rsidTr="00781379">
        <w:trPr>
          <w:trHeight w:val="148"/>
        </w:trPr>
        <w:tc>
          <w:tcPr>
            <w:tcW w:w="784" w:type="pct"/>
            <w:shd w:val="clear" w:color="auto" w:fill="auto"/>
            <w:vAlign w:val="bottom"/>
          </w:tcPr>
          <w:p w:rsidR="00580BF5" w:rsidRDefault="00580BF5" w:rsidP="00580BF5">
            <w:pPr>
              <w:keepNext/>
              <w:keepLines/>
              <w:rPr>
                <w:rFonts w:ascii="Arial Narrow" w:hAnsi="Arial Narrow"/>
                <w:bCs/>
                <w:sz w:val="20"/>
                <w:szCs w:val="20"/>
              </w:rPr>
            </w:pPr>
            <w:r w:rsidRPr="00F73B98">
              <w:rPr>
                <w:rFonts w:ascii="Arial Narrow" w:hAnsi="Arial Narrow"/>
                <w:bCs/>
                <w:sz w:val="20"/>
                <w:szCs w:val="20"/>
              </w:rPr>
              <w:t>Aflibercept</w:t>
            </w:r>
            <w:r>
              <w:rPr>
                <w:rFonts w:ascii="Arial Narrow" w:hAnsi="Arial Narrow"/>
                <w:bCs/>
                <w:sz w:val="20"/>
                <w:szCs w:val="20"/>
              </w:rPr>
              <w:t xml:space="preserve">  </w:t>
            </w:r>
          </w:p>
        </w:tc>
        <w:tc>
          <w:tcPr>
            <w:tcW w:w="472" w:type="pct"/>
            <w:shd w:val="clear" w:color="auto" w:fill="auto"/>
            <w:vAlign w:val="bottom"/>
          </w:tcPr>
          <w:p w:rsidR="00580BF5" w:rsidRDefault="00580BF5" w:rsidP="00580BF5">
            <w:pPr>
              <w:keepNext/>
              <w:keepLines/>
              <w:rPr>
                <w:rFonts w:ascii="Arial Narrow" w:hAnsi="Arial Narrow"/>
                <w:bCs/>
                <w:sz w:val="20"/>
                <w:szCs w:val="20"/>
              </w:rPr>
            </w:pPr>
            <w:r>
              <w:rPr>
                <w:rFonts w:ascii="Arial Narrow" w:hAnsi="Arial Narrow"/>
                <w:bCs/>
                <w:sz w:val="20"/>
                <w:szCs w:val="20"/>
              </w:rPr>
              <w:t>2168D</w:t>
            </w:r>
          </w:p>
        </w:tc>
        <w:tc>
          <w:tcPr>
            <w:tcW w:w="624" w:type="pct"/>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r>
      <w:tr w:rsidR="00580BF5" w:rsidRPr="00B10854" w:rsidTr="00781379">
        <w:trPr>
          <w:trHeight w:val="148"/>
        </w:trPr>
        <w:tc>
          <w:tcPr>
            <w:tcW w:w="784" w:type="pct"/>
            <w:shd w:val="clear" w:color="auto" w:fill="auto"/>
            <w:vAlign w:val="bottom"/>
          </w:tcPr>
          <w:p w:rsidR="00580BF5" w:rsidRDefault="00580BF5" w:rsidP="00580BF5">
            <w:pPr>
              <w:keepNext/>
              <w:keepLines/>
              <w:rPr>
                <w:rFonts w:ascii="Arial Narrow" w:hAnsi="Arial Narrow"/>
                <w:bCs/>
                <w:sz w:val="20"/>
                <w:szCs w:val="20"/>
              </w:rPr>
            </w:pPr>
            <w:r>
              <w:rPr>
                <w:rFonts w:ascii="Arial Narrow" w:hAnsi="Arial Narrow"/>
                <w:bCs/>
                <w:sz w:val="20"/>
                <w:szCs w:val="20"/>
              </w:rPr>
              <w:t xml:space="preserve">Ranibizumab  </w:t>
            </w:r>
          </w:p>
        </w:tc>
        <w:tc>
          <w:tcPr>
            <w:tcW w:w="472" w:type="pct"/>
            <w:shd w:val="clear" w:color="auto" w:fill="auto"/>
            <w:vAlign w:val="bottom"/>
          </w:tcPr>
          <w:p w:rsidR="00580BF5" w:rsidRDefault="00580BF5" w:rsidP="00580BF5">
            <w:pPr>
              <w:keepNext/>
              <w:keepLines/>
              <w:rPr>
                <w:rFonts w:ascii="Arial Narrow" w:hAnsi="Arial Narrow"/>
                <w:bCs/>
                <w:sz w:val="20"/>
                <w:szCs w:val="20"/>
              </w:rPr>
            </w:pPr>
            <w:r>
              <w:rPr>
                <w:rFonts w:ascii="Arial Narrow" w:hAnsi="Arial Narrow"/>
                <w:bCs/>
                <w:sz w:val="20"/>
                <w:szCs w:val="20"/>
              </w:rPr>
              <w:t>10138N</w:t>
            </w:r>
          </w:p>
        </w:tc>
        <w:tc>
          <w:tcPr>
            <w:tcW w:w="624" w:type="pct"/>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r>
      <w:tr w:rsidR="00580BF5" w:rsidRPr="00B10854" w:rsidTr="00781379">
        <w:trPr>
          <w:trHeight w:val="148"/>
        </w:trPr>
        <w:tc>
          <w:tcPr>
            <w:tcW w:w="784" w:type="pct"/>
            <w:shd w:val="clear" w:color="auto" w:fill="auto"/>
            <w:vAlign w:val="bottom"/>
          </w:tcPr>
          <w:p w:rsidR="00580BF5" w:rsidRDefault="00580BF5" w:rsidP="00580BF5">
            <w:pPr>
              <w:keepNext/>
              <w:keepLines/>
              <w:rPr>
                <w:rFonts w:ascii="Arial Narrow" w:hAnsi="Arial Narrow"/>
                <w:bCs/>
                <w:sz w:val="20"/>
                <w:szCs w:val="20"/>
              </w:rPr>
            </w:pPr>
            <w:r>
              <w:rPr>
                <w:rFonts w:ascii="Arial Narrow" w:hAnsi="Arial Narrow"/>
                <w:bCs/>
                <w:sz w:val="20"/>
                <w:szCs w:val="20"/>
              </w:rPr>
              <w:t xml:space="preserve">Ranibizumab  </w:t>
            </w:r>
          </w:p>
        </w:tc>
        <w:tc>
          <w:tcPr>
            <w:tcW w:w="472" w:type="pct"/>
            <w:shd w:val="clear" w:color="auto" w:fill="auto"/>
            <w:vAlign w:val="bottom"/>
          </w:tcPr>
          <w:p w:rsidR="00580BF5" w:rsidRDefault="00580BF5" w:rsidP="00580BF5">
            <w:pPr>
              <w:keepNext/>
              <w:keepLines/>
              <w:rPr>
                <w:rFonts w:ascii="Arial Narrow" w:hAnsi="Arial Narrow"/>
                <w:bCs/>
                <w:sz w:val="20"/>
                <w:szCs w:val="20"/>
              </w:rPr>
            </w:pPr>
            <w:r w:rsidRPr="00F73B98">
              <w:rPr>
                <w:rFonts w:ascii="Arial Narrow" w:hAnsi="Arial Narrow"/>
                <w:bCs/>
                <w:sz w:val="20"/>
                <w:szCs w:val="20"/>
              </w:rPr>
              <w:t>1382R</w:t>
            </w:r>
          </w:p>
        </w:tc>
        <w:tc>
          <w:tcPr>
            <w:tcW w:w="624" w:type="pct"/>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r>
      <w:tr w:rsidR="00580BF5" w:rsidRPr="00B10854" w:rsidTr="00A02C5C">
        <w:trPr>
          <w:trHeight w:val="148"/>
        </w:trPr>
        <w:tc>
          <w:tcPr>
            <w:tcW w:w="1256" w:type="pct"/>
            <w:gridSpan w:val="2"/>
            <w:shd w:val="clear" w:color="auto" w:fill="auto"/>
            <w:vAlign w:val="bottom"/>
          </w:tcPr>
          <w:p w:rsidR="00580BF5" w:rsidRDefault="00580BF5" w:rsidP="00580BF5">
            <w:pPr>
              <w:keepNext/>
              <w:keepLines/>
              <w:rPr>
                <w:rFonts w:ascii="Arial Narrow" w:hAnsi="Arial Narrow"/>
                <w:bCs/>
                <w:sz w:val="20"/>
                <w:szCs w:val="20"/>
              </w:rPr>
            </w:pPr>
            <w:r>
              <w:rPr>
                <w:rFonts w:ascii="Arial Narrow" w:hAnsi="Arial Narrow"/>
                <w:bCs/>
                <w:sz w:val="20"/>
                <w:szCs w:val="20"/>
              </w:rPr>
              <w:t>Total</w:t>
            </w:r>
          </w:p>
        </w:tc>
        <w:tc>
          <w:tcPr>
            <w:tcW w:w="624" w:type="pct"/>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c>
          <w:tcPr>
            <w:tcW w:w="624" w:type="pct"/>
            <w:gridSpan w:val="2"/>
          </w:tcPr>
          <w:p w:rsidR="00580BF5" w:rsidRPr="00580BF5" w:rsidRDefault="00580BF5" w:rsidP="00580BF5">
            <w:pPr>
              <w:keepNext/>
              <w:keepLines/>
              <w:ind w:left="-61" w:right="-41"/>
              <w:jc w:val="right"/>
              <w:rPr>
                <w:rFonts w:ascii="Arial Narrow" w:hAnsi="Arial Narrow"/>
                <w:sz w:val="20"/>
                <w:szCs w:val="20"/>
              </w:rPr>
            </w:pPr>
            <w:r w:rsidRPr="00580BF5">
              <w:rPr>
                <w:rFonts w:ascii="Arial Narrow" w:hAnsi="Arial Narrow"/>
                <w:sz w:val="20"/>
                <w:szCs w:val="20"/>
              </w:rPr>
              <w:t>$</w:t>
            </w:r>
            <w:r w:rsidR="00CA4AB3">
              <w:rPr>
                <w:rFonts w:ascii="Arial Narrow" w:hAnsi="Arial Narrow"/>
                <w:noProof/>
                <w:color w:val="000000"/>
                <w:sz w:val="20"/>
                <w:szCs w:val="20"/>
                <w:highlight w:val="black"/>
              </w:rPr>
              <w:t>'''''''''''''''''''''''''''''</w:t>
            </w:r>
          </w:p>
        </w:tc>
      </w:tr>
      <w:tr w:rsidR="00580BF5" w:rsidRPr="00580BF5" w:rsidTr="00A02C5C">
        <w:trPr>
          <w:trHeight w:val="148"/>
        </w:trPr>
        <w:tc>
          <w:tcPr>
            <w:tcW w:w="5000" w:type="pct"/>
            <w:gridSpan w:val="13"/>
            <w:shd w:val="clear" w:color="auto" w:fill="auto"/>
            <w:vAlign w:val="bottom"/>
          </w:tcPr>
          <w:p w:rsidR="00580BF5" w:rsidRPr="00580BF5" w:rsidRDefault="00580BF5" w:rsidP="00A02C5C">
            <w:pPr>
              <w:keepNext/>
              <w:keepLines/>
              <w:ind w:left="-61" w:right="-41"/>
              <w:rPr>
                <w:rFonts w:ascii="Arial Narrow" w:hAnsi="Arial Narrow"/>
                <w:b/>
                <w:bCs/>
                <w:sz w:val="20"/>
                <w:szCs w:val="20"/>
              </w:rPr>
            </w:pPr>
            <w:r>
              <w:rPr>
                <w:rFonts w:ascii="Arial Narrow" w:hAnsi="Arial Narrow"/>
                <w:b/>
                <w:bCs/>
                <w:sz w:val="20"/>
                <w:szCs w:val="20"/>
              </w:rPr>
              <w:t>Net financial implications</w:t>
            </w:r>
          </w:p>
        </w:tc>
      </w:tr>
      <w:tr w:rsidR="00580BF5" w:rsidRPr="00B10854" w:rsidTr="00A02C5C">
        <w:trPr>
          <w:trHeight w:val="148"/>
        </w:trPr>
        <w:tc>
          <w:tcPr>
            <w:tcW w:w="1256" w:type="pct"/>
            <w:gridSpan w:val="2"/>
            <w:shd w:val="clear" w:color="auto" w:fill="auto"/>
            <w:vAlign w:val="bottom"/>
          </w:tcPr>
          <w:p w:rsidR="00580BF5" w:rsidRPr="00044B01" w:rsidRDefault="00580BF5" w:rsidP="00580BF5">
            <w:pPr>
              <w:keepNext/>
              <w:keepLines/>
              <w:rPr>
                <w:rFonts w:ascii="Arial Narrow" w:hAnsi="Arial Narrow"/>
                <w:sz w:val="20"/>
                <w:szCs w:val="20"/>
                <w:highlight w:val="lightGray"/>
                <w:vertAlign w:val="superscript"/>
              </w:rPr>
            </w:pPr>
            <w:r w:rsidRPr="00EE5A10">
              <w:rPr>
                <w:rFonts w:ascii="Arial Narrow" w:hAnsi="Arial Narrow"/>
                <w:sz w:val="20"/>
                <w:szCs w:val="20"/>
              </w:rPr>
              <w:t>MBS net cost</w:t>
            </w:r>
          </w:p>
        </w:tc>
        <w:tc>
          <w:tcPr>
            <w:tcW w:w="624" w:type="pct"/>
            <w:shd w:val="clear" w:color="auto" w:fill="auto"/>
            <w:noWrap/>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c>
          <w:tcPr>
            <w:tcW w:w="624" w:type="pct"/>
            <w:gridSpan w:val="2"/>
            <w:shd w:val="clear" w:color="auto" w:fill="auto"/>
            <w:noWrap/>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c>
          <w:tcPr>
            <w:tcW w:w="624" w:type="pct"/>
            <w:gridSpan w:val="2"/>
          </w:tcPr>
          <w:p w:rsidR="00580BF5" w:rsidRPr="00580BF5" w:rsidRDefault="00580BF5" w:rsidP="00580BF5">
            <w:pPr>
              <w:keepNext/>
              <w:keepLines/>
              <w:ind w:left="-61" w:right="-41"/>
              <w:jc w:val="right"/>
              <w:rPr>
                <w:rFonts w:ascii="Arial Narrow" w:hAnsi="Arial Narrow"/>
                <w:sz w:val="20"/>
                <w:szCs w:val="20"/>
                <w:highlight w:val="lightGray"/>
              </w:rPr>
            </w:pPr>
            <w:r w:rsidRPr="00580BF5">
              <w:rPr>
                <w:rFonts w:ascii="Arial Narrow" w:hAnsi="Arial Narrow"/>
                <w:sz w:val="20"/>
                <w:szCs w:val="20"/>
              </w:rPr>
              <w:t>$0</w:t>
            </w:r>
          </w:p>
        </w:tc>
      </w:tr>
      <w:tr w:rsidR="008D7862" w:rsidRPr="00B10854" w:rsidTr="00A02C5C">
        <w:trPr>
          <w:trHeight w:val="148"/>
        </w:trPr>
        <w:tc>
          <w:tcPr>
            <w:tcW w:w="1256" w:type="pct"/>
            <w:gridSpan w:val="2"/>
            <w:shd w:val="clear" w:color="auto" w:fill="auto"/>
            <w:vAlign w:val="bottom"/>
          </w:tcPr>
          <w:p w:rsidR="008D7862" w:rsidRPr="00B10854" w:rsidRDefault="008D7862" w:rsidP="008D7862">
            <w:pPr>
              <w:keepNext/>
              <w:keepLines/>
              <w:rPr>
                <w:rFonts w:ascii="Arial Narrow" w:hAnsi="Arial Narrow"/>
                <w:sz w:val="20"/>
                <w:szCs w:val="20"/>
                <w:highlight w:val="lightGray"/>
              </w:rPr>
            </w:pPr>
            <w:r>
              <w:rPr>
                <w:rFonts w:ascii="Arial Narrow" w:hAnsi="Arial Narrow"/>
                <w:sz w:val="20"/>
                <w:szCs w:val="20"/>
              </w:rPr>
              <w:t>Net cost to PBS/RPBS/MBS</w:t>
            </w:r>
          </w:p>
        </w:tc>
        <w:tc>
          <w:tcPr>
            <w:tcW w:w="624" w:type="pct"/>
            <w:shd w:val="clear" w:color="auto" w:fill="auto"/>
            <w:noWrap/>
            <w:vAlign w:val="bottom"/>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gridSpan w:val="2"/>
            <w:shd w:val="clear" w:color="auto" w:fill="auto"/>
            <w:noWrap/>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624" w:type="pct"/>
            <w:gridSpan w:val="2"/>
          </w:tcPr>
          <w:p w:rsidR="008D7862" w:rsidRPr="00CA4AB3" w:rsidRDefault="00CA4AB3" w:rsidP="008D7862">
            <w:pPr>
              <w:keepNext/>
              <w:keepLines/>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3372CB" w:rsidRPr="00B10854" w:rsidTr="007558E2">
        <w:trPr>
          <w:trHeight w:val="148"/>
        </w:trPr>
        <w:tc>
          <w:tcPr>
            <w:tcW w:w="1256" w:type="pct"/>
            <w:gridSpan w:val="2"/>
            <w:shd w:val="clear" w:color="auto" w:fill="D9D9D9" w:themeFill="background1" w:themeFillShade="D9"/>
            <w:vAlign w:val="bottom"/>
          </w:tcPr>
          <w:p w:rsidR="003372CB" w:rsidRPr="00F16AE8" w:rsidDel="008626CB" w:rsidRDefault="003372CB" w:rsidP="003372CB">
            <w:pPr>
              <w:keepNext/>
              <w:keepLines/>
              <w:rPr>
                <w:rFonts w:ascii="Arial Narrow" w:hAnsi="Arial Narrow"/>
                <w:sz w:val="20"/>
                <w:szCs w:val="20"/>
                <w:vertAlign w:val="superscript"/>
              </w:rPr>
            </w:pPr>
            <w:r>
              <w:rPr>
                <w:rFonts w:ascii="Arial Narrow" w:hAnsi="Arial Narrow"/>
                <w:sz w:val="20"/>
                <w:szCs w:val="20"/>
              </w:rPr>
              <w:t xml:space="preserve">Previous </w:t>
            </w:r>
            <w:proofErr w:type="spellStart"/>
            <w:r>
              <w:rPr>
                <w:rFonts w:ascii="Arial Narrow" w:hAnsi="Arial Narrow"/>
                <w:sz w:val="20"/>
                <w:szCs w:val="20"/>
              </w:rPr>
              <w:t>submission</w:t>
            </w:r>
            <w:r w:rsidR="00EF3FAD">
              <w:rPr>
                <w:rFonts w:ascii="Arial Narrow" w:hAnsi="Arial Narrow"/>
                <w:sz w:val="20"/>
                <w:szCs w:val="20"/>
                <w:vertAlign w:val="superscript"/>
              </w:rPr>
              <w:t>c</w:t>
            </w:r>
            <w:proofErr w:type="spellEnd"/>
          </w:p>
        </w:tc>
        <w:tc>
          <w:tcPr>
            <w:tcW w:w="624" w:type="pct"/>
            <w:shd w:val="clear" w:color="auto" w:fill="D9D9D9" w:themeFill="background1" w:themeFillShade="D9"/>
            <w:noWrap/>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$3,976,505 </w:t>
            </w:r>
          </w:p>
        </w:tc>
        <w:tc>
          <w:tcPr>
            <w:tcW w:w="624" w:type="pct"/>
            <w:gridSpan w:val="2"/>
            <w:shd w:val="clear" w:color="auto" w:fill="D9D9D9" w:themeFill="background1" w:themeFillShade="D9"/>
            <w:noWrap/>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$6,482,055 </w:t>
            </w:r>
          </w:p>
        </w:tc>
        <w:tc>
          <w:tcPr>
            <w:tcW w:w="624" w:type="pct"/>
            <w:gridSpan w:val="2"/>
            <w:shd w:val="clear" w:color="auto" w:fill="D9D9D9" w:themeFill="background1" w:themeFillShade="D9"/>
            <w:noWrap/>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$3,348,958 </w:t>
            </w:r>
          </w:p>
        </w:tc>
        <w:tc>
          <w:tcPr>
            <w:tcW w:w="624" w:type="pct"/>
            <w:gridSpan w:val="2"/>
            <w:shd w:val="clear" w:color="auto" w:fill="D9D9D9" w:themeFill="background1" w:themeFillShade="D9"/>
            <w:noWrap/>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-$470,795 </w:t>
            </w:r>
          </w:p>
        </w:tc>
        <w:tc>
          <w:tcPr>
            <w:tcW w:w="624" w:type="pct"/>
            <w:gridSpan w:val="2"/>
            <w:shd w:val="clear" w:color="auto" w:fill="D9D9D9" w:themeFill="background1" w:themeFillShade="D9"/>
            <w:noWrap/>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-$589,537 </w:t>
            </w:r>
          </w:p>
        </w:tc>
        <w:tc>
          <w:tcPr>
            <w:tcW w:w="624" w:type="pct"/>
            <w:gridSpan w:val="2"/>
            <w:shd w:val="clear" w:color="auto" w:fill="D9D9D9" w:themeFill="background1" w:themeFillShade="D9"/>
            <w:vAlign w:val="center"/>
          </w:tcPr>
          <w:p w:rsidR="003372CB" w:rsidRPr="003372CB" w:rsidRDefault="003372CB" w:rsidP="003372CB">
            <w:pPr>
              <w:keepNext/>
              <w:keepLines/>
              <w:ind w:left="-61" w:right="-41"/>
              <w:jc w:val="right"/>
              <w:rPr>
                <w:rFonts w:ascii="Arial Narrow" w:hAnsi="Arial Narrow"/>
                <w:sz w:val="20"/>
                <w:szCs w:val="20"/>
              </w:rPr>
            </w:pPr>
            <w:r w:rsidRPr="003372CB">
              <w:rPr>
                <w:rFonts w:ascii="Arial Narrow" w:hAnsi="Arial Narrow"/>
                <w:sz w:val="20"/>
                <w:szCs w:val="20"/>
              </w:rPr>
              <w:t xml:space="preserve">-$699,020 </w:t>
            </w:r>
          </w:p>
        </w:tc>
      </w:tr>
    </w:tbl>
    <w:p w:rsidR="00B32482" w:rsidRPr="00E342CF" w:rsidRDefault="00B32482" w:rsidP="00B32482">
      <w:pPr>
        <w:keepNext/>
        <w:keepLines/>
        <w:rPr>
          <w:rFonts w:ascii="Arial Narrow" w:hAnsi="Arial Narrow"/>
          <w:sz w:val="18"/>
          <w:szCs w:val="18"/>
        </w:rPr>
      </w:pPr>
      <w:r w:rsidRPr="00ED6DEE">
        <w:rPr>
          <w:rFonts w:ascii="Arial Narrow" w:hAnsi="Arial Narrow"/>
          <w:sz w:val="18"/>
          <w:szCs w:val="18"/>
        </w:rPr>
        <w:t xml:space="preserve">Abbreviations: </w:t>
      </w:r>
      <w:r w:rsidR="00EF3FAD">
        <w:rPr>
          <w:rFonts w:ascii="Arial Narrow" w:hAnsi="Arial Narrow"/>
          <w:sz w:val="18"/>
          <w:szCs w:val="18"/>
        </w:rPr>
        <w:t xml:space="preserve">AMD = </w:t>
      </w:r>
      <w:r w:rsidR="00EF3FAD" w:rsidRPr="00EF3FAD">
        <w:rPr>
          <w:rFonts w:ascii="Arial Narrow" w:hAnsi="Arial Narrow"/>
          <w:sz w:val="18"/>
          <w:szCs w:val="18"/>
        </w:rPr>
        <w:t>a</w:t>
      </w:r>
      <w:r w:rsidR="00EF3FAD">
        <w:rPr>
          <w:rFonts w:ascii="Arial Narrow" w:hAnsi="Arial Narrow"/>
          <w:sz w:val="18"/>
          <w:szCs w:val="18"/>
        </w:rPr>
        <w:t xml:space="preserve">ge-related macular degeneration; CNV = </w:t>
      </w:r>
      <w:r w:rsidR="00EF3FAD" w:rsidRPr="00EF3FAD">
        <w:rPr>
          <w:rFonts w:ascii="Arial Narrow" w:hAnsi="Arial Narrow"/>
          <w:sz w:val="18"/>
          <w:szCs w:val="18"/>
        </w:rPr>
        <w:t>ch</w:t>
      </w:r>
      <w:r w:rsidR="00EF3FAD">
        <w:rPr>
          <w:rFonts w:ascii="Arial Narrow" w:hAnsi="Arial Narrow"/>
          <w:sz w:val="18"/>
          <w:szCs w:val="18"/>
        </w:rPr>
        <w:t xml:space="preserve">oroidal neovascularisation; </w:t>
      </w:r>
      <w:r w:rsidR="00ED6DEE" w:rsidRPr="00ED6DEE">
        <w:rPr>
          <w:rFonts w:ascii="Arial Narrow" w:hAnsi="Arial Narrow"/>
          <w:sz w:val="18"/>
          <w:szCs w:val="18"/>
        </w:rPr>
        <w:t>DPMQ</w:t>
      </w:r>
      <w:r w:rsidRPr="00ED6DEE">
        <w:rPr>
          <w:rFonts w:ascii="Arial Narrow" w:hAnsi="Arial Narrow"/>
          <w:sz w:val="18"/>
          <w:szCs w:val="18"/>
        </w:rPr>
        <w:t xml:space="preserve"> = dispensed price for maximum </w:t>
      </w:r>
      <w:r w:rsidR="00ED6DEE" w:rsidRPr="00ED6DEE">
        <w:rPr>
          <w:rFonts w:ascii="Arial Narrow" w:hAnsi="Arial Narrow"/>
          <w:sz w:val="18"/>
          <w:szCs w:val="18"/>
        </w:rPr>
        <w:t>quantity</w:t>
      </w:r>
      <w:r w:rsidRPr="00ED6DEE">
        <w:rPr>
          <w:rFonts w:ascii="Arial Narrow" w:hAnsi="Arial Narrow"/>
          <w:sz w:val="18"/>
          <w:szCs w:val="18"/>
        </w:rPr>
        <w:t xml:space="preserve">; </w:t>
      </w:r>
      <w:r w:rsidRPr="00E342CF">
        <w:rPr>
          <w:rFonts w:ascii="Arial Narrow" w:hAnsi="Arial Narrow"/>
          <w:sz w:val="18"/>
          <w:szCs w:val="18"/>
        </w:rPr>
        <w:t>MBS = Medicare Benefits PBS = Pharmaceutical Benefits Scheme; RPBS = Repatriation Pharmaceutical Benefits Scheme.</w:t>
      </w:r>
    </w:p>
    <w:p w:rsidR="00B32482" w:rsidRDefault="00B32482" w:rsidP="00B32482">
      <w:pPr>
        <w:keepNext/>
        <w:keepLines/>
        <w:rPr>
          <w:rFonts w:ascii="Arial Narrow" w:hAnsi="Arial Narrow"/>
          <w:sz w:val="18"/>
          <w:szCs w:val="18"/>
        </w:rPr>
      </w:pPr>
      <w:r w:rsidRPr="00E342CF">
        <w:rPr>
          <w:rFonts w:ascii="Arial Narrow" w:hAnsi="Arial Narrow"/>
          <w:sz w:val="18"/>
          <w:szCs w:val="18"/>
        </w:rPr>
        <w:t xml:space="preserve">Source: Section 4 </w:t>
      </w:r>
      <w:proofErr w:type="spellStart"/>
      <w:r w:rsidRPr="00E342CF">
        <w:rPr>
          <w:rFonts w:ascii="Arial Narrow" w:hAnsi="Arial Narrow"/>
          <w:sz w:val="18"/>
          <w:szCs w:val="18"/>
        </w:rPr>
        <w:t>Workbook_</w:t>
      </w:r>
      <w:r w:rsidR="00E3283D" w:rsidRPr="00E342CF">
        <w:rPr>
          <w:rFonts w:ascii="Arial Narrow" w:hAnsi="Arial Narrow"/>
          <w:sz w:val="18"/>
          <w:szCs w:val="18"/>
        </w:rPr>
        <w:t>’PBS</w:t>
      </w:r>
      <w:proofErr w:type="spellEnd"/>
      <w:r w:rsidR="00E3283D" w:rsidRPr="00E342CF">
        <w:rPr>
          <w:rFonts w:ascii="Arial Narrow" w:hAnsi="Arial Narrow"/>
          <w:sz w:val="18"/>
          <w:szCs w:val="18"/>
        </w:rPr>
        <w:t>-RPBS overview tab’</w:t>
      </w:r>
      <w:r w:rsidR="00EF3FAD">
        <w:rPr>
          <w:rFonts w:ascii="Arial Narrow" w:hAnsi="Arial Narrow"/>
          <w:sz w:val="18"/>
          <w:szCs w:val="18"/>
        </w:rPr>
        <w:t>.</w:t>
      </w:r>
      <w:r w:rsidRPr="00E342CF">
        <w:rPr>
          <w:rFonts w:ascii="Arial Narrow" w:hAnsi="Arial Narrow"/>
          <w:sz w:val="18"/>
          <w:szCs w:val="18"/>
        </w:rPr>
        <w:t xml:space="preserve"> </w:t>
      </w:r>
    </w:p>
    <w:p w:rsidR="00EF3FAD" w:rsidRPr="00E342CF" w:rsidRDefault="00EF3FAD" w:rsidP="00B32482">
      <w:pPr>
        <w:keepNext/>
        <w:keepLines/>
        <w:rPr>
          <w:rFonts w:ascii="Arial Narrow" w:hAnsi="Arial Narrow"/>
          <w:sz w:val="18"/>
          <w:szCs w:val="18"/>
        </w:rPr>
      </w:pPr>
      <w:proofErr w:type="gramStart"/>
      <w:r w:rsidRPr="00EF3FAD">
        <w:rPr>
          <w:rFonts w:ascii="Arial Narrow" w:hAnsi="Arial Narrow"/>
          <w:sz w:val="18"/>
          <w:szCs w:val="18"/>
          <w:vertAlign w:val="superscript"/>
        </w:rPr>
        <w:t>a</w:t>
      </w:r>
      <w:proofErr w:type="gramEnd"/>
      <w:r>
        <w:rPr>
          <w:rFonts w:ascii="Arial Narrow" w:hAnsi="Arial Narrow"/>
          <w:sz w:val="18"/>
          <w:szCs w:val="18"/>
        </w:rPr>
        <w:t xml:space="preserve"> Total anti-VEG</w:t>
      </w:r>
      <w:r w:rsidR="00B24A8C">
        <w:rPr>
          <w:rFonts w:ascii="Arial Narrow" w:hAnsi="Arial Narrow"/>
          <w:sz w:val="18"/>
          <w:szCs w:val="18"/>
        </w:rPr>
        <w:t>F</w:t>
      </w:r>
      <w:r>
        <w:rPr>
          <w:rFonts w:ascii="Arial Narrow" w:hAnsi="Arial Narrow"/>
          <w:sz w:val="18"/>
          <w:szCs w:val="18"/>
        </w:rPr>
        <w:t xml:space="preserve"> scripts for CNV due to AMD.</w:t>
      </w:r>
    </w:p>
    <w:p w:rsidR="00B32482" w:rsidRPr="00580BF5" w:rsidRDefault="00EF3FAD" w:rsidP="00B32482">
      <w:pPr>
        <w:keepNext/>
        <w:keepLines/>
        <w:rPr>
          <w:rFonts w:ascii="Arial Narrow" w:hAnsi="Arial Narrow"/>
          <w:sz w:val="18"/>
          <w:szCs w:val="18"/>
        </w:rPr>
      </w:pPr>
      <w:proofErr w:type="gramStart"/>
      <w:r>
        <w:rPr>
          <w:rFonts w:ascii="Arial Narrow" w:hAnsi="Arial Narrow"/>
          <w:sz w:val="18"/>
          <w:szCs w:val="18"/>
          <w:vertAlign w:val="superscript"/>
        </w:rPr>
        <w:t>b</w:t>
      </w:r>
      <w:proofErr w:type="gramEnd"/>
      <w:r w:rsidR="00B32482" w:rsidRPr="00ED6DEE">
        <w:rPr>
          <w:rFonts w:ascii="Arial Narrow" w:hAnsi="Arial Narrow"/>
          <w:sz w:val="18"/>
          <w:szCs w:val="18"/>
        </w:rPr>
        <w:t xml:space="preserve"> Costs represent DPM</w:t>
      </w:r>
      <w:r w:rsidR="00ED6DEE">
        <w:rPr>
          <w:rFonts w:ascii="Arial Narrow" w:hAnsi="Arial Narrow"/>
          <w:sz w:val="18"/>
          <w:szCs w:val="18"/>
        </w:rPr>
        <w:t>Q</w:t>
      </w:r>
      <w:r w:rsidR="00B32482" w:rsidRPr="00ED6DEE">
        <w:rPr>
          <w:rFonts w:ascii="Arial Narrow" w:hAnsi="Arial Narrow"/>
          <w:sz w:val="18"/>
          <w:szCs w:val="18"/>
        </w:rPr>
        <w:t xml:space="preserve"> minus </w:t>
      </w:r>
      <w:proofErr w:type="spellStart"/>
      <w:r w:rsidR="00B32482" w:rsidRPr="00ED6DEE">
        <w:rPr>
          <w:rFonts w:ascii="Arial Narrow" w:hAnsi="Arial Narrow"/>
          <w:sz w:val="18"/>
          <w:szCs w:val="18"/>
        </w:rPr>
        <w:t>copayment</w:t>
      </w:r>
      <w:proofErr w:type="spellEnd"/>
      <w:r w:rsidR="00F73B98">
        <w:rPr>
          <w:rFonts w:ascii="Arial Narrow" w:hAnsi="Arial Narrow"/>
          <w:sz w:val="18"/>
          <w:szCs w:val="18"/>
        </w:rPr>
        <w:t xml:space="preserve"> </w:t>
      </w:r>
      <w:r w:rsidR="00F73B98" w:rsidRPr="00580BF5">
        <w:rPr>
          <w:rFonts w:ascii="Arial Narrow" w:hAnsi="Arial Narrow"/>
          <w:sz w:val="18"/>
          <w:szCs w:val="18"/>
        </w:rPr>
        <w:t>at the</w:t>
      </w:r>
      <w:r w:rsidR="00ED7596" w:rsidRPr="00580BF5">
        <w:rPr>
          <w:rFonts w:ascii="Arial Narrow" w:hAnsi="Arial Narrow"/>
          <w:sz w:val="18"/>
          <w:szCs w:val="18"/>
        </w:rPr>
        <w:t xml:space="preserve"> effective price</w:t>
      </w:r>
      <w:r w:rsidR="00B32482" w:rsidRPr="00ED6DEE">
        <w:rPr>
          <w:rFonts w:ascii="Arial Narrow" w:hAnsi="Arial Narrow"/>
          <w:sz w:val="18"/>
          <w:szCs w:val="18"/>
        </w:rPr>
        <w:t>.</w:t>
      </w:r>
    </w:p>
    <w:p w:rsidR="003372CB" w:rsidRPr="00E3283D" w:rsidRDefault="00EF3FAD" w:rsidP="00E3283D">
      <w:pPr>
        <w:rPr>
          <w:rFonts w:ascii="Arial Narrow" w:hAnsi="Arial Narrow"/>
          <w:sz w:val="18"/>
          <w:szCs w:val="18"/>
        </w:rPr>
      </w:pPr>
      <w:proofErr w:type="gramStart"/>
      <w:r>
        <w:rPr>
          <w:rFonts w:ascii="Arial Narrow" w:hAnsi="Arial Narrow"/>
          <w:sz w:val="18"/>
          <w:szCs w:val="18"/>
          <w:vertAlign w:val="superscript"/>
        </w:rPr>
        <w:t>c</w:t>
      </w:r>
      <w:proofErr w:type="gramEnd"/>
      <w:r w:rsidR="00B32482" w:rsidRPr="00ED6DEE">
        <w:rPr>
          <w:rFonts w:ascii="Arial Narrow" w:hAnsi="Arial Narrow"/>
          <w:sz w:val="18"/>
          <w:szCs w:val="18"/>
        </w:rPr>
        <w:t xml:space="preserve"> As </w:t>
      </w:r>
      <w:r w:rsidR="00ED6DEE" w:rsidRPr="00ED6DEE">
        <w:rPr>
          <w:rFonts w:ascii="Arial Narrow" w:hAnsi="Arial Narrow"/>
          <w:sz w:val="18"/>
          <w:szCs w:val="18"/>
        </w:rPr>
        <w:t>proposed by the Sponsor</w:t>
      </w:r>
      <w:r w:rsidR="00B32482" w:rsidRPr="00ED6DEE">
        <w:rPr>
          <w:rFonts w:ascii="Arial Narrow" w:hAnsi="Arial Narrow"/>
          <w:sz w:val="18"/>
          <w:szCs w:val="18"/>
        </w:rPr>
        <w:t xml:space="preserve"> in the pre-PBAC response</w:t>
      </w:r>
      <w:r w:rsidR="00ED6DEE" w:rsidRPr="00ED6DEE">
        <w:rPr>
          <w:rFonts w:ascii="Arial Narrow" w:hAnsi="Arial Narrow"/>
          <w:sz w:val="18"/>
          <w:szCs w:val="18"/>
        </w:rPr>
        <w:t xml:space="preserve"> for the November 2019 </w:t>
      </w:r>
      <w:r w:rsidR="00ED6DEE" w:rsidRPr="00B71E40">
        <w:rPr>
          <w:rFonts w:ascii="Arial Narrow" w:hAnsi="Arial Narrow"/>
          <w:sz w:val="18"/>
          <w:szCs w:val="18"/>
        </w:rPr>
        <w:t>submission (</w:t>
      </w:r>
      <w:r w:rsidR="003372CB" w:rsidRPr="00B71E40">
        <w:rPr>
          <w:rFonts w:ascii="Arial Narrow" w:hAnsi="Arial Narrow"/>
          <w:sz w:val="18"/>
          <w:szCs w:val="18"/>
        </w:rPr>
        <w:t>Table 7</w:t>
      </w:r>
      <w:r w:rsidR="00B32482" w:rsidRPr="00B71E40">
        <w:rPr>
          <w:rFonts w:ascii="Arial Narrow" w:hAnsi="Arial Narrow"/>
          <w:sz w:val="18"/>
          <w:szCs w:val="18"/>
        </w:rPr>
        <w:t xml:space="preserve"> of </w:t>
      </w:r>
      <w:r w:rsidR="00E5706E">
        <w:rPr>
          <w:rFonts w:ascii="Arial Narrow" w:hAnsi="Arial Narrow"/>
          <w:sz w:val="18"/>
          <w:szCs w:val="18"/>
        </w:rPr>
        <w:t>PSD</w:t>
      </w:r>
      <w:r w:rsidR="00ED6DEE" w:rsidRPr="00B71E40">
        <w:rPr>
          <w:rFonts w:ascii="Arial Narrow" w:hAnsi="Arial Narrow"/>
          <w:sz w:val="18"/>
          <w:szCs w:val="18"/>
        </w:rPr>
        <w:t>)</w:t>
      </w:r>
      <w:r w:rsidR="00B32482" w:rsidRPr="00B71E40">
        <w:rPr>
          <w:rFonts w:ascii="Arial Narrow" w:hAnsi="Arial Narrow"/>
          <w:sz w:val="18"/>
          <w:szCs w:val="18"/>
        </w:rPr>
        <w:t>.</w:t>
      </w:r>
      <w:r w:rsidR="00E3283D" w:rsidRPr="00B71E40">
        <w:rPr>
          <w:rFonts w:ascii="Arial Narrow" w:hAnsi="Arial Narrow"/>
          <w:sz w:val="18"/>
          <w:szCs w:val="18"/>
        </w:rPr>
        <w:t xml:space="preserve"> This</w:t>
      </w:r>
      <w:r w:rsidR="00E3283D">
        <w:rPr>
          <w:rFonts w:ascii="Arial Narrow" w:hAnsi="Arial Narrow"/>
          <w:sz w:val="18"/>
          <w:szCs w:val="18"/>
        </w:rPr>
        <w:t xml:space="preserve"> financial estimate was c</w:t>
      </w:r>
      <w:r w:rsidR="003372CB">
        <w:rPr>
          <w:rFonts w:ascii="Arial Narrow" w:hAnsi="Arial Narrow"/>
          <w:sz w:val="18"/>
          <w:szCs w:val="18"/>
        </w:rPr>
        <w:t xml:space="preserve">alculated using </w:t>
      </w:r>
      <w:r w:rsidR="009E2213">
        <w:rPr>
          <w:rFonts w:ascii="Arial Narrow" w:hAnsi="Arial Narrow"/>
          <w:sz w:val="18"/>
          <w:szCs w:val="18"/>
        </w:rPr>
        <w:t xml:space="preserve">(1) </w:t>
      </w:r>
      <w:r w:rsidR="003372CB">
        <w:rPr>
          <w:rFonts w:ascii="Arial Narrow" w:hAnsi="Arial Narrow"/>
          <w:sz w:val="18"/>
          <w:szCs w:val="18"/>
        </w:rPr>
        <w:t>a weighted aflibercept/ranibizumab price for brolucizumab</w:t>
      </w:r>
      <w:r w:rsidR="00C465E7">
        <w:rPr>
          <w:rFonts w:ascii="Arial Narrow" w:hAnsi="Arial Narrow"/>
          <w:sz w:val="18"/>
          <w:szCs w:val="18"/>
        </w:rPr>
        <w:t>;</w:t>
      </w:r>
      <w:r w:rsidR="003372CB">
        <w:rPr>
          <w:rFonts w:ascii="Arial Narrow" w:hAnsi="Arial Narrow"/>
          <w:sz w:val="18"/>
          <w:szCs w:val="18"/>
        </w:rPr>
        <w:t xml:space="preserve"> </w:t>
      </w:r>
      <w:r w:rsidR="009E2213">
        <w:rPr>
          <w:rFonts w:ascii="Arial Narrow" w:hAnsi="Arial Narrow"/>
          <w:sz w:val="18"/>
          <w:szCs w:val="18"/>
        </w:rPr>
        <w:t xml:space="preserve">(2) </w:t>
      </w:r>
      <w:r w:rsidR="003372CB">
        <w:rPr>
          <w:rFonts w:ascii="Arial Narrow" w:hAnsi="Arial Narrow"/>
          <w:sz w:val="18"/>
          <w:szCs w:val="18"/>
        </w:rPr>
        <w:t>1:1 dosing ratio</w:t>
      </w:r>
      <w:r w:rsidR="00C465E7">
        <w:rPr>
          <w:rFonts w:ascii="Arial Narrow" w:hAnsi="Arial Narrow"/>
          <w:sz w:val="18"/>
          <w:szCs w:val="18"/>
        </w:rPr>
        <w:t>; (3) MBS net cost of zero, consistent with 1:1 dosing ratio;</w:t>
      </w:r>
      <w:r w:rsidR="003372CB">
        <w:rPr>
          <w:rFonts w:ascii="Arial Narrow" w:hAnsi="Arial Narrow"/>
          <w:sz w:val="18"/>
          <w:szCs w:val="18"/>
        </w:rPr>
        <w:t xml:space="preserve"> and </w:t>
      </w:r>
      <w:r w:rsidR="00C465E7">
        <w:rPr>
          <w:rFonts w:ascii="Arial Narrow" w:hAnsi="Arial Narrow"/>
          <w:sz w:val="18"/>
          <w:szCs w:val="18"/>
        </w:rPr>
        <w:t xml:space="preserve">(4) </w:t>
      </w:r>
      <w:r w:rsidR="003372CB">
        <w:rPr>
          <w:rFonts w:ascii="Arial Narrow" w:hAnsi="Arial Narrow"/>
          <w:sz w:val="18"/>
          <w:szCs w:val="18"/>
        </w:rPr>
        <w:t xml:space="preserve">brolucizumab price </w:t>
      </w:r>
      <w:r w:rsidR="00FA4B9C">
        <w:rPr>
          <w:rFonts w:ascii="Arial Narrow" w:hAnsi="Arial Narrow"/>
          <w:sz w:val="18"/>
          <w:szCs w:val="18"/>
        </w:rPr>
        <w:t xml:space="preserve">calculated using the </w:t>
      </w:r>
      <w:r w:rsidR="003372CB">
        <w:rPr>
          <w:rFonts w:ascii="Arial Narrow" w:hAnsi="Arial Narrow"/>
          <w:sz w:val="18"/>
          <w:szCs w:val="18"/>
        </w:rPr>
        <w:t>aflibercept/ranibizumab</w:t>
      </w:r>
      <w:r w:rsidR="00FA4B9C" w:rsidRPr="00FA4B9C">
        <w:rPr>
          <w:rFonts w:eastAsiaTheme="majorEastAsia"/>
          <w:lang w:eastAsia="en-US"/>
        </w:rPr>
        <w:t xml:space="preserve"> </w:t>
      </w:r>
      <w:r w:rsidR="00FA4B9C" w:rsidRPr="00B71E40">
        <w:rPr>
          <w:rFonts w:ascii="Arial Narrow" w:hAnsi="Arial Narrow"/>
          <w:sz w:val="18"/>
          <w:szCs w:val="18"/>
        </w:rPr>
        <w:t>price</w:t>
      </w:r>
      <w:r w:rsidR="00FA4B9C">
        <w:rPr>
          <w:rFonts w:ascii="Arial Narrow" w:hAnsi="Arial Narrow"/>
          <w:sz w:val="18"/>
          <w:szCs w:val="18"/>
        </w:rPr>
        <w:t>s</w:t>
      </w:r>
      <w:r w:rsidR="00FA4B9C" w:rsidRPr="00B71E40">
        <w:rPr>
          <w:rFonts w:ascii="Arial Narrow" w:hAnsi="Arial Narrow"/>
          <w:sz w:val="18"/>
          <w:szCs w:val="18"/>
        </w:rPr>
        <w:t xml:space="preserve"> prior to the F1 anniversary price reductions</w:t>
      </w:r>
      <w:r w:rsidR="003372CB">
        <w:rPr>
          <w:rFonts w:ascii="Arial Narrow" w:hAnsi="Arial Narrow"/>
          <w:sz w:val="18"/>
          <w:szCs w:val="18"/>
        </w:rPr>
        <w:t xml:space="preserve">  until expiration of the strategic agreement on 30 Jun</w:t>
      </w:r>
      <w:r w:rsidR="00C465E7">
        <w:rPr>
          <w:rFonts w:ascii="Arial Narrow" w:hAnsi="Arial Narrow"/>
          <w:sz w:val="18"/>
          <w:szCs w:val="18"/>
        </w:rPr>
        <w:t>e</w:t>
      </w:r>
      <w:r w:rsidR="003372CB">
        <w:rPr>
          <w:rFonts w:ascii="Arial Narrow" w:hAnsi="Arial Narrow"/>
          <w:sz w:val="18"/>
          <w:szCs w:val="18"/>
        </w:rPr>
        <w:t xml:space="preserve"> 2022.</w:t>
      </w:r>
    </w:p>
    <w:p w:rsidR="00B32482" w:rsidRPr="00AD66D8" w:rsidRDefault="00B32482" w:rsidP="00AD66D8">
      <w:pPr>
        <w:rPr>
          <w:rFonts w:eastAsiaTheme="majorEastAsia"/>
          <w:lang w:eastAsia="en-US"/>
        </w:rPr>
      </w:pPr>
    </w:p>
    <w:p w:rsidR="003C4C46" w:rsidRDefault="003C4C46" w:rsidP="003C4C46">
      <w:pPr>
        <w:pStyle w:val="ListParagraph"/>
        <w:numPr>
          <w:ilvl w:val="1"/>
          <w:numId w:val="2"/>
        </w:numPr>
        <w:jc w:val="both"/>
      </w:pPr>
      <w:r w:rsidRPr="003C4C46">
        <w:t>As a minor submission, the financial estimates have not been independently evaluated.</w:t>
      </w:r>
    </w:p>
    <w:p w:rsidR="005C4524" w:rsidRPr="00C9624D" w:rsidRDefault="005C4524" w:rsidP="00AC4FBF">
      <w:pPr>
        <w:pStyle w:val="Heading2"/>
        <w:keepLines/>
        <w:spacing w:before="240" w:after="120"/>
      </w:pPr>
      <w:bookmarkStart w:id="2" w:name="_Toc19612028"/>
      <w:r w:rsidRPr="00AC4FBF">
        <w:rPr>
          <w:rFonts w:asciiTheme="minorHAnsi" w:eastAsiaTheme="majorEastAsia" w:hAnsiTheme="minorHAnsi" w:cstheme="majorBidi"/>
          <w:sz w:val="28"/>
          <w:szCs w:val="28"/>
          <w:lang w:eastAsia="en-US"/>
        </w:rPr>
        <w:t>Financial Management – Risk Sharing Arrangements</w:t>
      </w:r>
      <w:bookmarkEnd w:id="2"/>
    </w:p>
    <w:p w:rsidR="005C4524" w:rsidRDefault="005C4524" w:rsidP="003C4C46">
      <w:pPr>
        <w:pStyle w:val="ListParagraph"/>
        <w:numPr>
          <w:ilvl w:val="1"/>
          <w:numId w:val="2"/>
        </w:numPr>
        <w:spacing w:before="120"/>
        <w:jc w:val="both"/>
      </w:pPr>
      <w:r w:rsidRPr="00987B62">
        <w:t xml:space="preserve">The </w:t>
      </w:r>
      <w:r>
        <w:t>re</w:t>
      </w:r>
      <w:r w:rsidRPr="00987B62">
        <w:t xml:space="preserve">submission noted that ranibizumab and aflibercept </w:t>
      </w:r>
      <w:r w:rsidR="00111523">
        <w:t>are subject to</w:t>
      </w:r>
      <w:r w:rsidRPr="00987B62">
        <w:t xml:space="preserve"> risk sharing arrangements </w:t>
      </w:r>
      <w:r w:rsidR="00111523">
        <w:t>for</w:t>
      </w:r>
      <w:r w:rsidRPr="00987B62">
        <w:t xml:space="preserve"> the treatment of </w:t>
      </w:r>
      <w:proofErr w:type="spellStart"/>
      <w:r w:rsidRPr="00987B62">
        <w:t>neovascular</w:t>
      </w:r>
      <w:proofErr w:type="spellEnd"/>
      <w:r w:rsidRPr="00987B62">
        <w:t xml:space="preserve"> AMD. The </w:t>
      </w:r>
      <w:r>
        <w:t>re</w:t>
      </w:r>
      <w:r w:rsidRPr="00987B62">
        <w:t xml:space="preserve">submission stated that the degree to which these arrangements would, or would not, apply to brolucizumab is not known at this stage. </w:t>
      </w:r>
    </w:p>
    <w:p w:rsidR="000627A2" w:rsidRPr="000627A2" w:rsidRDefault="00984BC5" w:rsidP="00B71E40">
      <w:pPr>
        <w:pStyle w:val="ListBullet"/>
        <w:numPr>
          <w:ilvl w:val="0"/>
          <w:numId w:val="0"/>
        </w:numPr>
        <w:ind w:left="360"/>
      </w:pPr>
      <w:r>
        <w:rPr>
          <w:rFonts w:asciiTheme="minorHAnsi" w:eastAsiaTheme="minorHAnsi" w:hAnsiTheme="minorHAnsi" w:cstheme="minorBidi"/>
          <w:i/>
          <w:szCs w:val="22"/>
          <w:lang w:eastAsia="en-US"/>
        </w:rPr>
        <w:tab/>
      </w:r>
      <w:r w:rsidR="000627A2" w:rsidRPr="003C4C46">
        <w:rPr>
          <w:rFonts w:asciiTheme="minorHAnsi" w:eastAsiaTheme="minorHAnsi" w:hAnsiTheme="minorHAnsi" w:cstheme="minorBidi"/>
          <w:i/>
          <w:szCs w:val="22"/>
          <w:lang w:eastAsia="en-US"/>
        </w:rPr>
        <w:t>For more detail on PBAC’s view, see section 6 PBAC outcome.</w:t>
      </w:r>
    </w:p>
    <w:p w:rsidR="005C4524" w:rsidRDefault="005C4524" w:rsidP="00AE22D3">
      <w:pPr>
        <w:rPr>
          <w:rFonts w:asciiTheme="minorHAnsi" w:hAnsiTheme="minorHAnsi"/>
          <w:sz w:val="22"/>
          <w:szCs w:val="22"/>
        </w:rPr>
      </w:pPr>
    </w:p>
    <w:p w:rsidR="00AE0668" w:rsidRDefault="00AE0668" w:rsidP="00AE22D3">
      <w:pPr>
        <w:rPr>
          <w:rFonts w:asciiTheme="minorHAnsi" w:hAnsiTheme="minorHAnsi"/>
          <w:sz w:val="22"/>
          <w:szCs w:val="22"/>
        </w:rPr>
      </w:pPr>
    </w:p>
    <w:p w:rsidR="00AE0668" w:rsidRDefault="00AE0668" w:rsidP="000A5664">
      <w:pPr>
        <w:pStyle w:val="Heading1"/>
        <w:keepNext/>
        <w:keepLines/>
        <w:numPr>
          <w:ilvl w:val="0"/>
          <w:numId w:val="4"/>
        </w:numPr>
        <w:spacing w:before="240"/>
        <w:ind w:left="709" w:hanging="709"/>
        <w:rPr>
          <w:sz w:val="32"/>
          <w:szCs w:val="32"/>
        </w:rPr>
      </w:pPr>
      <w:r>
        <w:rPr>
          <w:sz w:val="32"/>
          <w:szCs w:val="32"/>
        </w:rPr>
        <w:lastRenderedPageBreak/>
        <w:t>PBAC Outcome</w:t>
      </w:r>
    </w:p>
    <w:p w:rsidR="002A19F2" w:rsidRPr="00D62966" w:rsidRDefault="00A33287" w:rsidP="000A5664">
      <w:pPr>
        <w:keepNext/>
        <w:keepLines/>
        <w:widowControl w:val="0"/>
        <w:numPr>
          <w:ilvl w:val="1"/>
          <w:numId w:val="2"/>
        </w:numPr>
        <w:spacing w:after="120"/>
        <w:rPr>
          <w:rFonts w:asciiTheme="minorHAnsi" w:hAnsiTheme="minorHAnsi" w:cs="Arial"/>
          <w:bCs/>
          <w:snapToGrid w:val="0"/>
          <w:lang w:val="en-GB"/>
        </w:rPr>
      </w:pPr>
      <w:r w:rsidRPr="0044401F">
        <w:rPr>
          <w:rFonts w:asciiTheme="minorHAnsi" w:hAnsiTheme="minorHAnsi"/>
          <w:bCs/>
          <w:lang w:val="en-GB"/>
        </w:rPr>
        <w:t xml:space="preserve">The </w:t>
      </w:r>
      <w:r>
        <w:rPr>
          <w:rFonts w:asciiTheme="minorHAnsi" w:hAnsiTheme="minorHAnsi"/>
          <w:bCs/>
          <w:lang w:val="en-GB"/>
        </w:rPr>
        <w:t xml:space="preserve">PBAC did not recommend brolucizumab for the treatment of patients with </w:t>
      </w:r>
      <w:proofErr w:type="spellStart"/>
      <w:r>
        <w:t>subfoveal</w:t>
      </w:r>
      <w:proofErr w:type="spellEnd"/>
      <w:r>
        <w:t xml:space="preserve"> choroidal neovascularisation (CNV) due to age-</w:t>
      </w:r>
      <w:r w:rsidRPr="00CD4F2C">
        <w:t xml:space="preserve">related macular degeneration </w:t>
      </w:r>
      <w:r>
        <w:t xml:space="preserve">(AMD). </w:t>
      </w:r>
      <w:r w:rsidRPr="009667E7">
        <w:t xml:space="preserve">The </w:t>
      </w:r>
      <w:r>
        <w:t xml:space="preserve">PBAC noted the higher incidence of </w:t>
      </w:r>
      <w:r w:rsidRPr="007A5BE5">
        <w:t>ocular</w:t>
      </w:r>
      <w:r>
        <w:t xml:space="preserve"> serious adverse events</w:t>
      </w:r>
      <w:r w:rsidRPr="007A5BE5">
        <w:t xml:space="preserve"> </w:t>
      </w:r>
      <w:r>
        <w:t>(</w:t>
      </w:r>
      <w:r w:rsidR="00A07263">
        <w:t>SAEs)</w:t>
      </w:r>
      <w:r w:rsidRPr="007A5BE5">
        <w:t xml:space="preserve"> r</w:t>
      </w:r>
      <w:r>
        <w:t xml:space="preserve">eported for brolucizumab </w:t>
      </w:r>
      <w:r w:rsidRPr="007A5BE5">
        <w:t>compared to a</w:t>
      </w:r>
      <w:r>
        <w:t>flibercept in the clinical studies and considered the claim of non-inferior safety was uncertain.</w:t>
      </w:r>
      <w:r w:rsidR="00BE5DEF">
        <w:t xml:space="preserve"> The PBAC noted the anecdotal reports from the American Society of Retinal Specialists (ASRS) of retinal artery occlusion and intraocular inflammation since brolucizumab was approved in the United States, and considered that further review and clarity regarding the safety of brolucizumab is required.</w:t>
      </w:r>
    </w:p>
    <w:p w:rsidR="00984BC5" w:rsidRPr="00525B39" w:rsidRDefault="00984BC5" w:rsidP="00984BC5">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considered that the claim in the minor resubmission of non-inferior effectiveness of brolucizumab compared with aflibercept was reasonable based on two key trials (HAWK and HARRIER), and this was unchanged from its previous consideration in </w:t>
      </w:r>
      <w:r w:rsidRPr="00467C79">
        <w:rPr>
          <w:rFonts w:asciiTheme="minorHAnsi" w:hAnsiTheme="minorHAnsi" w:cs="Arial"/>
          <w:bCs/>
          <w:snapToGrid w:val="0"/>
          <w:lang w:val="en-GB"/>
        </w:rPr>
        <w:t>November 2019 (paragraph 5.10).</w:t>
      </w:r>
    </w:p>
    <w:p w:rsidR="002A19F2" w:rsidRDefault="00C55E3E" w:rsidP="002A19F2">
      <w:pPr>
        <w:widowControl w:val="0"/>
        <w:numPr>
          <w:ilvl w:val="1"/>
          <w:numId w:val="2"/>
        </w:numPr>
        <w:spacing w:after="120"/>
        <w:rPr>
          <w:rFonts w:asciiTheme="minorHAnsi" w:hAnsiTheme="minorHAnsi" w:cs="Arial"/>
          <w:bCs/>
          <w:snapToGrid w:val="0"/>
          <w:lang w:val="en-GB"/>
        </w:rPr>
      </w:pPr>
      <w:r>
        <w:t>The PBAC noted the relative risk for ocular SAEs for brolucizumab compared to aflibercept was</w:t>
      </w:r>
      <w:r w:rsidR="00FA30EA">
        <w:t xml:space="preserve"> 2.27 (95% CI: 1.12, 4.58</w:t>
      </w:r>
      <w:r>
        <w:t>) and the relative risk for specific ocular AEs was &gt;1 for most outcomes (favouring aflibercept) with wide confidence intervals</w:t>
      </w:r>
      <w:r w:rsidR="00A951AC">
        <w:t xml:space="preserve"> (Table 5, brolucizumab PSD, November 2019)</w:t>
      </w:r>
      <w:r>
        <w:t>.</w:t>
      </w:r>
      <w:r w:rsidR="00CC5855">
        <w:t xml:space="preserve"> </w:t>
      </w:r>
      <w:r>
        <w:t xml:space="preserve">The PBAC noted the ACM findings regarding the safety of brolucizumab but considered the claim of non-inferior comparative safety versus aflibercept remained uncertain. The PBAC further noted the anecdotal reports from </w:t>
      </w:r>
      <w:r w:rsidRPr="00467C79">
        <w:t>the ASRS</w:t>
      </w:r>
      <w:r w:rsidR="00CC5855" w:rsidRPr="00467C79">
        <w:t xml:space="preserve"> </w:t>
      </w:r>
      <w:r w:rsidR="00CC5855" w:rsidRPr="00467C79">
        <w:rPr>
          <w:bCs/>
        </w:rPr>
        <w:t>(paragraph 5.8)</w:t>
      </w:r>
      <w:r>
        <w:t xml:space="preserve"> and considered this increased the uncertainty of the non-inferior safety claim.</w:t>
      </w:r>
    </w:p>
    <w:p w:rsidR="00BA5E1C" w:rsidRDefault="00BA5E1C" w:rsidP="002A19F2">
      <w:pPr>
        <w:widowControl w:val="0"/>
        <w:numPr>
          <w:ilvl w:val="1"/>
          <w:numId w:val="2"/>
        </w:numPr>
        <w:spacing w:after="120"/>
        <w:rPr>
          <w:rFonts w:asciiTheme="minorHAnsi" w:hAnsiTheme="minorHAnsi" w:cs="Arial"/>
          <w:bCs/>
          <w:snapToGrid w:val="0"/>
          <w:lang w:val="en-GB"/>
        </w:rPr>
      </w:pPr>
      <w:r>
        <w:t>The PBAC noted there were two safe and efficacious treatment options available for patients and considered the need for additional treatment options was low, particularly one with uncertain comparative safety.</w:t>
      </w:r>
    </w:p>
    <w:p w:rsidR="007A01CC" w:rsidRDefault="00EB201B" w:rsidP="001A187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The PBAC noted that t</w:t>
      </w:r>
      <w:r w:rsidRPr="000A5664">
        <w:rPr>
          <w:rFonts w:asciiTheme="minorHAnsi" w:hAnsiTheme="minorHAnsi" w:cs="Arial"/>
          <w:bCs/>
          <w:snapToGrid w:val="0"/>
          <w:lang w:val="en-GB"/>
        </w:rPr>
        <w:t xml:space="preserve">he </w:t>
      </w:r>
      <w:r w:rsidR="001A1874" w:rsidRPr="000A5664">
        <w:rPr>
          <w:rFonts w:asciiTheme="minorHAnsi" w:hAnsiTheme="minorHAnsi" w:cs="Arial"/>
          <w:bCs/>
          <w:snapToGrid w:val="0"/>
          <w:lang w:val="en-GB"/>
        </w:rPr>
        <w:t xml:space="preserve">minor resubmission </w:t>
      </w:r>
      <w:r>
        <w:rPr>
          <w:rFonts w:asciiTheme="minorHAnsi" w:hAnsiTheme="minorHAnsi" w:cs="Arial"/>
          <w:bCs/>
          <w:snapToGrid w:val="0"/>
          <w:lang w:val="en-GB"/>
        </w:rPr>
        <w:t>had employed a 1:1 dose relativity in the cost-minimisation, consistent with</w:t>
      </w:r>
      <w:r w:rsidRPr="005F4711">
        <w:rPr>
          <w:rFonts w:asciiTheme="minorHAnsi" w:hAnsiTheme="minorHAnsi" w:cs="Arial"/>
          <w:bCs/>
          <w:snapToGrid w:val="0"/>
          <w:lang w:val="en-GB"/>
        </w:rPr>
        <w:t xml:space="preserve"> </w:t>
      </w:r>
      <w:r w:rsidR="001A1874" w:rsidRPr="005F4711">
        <w:rPr>
          <w:rFonts w:asciiTheme="minorHAnsi" w:hAnsiTheme="minorHAnsi" w:cs="Arial"/>
          <w:bCs/>
          <w:snapToGrid w:val="0"/>
          <w:lang w:val="en-GB"/>
        </w:rPr>
        <w:t>the previous PBAC</w:t>
      </w:r>
      <w:r>
        <w:rPr>
          <w:rFonts w:asciiTheme="minorHAnsi" w:hAnsiTheme="minorHAnsi" w:cs="Arial"/>
          <w:bCs/>
          <w:snapToGrid w:val="0"/>
          <w:lang w:val="en-GB"/>
        </w:rPr>
        <w:t xml:space="preserve"> advice</w:t>
      </w:r>
      <w:r w:rsidR="001A1874" w:rsidRPr="005F4711">
        <w:rPr>
          <w:rFonts w:asciiTheme="minorHAnsi" w:hAnsiTheme="minorHAnsi" w:cs="Arial"/>
          <w:bCs/>
          <w:snapToGrid w:val="0"/>
          <w:lang w:val="en-GB"/>
        </w:rPr>
        <w:t xml:space="preserve"> that</w:t>
      </w:r>
      <w:r w:rsidR="001A1874" w:rsidRPr="00A273E4">
        <w:rPr>
          <w:rFonts w:asciiTheme="minorHAnsi" w:hAnsiTheme="minorHAnsi" w:cs="Arial"/>
          <w:bCs/>
          <w:snapToGrid w:val="0"/>
          <w:lang w:val="en-GB"/>
        </w:rPr>
        <w:t xml:space="preserve"> there were no clinical reasons for dosing frequencies amongst brolu</w:t>
      </w:r>
      <w:r w:rsidR="001A1874" w:rsidRPr="001A1874">
        <w:rPr>
          <w:rFonts w:asciiTheme="minorHAnsi" w:hAnsiTheme="minorHAnsi" w:cs="Arial"/>
          <w:bCs/>
          <w:snapToGrid w:val="0"/>
          <w:lang w:val="en-GB"/>
        </w:rPr>
        <w:t>cizumab and anti-VEGFs to be different to each other</w:t>
      </w:r>
      <w:r w:rsidR="001A1874" w:rsidRPr="00056D63">
        <w:rPr>
          <w:rFonts w:asciiTheme="minorHAnsi" w:hAnsiTheme="minorHAnsi" w:cs="Arial"/>
          <w:bCs/>
          <w:snapToGrid w:val="0"/>
          <w:lang w:val="en-GB"/>
        </w:rPr>
        <w:t>.</w:t>
      </w:r>
    </w:p>
    <w:p w:rsidR="002F2B42" w:rsidRDefault="002F2B42" w:rsidP="001A187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noted that the Sponsor used the ranibizumab price for the CMA in the minor resubmission, based on ranibizumab being the least costly </w:t>
      </w:r>
      <w:r w:rsidRPr="008C512E">
        <w:rPr>
          <w:rFonts w:asciiTheme="minorHAnsi" w:hAnsiTheme="minorHAnsi" w:cs="Arial"/>
          <w:bCs/>
          <w:snapToGrid w:val="0"/>
          <w:lang w:val="en-GB"/>
        </w:rPr>
        <w:t>comparator (paragraphs 4.2 and 4.3).</w:t>
      </w:r>
      <w:r w:rsidR="00E94E6F" w:rsidRPr="008C512E">
        <w:rPr>
          <w:rFonts w:asciiTheme="minorHAnsi" w:hAnsiTheme="minorHAnsi" w:cs="Arial"/>
          <w:bCs/>
          <w:snapToGrid w:val="0"/>
          <w:lang w:val="en-GB"/>
        </w:rPr>
        <w:t xml:space="preserve"> However, the PBAC</w:t>
      </w:r>
      <w:r w:rsidR="00E94E6F">
        <w:rPr>
          <w:rFonts w:asciiTheme="minorHAnsi" w:hAnsiTheme="minorHAnsi" w:cs="Arial"/>
          <w:bCs/>
          <w:snapToGrid w:val="0"/>
          <w:lang w:val="en-GB"/>
        </w:rPr>
        <w:t xml:space="preserve"> considered that the CMA was not adequately supported as non-inferior safety of brolucizumab had not been established. </w:t>
      </w:r>
    </w:p>
    <w:p w:rsidR="00AE2CB9" w:rsidRPr="008C512E" w:rsidRDefault="00056D63" w:rsidP="001A187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The PBAC noted that</w:t>
      </w:r>
      <w:r w:rsidR="00AE2CB9">
        <w:rPr>
          <w:rFonts w:asciiTheme="minorHAnsi" w:hAnsiTheme="minorHAnsi" w:cs="Arial"/>
          <w:bCs/>
          <w:snapToGrid w:val="0"/>
          <w:lang w:val="en-GB"/>
        </w:rPr>
        <w:t xml:space="preserve"> the minor resubmission</w:t>
      </w:r>
      <w:r w:rsidR="00FA3F0B">
        <w:rPr>
          <w:rFonts w:asciiTheme="minorHAnsi" w:hAnsiTheme="minorHAnsi" w:cs="Arial"/>
          <w:bCs/>
          <w:snapToGrid w:val="0"/>
          <w:lang w:val="en-GB"/>
        </w:rPr>
        <w:t xml:space="preserve"> estimated the listing of </w:t>
      </w:r>
      <w:r>
        <w:rPr>
          <w:rFonts w:asciiTheme="minorHAnsi" w:hAnsiTheme="minorHAnsi" w:cs="Arial"/>
          <w:bCs/>
          <w:snapToGrid w:val="0"/>
          <w:lang w:val="en-GB"/>
        </w:rPr>
        <w:t xml:space="preserve">brolucizumab </w:t>
      </w:r>
      <w:r w:rsidR="002F2B42">
        <w:rPr>
          <w:rFonts w:asciiTheme="minorHAnsi" w:hAnsiTheme="minorHAnsi" w:cs="Arial"/>
          <w:bCs/>
          <w:snapToGrid w:val="0"/>
          <w:lang w:val="en-GB"/>
        </w:rPr>
        <w:t>to be</w:t>
      </w:r>
      <w:r>
        <w:rPr>
          <w:rFonts w:asciiTheme="minorHAnsi" w:hAnsiTheme="minorHAnsi" w:cs="Arial"/>
          <w:bCs/>
          <w:snapToGrid w:val="0"/>
          <w:lang w:val="en-GB"/>
        </w:rPr>
        <w:t xml:space="preserve"> cost-saving</w:t>
      </w:r>
      <w:r w:rsidR="00FA3F0B">
        <w:rPr>
          <w:rFonts w:asciiTheme="minorHAnsi" w:hAnsiTheme="minorHAnsi" w:cs="Arial"/>
          <w:bCs/>
          <w:snapToGrid w:val="0"/>
          <w:lang w:val="en-GB"/>
        </w:rPr>
        <w:t xml:space="preserve"> to Government</w:t>
      </w:r>
      <w:r w:rsidR="002F2B42">
        <w:rPr>
          <w:rFonts w:asciiTheme="minorHAnsi" w:hAnsiTheme="minorHAnsi" w:cs="Arial"/>
          <w:bCs/>
          <w:snapToGrid w:val="0"/>
          <w:lang w:val="en-GB"/>
        </w:rPr>
        <w:t xml:space="preserve">, notwithstanding the uncertain uptake rates over the first six </w:t>
      </w:r>
      <w:r w:rsidR="002F2B42" w:rsidRPr="008C512E">
        <w:rPr>
          <w:rFonts w:asciiTheme="minorHAnsi" w:hAnsiTheme="minorHAnsi" w:cs="Arial"/>
          <w:bCs/>
          <w:snapToGrid w:val="0"/>
          <w:lang w:val="en-GB"/>
        </w:rPr>
        <w:t>years of listing</w:t>
      </w:r>
      <w:r w:rsidR="00AE2CB9" w:rsidRPr="008C512E">
        <w:rPr>
          <w:rFonts w:asciiTheme="minorHAnsi" w:hAnsiTheme="minorHAnsi" w:cs="Arial"/>
          <w:bCs/>
          <w:snapToGrid w:val="0"/>
          <w:lang w:val="en-GB"/>
        </w:rPr>
        <w:t xml:space="preserve"> (</w:t>
      </w:r>
      <w:r w:rsidR="008C512E" w:rsidRPr="008C512E">
        <w:rPr>
          <w:rFonts w:asciiTheme="minorHAnsi" w:hAnsiTheme="minorHAnsi" w:cs="Arial"/>
          <w:bCs/>
          <w:snapToGrid w:val="0"/>
          <w:lang w:val="en-GB"/>
        </w:rPr>
        <w:t>paragraphs 5.21 and 5.22</w:t>
      </w:r>
      <w:r w:rsidR="00AE2CB9" w:rsidRPr="008C512E">
        <w:rPr>
          <w:rFonts w:asciiTheme="minorHAnsi" w:hAnsiTheme="minorHAnsi" w:cs="Arial"/>
          <w:bCs/>
          <w:snapToGrid w:val="0"/>
          <w:lang w:val="en-GB"/>
        </w:rPr>
        <w:t>)</w:t>
      </w:r>
      <w:r w:rsidR="002F2B42" w:rsidRPr="008C512E">
        <w:rPr>
          <w:rFonts w:asciiTheme="minorHAnsi" w:hAnsiTheme="minorHAnsi" w:cs="Arial"/>
          <w:bCs/>
          <w:snapToGrid w:val="0"/>
          <w:lang w:val="en-GB"/>
        </w:rPr>
        <w:t>.</w:t>
      </w:r>
    </w:p>
    <w:p w:rsidR="00627C16" w:rsidRDefault="00AE2CB9" w:rsidP="001A187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The PBAC considered any</w:t>
      </w:r>
      <w:r w:rsidR="00E171F6">
        <w:rPr>
          <w:rFonts w:asciiTheme="minorHAnsi" w:hAnsiTheme="minorHAnsi" w:cs="Arial"/>
          <w:bCs/>
          <w:snapToGrid w:val="0"/>
          <w:lang w:val="en-GB"/>
        </w:rPr>
        <w:t xml:space="preserve"> future submission </w:t>
      </w:r>
      <w:r w:rsidR="00DF6B89">
        <w:rPr>
          <w:rFonts w:asciiTheme="minorHAnsi" w:hAnsiTheme="minorHAnsi" w:cs="Arial"/>
          <w:bCs/>
          <w:snapToGrid w:val="0"/>
          <w:lang w:val="en-GB"/>
        </w:rPr>
        <w:t xml:space="preserve">could be a minor resubmission </w:t>
      </w:r>
      <w:r w:rsidR="001408B2">
        <w:rPr>
          <w:rFonts w:asciiTheme="minorHAnsi" w:hAnsiTheme="minorHAnsi" w:cs="Arial"/>
          <w:bCs/>
          <w:snapToGrid w:val="0"/>
          <w:lang w:val="en-GB"/>
        </w:rPr>
        <w:t xml:space="preserve">and </w:t>
      </w:r>
      <w:r w:rsidR="00E171F6">
        <w:rPr>
          <w:rFonts w:asciiTheme="minorHAnsi" w:hAnsiTheme="minorHAnsi" w:cs="Arial"/>
          <w:bCs/>
          <w:snapToGrid w:val="0"/>
          <w:lang w:val="en-GB"/>
        </w:rPr>
        <w:t xml:space="preserve">should </w:t>
      </w:r>
      <w:r>
        <w:rPr>
          <w:rFonts w:asciiTheme="minorHAnsi" w:hAnsiTheme="minorHAnsi" w:cs="Arial"/>
          <w:bCs/>
          <w:snapToGrid w:val="0"/>
          <w:lang w:val="en-GB"/>
        </w:rPr>
        <w:t>address the uncertain claim of</w:t>
      </w:r>
      <w:r w:rsidR="00627C16">
        <w:rPr>
          <w:rFonts w:asciiTheme="minorHAnsi" w:hAnsiTheme="minorHAnsi" w:cs="Arial"/>
          <w:bCs/>
          <w:snapToGrid w:val="0"/>
          <w:lang w:val="en-GB"/>
        </w:rPr>
        <w:t xml:space="preserve"> non-inferior safety</w:t>
      </w:r>
      <w:r w:rsidR="00DF6B89">
        <w:rPr>
          <w:rFonts w:asciiTheme="minorHAnsi" w:hAnsiTheme="minorHAnsi" w:cs="Arial"/>
          <w:bCs/>
          <w:snapToGrid w:val="0"/>
          <w:lang w:val="en-GB"/>
        </w:rPr>
        <w:t>.</w:t>
      </w:r>
    </w:p>
    <w:p w:rsidR="000627A2" w:rsidRPr="004A4C6D" w:rsidRDefault="00627C16" w:rsidP="002E3930">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eligible for an </w:t>
      </w:r>
      <w:r w:rsidR="003B24C0">
        <w:rPr>
          <w:rFonts w:asciiTheme="minorHAnsi" w:hAnsiTheme="minorHAnsi" w:cs="Arial"/>
          <w:bCs/>
          <w:snapToGrid w:val="0"/>
          <w:lang w:val="en-GB"/>
        </w:rPr>
        <w:t>I</w:t>
      </w:r>
      <w:r>
        <w:rPr>
          <w:rFonts w:asciiTheme="minorHAnsi" w:hAnsiTheme="minorHAnsi" w:cs="Arial"/>
          <w:bCs/>
          <w:snapToGrid w:val="0"/>
          <w:lang w:val="en-GB"/>
        </w:rPr>
        <w:t xml:space="preserve">ndependent </w:t>
      </w:r>
      <w:r w:rsidR="003B24C0">
        <w:rPr>
          <w:rFonts w:asciiTheme="minorHAnsi" w:hAnsiTheme="minorHAnsi" w:cs="Arial"/>
          <w:bCs/>
          <w:snapToGrid w:val="0"/>
          <w:lang w:val="en-GB"/>
        </w:rPr>
        <w:t>R</w:t>
      </w:r>
      <w:r>
        <w:rPr>
          <w:rFonts w:asciiTheme="minorHAnsi" w:hAnsiTheme="minorHAnsi" w:cs="Arial"/>
          <w:bCs/>
          <w:snapToGrid w:val="0"/>
          <w:lang w:val="en-GB"/>
        </w:rPr>
        <w:t>eview.</w:t>
      </w:r>
    </w:p>
    <w:p w:rsidR="002A19F2" w:rsidRPr="00525B39" w:rsidRDefault="002A19F2" w:rsidP="0007239E">
      <w:pPr>
        <w:spacing w:before="240"/>
        <w:rPr>
          <w:rFonts w:asciiTheme="minorHAnsi" w:hAnsiTheme="minorHAnsi" w:cs="Arial"/>
          <w:b/>
          <w:bCs/>
          <w:snapToGrid w:val="0"/>
          <w:lang w:val="en-GB"/>
        </w:rPr>
      </w:pPr>
      <w:r w:rsidRPr="00525B39">
        <w:rPr>
          <w:rFonts w:asciiTheme="minorHAnsi" w:hAnsiTheme="minorHAnsi" w:cs="Arial"/>
          <w:b/>
          <w:bCs/>
          <w:snapToGrid w:val="0"/>
          <w:lang w:val="en-GB"/>
        </w:rPr>
        <w:lastRenderedPageBreak/>
        <w:t>Outcome:</w:t>
      </w:r>
    </w:p>
    <w:p w:rsidR="00116385" w:rsidRDefault="00F06D5C" w:rsidP="00384BAE">
      <w:pPr>
        <w:rPr>
          <w:snapToGrid w:val="0"/>
        </w:rPr>
      </w:pPr>
      <w:r>
        <w:rPr>
          <w:snapToGrid w:val="0"/>
        </w:rPr>
        <w:t>Rejected</w:t>
      </w:r>
    </w:p>
    <w:p w:rsidR="00116385" w:rsidRPr="00116385" w:rsidRDefault="00116385" w:rsidP="00116385">
      <w:pPr>
        <w:keepNext/>
        <w:numPr>
          <w:ilvl w:val="0"/>
          <w:numId w:val="2"/>
        </w:numPr>
        <w:spacing w:before="240" w:after="120"/>
        <w:jc w:val="left"/>
        <w:outlineLvl w:val="0"/>
        <w:rPr>
          <w:rFonts w:asciiTheme="minorHAnsi" w:eastAsiaTheme="minorHAnsi" w:hAnsiTheme="minorHAnsi" w:cs="Arial"/>
          <w:b/>
          <w:snapToGrid w:val="0"/>
          <w:sz w:val="32"/>
          <w:szCs w:val="22"/>
          <w:lang w:eastAsia="en-US"/>
        </w:rPr>
      </w:pPr>
      <w:r w:rsidRPr="00116385">
        <w:rPr>
          <w:rFonts w:asciiTheme="minorHAnsi" w:eastAsiaTheme="minorHAnsi" w:hAnsiTheme="minorHAnsi" w:cs="Arial"/>
          <w:b/>
          <w:snapToGrid w:val="0"/>
          <w:sz w:val="32"/>
          <w:szCs w:val="22"/>
          <w:lang w:eastAsia="en-US"/>
        </w:rPr>
        <w:t>Context for Decision</w:t>
      </w:r>
    </w:p>
    <w:p w:rsidR="00116385" w:rsidRPr="00116385" w:rsidRDefault="00116385" w:rsidP="00A14C6A">
      <w:pPr>
        <w:spacing w:line="276" w:lineRule="auto"/>
        <w:rPr>
          <w:rFonts w:asciiTheme="minorHAnsi" w:eastAsiaTheme="minorHAnsi" w:hAnsiTheme="minorHAnsi"/>
          <w:szCs w:val="22"/>
          <w:lang w:eastAsia="en-US"/>
        </w:rPr>
      </w:pPr>
      <w:r w:rsidRPr="00116385">
        <w:rPr>
          <w:rFonts w:asciiTheme="minorHAnsi" w:eastAsiaTheme="minorHAnsi" w:hAnsiTheme="minorHAnsi"/>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16385" w:rsidRPr="00116385" w:rsidRDefault="00116385" w:rsidP="00116385">
      <w:pPr>
        <w:keepNext/>
        <w:numPr>
          <w:ilvl w:val="0"/>
          <w:numId w:val="2"/>
        </w:numPr>
        <w:spacing w:before="240" w:after="120"/>
        <w:jc w:val="left"/>
        <w:outlineLvl w:val="0"/>
        <w:rPr>
          <w:rFonts w:asciiTheme="minorHAnsi" w:eastAsiaTheme="minorHAnsi" w:hAnsiTheme="minorHAnsi" w:cs="Arial"/>
          <w:b/>
          <w:snapToGrid w:val="0"/>
          <w:sz w:val="32"/>
          <w:szCs w:val="22"/>
          <w:lang w:eastAsia="en-US"/>
        </w:rPr>
      </w:pPr>
      <w:r w:rsidRPr="00116385">
        <w:rPr>
          <w:rFonts w:asciiTheme="minorHAnsi" w:eastAsiaTheme="minorHAnsi" w:hAnsiTheme="minorHAnsi" w:cs="Arial"/>
          <w:b/>
          <w:snapToGrid w:val="0"/>
          <w:sz w:val="32"/>
          <w:szCs w:val="22"/>
          <w:lang w:eastAsia="en-US"/>
        </w:rPr>
        <w:t>Sponsor’s Comment</w:t>
      </w:r>
    </w:p>
    <w:p w:rsidR="00116385" w:rsidRPr="002E3930" w:rsidRDefault="00F631BB" w:rsidP="00384BAE">
      <w:pPr>
        <w:rPr>
          <w:snapToGrid w:val="0"/>
        </w:rPr>
      </w:pPr>
      <w:r w:rsidRPr="00F631BB">
        <w:rPr>
          <w:rFonts w:asciiTheme="minorHAnsi" w:eastAsiaTheme="minorHAnsi" w:hAnsiTheme="minorHAnsi"/>
          <w:bCs/>
          <w:szCs w:val="22"/>
          <w:lang w:val="en-GB" w:eastAsia="en-US"/>
        </w:rPr>
        <w:t xml:space="preserve">Novartis is disappointed with the PBAC outcome but will continue to work collaboratively with the PBAC, the Department of Health and Federal Government to ensure that Australians with age-related macular degeneration receive access to </w:t>
      </w:r>
      <w:proofErr w:type="spellStart"/>
      <w:r w:rsidRPr="00F631BB">
        <w:rPr>
          <w:rFonts w:asciiTheme="minorHAnsi" w:eastAsiaTheme="minorHAnsi" w:hAnsiTheme="minorHAnsi"/>
          <w:bCs/>
          <w:szCs w:val="22"/>
          <w:lang w:val="en-GB" w:eastAsia="en-US"/>
        </w:rPr>
        <w:t>Beovu</w:t>
      </w:r>
      <w:proofErr w:type="spellEnd"/>
      <w:r w:rsidRPr="00F631BB">
        <w:rPr>
          <w:rFonts w:asciiTheme="minorHAnsi" w:eastAsiaTheme="minorHAnsi" w:hAnsiTheme="minorHAnsi"/>
          <w:bCs/>
          <w:szCs w:val="22"/>
          <w:lang w:val="en-GB" w:eastAsia="en-US"/>
        </w:rPr>
        <w:t xml:space="preserve"> through the Pharmaceutical Benefits Scheme (PBS) at the earliest opportunity</w:t>
      </w:r>
      <w:r>
        <w:rPr>
          <w:rFonts w:asciiTheme="minorHAnsi" w:eastAsiaTheme="minorHAnsi" w:hAnsiTheme="minorHAnsi"/>
          <w:bCs/>
          <w:szCs w:val="22"/>
          <w:lang w:val="en-GB" w:eastAsia="en-US"/>
        </w:rPr>
        <w:t>.</w:t>
      </w:r>
    </w:p>
    <w:sectPr w:rsidR="00116385" w:rsidRPr="002E3930" w:rsidSect="00F06D5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3A" w:rsidRDefault="00414A3A">
      <w:r>
        <w:separator/>
      </w:r>
    </w:p>
    <w:p w:rsidR="00414A3A" w:rsidRDefault="00414A3A"/>
  </w:endnote>
  <w:endnote w:type="continuationSeparator" w:id="0">
    <w:p w:rsidR="00414A3A" w:rsidRDefault="00414A3A">
      <w:r>
        <w:continuationSeparator/>
      </w:r>
    </w:p>
    <w:p w:rsidR="00414A3A" w:rsidRDefault="0041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Arial Bold">
    <w:altName w:val="Arial"/>
    <w:panose1 w:val="020B0704020202020204"/>
    <w:charset w:val="00"/>
    <w:family w:val="auto"/>
    <w:pitch w:val="variable"/>
    <w:sig w:usb0="E0002AFF" w:usb1="C0007843" w:usb2="00000009" w:usb3="00000000" w:csb0="000001FF" w:csb1="00000000"/>
  </w:font>
  <w:font w:name="Sabon">
    <w:altName w:val="Times New Roman"/>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14A3A" w:rsidTr="005A3173">
      <w:trPr>
        <w:trHeight w:val="151"/>
      </w:trPr>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c>
        <w:tcPr>
          <w:tcW w:w="500" w:type="pct"/>
          <w:vMerge w:val="restart"/>
          <w:noWrap/>
          <w:vAlign w:val="center"/>
          <w:hideMark/>
        </w:tcPr>
        <w:p w:rsidR="00414A3A" w:rsidRPr="005A3173" w:rsidRDefault="00414A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r>
    <w:tr w:rsidR="00414A3A" w:rsidTr="005A3173">
      <w:trPr>
        <w:trHeight w:val="150"/>
      </w:trPr>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c>
        <w:tcPr>
          <w:tcW w:w="0" w:type="auto"/>
          <w:vMerge/>
          <w:vAlign w:val="center"/>
          <w:hideMark/>
        </w:tcPr>
        <w:p w:rsidR="00414A3A" w:rsidRPr="005A3173" w:rsidRDefault="00414A3A" w:rsidP="005A3173">
          <w:pPr>
            <w:rPr>
              <w:color w:val="365F91"/>
              <w:sz w:val="22"/>
              <w:szCs w:val="22"/>
            </w:rPr>
          </w:pPr>
        </w:p>
      </w:tc>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r>
  </w:tbl>
  <w:p w:rsidR="00414A3A" w:rsidRDefault="00414A3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4A3A" w:rsidRDefault="00414A3A">
    <w:pPr>
      <w:pStyle w:val="Footer"/>
    </w:pPr>
  </w:p>
  <w:p w:rsidR="00414A3A" w:rsidRDefault="00414A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3A" w:rsidRDefault="00414A3A">
    <w:pPr>
      <w:pStyle w:val="Footer"/>
      <w:jc w:val="center"/>
    </w:pPr>
  </w:p>
  <w:sdt>
    <w:sdtPr>
      <w:id w:val="1244220458"/>
      <w:docPartObj>
        <w:docPartGallery w:val="Page Numbers (Bottom of Page)"/>
        <w:docPartUnique/>
      </w:docPartObj>
    </w:sdtPr>
    <w:sdtEndPr>
      <w:rPr>
        <w:noProof/>
      </w:rPr>
    </w:sdtEndPr>
    <w:sdtContent>
      <w:p w:rsidR="00414A3A" w:rsidRPr="00D538C0" w:rsidRDefault="00414A3A" w:rsidP="00D538C0">
        <w:pPr>
          <w:pStyle w:val="Footer"/>
          <w:jc w:val="center"/>
          <w:rPr>
            <w:noProof/>
          </w:rPr>
        </w:pPr>
        <w:r w:rsidRPr="00D538C0">
          <w:rPr>
            <w:b/>
          </w:rPr>
          <w:fldChar w:fldCharType="begin"/>
        </w:r>
        <w:r w:rsidRPr="00D538C0">
          <w:rPr>
            <w:b/>
          </w:rPr>
          <w:instrText xml:space="preserve"> PAGE   \* MERGEFORMAT </w:instrText>
        </w:r>
        <w:r w:rsidRPr="00D538C0">
          <w:rPr>
            <w:b/>
          </w:rPr>
          <w:fldChar w:fldCharType="separate"/>
        </w:r>
        <w:r w:rsidR="00472FB5">
          <w:rPr>
            <w:b/>
            <w:noProof/>
          </w:rPr>
          <w:t>5</w:t>
        </w:r>
        <w:r w:rsidRPr="00D538C0">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14A3A" w:rsidTr="005A3173">
      <w:trPr>
        <w:trHeight w:val="151"/>
      </w:trPr>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c>
        <w:tcPr>
          <w:tcW w:w="500" w:type="pct"/>
          <w:vMerge w:val="restart"/>
          <w:noWrap/>
          <w:vAlign w:val="center"/>
          <w:hideMark/>
        </w:tcPr>
        <w:p w:rsidR="00414A3A" w:rsidRPr="005A3173" w:rsidRDefault="00414A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r>
    <w:tr w:rsidR="00414A3A" w:rsidTr="005A3173">
      <w:trPr>
        <w:trHeight w:val="150"/>
      </w:trPr>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c>
        <w:tcPr>
          <w:tcW w:w="0" w:type="auto"/>
          <w:vMerge/>
          <w:vAlign w:val="center"/>
          <w:hideMark/>
        </w:tcPr>
        <w:p w:rsidR="00414A3A" w:rsidRPr="005A3173" w:rsidRDefault="00414A3A" w:rsidP="005A3173">
          <w:pPr>
            <w:rPr>
              <w:color w:val="365F91"/>
              <w:sz w:val="22"/>
              <w:szCs w:val="22"/>
            </w:rPr>
          </w:pPr>
        </w:p>
      </w:tc>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14A3A" w:rsidTr="005A3173">
      <w:trPr>
        <w:trHeight w:val="151"/>
      </w:trPr>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c>
        <w:tcPr>
          <w:tcW w:w="500" w:type="pct"/>
          <w:vMerge w:val="restart"/>
          <w:noWrap/>
          <w:vAlign w:val="center"/>
          <w:hideMark/>
        </w:tcPr>
        <w:p w:rsidR="00414A3A" w:rsidRPr="005A3173" w:rsidRDefault="00414A3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14A3A" w:rsidRPr="005A3173" w:rsidRDefault="00414A3A" w:rsidP="005A3173">
          <w:pPr>
            <w:pStyle w:val="Header"/>
            <w:spacing w:line="276" w:lineRule="auto"/>
            <w:rPr>
              <w:rFonts w:eastAsia="MS Gothic"/>
              <w:b/>
              <w:bCs/>
              <w:color w:val="4F81BD"/>
            </w:rPr>
          </w:pPr>
        </w:p>
      </w:tc>
    </w:tr>
    <w:tr w:rsidR="00414A3A" w:rsidTr="005A3173">
      <w:trPr>
        <w:trHeight w:val="150"/>
      </w:trPr>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c>
        <w:tcPr>
          <w:tcW w:w="0" w:type="auto"/>
          <w:vMerge/>
          <w:vAlign w:val="center"/>
          <w:hideMark/>
        </w:tcPr>
        <w:p w:rsidR="00414A3A" w:rsidRPr="005A3173" w:rsidRDefault="00414A3A" w:rsidP="005A3173">
          <w:pPr>
            <w:rPr>
              <w:color w:val="365F91"/>
              <w:sz w:val="22"/>
              <w:szCs w:val="22"/>
            </w:rPr>
          </w:pPr>
        </w:p>
      </w:tc>
      <w:tc>
        <w:tcPr>
          <w:tcW w:w="2250" w:type="pct"/>
          <w:tcBorders>
            <w:top w:val="single" w:sz="4" w:space="0" w:color="4F81BD"/>
            <w:left w:val="nil"/>
            <w:bottom w:val="nil"/>
            <w:right w:val="nil"/>
          </w:tcBorders>
        </w:tcPr>
        <w:p w:rsidR="00414A3A" w:rsidRPr="005A3173" w:rsidRDefault="00414A3A" w:rsidP="005A3173">
          <w:pPr>
            <w:pStyle w:val="Header"/>
            <w:spacing w:line="276" w:lineRule="auto"/>
            <w:rPr>
              <w:rFonts w:eastAsia="MS Gothic"/>
              <w:b/>
              <w:bCs/>
              <w:color w:val="4F81BD"/>
            </w:rPr>
          </w:pPr>
        </w:p>
      </w:tc>
    </w:tr>
  </w:tbl>
  <w:p w:rsidR="00414A3A" w:rsidRPr="007C0F57" w:rsidRDefault="00414A3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14A3A" w:rsidRPr="007C0F57" w:rsidRDefault="00414A3A" w:rsidP="007C0F57">
    <w:pPr>
      <w:pStyle w:val="Footer"/>
      <w:jc w:val="center"/>
      <w:rPr>
        <w:b/>
        <w:i/>
        <w:sz w:val="20"/>
        <w:szCs w:val="20"/>
      </w:rPr>
    </w:pPr>
    <w:r w:rsidRPr="007C0F57">
      <w:rPr>
        <w:b/>
        <w:i/>
        <w:sz w:val="20"/>
        <w:szCs w:val="20"/>
      </w:rPr>
      <w:t>Commercial-in-Confidence</w:t>
    </w:r>
  </w:p>
  <w:p w:rsidR="00414A3A" w:rsidRDefault="00414A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3A" w:rsidRDefault="00414A3A">
      <w:r>
        <w:separator/>
      </w:r>
    </w:p>
    <w:p w:rsidR="00414A3A" w:rsidRDefault="00414A3A"/>
  </w:footnote>
  <w:footnote w:type="continuationSeparator" w:id="0">
    <w:p w:rsidR="00414A3A" w:rsidRDefault="00414A3A">
      <w:r>
        <w:continuationSeparator/>
      </w:r>
    </w:p>
    <w:p w:rsidR="00414A3A" w:rsidRDefault="00414A3A"/>
  </w:footnote>
  <w:footnote w:id="1">
    <w:p w:rsidR="00414A3A" w:rsidRDefault="00414A3A">
      <w:pPr>
        <w:pStyle w:val="FootnoteText"/>
      </w:pPr>
      <w:r>
        <w:rPr>
          <w:rStyle w:val="FootnoteReference"/>
        </w:rPr>
        <w:footnoteRef/>
      </w:r>
      <w:r>
        <w:t xml:space="preserve"> Number of patients in the relevant treatment arms (full analysis set)</w:t>
      </w:r>
    </w:p>
  </w:footnote>
  <w:footnote w:id="2">
    <w:p w:rsidR="00414A3A" w:rsidRDefault="00414A3A">
      <w:pPr>
        <w:pStyle w:val="FootnoteText"/>
      </w:pPr>
      <w:r>
        <w:rPr>
          <w:rStyle w:val="FootnoteReference"/>
        </w:rPr>
        <w:footnoteRef/>
      </w:r>
      <w:r>
        <w:t xml:space="preserve"> </w:t>
      </w:r>
      <w:r w:rsidRPr="00D93000">
        <w:rPr>
          <w:rStyle w:val="TableFooterChar"/>
          <w:szCs w:val="18"/>
        </w:rPr>
        <w:t>Since r</w:t>
      </w:r>
      <w:r w:rsidRPr="00D93000">
        <w:rPr>
          <w:rFonts w:ascii="Arial Narrow" w:hAnsi="Arial Narrow"/>
          <w:sz w:val="18"/>
          <w:szCs w:val="18"/>
        </w:rPr>
        <w:t>anibizumab is p</w:t>
      </w:r>
      <w:r>
        <w:rPr>
          <w:rFonts w:ascii="Arial Narrow" w:hAnsi="Arial Narrow"/>
          <w:sz w:val="18"/>
          <w:szCs w:val="18"/>
        </w:rPr>
        <w:t>rovided by the same S</w:t>
      </w:r>
      <w:r w:rsidRPr="00D93000">
        <w:rPr>
          <w:rFonts w:ascii="Arial Narrow" w:hAnsi="Arial Narrow"/>
          <w:sz w:val="18"/>
          <w:szCs w:val="18"/>
        </w:rPr>
        <w:t>ponsor, the effective price is known by the Sponsor.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14A3A" w:rsidRPr="008E0D90" w:rsidTr="00A06225">
      <w:trPr>
        <w:trHeight w:val="151"/>
      </w:trPr>
      <w:tc>
        <w:tcPr>
          <w:tcW w:w="2389" w:type="pct"/>
          <w:tcBorders>
            <w:top w:val="nil"/>
            <w:left w:val="nil"/>
            <w:bottom w:val="single" w:sz="4" w:space="0" w:color="4F81BD"/>
            <w:right w:val="nil"/>
          </w:tcBorders>
        </w:tcPr>
        <w:p w:rsidR="00414A3A" w:rsidRPr="00A06225" w:rsidRDefault="00414A3A">
          <w:pPr>
            <w:pStyle w:val="Header"/>
            <w:spacing w:line="276" w:lineRule="auto"/>
            <w:rPr>
              <w:rFonts w:ascii="Cambria" w:eastAsia="MS Gothic" w:hAnsi="Cambria"/>
              <w:b/>
              <w:bCs/>
              <w:color w:val="4F81BD"/>
            </w:rPr>
          </w:pPr>
        </w:p>
      </w:tc>
      <w:tc>
        <w:tcPr>
          <w:tcW w:w="333" w:type="pct"/>
          <w:vMerge w:val="restart"/>
          <w:noWrap/>
          <w:vAlign w:val="center"/>
          <w:hideMark/>
        </w:tcPr>
        <w:p w:rsidR="00414A3A" w:rsidRPr="00A06225" w:rsidRDefault="00414A3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14A3A" w:rsidRPr="00A06225" w:rsidRDefault="00414A3A">
          <w:pPr>
            <w:pStyle w:val="Header"/>
            <w:spacing w:line="276" w:lineRule="auto"/>
            <w:rPr>
              <w:rFonts w:ascii="Cambria" w:eastAsia="MS Gothic" w:hAnsi="Cambria"/>
              <w:b/>
              <w:bCs/>
              <w:color w:val="4F81BD"/>
            </w:rPr>
          </w:pPr>
        </w:p>
      </w:tc>
    </w:tr>
    <w:tr w:rsidR="00414A3A" w:rsidRPr="008E0D90" w:rsidTr="00A06225">
      <w:trPr>
        <w:trHeight w:val="150"/>
      </w:trPr>
      <w:tc>
        <w:tcPr>
          <w:tcW w:w="2389" w:type="pct"/>
          <w:tcBorders>
            <w:top w:val="single" w:sz="4" w:space="0" w:color="4F81BD"/>
            <w:left w:val="nil"/>
            <w:bottom w:val="nil"/>
            <w:right w:val="nil"/>
          </w:tcBorders>
        </w:tcPr>
        <w:p w:rsidR="00414A3A" w:rsidRPr="00A06225" w:rsidRDefault="00414A3A">
          <w:pPr>
            <w:pStyle w:val="Header"/>
            <w:spacing w:line="276" w:lineRule="auto"/>
            <w:rPr>
              <w:rFonts w:ascii="Cambria" w:eastAsia="MS Gothic" w:hAnsi="Cambria"/>
              <w:b/>
              <w:bCs/>
              <w:color w:val="4F81BD"/>
            </w:rPr>
          </w:pPr>
        </w:p>
      </w:tc>
      <w:tc>
        <w:tcPr>
          <w:tcW w:w="0" w:type="auto"/>
          <w:vMerge/>
          <w:vAlign w:val="center"/>
          <w:hideMark/>
        </w:tcPr>
        <w:p w:rsidR="00414A3A" w:rsidRPr="00A06225" w:rsidRDefault="00414A3A">
          <w:pPr>
            <w:rPr>
              <w:rFonts w:ascii="Cambria" w:hAnsi="Cambria"/>
              <w:color w:val="4F81BD"/>
              <w:sz w:val="22"/>
              <w:szCs w:val="22"/>
            </w:rPr>
          </w:pPr>
        </w:p>
      </w:tc>
      <w:tc>
        <w:tcPr>
          <w:tcW w:w="2278" w:type="pct"/>
          <w:tcBorders>
            <w:top w:val="single" w:sz="4" w:space="0" w:color="4F81BD"/>
            <w:left w:val="nil"/>
            <w:bottom w:val="nil"/>
            <w:right w:val="nil"/>
          </w:tcBorders>
        </w:tcPr>
        <w:p w:rsidR="00414A3A" w:rsidRPr="00A06225" w:rsidRDefault="00414A3A">
          <w:pPr>
            <w:pStyle w:val="Header"/>
            <w:spacing w:line="276" w:lineRule="auto"/>
            <w:rPr>
              <w:rFonts w:ascii="Cambria" w:eastAsia="MS Gothic" w:hAnsi="Cambria"/>
              <w:b/>
              <w:bCs/>
              <w:color w:val="4F81BD"/>
            </w:rPr>
          </w:pPr>
        </w:p>
      </w:tc>
    </w:tr>
  </w:tbl>
  <w:p w:rsidR="00414A3A" w:rsidRDefault="00414A3A">
    <w:pPr>
      <w:pStyle w:val="Header"/>
    </w:pPr>
  </w:p>
  <w:p w:rsidR="00414A3A" w:rsidRDefault="00414A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3A" w:rsidRDefault="00414A3A" w:rsidP="00751E5B">
    <w:pPr>
      <w:tabs>
        <w:tab w:val="left" w:pos="142"/>
        <w:tab w:val="right" w:pos="9027"/>
      </w:tabs>
      <w:jc w:val="center"/>
      <w:rPr>
        <w:rFonts w:asciiTheme="minorHAnsi" w:hAnsiTheme="minorHAnsi" w:cstheme="minorHAnsi"/>
        <w:i/>
      </w:rPr>
    </w:pPr>
    <w:r>
      <w:rPr>
        <w:rFonts w:asciiTheme="minorHAnsi" w:hAnsiTheme="minorHAnsi" w:cstheme="minorHAnsi"/>
        <w:i/>
      </w:rPr>
      <w:t>Public Summary Document</w:t>
    </w:r>
    <w:r w:rsidRPr="00BD7C1C">
      <w:rPr>
        <w:rFonts w:asciiTheme="minorHAnsi" w:hAnsiTheme="minorHAnsi" w:cstheme="minorHAnsi"/>
        <w:i/>
      </w:rPr>
      <w:t xml:space="preserve"> – </w:t>
    </w:r>
    <w:r>
      <w:rPr>
        <w:rFonts w:asciiTheme="minorHAnsi" w:hAnsiTheme="minorHAnsi" w:cstheme="minorHAnsi"/>
        <w:i/>
      </w:rPr>
      <w:t>March 2020</w:t>
    </w:r>
    <w:r w:rsidRPr="00BD7C1C">
      <w:rPr>
        <w:rFonts w:asciiTheme="minorHAnsi" w:hAnsiTheme="minorHAnsi" w:cstheme="minorHAnsi"/>
        <w:i/>
      </w:rPr>
      <w:t xml:space="preserve"> PBAC Meeting</w:t>
    </w:r>
  </w:p>
  <w:p w:rsidR="00414A3A" w:rsidRPr="00751E5B" w:rsidRDefault="00414A3A" w:rsidP="00751E5B">
    <w:pPr>
      <w:tabs>
        <w:tab w:val="left" w:pos="142"/>
        <w:tab w:val="right" w:pos="9027"/>
      </w:tabs>
      <w:jc w:val="center"/>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3A" w:rsidRDefault="0041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A3520914"/>
    <w:lvl w:ilvl="0" w:tplc="AC586018">
      <w:start w:val="1"/>
      <w:numFmt w:val="decimal"/>
      <w:lvlText w:val="%1."/>
      <w:lvlJc w:val="left"/>
      <w:pPr>
        <w:ind w:left="720" w:hanging="360"/>
      </w:pPr>
      <w:rPr>
        <w:rFonts w:asciiTheme="minorHAnsi" w:hAnsiTheme="minorHAnsi" w:cstheme="minorHAnsi"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3F03C4"/>
    <w:multiLevelType w:val="hybridMultilevel"/>
    <w:tmpl w:val="63367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5"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39332A"/>
    <w:multiLevelType w:val="hybridMultilevel"/>
    <w:tmpl w:val="BC62B366"/>
    <w:lvl w:ilvl="0" w:tplc="05946E42">
      <w:start w:val="1"/>
      <w:numFmt w:val="bullet"/>
      <w:pStyle w:val="Bulletpoints"/>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F7ED7"/>
    <w:multiLevelType w:val="hybridMultilevel"/>
    <w:tmpl w:val="8ECC9D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7C156B"/>
    <w:multiLevelType w:val="hybridMultilevel"/>
    <w:tmpl w:val="C64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9BB7F77"/>
    <w:multiLevelType w:val="hybridMultilevel"/>
    <w:tmpl w:val="7AAC7E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590265"/>
    <w:multiLevelType w:val="hybridMultilevel"/>
    <w:tmpl w:val="2B781B30"/>
    <w:lvl w:ilvl="0" w:tplc="0C090003">
      <w:start w:val="1"/>
      <w:numFmt w:val="bullet"/>
      <w:lvlText w:val="o"/>
      <w:lvlJc w:val="left"/>
      <w:pPr>
        <w:ind w:left="1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DE4A680E"/>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C96158"/>
    <w:multiLevelType w:val="hybridMultilevel"/>
    <w:tmpl w:val="743215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29"/>
  </w:num>
  <w:num w:numId="3">
    <w:abstractNumId w:val="0"/>
  </w:num>
  <w:num w:numId="4">
    <w:abstractNumId w:val="29"/>
  </w:num>
  <w:num w:numId="5">
    <w:abstractNumId w:val="21"/>
  </w:num>
  <w:num w:numId="6">
    <w:abstractNumId w:val="17"/>
  </w:num>
  <w:num w:numId="7">
    <w:abstractNumId w:val="31"/>
  </w:num>
  <w:num w:numId="8">
    <w:abstractNumId w:val="24"/>
  </w:num>
  <w:num w:numId="9">
    <w:abstractNumId w:val="28"/>
  </w:num>
  <w:num w:numId="10">
    <w:abstractNumId w:val="16"/>
  </w:num>
  <w:num w:numId="11">
    <w:abstractNumId w:val="7"/>
  </w:num>
  <w:num w:numId="12">
    <w:abstractNumId w:val="22"/>
  </w:num>
  <w:num w:numId="13">
    <w:abstractNumId w:val="26"/>
  </w:num>
  <w:num w:numId="14">
    <w:abstractNumId w:val="14"/>
    <w:lvlOverride w:ilvl="0">
      <w:startOverride w:val="1"/>
    </w:lvlOverride>
  </w:num>
  <w:num w:numId="15">
    <w:abstractNumId w:val="14"/>
  </w:num>
  <w:num w:numId="16">
    <w:abstractNumId w:val="14"/>
    <w:lvlOverride w:ilvl="0">
      <w:startOverride w:val="1"/>
    </w:lvlOverride>
  </w:num>
  <w:num w:numId="17">
    <w:abstractNumId w:val="15"/>
  </w:num>
  <w:num w:numId="18">
    <w:abstractNumId w:val="14"/>
    <w:lvlOverride w:ilvl="0">
      <w:startOverride w:val="4"/>
    </w:lvlOverride>
  </w:num>
  <w:num w:numId="19">
    <w:abstractNumId w:val="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29"/>
  </w:num>
  <w:num w:numId="24">
    <w:abstractNumId w:val="27"/>
  </w:num>
  <w:num w:numId="25">
    <w:abstractNumId w:val="9"/>
  </w:num>
  <w:num w:numId="26">
    <w:abstractNumId w:val="11"/>
  </w:num>
  <w:num w:numId="27">
    <w:abstractNumId w:val="25"/>
  </w:num>
  <w:num w:numId="28">
    <w:abstractNumId w:val="30"/>
  </w:num>
  <w:num w:numId="29">
    <w:abstractNumId w:val="18"/>
  </w:num>
  <w:num w:numId="30">
    <w:abstractNumId w:val="3"/>
  </w:num>
  <w:num w:numId="31">
    <w:abstractNumId w:val="5"/>
  </w:num>
  <w:num w:numId="32">
    <w:abstractNumId w:val="2"/>
  </w:num>
  <w:num w:numId="33">
    <w:abstractNumId w:val="10"/>
  </w:num>
  <w:num w:numId="34">
    <w:abstractNumId w:val="12"/>
  </w:num>
  <w:num w:numId="35">
    <w:abstractNumId w:val="8"/>
  </w:num>
  <w:num w:numId="36">
    <w:abstractNumId w:val="19"/>
  </w:num>
  <w:num w:numId="37">
    <w:abstractNumId w:val="23"/>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A7A"/>
    <w:rsid w:val="00001663"/>
    <w:rsid w:val="000025AD"/>
    <w:rsid w:val="0000335D"/>
    <w:rsid w:val="0000551D"/>
    <w:rsid w:val="00011A59"/>
    <w:rsid w:val="00016A41"/>
    <w:rsid w:val="000214D1"/>
    <w:rsid w:val="0002464A"/>
    <w:rsid w:val="0003106B"/>
    <w:rsid w:val="00034905"/>
    <w:rsid w:val="000421A1"/>
    <w:rsid w:val="0004240E"/>
    <w:rsid w:val="00045E26"/>
    <w:rsid w:val="0004750D"/>
    <w:rsid w:val="000514B5"/>
    <w:rsid w:val="00056D63"/>
    <w:rsid w:val="00060E64"/>
    <w:rsid w:val="000627A2"/>
    <w:rsid w:val="000644BB"/>
    <w:rsid w:val="00066755"/>
    <w:rsid w:val="0007239E"/>
    <w:rsid w:val="00076261"/>
    <w:rsid w:val="000763D5"/>
    <w:rsid w:val="00077143"/>
    <w:rsid w:val="00082169"/>
    <w:rsid w:val="00090733"/>
    <w:rsid w:val="00090754"/>
    <w:rsid w:val="000914B9"/>
    <w:rsid w:val="000918CB"/>
    <w:rsid w:val="00091B06"/>
    <w:rsid w:val="000948D2"/>
    <w:rsid w:val="000951C4"/>
    <w:rsid w:val="00095ADA"/>
    <w:rsid w:val="000969AD"/>
    <w:rsid w:val="000972CC"/>
    <w:rsid w:val="000A3AA2"/>
    <w:rsid w:val="000A3AB3"/>
    <w:rsid w:val="000A44B2"/>
    <w:rsid w:val="000A5664"/>
    <w:rsid w:val="000A67E2"/>
    <w:rsid w:val="000B44C3"/>
    <w:rsid w:val="000B558D"/>
    <w:rsid w:val="000B68C8"/>
    <w:rsid w:val="000C3805"/>
    <w:rsid w:val="000C5F95"/>
    <w:rsid w:val="000C6996"/>
    <w:rsid w:val="000D09E9"/>
    <w:rsid w:val="000D23BA"/>
    <w:rsid w:val="000D6A3E"/>
    <w:rsid w:val="000E681E"/>
    <w:rsid w:val="000E7AEE"/>
    <w:rsid w:val="000F0003"/>
    <w:rsid w:val="000F3384"/>
    <w:rsid w:val="000F4E6A"/>
    <w:rsid w:val="000F68DD"/>
    <w:rsid w:val="000F7354"/>
    <w:rsid w:val="00101ABE"/>
    <w:rsid w:val="00102202"/>
    <w:rsid w:val="00104227"/>
    <w:rsid w:val="00105B13"/>
    <w:rsid w:val="001107BF"/>
    <w:rsid w:val="00111523"/>
    <w:rsid w:val="00113649"/>
    <w:rsid w:val="00115297"/>
    <w:rsid w:val="00116385"/>
    <w:rsid w:val="00120368"/>
    <w:rsid w:val="00124037"/>
    <w:rsid w:val="0012417C"/>
    <w:rsid w:val="0012749D"/>
    <w:rsid w:val="00132EAC"/>
    <w:rsid w:val="00140226"/>
    <w:rsid w:val="001408B2"/>
    <w:rsid w:val="00140AAA"/>
    <w:rsid w:val="0014209D"/>
    <w:rsid w:val="00142395"/>
    <w:rsid w:val="00142714"/>
    <w:rsid w:val="00144F6B"/>
    <w:rsid w:val="001452ED"/>
    <w:rsid w:val="0014630E"/>
    <w:rsid w:val="00147D84"/>
    <w:rsid w:val="001549C1"/>
    <w:rsid w:val="00154F62"/>
    <w:rsid w:val="0015664C"/>
    <w:rsid w:val="00162D4E"/>
    <w:rsid w:val="00163329"/>
    <w:rsid w:val="00164623"/>
    <w:rsid w:val="001652DE"/>
    <w:rsid w:val="00165B64"/>
    <w:rsid w:val="001664C9"/>
    <w:rsid w:val="00172FA9"/>
    <w:rsid w:val="00180675"/>
    <w:rsid w:val="00180713"/>
    <w:rsid w:val="00182DF7"/>
    <w:rsid w:val="001830B6"/>
    <w:rsid w:val="001830CE"/>
    <w:rsid w:val="0018502A"/>
    <w:rsid w:val="0018643B"/>
    <w:rsid w:val="00196307"/>
    <w:rsid w:val="001A1874"/>
    <w:rsid w:val="001A33EA"/>
    <w:rsid w:val="001A4C4F"/>
    <w:rsid w:val="001A76FB"/>
    <w:rsid w:val="001B017F"/>
    <w:rsid w:val="001B0B13"/>
    <w:rsid w:val="001B2BBC"/>
    <w:rsid w:val="001B3FFE"/>
    <w:rsid w:val="001B5129"/>
    <w:rsid w:val="001B6EF1"/>
    <w:rsid w:val="001C0B4C"/>
    <w:rsid w:val="001C0C4E"/>
    <w:rsid w:val="001C1195"/>
    <w:rsid w:val="001C231A"/>
    <w:rsid w:val="001C2E42"/>
    <w:rsid w:val="001D1F5F"/>
    <w:rsid w:val="001D67E7"/>
    <w:rsid w:val="001E06D2"/>
    <w:rsid w:val="001F1850"/>
    <w:rsid w:val="001F3189"/>
    <w:rsid w:val="00203FAC"/>
    <w:rsid w:val="00211118"/>
    <w:rsid w:val="00213CFB"/>
    <w:rsid w:val="0021553C"/>
    <w:rsid w:val="0021557B"/>
    <w:rsid w:val="002174FD"/>
    <w:rsid w:val="00217BE1"/>
    <w:rsid w:val="00234252"/>
    <w:rsid w:val="00237AC6"/>
    <w:rsid w:val="00244253"/>
    <w:rsid w:val="00244490"/>
    <w:rsid w:val="002459A9"/>
    <w:rsid w:val="00253499"/>
    <w:rsid w:val="002551A4"/>
    <w:rsid w:val="0025691E"/>
    <w:rsid w:val="00257664"/>
    <w:rsid w:val="00257C36"/>
    <w:rsid w:val="002648D1"/>
    <w:rsid w:val="00265151"/>
    <w:rsid w:val="002660D9"/>
    <w:rsid w:val="00266509"/>
    <w:rsid w:val="00270FC4"/>
    <w:rsid w:val="00271BA1"/>
    <w:rsid w:val="002762FA"/>
    <w:rsid w:val="00277505"/>
    <w:rsid w:val="002823B6"/>
    <w:rsid w:val="002824BF"/>
    <w:rsid w:val="00294274"/>
    <w:rsid w:val="0029458F"/>
    <w:rsid w:val="00294ABF"/>
    <w:rsid w:val="002A0E04"/>
    <w:rsid w:val="002A104C"/>
    <w:rsid w:val="002A19F2"/>
    <w:rsid w:val="002A1BE1"/>
    <w:rsid w:val="002A3658"/>
    <w:rsid w:val="002A494D"/>
    <w:rsid w:val="002A4960"/>
    <w:rsid w:val="002B0AE0"/>
    <w:rsid w:val="002B1AE6"/>
    <w:rsid w:val="002B1D51"/>
    <w:rsid w:val="002B2DE8"/>
    <w:rsid w:val="002B30F8"/>
    <w:rsid w:val="002B31F5"/>
    <w:rsid w:val="002B388A"/>
    <w:rsid w:val="002B5596"/>
    <w:rsid w:val="002C087F"/>
    <w:rsid w:val="002C212F"/>
    <w:rsid w:val="002C672E"/>
    <w:rsid w:val="002C7485"/>
    <w:rsid w:val="002D0B39"/>
    <w:rsid w:val="002D283A"/>
    <w:rsid w:val="002D4543"/>
    <w:rsid w:val="002D7E66"/>
    <w:rsid w:val="002E3153"/>
    <w:rsid w:val="002E3930"/>
    <w:rsid w:val="002E5292"/>
    <w:rsid w:val="002E72CA"/>
    <w:rsid w:val="002F2B42"/>
    <w:rsid w:val="002F600D"/>
    <w:rsid w:val="0030040A"/>
    <w:rsid w:val="00300AD6"/>
    <w:rsid w:val="00300B1B"/>
    <w:rsid w:val="003019D0"/>
    <w:rsid w:val="00302DC1"/>
    <w:rsid w:val="00305EFF"/>
    <w:rsid w:val="003064AF"/>
    <w:rsid w:val="003073D3"/>
    <w:rsid w:val="00310C87"/>
    <w:rsid w:val="00317C6C"/>
    <w:rsid w:val="00320CD3"/>
    <w:rsid w:val="00324D3C"/>
    <w:rsid w:val="00326E79"/>
    <w:rsid w:val="00326E8D"/>
    <w:rsid w:val="003301B1"/>
    <w:rsid w:val="00331189"/>
    <w:rsid w:val="0033263D"/>
    <w:rsid w:val="0033518A"/>
    <w:rsid w:val="003367EF"/>
    <w:rsid w:val="003372CB"/>
    <w:rsid w:val="00340A15"/>
    <w:rsid w:val="00341AE4"/>
    <w:rsid w:val="0034325E"/>
    <w:rsid w:val="003476EE"/>
    <w:rsid w:val="003528FB"/>
    <w:rsid w:val="003577DE"/>
    <w:rsid w:val="003736C9"/>
    <w:rsid w:val="00376289"/>
    <w:rsid w:val="00384988"/>
    <w:rsid w:val="00384BAE"/>
    <w:rsid w:val="003872CF"/>
    <w:rsid w:val="00394C3F"/>
    <w:rsid w:val="0039782C"/>
    <w:rsid w:val="003A4759"/>
    <w:rsid w:val="003A5B4A"/>
    <w:rsid w:val="003B23C5"/>
    <w:rsid w:val="003B24C0"/>
    <w:rsid w:val="003B2A75"/>
    <w:rsid w:val="003B452C"/>
    <w:rsid w:val="003B6124"/>
    <w:rsid w:val="003C0919"/>
    <w:rsid w:val="003C093A"/>
    <w:rsid w:val="003C1ECF"/>
    <w:rsid w:val="003C2FB5"/>
    <w:rsid w:val="003C4C46"/>
    <w:rsid w:val="003D24C5"/>
    <w:rsid w:val="003D3A2B"/>
    <w:rsid w:val="003D4AC4"/>
    <w:rsid w:val="003D6034"/>
    <w:rsid w:val="003D63B7"/>
    <w:rsid w:val="003E1C5F"/>
    <w:rsid w:val="003E468B"/>
    <w:rsid w:val="003E548D"/>
    <w:rsid w:val="003E62BD"/>
    <w:rsid w:val="003F060D"/>
    <w:rsid w:val="003F0C3A"/>
    <w:rsid w:val="003F3228"/>
    <w:rsid w:val="003F4397"/>
    <w:rsid w:val="003F5C8C"/>
    <w:rsid w:val="003F6B77"/>
    <w:rsid w:val="003F775A"/>
    <w:rsid w:val="003F7CF7"/>
    <w:rsid w:val="0040054D"/>
    <w:rsid w:val="00400E55"/>
    <w:rsid w:val="0040128E"/>
    <w:rsid w:val="0040216B"/>
    <w:rsid w:val="0040636E"/>
    <w:rsid w:val="0040727D"/>
    <w:rsid w:val="00412D0E"/>
    <w:rsid w:val="00414A3A"/>
    <w:rsid w:val="004206A7"/>
    <w:rsid w:val="00424FF6"/>
    <w:rsid w:val="004252EC"/>
    <w:rsid w:val="004256AD"/>
    <w:rsid w:val="00427EAD"/>
    <w:rsid w:val="00430D39"/>
    <w:rsid w:val="00444652"/>
    <w:rsid w:val="00445F67"/>
    <w:rsid w:val="004465BD"/>
    <w:rsid w:val="00451A7F"/>
    <w:rsid w:val="00461A44"/>
    <w:rsid w:val="004622BA"/>
    <w:rsid w:val="00466ADA"/>
    <w:rsid w:val="00467C79"/>
    <w:rsid w:val="004702BB"/>
    <w:rsid w:val="00472FB5"/>
    <w:rsid w:val="0047494B"/>
    <w:rsid w:val="00476245"/>
    <w:rsid w:val="0047787A"/>
    <w:rsid w:val="00477A9B"/>
    <w:rsid w:val="00483035"/>
    <w:rsid w:val="00485940"/>
    <w:rsid w:val="004904B8"/>
    <w:rsid w:val="004904B9"/>
    <w:rsid w:val="004A2484"/>
    <w:rsid w:val="004A3081"/>
    <w:rsid w:val="004A400C"/>
    <w:rsid w:val="004A4C6D"/>
    <w:rsid w:val="004A5A85"/>
    <w:rsid w:val="004A5DBB"/>
    <w:rsid w:val="004A71D1"/>
    <w:rsid w:val="004A7C5B"/>
    <w:rsid w:val="004B03F9"/>
    <w:rsid w:val="004B1845"/>
    <w:rsid w:val="004B2E98"/>
    <w:rsid w:val="004B3BDA"/>
    <w:rsid w:val="004B3EE9"/>
    <w:rsid w:val="004B5640"/>
    <w:rsid w:val="004C12BC"/>
    <w:rsid w:val="004C1BD7"/>
    <w:rsid w:val="004C31FE"/>
    <w:rsid w:val="004C524C"/>
    <w:rsid w:val="004C691D"/>
    <w:rsid w:val="004C6C07"/>
    <w:rsid w:val="004D4FF6"/>
    <w:rsid w:val="004E0CB7"/>
    <w:rsid w:val="004E1E8C"/>
    <w:rsid w:val="004E42AA"/>
    <w:rsid w:val="004E5DA9"/>
    <w:rsid w:val="004E692D"/>
    <w:rsid w:val="004E7D87"/>
    <w:rsid w:val="004F1958"/>
    <w:rsid w:val="004F2553"/>
    <w:rsid w:val="004F378D"/>
    <w:rsid w:val="00501554"/>
    <w:rsid w:val="00502AFE"/>
    <w:rsid w:val="0050379E"/>
    <w:rsid w:val="00503AD7"/>
    <w:rsid w:val="00504E0C"/>
    <w:rsid w:val="005109D4"/>
    <w:rsid w:val="00514CD7"/>
    <w:rsid w:val="00520D6A"/>
    <w:rsid w:val="00522DB6"/>
    <w:rsid w:val="0052792D"/>
    <w:rsid w:val="005319B2"/>
    <w:rsid w:val="00532402"/>
    <w:rsid w:val="00532C74"/>
    <w:rsid w:val="00534E2E"/>
    <w:rsid w:val="00535954"/>
    <w:rsid w:val="00537240"/>
    <w:rsid w:val="0053746B"/>
    <w:rsid w:val="00544552"/>
    <w:rsid w:val="0055286A"/>
    <w:rsid w:val="005528E8"/>
    <w:rsid w:val="00554D63"/>
    <w:rsid w:val="00555745"/>
    <w:rsid w:val="0055676D"/>
    <w:rsid w:val="00557D4F"/>
    <w:rsid w:val="00561F32"/>
    <w:rsid w:val="0056484E"/>
    <w:rsid w:val="00572EE6"/>
    <w:rsid w:val="00575381"/>
    <w:rsid w:val="005764CD"/>
    <w:rsid w:val="00577C4D"/>
    <w:rsid w:val="00580532"/>
    <w:rsid w:val="00580BF5"/>
    <w:rsid w:val="00581932"/>
    <w:rsid w:val="00584B2E"/>
    <w:rsid w:val="005963BB"/>
    <w:rsid w:val="005A2C75"/>
    <w:rsid w:val="005A3173"/>
    <w:rsid w:val="005A3223"/>
    <w:rsid w:val="005A3DA3"/>
    <w:rsid w:val="005A52C4"/>
    <w:rsid w:val="005B2305"/>
    <w:rsid w:val="005C4524"/>
    <w:rsid w:val="005D03AB"/>
    <w:rsid w:val="005D3C67"/>
    <w:rsid w:val="005D5017"/>
    <w:rsid w:val="005D63FA"/>
    <w:rsid w:val="005E1333"/>
    <w:rsid w:val="005E3136"/>
    <w:rsid w:val="005E507D"/>
    <w:rsid w:val="005F2F93"/>
    <w:rsid w:val="005F3D12"/>
    <w:rsid w:val="005F4711"/>
    <w:rsid w:val="00601A91"/>
    <w:rsid w:val="006027AA"/>
    <w:rsid w:val="00602BA3"/>
    <w:rsid w:val="00605B63"/>
    <w:rsid w:val="00606EED"/>
    <w:rsid w:val="006072C4"/>
    <w:rsid w:val="00612E34"/>
    <w:rsid w:val="00614159"/>
    <w:rsid w:val="00616C5F"/>
    <w:rsid w:val="00616DAC"/>
    <w:rsid w:val="00617C00"/>
    <w:rsid w:val="00621278"/>
    <w:rsid w:val="006263BF"/>
    <w:rsid w:val="0062748A"/>
    <w:rsid w:val="00627C16"/>
    <w:rsid w:val="00630A2C"/>
    <w:rsid w:val="0063682E"/>
    <w:rsid w:val="0064199E"/>
    <w:rsid w:val="00642DA8"/>
    <w:rsid w:val="006436CD"/>
    <w:rsid w:val="00651169"/>
    <w:rsid w:val="00653D69"/>
    <w:rsid w:val="00654B80"/>
    <w:rsid w:val="00654E40"/>
    <w:rsid w:val="0065501A"/>
    <w:rsid w:val="0065503B"/>
    <w:rsid w:val="006552E6"/>
    <w:rsid w:val="006565C1"/>
    <w:rsid w:val="00657A1C"/>
    <w:rsid w:val="00657C63"/>
    <w:rsid w:val="00661521"/>
    <w:rsid w:val="0066237D"/>
    <w:rsid w:val="00665220"/>
    <w:rsid w:val="006670BE"/>
    <w:rsid w:val="00670A39"/>
    <w:rsid w:val="00670A76"/>
    <w:rsid w:val="006711AA"/>
    <w:rsid w:val="00672B57"/>
    <w:rsid w:val="00675622"/>
    <w:rsid w:val="0067747D"/>
    <w:rsid w:val="00680020"/>
    <w:rsid w:val="0068024E"/>
    <w:rsid w:val="00681CA4"/>
    <w:rsid w:val="0069039D"/>
    <w:rsid w:val="006906DB"/>
    <w:rsid w:val="00691E6C"/>
    <w:rsid w:val="00693DFB"/>
    <w:rsid w:val="0069501D"/>
    <w:rsid w:val="00695280"/>
    <w:rsid w:val="00696129"/>
    <w:rsid w:val="00697CF2"/>
    <w:rsid w:val="00697ECA"/>
    <w:rsid w:val="006A0089"/>
    <w:rsid w:val="006A12A5"/>
    <w:rsid w:val="006A3782"/>
    <w:rsid w:val="006A5E20"/>
    <w:rsid w:val="006A6E2A"/>
    <w:rsid w:val="006B0D94"/>
    <w:rsid w:val="006B485D"/>
    <w:rsid w:val="006C2EDC"/>
    <w:rsid w:val="006C334C"/>
    <w:rsid w:val="006C6256"/>
    <w:rsid w:val="006C708E"/>
    <w:rsid w:val="006D14E7"/>
    <w:rsid w:val="006D18AC"/>
    <w:rsid w:val="006D4444"/>
    <w:rsid w:val="006D4E7D"/>
    <w:rsid w:val="006D6493"/>
    <w:rsid w:val="006D6EC7"/>
    <w:rsid w:val="006E1BCD"/>
    <w:rsid w:val="006F40C2"/>
    <w:rsid w:val="006F5125"/>
    <w:rsid w:val="006F733D"/>
    <w:rsid w:val="00702B6F"/>
    <w:rsid w:val="00703C8D"/>
    <w:rsid w:val="00706A2F"/>
    <w:rsid w:val="0070718E"/>
    <w:rsid w:val="00711755"/>
    <w:rsid w:val="0071340B"/>
    <w:rsid w:val="007174BB"/>
    <w:rsid w:val="007175AD"/>
    <w:rsid w:val="0072025D"/>
    <w:rsid w:val="0073137C"/>
    <w:rsid w:val="00731CDE"/>
    <w:rsid w:val="007353D3"/>
    <w:rsid w:val="007402C9"/>
    <w:rsid w:val="00740C73"/>
    <w:rsid w:val="0074156B"/>
    <w:rsid w:val="00751E5B"/>
    <w:rsid w:val="007555E8"/>
    <w:rsid w:val="007558E2"/>
    <w:rsid w:val="00757CC8"/>
    <w:rsid w:val="0076420C"/>
    <w:rsid w:val="00764D34"/>
    <w:rsid w:val="00771D07"/>
    <w:rsid w:val="00773BE3"/>
    <w:rsid w:val="00774E2C"/>
    <w:rsid w:val="007753C2"/>
    <w:rsid w:val="0078046D"/>
    <w:rsid w:val="00780DA8"/>
    <w:rsid w:val="00781379"/>
    <w:rsid w:val="007838B8"/>
    <w:rsid w:val="00786037"/>
    <w:rsid w:val="00787B4A"/>
    <w:rsid w:val="0079075B"/>
    <w:rsid w:val="007915BA"/>
    <w:rsid w:val="007A01CC"/>
    <w:rsid w:val="007A4908"/>
    <w:rsid w:val="007A6CD6"/>
    <w:rsid w:val="007B3DDC"/>
    <w:rsid w:val="007B72A6"/>
    <w:rsid w:val="007C04C7"/>
    <w:rsid w:val="007C0F57"/>
    <w:rsid w:val="007C40B6"/>
    <w:rsid w:val="007C729F"/>
    <w:rsid w:val="007D503D"/>
    <w:rsid w:val="007E0F41"/>
    <w:rsid w:val="007E1D28"/>
    <w:rsid w:val="007F0021"/>
    <w:rsid w:val="007F2641"/>
    <w:rsid w:val="007F5937"/>
    <w:rsid w:val="007F6CE8"/>
    <w:rsid w:val="007F7C36"/>
    <w:rsid w:val="007F7E02"/>
    <w:rsid w:val="00806796"/>
    <w:rsid w:val="00810B7C"/>
    <w:rsid w:val="00811CC0"/>
    <w:rsid w:val="0081302F"/>
    <w:rsid w:val="008151D6"/>
    <w:rsid w:val="00821527"/>
    <w:rsid w:val="0082231C"/>
    <w:rsid w:val="008268BB"/>
    <w:rsid w:val="00826F6D"/>
    <w:rsid w:val="008306F3"/>
    <w:rsid w:val="00830E40"/>
    <w:rsid w:val="008322D1"/>
    <w:rsid w:val="00833DE3"/>
    <w:rsid w:val="00841B1D"/>
    <w:rsid w:val="00846921"/>
    <w:rsid w:val="0085248B"/>
    <w:rsid w:val="00855FD6"/>
    <w:rsid w:val="00856DDD"/>
    <w:rsid w:val="00860605"/>
    <w:rsid w:val="00863E68"/>
    <w:rsid w:val="008647B5"/>
    <w:rsid w:val="008723C7"/>
    <w:rsid w:val="00873206"/>
    <w:rsid w:val="00873328"/>
    <w:rsid w:val="008742A0"/>
    <w:rsid w:val="00874945"/>
    <w:rsid w:val="00875DCB"/>
    <w:rsid w:val="00882085"/>
    <w:rsid w:val="00883188"/>
    <w:rsid w:val="008954BF"/>
    <w:rsid w:val="00896F78"/>
    <w:rsid w:val="00897D58"/>
    <w:rsid w:val="00897F22"/>
    <w:rsid w:val="008A0B39"/>
    <w:rsid w:val="008A1956"/>
    <w:rsid w:val="008A1D22"/>
    <w:rsid w:val="008A45B5"/>
    <w:rsid w:val="008A4937"/>
    <w:rsid w:val="008A50F1"/>
    <w:rsid w:val="008A59D9"/>
    <w:rsid w:val="008A6819"/>
    <w:rsid w:val="008B2EC0"/>
    <w:rsid w:val="008C1363"/>
    <w:rsid w:val="008C512E"/>
    <w:rsid w:val="008D1B5C"/>
    <w:rsid w:val="008D2180"/>
    <w:rsid w:val="008D3C82"/>
    <w:rsid w:val="008D405F"/>
    <w:rsid w:val="008D447E"/>
    <w:rsid w:val="008D7862"/>
    <w:rsid w:val="008D7A41"/>
    <w:rsid w:val="008E2C72"/>
    <w:rsid w:val="008E3680"/>
    <w:rsid w:val="008E5870"/>
    <w:rsid w:val="008E588A"/>
    <w:rsid w:val="008E6792"/>
    <w:rsid w:val="008E7BB2"/>
    <w:rsid w:val="008F1434"/>
    <w:rsid w:val="008F54C3"/>
    <w:rsid w:val="008F7355"/>
    <w:rsid w:val="009023DC"/>
    <w:rsid w:val="00904490"/>
    <w:rsid w:val="009067B7"/>
    <w:rsid w:val="009116C9"/>
    <w:rsid w:val="009144E3"/>
    <w:rsid w:val="00922323"/>
    <w:rsid w:val="00926560"/>
    <w:rsid w:val="00930937"/>
    <w:rsid w:val="00930C50"/>
    <w:rsid w:val="009324A6"/>
    <w:rsid w:val="00933E6C"/>
    <w:rsid w:val="00937958"/>
    <w:rsid w:val="00941602"/>
    <w:rsid w:val="00942160"/>
    <w:rsid w:val="00950424"/>
    <w:rsid w:val="0095146F"/>
    <w:rsid w:val="00952BF2"/>
    <w:rsid w:val="00957515"/>
    <w:rsid w:val="00957944"/>
    <w:rsid w:val="009602C5"/>
    <w:rsid w:val="00960E9D"/>
    <w:rsid w:val="00962223"/>
    <w:rsid w:val="00966D0D"/>
    <w:rsid w:val="0096783C"/>
    <w:rsid w:val="009716BD"/>
    <w:rsid w:val="009722B3"/>
    <w:rsid w:val="00974C21"/>
    <w:rsid w:val="00975948"/>
    <w:rsid w:val="00977BF3"/>
    <w:rsid w:val="009803E4"/>
    <w:rsid w:val="00980B0E"/>
    <w:rsid w:val="009836A3"/>
    <w:rsid w:val="00984BC5"/>
    <w:rsid w:val="009855A8"/>
    <w:rsid w:val="0098776E"/>
    <w:rsid w:val="009913F4"/>
    <w:rsid w:val="0099465B"/>
    <w:rsid w:val="009A0CDD"/>
    <w:rsid w:val="009A3168"/>
    <w:rsid w:val="009A61CA"/>
    <w:rsid w:val="009B0C64"/>
    <w:rsid w:val="009B0F67"/>
    <w:rsid w:val="009B14DA"/>
    <w:rsid w:val="009B723F"/>
    <w:rsid w:val="009B7A51"/>
    <w:rsid w:val="009C1B50"/>
    <w:rsid w:val="009C703C"/>
    <w:rsid w:val="009D206E"/>
    <w:rsid w:val="009D3CAA"/>
    <w:rsid w:val="009D6532"/>
    <w:rsid w:val="009E2213"/>
    <w:rsid w:val="009E40E1"/>
    <w:rsid w:val="009E59CB"/>
    <w:rsid w:val="009E7BB3"/>
    <w:rsid w:val="009F0EFA"/>
    <w:rsid w:val="009F4E46"/>
    <w:rsid w:val="009F4EB8"/>
    <w:rsid w:val="009F5B65"/>
    <w:rsid w:val="009F5F2E"/>
    <w:rsid w:val="00A02AF0"/>
    <w:rsid w:val="00A02C5C"/>
    <w:rsid w:val="00A06225"/>
    <w:rsid w:val="00A07263"/>
    <w:rsid w:val="00A128E6"/>
    <w:rsid w:val="00A144D3"/>
    <w:rsid w:val="00A14C6A"/>
    <w:rsid w:val="00A22AC3"/>
    <w:rsid w:val="00A23F3F"/>
    <w:rsid w:val="00A24067"/>
    <w:rsid w:val="00A273E4"/>
    <w:rsid w:val="00A2744D"/>
    <w:rsid w:val="00A33287"/>
    <w:rsid w:val="00A34E6C"/>
    <w:rsid w:val="00A36398"/>
    <w:rsid w:val="00A37C8D"/>
    <w:rsid w:val="00A4020E"/>
    <w:rsid w:val="00A40FB5"/>
    <w:rsid w:val="00A42826"/>
    <w:rsid w:val="00A4683C"/>
    <w:rsid w:val="00A5273B"/>
    <w:rsid w:val="00A53A9D"/>
    <w:rsid w:val="00A55FEE"/>
    <w:rsid w:val="00A56AC0"/>
    <w:rsid w:val="00A6017A"/>
    <w:rsid w:val="00A60248"/>
    <w:rsid w:val="00A61925"/>
    <w:rsid w:val="00A62C1A"/>
    <w:rsid w:val="00A6426D"/>
    <w:rsid w:val="00A665C1"/>
    <w:rsid w:val="00A70622"/>
    <w:rsid w:val="00A70977"/>
    <w:rsid w:val="00A70D58"/>
    <w:rsid w:val="00A71085"/>
    <w:rsid w:val="00A744F9"/>
    <w:rsid w:val="00A77613"/>
    <w:rsid w:val="00A8390C"/>
    <w:rsid w:val="00A85E3A"/>
    <w:rsid w:val="00A86AE0"/>
    <w:rsid w:val="00A928BD"/>
    <w:rsid w:val="00A92EC8"/>
    <w:rsid w:val="00A951AC"/>
    <w:rsid w:val="00A97DE9"/>
    <w:rsid w:val="00AA12CD"/>
    <w:rsid w:val="00AA1E1A"/>
    <w:rsid w:val="00AA237D"/>
    <w:rsid w:val="00AA4D1C"/>
    <w:rsid w:val="00AB5856"/>
    <w:rsid w:val="00AC193C"/>
    <w:rsid w:val="00AC1DE1"/>
    <w:rsid w:val="00AC4DE5"/>
    <w:rsid w:val="00AC4FBF"/>
    <w:rsid w:val="00AC5206"/>
    <w:rsid w:val="00AD1BA1"/>
    <w:rsid w:val="00AD2E91"/>
    <w:rsid w:val="00AD3E6B"/>
    <w:rsid w:val="00AD4322"/>
    <w:rsid w:val="00AD57F3"/>
    <w:rsid w:val="00AD66D8"/>
    <w:rsid w:val="00AE0668"/>
    <w:rsid w:val="00AE11A5"/>
    <w:rsid w:val="00AE13E2"/>
    <w:rsid w:val="00AE16D9"/>
    <w:rsid w:val="00AE22D3"/>
    <w:rsid w:val="00AE2CB9"/>
    <w:rsid w:val="00AE388D"/>
    <w:rsid w:val="00AE5A49"/>
    <w:rsid w:val="00AF036B"/>
    <w:rsid w:val="00AF0C7C"/>
    <w:rsid w:val="00AF170E"/>
    <w:rsid w:val="00AF6014"/>
    <w:rsid w:val="00AF62DF"/>
    <w:rsid w:val="00AF666F"/>
    <w:rsid w:val="00AF675C"/>
    <w:rsid w:val="00AF68CC"/>
    <w:rsid w:val="00AF70D7"/>
    <w:rsid w:val="00B00F3B"/>
    <w:rsid w:val="00B06276"/>
    <w:rsid w:val="00B07CFB"/>
    <w:rsid w:val="00B1059E"/>
    <w:rsid w:val="00B12AF3"/>
    <w:rsid w:val="00B170A5"/>
    <w:rsid w:val="00B176C8"/>
    <w:rsid w:val="00B205AA"/>
    <w:rsid w:val="00B22E84"/>
    <w:rsid w:val="00B233AD"/>
    <w:rsid w:val="00B23E25"/>
    <w:rsid w:val="00B24A8C"/>
    <w:rsid w:val="00B25F75"/>
    <w:rsid w:val="00B26955"/>
    <w:rsid w:val="00B26B3F"/>
    <w:rsid w:val="00B2778F"/>
    <w:rsid w:val="00B27C97"/>
    <w:rsid w:val="00B32482"/>
    <w:rsid w:val="00B32611"/>
    <w:rsid w:val="00B33635"/>
    <w:rsid w:val="00B43E90"/>
    <w:rsid w:val="00B467DC"/>
    <w:rsid w:val="00B520A8"/>
    <w:rsid w:val="00B54018"/>
    <w:rsid w:val="00B56118"/>
    <w:rsid w:val="00B6773F"/>
    <w:rsid w:val="00B70EB3"/>
    <w:rsid w:val="00B71E40"/>
    <w:rsid w:val="00B760FB"/>
    <w:rsid w:val="00B767AB"/>
    <w:rsid w:val="00B801BA"/>
    <w:rsid w:val="00B80762"/>
    <w:rsid w:val="00B84A73"/>
    <w:rsid w:val="00B84D5C"/>
    <w:rsid w:val="00BA2DA8"/>
    <w:rsid w:val="00BA347C"/>
    <w:rsid w:val="00BA4F73"/>
    <w:rsid w:val="00BA5E1C"/>
    <w:rsid w:val="00BB69F5"/>
    <w:rsid w:val="00BB7EC3"/>
    <w:rsid w:val="00BC11A7"/>
    <w:rsid w:val="00BC4B9A"/>
    <w:rsid w:val="00BD02C3"/>
    <w:rsid w:val="00BD2337"/>
    <w:rsid w:val="00BD4D03"/>
    <w:rsid w:val="00BD784C"/>
    <w:rsid w:val="00BE020A"/>
    <w:rsid w:val="00BE5DEF"/>
    <w:rsid w:val="00BF092C"/>
    <w:rsid w:val="00BF27A0"/>
    <w:rsid w:val="00BF32AA"/>
    <w:rsid w:val="00BF4AC9"/>
    <w:rsid w:val="00BF4CB6"/>
    <w:rsid w:val="00BF6123"/>
    <w:rsid w:val="00C00DA7"/>
    <w:rsid w:val="00C04CDE"/>
    <w:rsid w:val="00C101B1"/>
    <w:rsid w:val="00C1068F"/>
    <w:rsid w:val="00C12768"/>
    <w:rsid w:val="00C12D70"/>
    <w:rsid w:val="00C16796"/>
    <w:rsid w:val="00C2167C"/>
    <w:rsid w:val="00C21B09"/>
    <w:rsid w:val="00C21E51"/>
    <w:rsid w:val="00C229F3"/>
    <w:rsid w:val="00C24266"/>
    <w:rsid w:val="00C2673A"/>
    <w:rsid w:val="00C270FF"/>
    <w:rsid w:val="00C27B58"/>
    <w:rsid w:val="00C31AC0"/>
    <w:rsid w:val="00C327DC"/>
    <w:rsid w:val="00C33DE7"/>
    <w:rsid w:val="00C35996"/>
    <w:rsid w:val="00C465E7"/>
    <w:rsid w:val="00C4747E"/>
    <w:rsid w:val="00C5151E"/>
    <w:rsid w:val="00C5342C"/>
    <w:rsid w:val="00C53B2B"/>
    <w:rsid w:val="00C55E3E"/>
    <w:rsid w:val="00C60272"/>
    <w:rsid w:val="00C603D4"/>
    <w:rsid w:val="00C60F74"/>
    <w:rsid w:val="00C62290"/>
    <w:rsid w:val="00C6256A"/>
    <w:rsid w:val="00C710E2"/>
    <w:rsid w:val="00C71C3F"/>
    <w:rsid w:val="00C71E7E"/>
    <w:rsid w:val="00C7207D"/>
    <w:rsid w:val="00C7409E"/>
    <w:rsid w:val="00C76E76"/>
    <w:rsid w:val="00C77891"/>
    <w:rsid w:val="00C83057"/>
    <w:rsid w:val="00C843B9"/>
    <w:rsid w:val="00C91449"/>
    <w:rsid w:val="00C92D10"/>
    <w:rsid w:val="00CA093D"/>
    <w:rsid w:val="00CA31CA"/>
    <w:rsid w:val="00CA48D9"/>
    <w:rsid w:val="00CA4AB3"/>
    <w:rsid w:val="00CA5ED0"/>
    <w:rsid w:val="00CA6AFA"/>
    <w:rsid w:val="00CB1193"/>
    <w:rsid w:val="00CB39E0"/>
    <w:rsid w:val="00CB4767"/>
    <w:rsid w:val="00CB493D"/>
    <w:rsid w:val="00CC111F"/>
    <w:rsid w:val="00CC3867"/>
    <w:rsid w:val="00CC3B97"/>
    <w:rsid w:val="00CC5855"/>
    <w:rsid w:val="00CC698F"/>
    <w:rsid w:val="00CD287D"/>
    <w:rsid w:val="00CE10C4"/>
    <w:rsid w:val="00CE27B5"/>
    <w:rsid w:val="00CE4AA1"/>
    <w:rsid w:val="00CE6DAF"/>
    <w:rsid w:val="00CE7970"/>
    <w:rsid w:val="00CF410A"/>
    <w:rsid w:val="00CF418E"/>
    <w:rsid w:val="00D029B9"/>
    <w:rsid w:val="00D0321E"/>
    <w:rsid w:val="00D07A8A"/>
    <w:rsid w:val="00D126E9"/>
    <w:rsid w:val="00D1455A"/>
    <w:rsid w:val="00D22093"/>
    <w:rsid w:val="00D31150"/>
    <w:rsid w:val="00D3138B"/>
    <w:rsid w:val="00D3280C"/>
    <w:rsid w:val="00D3406A"/>
    <w:rsid w:val="00D36F03"/>
    <w:rsid w:val="00D413A3"/>
    <w:rsid w:val="00D441F1"/>
    <w:rsid w:val="00D4572C"/>
    <w:rsid w:val="00D469B2"/>
    <w:rsid w:val="00D538C0"/>
    <w:rsid w:val="00D55B46"/>
    <w:rsid w:val="00D60101"/>
    <w:rsid w:val="00D62966"/>
    <w:rsid w:val="00D65658"/>
    <w:rsid w:val="00D72A9B"/>
    <w:rsid w:val="00D72B6F"/>
    <w:rsid w:val="00D741EB"/>
    <w:rsid w:val="00D7679C"/>
    <w:rsid w:val="00D76850"/>
    <w:rsid w:val="00D820F3"/>
    <w:rsid w:val="00D83605"/>
    <w:rsid w:val="00D84934"/>
    <w:rsid w:val="00D91271"/>
    <w:rsid w:val="00D918E6"/>
    <w:rsid w:val="00D919F5"/>
    <w:rsid w:val="00D93000"/>
    <w:rsid w:val="00D94F03"/>
    <w:rsid w:val="00DA0D14"/>
    <w:rsid w:val="00DA1FC9"/>
    <w:rsid w:val="00DA2CB5"/>
    <w:rsid w:val="00DA4BAC"/>
    <w:rsid w:val="00DB0151"/>
    <w:rsid w:val="00DB1FD8"/>
    <w:rsid w:val="00DC15A7"/>
    <w:rsid w:val="00DC2C3E"/>
    <w:rsid w:val="00DC4880"/>
    <w:rsid w:val="00DE4F2D"/>
    <w:rsid w:val="00DE6D27"/>
    <w:rsid w:val="00DF01F8"/>
    <w:rsid w:val="00DF217D"/>
    <w:rsid w:val="00DF26A7"/>
    <w:rsid w:val="00DF3277"/>
    <w:rsid w:val="00DF3F1F"/>
    <w:rsid w:val="00DF6B89"/>
    <w:rsid w:val="00DF7919"/>
    <w:rsid w:val="00E0207E"/>
    <w:rsid w:val="00E03912"/>
    <w:rsid w:val="00E078D9"/>
    <w:rsid w:val="00E15627"/>
    <w:rsid w:val="00E164B3"/>
    <w:rsid w:val="00E16910"/>
    <w:rsid w:val="00E171F6"/>
    <w:rsid w:val="00E24E09"/>
    <w:rsid w:val="00E27234"/>
    <w:rsid w:val="00E3283D"/>
    <w:rsid w:val="00E342CF"/>
    <w:rsid w:val="00E42BDB"/>
    <w:rsid w:val="00E44EEF"/>
    <w:rsid w:val="00E5706E"/>
    <w:rsid w:val="00E57EEB"/>
    <w:rsid w:val="00E61801"/>
    <w:rsid w:val="00E62D94"/>
    <w:rsid w:val="00E64F37"/>
    <w:rsid w:val="00E6587F"/>
    <w:rsid w:val="00E65E54"/>
    <w:rsid w:val="00E661C7"/>
    <w:rsid w:val="00E662E0"/>
    <w:rsid w:val="00E77525"/>
    <w:rsid w:val="00E80155"/>
    <w:rsid w:val="00E8134B"/>
    <w:rsid w:val="00E81E0D"/>
    <w:rsid w:val="00E81F28"/>
    <w:rsid w:val="00E82EC9"/>
    <w:rsid w:val="00E83073"/>
    <w:rsid w:val="00E84378"/>
    <w:rsid w:val="00E848C0"/>
    <w:rsid w:val="00E91B96"/>
    <w:rsid w:val="00E93D1E"/>
    <w:rsid w:val="00E941A1"/>
    <w:rsid w:val="00E94E6F"/>
    <w:rsid w:val="00E95CE3"/>
    <w:rsid w:val="00EA252F"/>
    <w:rsid w:val="00EA2825"/>
    <w:rsid w:val="00EA28B7"/>
    <w:rsid w:val="00EA2F4B"/>
    <w:rsid w:val="00EA6518"/>
    <w:rsid w:val="00EA6E83"/>
    <w:rsid w:val="00EA70FA"/>
    <w:rsid w:val="00EA7466"/>
    <w:rsid w:val="00EA7EDE"/>
    <w:rsid w:val="00EB0B63"/>
    <w:rsid w:val="00EB1936"/>
    <w:rsid w:val="00EB201B"/>
    <w:rsid w:val="00EB37BE"/>
    <w:rsid w:val="00EB5088"/>
    <w:rsid w:val="00EB72A2"/>
    <w:rsid w:val="00ED1644"/>
    <w:rsid w:val="00ED20C9"/>
    <w:rsid w:val="00ED2593"/>
    <w:rsid w:val="00ED28C0"/>
    <w:rsid w:val="00ED6DEE"/>
    <w:rsid w:val="00ED7596"/>
    <w:rsid w:val="00ED7D9C"/>
    <w:rsid w:val="00EE13DC"/>
    <w:rsid w:val="00EF0019"/>
    <w:rsid w:val="00EF0069"/>
    <w:rsid w:val="00EF0F56"/>
    <w:rsid w:val="00EF3FAD"/>
    <w:rsid w:val="00EF44A0"/>
    <w:rsid w:val="00EF4FED"/>
    <w:rsid w:val="00EF5ADF"/>
    <w:rsid w:val="00F007C6"/>
    <w:rsid w:val="00F0172E"/>
    <w:rsid w:val="00F050BD"/>
    <w:rsid w:val="00F05657"/>
    <w:rsid w:val="00F06D5C"/>
    <w:rsid w:val="00F20466"/>
    <w:rsid w:val="00F209E2"/>
    <w:rsid w:val="00F25578"/>
    <w:rsid w:val="00F258E5"/>
    <w:rsid w:val="00F25B9C"/>
    <w:rsid w:val="00F25DEF"/>
    <w:rsid w:val="00F26C0D"/>
    <w:rsid w:val="00F26CC6"/>
    <w:rsid w:val="00F300BC"/>
    <w:rsid w:val="00F3263C"/>
    <w:rsid w:val="00F3334E"/>
    <w:rsid w:val="00F3487D"/>
    <w:rsid w:val="00F35184"/>
    <w:rsid w:val="00F36CCB"/>
    <w:rsid w:val="00F374E5"/>
    <w:rsid w:val="00F37B93"/>
    <w:rsid w:val="00F43AF2"/>
    <w:rsid w:val="00F5007E"/>
    <w:rsid w:val="00F50EC4"/>
    <w:rsid w:val="00F51DD8"/>
    <w:rsid w:val="00F52232"/>
    <w:rsid w:val="00F550CF"/>
    <w:rsid w:val="00F5772A"/>
    <w:rsid w:val="00F57A6D"/>
    <w:rsid w:val="00F631BB"/>
    <w:rsid w:val="00F638CC"/>
    <w:rsid w:val="00F64C9E"/>
    <w:rsid w:val="00F64CC1"/>
    <w:rsid w:val="00F67327"/>
    <w:rsid w:val="00F72317"/>
    <w:rsid w:val="00F733E3"/>
    <w:rsid w:val="00F73B70"/>
    <w:rsid w:val="00F73B98"/>
    <w:rsid w:val="00F77A46"/>
    <w:rsid w:val="00F80475"/>
    <w:rsid w:val="00F8247A"/>
    <w:rsid w:val="00F84C65"/>
    <w:rsid w:val="00F87089"/>
    <w:rsid w:val="00F909D8"/>
    <w:rsid w:val="00F9629A"/>
    <w:rsid w:val="00F96C06"/>
    <w:rsid w:val="00F97EFC"/>
    <w:rsid w:val="00FA1BDD"/>
    <w:rsid w:val="00FA305C"/>
    <w:rsid w:val="00FA30EA"/>
    <w:rsid w:val="00FA34E6"/>
    <w:rsid w:val="00FA3F0B"/>
    <w:rsid w:val="00FA4B9C"/>
    <w:rsid w:val="00FA4DD5"/>
    <w:rsid w:val="00FA5883"/>
    <w:rsid w:val="00FA6055"/>
    <w:rsid w:val="00FB322F"/>
    <w:rsid w:val="00FB442F"/>
    <w:rsid w:val="00FB7A56"/>
    <w:rsid w:val="00FC1852"/>
    <w:rsid w:val="00FC1929"/>
    <w:rsid w:val="00FC5B46"/>
    <w:rsid w:val="00FD0C67"/>
    <w:rsid w:val="00FD25FB"/>
    <w:rsid w:val="00FD6B7A"/>
    <w:rsid w:val="00FD6D8E"/>
    <w:rsid w:val="00FD6F83"/>
    <w:rsid w:val="00FE0E94"/>
    <w:rsid w:val="00FE3CD9"/>
    <w:rsid w:val="00FE4F72"/>
    <w:rsid w:val="00FF00BD"/>
    <w:rsid w:val="00FF06D5"/>
    <w:rsid w:val="00FF1ED4"/>
    <w:rsid w:val="00FF2801"/>
    <w:rsid w:val="00FF3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BF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3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L,Bullet Point,Bulletr List Paragraph,Content descriptions,FooterText,List Bullet 1,List Paragraph2,List Paragraph21,Footnote"/>
    <w:next w:val="ListBullet"/>
    <w:link w:val="ListParagraphChar"/>
    <w:uiPriority w:val="34"/>
    <w:qFormat/>
    <w:rsid w:val="007D503D"/>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3"/>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L Char,Bullet Point Char,Bulletr List Paragraph Char,Content descriptions Char"/>
    <w:basedOn w:val="DefaultParagraphFont"/>
    <w:link w:val="ListParagraph"/>
    <w:uiPriority w:val="34"/>
    <w:qFormat/>
    <w:rsid w:val="007D503D"/>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numPr>
        <w:numId w:val="6"/>
      </w:numPr>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22"/>
      </w:numPr>
      <w:contextualSpacing/>
    </w:pPr>
  </w:style>
  <w:style w:type="paragraph" w:customStyle="1" w:styleId="PBACcaption">
    <w:name w:val="PBAC caption"/>
    <w:basedOn w:val="Normal"/>
    <w:link w:val="PBACcaptionChar"/>
    <w:qFormat/>
    <w:rsid w:val="00140226"/>
    <w:pPr>
      <w:jc w:val="left"/>
    </w:pPr>
    <w:rPr>
      <w:rFonts w:ascii="Sabon" w:eastAsiaTheme="minorHAnsi" w:hAnsi="Sabon" w:cs="Arial"/>
      <w:b/>
      <w:sz w:val="22"/>
      <w:szCs w:val="22"/>
      <w:lang w:eastAsia="en-US"/>
    </w:rPr>
  </w:style>
  <w:style w:type="character" w:customStyle="1" w:styleId="PBACcaptionChar">
    <w:name w:val="PBAC caption Char"/>
    <w:basedOn w:val="DefaultParagraphFont"/>
    <w:link w:val="PBACcaption"/>
    <w:rsid w:val="00140226"/>
    <w:rPr>
      <w:rFonts w:ascii="Sabon" w:eastAsiaTheme="minorHAnsi" w:hAnsi="Sabon" w:cs="Arial"/>
      <w:b/>
      <w:sz w:val="22"/>
      <w:szCs w:val="22"/>
      <w:lang w:eastAsia="en-US"/>
    </w:rPr>
  </w:style>
  <w:style w:type="paragraph" w:customStyle="1" w:styleId="PBACtablecaption">
    <w:name w:val="PBAC table caption"/>
    <w:basedOn w:val="Normal"/>
    <w:link w:val="PBACtablecaptionChar"/>
    <w:rsid w:val="00140226"/>
    <w:pPr>
      <w:jc w:val="left"/>
    </w:pPr>
    <w:rPr>
      <w:rFonts w:ascii="Arial Narrow" w:eastAsiaTheme="minorHAnsi" w:hAnsi="Arial Narrow" w:cs="Arial"/>
      <w:sz w:val="18"/>
      <w:szCs w:val="18"/>
      <w:lang w:eastAsia="en-US"/>
    </w:rPr>
  </w:style>
  <w:style w:type="character" w:customStyle="1" w:styleId="PBACtablecaptionChar">
    <w:name w:val="PBAC table caption Char"/>
    <w:basedOn w:val="DefaultParagraphFont"/>
    <w:link w:val="PBACtablecaption"/>
    <w:rsid w:val="00140226"/>
    <w:rPr>
      <w:rFonts w:ascii="Arial Narrow" w:eastAsiaTheme="minorHAnsi" w:hAnsi="Arial Narrow" w:cs="Arial"/>
      <w:sz w:val="18"/>
      <w:szCs w:val="18"/>
      <w:lang w:eastAsia="en-US"/>
    </w:rPr>
  </w:style>
  <w:style w:type="paragraph" w:customStyle="1" w:styleId="Commentitalics">
    <w:name w:val="Comment (italics)"/>
    <w:basedOn w:val="Normal"/>
    <w:next w:val="Normal"/>
    <w:qFormat/>
    <w:rsid w:val="00FE4F72"/>
    <w:pPr>
      <w:widowControl w:val="0"/>
    </w:pPr>
    <w:rPr>
      <w:rFonts w:cs="Arial"/>
      <w:i/>
      <w:snapToGrid w:val="0"/>
      <w:lang w:eastAsia="en-US"/>
    </w:rPr>
  </w:style>
  <w:style w:type="paragraph" w:styleId="FootnoteText">
    <w:name w:val="footnote text"/>
    <w:basedOn w:val="Normal"/>
    <w:link w:val="FootnoteTextChar"/>
    <w:semiHidden/>
    <w:unhideWhenUsed/>
    <w:rsid w:val="004E5DA9"/>
    <w:rPr>
      <w:sz w:val="20"/>
      <w:szCs w:val="20"/>
    </w:rPr>
  </w:style>
  <w:style w:type="character" w:customStyle="1" w:styleId="FootnoteTextChar">
    <w:name w:val="Footnote Text Char"/>
    <w:basedOn w:val="DefaultParagraphFont"/>
    <w:link w:val="FootnoteText"/>
    <w:semiHidden/>
    <w:rsid w:val="004E5DA9"/>
    <w:rPr>
      <w:rFonts w:ascii="Calibri" w:hAnsi="Calibri"/>
    </w:rPr>
  </w:style>
  <w:style w:type="character" w:styleId="FootnoteReference">
    <w:name w:val="footnote reference"/>
    <w:basedOn w:val="DefaultParagraphFont"/>
    <w:semiHidden/>
    <w:unhideWhenUsed/>
    <w:rsid w:val="004E5DA9"/>
    <w:rPr>
      <w:vertAlign w:val="superscript"/>
    </w:rPr>
  </w:style>
  <w:style w:type="paragraph" w:styleId="Revision">
    <w:name w:val="Revision"/>
    <w:hidden/>
    <w:uiPriority w:val="71"/>
    <w:semiHidden/>
    <w:rsid w:val="003B452C"/>
    <w:rPr>
      <w:rFonts w:ascii="Calibri" w:hAnsi="Calibri"/>
      <w:sz w:val="24"/>
      <w:szCs w:val="24"/>
    </w:rPr>
  </w:style>
  <w:style w:type="paragraph" w:customStyle="1" w:styleId="ExecSumBodyText">
    <w:name w:val="Exec Sum Body Text"/>
    <w:basedOn w:val="Normal"/>
    <w:qFormat/>
    <w:rsid w:val="00116385"/>
    <w:pPr>
      <w:spacing w:after="120"/>
      <w:ind w:left="720" w:hanging="720"/>
    </w:pPr>
    <w:rPr>
      <w:rFonts w:asciiTheme="minorHAnsi" w:hAnsiTheme="minorHAnsi"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06259000">
      <w:bodyDiv w:val="1"/>
      <w:marLeft w:val="0"/>
      <w:marRight w:val="0"/>
      <w:marTop w:val="0"/>
      <w:marBottom w:val="0"/>
      <w:divBdr>
        <w:top w:val="none" w:sz="0" w:space="0" w:color="auto"/>
        <w:left w:val="none" w:sz="0" w:space="0" w:color="auto"/>
        <w:bottom w:val="none" w:sz="0" w:space="0" w:color="auto"/>
        <w:right w:val="none" w:sz="0" w:space="0" w:color="auto"/>
      </w:divBdr>
    </w:div>
    <w:div w:id="458308302">
      <w:bodyDiv w:val="1"/>
      <w:marLeft w:val="0"/>
      <w:marRight w:val="0"/>
      <w:marTop w:val="0"/>
      <w:marBottom w:val="0"/>
      <w:divBdr>
        <w:top w:val="none" w:sz="0" w:space="0" w:color="auto"/>
        <w:left w:val="none" w:sz="0" w:space="0" w:color="auto"/>
        <w:bottom w:val="none" w:sz="0" w:space="0" w:color="auto"/>
        <w:right w:val="none" w:sz="0" w:space="0" w:color="auto"/>
      </w:divBdr>
    </w:div>
    <w:div w:id="70401803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5740336">
      <w:bodyDiv w:val="1"/>
      <w:marLeft w:val="0"/>
      <w:marRight w:val="0"/>
      <w:marTop w:val="0"/>
      <w:marBottom w:val="0"/>
      <w:divBdr>
        <w:top w:val="none" w:sz="0" w:space="0" w:color="auto"/>
        <w:left w:val="none" w:sz="0" w:space="0" w:color="auto"/>
        <w:bottom w:val="none" w:sz="0" w:space="0" w:color="auto"/>
        <w:right w:val="none" w:sz="0" w:space="0" w:color="auto"/>
      </w:divBdr>
    </w:div>
    <w:div w:id="154713323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967205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B94E-B1B0-4798-A0F0-253D8AC6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5181</Words>
  <Characters>31968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2020-06-19T06:23:00Z</dcterms:created>
  <dcterms:modified xsi:type="dcterms:W3CDTF">2020-06-24T23:32:00Z</dcterms:modified>
</cp:coreProperties>
</file>